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9E20C8">
      <w:pPr>
        <w:spacing w:line="760" w:lineRule="exact"/>
        <w:jc w:val="center"/>
        <w:rPr>
          <w:rFonts w:hint="eastAsia" w:ascii="仿宋" w:hAnsi="仿宋" w:eastAsia="仿宋" w:cs="仿宋"/>
          <w:b/>
          <w:bCs/>
          <w:color w:val="auto"/>
          <w:sz w:val="40"/>
          <w:szCs w:val="40"/>
          <w:highlight w:val="none"/>
          <w:lang w:eastAsia="zh-CN"/>
        </w:rPr>
      </w:pPr>
      <w:bookmarkStart w:id="85" w:name="_GoBack"/>
    </w:p>
    <w:p w14:paraId="35646D28">
      <w:pPr>
        <w:spacing w:line="760" w:lineRule="exact"/>
        <w:jc w:val="center"/>
        <w:rPr>
          <w:rFonts w:hint="eastAsia" w:ascii="仿宋" w:hAnsi="仿宋" w:eastAsia="仿宋" w:cs="仿宋"/>
          <w:b/>
          <w:bCs/>
          <w:color w:val="auto"/>
          <w:sz w:val="40"/>
          <w:szCs w:val="40"/>
          <w:highlight w:val="none"/>
          <w:lang w:val="en-US" w:eastAsia="zh-CN"/>
        </w:rPr>
      </w:pPr>
      <w:r>
        <w:rPr>
          <w:rFonts w:hint="eastAsia" w:ascii="仿宋" w:hAnsi="仿宋" w:eastAsia="仿宋" w:cs="仿宋"/>
          <w:b/>
          <w:bCs/>
          <w:color w:val="auto"/>
          <w:sz w:val="40"/>
          <w:szCs w:val="40"/>
          <w:highlight w:val="none"/>
          <w:lang w:val="en-US" w:eastAsia="zh-CN"/>
        </w:rPr>
        <w:t>2025年中央医疗服务与保障能力提升（医疗卫生机构能力建设）补助资金项目</w:t>
      </w:r>
    </w:p>
    <w:p w14:paraId="0B0D8F5B">
      <w:pPr>
        <w:spacing w:line="760" w:lineRule="exact"/>
        <w:jc w:val="center"/>
        <w:rPr>
          <w:rFonts w:hint="default"/>
          <w:color w:val="auto"/>
          <w:highlight w:val="none"/>
          <w:shd w:val="clear" w:color="auto" w:fill="auto"/>
          <w:lang w:val="en-US"/>
        </w:rPr>
      </w:pPr>
      <w:r>
        <w:rPr>
          <w:rFonts w:hint="eastAsia" w:ascii="仿宋" w:hAnsi="仿宋" w:eastAsia="仿宋" w:cs="仿宋"/>
          <w:b/>
          <w:bCs/>
          <w:color w:val="auto"/>
          <w:sz w:val="40"/>
          <w:szCs w:val="40"/>
          <w:highlight w:val="none"/>
          <w:shd w:val="clear" w:color="auto" w:fill="auto"/>
          <w:lang w:eastAsia="zh-CN"/>
        </w:rPr>
        <w:t>项目编号：AHQXZB</w:t>
      </w:r>
      <w:r>
        <w:rPr>
          <w:rFonts w:hint="eastAsia" w:ascii="仿宋" w:hAnsi="仿宋" w:eastAsia="仿宋" w:cs="仿宋"/>
          <w:b/>
          <w:bCs/>
          <w:color w:val="auto"/>
          <w:sz w:val="40"/>
          <w:szCs w:val="40"/>
          <w:highlight w:val="none"/>
          <w:shd w:val="clear" w:color="auto" w:fill="auto"/>
          <w:lang w:val="en-US" w:eastAsia="zh-CN"/>
        </w:rPr>
        <w:t>-2025006</w:t>
      </w:r>
    </w:p>
    <w:p w14:paraId="0ABE002E">
      <w:pPr>
        <w:pStyle w:val="28"/>
        <w:rPr>
          <w:rFonts w:ascii="仿宋" w:hAnsi="仿宋" w:eastAsia="仿宋" w:cs="仿宋"/>
          <w:color w:val="auto"/>
          <w:highlight w:val="none"/>
        </w:rPr>
      </w:pPr>
    </w:p>
    <w:p w14:paraId="47CDB5F9">
      <w:pPr>
        <w:pStyle w:val="28"/>
        <w:rPr>
          <w:rFonts w:ascii="仿宋" w:hAnsi="仿宋" w:eastAsia="仿宋" w:cs="仿宋"/>
          <w:color w:val="auto"/>
          <w:highlight w:val="none"/>
        </w:rPr>
      </w:pPr>
    </w:p>
    <w:p w14:paraId="57564089">
      <w:pPr>
        <w:pStyle w:val="28"/>
        <w:rPr>
          <w:rFonts w:ascii="仿宋" w:hAnsi="仿宋" w:eastAsia="仿宋" w:cs="仿宋"/>
          <w:color w:val="auto"/>
          <w:highlight w:val="none"/>
        </w:rPr>
      </w:pPr>
    </w:p>
    <w:p w14:paraId="49DFAC41">
      <w:pPr>
        <w:pStyle w:val="28"/>
        <w:rPr>
          <w:rFonts w:ascii="仿宋" w:hAnsi="仿宋" w:eastAsia="仿宋" w:cs="仿宋"/>
          <w:color w:val="auto"/>
          <w:highlight w:val="none"/>
        </w:rPr>
      </w:pPr>
    </w:p>
    <w:p w14:paraId="588BB973">
      <w:pPr>
        <w:pStyle w:val="28"/>
        <w:jc w:val="center"/>
        <w:rPr>
          <w:rFonts w:ascii="仿宋" w:hAnsi="仿宋" w:eastAsia="仿宋" w:cs="仿宋"/>
          <w:b/>
          <w:color w:val="auto"/>
          <w:sz w:val="96"/>
          <w:szCs w:val="96"/>
          <w:highlight w:val="none"/>
        </w:rPr>
      </w:pPr>
      <w:r>
        <w:rPr>
          <w:rFonts w:hint="eastAsia" w:ascii="仿宋" w:hAnsi="仿宋" w:eastAsia="仿宋" w:cs="仿宋"/>
          <w:b/>
          <w:color w:val="auto"/>
          <w:sz w:val="96"/>
          <w:szCs w:val="96"/>
          <w:highlight w:val="none"/>
        </w:rPr>
        <w:t>招</w:t>
      </w:r>
    </w:p>
    <w:p w14:paraId="14CF4469">
      <w:pPr>
        <w:pStyle w:val="28"/>
        <w:jc w:val="center"/>
        <w:rPr>
          <w:rFonts w:ascii="仿宋" w:hAnsi="仿宋" w:eastAsia="仿宋" w:cs="仿宋"/>
          <w:b/>
          <w:bCs/>
          <w:color w:val="auto"/>
          <w:sz w:val="96"/>
          <w:szCs w:val="96"/>
          <w:highlight w:val="none"/>
        </w:rPr>
      </w:pPr>
      <w:r>
        <w:rPr>
          <w:rFonts w:hint="eastAsia" w:ascii="仿宋" w:hAnsi="仿宋" w:eastAsia="仿宋" w:cs="仿宋"/>
          <w:b/>
          <w:color w:val="auto"/>
          <w:sz w:val="96"/>
          <w:szCs w:val="96"/>
          <w:highlight w:val="none"/>
        </w:rPr>
        <w:t>标</w:t>
      </w:r>
    </w:p>
    <w:p w14:paraId="1A6ED643">
      <w:pPr>
        <w:pStyle w:val="28"/>
        <w:jc w:val="center"/>
        <w:rPr>
          <w:rFonts w:ascii="仿宋" w:hAnsi="仿宋" w:eastAsia="仿宋" w:cs="仿宋"/>
          <w:b/>
          <w:bCs/>
          <w:color w:val="auto"/>
          <w:sz w:val="96"/>
          <w:szCs w:val="96"/>
          <w:highlight w:val="none"/>
        </w:rPr>
      </w:pPr>
      <w:r>
        <w:rPr>
          <w:rFonts w:hint="eastAsia" w:ascii="仿宋" w:hAnsi="仿宋" w:eastAsia="仿宋" w:cs="仿宋"/>
          <w:b/>
          <w:bCs/>
          <w:color w:val="auto"/>
          <w:sz w:val="96"/>
          <w:szCs w:val="96"/>
          <w:highlight w:val="none"/>
        </w:rPr>
        <w:t>文</w:t>
      </w:r>
    </w:p>
    <w:p w14:paraId="3DBAE396">
      <w:pPr>
        <w:pStyle w:val="28"/>
        <w:jc w:val="center"/>
        <w:rPr>
          <w:rFonts w:ascii="仿宋" w:hAnsi="仿宋" w:eastAsia="仿宋" w:cs="仿宋"/>
          <w:color w:val="auto"/>
          <w:sz w:val="84"/>
          <w:szCs w:val="84"/>
          <w:highlight w:val="none"/>
        </w:rPr>
      </w:pPr>
      <w:r>
        <w:rPr>
          <w:rFonts w:hint="eastAsia" w:ascii="仿宋" w:hAnsi="仿宋" w:eastAsia="仿宋" w:cs="仿宋"/>
          <w:b/>
          <w:bCs/>
          <w:color w:val="auto"/>
          <w:sz w:val="96"/>
          <w:szCs w:val="96"/>
          <w:highlight w:val="none"/>
        </w:rPr>
        <w:t>件</w:t>
      </w:r>
    </w:p>
    <w:p w14:paraId="0C580F52">
      <w:pPr>
        <w:pStyle w:val="28"/>
        <w:rPr>
          <w:rFonts w:ascii="仿宋" w:hAnsi="仿宋" w:eastAsia="仿宋" w:cs="仿宋"/>
          <w:color w:val="auto"/>
          <w:highlight w:val="none"/>
        </w:rPr>
      </w:pPr>
    </w:p>
    <w:p w14:paraId="45AC588F">
      <w:pPr>
        <w:spacing w:line="700" w:lineRule="exact"/>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采购单位：</w:t>
      </w:r>
      <w:r>
        <w:rPr>
          <w:rFonts w:hint="eastAsia" w:ascii="仿宋" w:hAnsi="仿宋" w:eastAsia="仿宋" w:cs="仿宋"/>
          <w:color w:val="auto"/>
          <w:sz w:val="32"/>
          <w:szCs w:val="32"/>
          <w:highlight w:val="none"/>
          <w:lang w:val="en-US" w:eastAsia="zh-CN"/>
        </w:rPr>
        <w:t>新疆阿合奇县人民医院</w:t>
      </w:r>
    </w:p>
    <w:p w14:paraId="15C8A82E">
      <w:pPr>
        <w:spacing w:line="700" w:lineRule="exact"/>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联 系 人：</w:t>
      </w:r>
      <w:r>
        <w:rPr>
          <w:rFonts w:hint="eastAsia" w:ascii="仿宋" w:hAnsi="仿宋" w:eastAsia="仿宋" w:cs="仿宋"/>
          <w:color w:val="auto"/>
          <w:sz w:val="32"/>
          <w:szCs w:val="32"/>
          <w:highlight w:val="none"/>
          <w:lang w:val="en-US" w:eastAsia="zh-CN"/>
        </w:rPr>
        <w:t>王</w:t>
      </w:r>
      <w:r>
        <w:rPr>
          <w:rFonts w:hint="eastAsia" w:ascii="仿宋" w:hAnsi="仿宋" w:eastAsia="仿宋" w:cs="仿宋"/>
          <w:color w:val="auto"/>
          <w:sz w:val="32"/>
          <w:szCs w:val="32"/>
          <w:highlight w:val="none"/>
          <w:lang w:eastAsia="zh-CN"/>
        </w:rPr>
        <w:t>先生</w:t>
      </w:r>
    </w:p>
    <w:p w14:paraId="4928DF53">
      <w:pPr>
        <w:spacing w:line="700" w:lineRule="exact"/>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联系电话：</w:t>
      </w:r>
      <w:r>
        <w:rPr>
          <w:rFonts w:hint="eastAsia" w:ascii="仿宋" w:hAnsi="仿宋" w:eastAsia="仿宋" w:cs="仿宋"/>
          <w:color w:val="auto"/>
          <w:sz w:val="32"/>
          <w:szCs w:val="32"/>
          <w:highlight w:val="none"/>
          <w:lang w:val="en-US" w:eastAsia="zh-CN"/>
        </w:rPr>
        <w:t>18097832118</w:t>
      </w:r>
    </w:p>
    <w:p w14:paraId="2493AA93">
      <w:pPr>
        <w:keepNext w:val="0"/>
        <w:keepLines w:val="0"/>
        <w:pageBreakBefore w:val="0"/>
        <w:kinsoku/>
        <w:wordWrap/>
        <w:overflowPunct/>
        <w:topLinePunct w:val="0"/>
        <w:autoSpaceDE/>
        <w:autoSpaceDN/>
        <w:bidi w:val="0"/>
        <w:spacing w:line="600" w:lineRule="exact"/>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代理机构：</w:t>
      </w:r>
      <w:r>
        <w:rPr>
          <w:rFonts w:hint="eastAsia" w:ascii="仿宋" w:hAnsi="仿宋" w:eastAsia="仿宋" w:cs="仿宋"/>
          <w:color w:val="auto"/>
          <w:sz w:val="32"/>
          <w:szCs w:val="32"/>
          <w:highlight w:val="none"/>
          <w:lang w:val="en-US" w:eastAsia="zh-CN"/>
        </w:rPr>
        <w:t>阿合奇县新越项目咨询有限责任公司</w:t>
      </w:r>
    </w:p>
    <w:p w14:paraId="07403046">
      <w:pPr>
        <w:pStyle w:val="32"/>
        <w:keepNext w:val="0"/>
        <w:keepLines w:val="0"/>
        <w:pageBreakBefore w:val="0"/>
        <w:kinsoku/>
        <w:wordWrap/>
        <w:overflowPunct/>
        <w:topLinePunct w:val="0"/>
        <w:autoSpaceDE/>
        <w:autoSpaceDN/>
        <w:bidi w:val="0"/>
        <w:spacing w:line="600" w:lineRule="exact"/>
        <w:ind w:left="0" w:leftChars="0" w:firstLine="0" w:firstLineChars="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联 系 人：</w:t>
      </w:r>
      <w:r>
        <w:rPr>
          <w:rFonts w:hint="eastAsia" w:ascii="仿宋" w:hAnsi="仿宋" w:eastAsia="仿宋" w:cs="仿宋"/>
          <w:color w:val="auto"/>
          <w:sz w:val="32"/>
          <w:szCs w:val="32"/>
          <w:highlight w:val="none"/>
          <w:lang w:val="en-US" w:eastAsia="zh-CN"/>
        </w:rPr>
        <w:t>银先生</w:t>
      </w:r>
    </w:p>
    <w:p w14:paraId="14D4B7D6">
      <w:pPr>
        <w:pStyle w:val="32"/>
        <w:keepNext w:val="0"/>
        <w:keepLines w:val="0"/>
        <w:pageBreakBefore w:val="0"/>
        <w:kinsoku/>
        <w:wordWrap/>
        <w:overflowPunct/>
        <w:topLinePunct w:val="0"/>
        <w:autoSpaceDE/>
        <w:autoSpaceDN/>
        <w:bidi w:val="0"/>
        <w:spacing w:line="600" w:lineRule="exact"/>
        <w:ind w:left="0" w:leftChars="0" w:firstLine="0" w:firstLineChars="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电    话：18809088695</w:t>
      </w:r>
    </w:p>
    <w:p w14:paraId="04329766">
      <w:pPr>
        <w:pStyle w:val="32"/>
        <w:rPr>
          <w:rFonts w:ascii="仿宋" w:hAnsi="仿宋" w:eastAsia="仿宋" w:cs="仿宋"/>
          <w:b/>
          <w:color w:val="auto"/>
          <w:sz w:val="36"/>
          <w:szCs w:val="36"/>
          <w:highlight w:val="none"/>
          <w:lang w:eastAsia="zh-CN"/>
        </w:rPr>
      </w:pPr>
    </w:p>
    <w:p w14:paraId="17C162BF">
      <w:pPr>
        <w:jc w:val="center"/>
        <w:rPr>
          <w:rFonts w:ascii="仿宋" w:hAnsi="仿宋" w:eastAsia="仿宋" w:cs="仿宋"/>
          <w:b/>
          <w:color w:val="auto"/>
          <w:sz w:val="36"/>
          <w:szCs w:val="36"/>
          <w:highlight w:val="none"/>
          <w:lang w:eastAsia="zh-CN"/>
        </w:rPr>
      </w:pPr>
      <w:r>
        <w:rPr>
          <w:rFonts w:hint="eastAsia" w:ascii="仿宋" w:hAnsi="仿宋" w:eastAsia="仿宋" w:cs="仿宋"/>
          <w:b/>
          <w:color w:val="auto"/>
          <w:sz w:val="36"/>
          <w:szCs w:val="36"/>
          <w:highlight w:val="none"/>
          <w:lang w:eastAsia="zh-CN"/>
        </w:rPr>
        <w:t>招投标监督管理机构备案登记栏</w:t>
      </w:r>
    </w:p>
    <w:tbl>
      <w:tblPr>
        <w:tblStyle w:val="23"/>
        <w:tblW w:w="90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4"/>
      </w:tblGrid>
      <w:tr w14:paraId="612C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955" w:hRule="atLeast"/>
          <w:jc w:val="center"/>
        </w:trPr>
        <w:tc>
          <w:tcPr>
            <w:tcW w:w="9084" w:type="dxa"/>
          </w:tcPr>
          <w:p w14:paraId="59D8390E">
            <w:pPr>
              <w:spacing w:line="500" w:lineRule="exact"/>
              <w:jc w:val="both"/>
              <w:rPr>
                <w:rFonts w:ascii="仿宋" w:hAnsi="仿宋" w:eastAsia="仿宋" w:cs="仿宋"/>
                <w:color w:val="auto"/>
                <w:highlight w:val="none"/>
                <w:lang w:eastAsia="zh-CN"/>
              </w:rPr>
            </w:pPr>
          </w:p>
          <w:p w14:paraId="335C628C">
            <w:pPr>
              <w:spacing w:line="500" w:lineRule="exact"/>
              <w:jc w:val="both"/>
              <w:rPr>
                <w:rFonts w:ascii="仿宋" w:hAnsi="仿宋" w:eastAsia="仿宋" w:cs="仿宋"/>
                <w:color w:val="auto"/>
                <w:sz w:val="32"/>
                <w:szCs w:val="32"/>
                <w:highlight w:val="none"/>
                <w:lang w:eastAsia="zh-CN"/>
              </w:rPr>
            </w:pPr>
          </w:p>
          <w:p w14:paraId="52376139">
            <w:pPr>
              <w:spacing w:line="500" w:lineRule="exact"/>
              <w:jc w:val="both"/>
              <w:rPr>
                <w:rFonts w:ascii="仿宋" w:hAnsi="仿宋" w:eastAsia="仿宋" w:cs="仿宋"/>
                <w:color w:val="auto"/>
                <w:sz w:val="32"/>
                <w:szCs w:val="32"/>
                <w:highlight w:val="none"/>
                <w:lang w:eastAsia="zh-CN"/>
              </w:rPr>
            </w:pPr>
          </w:p>
          <w:p w14:paraId="1021DC3B">
            <w:pPr>
              <w:spacing w:line="500" w:lineRule="exact"/>
              <w:jc w:val="both"/>
              <w:rPr>
                <w:rFonts w:ascii="仿宋" w:hAnsi="仿宋" w:eastAsia="仿宋" w:cs="仿宋"/>
                <w:color w:val="auto"/>
                <w:w w:val="95"/>
                <w:sz w:val="32"/>
                <w:szCs w:val="32"/>
                <w:highlight w:val="none"/>
                <w:lang w:eastAsia="zh-CN"/>
              </w:rPr>
            </w:pPr>
            <w:r>
              <w:rPr>
                <w:rFonts w:hint="eastAsia" w:ascii="仿宋" w:hAnsi="仿宋" w:eastAsia="仿宋" w:cs="仿宋"/>
                <w:color w:val="auto"/>
                <w:sz w:val="32"/>
                <w:szCs w:val="32"/>
                <w:highlight w:val="none"/>
                <w:lang w:eastAsia="zh-CN"/>
              </w:rPr>
              <w:t>采购单位：</w:t>
            </w:r>
            <w:r>
              <w:rPr>
                <w:rFonts w:hint="eastAsia" w:ascii="仿宋" w:hAnsi="仿宋" w:eastAsia="仿宋" w:cs="仿宋"/>
                <w:color w:val="auto"/>
                <w:sz w:val="32"/>
                <w:szCs w:val="32"/>
                <w:highlight w:val="none"/>
                <w:lang w:val="en-US" w:eastAsia="zh-CN"/>
              </w:rPr>
              <w:t xml:space="preserve">新疆阿合奇县人民医院       </w:t>
            </w:r>
            <w:r>
              <w:rPr>
                <w:rFonts w:hint="eastAsia" w:ascii="仿宋" w:hAnsi="仿宋" w:eastAsia="仿宋" w:cs="仿宋"/>
                <w:color w:val="auto"/>
                <w:w w:val="95"/>
                <w:sz w:val="32"/>
                <w:szCs w:val="32"/>
                <w:highlight w:val="none"/>
                <w:lang w:eastAsia="zh-CN"/>
              </w:rPr>
              <w:t>（盖章）</w:t>
            </w:r>
          </w:p>
          <w:p w14:paraId="1742702A">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589AF55E">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 xml:space="preserve">                                 </w:t>
            </w:r>
          </w:p>
          <w:p w14:paraId="68FCC5D6">
            <w:pPr>
              <w:spacing w:line="500" w:lineRule="exact"/>
              <w:jc w:val="both"/>
              <w:rPr>
                <w:rFonts w:ascii="仿宋" w:hAnsi="仿宋" w:eastAsia="仿宋" w:cs="仿宋"/>
                <w:color w:val="auto"/>
                <w:sz w:val="32"/>
                <w:szCs w:val="32"/>
                <w:highlight w:val="none"/>
                <w:lang w:eastAsia="zh-CN"/>
              </w:rPr>
            </w:pPr>
          </w:p>
          <w:p w14:paraId="3730777C">
            <w:pPr>
              <w:spacing w:line="500" w:lineRule="exact"/>
              <w:jc w:val="both"/>
              <w:rPr>
                <w:rFonts w:ascii="仿宋" w:hAnsi="仿宋" w:eastAsia="仿宋" w:cs="仿宋"/>
                <w:color w:val="auto"/>
                <w:sz w:val="32"/>
                <w:szCs w:val="32"/>
                <w:highlight w:val="none"/>
                <w:lang w:eastAsia="zh-CN"/>
              </w:rPr>
            </w:pPr>
          </w:p>
          <w:p w14:paraId="13B8569A">
            <w:pPr>
              <w:spacing w:line="500" w:lineRule="exact"/>
              <w:ind w:left="3520" w:hanging="3520" w:hangingChars="1100"/>
              <w:jc w:val="both"/>
              <w:rPr>
                <w:rFonts w:ascii="仿宋" w:hAnsi="仿宋" w:eastAsia="仿宋" w:cs="仿宋"/>
                <w:color w:val="auto"/>
                <w:sz w:val="32"/>
                <w:szCs w:val="32"/>
                <w:highlight w:val="none"/>
                <w:lang w:eastAsia="zh-CN"/>
              </w:rPr>
            </w:pPr>
          </w:p>
          <w:p w14:paraId="0CD52CE1">
            <w:pPr>
              <w:spacing w:line="500" w:lineRule="exact"/>
              <w:ind w:left="2240" w:hanging="2240" w:hangingChars="700"/>
              <w:jc w:val="both"/>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eastAsia="zh-CN"/>
              </w:rPr>
              <w:t>采购项目名称：</w:t>
            </w:r>
            <w:r>
              <w:rPr>
                <w:rFonts w:hint="eastAsia" w:ascii="仿宋" w:hAnsi="仿宋" w:eastAsia="仿宋" w:cs="仿宋"/>
                <w:color w:val="auto"/>
                <w:sz w:val="32"/>
                <w:szCs w:val="32"/>
                <w:highlight w:val="none"/>
                <w:lang w:val="en-US" w:eastAsia="zh-CN"/>
              </w:rPr>
              <w:t>2025年中央医疗服务与保障能力提升（医疗卫生机构能力建设）补助资金项目</w:t>
            </w:r>
          </w:p>
          <w:p w14:paraId="032566A5">
            <w:pPr>
              <w:spacing w:line="500" w:lineRule="exact"/>
              <w:ind w:left="2240" w:hanging="2240" w:hangingChars="700"/>
              <w:jc w:val="both"/>
              <w:rPr>
                <w:rFonts w:hint="eastAsia" w:ascii="仿宋" w:hAnsi="仿宋" w:eastAsia="仿宋" w:cs="仿宋"/>
                <w:color w:val="auto"/>
                <w:sz w:val="32"/>
                <w:szCs w:val="32"/>
                <w:highlight w:val="none"/>
                <w:lang w:val="en-US" w:eastAsia="zh-CN"/>
              </w:rPr>
            </w:pPr>
          </w:p>
          <w:p w14:paraId="4150ADE0">
            <w:pPr>
              <w:spacing w:line="500" w:lineRule="exact"/>
              <w:jc w:val="both"/>
              <w:rPr>
                <w:rFonts w:ascii="仿宋" w:hAnsi="仿宋" w:eastAsia="仿宋" w:cs="仿宋"/>
                <w:color w:val="auto"/>
                <w:sz w:val="32"/>
                <w:szCs w:val="32"/>
                <w:highlight w:val="none"/>
                <w:lang w:eastAsia="zh-CN"/>
              </w:rPr>
            </w:pPr>
          </w:p>
          <w:p w14:paraId="4874732B">
            <w:pPr>
              <w:spacing w:line="500" w:lineRule="exact"/>
              <w:jc w:val="both"/>
              <w:rPr>
                <w:rFonts w:ascii="仿宋" w:hAnsi="仿宋" w:eastAsia="仿宋" w:cs="仿宋"/>
                <w:color w:val="auto"/>
                <w:sz w:val="32"/>
                <w:szCs w:val="32"/>
                <w:highlight w:val="none"/>
                <w:lang w:eastAsia="zh-CN"/>
              </w:rPr>
            </w:pPr>
          </w:p>
          <w:p w14:paraId="742DBDD8">
            <w:pPr>
              <w:pStyle w:val="32"/>
              <w:jc w:val="both"/>
              <w:rPr>
                <w:rFonts w:ascii="仿宋" w:hAnsi="仿宋" w:eastAsia="仿宋" w:cs="仿宋"/>
                <w:color w:val="auto"/>
                <w:sz w:val="32"/>
                <w:szCs w:val="32"/>
                <w:highlight w:val="none"/>
                <w:lang w:eastAsia="zh-CN"/>
              </w:rPr>
            </w:pPr>
          </w:p>
          <w:p w14:paraId="7FCCB324">
            <w:pPr>
              <w:pStyle w:val="32"/>
              <w:jc w:val="both"/>
              <w:rPr>
                <w:rFonts w:ascii="仿宋" w:hAnsi="仿宋" w:eastAsia="仿宋" w:cs="仿宋"/>
                <w:color w:val="auto"/>
                <w:sz w:val="32"/>
                <w:szCs w:val="32"/>
                <w:highlight w:val="none"/>
                <w:lang w:eastAsia="zh-CN"/>
              </w:rPr>
            </w:pPr>
          </w:p>
          <w:p w14:paraId="4B3557AA">
            <w:pPr>
              <w:pStyle w:val="32"/>
              <w:jc w:val="both"/>
              <w:rPr>
                <w:rFonts w:ascii="仿宋" w:hAnsi="仿宋" w:eastAsia="仿宋" w:cs="仿宋"/>
                <w:color w:val="auto"/>
                <w:sz w:val="32"/>
                <w:szCs w:val="32"/>
                <w:highlight w:val="none"/>
                <w:lang w:eastAsia="zh-CN"/>
              </w:rPr>
            </w:pPr>
          </w:p>
          <w:p w14:paraId="5EBBE523">
            <w:pPr>
              <w:pStyle w:val="32"/>
              <w:jc w:val="both"/>
              <w:rPr>
                <w:rFonts w:ascii="仿宋" w:hAnsi="仿宋" w:eastAsia="仿宋" w:cs="仿宋"/>
                <w:color w:val="auto"/>
                <w:sz w:val="32"/>
                <w:szCs w:val="32"/>
                <w:highlight w:val="none"/>
                <w:lang w:eastAsia="zh-CN"/>
              </w:rPr>
            </w:pPr>
          </w:p>
          <w:p w14:paraId="62C0B4AB">
            <w:pPr>
              <w:spacing w:line="500" w:lineRule="exact"/>
              <w:jc w:val="both"/>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代理机构：</w:t>
            </w:r>
            <w:r>
              <w:rPr>
                <w:rFonts w:hint="eastAsia" w:ascii="仿宋" w:hAnsi="仿宋" w:eastAsia="仿宋" w:cs="仿宋"/>
                <w:color w:val="auto"/>
                <w:sz w:val="32"/>
                <w:szCs w:val="32"/>
                <w:highlight w:val="none"/>
                <w:lang w:val="en-US" w:eastAsia="zh-CN"/>
              </w:rPr>
              <w:t>阿合奇县新越项目咨询有限责任公司</w:t>
            </w:r>
            <w:r>
              <w:rPr>
                <w:rFonts w:hint="eastAsia" w:ascii="仿宋" w:hAnsi="仿宋" w:eastAsia="仿宋" w:cs="仿宋"/>
                <w:color w:val="auto"/>
                <w:sz w:val="32"/>
                <w:szCs w:val="32"/>
                <w:highlight w:val="none"/>
                <w:lang w:eastAsia="zh-CN"/>
              </w:rPr>
              <w:t>（盖章）</w:t>
            </w:r>
          </w:p>
          <w:p w14:paraId="75E2AD2E">
            <w:pPr>
              <w:pStyle w:val="4"/>
              <w:jc w:val="both"/>
              <w:outlineLvl w:val="2"/>
              <w:rPr>
                <w:rFonts w:ascii="仿宋" w:hAnsi="仿宋" w:eastAsia="仿宋" w:cs="仿宋"/>
                <w:color w:val="auto"/>
                <w:highlight w:val="none"/>
                <w:lang w:eastAsia="zh-CN"/>
              </w:rPr>
            </w:pPr>
          </w:p>
          <w:p w14:paraId="2C953A9D">
            <w:pPr>
              <w:jc w:val="both"/>
              <w:rPr>
                <w:color w:val="auto"/>
                <w:highlight w:val="none"/>
                <w:lang w:eastAsia="zh-CN"/>
              </w:rPr>
            </w:pPr>
          </w:p>
          <w:p w14:paraId="24D1F69D">
            <w:pPr>
              <w:pStyle w:val="4"/>
              <w:jc w:val="center"/>
              <w:outlineLvl w:val="2"/>
              <w:rPr>
                <w:rFonts w:ascii="仿宋" w:hAnsi="仿宋" w:eastAsia="仿宋" w:cs="仿宋"/>
                <w:color w:val="auto"/>
                <w:highlight w:val="none"/>
              </w:rPr>
            </w:pPr>
            <w:r>
              <w:rPr>
                <w:rFonts w:hint="eastAsia" w:ascii="仿宋" w:hAnsi="仿宋" w:eastAsia="仿宋" w:cs="仿宋"/>
                <w:color w:val="auto"/>
                <w:highlight w:val="none"/>
              </w:rPr>
              <w:t>日  期：</w:t>
            </w:r>
            <w:r>
              <w:rPr>
                <w:rFonts w:hint="eastAsia" w:ascii="仿宋" w:hAnsi="仿宋" w:eastAsia="仿宋" w:cs="仿宋"/>
                <w:color w:val="auto"/>
                <w:highlight w:val="none"/>
                <w:lang w:val="en-US" w:eastAsia="zh-CN"/>
              </w:rPr>
              <w:t>2025</w:t>
            </w:r>
            <w:r>
              <w:rPr>
                <w:rFonts w:hint="eastAsia" w:ascii="仿宋" w:hAnsi="仿宋" w:eastAsia="仿宋" w:cs="仿宋"/>
                <w:color w:val="auto"/>
                <w:highlight w:val="none"/>
              </w:rPr>
              <w:t>年</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月</w:t>
            </w:r>
          </w:p>
          <w:p w14:paraId="0F153E59">
            <w:pPr>
              <w:pStyle w:val="4"/>
              <w:jc w:val="both"/>
              <w:outlineLvl w:val="2"/>
              <w:rPr>
                <w:rFonts w:ascii="仿宋" w:hAnsi="仿宋" w:eastAsia="仿宋" w:cs="仿宋"/>
                <w:color w:val="auto"/>
                <w:highlight w:val="none"/>
              </w:rPr>
            </w:pPr>
          </w:p>
        </w:tc>
      </w:tr>
    </w:tbl>
    <w:p w14:paraId="60DF3A4B">
      <w:pPr>
        <w:spacing w:line="240" w:lineRule="exact"/>
        <w:rPr>
          <w:rFonts w:ascii="仿宋" w:hAnsi="仿宋" w:eastAsia="仿宋" w:cs="仿宋"/>
          <w:color w:val="auto"/>
          <w:sz w:val="44"/>
          <w:szCs w:val="44"/>
          <w:highlight w:val="none"/>
          <w:lang w:eastAsia="zh-CN"/>
        </w:rPr>
        <w:sectPr>
          <w:headerReference r:id="rId3" w:type="default"/>
          <w:footerReference r:id="rId4" w:type="default"/>
          <w:pgSz w:w="11906" w:h="16838"/>
          <w:pgMar w:top="1440" w:right="1519" w:bottom="1440" w:left="1519" w:header="851" w:footer="992" w:gutter="0"/>
          <w:pgNumType w:start="1"/>
          <w:cols w:space="720" w:num="1"/>
          <w:docGrid w:type="linesAndChars" w:linePitch="312" w:charSpace="0"/>
        </w:sectPr>
      </w:pPr>
    </w:p>
    <w:p w14:paraId="3D9117DD">
      <w:pPr>
        <w:pStyle w:val="34"/>
        <w:spacing w:before="0" w:line="360" w:lineRule="auto"/>
        <w:jc w:val="both"/>
        <w:rPr>
          <w:rFonts w:ascii="仿宋" w:hAnsi="仿宋" w:eastAsia="仿宋" w:cs="仿宋"/>
          <w:color w:val="auto"/>
          <w:sz w:val="44"/>
          <w:szCs w:val="44"/>
          <w:highlight w:val="none"/>
          <w:lang w:val="zh-CN"/>
        </w:rPr>
      </w:pPr>
    </w:p>
    <w:p w14:paraId="710AF997">
      <w:pPr>
        <w:pStyle w:val="34"/>
        <w:spacing w:before="0" w:line="360" w:lineRule="auto"/>
        <w:jc w:val="center"/>
        <w:rPr>
          <w:rFonts w:ascii="仿宋" w:hAnsi="仿宋" w:eastAsia="仿宋" w:cs="仿宋"/>
          <w:color w:val="auto"/>
          <w:sz w:val="30"/>
          <w:szCs w:val="30"/>
          <w:highlight w:val="none"/>
        </w:rPr>
      </w:pPr>
      <w:r>
        <w:rPr>
          <w:rFonts w:hint="eastAsia" w:ascii="仿宋" w:hAnsi="仿宋" w:eastAsia="仿宋" w:cs="仿宋"/>
          <w:color w:val="auto"/>
          <w:sz w:val="44"/>
          <w:szCs w:val="44"/>
          <w:highlight w:val="none"/>
          <w:lang w:val="zh-CN"/>
        </w:rPr>
        <w:t>目    录</w:t>
      </w:r>
    </w:p>
    <w:p w14:paraId="4E90CFC5">
      <w:pPr>
        <w:widowControl/>
        <w:rPr>
          <w:rFonts w:ascii="仿宋" w:hAnsi="仿宋" w:eastAsia="仿宋" w:cs="仿宋"/>
          <w:color w:val="auto"/>
          <w:sz w:val="30"/>
          <w:szCs w:val="30"/>
          <w:highlight w:val="none"/>
        </w:rPr>
      </w:pPr>
    </w:p>
    <w:p w14:paraId="6C8E7D0E">
      <w:pPr>
        <w:numPr>
          <w:ilvl w:val="0"/>
          <w:numId w:val="2"/>
        </w:numPr>
        <w:spacing w:line="600" w:lineRule="auto"/>
        <w:jc w:val="both"/>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招标公告</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eastAsia="zh-CN"/>
        </w:rPr>
        <w:t>1</w:t>
      </w:r>
    </w:p>
    <w:p w14:paraId="0B1858A1">
      <w:pPr>
        <w:numPr>
          <w:ilvl w:val="0"/>
          <w:numId w:val="2"/>
        </w:numPr>
        <w:spacing w:line="600" w:lineRule="auto"/>
        <w:jc w:val="both"/>
        <w:rPr>
          <w:rFonts w:ascii="Arial" w:hAnsi="Arial" w:eastAsia="仿宋" w:cs="Arial"/>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供应商须知</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4</w:t>
      </w:r>
    </w:p>
    <w:p w14:paraId="7589BBDF">
      <w:pPr>
        <w:numPr>
          <w:ilvl w:val="0"/>
          <w:numId w:val="2"/>
        </w:numPr>
        <w:spacing w:line="600" w:lineRule="auto"/>
        <w:jc w:val="both"/>
        <w:rPr>
          <w:rFonts w:ascii="Arial" w:hAnsi="Arial" w:eastAsia="仿宋" w:cs="Arial"/>
          <w:b/>
          <w:color w:val="auto"/>
          <w:sz w:val="30"/>
          <w:szCs w:val="30"/>
          <w:highlight w:val="none"/>
          <w:lang w:eastAsia="zh-CN"/>
        </w:rPr>
      </w:pPr>
      <w:r>
        <w:rPr>
          <w:rFonts w:hint="eastAsia" w:ascii="仿宋" w:hAnsi="仿宋" w:eastAsia="仿宋" w:cs="仿宋"/>
          <w:b/>
          <w:color w:val="auto"/>
          <w:sz w:val="30"/>
          <w:szCs w:val="30"/>
          <w:highlight w:val="none"/>
          <w:lang w:eastAsia="zh-CN"/>
        </w:rPr>
        <w:t xml:space="preserve">     评标办法</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38</w:t>
      </w:r>
    </w:p>
    <w:p w14:paraId="5D30E3C3">
      <w:pPr>
        <w:numPr>
          <w:ilvl w:val="0"/>
          <w:numId w:val="2"/>
        </w:numPr>
        <w:spacing w:line="600" w:lineRule="auto"/>
        <w:jc w:val="both"/>
        <w:rPr>
          <w:rFonts w:hint="default" w:ascii="Arial" w:hAnsi="Arial" w:eastAsia="仿宋" w:cs="Arial"/>
          <w:b/>
          <w:color w:val="auto"/>
          <w:sz w:val="30"/>
          <w:szCs w:val="30"/>
          <w:highlight w:val="none"/>
          <w:lang w:val="en-US" w:eastAsia="zh-CN"/>
        </w:rPr>
      </w:pPr>
      <w:r>
        <w:rPr>
          <w:rFonts w:hint="eastAsia" w:ascii="仿宋" w:hAnsi="仿宋" w:eastAsia="仿宋" w:cs="仿宋"/>
          <w:b/>
          <w:color w:val="auto"/>
          <w:sz w:val="30"/>
          <w:szCs w:val="30"/>
          <w:highlight w:val="none"/>
          <w:lang w:eastAsia="zh-CN"/>
        </w:rPr>
        <w:t xml:space="preserve">     技术规格、数量及质量要求</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46</w:t>
      </w:r>
    </w:p>
    <w:p w14:paraId="6F368162">
      <w:pPr>
        <w:spacing w:line="600" w:lineRule="auto"/>
        <w:jc w:val="both"/>
        <w:rPr>
          <w:rFonts w:hint="default" w:ascii="仿宋" w:hAnsi="仿宋" w:eastAsia="仿宋" w:cs="仿宋"/>
          <w:color w:val="auto"/>
          <w:highlight w:val="none"/>
          <w:lang w:val="en-US" w:eastAsia="zh-CN"/>
        </w:rPr>
      </w:pPr>
      <w:r>
        <w:rPr>
          <w:rFonts w:hint="eastAsia" w:ascii="仿宋" w:hAnsi="仿宋" w:eastAsia="仿宋" w:cs="仿宋"/>
          <w:b/>
          <w:color w:val="auto"/>
          <w:sz w:val="30"/>
          <w:szCs w:val="30"/>
          <w:highlight w:val="none"/>
          <w:lang w:eastAsia="zh-CN"/>
        </w:rPr>
        <w:t>第五部分      合同条款及格式</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80</w:t>
      </w:r>
    </w:p>
    <w:p w14:paraId="6B4E2F14">
      <w:pPr>
        <w:spacing w:line="600" w:lineRule="auto"/>
        <w:jc w:val="both"/>
        <w:rPr>
          <w:rFonts w:hint="default" w:ascii="仿宋" w:hAnsi="仿宋" w:eastAsia="仿宋" w:cs="仿宋"/>
          <w:color w:val="auto"/>
          <w:highlight w:val="none"/>
          <w:lang w:val="en-US" w:eastAsia="zh-CN"/>
        </w:rPr>
      </w:pPr>
      <w:r>
        <w:rPr>
          <w:rFonts w:hint="eastAsia" w:ascii="仿宋" w:hAnsi="仿宋" w:eastAsia="仿宋" w:cs="仿宋"/>
          <w:b/>
          <w:color w:val="auto"/>
          <w:sz w:val="30"/>
          <w:szCs w:val="30"/>
          <w:highlight w:val="none"/>
          <w:lang w:eastAsia="zh-CN"/>
        </w:rPr>
        <w:t>第六部分      投标文件格式</w:t>
      </w:r>
      <w:r>
        <w:rPr>
          <w:rFonts w:ascii="Arial" w:hAnsi="Arial" w:eastAsia="仿宋" w:cs="Arial"/>
          <w:b/>
          <w:color w:val="auto"/>
          <w:sz w:val="30"/>
          <w:szCs w:val="30"/>
          <w:highlight w:val="none"/>
          <w:lang w:eastAsia="zh-CN"/>
        </w:rPr>
        <w:t>……………………………………</w:t>
      </w:r>
      <w:r>
        <w:rPr>
          <w:rFonts w:hint="eastAsia" w:ascii="仿宋" w:hAnsi="仿宋" w:eastAsia="仿宋" w:cs="仿宋"/>
          <w:b/>
          <w:color w:val="auto"/>
          <w:sz w:val="30"/>
          <w:szCs w:val="30"/>
          <w:highlight w:val="none"/>
          <w:lang w:val="en-US" w:eastAsia="zh-CN"/>
        </w:rPr>
        <w:t>86</w:t>
      </w:r>
    </w:p>
    <w:p w14:paraId="74868B34">
      <w:pPr>
        <w:pStyle w:val="7"/>
        <w:numPr>
          <w:ilvl w:val="0"/>
          <w:numId w:val="0"/>
        </w:numPr>
        <w:spacing w:line="480" w:lineRule="auto"/>
        <w:rPr>
          <w:rFonts w:ascii="仿宋" w:hAnsi="仿宋" w:eastAsia="仿宋" w:cs="仿宋"/>
          <w:color w:val="auto"/>
          <w:highlight w:val="none"/>
          <w:lang w:eastAsia="zh-CN"/>
        </w:rPr>
      </w:pPr>
    </w:p>
    <w:p w14:paraId="0A7226F6">
      <w:pPr>
        <w:spacing w:line="480" w:lineRule="auto"/>
        <w:rPr>
          <w:rFonts w:ascii="仿宋" w:hAnsi="仿宋" w:eastAsia="仿宋" w:cs="仿宋"/>
          <w:color w:val="auto"/>
          <w:highlight w:val="none"/>
          <w:lang w:eastAsia="zh-CN"/>
        </w:rPr>
      </w:pPr>
    </w:p>
    <w:p w14:paraId="14BF7532">
      <w:pPr>
        <w:pStyle w:val="4"/>
        <w:rPr>
          <w:rFonts w:ascii="仿宋" w:hAnsi="仿宋" w:eastAsia="仿宋" w:cs="仿宋"/>
          <w:color w:val="auto"/>
          <w:highlight w:val="none"/>
          <w:lang w:eastAsia="zh-CN"/>
        </w:rPr>
      </w:pPr>
    </w:p>
    <w:p w14:paraId="4DDE63C7">
      <w:pPr>
        <w:rPr>
          <w:rFonts w:ascii="仿宋" w:hAnsi="仿宋" w:eastAsia="仿宋" w:cs="仿宋"/>
          <w:color w:val="auto"/>
          <w:highlight w:val="none"/>
          <w:lang w:eastAsia="zh-CN"/>
        </w:rPr>
      </w:pPr>
    </w:p>
    <w:p w14:paraId="3D353D87">
      <w:pPr>
        <w:pStyle w:val="4"/>
        <w:rPr>
          <w:rFonts w:ascii="仿宋" w:hAnsi="仿宋" w:eastAsia="仿宋" w:cs="仿宋"/>
          <w:color w:val="auto"/>
          <w:highlight w:val="none"/>
          <w:lang w:eastAsia="zh-CN"/>
        </w:rPr>
      </w:pPr>
    </w:p>
    <w:p w14:paraId="65E747F4">
      <w:pPr>
        <w:rPr>
          <w:rFonts w:ascii="仿宋" w:hAnsi="仿宋" w:eastAsia="仿宋" w:cs="仿宋"/>
          <w:color w:val="auto"/>
          <w:highlight w:val="none"/>
          <w:lang w:eastAsia="zh-CN"/>
        </w:rPr>
      </w:pPr>
    </w:p>
    <w:p w14:paraId="05DD92B0">
      <w:pPr>
        <w:pStyle w:val="4"/>
        <w:rPr>
          <w:rFonts w:ascii="仿宋" w:hAnsi="仿宋" w:eastAsia="仿宋" w:cs="仿宋"/>
          <w:color w:val="auto"/>
          <w:highlight w:val="none"/>
          <w:lang w:eastAsia="zh-CN"/>
        </w:rPr>
      </w:pPr>
    </w:p>
    <w:p w14:paraId="76FDC646">
      <w:pPr>
        <w:rPr>
          <w:rFonts w:ascii="仿宋" w:hAnsi="仿宋" w:eastAsia="仿宋" w:cs="仿宋"/>
          <w:color w:val="auto"/>
          <w:highlight w:val="none"/>
          <w:lang w:eastAsia="zh-CN"/>
        </w:rPr>
      </w:pPr>
    </w:p>
    <w:p w14:paraId="64BD947E">
      <w:pPr>
        <w:pStyle w:val="4"/>
        <w:rPr>
          <w:rFonts w:ascii="仿宋" w:hAnsi="仿宋" w:eastAsia="仿宋" w:cs="仿宋"/>
          <w:color w:val="auto"/>
          <w:highlight w:val="none"/>
          <w:lang w:eastAsia="zh-CN"/>
        </w:rPr>
      </w:pPr>
    </w:p>
    <w:p w14:paraId="2EF95B11">
      <w:pPr>
        <w:pStyle w:val="35"/>
        <w:keepNext/>
        <w:keepLines/>
        <w:spacing w:before="120" w:after="300"/>
        <w:jc w:val="both"/>
        <w:rPr>
          <w:rFonts w:ascii="仿宋" w:hAnsi="仿宋" w:eastAsia="仿宋" w:cs="仿宋"/>
          <w:b/>
          <w:bCs/>
          <w:color w:val="auto"/>
          <w:highlight w:val="none"/>
        </w:rPr>
        <w:sectPr>
          <w:footerReference r:id="rId5" w:type="default"/>
          <w:pgSz w:w="11906" w:h="16838"/>
          <w:pgMar w:top="1440" w:right="1080" w:bottom="1440" w:left="1080" w:header="851" w:footer="992" w:gutter="0"/>
          <w:pgNumType w:start="1"/>
          <w:cols w:space="720" w:num="1"/>
          <w:docGrid w:type="linesAndChars" w:linePitch="312" w:charSpace="0"/>
        </w:sectPr>
      </w:pPr>
    </w:p>
    <w:p w14:paraId="74179974">
      <w:pPr>
        <w:pStyle w:val="35"/>
        <w:keepNext/>
        <w:keepLines/>
        <w:pageBreakBefore w:val="0"/>
        <w:kinsoku/>
        <w:wordWrap/>
        <w:overflowPunct/>
        <w:topLinePunct w:val="0"/>
        <w:autoSpaceDE/>
        <w:autoSpaceDN/>
        <w:bidi w:val="0"/>
        <w:adjustRightInd/>
        <w:snapToGrid/>
        <w:spacing w:before="120" w:after="300" w:line="400" w:lineRule="exact"/>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rPr>
        <w:t>第一部分</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lang w:eastAsia="zh-CN"/>
        </w:rPr>
        <w:t>招标公告</w:t>
      </w:r>
    </w:p>
    <w:p w14:paraId="67940E4D">
      <w:pPr>
        <w:pStyle w:val="2"/>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bCs/>
          <w:i w:val="0"/>
          <w:iCs w:val="0"/>
          <w:caps w:val="0"/>
          <w:color w:val="auto"/>
          <w:spacing w:val="0"/>
          <w:kern w:val="0"/>
          <w:sz w:val="32"/>
          <w:szCs w:val="32"/>
          <w:lang w:val="en-US" w:eastAsia="zh-CN" w:bidi="ar"/>
        </w:rPr>
      </w:pPr>
      <w:r>
        <w:rPr>
          <w:rFonts w:hint="eastAsia" w:ascii="仿宋" w:hAnsi="仿宋" w:eastAsia="仿宋" w:cs="仿宋"/>
          <w:b/>
          <w:bCs/>
          <w:i w:val="0"/>
          <w:iCs w:val="0"/>
          <w:caps w:val="0"/>
          <w:color w:val="auto"/>
          <w:spacing w:val="0"/>
          <w:kern w:val="0"/>
          <w:sz w:val="32"/>
          <w:szCs w:val="32"/>
          <w:lang w:val="en-US" w:eastAsia="zh-CN" w:bidi="ar"/>
        </w:rPr>
        <w:t>2025年中央医疗服务与保障能力提升（医疗卫生机构能力建设）补助资金项目公开招标公告</w:t>
      </w:r>
    </w:p>
    <w:p w14:paraId="201ECD6F">
      <w:pPr>
        <w:rPr>
          <w:rFonts w:hint="eastAsia"/>
          <w:color w:val="auto"/>
          <w:lang w:val="en-US" w:eastAsia="zh-CN"/>
        </w:rPr>
      </w:pPr>
    </w:p>
    <w:p w14:paraId="44F78D40">
      <w:pPr>
        <w:rPr>
          <w:rFonts w:hint="eastAsia"/>
          <w:color w:val="auto"/>
          <w:lang w:val="en-US" w:eastAsia="zh-CN"/>
        </w:rPr>
      </w:pPr>
    </w:p>
    <w:tbl>
      <w:tblPr>
        <w:tblStyle w:val="23"/>
        <w:tblW w:w="9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46"/>
      </w:tblGrid>
      <w:tr w14:paraId="6FE7A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878" w:hRule="atLeast"/>
        </w:trPr>
        <w:tc>
          <w:tcPr>
            <w:tcW w:w="9946" w:type="dxa"/>
            <w:noWrap w:val="0"/>
            <w:vAlign w:val="top"/>
          </w:tcPr>
          <w:p w14:paraId="0C18487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right="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项目概况</w:t>
            </w:r>
          </w:p>
          <w:p w14:paraId="3FD92EE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00" w:lineRule="exact"/>
              <w:ind w:left="0" w:right="0" w:firstLine="486" w:firstLineChars="200"/>
              <w:jc w:val="both"/>
              <w:textAlignment w:val="auto"/>
              <w:rPr>
                <w:b w:val="0"/>
                <w:bCs w:val="0"/>
                <w:color w:val="auto"/>
                <w:sz w:val="36"/>
                <w:szCs w:val="36"/>
                <w:vertAlign w:val="baseline"/>
              </w:rPr>
            </w:pPr>
            <w:r>
              <w:rPr>
                <w:rFonts w:hint="eastAsia" w:ascii="仿宋" w:hAnsi="仿宋" w:eastAsia="仿宋" w:cs="仿宋"/>
                <w:i w:val="0"/>
                <w:iCs w:val="0"/>
                <w:caps w:val="0"/>
                <w:color w:val="auto"/>
                <w:spacing w:val="0"/>
                <w:sz w:val="24"/>
                <w:szCs w:val="24"/>
                <w:lang w:val="en-US" w:eastAsia="zh-CN"/>
              </w:rPr>
              <w:t>2025年中央医疗服务与保障能力提升（医疗卫生机构能力建设）补助资金项目</w:t>
            </w:r>
            <w:r>
              <w:rPr>
                <w:rFonts w:hint="eastAsia" w:ascii="仿宋" w:hAnsi="仿宋" w:eastAsia="仿宋" w:cs="仿宋"/>
                <w:i w:val="0"/>
                <w:iCs w:val="0"/>
                <w:caps w:val="0"/>
                <w:color w:val="auto"/>
                <w:spacing w:val="0"/>
                <w:sz w:val="24"/>
                <w:szCs w:val="24"/>
              </w:rPr>
              <w:t>招标项目的潜在投标人应在政采云平台线上获取招标文件</w:t>
            </w:r>
            <w:r>
              <w:rPr>
                <w:rFonts w:hint="eastAsia" w:ascii="仿宋" w:hAnsi="仿宋" w:eastAsia="仿宋" w:cs="仿宋"/>
                <w:i w:val="0"/>
                <w:iCs w:val="0"/>
                <w:caps w:val="0"/>
                <w:color w:val="auto"/>
                <w:spacing w:val="0"/>
                <w:sz w:val="24"/>
                <w:szCs w:val="24"/>
                <w:lang w:eastAsia="zh-CN"/>
              </w:rPr>
              <w:t>，</w:t>
            </w:r>
            <w:r>
              <w:rPr>
                <w:rFonts w:hint="eastAsia" w:ascii="仿宋" w:hAnsi="仿宋" w:eastAsia="仿宋" w:cs="仿宋"/>
                <w:b w:val="0"/>
                <w:bCs w:val="0"/>
                <w:i w:val="0"/>
                <w:iCs w:val="0"/>
                <w:caps w:val="0"/>
                <w:color w:val="auto"/>
                <w:spacing w:val="0"/>
                <w:sz w:val="24"/>
                <w:szCs w:val="24"/>
              </w:rPr>
              <w:t>并于</w:t>
            </w:r>
            <w:r>
              <w:rPr>
                <w:rFonts w:hint="eastAsia" w:ascii="仿宋" w:hAnsi="仿宋" w:eastAsia="仿宋" w:cs="仿宋"/>
                <w:b w:val="0"/>
                <w:bCs w:val="0"/>
                <w:i w:val="0"/>
                <w:iCs w:val="0"/>
                <w:caps w:val="0"/>
                <w:color w:val="auto"/>
                <w:spacing w:val="0"/>
                <w:sz w:val="24"/>
                <w:szCs w:val="24"/>
                <w:u w:val="single"/>
              </w:rPr>
              <w:t>202</w:t>
            </w:r>
            <w:r>
              <w:rPr>
                <w:rFonts w:hint="eastAsia" w:ascii="仿宋" w:hAnsi="仿宋" w:eastAsia="仿宋" w:cs="仿宋"/>
                <w:b w:val="0"/>
                <w:bCs w:val="0"/>
                <w:i w:val="0"/>
                <w:iCs w:val="0"/>
                <w:caps w:val="0"/>
                <w:color w:val="auto"/>
                <w:spacing w:val="0"/>
                <w:sz w:val="24"/>
                <w:szCs w:val="24"/>
                <w:u w:val="single"/>
                <w:lang w:val="en-US" w:eastAsia="zh-CN"/>
              </w:rPr>
              <w:t>5</w:t>
            </w:r>
            <w:r>
              <w:rPr>
                <w:rFonts w:hint="eastAsia" w:ascii="仿宋" w:hAnsi="仿宋" w:eastAsia="仿宋" w:cs="仿宋"/>
                <w:b w:val="0"/>
                <w:bCs w:val="0"/>
                <w:i w:val="0"/>
                <w:iCs w:val="0"/>
                <w:caps w:val="0"/>
                <w:color w:val="auto"/>
                <w:spacing w:val="0"/>
                <w:sz w:val="24"/>
                <w:szCs w:val="24"/>
                <w:u w:val="single"/>
              </w:rPr>
              <w:t>年</w:t>
            </w:r>
            <w:r>
              <w:rPr>
                <w:rFonts w:hint="eastAsia" w:ascii="仿宋" w:hAnsi="仿宋" w:eastAsia="仿宋" w:cs="仿宋"/>
                <w:b w:val="0"/>
                <w:bCs w:val="0"/>
                <w:i w:val="0"/>
                <w:iCs w:val="0"/>
                <w:caps w:val="0"/>
                <w:color w:val="auto"/>
                <w:spacing w:val="0"/>
                <w:sz w:val="24"/>
                <w:szCs w:val="24"/>
                <w:u w:val="single"/>
                <w:lang w:val="en-US" w:eastAsia="zh-CN"/>
              </w:rPr>
              <w:t xml:space="preserve">4 </w:t>
            </w:r>
            <w:r>
              <w:rPr>
                <w:rFonts w:hint="eastAsia" w:ascii="仿宋" w:hAnsi="仿宋" w:eastAsia="仿宋" w:cs="仿宋"/>
                <w:b w:val="0"/>
                <w:bCs w:val="0"/>
                <w:i w:val="0"/>
                <w:iCs w:val="0"/>
                <w:caps w:val="0"/>
                <w:color w:val="auto"/>
                <w:spacing w:val="0"/>
                <w:sz w:val="24"/>
                <w:szCs w:val="24"/>
                <w:u w:val="single"/>
              </w:rPr>
              <w:t>月</w:t>
            </w:r>
            <w:r>
              <w:rPr>
                <w:rFonts w:hint="eastAsia" w:ascii="仿宋" w:hAnsi="仿宋" w:eastAsia="仿宋" w:cs="仿宋"/>
                <w:b w:val="0"/>
                <w:bCs w:val="0"/>
                <w:i w:val="0"/>
                <w:iCs w:val="0"/>
                <w:caps w:val="0"/>
                <w:color w:val="auto"/>
                <w:spacing w:val="0"/>
                <w:sz w:val="24"/>
                <w:szCs w:val="24"/>
                <w:u w:val="single"/>
                <w:lang w:val="en-US" w:eastAsia="zh-CN"/>
              </w:rPr>
              <w:t xml:space="preserve">24 </w:t>
            </w:r>
            <w:r>
              <w:rPr>
                <w:rFonts w:hint="eastAsia" w:ascii="仿宋" w:hAnsi="仿宋" w:eastAsia="仿宋" w:cs="仿宋"/>
                <w:b w:val="0"/>
                <w:bCs w:val="0"/>
                <w:i w:val="0"/>
                <w:iCs w:val="0"/>
                <w:caps w:val="0"/>
                <w:color w:val="auto"/>
                <w:spacing w:val="0"/>
                <w:sz w:val="24"/>
                <w:szCs w:val="24"/>
                <w:u w:val="single"/>
              </w:rPr>
              <w:t>日</w:t>
            </w:r>
            <w:r>
              <w:rPr>
                <w:rFonts w:hint="eastAsia" w:ascii="仿宋" w:hAnsi="仿宋" w:eastAsia="仿宋" w:cs="仿宋"/>
                <w:b w:val="0"/>
                <w:bCs w:val="0"/>
                <w:i w:val="0"/>
                <w:iCs w:val="0"/>
                <w:caps w:val="0"/>
                <w:color w:val="auto"/>
                <w:spacing w:val="0"/>
                <w:sz w:val="24"/>
                <w:szCs w:val="24"/>
                <w:u w:val="single"/>
                <w:lang w:val="en-US" w:eastAsia="zh-CN"/>
              </w:rPr>
              <w:t>10</w:t>
            </w:r>
            <w:r>
              <w:rPr>
                <w:rFonts w:hint="eastAsia" w:ascii="仿宋" w:hAnsi="仿宋" w:eastAsia="仿宋" w:cs="仿宋"/>
                <w:b w:val="0"/>
                <w:bCs w:val="0"/>
                <w:i w:val="0"/>
                <w:iCs w:val="0"/>
                <w:caps w:val="0"/>
                <w:color w:val="auto"/>
                <w:spacing w:val="0"/>
                <w:sz w:val="24"/>
                <w:szCs w:val="24"/>
                <w:u w:val="single"/>
              </w:rPr>
              <w:t>:</w:t>
            </w:r>
            <w:r>
              <w:rPr>
                <w:rFonts w:hint="eastAsia" w:ascii="仿宋" w:hAnsi="仿宋" w:eastAsia="仿宋" w:cs="仿宋"/>
                <w:b w:val="0"/>
                <w:bCs w:val="0"/>
                <w:i w:val="0"/>
                <w:iCs w:val="0"/>
                <w:caps w:val="0"/>
                <w:color w:val="auto"/>
                <w:spacing w:val="0"/>
                <w:sz w:val="24"/>
                <w:szCs w:val="24"/>
                <w:u w:val="single"/>
                <w:lang w:val="en-US" w:eastAsia="zh-CN"/>
              </w:rPr>
              <w:t>3</w:t>
            </w:r>
            <w:r>
              <w:rPr>
                <w:rFonts w:hint="eastAsia" w:ascii="仿宋" w:hAnsi="仿宋" w:eastAsia="仿宋" w:cs="仿宋"/>
                <w:b w:val="0"/>
                <w:bCs w:val="0"/>
                <w:i w:val="0"/>
                <w:iCs w:val="0"/>
                <w:caps w:val="0"/>
                <w:color w:val="auto"/>
                <w:spacing w:val="0"/>
                <w:sz w:val="24"/>
                <w:szCs w:val="24"/>
                <w:u w:val="single"/>
              </w:rPr>
              <w:t>0</w:t>
            </w:r>
            <w:r>
              <w:rPr>
                <w:rFonts w:hint="eastAsia" w:ascii="仿宋" w:hAnsi="仿宋" w:eastAsia="仿宋" w:cs="仿宋"/>
                <w:b w:val="0"/>
                <w:bCs w:val="0"/>
                <w:i w:val="0"/>
                <w:iCs w:val="0"/>
                <w:caps w:val="0"/>
                <w:color w:val="auto"/>
                <w:spacing w:val="0"/>
                <w:sz w:val="24"/>
                <w:szCs w:val="24"/>
              </w:rPr>
              <w:t>（北京时间）前递交投标文件。</w:t>
            </w:r>
          </w:p>
        </w:tc>
      </w:tr>
    </w:tbl>
    <w:p w14:paraId="4099333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一、项目基本情况</w:t>
      </w:r>
    </w:p>
    <w:p w14:paraId="217C094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default"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项目编号：</w:t>
      </w:r>
      <w:r>
        <w:rPr>
          <w:rFonts w:hint="eastAsia" w:ascii="仿宋" w:hAnsi="仿宋" w:eastAsia="仿宋" w:cs="仿宋"/>
          <w:b w:val="0"/>
          <w:bCs w:val="0"/>
          <w:i w:val="0"/>
          <w:iCs w:val="0"/>
          <w:caps w:val="0"/>
          <w:color w:val="auto"/>
          <w:spacing w:val="0"/>
          <w:sz w:val="24"/>
          <w:szCs w:val="24"/>
        </w:rPr>
        <w:t>AHQXZB</w:t>
      </w:r>
      <w:r>
        <w:rPr>
          <w:rFonts w:hint="eastAsia" w:ascii="仿宋" w:hAnsi="仿宋" w:eastAsia="仿宋" w:cs="仿宋"/>
          <w:b w:val="0"/>
          <w:bCs w:val="0"/>
          <w:i w:val="0"/>
          <w:iCs w:val="0"/>
          <w:caps w:val="0"/>
          <w:color w:val="auto"/>
          <w:spacing w:val="0"/>
          <w:sz w:val="24"/>
          <w:szCs w:val="24"/>
          <w:lang w:val="en-US" w:eastAsia="zh-CN"/>
        </w:rPr>
        <w:t>-2025006</w:t>
      </w:r>
    </w:p>
    <w:p w14:paraId="5DBB0D3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1200" w:right="0" w:hanging="1215" w:hangingChars="500"/>
        <w:jc w:val="left"/>
        <w:textAlignment w:val="auto"/>
        <w:rPr>
          <w:rFonts w:hint="eastAsia" w:ascii="仿宋" w:hAnsi="仿宋" w:eastAsia="仿宋" w:cs="仿宋"/>
          <w:b w:val="0"/>
          <w:bCs w:val="0"/>
          <w:i w:val="0"/>
          <w:iCs w:val="0"/>
          <w:caps w:val="0"/>
          <w:color w:val="auto"/>
          <w:spacing w:val="0"/>
          <w:w w:val="90"/>
          <w:sz w:val="24"/>
          <w:szCs w:val="24"/>
          <w:lang w:val="en-US" w:eastAsia="zh-CN"/>
        </w:rPr>
      </w:pPr>
      <w:r>
        <w:rPr>
          <w:rFonts w:hint="eastAsia" w:ascii="仿宋" w:hAnsi="仿宋" w:eastAsia="仿宋" w:cs="仿宋"/>
          <w:b w:val="0"/>
          <w:bCs w:val="0"/>
          <w:i w:val="0"/>
          <w:iCs w:val="0"/>
          <w:caps w:val="0"/>
          <w:color w:val="auto"/>
          <w:spacing w:val="0"/>
          <w:sz w:val="24"/>
          <w:szCs w:val="24"/>
        </w:rPr>
        <w:t>项目名称：</w:t>
      </w:r>
      <w:r>
        <w:rPr>
          <w:rFonts w:hint="eastAsia" w:ascii="仿宋" w:hAnsi="仿宋" w:eastAsia="仿宋" w:cs="仿宋"/>
          <w:b w:val="0"/>
          <w:bCs w:val="0"/>
          <w:i w:val="0"/>
          <w:iCs w:val="0"/>
          <w:caps w:val="0"/>
          <w:color w:val="auto"/>
          <w:spacing w:val="0"/>
          <w:w w:val="90"/>
          <w:sz w:val="24"/>
          <w:szCs w:val="24"/>
          <w:lang w:val="en-US" w:eastAsia="zh-CN"/>
        </w:rPr>
        <w:t>2025年中央医疗服务与保障能力提升（医疗卫生机构能力建设）补助资金项目</w:t>
      </w:r>
    </w:p>
    <w:p w14:paraId="5DFD84E3">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采购方式：公开招标</w:t>
      </w:r>
    </w:p>
    <w:p w14:paraId="4E9E687E">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default"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预算金额（元）：</w:t>
      </w:r>
      <w:r>
        <w:rPr>
          <w:rFonts w:hint="eastAsia" w:ascii="仿宋" w:hAnsi="仿宋" w:eastAsia="仿宋" w:cs="仿宋"/>
          <w:b w:val="0"/>
          <w:bCs w:val="0"/>
          <w:i w:val="0"/>
          <w:iCs w:val="0"/>
          <w:caps w:val="0"/>
          <w:color w:val="auto"/>
          <w:spacing w:val="0"/>
          <w:sz w:val="24"/>
          <w:szCs w:val="24"/>
          <w:lang w:val="en-US" w:eastAsia="zh-CN"/>
        </w:rPr>
        <w:t>1200000.00</w:t>
      </w:r>
    </w:p>
    <w:p w14:paraId="6F0301EA">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default"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rPr>
        <w:t>最高限价（元）：</w:t>
      </w:r>
      <w:r>
        <w:rPr>
          <w:rFonts w:hint="eastAsia" w:ascii="仿宋" w:hAnsi="仿宋" w:eastAsia="仿宋" w:cs="仿宋"/>
          <w:b w:val="0"/>
          <w:bCs w:val="0"/>
          <w:i w:val="0"/>
          <w:iCs w:val="0"/>
          <w:caps w:val="0"/>
          <w:color w:val="auto"/>
          <w:spacing w:val="0"/>
          <w:sz w:val="24"/>
          <w:szCs w:val="24"/>
          <w:lang w:val="en-US" w:eastAsia="zh-CN"/>
        </w:rPr>
        <w:t>1200000.00</w:t>
      </w:r>
    </w:p>
    <w:p w14:paraId="2046E72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采购需求：</w:t>
      </w:r>
    </w:p>
    <w:p w14:paraId="0F86A19F">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标项名称:</w:t>
      </w:r>
      <w:r>
        <w:rPr>
          <w:rFonts w:hint="eastAsia" w:ascii="仿宋" w:hAnsi="仿宋" w:eastAsia="仿宋" w:cs="仿宋"/>
          <w:b w:val="0"/>
          <w:bCs w:val="0"/>
          <w:i w:val="0"/>
          <w:iCs w:val="0"/>
          <w:caps w:val="0"/>
          <w:color w:val="auto"/>
          <w:spacing w:val="0"/>
          <w:w w:val="90"/>
          <w:sz w:val="24"/>
          <w:szCs w:val="24"/>
          <w:lang w:val="en-US" w:eastAsia="zh-CN"/>
        </w:rPr>
        <w:t xml:space="preserve">2025年中央医疗服务与保障能力提升（医疗卫生机构能力建设）补助资金项目        </w:t>
      </w:r>
      <w:r>
        <w:rPr>
          <w:rFonts w:hint="eastAsia" w:ascii="仿宋" w:hAnsi="仿宋" w:eastAsia="仿宋" w:cs="仿宋"/>
          <w:b w:val="0"/>
          <w:bCs w:val="0"/>
          <w:i w:val="0"/>
          <w:iCs w:val="0"/>
          <w:caps w:val="0"/>
          <w:color w:val="auto"/>
          <w:spacing w:val="0"/>
          <w:sz w:val="24"/>
          <w:szCs w:val="24"/>
          <w:lang w:val="en-US" w:eastAsia="zh-CN"/>
        </w:rPr>
        <w:t xml:space="preserve">                 </w:t>
      </w:r>
    </w:p>
    <w:p w14:paraId="2634289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数量:</w:t>
      </w:r>
      <w:r>
        <w:rPr>
          <w:rFonts w:hint="eastAsia" w:ascii="仿宋" w:hAnsi="仿宋" w:eastAsia="仿宋" w:cs="仿宋"/>
          <w:b w:val="0"/>
          <w:bCs w:val="0"/>
          <w:i w:val="0"/>
          <w:iCs w:val="0"/>
          <w:caps w:val="0"/>
          <w:color w:val="auto"/>
          <w:spacing w:val="0"/>
          <w:sz w:val="24"/>
          <w:szCs w:val="24"/>
          <w:lang w:val="en-US" w:eastAsia="zh-CN"/>
        </w:rPr>
        <w:t>1批</w:t>
      </w:r>
    </w:p>
    <w:p w14:paraId="16E05EB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预算金额（元）：</w:t>
      </w:r>
      <w:r>
        <w:rPr>
          <w:rFonts w:hint="eastAsia" w:ascii="仿宋" w:hAnsi="仿宋" w:eastAsia="仿宋" w:cs="仿宋"/>
          <w:b w:val="0"/>
          <w:bCs w:val="0"/>
          <w:i w:val="0"/>
          <w:iCs w:val="0"/>
          <w:caps w:val="0"/>
          <w:color w:val="auto"/>
          <w:spacing w:val="0"/>
          <w:sz w:val="24"/>
          <w:szCs w:val="24"/>
          <w:lang w:val="en-US" w:eastAsia="zh-CN"/>
        </w:rPr>
        <w:t>1200000.00</w:t>
      </w:r>
    </w:p>
    <w:p w14:paraId="762ECB0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b w:val="0"/>
          <w:bCs w:val="0"/>
          <w:i w:val="0"/>
          <w:iCs w:val="0"/>
          <w:caps w:val="0"/>
          <w:color w:val="auto"/>
          <w:spacing w:val="0"/>
          <w:sz w:val="24"/>
          <w:szCs w:val="24"/>
          <w:lang w:eastAsia="zh-CN"/>
        </w:rPr>
        <w:t>简要规格描述或项目基本概况介绍、用途：</w:t>
      </w:r>
      <w:r>
        <w:rPr>
          <w:rFonts w:hint="eastAsia" w:ascii="仿宋" w:hAnsi="仿宋" w:eastAsia="仿宋" w:cs="仿宋"/>
          <w:b w:val="0"/>
          <w:bCs w:val="0"/>
          <w:i w:val="0"/>
          <w:iCs w:val="0"/>
          <w:caps w:val="0"/>
          <w:color w:val="auto"/>
          <w:spacing w:val="0"/>
          <w:sz w:val="24"/>
          <w:szCs w:val="24"/>
          <w:lang w:val="en-US" w:eastAsia="zh-CN"/>
        </w:rPr>
        <w:t>医疗设备1批</w:t>
      </w:r>
      <w:r>
        <w:rPr>
          <w:rFonts w:hint="eastAsia" w:ascii="仿宋" w:hAnsi="仿宋" w:eastAsia="仿宋" w:cs="仿宋"/>
          <w:b w:val="0"/>
          <w:bCs w:val="0"/>
          <w:i w:val="0"/>
          <w:iCs w:val="0"/>
          <w:caps w:val="0"/>
          <w:color w:val="auto"/>
          <w:spacing w:val="0"/>
          <w:sz w:val="24"/>
          <w:szCs w:val="24"/>
          <w:lang w:eastAsia="zh-CN"/>
        </w:rPr>
        <w:t>（数量及参数详见附表）</w:t>
      </w:r>
      <w:r>
        <w:rPr>
          <w:rFonts w:hint="eastAsia" w:ascii="仿宋" w:hAnsi="仿宋" w:eastAsia="仿宋" w:cs="仿宋"/>
          <w:b w:val="0"/>
          <w:bCs w:val="0"/>
          <w:i w:val="0"/>
          <w:iCs w:val="0"/>
          <w:caps w:val="0"/>
          <w:color w:val="auto"/>
          <w:spacing w:val="0"/>
          <w:sz w:val="24"/>
          <w:szCs w:val="24"/>
          <w:lang w:val="en-US" w:eastAsia="zh-CN"/>
        </w:rPr>
        <w:t>。</w:t>
      </w:r>
    </w:p>
    <w:p w14:paraId="70AE2EB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备注：</w:t>
      </w:r>
    </w:p>
    <w:p w14:paraId="01FB1A8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合同履约期限：自合同签订之日起</w:t>
      </w:r>
      <w:r>
        <w:rPr>
          <w:rFonts w:hint="eastAsia" w:ascii="仿宋" w:hAnsi="仿宋" w:eastAsia="仿宋" w:cs="仿宋"/>
          <w:b w:val="0"/>
          <w:bCs w:val="0"/>
          <w:i w:val="0"/>
          <w:iCs w:val="0"/>
          <w:caps w:val="0"/>
          <w:color w:val="auto"/>
          <w:spacing w:val="0"/>
          <w:sz w:val="24"/>
          <w:szCs w:val="24"/>
          <w:lang w:val="en-US" w:eastAsia="zh-CN"/>
        </w:rPr>
        <w:t>30个工作日</w:t>
      </w:r>
      <w:r>
        <w:rPr>
          <w:rFonts w:hint="eastAsia" w:ascii="仿宋" w:hAnsi="仿宋" w:eastAsia="仿宋" w:cs="仿宋"/>
          <w:b w:val="0"/>
          <w:bCs w:val="0"/>
          <w:i w:val="0"/>
          <w:iCs w:val="0"/>
          <w:caps w:val="0"/>
          <w:color w:val="auto"/>
          <w:spacing w:val="0"/>
          <w:sz w:val="24"/>
          <w:szCs w:val="24"/>
          <w:lang w:eastAsia="zh-CN"/>
        </w:rPr>
        <w:t>内完成供货、</w:t>
      </w:r>
      <w:r>
        <w:rPr>
          <w:rFonts w:hint="eastAsia" w:ascii="仿宋" w:hAnsi="仿宋" w:eastAsia="仿宋" w:cs="仿宋"/>
          <w:b w:val="0"/>
          <w:bCs w:val="0"/>
          <w:i w:val="0"/>
          <w:iCs w:val="0"/>
          <w:caps w:val="0"/>
          <w:color w:val="auto"/>
          <w:spacing w:val="0"/>
          <w:sz w:val="24"/>
          <w:szCs w:val="24"/>
          <w:lang w:val="en-US" w:eastAsia="zh-CN"/>
        </w:rPr>
        <w:t>安装、调试并投入使用</w:t>
      </w:r>
      <w:r>
        <w:rPr>
          <w:rFonts w:hint="eastAsia" w:ascii="仿宋" w:hAnsi="仿宋" w:eastAsia="仿宋" w:cs="仿宋"/>
          <w:b w:val="0"/>
          <w:bCs w:val="0"/>
          <w:i w:val="0"/>
          <w:iCs w:val="0"/>
          <w:caps w:val="0"/>
          <w:color w:val="auto"/>
          <w:spacing w:val="0"/>
          <w:sz w:val="24"/>
          <w:szCs w:val="24"/>
          <w:lang w:eastAsia="zh-CN"/>
        </w:rPr>
        <w:t>。</w:t>
      </w:r>
    </w:p>
    <w:p w14:paraId="6EE2E5A2">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val="0"/>
          <w:bCs w:val="0"/>
          <w:i w:val="0"/>
          <w:iCs w:val="0"/>
          <w:caps w:val="0"/>
          <w:color w:val="auto"/>
          <w:spacing w:val="0"/>
          <w:sz w:val="24"/>
          <w:szCs w:val="24"/>
          <w:lang w:eastAsia="zh-CN"/>
        </w:rPr>
      </w:pPr>
      <w:r>
        <w:rPr>
          <w:rFonts w:hint="eastAsia" w:ascii="仿宋" w:hAnsi="仿宋" w:eastAsia="仿宋" w:cs="仿宋"/>
          <w:b w:val="0"/>
          <w:bCs w:val="0"/>
          <w:i w:val="0"/>
          <w:iCs w:val="0"/>
          <w:caps w:val="0"/>
          <w:color w:val="auto"/>
          <w:spacing w:val="0"/>
          <w:sz w:val="24"/>
          <w:szCs w:val="24"/>
          <w:lang w:eastAsia="zh-CN"/>
        </w:rPr>
        <w:t>本项目不接受联合体投标。</w:t>
      </w:r>
    </w:p>
    <w:p w14:paraId="0EF0D599">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二、申请人的资格要求：</w:t>
      </w:r>
    </w:p>
    <w:p w14:paraId="4712994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1.满足《中华人民共和国政府采购法》第二十二条规定；</w:t>
      </w:r>
    </w:p>
    <w:p w14:paraId="2BED9B2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486" w:firstLineChars="200"/>
        <w:jc w:val="left"/>
        <w:textAlignment w:val="auto"/>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2.落实政府采购政策需满足的资格要求：本项目为非专门面向中小企业（含中型、小型、微型企业）采购项目，根据《政府采购促进中小企业发展管理办法》（财库[2020]46号）的规定，评标时将给予小型、微型企业进行价格10%的优惠，用优惠后的价格参与评审。 </w:t>
      </w:r>
    </w:p>
    <w:p w14:paraId="364B1048">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b w:val="0"/>
          <w:bCs w:val="0"/>
          <w:i w:val="0"/>
          <w:iCs w:val="0"/>
          <w:caps w:val="0"/>
          <w:color w:val="auto"/>
          <w:spacing w:val="0"/>
          <w:sz w:val="24"/>
          <w:szCs w:val="24"/>
        </w:rPr>
      </w:pPr>
      <w:r>
        <w:rPr>
          <w:rFonts w:hint="eastAsia" w:ascii="仿宋" w:hAnsi="仿宋" w:eastAsia="仿宋" w:cs="仿宋"/>
          <w:b w:val="0"/>
          <w:bCs w:val="0"/>
          <w:i w:val="0"/>
          <w:iCs w:val="0"/>
          <w:caps w:val="0"/>
          <w:color w:val="auto"/>
          <w:spacing w:val="0"/>
          <w:sz w:val="24"/>
          <w:szCs w:val="24"/>
        </w:rPr>
        <w:t>3.本项目的特定资格要求：</w:t>
      </w:r>
    </w:p>
    <w:p w14:paraId="79864351">
      <w:pPr>
        <w:keepNext w:val="0"/>
        <w:keepLines w:val="0"/>
        <w:pageBreakBefore w:val="0"/>
        <w:kinsoku/>
        <w:wordWrap/>
        <w:overflowPunct/>
        <w:topLinePunct w:val="0"/>
        <w:autoSpaceDE/>
        <w:autoSpaceDN/>
        <w:bidi w:val="0"/>
        <w:spacing w:line="360" w:lineRule="exact"/>
        <w:ind w:firstLine="486"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1)具备三证合一营业执照副本；</w:t>
      </w:r>
    </w:p>
    <w:p w14:paraId="12BF3607">
      <w:pPr>
        <w:keepNext w:val="0"/>
        <w:keepLines w:val="0"/>
        <w:pageBreakBefore w:val="0"/>
        <w:kinsoku/>
        <w:wordWrap/>
        <w:overflowPunct/>
        <w:topLinePunct w:val="0"/>
        <w:autoSpaceDE/>
        <w:autoSpaceDN/>
        <w:bidi w:val="0"/>
        <w:spacing w:line="360" w:lineRule="exact"/>
        <w:ind w:firstLine="486" w:firstLineChars="200"/>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2)法定代表人投标须提供法定代表人资格证明书，委托代理人投标须提供法定代表人授权委托书；</w:t>
      </w:r>
    </w:p>
    <w:p w14:paraId="7DD5F309">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3)投标企业须提供供应商（被授权本单位在职人员）近</w:t>
      </w:r>
      <w:r>
        <w:rPr>
          <w:rFonts w:hint="eastAsia" w:ascii="仿宋" w:hAnsi="仿宋" w:eastAsia="仿宋" w:cs="仿宋"/>
          <w:color w:val="auto"/>
          <w:sz w:val="24"/>
          <w:szCs w:val="24"/>
          <w:lang w:val="en-US" w:eastAsia="zh-CN"/>
        </w:rPr>
        <w:t>6个月内任意1个月的</w:t>
      </w:r>
      <w:r>
        <w:rPr>
          <w:rFonts w:hint="eastAsia" w:ascii="仿宋" w:hAnsi="仿宋" w:eastAsia="仿宋" w:cs="仿宋"/>
          <w:color w:val="auto"/>
          <w:sz w:val="24"/>
          <w:szCs w:val="24"/>
          <w:lang w:eastAsia="zh-CN"/>
        </w:rPr>
        <w:t>有效社保证明；</w:t>
      </w:r>
    </w:p>
    <w:p w14:paraId="0B7F5C37">
      <w:pPr>
        <w:keepNext w:val="0"/>
        <w:keepLines w:val="0"/>
        <w:pageBreakBefore w:val="0"/>
        <w:kinsoku/>
        <w:wordWrap/>
        <w:overflowPunct/>
        <w:topLinePunct w:val="0"/>
        <w:autoSpaceDE/>
        <w:autoSpaceDN/>
        <w:bidi w:val="0"/>
        <w:spacing w:line="360" w:lineRule="exact"/>
        <w:ind w:firstLine="486" w:firstLineChars="2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)投产品属于第二类医疗器械的，投标企业</w:t>
      </w:r>
      <w:r>
        <w:rPr>
          <w:rFonts w:hint="eastAsia" w:ascii="仿宋" w:hAnsi="仿宋" w:eastAsia="仿宋" w:cs="仿宋"/>
          <w:color w:val="auto"/>
          <w:sz w:val="24"/>
          <w:szCs w:val="24"/>
          <w:lang w:val="en-US" w:eastAsia="zh-CN"/>
        </w:rPr>
        <w:t>须</w:t>
      </w:r>
      <w:r>
        <w:rPr>
          <w:rFonts w:hint="eastAsia" w:ascii="仿宋" w:hAnsi="仿宋" w:eastAsia="仿宋" w:cs="仿宋"/>
          <w:color w:val="auto"/>
          <w:sz w:val="24"/>
          <w:szCs w:val="24"/>
          <w:lang w:eastAsia="zh-CN"/>
        </w:rPr>
        <w:t>提供有效的行政主管部门颁发的医疗器械经营备案凭证（或医疗器械生产许可证或医疗器械经营许可证）；所投产品属于第三类医疗器械的，</w:t>
      </w:r>
      <w:r>
        <w:rPr>
          <w:rFonts w:hint="eastAsia" w:ascii="仿宋" w:hAnsi="仿宋" w:eastAsia="仿宋" w:cs="仿宋"/>
          <w:color w:val="auto"/>
          <w:sz w:val="24"/>
          <w:szCs w:val="24"/>
          <w:lang w:val="en-US" w:eastAsia="zh-CN"/>
        </w:rPr>
        <w:t>须</w:t>
      </w:r>
      <w:r>
        <w:rPr>
          <w:rFonts w:hint="eastAsia" w:ascii="仿宋" w:hAnsi="仿宋" w:eastAsia="仿宋" w:cs="仿宋"/>
          <w:color w:val="auto"/>
          <w:sz w:val="24"/>
          <w:szCs w:val="24"/>
          <w:lang w:eastAsia="zh-CN"/>
        </w:rPr>
        <w:t>提供有效的行政主管部门颁发的医疗器械生产许可证（或医疗器械经营许可证）；</w:t>
      </w:r>
    </w:p>
    <w:p w14:paraId="71932B7A">
      <w:pPr>
        <w:pStyle w:val="32"/>
        <w:keepNext w:val="0"/>
        <w:keepLines w:val="0"/>
        <w:pageBreakBefore w:val="0"/>
        <w:kinsoku/>
        <w:wordWrap/>
        <w:overflowPunct/>
        <w:topLinePunct w:val="0"/>
        <w:autoSpaceDE/>
        <w:autoSpaceDN/>
        <w:bidi w:val="0"/>
        <w:spacing w:line="360" w:lineRule="exact"/>
        <w:ind w:left="0" w:leftChars="0"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参加政府采购活动前三年内，在经营活动中没有重大违法记录；未被“信用中国”（www.creditchina.gov.cn）、中国政府采购网（www.ccgp.gov.cn）列入失信被执行人、税收违法黑名单、政府采购严重违法失信行为记录名单。</w:t>
      </w:r>
    </w:p>
    <w:p w14:paraId="4162A6C1">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三、获取招标文件</w:t>
      </w:r>
    </w:p>
    <w:p w14:paraId="4B7FA01D">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1、时间：</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 xml:space="preserve"> 4 </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 xml:space="preserve"> 3 </w:t>
      </w:r>
      <w:r>
        <w:rPr>
          <w:rFonts w:hint="eastAsia" w:ascii="仿宋" w:hAnsi="仿宋" w:eastAsia="仿宋" w:cs="仿宋"/>
          <w:color w:val="auto"/>
          <w:sz w:val="24"/>
          <w:szCs w:val="24"/>
          <w:lang w:eastAsia="zh-CN"/>
        </w:rPr>
        <w:t>日至</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u w:val="single"/>
          <w:lang w:eastAsia="zh-CN"/>
        </w:rPr>
        <w:t>年</w:t>
      </w:r>
      <w:r>
        <w:rPr>
          <w:rFonts w:hint="eastAsia" w:ascii="仿宋" w:hAnsi="仿宋" w:eastAsia="仿宋" w:cs="仿宋"/>
          <w:color w:val="auto"/>
          <w:sz w:val="24"/>
          <w:szCs w:val="24"/>
          <w:u w:val="single"/>
          <w:lang w:val="en-US" w:eastAsia="zh-CN"/>
        </w:rPr>
        <w:t xml:space="preserve"> 4</w:t>
      </w:r>
      <w:r>
        <w:rPr>
          <w:rFonts w:hint="eastAsia" w:ascii="仿宋" w:hAnsi="仿宋" w:eastAsia="仿宋" w:cs="仿宋"/>
          <w:color w:val="auto"/>
          <w:sz w:val="24"/>
          <w:szCs w:val="24"/>
          <w:u w:val="single"/>
          <w:lang w:eastAsia="zh-CN"/>
        </w:rPr>
        <w:t>月</w:t>
      </w:r>
      <w:r>
        <w:rPr>
          <w:rFonts w:hint="eastAsia" w:ascii="仿宋" w:hAnsi="仿宋" w:eastAsia="仿宋" w:cs="仿宋"/>
          <w:color w:val="auto"/>
          <w:sz w:val="24"/>
          <w:szCs w:val="24"/>
          <w:u w:val="single"/>
          <w:lang w:val="en-US" w:eastAsia="zh-CN"/>
        </w:rPr>
        <w:t xml:space="preserve">11 </w:t>
      </w:r>
      <w:r>
        <w:rPr>
          <w:rFonts w:hint="eastAsia" w:ascii="仿宋" w:hAnsi="仿宋" w:eastAsia="仿宋" w:cs="仿宋"/>
          <w:color w:val="auto"/>
          <w:sz w:val="24"/>
          <w:szCs w:val="24"/>
          <w:u w:val="single"/>
          <w:lang w:eastAsia="zh-CN"/>
        </w:rPr>
        <w:t>日</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eastAsia="zh-CN"/>
        </w:rPr>
        <w:t>每天上午10:00至</w:t>
      </w:r>
      <w:r>
        <w:rPr>
          <w:rFonts w:hint="eastAsia" w:ascii="仿宋" w:hAnsi="仿宋" w:eastAsia="仿宋" w:cs="仿宋"/>
          <w:color w:val="auto"/>
          <w:sz w:val="24"/>
          <w:szCs w:val="24"/>
          <w:lang w:val="en-US" w:eastAsia="zh-CN"/>
        </w:rPr>
        <w:t>14</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lang w:eastAsia="zh-CN"/>
        </w:rPr>
        <w:t>0，下午16:</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lang w:eastAsia="zh-CN"/>
        </w:rPr>
        <w:t>0至</w:t>
      </w:r>
      <w:r>
        <w:rPr>
          <w:rFonts w:hint="eastAsia" w:ascii="仿宋" w:hAnsi="仿宋" w:eastAsia="仿宋" w:cs="仿宋"/>
          <w:color w:val="auto"/>
          <w:sz w:val="24"/>
          <w:szCs w:val="24"/>
          <w:lang w:val="en-US" w:eastAsia="zh-CN"/>
        </w:rPr>
        <w:t>19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lang w:eastAsia="zh-CN"/>
        </w:rPr>
        <w:t>（北京时间，节假日除外）</w:t>
      </w:r>
    </w:p>
    <w:p w14:paraId="2E6E26E9">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2、地点：政采云平台线上</w:t>
      </w:r>
    </w:p>
    <w:p w14:paraId="1F259FC6">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3、方式：供应商登录政采云平台https://www.zcygov.cn/在线申请获取采购文件（进入“项目采购”应用，在获取采购文件菜单中选择项目，申请获取采购文件）</w:t>
      </w:r>
    </w:p>
    <w:p w14:paraId="48B7CD3A">
      <w:pPr>
        <w:keepNext w:val="0"/>
        <w:keepLines w:val="0"/>
        <w:pageBreakBefore w:val="0"/>
        <w:widowControl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sz w:val="24"/>
          <w:szCs w:val="24"/>
          <w:lang w:eastAsia="zh-CN"/>
        </w:rPr>
      </w:pPr>
      <w:r>
        <w:rPr>
          <w:rFonts w:hint="eastAsia" w:ascii="仿宋" w:hAnsi="仿宋" w:eastAsia="仿宋" w:cs="仿宋"/>
          <w:color w:val="auto"/>
          <w:sz w:val="24"/>
          <w:szCs w:val="24"/>
          <w:lang w:eastAsia="zh-CN"/>
        </w:rPr>
        <w:t>4、售价（元）：0</w:t>
      </w:r>
    </w:p>
    <w:p w14:paraId="306D0F6A">
      <w:pPr>
        <w:keepNext w:val="0"/>
        <w:keepLines w:val="0"/>
        <w:pageBreakBefore w:val="0"/>
        <w:kinsoku/>
        <w:wordWrap/>
        <w:overflowPunct/>
        <w:topLinePunct w:val="0"/>
        <w:autoSpaceDE/>
        <w:autoSpaceDN/>
        <w:bidi w:val="0"/>
        <w:adjustRightInd/>
        <w:snapToGrid/>
        <w:spacing w:line="360" w:lineRule="exact"/>
        <w:textAlignment w:val="auto"/>
        <w:rPr>
          <w:rFonts w:ascii="仿宋" w:hAnsi="仿宋" w:eastAsia="仿宋" w:cs="仿宋"/>
          <w:color w:val="auto"/>
          <w:sz w:val="24"/>
          <w:szCs w:val="24"/>
          <w:lang w:eastAsia="zh-CN"/>
        </w:rPr>
      </w:pPr>
      <w:r>
        <w:rPr>
          <w:rFonts w:hint="eastAsia" w:ascii="仿宋" w:hAnsi="仿宋" w:eastAsia="仿宋" w:cs="仿宋"/>
          <w:b/>
          <w:bCs/>
          <w:color w:val="auto"/>
          <w:sz w:val="24"/>
          <w:szCs w:val="24"/>
          <w:lang w:eastAsia="zh-CN"/>
        </w:rPr>
        <w:t>四、提交投标文件截止时间、开标时间和地点</w:t>
      </w:r>
    </w:p>
    <w:p w14:paraId="644C00E7">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截止时间：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 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 xml:space="preserve"> 24 </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30</w:t>
      </w:r>
      <w:r>
        <w:rPr>
          <w:rFonts w:hint="eastAsia" w:ascii="仿宋" w:hAnsi="仿宋" w:eastAsia="仿宋" w:cs="仿宋"/>
          <w:color w:val="auto"/>
          <w:kern w:val="2"/>
          <w:sz w:val="24"/>
          <w:szCs w:val="24"/>
          <w:u w:val="single"/>
          <w:lang w:eastAsia="zh-CN" w:bidi="ar-SA"/>
        </w:rPr>
        <w:t xml:space="preserve"> </w:t>
      </w:r>
      <w:r>
        <w:rPr>
          <w:rFonts w:hint="eastAsia" w:ascii="仿宋" w:hAnsi="仿宋" w:eastAsia="仿宋" w:cs="仿宋"/>
          <w:color w:val="auto"/>
          <w:kern w:val="2"/>
          <w:sz w:val="24"/>
          <w:szCs w:val="24"/>
          <w:lang w:eastAsia="zh-CN" w:bidi="ar-SA"/>
        </w:rPr>
        <w:t>（北京时间）</w:t>
      </w:r>
    </w:p>
    <w:p w14:paraId="59BE1E8B">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投标地点：政府采购云平台（www.zcygov.cn）供应商应于递交投标文件截止时间之前将电子投标文件上传到“政采云”平台。</w:t>
      </w:r>
    </w:p>
    <w:p w14:paraId="45BEE85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开标时间：</w:t>
      </w:r>
      <w:r>
        <w:rPr>
          <w:rFonts w:hint="eastAsia" w:ascii="仿宋" w:hAnsi="仿宋" w:eastAsia="仿宋" w:cs="仿宋"/>
          <w:color w:val="auto"/>
          <w:kern w:val="2"/>
          <w:sz w:val="24"/>
          <w:szCs w:val="24"/>
          <w:u w:val="single"/>
          <w:lang w:eastAsia="zh-CN" w:bidi="ar-SA"/>
        </w:rPr>
        <w:t>202</w:t>
      </w:r>
      <w:r>
        <w:rPr>
          <w:rFonts w:hint="eastAsia" w:ascii="仿宋" w:hAnsi="仿宋" w:eastAsia="仿宋" w:cs="仿宋"/>
          <w:color w:val="auto"/>
          <w:kern w:val="2"/>
          <w:sz w:val="24"/>
          <w:szCs w:val="24"/>
          <w:u w:val="single"/>
          <w:lang w:val="en-US" w:eastAsia="zh-CN" w:bidi="ar-SA"/>
        </w:rPr>
        <w:t>5</w:t>
      </w:r>
      <w:r>
        <w:rPr>
          <w:rFonts w:hint="eastAsia" w:ascii="仿宋" w:hAnsi="仿宋" w:eastAsia="仿宋" w:cs="仿宋"/>
          <w:color w:val="auto"/>
          <w:kern w:val="2"/>
          <w:sz w:val="24"/>
          <w:szCs w:val="24"/>
          <w:u w:val="single"/>
          <w:lang w:eastAsia="zh-CN" w:bidi="ar-SA"/>
        </w:rPr>
        <w:t>年</w:t>
      </w:r>
      <w:r>
        <w:rPr>
          <w:rFonts w:hint="eastAsia" w:ascii="仿宋" w:hAnsi="仿宋" w:eastAsia="仿宋" w:cs="仿宋"/>
          <w:color w:val="auto"/>
          <w:kern w:val="2"/>
          <w:sz w:val="24"/>
          <w:szCs w:val="24"/>
          <w:u w:val="single"/>
          <w:lang w:val="en-US" w:eastAsia="zh-CN" w:bidi="ar-SA"/>
        </w:rPr>
        <w:t xml:space="preserve">4 </w:t>
      </w:r>
      <w:r>
        <w:rPr>
          <w:rFonts w:hint="eastAsia" w:ascii="仿宋" w:hAnsi="仿宋" w:eastAsia="仿宋" w:cs="仿宋"/>
          <w:color w:val="auto"/>
          <w:kern w:val="2"/>
          <w:sz w:val="24"/>
          <w:szCs w:val="24"/>
          <w:u w:val="single"/>
          <w:lang w:eastAsia="zh-CN" w:bidi="ar-SA"/>
        </w:rPr>
        <w:t>月</w:t>
      </w:r>
      <w:r>
        <w:rPr>
          <w:rFonts w:hint="eastAsia" w:ascii="仿宋" w:hAnsi="仿宋" w:eastAsia="仿宋" w:cs="仿宋"/>
          <w:color w:val="auto"/>
          <w:kern w:val="2"/>
          <w:sz w:val="24"/>
          <w:szCs w:val="24"/>
          <w:u w:val="single"/>
          <w:lang w:val="en-US" w:eastAsia="zh-CN" w:bidi="ar-SA"/>
        </w:rPr>
        <w:t xml:space="preserve">24 </w:t>
      </w:r>
      <w:r>
        <w:rPr>
          <w:rFonts w:hint="eastAsia" w:ascii="仿宋" w:hAnsi="仿宋" w:eastAsia="仿宋" w:cs="仿宋"/>
          <w:color w:val="auto"/>
          <w:kern w:val="2"/>
          <w:sz w:val="24"/>
          <w:szCs w:val="24"/>
          <w:u w:val="single"/>
          <w:lang w:eastAsia="zh-CN" w:bidi="ar-SA"/>
        </w:rPr>
        <w:t xml:space="preserve">日 </w:t>
      </w:r>
      <w:r>
        <w:rPr>
          <w:rFonts w:hint="eastAsia" w:ascii="仿宋" w:hAnsi="仿宋" w:eastAsia="仿宋" w:cs="仿宋"/>
          <w:color w:val="auto"/>
          <w:kern w:val="2"/>
          <w:sz w:val="24"/>
          <w:szCs w:val="24"/>
          <w:u w:val="single"/>
          <w:lang w:val="en-US" w:eastAsia="zh-CN" w:bidi="ar-SA"/>
        </w:rPr>
        <w:t>10</w:t>
      </w:r>
      <w:r>
        <w:rPr>
          <w:rFonts w:hint="eastAsia" w:ascii="仿宋" w:hAnsi="仿宋" w:eastAsia="仿宋" w:cs="仿宋"/>
          <w:color w:val="auto"/>
          <w:kern w:val="2"/>
          <w:sz w:val="24"/>
          <w:szCs w:val="24"/>
          <w:u w:val="single"/>
          <w:lang w:eastAsia="zh-CN" w:bidi="ar-SA"/>
        </w:rPr>
        <w:t>：</w:t>
      </w:r>
      <w:r>
        <w:rPr>
          <w:rFonts w:hint="eastAsia" w:ascii="仿宋" w:hAnsi="仿宋" w:eastAsia="仿宋" w:cs="仿宋"/>
          <w:color w:val="auto"/>
          <w:kern w:val="2"/>
          <w:sz w:val="24"/>
          <w:szCs w:val="24"/>
          <w:u w:val="single"/>
          <w:lang w:val="en-US" w:eastAsia="zh-CN" w:bidi="ar-SA"/>
        </w:rPr>
        <w:t>30</w:t>
      </w:r>
      <w:r>
        <w:rPr>
          <w:rFonts w:hint="eastAsia" w:ascii="仿宋" w:hAnsi="仿宋" w:eastAsia="仿宋" w:cs="仿宋"/>
          <w:color w:val="auto"/>
          <w:kern w:val="2"/>
          <w:sz w:val="24"/>
          <w:szCs w:val="24"/>
          <w:lang w:eastAsia="zh-CN" w:bidi="ar-SA"/>
        </w:rPr>
        <w:t>（北京时间）</w:t>
      </w:r>
    </w:p>
    <w:p w14:paraId="4DCFFCC7">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开标地点：投标人登录政采云平台https://www.zcygov.cn/，进入“项目采购-开标评标-右边选择对应项目点击“进入项目”进入开标大厅。</w:t>
      </w:r>
    </w:p>
    <w:p w14:paraId="446E0DFE">
      <w:pPr>
        <w:keepNext w:val="0"/>
        <w:keepLines w:val="0"/>
        <w:pageBreakBefore w:val="0"/>
        <w:kinsoku/>
        <w:wordWrap/>
        <w:overflowPunct/>
        <w:topLinePunct w:val="0"/>
        <w:autoSpaceDE/>
        <w:autoSpaceDN/>
        <w:bidi w:val="0"/>
        <w:adjustRightInd/>
        <w:snapToGrid/>
        <w:spacing w:line="360" w:lineRule="exact"/>
        <w:textAlignment w:val="auto"/>
        <w:rPr>
          <w:rFonts w:ascii="仿宋" w:hAnsi="仿宋" w:eastAsia="仿宋" w:cs="仿宋"/>
          <w:b/>
          <w:bCs/>
          <w:color w:val="auto"/>
          <w:kern w:val="2"/>
          <w:sz w:val="24"/>
          <w:szCs w:val="24"/>
          <w:lang w:eastAsia="zh-CN" w:bidi="ar-SA"/>
        </w:rPr>
      </w:pPr>
      <w:r>
        <w:rPr>
          <w:rFonts w:hint="eastAsia" w:ascii="仿宋" w:hAnsi="仿宋" w:eastAsia="仿宋" w:cs="仿宋"/>
          <w:b/>
          <w:bCs/>
          <w:color w:val="auto"/>
          <w:kern w:val="2"/>
          <w:sz w:val="24"/>
          <w:szCs w:val="24"/>
          <w:lang w:eastAsia="zh-CN" w:bidi="ar-SA"/>
        </w:rPr>
        <w:t>五、公告期限</w:t>
      </w:r>
    </w:p>
    <w:p w14:paraId="01425A4D">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自本公告发布之日起5个工作日</w:t>
      </w:r>
    </w:p>
    <w:p w14:paraId="33A2855B">
      <w:pPr>
        <w:keepNext w:val="0"/>
        <w:keepLines w:val="0"/>
        <w:pageBreakBefore w:val="0"/>
        <w:numPr>
          <w:ilvl w:val="0"/>
          <w:numId w:val="3"/>
        </w:numPr>
        <w:kinsoku/>
        <w:wordWrap/>
        <w:overflowPunct/>
        <w:topLinePunct w:val="0"/>
        <w:autoSpaceDE/>
        <w:autoSpaceDN/>
        <w:bidi w:val="0"/>
        <w:adjustRightInd/>
        <w:snapToGrid/>
        <w:spacing w:line="360" w:lineRule="exact"/>
        <w:textAlignment w:val="auto"/>
        <w:rPr>
          <w:rFonts w:hint="eastAsia" w:ascii="仿宋" w:hAnsi="仿宋" w:eastAsia="仿宋" w:cs="仿宋"/>
          <w:b/>
          <w:bCs/>
          <w:i w:val="0"/>
          <w:iCs w:val="0"/>
          <w:caps w:val="0"/>
          <w:color w:val="auto"/>
          <w:spacing w:val="0"/>
          <w:sz w:val="24"/>
          <w:szCs w:val="24"/>
          <w:lang w:eastAsia="zh-CN"/>
        </w:rPr>
      </w:pPr>
      <w:r>
        <w:rPr>
          <w:rFonts w:hint="eastAsia" w:ascii="仿宋" w:hAnsi="仿宋" w:eastAsia="仿宋" w:cs="仿宋"/>
          <w:b/>
          <w:bCs/>
          <w:color w:val="auto"/>
          <w:kern w:val="2"/>
          <w:sz w:val="24"/>
          <w:szCs w:val="24"/>
          <w:lang w:eastAsia="zh-CN" w:bidi="ar-SA"/>
        </w:rPr>
        <w:t>其他补充事宜：</w:t>
      </w:r>
      <w:r>
        <w:rPr>
          <w:rFonts w:hint="eastAsia" w:ascii="仿宋" w:hAnsi="仿宋" w:eastAsia="仿宋" w:cs="仿宋"/>
          <w:b/>
          <w:bCs/>
          <w:i w:val="0"/>
          <w:iCs w:val="0"/>
          <w:caps w:val="0"/>
          <w:color w:val="auto"/>
          <w:spacing w:val="0"/>
          <w:sz w:val="24"/>
          <w:szCs w:val="24"/>
          <w:lang w:eastAsia="zh-CN"/>
        </w:rPr>
        <w:t>无</w:t>
      </w:r>
    </w:p>
    <w:p w14:paraId="0B82805F">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特别提示：</w:t>
      </w:r>
    </w:p>
    <w:p w14:paraId="11C97C2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1、采购限额标准以上，200万元以下的货物和服务采购项目、400万元以下的工程采购项目，适宜由中小企业提供的，采购人应当专门面向中小企业采购。</w:t>
      </w:r>
    </w:p>
    <w:p w14:paraId="33582C1E">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2、超过200万元的货物和服务采购项目，预留该部分采购项目预算总额的30%以上专门面向中小企业采购，其中预留给小微企业的比例不低于60%。</w:t>
      </w:r>
    </w:p>
    <w:p w14:paraId="2ADED720">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3、超过400万元的工程采购项目中适宜由中小企业提供的，预留该部分采购项目预算总额的40%以上专门面向中小企业采购，其中预留给小微企业的比例不低于60%。</w:t>
      </w:r>
    </w:p>
    <w:p w14:paraId="7968B4F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ascii="仿宋" w:hAnsi="仿宋" w:eastAsia="仿宋" w:cs="仿宋"/>
          <w:color w:val="auto"/>
          <w:kern w:val="2"/>
          <w:sz w:val="24"/>
          <w:szCs w:val="24"/>
          <w:lang w:eastAsia="zh-CN" w:bidi="ar-SA"/>
        </w:rPr>
      </w:pPr>
      <w:r>
        <w:rPr>
          <w:rFonts w:hint="eastAsia" w:ascii="仿宋" w:hAnsi="仿宋" w:eastAsia="仿宋" w:cs="仿宋"/>
          <w:color w:val="auto"/>
          <w:kern w:val="2"/>
          <w:sz w:val="24"/>
          <w:szCs w:val="24"/>
          <w:lang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7991275">
      <w:pPr>
        <w:keepNext w:val="0"/>
        <w:keepLines w:val="0"/>
        <w:pageBreakBefore w:val="0"/>
        <w:kinsoku/>
        <w:wordWrap/>
        <w:overflowPunct/>
        <w:topLinePunct w:val="0"/>
        <w:autoSpaceDE/>
        <w:autoSpaceDN/>
        <w:bidi w:val="0"/>
        <w:adjustRightInd/>
        <w:snapToGrid/>
        <w:spacing w:line="360" w:lineRule="exact"/>
        <w:ind w:firstLine="486" w:firstLineChars="200"/>
        <w:textAlignment w:val="auto"/>
        <w:rPr>
          <w:rFonts w:hint="eastAsia"/>
          <w:color w:val="auto"/>
          <w:lang w:eastAsia="zh-CN"/>
        </w:rPr>
      </w:pPr>
      <w:r>
        <w:rPr>
          <w:rFonts w:hint="eastAsia" w:ascii="仿宋" w:hAnsi="仿宋" w:eastAsia="仿宋" w:cs="仿宋"/>
          <w:color w:val="auto"/>
          <w:kern w:val="2"/>
          <w:sz w:val="24"/>
          <w:szCs w:val="24"/>
          <w:lang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7D80CED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left="0" w:right="0" w:firstLine="0"/>
        <w:jc w:val="left"/>
        <w:textAlignment w:val="auto"/>
        <w:rPr>
          <w:rFonts w:hint="eastAsia" w:ascii="仿宋" w:hAnsi="仿宋" w:eastAsia="仿宋" w:cs="仿宋"/>
          <w:b/>
          <w:bCs/>
          <w:i w:val="0"/>
          <w:iCs w:val="0"/>
          <w:caps w:val="0"/>
          <w:color w:val="auto"/>
          <w:spacing w:val="0"/>
          <w:sz w:val="24"/>
          <w:szCs w:val="24"/>
        </w:rPr>
      </w:pPr>
      <w:r>
        <w:rPr>
          <w:rFonts w:hint="eastAsia" w:ascii="仿宋" w:hAnsi="仿宋" w:eastAsia="仿宋" w:cs="仿宋"/>
          <w:b/>
          <w:bCs/>
          <w:i w:val="0"/>
          <w:iCs w:val="0"/>
          <w:caps w:val="0"/>
          <w:color w:val="auto"/>
          <w:spacing w:val="0"/>
          <w:sz w:val="24"/>
          <w:szCs w:val="24"/>
        </w:rPr>
        <w:t>七、对本次采购提出询问，请按以下方式联系</w:t>
      </w:r>
    </w:p>
    <w:p w14:paraId="3FA11934">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rPr>
      </w:pPr>
      <w:r>
        <w:rPr>
          <w:rFonts w:hint="eastAsia" w:ascii="仿宋" w:hAnsi="仿宋" w:eastAsia="仿宋" w:cs="仿宋"/>
          <w:i w:val="0"/>
          <w:iCs w:val="0"/>
          <w:caps w:val="0"/>
          <w:color w:val="auto"/>
          <w:spacing w:val="0"/>
          <w:sz w:val="24"/>
          <w:szCs w:val="24"/>
        </w:rPr>
        <w:t>1.采购人信息</w:t>
      </w:r>
    </w:p>
    <w:p w14:paraId="1D3AC410">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名 称：</w:t>
      </w:r>
      <w:r>
        <w:rPr>
          <w:rFonts w:hint="eastAsia" w:ascii="仿宋" w:hAnsi="仿宋" w:eastAsia="仿宋" w:cs="仿宋"/>
          <w:i w:val="0"/>
          <w:iCs w:val="0"/>
          <w:caps w:val="0"/>
          <w:color w:val="auto"/>
          <w:spacing w:val="0"/>
          <w:sz w:val="24"/>
          <w:szCs w:val="24"/>
          <w:lang w:val="en-US" w:eastAsia="zh-CN"/>
        </w:rPr>
        <w:t>新疆阿合奇县人民医院</w:t>
      </w:r>
    </w:p>
    <w:p w14:paraId="32D445A7">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地 址：</w:t>
      </w:r>
      <w:r>
        <w:rPr>
          <w:rFonts w:hint="eastAsia" w:ascii="仿宋" w:hAnsi="仿宋" w:eastAsia="仿宋" w:cs="仿宋"/>
          <w:i w:val="0"/>
          <w:iCs w:val="0"/>
          <w:caps w:val="0"/>
          <w:color w:val="auto"/>
          <w:spacing w:val="0"/>
          <w:sz w:val="24"/>
          <w:szCs w:val="24"/>
          <w:lang w:val="en-US" w:eastAsia="zh-CN"/>
        </w:rPr>
        <w:t>阿合奇县</w:t>
      </w:r>
    </w:p>
    <w:p w14:paraId="7E98D50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rPr>
        <w:t>联系方式：</w:t>
      </w:r>
      <w:r>
        <w:rPr>
          <w:rFonts w:hint="eastAsia" w:ascii="仿宋" w:hAnsi="仿宋" w:eastAsia="仿宋" w:cs="仿宋"/>
          <w:i w:val="0"/>
          <w:iCs w:val="0"/>
          <w:caps w:val="0"/>
          <w:color w:val="auto"/>
          <w:spacing w:val="0"/>
          <w:sz w:val="24"/>
          <w:szCs w:val="24"/>
          <w:lang w:val="en-US" w:eastAsia="zh-CN"/>
        </w:rPr>
        <w:t>18097832118</w:t>
      </w:r>
    </w:p>
    <w:p w14:paraId="6519A77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2.采购代理机构信息</w:t>
      </w:r>
    </w:p>
    <w:p w14:paraId="3DAB829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名 称：阿合奇县新越项目咨询有限责任公司　　　　　　   　</w:t>
      </w:r>
    </w:p>
    <w:p w14:paraId="7EC4DC0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地 址：阿合奇县交通局4楼　  　</w:t>
      </w:r>
    </w:p>
    <w:p w14:paraId="1BAE9073">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r>
        <w:rPr>
          <w:rFonts w:hint="eastAsia" w:ascii="仿宋" w:hAnsi="仿宋" w:eastAsia="仿宋" w:cs="仿宋"/>
          <w:i w:val="0"/>
          <w:iCs w:val="0"/>
          <w:caps w:val="0"/>
          <w:color w:val="auto"/>
          <w:spacing w:val="0"/>
          <w:sz w:val="24"/>
          <w:szCs w:val="24"/>
          <w:lang w:val="en-US" w:eastAsia="zh-CN"/>
        </w:rPr>
        <w:t>项目联系人：银先生　18809088695</w:t>
      </w:r>
    </w:p>
    <w:p w14:paraId="3E30D925">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hint="eastAsia" w:ascii="仿宋" w:hAnsi="仿宋" w:eastAsia="仿宋" w:cs="仿宋"/>
          <w:i w:val="0"/>
          <w:iCs w:val="0"/>
          <w:caps w:val="0"/>
          <w:color w:val="auto"/>
          <w:spacing w:val="0"/>
          <w:sz w:val="24"/>
          <w:szCs w:val="24"/>
          <w:lang w:val="en-US" w:eastAsia="zh-CN"/>
        </w:rPr>
      </w:pPr>
    </w:p>
    <w:p w14:paraId="1F0DAD84">
      <w:pPr>
        <w:rPr>
          <w:color w:val="auto"/>
        </w:rPr>
      </w:pPr>
    </w:p>
    <w:p w14:paraId="542F3606">
      <w:pPr>
        <w:rPr>
          <w:color w:val="auto"/>
        </w:rPr>
      </w:pPr>
    </w:p>
    <w:p w14:paraId="1852138E">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1B3609E6">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71856232">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589A10BF">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17E16A45">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27FE66CD">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45947CC5">
      <w:pPr>
        <w:pStyle w:val="19"/>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240" w:lineRule="auto"/>
        <w:ind w:left="0" w:right="0" w:firstLine="0"/>
        <w:jc w:val="center"/>
        <w:textAlignment w:val="auto"/>
        <w:rPr>
          <w:rStyle w:val="25"/>
          <w:rFonts w:hint="eastAsia" w:ascii="仿宋" w:hAnsi="仿宋" w:eastAsia="仿宋" w:cs="仿宋"/>
          <w:b/>
          <w:bCs w:val="0"/>
          <w:i w:val="0"/>
          <w:iCs w:val="0"/>
          <w:caps w:val="0"/>
          <w:color w:val="auto"/>
          <w:spacing w:val="0"/>
          <w:sz w:val="32"/>
          <w:szCs w:val="32"/>
          <w:highlight w:val="none"/>
        </w:rPr>
      </w:pPr>
    </w:p>
    <w:p w14:paraId="352CB0B2">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36"/>
          <w:szCs w:val="36"/>
          <w:highlight w:val="none"/>
          <w:lang w:eastAsia="zh-CN"/>
        </w:rPr>
        <w:t>第二部分</w:t>
      </w:r>
      <w:r>
        <w:rPr>
          <w:rFonts w:hint="eastAsia" w:ascii="仿宋" w:hAnsi="仿宋" w:eastAsia="仿宋" w:cs="仿宋"/>
          <w:b/>
          <w:bCs/>
          <w:color w:val="auto"/>
          <w:sz w:val="36"/>
          <w:szCs w:val="36"/>
          <w:highlight w:val="none"/>
          <w:lang w:val="en-US" w:eastAsia="zh-CN"/>
        </w:rPr>
        <w:t xml:space="preserve"> </w:t>
      </w:r>
      <w:r>
        <w:rPr>
          <w:rFonts w:hint="eastAsia" w:ascii="仿宋" w:hAnsi="仿宋" w:eastAsia="仿宋" w:cs="仿宋"/>
          <w:b/>
          <w:bCs/>
          <w:color w:val="auto"/>
          <w:sz w:val="36"/>
          <w:szCs w:val="36"/>
          <w:highlight w:val="none"/>
        </w:rPr>
        <w:t>供应商须知</w:t>
      </w:r>
    </w:p>
    <w:p w14:paraId="22F142BD">
      <w:pPr>
        <w:numPr>
          <w:ilvl w:val="0"/>
          <w:numId w:val="0"/>
        </w:numPr>
        <w:spacing w:line="360" w:lineRule="auto"/>
        <w:jc w:val="center"/>
        <w:rPr>
          <w:rFonts w:ascii="仿宋" w:hAnsi="仿宋" w:eastAsia="仿宋" w:cs="仿宋"/>
          <w:color w:val="auto"/>
          <w:sz w:val="28"/>
          <w:szCs w:val="28"/>
          <w:highlight w:val="none"/>
        </w:rPr>
      </w:pPr>
      <w:r>
        <w:rPr>
          <w:rFonts w:hint="eastAsia" w:ascii="仿宋" w:hAnsi="仿宋" w:eastAsia="仿宋" w:cs="仿宋"/>
          <w:b/>
          <w:bCs/>
          <w:color w:val="auto"/>
          <w:sz w:val="28"/>
          <w:szCs w:val="28"/>
          <w:highlight w:val="none"/>
          <w:lang w:eastAsia="zh-CN"/>
        </w:rPr>
        <w:t>供应商</w:t>
      </w:r>
      <w:r>
        <w:rPr>
          <w:rFonts w:hint="eastAsia" w:ascii="仿宋" w:hAnsi="仿宋" w:eastAsia="仿宋" w:cs="仿宋"/>
          <w:b/>
          <w:bCs/>
          <w:color w:val="auto"/>
          <w:sz w:val="28"/>
          <w:szCs w:val="28"/>
          <w:highlight w:val="none"/>
        </w:rPr>
        <w:t>须知前附表</w:t>
      </w:r>
    </w:p>
    <w:tbl>
      <w:tblPr>
        <w:tblStyle w:val="22"/>
        <w:tblW w:w="9365" w:type="dxa"/>
        <w:jc w:val="center"/>
        <w:tblLayout w:type="fixed"/>
        <w:tblCellMar>
          <w:top w:w="0" w:type="dxa"/>
          <w:left w:w="108" w:type="dxa"/>
          <w:bottom w:w="0" w:type="dxa"/>
          <w:right w:w="108" w:type="dxa"/>
        </w:tblCellMar>
      </w:tblPr>
      <w:tblGrid>
        <w:gridCol w:w="558"/>
        <w:gridCol w:w="1407"/>
        <w:gridCol w:w="7400"/>
      </w:tblGrid>
      <w:tr w14:paraId="19F2D975">
        <w:tblPrEx>
          <w:tblCellMar>
            <w:top w:w="0" w:type="dxa"/>
            <w:left w:w="108" w:type="dxa"/>
            <w:bottom w:w="0" w:type="dxa"/>
            <w:right w:w="108" w:type="dxa"/>
          </w:tblCellMar>
        </w:tblPrEx>
        <w:trPr>
          <w:trHeight w:val="56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492C3CB">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序 号</w:t>
            </w:r>
          </w:p>
        </w:tc>
        <w:tc>
          <w:tcPr>
            <w:tcW w:w="1407" w:type="dxa"/>
            <w:tcBorders>
              <w:top w:val="single" w:color="auto" w:sz="4" w:space="0"/>
              <w:left w:val="single" w:color="auto" w:sz="4" w:space="0"/>
              <w:bottom w:val="single" w:color="auto" w:sz="4" w:space="0"/>
              <w:right w:val="single" w:color="auto" w:sz="4" w:space="0"/>
            </w:tcBorders>
            <w:vAlign w:val="center"/>
          </w:tcPr>
          <w:p w14:paraId="5326FF2A">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名  称</w:t>
            </w:r>
          </w:p>
        </w:tc>
        <w:tc>
          <w:tcPr>
            <w:tcW w:w="7400" w:type="dxa"/>
            <w:tcBorders>
              <w:top w:val="single" w:color="auto" w:sz="4" w:space="0"/>
              <w:left w:val="single" w:color="auto" w:sz="4" w:space="0"/>
              <w:bottom w:val="single" w:color="auto" w:sz="4" w:space="0"/>
              <w:right w:val="single" w:color="auto" w:sz="4" w:space="0"/>
            </w:tcBorders>
            <w:vAlign w:val="center"/>
          </w:tcPr>
          <w:p w14:paraId="30908B6B">
            <w:pPr>
              <w:widowControl/>
              <w:spacing w:line="334" w:lineRule="exact"/>
              <w:jc w:val="center"/>
              <w:rPr>
                <w:rFonts w:ascii="仿宋" w:hAnsi="仿宋" w:eastAsia="仿宋" w:cs="仿宋"/>
                <w:b/>
                <w:color w:val="auto"/>
                <w:highlight w:val="none"/>
              </w:rPr>
            </w:pPr>
            <w:r>
              <w:rPr>
                <w:rFonts w:hint="eastAsia" w:ascii="仿宋" w:hAnsi="仿宋" w:eastAsia="仿宋" w:cs="仿宋"/>
                <w:b/>
                <w:color w:val="auto"/>
                <w:highlight w:val="none"/>
              </w:rPr>
              <w:t>编  列  内  容</w:t>
            </w:r>
          </w:p>
        </w:tc>
      </w:tr>
      <w:tr w14:paraId="7DB7EA01">
        <w:tblPrEx>
          <w:tblCellMar>
            <w:top w:w="0" w:type="dxa"/>
            <w:left w:w="108" w:type="dxa"/>
            <w:bottom w:w="0" w:type="dxa"/>
            <w:right w:w="108" w:type="dxa"/>
          </w:tblCellMar>
        </w:tblPrEx>
        <w:trPr>
          <w:trHeight w:val="209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34AF31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p>
        </w:tc>
        <w:tc>
          <w:tcPr>
            <w:tcW w:w="1407" w:type="dxa"/>
            <w:tcBorders>
              <w:top w:val="single" w:color="auto" w:sz="4" w:space="0"/>
              <w:left w:val="single" w:color="auto" w:sz="4" w:space="0"/>
              <w:bottom w:val="single" w:color="auto" w:sz="4" w:space="0"/>
              <w:right w:val="single" w:color="auto" w:sz="4" w:space="0"/>
            </w:tcBorders>
            <w:vAlign w:val="center"/>
          </w:tcPr>
          <w:p w14:paraId="74F43718">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项目名称：</w:t>
            </w:r>
          </w:p>
          <w:p w14:paraId="6E222FA0">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项目编号：</w:t>
            </w:r>
          </w:p>
          <w:p w14:paraId="0B932BDF">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采购内容：</w:t>
            </w:r>
          </w:p>
          <w:p w14:paraId="1E3D33D1">
            <w:pPr>
              <w:pStyle w:val="32"/>
              <w:ind w:firstLine="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供货期：</w:t>
            </w:r>
          </w:p>
        </w:tc>
        <w:tc>
          <w:tcPr>
            <w:tcW w:w="7400" w:type="dxa"/>
            <w:tcBorders>
              <w:top w:val="single" w:color="auto" w:sz="4" w:space="0"/>
              <w:left w:val="single" w:color="auto" w:sz="4" w:space="0"/>
              <w:bottom w:val="single" w:color="auto" w:sz="4" w:space="0"/>
              <w:right w:val="single" w:color="auto" w:sz="4" w:space="0"/>
            </w:tcBorders>
            <w:vAlign w:val="center"/>
          </w:tcPr>
          <w:p w14:paraId="3BE090AB">
            <w:pPr>
              <w:spacing w:line="400" w:lineRule="exact"/>
              <w:rPr>
                <w:rFonts w:hint="eastAsia" w:ascii="仿宋" w:hAnsi="仿宋" w:eastAsia="仿宋" w:cs="仿宋"/>
                <w:b w:val="0"/>
                <w:bCs w:val="0"/>
                <w:i w:val="0"/>
                <w:iCs w:val="0"/>
                <w:caps w:val="0"/>
                <w:color w:val="auto"/>
                <w:spacing w:val="0"/>
                <w:sz w:val="24"/>
                <w:szCs w:val="24"/>
                <w:lang w:val="en-US" w:eastAsia="zh-CN"/>
              </w:rPr>
            </w:pPr>
            <w:r>
              <w:rPr>
                <w:rFonts w:hint="eastAsia" w:ascii="仿宋" w:hAnsi="仿宋" w:eastAsia="仿宋" w:cs="仿宋"/>
                <w:color w:val="auto"/>
                <w:highlight w:val="none"/>
                <w:lang w:eastAsia="zh-CN"/>
              </w:rPr>
              <w:t>项目名称：</w:t>
            </w:r>
            <w:r>
              <w:rPr>
                <w:rFonts w:hint="eastAsia" w:ascii="仿宋" w:hAnsi="仿宋" w:eastAsia="仿宋" w:cs="仿宋"/>
                <w:b w:val="0"/>
                <w:bCs w:val="0"/>
                <w:i w:val="0"/>
                <w:iCs w:val="0"/>
                <w:caps w:val="0"/>
                <w:color w:val="auto"/>
                <w:spacing w:val="0"/>
                <w:sz w:val="24"/>
                <w:szCs w:val="24"/>
                <w:lang w:val="en-US" w:eastAsia="zh-CN"/>
              </w:rPr>
              <w:t>2025年中央医疗服务与保障能力提升（医疗卫生机构能力建设）补助资金项目</w:t>
            </w:r>
          </w:p>
          <w:p w14:paraId="60979125">
            <w:pPr>
              <w:spacing w:line="400" w:lineRule="exact"/>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项目编号：</w:t>
            </w:r>
            <w:r>
              <w:rPr>
                <w:rFonts w:hint="eastAsia" w:ascii="仿宋" w:hAnsi="仿宋" w:eastAsia="仿宋" w:cs="仿宋"/>
                <w:b w:val="0"/>
                <w:bCs w:val="0"/>
                <w:i w:val="0"/>
                <w:iCs w:val="0"/>
                <w:caps w:val="0"/>
                <w:color w:val="auto"/>
                <w:spacing w:val="0"/>
                <w:sz w:val="24"/>
                <w:szCs w:val="24"/>
              </w:rPr>
              <w:t>AHQXZB</w:t>
            </w:r>
            <w:r>
              <w:rPr>
                <w:rFonts w:hint="eastAsia" w:ascii="仿宋" w:hAnsi="仿宋" w:eastAsia="仿宋" w:cs="仿宋"/>
                <w:b w:val="0"/>
                <w:bCs w:val="0"/>
                <w:i w:val="0"/>
                <w:iCs w:val="0"/>
                <w:caps w:val="0"/>
                <w:color w:val="auto"/>
                <w:spacing w:val="0"/>
                <w:sz w:val="24"/>
                <w:szCs w:val="24"/>
                <w:lang w:val="en-US" w:eastAsia="zh-CN"/>
              </w:rPr>
              <w:t>-2025006</w:t>
            </w:r>
          </w:p>
          <w:p w14:paraId="64A004C9">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采购内容：</w:t>
            </w:r>
            <w:r>
              <w:rPr>
                <w:rFonts w:hint="eastAsia" w:ascii="仿宋" w:hAnsi="仿宋" w:eastAsia="仿宋" w:cs="仿宋"/>
                <w:color w:val="auto"/>
                <w:highlight w:val="none"/>
                <w:lang w:val="en-US" w:eastAsia="zh-CN"/>
              </w:rPr>
              <w:t>医疗设备1批</w:t>
            </w:r>
            <w:r>
              <w:rPr>
                <w:rFonts w:hint="eastAsia" w:ascii="仿宋" w:hAnsi="仿宋" w:eastAsia="仿宋" w:cs="仿宋"/>
                <w:color w:val="auto"/>
                <w:highlight w:val="none"/>
                <w:lang w:eastAsia="zh-CN"/>
              </w:rPr>
              <w:t>（具体采购内容详见采购清单)</w:t>
            </w:r>
          </w:p>
          <w:p w14:paraId="13C73F8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供货期：自合同签订之日起</w:t>
            </w:r>
            <w:r>
              <w:rPr>
                <w:rFonts w:hint="eastAsia" w:ascii="仿宋" w:hAnsi="仿宋" w:eastAsia="仿宋" w:cs="仿宋"/>
                <w:color w:val="auto"/>
                <w:highlight w:val="none"/>
                <w:lang w:val="en-US" w:eastAsia="zh-CN"/>
              </w:rPr>
              <w:t>30个工作日</w:t>
            </w:r>
            <w:r>
              <w:rPr>
                <w:rFonts w:hint="eastAsia" w:ascii="仿宋" w:hAnsi="仿宋" w:eastAsia="仿宋" w:cs="仿宋"/>
                <w:color w:val="auto"/>
                <w:highlight w:val="none"/>
                <w:lang w:eastAsia="zh-CN"/>
              </w:rPr>
              <w:t>内完成供货、</w:t>
            </w:r>
            <w:r>
              <w:rPr>
                <w:rFonts w:hint="eastAsia" w:ascii="仿宋" w:hAnsi="仿宋" w:eastAsia="仿宋" w:cs="仿宋"/>
                <w:color w:val="auto"/>
                <w:highlight w:val="none"/>
                <w:lang w:val="en-US" w:eastAsia="zh-CN"/>
              </w:rPr>
              <w:t>安装、调试并投入使用。</w:t>
            </w:r>
          </w:p>
        </w:tc>
      </w:tr>
      <w:tr w14:paraId="4A82AFC6">
        <w:tblPrEx>
          <w:tblCellMar>
            <w:top w:w="0" w:type="dxa"/>
            <w:left w:w="108" w:type="dxa"/>
            <w:bottom w:w="0" w:type="dxa"/>
            <w:right w:w="108" w:type="dxa"/>
          </w:tblCellMar>
        </w:tblPrEx>
        <w:trPr>
          <w:trHeight w:val="85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CFEF52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p>
        </w:tc>
        <w:tc>
          <w:tcPr>
            <w:tcW w:w="1407" w:type="dxa"/>
            <w:tcBorders>
              <w:top w:val="single" w:color="auto" w:sz="4" w:space="0"/>
              <w:left w:val="single" w:color="auto" w:sz="4" w:space="0"/>
              <w:bottom w:val="single" w:color="auto" w:sz="4" w:space="0"/>
              <w:right w:val="single" w:color="auto" w:sz="4" w:space="0"/>
            </w:tcBorders>
            <w:vAlign w:val="center"/>
          </w:tcPr>
          <w:p w14:paraId="6E8423FC">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采购人信息</w:t>
            </w:r>
          </w:p>
        </w:tc>
        <w:tc>
          <w:tcPr>
            <w:tcW w:w="7400" w:type="dxa"/>
            <w:tcBorders>
              <w:top w:val="single" w:color="auto" w:sz="4" w:space="0"/>
              <w:left w:val="single" w:color="auto" w:sz="4" w:space="0"/>
              <w:bottom w:val="single" w:color="auto" w:sz="4" w:space="0"/>
              <w:right w:val="single" w:color="auto" w:sz="4" w:space="0"/>
            </w:tcBorders>
            <w:vAlign w:val="center"/>
          </w:tcPr>
          <w:p w14:paraId="3EB48DB0">
            <w:pPr>
              <w:spacing w:line="360" w:lineRule="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color w:val="auto"/>
                <w:highlight w:val="none"/>
                <w:lang w:eastAsia="zh-CN"/>
              </w:rPr>
              <w:t>名  称：</w:t>
            </w:r>
            <w:r>
              <w:rPr>
                <w:rFonts w:hint="eastAsia" w:ascii="仿宋" w:hAnsi="仿宋" w:eastAsia="仿宋" w:cs="仿宋"/>
                <w:color w:val="auto"/>
                <w:highlight w:val="none"/>
                <w:lang w:val="en-US" w:eastAsia="zh-CN"/>
              </w:rPr>
              <w:t>新疆</w:t>
            </w:r>
            <w:r>
              <w:rPr>
                <w:rFonts w:hint="eastAsia" w:ascii="仿宋" w:hAnsi="仿宋" w:eastAsia="仿宋" w:cs="仿宋"/>
                <w:b w:val="0"/>
                <w:bCs w:val="0"/>
                <w:i w:val="0"/>
                <w:iCs w:val="0"/>
                <w:caps w:val="0"/>
                <w:color w:val="auto"/>
                <w:spacing w:val="0"/>
                <w:sz w:val="24"/>
                <w:szCs w:val="24"/>
                <w:lang w:val="en-US" w:eastAsia="zh-CN"/>
              </w:rPr>
              <w:t>阿合奇县人民医院</w:t>
            </w:r>
          </w:p>
          <w:p w14:paraId="4CE68230">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eastAsia="zh-CN"/>
              </w:rPr>
              <w:t>联系人：</w:t>
            </w:r>
            <w:r>
              <w:rPr>
                <w:rFonts w:hint="eastAsia" w:ascii="仿宋" w:hAnsi="仿宋" w:eastAsia="仿宋" w:cs="仿宋"/>
                <w:color w:val="auto"/>
                <w:highlight w:val="none"/>
                <w:lang w:val="en-US" w:eastAsia="zh-CN"/>
              </w:rPr>
              <w:t>王</w:t>
            </w:r>
            <w:r>
              <w:rPr>
                <w:rFonts w:hint="eastAsia" w:ascii="仿宋" w:hAnsi="仿宋" w:eastAsia="仿宋" w:cs="仿宋"/>
                <w:color w:val="auto"/>
                <w:highlight w:val="none"/>
                <w:lang w:eastAsia="zh-CN"/>
              </w:rPr>
              <w:t>先生     电  话：</w:t>
            </w:r>
            <w:r>
              <w:rPr>
                <w:rFonts w:hint="eastAsia" w:ascii="仿宋" w:hAnsi="仿宋" w:eastAsia="仿宋" w:cs="仿宋"/>
                <w:i w:val="0"/>
                <w:iCs w:val="0"/>
                <w:caps w:val="0"/>
                <w:color w:val="auto"/>
                <w:spacing w:val="0"/>
                <w:sz w:val="24"/>
                <w:szCs w:val="24"/>
                <w:lang w:val="en-US" w:eastAsia="zh-CN"/>
              </w:rPr>
              <w:t>18097832118</w:t>
            </w:r>
          </w:p>
        </w:tc>
      </w:tr>
      <w:tr w14:paraId="631AF67E">
        <w:tblPrEx>
          <w:tblCellMar>
            <w:top w:w="0" w:type="dxa"/>
            <w:left w:w="108" w:type="dxa"/>
            <w:bottom w:w="0" w:type="dxa"/>
            <w:right w:w="108" w:type="dxa"/>
          </w:tblCellMar>
        </w:tblPrEx>
        <w:trPr>
          <w:trHeight w:val="128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3002F23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p>
        </w:tc>
        <w:tc>
          <w:tcPr>
            <w:tcW w:w="1407" w:type="dxa"/>
            <w:tcBorders>
              <w:top w:val="single" w:color="auto" w:sz="4" w:space="0"/>
              <w:left w:val="single" w:color="auto" w:sz="4" w:space="0"/>
              <w:bottom w:val="single" w:color="auto" w:sz="4" w:space="0"/>
              <w:right w:val="single" w:color="auto" w:sz="4" w:space="0"/>
            </w:tcBorders>
            <w:vAlign w:val="center"/>
          </w:tcPr>
          <w:p w14:paraId="7AF32A0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采购代理机构</w:t>
            </w:r>
          </w:p>
        </w:tc>
        <w:tc>
          <w:tcPr>
            <w:tcW w:w="7400" w:type="dxa"/>
            <w:tcBorders>
              <w:top w:val="single" w:color="auto" w:sz="4" w:space="0"/>
              <w:left w:val="single" w:color="auto" w:sz="4" w:space="0"/>
              <w:bottom w:val="single" w:color="auto" w:sz="4" w:space="0"/>
              <w:right w:val="single" w:color="auto" w:sz="4" w:space="0"/>
            </w:tcBorders>
            <w:vAlign w:val="center"/>
          </w:tcPr>
          <w:p w14:paraId="2CA2596D">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名 称：阿合奇县新越项目咨询有限责任公司　　　　　　　　   　</w:t>
            </w:r>
          </w:p>
          <w:p w14:paraId="10B61EF6">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地 址：阿合奇县</w:t>
            </w:r>
            <w:r>
              <w:rPr>
                <w:rFonts w:hint="eastAsia" w:ascii="仿宋" w:hAnsi="仿宋" w:eastAsia="仿宋" w:cs="仿宋"/>
                <w:color w:val="auto"/>
                <w:highlight w:val="none"/>
                <w:lang w:val="en-US" w:eastAsia="zh-CN"/>
              </w:rPr>
              <w:t>交通局4楼</w:t>
            </w:r>
          </w:p>
          <w:p w14:paraId="421BCB5B">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jc w:val="left"/>
              <w:textAlignment w:val="auto"/>
              <w:rPr>
                <w:rFonts w:hint="default" w:ascii="仿宋" w:hAnsi="仿宋" w:eastAsia="仿宋" w:cs="仿宋"/>
                <w:color w:val="auto"/>
                <w:highlight w:val="none"/>
                <w:lang w:val="en-US" w:eastAsia="zh-CN"/>
              </w:rPr>
            </w:pPr>
            <w:r>
              <w:rPr>
                <w:rFonts w:hint="default" w:ascii="仿宋" w:hAnsi="仿宋" w:eastAsia="仿宋" w:cs="仿宋"/>
                <w:color w:val="auto"/>
                <w:highlight w:val="none"/>
                <w:lang w:val="en-US" w:eastAsia="zh-CN"/>
              </w:rPr>
              <w:t>项目联系人：银先生   电  话：18809088695</w:t>
            </w:r>
          </w:p>
        </w:tc>
      </w:tr>
      <w:tr w14:paraId="7F5BCEA1">
        <w:tblPrEx>
          <w:tblCellMar>
            <w:top w:w="0" w:type="dxa"/>
            <w:left w:w="108" w:type="dxa"/>
            <w:bottom w:w="0" w:type="dxa"/>
            <w:right w:w="108" w:type="dxa"/>
          </w:tblCellMar>
        </w:tblPrEx>
        <w:trPr>
          <w:trHeight w:val="46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F0C034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4</w:t>
            </w:r>
          </w:p>
        </w:tc>
        <w:tc>
          <w:tcPr>
            <w:tcW w:w="1407" w:type="dxa"/>
            <w:tcBorders>
              <w:top w:val="single" w:color="auto" w:sz="4" w:space="0"/>
              <w:left w:val="single" w:color="auto" w:sz="4" w:space="0"/>
              <w:bottom w:val="single" w:color="auto" w:sz="4" w:space="0"/>
              <w:right w:val="single" w:color="auto" w:sz="4" w:space="0"/>
            </w:tcBorders>
            <w:vAlign w:val="center"/>
          </w:tcPr>
          <w:p w14:paraId="1BA03D7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最终交货地点</w:t>
            </w:r>
          </w:p>
        </w:tc>
        <w:tc>
          <w:tcPr>
            <w:tcW w:w="7400" w:type="dxa"/>
            <w:tcBorders>
              <w:top w:val="single" w:color="auto" w:sz="4" w:space="0"/>
              <w:left w:val="single" w:color="auto" w:sz="4" w:space="0"/>
              <w:bottom w:val="single" w:color="auto" w:sz="4" w:space="0"/>
              <w:right w:val="single" w:color="auto" w:sz="4" w:space="0"/>
            </w:tcBorders>
            <w:vAlign w:val="center"/>
          </w:tcPr>
          <w:p w14:paraId="69DC4EE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采购单位指定地点</w:t>
            </w:r>
          </w:p>
        </w:tc>
      </w:tr>
      <w:tr w14:paraId="7EE6FD30">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297AD6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5</w:t>
            </w:r>
          </w:p>
        </w:tc>
        <w:tc>
          <w:tcPr>
            <w:tcW w:w="1407" w:type="dxa"/>
            <w:tcBorders>
              <w:top w:val="single" w:color="auto" w:sz="4" w:space="0"/>
              <w:left w:val="single" w:color="auto" w:sz="4" w:space="0"/>
              <w:bottom w:val="single" w:color="auto" w:sz="4" w:space="0"/>
              <w:right w:val="single" w:color="auto" w:sz="4" w:space="0"/>
            </w:tcBorders>
            <w:vAlign w:val="center"/>
          </w:tcPr>
          <w:p w14:paraId="2886CCE0">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资格要求</w:t>
            </w:r>
          </w:p>
        </w:tc>
        <w:tc>
          <w:tcPr>
            <w:tcW w:w="7400" w:type="dxa"/>
            <w:tcBorders>
              <w:top w:val="single" w:color="auto" w:sz="4" w:space="0"/>
              <w:left w:val="single" w:color="auto" w:sz="4" w:space="0"/>
              <w:bottom w:val="single" w:color="auto" w:sz="4" w:space="0"/>
              <w:right w:val="single" w:color="auto" w:sz="4" w:space="0"/>
            </w:tcBorders>
            <w:vAlign w:val="center"/>
          </w:tcPr>
          <w:p w14:paraId="65F07BC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1.满足《中华人民共和国政府采购法》第二十二条规定；</w:t>
            </w:r>
          </w:p>
          <w:p w14:paraId="2A8B9704">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落实政府采购政策需满足的资格要求：本项目为非专门面向中小企业（含中型、小型、微型企业）采购项目，根据《政府采购促进中小企业发展管理办法》（财库[2020]46号）的规定，评标时将给予小型、微型企业进行价格10%的优惠，用优惠后的价格参与评审。 </w:t>
            </w:r>
          </w:p>
          <w:p w14:paraId="6BCE3217">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3.本项目的特定资格要求：</w:t>
            </w:r>
          </w:p>
          <w:p w14:paraId="78E34780">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1)具备三证合一营业执照副本；</w:t>
            </w:r>
          </w:p>
          <w:p w14:paraId="79E03D23">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2)法定代表人投标须提供法定代表人资格证明书，委托代理人投标须提供法定代表人授权委托书；</w:t>
            </w:r>
          </w:p>
          <w:p w14:paraId="31AFEEF5">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3)投标企业须提供供应商（被授权本单位在职人员）近6个月内任意1个月的有效社保证明；</w:t>
            </w:r>
          </w:p>
          <w:p w14:paraId="04E65880">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)所投产品属于第二类医疗器械的，投标企业</w:t>
            </w:r>
            <w:r>
              <w:rPr>
                <w:rFonts w:hint="eastAsia" w:ascii="仿宋" w:hAnsi="仿宋" w:eastAsia="仿宋" w:cs="仿宋"/>
                <w:color w:val="auto"/>
                <w:highlight w:val="none"/>
                <w:lang w:val="en-US" w:eastAsia="zh-CN"/>
              </w:rPr>
              <w:t>须</w:t>
            </w:r>
            <w:r>
              <w:rPr>
                <w:rFonts w:hint="eastAsia" w:ascii="仿宋" w:hAnsi="仿宋" w:eastAsia="仿宋" w:cs="仿宋"/>
                <w:color w:val="auto"/>
                <w:highlight w:val="none"/>
                <w:lang w:eastAsia="zh-CN"/>
              </w:rPr>
              <w:t>提供有效的行政主管部门颁发的医疗器械经营备案凭证（或医疗器械生产许可证或医疗器械经营许可证）；所投产品属于第三类医疗器械的，</w:t>
            </w:r>
            <w:r>
              <w:rPr>
                <w:rFonts w:hint="eastAsia" w:ascii="仿宋" w:hAnsi="仿宋" w:eastAsia="仿宋" w:cs="仿宋"/>
                <w:color w:val="auto"/>
                <w:highlight w:val="none"/>
                <w:lang w:val="en-US" w:eastAsia="zh-CN"/>
              </w:rPr>
              <w:t>须</w:t>
            </w:r>
            <w:r>
              <w:rPr>
                <w:rFonts w:hint="eastAsia" w:ascii="仿宋" w:hAnsi="仿宋" w:eastAsia="仿宋" w:cs="仿宋"/>
                <w:color w:val="auto"/>
                <w:highlight w:val="none"/>
                <w:lang w:eastAsia="zh-CN"/>
              </w:rPr>
              <w:t>提供有效的行政主管部门颁发的医疗器械生产许可证（或医疗器械经营许可证）。</w:t>
            </w:r>
          </w:p>
          <w:p w14:paraId="7445E506">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参加政府采购活动前三年内，在经营活动中没有重大违法记录；未被“信用中国”（www.creditchina.gov.cn）、中国政府采购网（www.ccgp.gov.cn）列入失信被执行人、税收违法黑名单、政府采购严重违法失信行为记录名单。</w:t>
            </w:r>
          </w:p>
          <w:p w14:paraId="490072B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4.本项目不接受联合体投标。</w:t>
            </w:r>
          </w:p>
        </w:tc>
      </w:tr>
      <w:tr w14:paraId="77FE4182">
        <w:tblPrEx>
          <w:tblCellMar>
            <w:top w:w="0" w:type="dxa"/>
            <w:left w:w="108" w:type="dxa"/>
            <w:bottom w:w="0" w:type="dxa"/>
            <w:right w:w="108" w:type="dxa"/>
          </w:tblCellMar>
        </w:tblPrEx>
        <w:trPr>
          <w:trHeight w:val="45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BF23544">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w:t>
            </w:r>
          </w:p>
        </w:tc>
        <w:tc>
          <w:tcPr>
            <w:tcW w:w="1407" w:type="dxa"/>
            <w:tcBorders>
              <w:top w:val="single" w:color="auto" w:sz="4" w:space="0"/>
              <w:left w:val="single" w:color="auto" w:sz="4" w:space="0"/>
              <w:bottom w:val="single" w:color="auto" w:sz="4" w:space="0"/>
              <w:right w:val="single" w:color="auto" w:sz="4" w:space="0"/>
            </w:tcBorders>
            <w:vAlign w:val="center"/>
          </w:tcPr>
          <w:p w14:paraId="0F58FB14">
            <w:pPr>
              <w:spacing w:line="360" w:lineRule="auto"/>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采购范围</w:t>
            </w:r>
          </w:p>
        </w:tc>
        <w:tc>
          <w:tcPr>
            <w:tcW w:w="7400" w:type="dxa"/>
            <w:tcBorders>
              <w:top w:val="single" w:color="auto" w:sz="4" w:space="0"/>
              <w:left w:val="single" w:color="auto" w:sz="4" w:space="0"/>
              <w:bottom w:val="single" w:color="auto" w:sz="4" w:space="0"/>
              <w:right w:val="single" w:color="auto" w:sz="4" w:space="0"/>
            </w:tcBorders>
            <w:vAlign w:val="center"/>
          </w:tcPr>
          <w:p w14:paraId="59AB6B83">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采购人不采购进口产品。</w:t>
            </w:r>
          </w:p>
        </w:tc>
      </w:tr>
      <w:tr w14:paraId="7A6FD915">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F1D632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p>
        </w:tc>
        <w:tc>
          <w:tcPr>
            <w:tcW w:w="1407" w:type="dxa"/>
            <w:tcBorders>
              <w:top w:val="single" w:color="auto" w:sz="4" w:space="0"/>
              <w:left w:val="single" w:color="auto" w:sz="4" w:space="0"/>
              <w:bottom w:val="single" w:color="auto" w:sz="4" w:space="0"/>
              <w:right w:val="single" w:color="auto" w:sz="4" w:space="0"/>
            </w:tcBorders>
            <w:vAlign w:val="center"/>
          </w:tcPr>
          <w:p w14:paraId="769ACE0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资金来源</w:t>
            </w:r>
          </w:p>
        </w:tc>
        <w:tc>
          <w:tcPr>
            <w:tcW w:w="7400" w:type="dxa"/>
            <w:tcBorders>
              <w:top w:val="single" w:color="auto" w:sz="4" w:space="0"/>
              <w:left w:val="single" w:color="auto" w:sz="4" w:space="0"/>
              <w:bottom w:val="single" w:color="auto" w:sz="4" w:space="0"/>
              <w:right w:val="single" w:color="auto" w:sz="4" w:space="0"/>
            </w:tcBorders>
            <w:vAlign w:val="center"/>
          </w:tcPr>
          <w:p w14:paraId="64D46F6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财政</w:t>
            </w:r>
            <w:r>
              <w:rPr>
                <w:rFonts w:hint="eastAsia" w:ascii="仿宋" w:hAnsi="仿宋" w:eastAsia="仿宋" w:cs="仿宋"/>
                <w:color w:val="auto"/>
                <w:highlight w:val="none"/>
                <w:lang w:eastAsia="zh-CN"/>
              </w:rPr>
              <w:t>资金</w:t>
            </w:r>
          </w:p>
        </w:tc>
      </w:tr>
      <w:tr w14:paraId="6C85CCB8">
        <w:tblPrEx>
          <w:tblCellMar>
            <w:top w:w="0" w:type="dxa"/>
            <w:left w:w="108" w:type="dxa"/>
            <w:bottom w:w="0" w:type="dxa"/>
            <w:right w:w="108" w:type="dxa"/>
          </w:tblCellMar>
        </w:tblPrEx>
        <w:trPr>
          <w:trHeight w:val="52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7DC3DC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p>
        </w:tc>
        <w:tc>
          <w:tcPr>
            <w:tcW w:w="1407" w:type="dxa"/>
            <w:tcBorders>
              <w:top w:val="single" w:color="auto" w:sz="4" w:space="0"/>
              <w:left w:val="single" w:color="auto" w:sz="4" w:space="0"/>
              <w:bottom w:val="single" w:color="auto" w:sz="4" w:space="0"/>
              <w:right w:val="single" w:color="auto" w:sz="4" w:space="0"/>
            </w:tcBorders>
            <w:vAlign w:val="center"/>
          </w:tcPr>
          <w:p w14:paraId="5D7F9DDA">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招标方式</w:t>
            </w:r>
          </w:p>
        </w:tc>
        <w:tc>
          <w:tcPr>
            <w:tcW w:w="7400" w:type="dxa"/>
            <w:tcBorders>
              <w:top w:val="single" w:color="auto" w:sz="4" w:space="0"/>
              <w:left w:val="single" w:color="auto" w:sz="4" w:space="0"/>
              <w:bottom w:val="single" w:color="auto" w:sz="4" w:space="0"/>
              <w:right w:val="single" w:color="auto" w:sz="4" w:space="0"/>
            </w:tcBorders>
            <w:vAlign w:val="center"/>
          </w:tcPr>
          <w:p w14:paraId="5C602AE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公开招标(本项目采用网上电子招投标)  </w:t>
            </w:r>
          </w:p>
        </w:tc>
      </w:tr>
      <w:tr w14:paraId="28FDFFC2">
        <w:tblPrEx>
          <w:tblCellMar>
            <w:top w:w="0" w:type="dxa"/>
            <w:left w:w="108" w:type="dxa"/>
            <w:bottom w:w="0" w:type="dxa"/>
            <w:right w:w="108" w:type="dxa"/>
          </w:tblCellMar>
        </w:tblPrEx>
        <w:trPr>
          <w:trHeight w:val="4847"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234ADCB">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p>
        </w:tc>
        <w:tc>
          <w:tcPr>
            <w:tcW w:w="1407" w:type="dxa"/>
            <w:tcBorders>
              <w:top w:val="single" w:color="auto" w:sz="4" w:space="0"/>
              <w:left w:val="single" w:color="auto" w:sz="4" w:space="0"/>
              <w:bottom w:val="single" w:color="auto" w:sz="4" w:space="0"/>
              <w:right w:val="single" w:color="auto" w:sz="4" w:space="0"/>
            </w:tcBorders>
            <w:vAlign w:val="center"/>
          </w:tcPr>
          <w:p w14:paraId="4BC9F11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供应商信用查询</w:t>
            </w:r>
          </w:p>
        </w:tc>
        <w:tc>
          <w:tcPr>
            <w:tcW w:w="7400" w:type="dxa"/>
            <w:tcBorders>
              <w:top w:val="single" w:color="auto" w:sz="4" w:space="0"/>
              <w:left w:val="single" w:color="auto" w:sz="4" w:space="0"/>
              <w:bottom w:val="single" w:color="auto" w:sz="4" w:space="0"/>
              <w:right w:val="single" w:color="auto" w:sz="4" w:space="0"/>
            </w:tcBorders>
            <w:vAlign w:val="center"/>
          </w:tcPr>
          <w:p w14:paraId="00C0819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1、查询渠道：信用中国（网址：http://www.creditchina.gov.cn）、中国政府采购网(网址：http://www.ccgp.gov.cn）。</w:t>
            </w:r>
          </w:p>
          <w:p w14:paraId="686493E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2、截止时</w:t>
            </w:r>
            <w:r>
              <w:rPr>
                <w:rFonts w:hint="eastAsia" w:ascii="仿宋" w:hAnsi="仿宋" w:eastAsia="仿宋" w:cs="仿宋"/>
                <w:color w:val="auto"/>
                <w:highlight w:val="none"/>
                <w:lang w:val="en-US" w:eastAsia="zh-CN"/>
              </w:rPr>
              <w:t>间</w:t>
            </w:r>
            <w:r>
              <w:rPr>
                <w:rFonts w:hint="eastAsia" w:ascii="仿宋" w:hAnsi="仿宋" w:eastAsia="仿宋" w:cs="仿宋"/>
                <w:color w:val="auto"/>
                <w:highlight w:val="none"/>
                <w:lang w:eastAsia="zh-CN"/>
              </w:rPr>
              <w:t>：开标后评标前。</w:t>
            </w:r>
          </w:p>
          <w:p w14:paraId="7EE4500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3、信用信息查询记录和证据留存的具体方式：由采购组织机构在规定查询时间内打印信用信息查询记录并归入项目档案。</w:t>
            </w:r>
          </w:p>
          <w:p w14:paraId="0231660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14:paraId="4B60E5CA">
        <w:tblPrEx>
          <w:tblCellMar>
            <w:top w:w="0" w:type="dxa"/>
            <w:left w:w="108" w:type="dxa"/>
            <w:bottom w:w="0" w:type="dxa"/>
            <w:right w:w="108" w:type="dxa"/>
          </w:tblCellMar>
        </w:tblPrEx>
        <w:trPr>
          <w:trHeight w:val="104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3F8A07F">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10</w:t>
            </w:r>
          </w:p>
        </w:tc>
        <w:tc>
          <w:tcPr>
            <w:tcW w:w="1407" w:type="dxa"/>
            <w:tcBorders>
              <w:top w:val="single" w:color="auto" w:sz="4" w:space="0"/>
              <w:left w:val="single" w:color="auto" w:sz="4" w:space="0"/>
              <w:bottom w:val="single" w:color="auto" w:sz="4" w:space="0"/>
              <w:right w:val="single" w:color="auto" w:sz="4" w:space="0"/>
            </w:tcBorders>
            <w:vAlign w:val="center"/>
          </w:tcPr>
          <w:p w14:paraId="7A914C9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是否接受联合体投标</w:t>
            </w:r>
          </w:p>
        </w:tc>
        <w:tc>
          <w:tcPr>
            <w:tcW w:w="7400" w:type="dxa"/>
            <w:tcBorders>
              <w:top w:val="single" w:color="auto" w:sz="4" w:space="0"/>
              <w:left w:val="single" w:color="auto" w:sz="4" w:space="0"/>
              <w:bottom w:val="single" w:color="auto" w:sz="4" w:space="0"/>
              <w:right w:val="single" w:color="auto" w:sz="4" w:space="0"/>
            </w:tcBorders>
            <w:vAlign w:val="center"/>
          </w:tcPr>
          <w:p w14:paraId="04B8B84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■不接受</w:t>
            </w:r>
          </w:p>
          <w:p w14:paraId="0551025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□接  受</w:t>
            </w:r>
          </w:p>
        </w:tc>
      </w:tr>
      <w:tr w14:paraId="00B9F1BE">
        <w:tblPrEx>
          <w:tblCellMar>
            <w:top w:w="0" w:type="dxa"/>
            <w:left w:w="108" w:type="dxa"/>
            <w:bottom w:w="0" w:type="dxa"/>
            <w:right w:w="108" w:type="dxa"/>
          </w:tblCellMar>
        </w:tblPrEx>
        <w:trPr>
          <w:trHeight w:val="88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FA39885">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11</w:t>
            </w:r>
          </w:p>
        </w:tc>
        <w:tc>
          <w:tcPr>
            <w:tcW w:w="1407" w:type="dxa"/>
            <w:tcBorders>
              <w:top w:val="single" w:color="auto" w:sz="4" w:space="0"/>
              <w:left w:val="single" w:color="auto" w:sz="4" w:space="0"/>
              <w:bottom w:val="single" w:color="auto" w:sz="4" w:space="0"/>
              <w:right w:val="single" w:color="auto" w:sz="4" w:space="0"/>
            </w:tcBorders>
            <w:vAlign w:val="center"/>
          </w:tcPr>
          <w:p w14:paraId="7627F5C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 （开标时间）</w:t>
            </w:r>
          </w:p>
        </w:tc>
        <w:tc>
          <w:tcPr>
            <w:tcW w:w="7400" w:type="dxa"/>
            <w:tcBorders>
              <w:top w:val="single" w:color="auto" w:sz="4" w:space="0"/>
              <w:left w:val="single" w:color="auto" w:sz="4" w:space="0"/>
              <w:bottom w:val="single" w:color="auto" w:sz="4" w:space="0"/>
              <w:right w:val="single" w:color="auto" w:sz="4" w:space="0"/>
            </w:tcBorders>
            <w:vAlign w:val="center"/>
          </w:tcPr>
          <w:p w14:paraId="341FAA4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 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 24 </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u w:val="single"/>
                <w:lang w:eastAsia="zh-CN"/>
              </w:rPr>
              <w:t>上午</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eastAsia="zh-CN"/>
              </w:rPr>
              <w:t>时</w:t>
            </w:r>
            <w:r>
              <w:rPr>
                <w:rFonts w:hint="eastAsia" w:ascii="仿宋" w:hAnsi="仿宋" w:eastAsia="仿宋" w:cs="仿宋"/>
                <w:color w:val="auto"/>
                <w:highlight w:val="none"/>
                <w:u w:val="single"/>
                <w:lang w:val="en-US" w:eastAsia="zh-CN"/>
              </w:rPr>
              <w:t>30</w:t>
            </w:r>
            <w:r>
              <w:rPr>
                <w:rFonts w:hint="eastAsia" w:ascii="仿宋" w:hAnsi="仿宋" w:eastAsia="仿宋" w:cs="仿宋"/>
                <w:color w:val="auto"/>
                <w:highlight w:val="none"/>
                <w:u w:val="single"/>
                <w:lang w:eastAsia="zh-CN"/>
              </w:rPr>
              <w:t>分</w:t>
            </w:r>
            <w:r>
              <w:rPr>
                <w:rFonts w:hint="eastAsia" w:ascii="仿宋" w:hAnsi="仿宋" w:eastAsia="仿宋" w:cs="仿宋"/>
                <w:color w:val="auto"/>
                <w:highlight w:val="none"/>
                <w:lang w:eastAsia="zh-CN"/>
              </w:rPr>
              <w:t>（北京时间）</w:t>
            </w:r>
          </w:p>
        </w:tc>
      </w:tr>
      <w:tr w14:paraId="2965BE54">
        <w:tblPrEx>
          <w:tblCellMar>
            <w:top w:w="0" w:type="dxa"/>
            <w:left w:w="108" w:type="dxa"/>
            <w:bottom w:w="0" w:type="dxa"/>
            <w:right w:w="108" w:type="dxa"/>
          </w:tblCellMar>
        </w:tblPrEx>
        <w:trPr>
          <w:trHeight w:val="47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07D3C9A">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12</w:t>
            </w:r>
          </w:p>
        </w:tc>
        <w:tc>
          <w:tcPr>
            <w:tcW w:w="1407" w:type="dxa"/>
            <w:tcBorders>
              <w:top w:val="single" w:color="auto" w:sz="4" w:space="0"/>
              <w:left w:val="single" w:color="auto" w:sz="4" w:space="0"/>
              <w:bottom w:val="single" w:color="auto" w:sz="4" w:space="0"/>
              <w:right w:val="single" w:color="auto" w:sz="4" w:space="0"/>
            </w:tcBorders>
            <w:vAlign w:val="center"/>
          </w:tcPr>
          <w:p w14:paraId="606D3C6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w:t>
            </w:r>
          </w:p>
        </w:tc>
        <w:tc>
          <w:tcPr>
            <w:tcW w:w="7400" w:type="dxa"/>
            <w:tcBorders>
              <w:top w:val="single" w:color="auto" w:sz="4" w:space="0"/>
              <w:left w:val="single" w:color="auto" w:sz="4" w:space="0"/>
              <w:bottom w:val="single" w:color="auto" w:sz="4" w:space="0"/>
              <w:right w:val="single" w:color="auto" w:sz="4" w:space="0"/>
            </w:tcBorders>
            <w:vAlign w:val="center"/>
          </w:tcPr>
          <w:p w14:paraId="1DA3B4E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60 天</w:t>
            </w:r>
          </w:p>
        </w:tc>
      </w:tr>
      <w:tr w14:paraId="1CAF4223">
        <w:tblPrEx>
          <w:tblCellMar>
            <w:top w:w="0" w:type="dxa"/>
            <w:left w:w="108" w:type="dxa"/>
            <w:bottom w:w="0" w:type="dxa"/>
            <w:right w:w="108" w:type="dxa"/>
          </w:tblCellMar>
        </w:tblPrEx>
        <w:trPr>
          <w:trHeight w:val="638"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D954A96">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13</w:t>
            </w:r>
          </w:p>
        </w:tc>
        <w:tc>
          <w:tcPr>
            <w:tcW w:w="1407" w:type="dxa"/>
            <w:tcBorders>
              <w:top w:val="single" w:color="auto" w:sz="4" w:space="0"/>
              <w:left w:val="single" w:color="auto" w:sz="4" w:space="0"/>
              <w:bottom w:val="single" w:color="auto" w:sz="4" w:space="0"/>
              <w:right w:val="single" w:color="auto" w:sz="4" w:space="0"/>
            </w:tcBorders>
            <w:vAlign w:val="center"/>
          </w:tcPr>
          <w:p w14:paraId="5ADDD99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w:t>
            </w:r>
          </w:p>
        </w:tc>
        <w:tc>
          <w:tcPr>
            <w:tcW w:w="7400" w:type="dxa"/>
            <w:tcBorders>
              <w:top w:val="single" w:color="auto" w:sz="4" w:space="0"/>
              <w:left w:val="single" w:color="auto" w:sz="4" w:space="0"/>
              <w:bottom w:val="single" w:color="auto" w:sz="4" w:space="0"/>
              <w:right w:val="single" w:color="auto" w:sz="4" w:space="0"/>
            </w:tcBorders>
            <w:vAlign w:val="center"/>
          </w:tcPr>
          <w:p w14:paraId="6F8FD85C">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一、投标保证金缴纳要求：</w:t>
            </w:r>
          </w:p>
          <w:p w14:paraId="4661D6DD">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投标保证金应当以支票、汇票、本票、网上银行支付或者金融机构、担保机构出具的保函等非现金形式缴纳。</w:t>
            </w:r>
          </w:p>
          <w:p w14:paraId="57E4B6A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投标保证金金额20000.00元     大写：贰万元整</w:t>
            </w:r>
          </w:p>
          <w:p w14:paraId="3C3E644A">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投标保证金缴纳要求：</w:t>
            </w:r>
          </w:p>
          <w:p w14:paraId="3CA47C3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1、投标保证金以电汇、网银等转账形式提交的，应在投标截止时间 2025年4月24日 10:30(北京时间)前以总公司的基本账户一次性汇入指定账户(以到账时间为准)，不接受现金及任何个人汇款。汇款凭证作为该项目投标保证金的缴纳依据。2、投标保证金以保函等票据形式提交的，金融机构、担保机构出具的票据原件须扫描上传，标书内附有此票据。3、有效投标保证金成功交纳后，截止开标时间，供应商无正当理由不参加该项目投标且不递交弃标函，投标保证金不予退还.</w:t>
            </w:r>
          </w:p>
          <w:p w14:paraId="0B2C09B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户名 :阿合奇县政务服务和公共资源交易中心</w:t>
            </w:r>
          </w:p>
          <w:p w14:paraId="5899CA61">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账号:30473101040008918</w:t>
            </w:r>
          </w:p>
          <w:p w14:paraId="7D43E17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行名 :中国农业银行阿合奇县支行营业部</w:t>
            </w:r>
          </w:p>
          <w:p w14:paraId="6A01A130">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联系人 :李女士</w:t>
            </w:r>
          </w:p>
          <w:p w14:paraId="35061412">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电话:0908-5622028</w:t>
            </w:r>
          </w:p>
          <w:p w14:paraId="1B97703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(备注 :必须写清楚 xx 公司 xx 项目保证金)</w:t>
            </w:r>
          </w:p>
          <w:p w14:paraId="06C5E7FD">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退换保证金资料要求 :换取投标保证企收款收据资料(有效投标保证金确定成功缴纳):1、基本账户信息/开户许可证复印件(两份):2、银行电子回单复印件(两份)</w:t>
            </w:r>
          </w:p>
          <w:p w14:paraId="19209AF2">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 :复印件“必须加盖投标人公章 ”</w:t>
            </w:r>
          </w:p>
          <w:p w14:paraId="11DBFF9B">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二、申请退还投标保证金资料(招投标结束中标结果公示后):</w:t>
            </w:r>
          </w:p>
          <w:p w14:paraId="23E04EF6">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1、投标人 :待开标完成后，3 个工作日以内政资中心财务人员将收</w:t>
            </w:r>
          </w:p>
          <w:p w14:paraId="4D8AAD98">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取得项目投标保证金按投标人基本户退回。</w:t>
            </w:r>
          </w:p>
          <w:p w14:paraId="77E05BAF">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2、中标人 :需提供已签订合同复印件一份(并携带合同原件，由中心工作人员核对后退还)。</w:t>
            </w:r>
          </w:p>
          <w:p w14:paraId="5F5DD629">
            <w:pPr>
              <w:numPr>
                <w:ilvl w:val="0"/>
                <w:numId w:val="0"/>
              </w:numPr>
              <w:shd w:val="clear" w:color="auto" w:fill="auto"/>
              <w:spacing w:line="360" w:lineRule="auto"/>
              <w:jc w:val="lef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三、其他特殊情况处理 :</w:t>
            </w:r>
          </w:p>
          <w:p w14:paraId="33539D00">
            <w:pPr>
              <w:numPr>
                <w:ilvl w:val="0"/>
                <w:numId w:val="0"/>
              </w:numPr>
              <w:shd w:val="clear" w:color="auto" w:fill="auto"/>
              <w:spacing w:line="360" w:lineRule="auto"/>
              <w:jc w:val="left"/>
              <w:rPr>
                <w:color w:val="auto"/>
                <w:highlight w:val="none"/>
                <w:lang w:eastAsia="zh-CN"/>
              </w:rPr>
            </w:pPr>
            <w:r>
              <w:rPr>
                <w:rFonts w:hint="eastAsia" w:ascii="仿宋" w:hAnsi="仿宋" w:eastAsia="仿宋" w:cs="仿宋"/>
                <w:b w:val="0"/>
                <w:bCs w:val="0"/>
                <w:color w:val="auto"/>
                <w:sz w:val="24"/>
                <w:szCs w:val="24"/>
                <w:highlight w:val="none"/>
                <w:lang w:val="en-US" w:eastAsia="zh-CN"/>
              </w:rPr>
              <w:t xml:space="preserve">按照招标文件要求规定 :投标人无正当理由不参加该项目投标且在规定开标时间前不递交弃标函，投标保证金不予退还。                      </w:t>
            </w:r>
            <w:r>
              <w:rPr>
                <w:rFonts w:hint="eastAsia" w:ascii="仿宋" w:hAnsi="仿宋" w:eastAsia="仿宋" w:cs="仿宋"/>
                <w:color w:val="auto"/>
                <w:highlight w:val="none"/>
                <w:lang w:eastAsia="zh-CN"/>
              </w:rPr>
              <w:t xml:space="preserve"> </w:t>
            </w:r>
          </w:p>
        </w:tc>
      </w:tr>
      <w:tr w14:paraId="5233FFC7">
        <w:tblPrEx>
          <w:tblCellMar>
            <w:top w:w="0" w:type="dxa"/>
            <w:left w:w="108" w:type="dxa"/>
            <w:bottom w:w="0" w:type="dxa"/>
            <w:right w:w="108" w:type="dxa"/>
          </w:tblCellMar>
        </w:tblPrEx>
        <w:trPr>
          <w:trHeight w:val="140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9B09D8B">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14</w:t>
            </w:r>
          </w:p>
        </w:tc>
        <w:tc>
          <w:tcPr>
            <w:tcW w:w="1407" w:type="dxa"/>
            <w:tcBorders>
              <w:top w:val="single" w:color="auto" w:sz="4" w:space="0"/>
              <w:left w:val="single" w:color="auto" w:sz="4" w:space="0"/>
              <w:bottom w:val="single" w:color="auto" w:sz="4" w:space="0"/>
              <w:right w:val="single" w:color="auto" w:sz="4" w:space="0"/>
            </w:tcBorders>
            <w:vAlign w:val="center"/>
          </w:tcPr>
          <w:p w14:paraId="1717D72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是否允许递交备选  投标方案</w:t>
            </w:r>
          </w:p>
        </w:tc>
        <w:tc>
          <w:tcPr>
            <w:tcW w:w="7400" w:type="dxa"/>
            <w:tcBorders>
              <w:top w:val="single" w:color="auto" w:sz="4" w:space="0"/>
              <w:left w:val="single" w:color="auto" w:sz="4" w:space="0"/>
              <w:bottom w:val="single" w:color="auto" w:sz="4" w:space="0"/>
              <w:right w:val="single" w:color="auto" w:sz="4" w:space="0"/>
            </w:tcBorders>
            <w:vAlign w:val="center"/>
          </w:tcPr>
          <w:p w14:paraId="2B75D5A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■不允许</w:t>
            </w:r>
          </w:p>
          <w:p w14:paraId="61B6046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□允  许</w:t>
            </w:r>
          </w:p>
        </w:tc>
      </w:tr>
      <w:tr w14:paraId="418F709F">
        <w:tblPrEx>
          <w:tblCellMar>
            <w:top w:w="0" w:type="dxa"/>
            <w:left w:w="108" w:type="dxa"/>
            <w:bottom w:w="0" w:type="dxa"/>
            <w:right w:w="108" w:type="dxa"/>
          </w:tblCellMar>
        </w:tblPrEx>
        <w:trPr>
          <w:trHeight w:val="67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4A59317">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15</w:t>
            </w:r>
          </w:p>
        </w:tc>
        <w:tc>
          <w:tcPr>
            <w:tcW w:w="1407" w:type="dxa"/>
            <w:tcBorders>
              <w:top w:val="single" w:color="auto" w:sz="4" w:space="0"/>
              <w:left w:val="single" w:color="auto" w:sz="4" w:space="0"/>
              <w:bottom w:val="single" w:color="auto" w:sz="4" w:space="0"/>
              <w:right w:val="single" w:color="auto" w:sz="4" w:space="0"/>
            </w:tcBorders>
            <w:vAlign w:val="center"/>
          </w:tcPr>
          <w:p w14:paraId="2A69B37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招标文件领取</w:t>
            </w:r>
          </w:p>
        </w:tc>
        <w:tc>
          <w:tcPr>
            <w:tcW w:w="7400" w:type="dxa"/>
            <w:tcBorders>
              <w:top w:val="single" w:color="auto" w:sz="4" w:space="0"/>
              <w:left w:val="single" w:color="auto" w:sz="4" w:space="0"/>
              <w:bottom w:val="single" w:color="auto" w:sz="4" w:space="0"/>
              <w:right w:val="single" w:color="auto" w:sz="4" w:space="0"/>
            </w:tcBorders>
            <w:vAlign w:val="center"/>
          </w:tcPr>
          <w:p w14:paraId="1BF362C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u w:val="none"/>
                <w:lang w:eastAsia="zh-CN"/>
              </w:rPr>
              <w:t>时间：</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 4 </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 3</w:t>
            </w:r>
            <w:r>
              <w:rPr>
                <w:rFonts w:hint="eastAsia" w:ascii="仿宋" w:hAnsi="仿宋" w:eastAsia="仿宋" w:cs="仿宋"/>
                <w:color w:val="auto"/>
                <w:highlight w:val="none"/>
                <w:u w:val="single"/>
                <w:lang w:eastAsia="zh-CN"/>
              </w:rPr>
              <w:t>日至202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 xml:space="preserve"> 4 </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 xml:space="preserve"> 11 </w:t>
            </w:r>
            <w:r>
              <w:rPr>
                <w:rFonts w:hint="eastAsia" w:ascii="仿宋" w:hAnsi="仿宋" w:eastAsia="仿宋" w:cs="仿宋"/>
                <w:color w:val="auto"/>
                <w:highlight w:val="none"/>
                <w:u w:val="single"/>
                <w:lang w:eastAsia="zh-CN"/>
              </w:rPr>
              <w:t>日</w:t>
            </w:r>
            <w:r>
              <w:rPr>
                <w:rFonts w:hint="eastAsia" w:ascii="仿宋" w:hAnsi="仿宋" w:eastAsia="仿宋" w:cs="仿宋"/>
                <w:color w:val="auto"/>
                <w:highlight w:val="none"/>
                <w:lang w:eastAsia="zh-CN"/>
              </w:rPr>
              <w:t>，每天上午10:00至1</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0，下午16:</w:t>
            </w:r>
            <w:r>
              <w:rPr>
                <w:rFonts w:hint="eastAsia" w:ascii="仿宋" w:hAnsi="仿宋" w:eastAsia="仿宋" w:cs="仿宋"/>
                <w:color w:val="auto"/>
                <w:highlight w:val="none"/>
                <w:lang w:val="en-US" w:eastAsia="zh-CN"/>
              </w:rPr>
              <w:t>0</w:t>
            </w:r>
            <w:r>
              <w:rPr>
                <w:rFonts w:hint="eastAsia" w:ascii="仿宋" w:hAnsi="仿宋" w:eastAsia="仿宋" w:cs="仿宋"/>
                <w:color w:val="auto"/>
                <w:highlight w:val="none"/>
                <w:lang w:eastAsia="zh-CN"/>
              </w:rPr>
              <w:t>0至</w:t>
            </w:r>
            <w:r>
              <w:rPr>
                <w:rFonts w:hint="eastAsia" w:ascii="仿宋" w:hAnsi="仿宋" w:eastAsia="仿宋" w:cs="仿宋"/>
                <w:color w:val="auto"/>
                <w:highlight w:val="none"/>
                <w:lang w:val="en-US" w:eastAsia="zh-CN"/>
              </w:rPr>
              <w:t>19</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（北京时间，节假日除外）</w:t>
            </w:r>
          </w:p>
          <w:p w14:paraId="45DEA914">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地点：政采云平台线上。</w:t>
            </w:r>
          </w:p>
          <w:p w14:paraId="2D658FF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方式：供应商登录政采云平台https://www.zcygov.cn/在线申请获取采购文件（进入“项目采购”应用，在获取采购文件菜单中选择项目，申请获取采购文件）</w:t>
            </w:r>
          </w:p>
          <w:p w14:paraId="706556D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（2）供应商获取招标文件前应注册成为政府采购云平台正式供应商。</w:t>
            </w:r>
          </w:p>
        </w:tc>
      </w:tr>
      <w:tr w14:paraId="015371B9">
        <w:tblPrEx>
          <w:tblCellMar>
            <w:top w:w="0" w:type="dxa"/>
            <w:left w:w="108" w:type="dxa"/>
            <w:bottom w:w="0" w:type="dxa"/>
            <w:right w:w="108" w:type="dxa"/>
          </w:tblCellMar>
        </w:tblPrEx>
        <w:trPr>
          <w:trHeight w:val="84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56D0204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16</w:t>
            </w:r>
          </w:p>
        </w:tc>
        <w:tc>
          <w:tcPr>
            <w:tcW w:w="1407" w:type="dxa"/>
            <w:tcBorders>
              <w:top w:val="single" w:color="auto" w:sz="4" w:space="0"/>
              <w:left w:val="single" w:color="auto" w:sz="4" w:space="0"/>
              <w:bottom w:val="single" w:color="auto" w:sz="4" w:space="0"/>
              <w:right w:val="single" w:color="auto" w:sz="4" w:space="0"/>
            </w:tcBorders>
            <w:vAlign w:val="center"/>
          </w:tcPr>
          <w:p w14:paraId="0E73B075">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投标文件形式</w:t>
            </w:r>
          </w:p>
        </w:tc>
        <w:tc>
          <w:tcPr>
            <w:tcW w:w="7400" w:type="dxa"/>
            <w:tcBorders>
              <w:top w:val="single" w:color="auto" w:sz="4" w:space="0"/>
              <w:left w:val="single" w:color="auto" w:sz="4" w:space="0"/>
              <w:bottom w:val="single" w:color="auto" w:sz="4" w:space="0"/>
              <w:right w:val="single" w:color="auto" w:sz="4" w:space="0"/>
            </w:tcBorders>
            <w:vAlign w:val="center"/>
          </w:tcPr>
          <w:p w14:paraId="7D0D342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电子投标文件包括“电子加密投标文件”和“备份投标文件”，在投标文件编制完成后同时生成。</w:t>
            </w:r>
          </w:p>
          <w:p w14:paraId="7052533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1、“电子加密投标文件”是指通过“政采云电子交易客户端”完成投标文件编制后生成并加密的数据电文形式的投标文件。</w:t>
            </w:r>
          </w:p>
          <w:p w14:paraId="3CD0566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2、“备份投标文件”是指与“电子加密投标文件”同时生成的数据电文形式的电子文件（备份标书，用于供应商标书解密异常时应急使用），其他方式编制的备份投标文件视为无效备份投标文件。</w:t>
            </w:r>
          </w:p>
        </w:tc>
      </w:tr>
      <w:tr w14:paraId="556100D9">
        <w:tblPrEx>
          <w:tblCellMar>
            <w:top w:w="0" w:type="dxa"/>
            <w:left w:w="108" w:type="dxa"/>
            <w:bottom w:w="0" w:type="dxa"/>
            <w:right w:w="108" w:type="dxa"/>
          </w:tblCellMar>
        </w:tblPrEx>
        <w:trPr>
          <w:trHeight w:val="731"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708B752">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17</w:t>
            </w:r>
          </w:p>
        </w:tc>
        <w:tc>
          <w:tcPr>
            <w:tcW w:w="1407" w:type="dxa"/>
            <w:tcBorders>
              <w:top w:val="single" w:color="auto" w:sz="4" w:space="0"/>
              <w:left w:val="single" w:color="auto" w:sz="4" w:space="0"/>
              <w:bottom w:val="single" w:color="auto" w:sz="4" w:space="0"/>
              <w:right w:val="single" w:color="auto" w:sz="4" w:space="0"/>
            </w:tcBorders>
            <w:vAlign w:val="center"/>
          </w:tcPr>
          <w:p w14:paraId="5D351902">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投标文件要求</w:t>
            </w:r>
          </w:p>
        </w:tc>
        <w:tc>
          <w:tcPr>
            <w:tcW w:w="7400" w:type="dxa"/>
            <w:tcBorders>
              <w:top w:val="single" w:color="auto" w:sz="4" w:space="0"/>
              <w:left w:val="single" w:color="auto" w:sz="4" w:space="0"/>
              <w:bottom w:val="single" w:color="auto" w:sz="4" w:space="0"/>
              <w:right w:val="single" w:color="auto" w:sz="4" w:space="0"/>
            </w:tcBorders>
            <w:vAlign w:val="center"/>
          </w:tcPr>
          <w:p w14:paraId="40BF8CB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1、一份电子加密标书（“.jmbs”格式），一份备份标书文件（“.bfbs”格式）。</w:t>
            </w:r>
          </w:p>
          <w:p w14:paraId="3560EED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2、每份电子投标文件应包括资格证明文件和商务及技术文件两部分。</w:t>
            </w:r>
          </w:p>
        </w:tc>
      </w:tr>
      <w:tr w14:paraId="366877B3">
        <w:tblPrEx>
          <w:tblCellMar>
            <w:top w:w="0" w:type="dxa"/>
            <w:left w:w="108" w:type="dxa"/>
            <w:bottom w:w="0" w:type="dxa"/>
            <w:right w:w="108" w:type="dxa"/>
          </w:tblCellMar>
        </w:tblPrEx>
        <w:trPr>
          <w:trHeight w:val="3654" w:hRule="atLeast"/>
          <w:jc w:val="center"/>
        </w:trPr>
        <w:tc>
          <w:tcPr>
            <w:tcW w:w="558" w:type="dxa"/>
            <w:vMerge w:val="restart"/>
            <w:tcBorders>
              <w:top w:val="single" w:color="auto" w:sz="4" w:space="0"/>
              <w:left w:val="single" w:color="auto" w:sz="4" w:space="0"/>
              <w:right w:val="single" w:color="auto" w:sz="4" w:space="0"/>
            </w:tcBorders>
            <w:vAlign w:val="center"/>
          </w:tcPr>
          <w:p w14:paraId="2623E2E4">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18</w:t>
            </w:r>
          </w:p>
        </w:tc>
        <w:tc>
          <w:tcPr>
            <w:tcW w:w="1407" w:type="dxa"/>
            <w:vMerge w:val="restart"/>
            <w:tcBorders>
              <w:top w:val="single" w:color="auto" w:sz="4" w:space="0"/>
              <w:left w:val="single" w:color="auto" w:sz="4" w:space="0"/>
              <w:right w:val="single" w:color="auto" w:sz="4" w:space="0"/>
            </w:tcBorders>
            <w:vAlign w:val="center"/>
          </w:tcPr>
          <w:p w14:paraId="40D184A9">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投标文件的上传和递交</w:t>
            </w:r>
          </w:p>
        </w:tc>
        <w:tc>
          <w:tcPr>
            <w:tcW w:w="7400" w:type="dxa"/>
            <w:tcBorders>
              <w:top w:val="single" w:color="auto" w:sz="4" w:space="0"/>
              <w:left w:val="single" w:color="auto" w:sz="4" w:space="0"/>
              <w:bottom w:val="single" w:color="auto" w:sz="4" w:space="0"/>
              <w:right w:val="single" w:color="auto" w:sz="4" w:space="0"/>
            </w:tcBorders>
            <w:vAlign w:val="center"/>
          </w:tcPr>
          <w:p w14:paraId="60D3701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14:paraId="3063477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a.供应商未能在投标截止时间前成功上传电子加密投标文件的投标无效。</w:t>
            </w:r>
          </w:p>
          <w:p w14:paraId="1883353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b.供应商成功上传电子加密投标文件后，可自行打印投标文件接收回执。</w:t>
            </w:r>
          </w:p>
        </w:tc>
      </w:tr>
      <w:tr w14:paraId="70426F29">
        <w:tblPrEx>
          <w:tblCellMar>
            <w:top w:w="0" w:type="dxa"/>
            <w:left w:w="108" w:type="dxa"/>
            <w:bottom w:w="0" w:type="dxa"/>
            <w:right w:w="108" w:type="dxa"/>
          </w:tblCellMar>
        </w:tblPrEx>
        <w:trPr>
          <w:trHeight w:val="731" w:hRule="atLeast"/>
          <w:jc w:val="center"/>
        </w:trPr>
        <w:tc>
          <w:tcPr>
            <w:tcW w:w="558" w:type="dxa"/>
            <w:vMerge w:val="continue"/>
            <w:tcBorders>
              <w:left w:val="single" w:color="auto" w:sz="4" w:space="0"/>
              <w:bottom w:val="single" w:color="auto" w:sz="4" w:space="0"/>
              <w:right w:val="single" w:color="auto" w:sz="4" w:space="0"/>
            </w:tcBorders>
            <w:vAlign w:val="center"/>
          </w:tcPr>
          <w:p w14:paraId="7931424E">
            <w:pPr>
              <w:spacing w:line="360" w:lineRule="auto"/>
              <w:jc w:val="center"/>
              <w:rPr>
                <w:rFonts w:ascii="仿宋" w:hAnsi="仿宋" w:eastAsia="仿宋" w:cs="仿宋"/>
                <w:color w:val="auto"/>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33342AB7">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7DD692A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2.备份投标文件：供应商在投标截止时间前将加密的投标文件上传至政府采购云平台，还可以在投标截止时间前以电子邮件方式提供备份投标文件1份（接收人邮箱：245291818@qq.com，接收人：银先生，电话：</w:t>
            </w:r>
            <w:r>
              <w:rPr>
                <w:rFonts w:hint="eastAsia" w:ascii="仿宋" w:hAnsi="仿宋" w:eastAsia="仿宋" w:cs="仿宋"/>
                <w:color w:val="auto"/>
                <w:highlight w:val="none"/>
                <w:lang w:val="en-US" w:eastAsia="zh-CN"/>
              </w:rPr>
              <w:t>18809088695</w:t>
            </w:r>
            <w:r>
              <w:rPr>
                <w:rFonts w:hint="eastAsia" w:ascii="仿宋" w:hAnsi="仿宋" w:eastAsia="仿宋" w:cs="仿宋"/>
                <w:color w:val="auto"/>
                <w:highlight w:val="none"/>
                <w:lang w:eastAsia="zh-CN"/>
              </w:rPr>
              <w:t>），“备份投标文件”由供应商自愿提供，招标文件 不作强制性要求；如不提供或未按要求提供的，当电子投标文件无法解密时，将导致无备份投标文件而失去投标资格。</w:t>
            </w:r>
          </w:p>
          <w:p w14:paraId="68CDFF0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14:paraId="79B300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14:paraId="7F0676D8">
        <w:tblPrEx>
          <w:tblCellMar>
            <w:top w:w="0" w:type="dxa"/>
            <w:left w:w="108" w:type="dxa"/>
            <w:bottom w:w="0" w:type="dxa"/>
            <w:right w:w="108" w:type="dxa"/>
          </w:tblCellMar>
        </w:tblPrEx>
        <w:trPr>
          <w:trHeight w:val="823"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271D321E">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19</w:t>
            </w:r>
          </w:p>
        </w:tc>
        <w:tc>
          <w:tcPr>
            <w:tcW w:w="1407" w:type="dxa"/>
            <w:tcBorders>
              <w:top w:val="single" w:color="auto" w:sz="4" w:space="0"/>
              <w:left w:val="single" w:color="auto" w:sz="4" w:space="0"/>
              <w:bottom w:val="single" w:color="auto" w:sz="4" w:space="0"/>
              <w:right w:val="single" w:color="auto" w:sz="4" w:space="0"/>
            </w:tcBorders>
            <w:vAlign w:val="center"/>
          </w:tcPr>
          <w:p w14:paraId="51F1E26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评标委员会的组建</w:t>
            </w:r>
          </w:p>
        </w:tc>
        <w:tc>
          <w:tcPr>
            <w:tcW w:w="7400" w:type="dxa"/>
            <w:tcBorders>
              <w:top w:val="single" w:color="auto" w:sz="4" w:space="0"/>
              <w:left w:val="single" w:color="auto" w:sz="4" w:space="0"/>
              <w:bottom w:val="single" w:color="auto" w:sz="4" w:space="0"/>
              <w:right w:val="single" w:color="auto" w:sz="4" w:space="0"/>
            </w:tcBorders>
            <w:vAlign w:val="center"/>
          </w:tcPr>
          <w:p w14:paraId="380974E5">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评标委员会由招标人依法组建；采购人代表1人，评审专家4人，共5人。</w:t>
            </w:r>
          </w:p>
          <w:p w14:paraId="788FD007">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评标专家确定方式：评标委员会由招标人在开标前从政采云专家库中随机抽取</w:t>
            </w:r>
          </w:p>
        </w:tc>
      </w:tr>
      <w:tr w14:paraId="54CC997C">
        <w:tblPrEx>
          <w:tblCellMar>
            <w:top w:w="0" w:type="dxa"/>
            <w:left w:w="108" w:type="dxa"/>
            <w:bottom w:w="0" w:type="dxa"/>
            <w:right w:w="108" w:type="dxa"/>
          </w:tblCellMar>
        </w:tblPrEx>
        <w:trPr>
          <w:trHeight w:val="130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70FE15D">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20</w:t>
            </w:r>
          </w:p>
        </w:tc>
        <w:tc>
          <w:tcPr>
            <w:tcW w:w="1407" w:type="dxa"/>
            <w:tcBorders>
              <w:top w:val="single" w:color="auto" w:sz="4" w:space="0"/>
              <w:left w:val="single" w:color="auto" w:sz="4" w:space="0"/>
              <w:bottom w:val="single" w:color="auto" w:sz="4" w:space="0"/>
              <w:right w:val="single" w:color="auto" w:sz="4" w:space="0"/>
            </w:tcBorders>
            <w:vAlign w:val="center"/>
          </w:tcPr>
          <w:p w14:paraId="2D4110CF">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是否授权评标委员会确定中标候选人</w:t>
            </w:r>
          </w:p>
        </w:tc>
        <w:tc>
          <w:tcPr>
            <w:tcW w:w="7400" w:type="dxa"/>
            <w:tcBorders>
              <w:top w:val="single" w:color="auto" w:sz="4" w:space="0"/>
              <w:left w:val="single" w:color="auto" w:sz="4" w:space="0"/>
              <w:bottom w:val="single" w:color="auto" w:sz="4" w:space="0"/>
              <w:right w:val="single" w:color="auto" w:sz="4" w:space="0"/>
            </w:tcBorders>
            <w:vAlign w:val="center"/>
          </w:tcPr>
          <w:p w14:paraId="799EAAC6">
            <w:pPr>
              <w:spacing w:line="360" w:lineRule="auto"/>
              <w:rPr>
                <w:rFonts w:ascii="仿宋" w:hAnsi="仿宋" w:eastAsia="仿宋" w:cs="仿宋"/>
                <w:color w:val="auto"/>
                <w:highlight w:val="none"/>
                <w:lang w:val="zh-CN" w:eastAsia="zh-CN"/>
              </w:rPr>
            </w:pPr>
            <w:r>
              <w:rPr>
                <w:rFonts w:hint="eastAsia" w:ascii="仿宋" w:hAnsi="仿宋" w:eastAsia="仿宋" w:cs="仿宋"/>
                <w:color w:val="auto"/>
                <w:highlight w:val="none"/>
                <w:lang w:eastAsia="zh-CN"/>
              </w:rPr>
              <w:t>是</w:t>
            </w:r>
          </w:p>
        </w:tc>
      </w:tr>
      <w:tr w14:paraId="111BC377">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4EB27D">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21</w:t>
            </w:r>
          </w:p>
        </w:tc>
        <w:tc>
          <w:tcPr>
            <w:tcW w:w="1407" w:type="dxa"/>
            <w:tcBorders>
              <w:top w:val="single" w:color="auto" w:sz="4" w:space="0"/>
              <w:left w:val="single" w:color="auto" w:sz="4" w:space="0"/>
              <w:bottom w:val="single" w:color="auto" w:sz="4" w:space="0"/>
              <w:right w:val="single" w:color="auto" w:sz="4" w:space="0"/>
            </w:tcBorders>
            <w:vAlign w:val="center"/>
          </w:tcPr>
          <w:p w14:paraId="60EC01A7">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递交投标文件地点</w:t>
            </w:r>
          </w:p>
        </w:tc>
        <w:tc>
          <w:tcPr>
            <w:tcW w:w="7400" w:type="dxa"/>
            <w:tcBorders>
              <w:top w:val="single" w:color="auto" w:sz="4" w:space="0"/>
              <w:left w:val="single" w:color="auto" w:sz="4" w:space="0"/>
              <w:bottom w:val="single" w:color="auto" w:sz="4" w:space="0"/>
              <w:right w:val="single" w:color="auto" w:sz="4" w:space="0"/>
            </w:tcBorders>
            <w:vAlign w:val="center"/>
          </w:tcPr>
          <w:p w14:paraId="750DA3A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投标截止时间：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4</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24</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分（北京时间）</w:t>
            </w:r>
          </w:p>
          <w:p w14:paraId="431F907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投标地点：新疆政府采购云平台（www.zcygov.cn）</w:t>
            </w:r>
          </w:p>
        </w:tc>
      </w:tr>
      <w:tr w14:paraId="641EFA96">
        <w:tblPrEx>
          <w:tblCellMar>
            <w:top w:w="0" w:type="dxa"/>
            <w:left w:w="108" w:type="dxa"/>
            <w:bottom w:w="0" w:type="dxa"/>
            <w:right w:w="108" w:type="dxa"/>
          </w:tblCellMar>
        </w:tblPrEx>
        <w:trPr>
          <w:trHeight w:val="866" w:hRule="atLeast"/>
          <w:jc w:val="center"/>
        </w:trPr>
        <w:tc>
          <w:tcPr>
            <w:tcW w:w="558" w:type="dxa"/>
            <w:tcBorders>
              <w:top w:val="single" w:color="auto" w:sz="4" w:space="0"/>
              <w:left w:val="single" w:color="auto" w:sz="4" w:space="0"/>
              <w:right w:val="single" w:color="auto" w:sz="4" w:space="0"/>
            </w:tcBorders>
            <w:vAlign w:val="center"/>
          </w:tcPr>
          <w:p w14:paraId="5B9ABCDC">
            <w:pPr>
              <w:spacing w:line="360" w:lineRule="auto"/>
              <w:jc w:val="center"/>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22</w:t>
            </w:r>
          </w:p>
        </w:tc>
        <w:tc>
          <w:tcPr>
            <w:tcW w:w="1407" w:type="dxa"/>
            <w:tcBorders>
              <w:top w:val="single" w:color="auto" w:sz="4" w:space="0"/>
              <w:left w:val="single" w:color="auto" w:sz="4" w:space="0"/>
              <w:right w:val="single" w:color="auto" w:sz="4" w:space="0"/>
            </w:tcBorders>
            <w:vAlign w:val="center"/>
          </w:tcPr>
          <w:p w14:paraId="6A4C4A64">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开标时间和地点</w:t>
            </w:r>
          </w:p>
        </w:tc>
        <w:tc>
          <w:tcPr>
            <w:tcW w:w="7400" w:type="dxa"/>
            <w:tcBorders>
              <w:top w:val="single" w:color="auto" w:sz="4" w:space="0"/>
              <w:left w:val="single" w:color="auto" w:sz="4" w:space="0"/>
              <w:right w:val="single" w:color="auto" w:sz="4" w:space="0"/>
            </w:tcBorders>
            <w:vAlign w:val="center"/>
          </w:tcPr>
          <w:p w14:paraId="2B6D881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开标时间：</w:t>
            </w:r>
            <w:r>
              <w:rPr>
                <w:rFonts w:hint="eastAsia" w:ascii="仿宋" w:hAnsi="仿宋" w:eastAsia="仿宋" w:cs="仿宋"/>
                <w:color w:val="auto"/>
                <w:kern w:val="2"/>
                <w:highlight w:val="none"/>
                <w:u w:val="single"/>
                <w:lang w:eastAsia="zh-CN" w:bidi="ar-SA"/>
              </w:rPr>
              <w:t>202</w:t>
            </w:r>
            <w:r>
              <w:rPr>
                <w:rFonts w:hint="eastAsia" w:ascii="仿宋" w:hAnsi="仿宋" w:eastAsia="仿宋" w:cs="仿宋"/>
                <w:color w:val="auto"/>
                <w:kern w:val="2"/>
                <w:highlight w:val="none"/>
                <w:u w:val="single"/>
                <w:lang w:val="en-US" w:eastAsia="zh-CN" w:bidi="ar-SA"/>
              </w:rPr>
              <w:t>5</w:t>
            </w:r>
            <w:r>
              <w:rPr>
                <w:rFonts w:hint="eastAsia" w:ascii="仿宋" w:hAnsi="仿宋" w:eastAsia="仿宋" w:cs="仿宋"/>
                <w:color w:val="auto"/>
                <w:kern w:val="2"/>
                <w:highlight w:val="none"/>
                <w:u w:val="single"/>
                <w:lang w:eastAsia="zh-CN" w:bidi="ar-SA"/>
              </w:rPr>
              <w:t>年</w:t>
            </w:r>
            <w:r>
              <w:rPr>
                <w:rFonts w:hint="eastAsia" w:ascii="仿宋" w:hAnsi="仿宋" w:eastAsia="仿宋" w:cs="仿宋"/>
                <w:color w:val="auto"/>
                <w:kern w:val="2"/>
                <w:highlight w:val="none"/>
                <w:u w:val="single"/>
                <w:lang w:val="en-US" w:eastAsia="zh-CN" w:bidi="ar-SA"/>
              </w:rPr>
              <w:t xml:space="preserve">4 </w:t>
            </w:r>
            <w:r>
              <w:rPr>
                <w:rFonts w:hint="eastAsia" w:ascii="仿宋" w:hAnsi="仿宋" w:eastAsia="仿宋" w:cs="仿宋"/>
                <w:color w:val="auto"/>
                <w:kern w:val="2"/>
                <w:highlight w:val="none"/>
                <w:u w:val="single"/>
                <w:lang w:eastAsia="zh-CN" w:bidi="ar-SA"/>
              </w:rPr>
              <w:t>月</w:t>
            </w:r>
            <w:r>
              <w:rPr>
                <w:rFonts w:hint="eastAsia" w:ascii="仿宋" w:hAnsi="仿宋" w:eastAsia="仿宋" w:cs="仿宋"/>
                <w:color w:val="auto"/>
                <w:kern w:val="2"/>
                <w:highlight w:val="none"/>
                <w:u w:val="single"/>
                <w:lang w:val="en-US" w:eastAsia="zh-CN" w:bidi="ar-SA"/>
              </w:rPr>
              <w:t xml:space="preserve">24 </w:t>
            </w:r>
            <w:r>
              <w:rPr>
                <w:rFonts w:hint="eastAsia" w:ascii="仿宋" w:hAnsi="仿宋" w:eastAsia="仿宋" w:cs="仿宋"/>
                <w:color w:val="auto"/>
                <w:kern w:val="2"/>
                <w:highlight w:val="none"/>
                <w:u w:val="single"/>
                <w:lang w:eastAsia="zh-CN" w:bidi="ar-SA"/>
              </w:rPr>
              <w:t>日</w:t>
            </w:r>
            <w:r>
              <w:rPr>
                <w:rFonts w:hint="eastAsia" w:ascii="仿宋" w:hAnsi="仿宋" w:eastAsia="仿宋" w:cs="仿宋"/>
                <w:color w:val="auto"/>
                <w:highlight w:val="none"/>
                <w:lang w:eastAsia="zh-CN"/>
              </w:rPr>
              <w:t>上午</w:t>
            </w: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时</w:t>
            </w:r>
            <w:r>
              <w:rPr>
                <w:rFonts w:hint="eastAsia" w:ascii="仿宋" w:hAnsi="仿宋" w:eastAsia="仿宋" w:cs="仿宋"/>
                <w:color w:val="auto"/>
                <w:highlight w:val="none"/>
                <w:lang w:val="en-US" w:eastAsia="zh-CN"/>
              </w:rPr>
              <w:t>30</w:t>
            </w:r>
            <w:r>
              <w:rPr>
                <w:rFonts w:hint="eastAsia" w:ascii="仿宋" w:hAnsi="仿宋" w:eastAsia="仿宋" w:cs="仿宋"/>
                <w:color w:val="auto"/>
                <w:highlight w:val="none"/>
                <w:lang w:eastAsia="zh-CN"/>
              </w:rPr>
              <w:t>分（北京时间）</w:t>
            </w:r>
          </w:p>
          <w:p w14:paraId="525FE54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开标地点：新疆政府采购云平台（www.zcygov.cn）         </w:t>
            </w:r>
          </w:p>
        </w:tc>
      </w:tr>
      <w:tr w14:paraId="652F4B42">
        <w:tblPrEx>
          <w:tblCellMar>
            <w:top w:w="0" w:type="dxa"/>
            <w:left w:w="108" w:type="dxa"/>
            <w:bottom w:w="0" w:type="dxa"/>
            <w:right w:w="108" w:type="dxa"/>
          </w:tblCellMar>
        </w:tblPrEx>
        <w:trPr>
          <w:trHeight w:val="710" w:hRule="atLeast"/>
          <w:jc w:val="center"/>
        </w:trPr>
        <w:tc>
          <w:tcPr>
            <w:tcW w:w="558" w:type="dxa"/>
            <w:vMerge w:val="restart"/>
            <w:tcBorders>
              <w:top w:val="single" w:color="auto" w:sz="4" w:space="0"/>
              <w:left w:val="single" w:color="auto" w:sz="4" w:space="0"/>
              <w:right w:val="single" w:color="auto" w:sz="4" w:space="0"/>
            </w:tcBorders>
            <w:vAlign w:val="center"/>
          </w:tcPr>
          <w:p w14:paraId="5B2DAADC">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23</w:t>
            </w:r>
          </w:p>
        </w:tc>
        <w:tc>
          <w:tcPr>
            <w:tcW w:w="1407" w:type="dxa"/>
            <w:vMerge w:val="restart"/>
            <w:tcBorders>
              <w:top w:val="single" w:color="auto" w:sz="4" w:space="0"/>
              <w:left w:val="single" w:color="auto" w:sz="4" w:space="0"/>
              <w:right w:val="single" w:color="auto" w:sz="4" w:space="0"/>
            </w:tcBorders>
            <w:vAlign w:val="center"/>
          </w:tcPr>
          <w:p w14:paraId="54F24351">
            <w:pPr>
              <w:spacing w:line="360" w:lineRule="auto"/>
              <w:jc w:val="center"/>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t>重要说明</w:t>
            </w:r>
          </w:p>
        </w:tc>
        <w:tc>
          <w:tcPr>
            <w:tcW w:w="7400" w:type="dxa"/>
            <w:tcBorders>
              <w:top w:val="single" w:color="auto" w:sz="4" w:space="0"/>
              <w:left w:val="single" w:color="auto" w:sz="4" w:space="0"/>
              <w:right w:val="single" w:color="auto" w:sz="4" w:space="0"/>
            </w:tcBorders>
            <w:vAlign w:val="center"/>
          </w:tcPr>
          <w:p w14:paraId="60EC90E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1.本项目采用全流程不见面电子开评标，投标供应商需要使用CA加密设备，供应商可通过新疆数字证书认证中心官网（https://www.xjca.com.cn/）或下载“新疆政务通”APP自行进行申领。</w:t>
            </w:r>
          </w:p>
          <w:p w14:paraId="314C8C5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2.本项目实行网上投标，采用加密电子投标文件(供应商须使用CA加密设备通过政采云电子投标客户端制作投标文件)。若供应商参与投标，自行承担投标一切费用。</w:t>
            </w:r>
          </w:p>
          <w:p w14:paraId="6204CC46">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41EE6F7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14:paraId="2575B94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5.供应商在开标时须使用制作加密电子投标文件所使用的CA锁及电脑，电脑须提前配置好浏览器（建议使用谷歌浏览器），以便开标时解锁。</w:t>
            </w:r>
          </w:p>
          <w:p w14:paraId="1B89363C">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6.供应商对不见面开评标系统的技术操作咨询，可通过https://edu.zcygov.cn/luban/xinjiang-e-biding自助查询，也可在政采云帮助中心常见问题解答和操作流程讲解视频中自助查询，网址为：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color w:val="auto"/>
                <w:highlight w:val="none"/>
                <w:lang w:eastAsia="zh-CN"/>
              </w:rPr>
              <w:fldChar w:fldCharType="begin"/>
            </w:r>
            <w:r>
              <w:rPr>
                <w:rFonts w:hint="eastAsia" w:ascii="仿宋" w:hAnsi="仿宋" w:eastAsia="仿宋" w:cs="仿宋"/>
                <w:color w:val="auto"/>
                <w:highlight w:val="none"/>
                <w:lang w:eastAsia="zh-CN"/>
              </w:rPr>
              <w:instrText xml:space="preserve"> HYPERLINK "https://service.zcygov.cn/#/help，\“项目采购\”—\“操作流程-电子招投标\”—\“政府采购项目电子交易管理操作指南-供应商\”版面获取操作指南。" </w:instrText>
            </w:r>
            <w:r>
              <w:rPr>
                <w:rFonts w:hint="eastAsia" w:ascii="仿宋" w:hAnsi="仿宋" w:eastAsia="仿宋" w:cs="仿宋"/>
                <w:color w:val="auto"/>
                <w:highlight w:val="none"/>
                <w:lang w:eastAsia="zh-CN"/>
              </w:rPr>
              <w:fldChar w:fldCharType="separate"/>
            </w:r>
            <w:r>
              <w:rPr>
                <w:rFonts w:hint="eastAsia" w:ascii="仿宋" w:hAnsi="仿宋" w:eastAsia="仿宋" w:cs="仿宋"/>
                <w:color w:val="auto"/>
                <w:highlight w:val="none"/>
                <w:lang w:eastAsia="zh-CN"/>
              </w:rPr>
              <w:t>https://service.zcygov.cn/#/help，“项目采购”—“操作流程-电子招投标”—“政府采购项目电子交易管理操作指南-供应商”版面获取操作指南。</w:t>
            </w:r>
            <w:r>
              <w:rPr>
                <w:rFonts w:hint="eastAsia" w:ascii="仿宋" w:hAnsi="仿宋" w:eastAsia="仿宋" w:cs="仿宋"/>
                <w:color w:val="auto"/>
                <w:highlight w:val="none"/>
                <w:lang w:eastAsia="zh-CN"/>
              </w:rPr>
              <w:fldChar w:fldCharType="end"/>
            </w:r>
          </w:p>
          <w:p w14:paraId="02ED332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7.为了保证开评标顺利进行，政采云线上开标功能完全实现，供应商开标所使用的电脑设备须具有视频及语音功能。</w:t>
            </w:r>
          </w:p>
        </w:tc>
      </w:tr>
      <w:tr w14:paraId="30113AE5">
        <w:tblPrEx>
          <w:tblCellMar>
            <w:top w:w="0" w:type="dxa"/>
            <w:left w:w="108" w:type="dxa"/>
            <w:bottom w:w="0" w:type="dxa"/>
            <w:right w:w="108" w:type="dxa"/>
          </w:tblCellMar>
        </w:tblPrEx>
        <w:trPr>
          <w:trHeight w:val="710" w:hRule="atLeast"/>
          <w:jc w:val="center"/>
        </w:trPr>
        <w:tc>
          <w:tcPr>
            <w:tcW w:w="558" w:type="dxa"/>
            <w:vMerge w:val="continue"/>
            <w:tcBorders>
              <w:left w:val="single" w:color="auto" w:sz="4" w:space="0"/>
              <w:bottom w:val="single" w:color="auto" w:sz="4" w:space="0"/>
              <w:right w:val="single" w:color="auto" w:sz="4" w:space="0"/>
            </w:tcBorders>
            <w:vAlign w:val="center"/>
          </w:tcPr>
          <w:p w14:paraId="7B480157">
            <w:pPr>
              <w:spacing w:line="360" w:lineRule="auto"/>
              <w:rPr>
                <w:rFonts w:ascii="仿宋" w:hAnsi="仿宋" w:eastAsia="仿宋" w:cs="仿宋"/>
                <w:color w:val="auto"/>
                <w:sz w:val="21"/>
                <w:szCs w:val="21"/>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7C3CF9BB">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3BB0502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1、电子招投标情况说明：</w:t>
            </w:r>
          </w:p>
          <w:p w14:paraId="78B3037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（1）电子招投标：本项目以数据电文形式，依托“政府采购云平台（www.zcygov.cn）”进行招投标活动。</w:t>
            </w:r>
          </w:p>
          <w:p w14:paraId="27AFCD2F">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111E0D1A">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（3）招标文件的获取：使用账号登录或者短信验证码或者使用CA登录政采云平台；进入“项目采购”应用，在获取招标文件菜单中选择项目，获取招标文件 。</w:t>
            </w:r>
          </w:p>
          <w:p w14:paraId="44E92E2E">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（4）投标文件的制作：在“政采云电子交易客户端”中完成“填写基本信息”、“导入投标文件”、“标书关联”、“标书检查”、“电子签名”、“生成电子标书”等操作。</w:t>
            </w:r>
          </w:p>
          <w:p w14:paraId="54AC9BF0">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投标文件的传输递交：供应商在投标截止时间前将加密的投标文件上传至政府采购云平台，还可以在投标截止时间前以电子邮件方式提供备份投标文件1份（接收人邮箱：245291818@qq.com，接收人：银先生，电话：</w:t>
            </w:r>
            <w:r>
              <w:rPr>
                <w:rFonts w:hint="eastAsia" w:ascii="仿宋" w:hAnsi="仿宋" w:eastAsia="仿宋" w:cs="仿宋"/>
                <w:color w:val="auto"/>
                <w:highlight w:val="none"/>
                <w:lang w:val="en-US" w:eastAsia="zh-CN"/>
              </w:rPr>
              <w:t>18809088695</w:t>
            </w:r>
            <w:r>
              <w:rPr>
                <w:rFonts w:hint="eastAsia" w:ascii="仿宋" w:hAnsi="仿宋" w:eastAsia="仿宋" w:cs="仿宋"/>
                <w:color w:val="auto"/>
                <w:highlight w:val="none"/>
                <w:lang w:eastAsia="zh-CN"/>
              </w:rPr>
              <w:t>），备份投标文件可以打包压缩并加密，压缩包命名为“XX单位备份投标文件”，加密密码由供应商自行保管（“备份投标文件”由供应商自愿提供，招标文件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14:paraId="38A535F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6）投标文件的解密：供应商按照平台提示和招标文件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14:paraId="4833D9D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（7）具体操作指南：详见政采云平台“服务中心-帮助文档-项目采购-操作流程-电子招投标-政府采购项目电子交易管理操作指南-供应商”。</w:t>
            </w:r>
          </w:p>
          <w:p w14:paraId="768407A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（8）供应商在进行上述操作时，如遇技术问题可登录政采云（https://</w:t>
            </w:r>
            <w:r>
              <w:rPr>
                <w:color w:val="auto"/>
                <w:highlight w:val="none"/>
              </w:rPr>
              <w:fldChar w:fldCharType="begin"/>
            </w:r>
            <w:r>
              <w:rPr>
                <w:color w:val="auto"/>
                <w:highlight w:val="none"/>
              </w:rPr>
              <w:instrText xml:space="preserve"> HYPERLINK "http://www.zcygov.cn/" \h </w:instrText>
            </w:r>
            <w:r>
              <w:rPr>
                <w:color w:val="auto"/>
                <w:highlight w:val="none"/>
              </w:rPr>
              <w:fldChar w:fldCharType="separate"/>
            </w:r>
            <w:r>
              <w:rPr>
                <w:rFonts w:hint="eastAsia" w:ascii="仿宋" w:hAnsi="仿宋" w:eastAsia="仿宋" w:cs="仿宋"/>
                <w:color w:val="auto"/>
                <w:highlight w:val="none"/>
                <w:lang w:eastAsia="zh-CN"/>
              </w:rPr>
              <w:t>www.zcygov.cn/</w:t>
            </w:r>
            <w:r>
              <w:rPr>
                <w:rFonts w:hint="eastAsia" w:ascii="仿宋" w:hAnsi="仿宋" w:eastAsia="仿宋" w:cs="仿宋"/>
                <w:color w:val="auto"/>
                <w:highlight w:val="none"/>
                <w:lang w:eastAsia="zh-CN"/>
              </w:rPr>
              <w:fldChar w:fldCharType="end"/>
            </w:r>
            <w:r>
              <w:rPr>
                <w:rFonts w:hint="eastAsia" w:ascii="仿宋" w:hAnsi="仿宋" w:eastAsia="仿宋" w:cs="仿宋"/>
                <w:color w:val="auto"/>
                <w:highlight w:val="none"/>
                <w:lang w:eastAsia="zh-CN"/>
              </w:rPr>
              <w:t>），点击右侧咨询小采，获取采小蜜智能服务管家帮助，或拨打政采云服务热线 95763 获取热线服务帮助。</w:t>
            </w:r>
          </w:p>
          <w:p w14:paraId="36B9AFB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温馨提醒：供应商应提前上传，以便在上传时遇到技术问题，有充足的时间请教平台的技术人员。</w:t>
            </w:r>
          </w:p>
          <w:p w14:paraId="33996DB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认为招标文件使自己的权益受到损害的，可以自收到招标文件之日（招标文件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 或逾期提出的不予受理、答复。</w:t>
            </w:r>
          </w:p>
        </w:tc>
      </w:tr>
      <w:tr w14:paraId="563D91C5">
        <w:tblPrEx>
          <w:tblCellMar>
            <w:top w:w="0" w:type="dxa"/>
            <w:left w:w="108" w:type="dxa"/>
            <w:bottom w:w="0" w:type="dxa"/>
            <w:right w:w="108" w:type="dxa"/>
          </w:tblCellMar>
        </w:tblPrEx>
        <w:trPr>
          <w:trHeight w:val="91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BEABF51">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24</w:t>
            </w:r>
          </w:p>
        </w:tc>
        <w:tc>
          <w:tcPr>
            <w:tcW w:w="1407" w:type="dxa"/>
            <w:tcBorders>
              <w:top w:val="single" w:color="auto" w:sz="4" w:space="0"/>
              <w:left w:val="single" w:color="auto" w:sz="4" w:space="0"/>
              <w:bottom w:val="single" w:color="auto" w:sz="4" w:space="0"/>
              <w:right w:val="single" w:color="auto" w:sz="4" w:space="0"/>
            </w:tcBorders>
            <w:vAlign w:val="center"/>
          </w:tcPr>
          <w:p w14:paraId="78AA810D">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中标候选人公示媒介</w:t>
            </w:r>
          </w:p>
        </w:tc>
        <w:tc>
          <w:tcPr>
            <w:tcW w:w="7400" w:type="dxa"/>
            <w:tcBorders>
              <w:top w:val="single" w:color="auto" w:sz="4" w:space="0"/>
              <w:left w:val="single" w:color="auto" w:sz="4" w:space="0"/>
              <w:bottom w:val="single" w:color="auto" w:sz="4" w:space="0"/>
              <w:right w:val="single" w:color="auto" w:sz="4" w:space="0"/>
            </w:tcBorders>
            <w:vAlign w:val="center"/>
          </w:tcPr>
          <w:p w14:paraId="2A0DC35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克州公共资源交易中心网、新疆政府采购网，公示期为一个工作日。</w:t>
            </w:r>
          </w:p>
        </w:tc>
      </w:tr>
      <w:tr w14:paraId="555D9C35">
        <w:tblPrEx>
          <w:tblCellMar>
            <w:top w:w="0" w:type="dxa"/>
            <w:left w:w="108" w:type="dxa"/>
            <w:bottom w:w="0" w:type="dxa"/>
            <w:right w:w="108" w:type="dxa"/>
          </w:tblCellMar>
        </w:tblPrEx>
        <w:trPr>
          <w:trHeight w:val="41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BF0882B">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25</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8BB4184">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招标代理服务费</w:t>
            </w:r>
          </w:p>
        </w:tc>
      </w:tr>
      <w:tr w14:paraId="6EB29E0F">
        <w:tblPrEx>
          <w:tblCellMar>
            <w:top w:w="0" w:type="dxa"/>
            <w:left w:w="108" w:type="dxa"/>
            <w:bottom w:w="0" w:type="dxa"/>
            <w:right w:w="108" w:type="dxa"/>
          </w:tblCellMar>
        </w:tblPrEx>
        <w:trPr>
          <w:trHeight w:val="655"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0E8FA654">
            <w:pPr>
              <w:spacing w:line="360" w:lineRule="auto"/>
              <w:rPr>
                <w:rFonts w:ascii="仿宋" w:hAnsi="仿宋" w:eastAsia="仿宋" w:cs="仿宋"/>
                <w:color w:val="auto"/>
                <w:sz w:val="21"/>
                <w:szCs w:val="21"/>
                <w:highlight w:val="none"/>
                <w:lang w:eastAsia="zh-CN"/>
              </w:rPr>
            </w:pP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CA99488">
            <w:pPr>
              <w:spacing w:line="360" w:lineRule="auto"/>
              <w:rPr>
                <w:rFonts w:ascii="仿宋" w:hAnsi="仿宋" w:eastAsia="仿宋" w:cs="仿宋"/>
                <w:color w:val="auto"/>
                <w:sz w:val="21"/>
                <w:szCs w:val="21"/>
                <w:highlight w:val="none"/>
                <w:lang w:eastAsia="zh-CN"/>
              </w:rPr>
            </w:pPr>
            <w:r>
              <w:rPr>
                <w:rFonts w:hint="eastAsia" w:ascii="仿宋" w:hAnsi="仿宋" w:eastAsia="仿宋" w:cs="仿宋"/>
                <w:color w:val="auto"/>
                <w:kern w:val="2"/>
                <w:sz w:val="24"/>
                <w:szCs w:val="24"/>
                <w:highlight w:val="white"/>
                <w:lang w:val="en-US" w:eastAsia="zh-CN" w:bidi="ar-SA"/>
              </w:rPr>
              <w:t>按照发改价格【2015】299号规定全面放开招标代理费，本项目招标代理费为：17200元(壹万柒仟贰佰元整)。招标代理费在中标通知书发放前由中标单位缴纳。</w:t>
            </w:r>
          </w:p>
        </w:tc>
      </w:tr>
      <w:tr w14:paraId="1FC893E7">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6BA9CCA">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26</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BC031F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评标办法：本项目采用综合评分法</w:t>
            </w:r>
          </w:p>
        </w:tc>
      </w:tr>
      <w:tr w14:paraId="1FD808D2">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72F72903">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27</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3F8BF4A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不管投标结果如何，供应商均应承担自己投标所需一切费用。</w:t>
            </w:r>
          </w:p>
        </w:tc>
      </w:tr>
      <w:tr w14:paraId="0CD8F86E">
        <w:tblPrEx>
          <w:tblCellMar>
            <w:top w:w="0" w:type="dxa"/>
            <w:left w:w="108" w:type="dxa"/>
            <w:bottom w:w="0" w:type="dxa"/>
            <w:right w:w="108" w:type="dxa"/>
          </w:tblCellMar>
        </w:tblPrEx>
        <w:trPr>
          <w:trHeight w:val="84"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6E2D3F8B">
            <w:pPr>
              <w:spacing w:line="360" w:lineRule="auto"/>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highlight w:val="none"/>
                <w:lang w:val="en-US" w:eastAsia="zh-CN"/>
              </w:rPr>
              <w:t>28</w:t>
            </w:r>
          </w:p>
        </w:tc>
        <w:tc>
          <w:tcPr>
            <w:tcW w:w="8807" w:type="dxa"/>
            <w:gridSpan w:val="2"/>
            <w:tcBorders>
              <w:top w:val="single" w:color="auto" w:sz="4" w:space="0"/>
              <w:left w:val="single" w:color="auto" w:sz="4" w:space="0"/>
              <w:bottom w:val="single" w:color="auto" w:sz="4" w:space="0"/>
              <w:right w:val="single" w:color="auto" w:sz="4" w:space="0"/>
            </w:tcBorders>
            <w:vAlign w:val="center"/>
          </w:tcPr>
          <w:p w14:paraId="1D66D9B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本次招标预算价：</w:t>
            </w:r>
            <w:r>
              <w:rPr>
                <w:rFonts w:hint="eastAsia" w:ascii="仿宋" w:hAnsi="仿宋" w:eastAsia="仿宋" w:cs="仿宋"/>
                <w:color w:val="auto"/>
                <w:highlight w:val="none"/>
                <w:lang w:val="en-US" w:eastAsia="zh-CN"/>
              </w:rPr>
              <w:t>1200000</w:t>
            </w:r>
            <w:r>
              <w:rPr>
                <w:rFonts w:hint="eastAsia" w:ascii="仿宋" w:hAnsi="仿宋" w:eastAsia="仿宋" w:cs="仿宋"/>
                <w:color w:val="auto"/>
                <w:highlight w:val="none"/>
                <w:lang w:eastAsia="zh-CN"/>
              </w:rPr>
              <w:t>元，投标总报价超过招标预算价的按废标处理。</w:t>
            </w:r>
          </w:p>
        </w:tc>
      </w:tr>
      <w:tr w14:paraId="2AA8D2EC">
        <w:tblPrEx>
          <w:tblCellMar>
            <w:top w:w="0" w:type="dxa"/>
            <w:left w:w="108" w:type="dxa"/>
            <w:bottom w:w="0" w:type="dxa"/>
            <w:right w:w="108" w:type="dxa"/>
          </w:tblCellMar>
        </w:tblPrEx>
        <w:trPr>
          <w:trHeight w:val="84" w:hRule="atLeast"/>
          <w:jc w:val="center"/>
        </w:trPr>
        <w:tc>
          <w:tcPr>
            <w:tcW w:w="558" w:type="dxa"/>
            <w:vMerge w:val="restart"/>
            <w:tcBorders>
              <w:top w:val="single" w:color="auto" w:sz="4" w:space="0"/>
              <w:left w:val="single" w:color="auto" w:sz="4" w:space="0"/>
              <w:bottom w:val="single" w:color="auto" w:sz="4" w:space="0"/>
              <w:right w:val="single" w:color="auto" w:sz="4" w:space="0"/>
            </w:tcBorders>
            <w:vAlign w:val="center"/>
          </w:tcPr>
          <w:p w14:paraId="41C09765">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29</w:t>
            </w:r>
          </w:p>
        </w:tc>
        <w:tc>
          <w:tcPr>
            <w:tcW w:w="1407" w:type="dxa"/>
            <w:vMerge w:val="restart"/>
            <w:tcBorders>
              <w:top w:val="single" w:color="auto" w:sz="4" w:space="0"/>
              <w:left w:val="single" w:color="auto" w:sz="4" w:space="0"/>
              <w:bottom w:val="single" w:color="auto" w:sz="4" w:space="0"/>
              <w:right w:val="single" w:color="auto" w:sz="4" w:space="0"/>
            </w:tcBorders>
            <w:vAlign w:val="center"/>
          </w:tcPr>
          <w:p w14:paraId="37B8ECCE">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w:t>
            </w:r>
          </w:p>
        </w:tc>
        <w:tc>
          <w:tcPr>
            <w:tcW w:w="7400" w:type="dxa"/>
            <w:tcBorders>
              <w:top w:val="single" w:color="auto" w:sz="4" w:space="0"/>
              <w:left w:val="single" w:color="auto" w:sz="4" w:space="0"/>
              <w:bottom w:val="single" w:color="auto" w:sz="4" w:space="0"/>
              <w:right w:val="single" w:color="auto" w:sz="4" w:space="0"/>
            </w:tcBorders>
            <w:vAlign w:val="center"/>
          </w:tcPr>
          <w:p w14:paraId="5EB44EB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（1）根据财政部、工业和信息化部关于印发《政府采购促进中小企业发展管理办法》的通知（财库[2020]46号）和（财库[2022]19号），</w:t>
            </w:r>
            <w:r>
              <w:rPr>
                <w:rFonts w:hint="eastAsia" w:ascii="仿宋" w:hAnsi="仿宋" w:eastAsia="仿宋" w:cs="仿宋"/>
                <w:b/>
                <w:bCs/>
                <w:color w:val="auto"/>
                <w:highlight w:val="none"/>
                <w:lang w:eastAsia="zh-CN"/>
              </w:rPr>
              <w:t>供应商所投产品的制造商属于《工业和信息化部、国家统计局、国家发展和改革委员会、财政部关于印发中小企业划型标准规定的通知》（工信部联企业[2011]300号）中规定的小型、微型企业标准的，按招标文件格式提供《中小企业声明函》</w:t>
            </w:r>
            <w:r>
              <w:rPr>
                <w:rFonts w:hint="eastAsia" w:ascii="仿宋" w:hAnsi="仿宋" w:eastAsia="仿宋" w:cs="仿宋"/>
                <w:color w:val="auto"/>
                <w:highlight w:val="none"/>
                <w:lang w:eastAsia="zh-CN"/>
              </w:rPr>
              <w:t>。</w:t>
            </w:r>
          </w:p>
        </w:tc>
      </w:tr>
      <w:tr w14:paraId="6AF3CB98">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60A3380F">
            <w:pPr>
              <w:spacing w:line="360" w:lineRule="auto"/>
              <w:rPr>
                <w:rFonts w:ascii="仿宋" w:hAnsi="仿宋" w:eastAsia="仿宋" w:cs="仿宋"/>
                <w:color w:val="auto"/>
                <w:highlight w:val="none"/>
                <w:lang w:eastAsia="zh-CN"/>
              </w:rPr>
            </w:pPr>
          </w:p>
        </w:tc>
        <w:tc>
          <w:tcPr>
            <w:tcW w:w="1407" w:type="dxa"/>
            <w:vMerge w:val="continue"/>
            <w:tcBorders>
              <w:top w:val="single" w:color="auto" w:sz="4" w:space="0"/>
              <w:left w:val="single" w:color="auto" w:sz="4" w:space="0"/>
              <w:bottom w:val="single" w:color="auto" w:sz="4" w:space="0"/>
              <w:right w:val="single" w:color="auto" w:sz="4" w:space="0"/>
            </w:tcBorders>
            <w:vAlign w:val="center"/>
          </w:tcPr>
          <w:p w14:paraId="47770648">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2B05499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（2）根据财政部、司令部《关于政府采购支持监狱企业发展有关问题》的通知财库[2014]68号，监狱企业参加本项目投标时，应当提供由省级以上监狱管理局、戒毒管理局（新疆生产建设兵团）出具的属于</w:t>
            </w:r>
            <w:r>
              <w:rPr>
                <w:rFonts w:hint="eastAsia" w:ascii="仿宋" w:hAnsi="仿宋" w:eastAsia="仿宋" w:cs="仿宋"/>
                <w:b w:val="0"/>
                <w:bCs w:val="0"/>
                <w:color w:val="auto"/>
                <w:highlight w:val="none"/>
                <w:lang w:eastAsia="zh-CN"/>
              </w:rPr>
              <w:t>监狱企业的证明文件。</w:t>
            </w:r>
            <w:r>
              <w:rPr>
                <w:rFonts w:hint="eastAsia" w:ascii="仿宋" w:hAnsi="仿宋" w:eastAsia="仿宋" w:cs="仿宋"/>
                <w:color w:val="auto"/>
                <w:highlight w:val="none"/>
                <w:lang w:eastAsia="zh-CN"/>
              </w:rPr>
              <w:t>监狱企业视同小型、微型企业。</w:t>
            </w:r>
          </w:p>
        </w:tc>
      </w:tr>
      <w:tr w14:paraId="6F3AEF9A">
        <w:tblPrEx>
          <w:tblCellMar>
            <w:top w:w="0" w:type="dxa"/>
            <w:left w:w="108" w:type="dxa"/>
            <w:bottom w:w="0" w:type="dxa"/>
            <w:right w:w="108" w:type="dxa"/>
          </w:tblCellMar>
        </w:tblPrEx>
        <w:trPr>
          <w:trHeight w:val="84" w:hRule="atLeast"/>
          <w:jc w:val="center"/>
        </w:trPr>
        <w:tc>
          <w:tcPr>
            <w:tcW w:w="558" w:type="dxa"/>
            <w:vMerge w:val="continue"/>
            <w:tcBorders>
              <w:top w:val="single" w:color="auto" w:sz="4" w:space="0"/>
              <w:left w:val="single" w:color="auto" w:sz="4" w:space="0"/>
              <w:bottom w:val="single" w:color="auto" w:sz="4" w:space="0"/>
              <w:right w:val="single" w:color="auto" w:sz="4" w:space="0"/>
            </w:tcBorders>
            <w:vAlign w:val="center"/>
          </w:tcPr>
          <w:p w14:paraId="177A33E9">
            <w:pPr>
              <w:spacing w:line="360" w:lineRule="auto"/>
              <w:rPr>
                <w:rFonts w:ascii="仿宋" w:hAnsi="仿宋" w:eastAsia="仿宋" w:cs="仿宋"/>
                <w:color w:val="auto"/>
                <w:highlight w:val="none"/>
                <w:lang w:eastAsia="zh-CN"/>
              </w:rPr>
            </w:pPr>
          </w:p>
        </w:tc>
        <w:tc>
          <w:tcPr>
            <w:tcW w:w="1407" w:type="dxa"/>
            <w:vMerge w:val="continue"/>
            <w:tcBorders>
              <w:top w:val="single" w:color="auto" w:sz="4" w:space="0"/>
              <w:left w:val="single" w:color="auto" w:sz="4" w:space="0"/>
              <w:bottom w:val="single" w:color="auto" w:sz="4" w:space="0"/>
              <w:right w:val="single" w:color="auto" w:sz="4" w:space="0"/>
            </w:tcBorders>
            <w:vAlign w:val="center"/>
          </w:tcPr>
          <w:p w14:paraId="1BD6E3A6">
            <w:pPr>
              <w:spacing w:line="360" w:lineRule="auto"/>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76896428">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根据财政部、民政部、中国残疾人联合会《关于促进残疾人就业政府采购政策的通知》（财库[2017]141号），在政府采购活动中，残疾人福利性单位视同小型、微型企业。供应商属于残疾人福利性单位的，按照招标文件格式提供残疾人福利性单位声明函。</w:t>
            </w:r>
          </w:p>
        </w:tc>
      </w:tr>
      <w:tr w14:paraId="60D16C26">
        <w:tblPrEx>
          <w:tblCellMar>
            <w:top w:w="0" w:type="dxa"/>
            <w:left w:w="108" w:type="dxa"/>
            <w:bottom w:w="0" w:type="dxa"/>
            <w:right w:w="108" w:type="dxa"/>
          </w:tblCellMar>
        </w:tblPrEx>
        <w:trPr>
          <w:trHeight w:val="584" w:hRule="atLeast"/>
          <w:jc w:val="center"/>
        </w:trPr>
        <w:tc>
          <w:tcPr>
            <w:tcW w:w="558" w:type="dxa"/>
            <w:vMerge w:val="restart"/>
            <w:tcBorders>
              <w:top w:val="single" w:color="auto" w:sz="4" w:space="0"/>
              <w:left w:val="single" w:color="auto" w:sz="4" w:space="0"/>
              <w:right w:val="single" w:color="auto" w:sz="4" w:space="0"/>
            </w:tcBorders>
            <w:vAlign w:val="center"/>
          </w:tcPr>
          <w:p w14:paraId="132C4492">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30</w:t>
            </w:r>
          </w:p>
        </w:tc>
        <w:tc>
          <w:tcPr>
            <w:tcW w:w="1407" w:type="dxa"/>
            <w:vMerge w:val="restart"/>
            <w:tcBorders>
              <w:top w:val="single" w:color="auto" w:sz="4" w:space="0"/>
              <w:left w:val="single" w:color="auto" w:sz="4" w:space="0"/>
              <w:right w:val="single" w:color="auto" w:sz="4" w:space="0"/>
            </w:tcBorders>
            <w:vAlign w:val="center"/>
          </w:tcPr>
          <w:p w14:paraId="05A7F1A3">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中小微企业政策文件说明</w:t>
            </w:r>
          </w:p>
        </w:tc>
        <w:tc>
          <w:tcPr>
            <w:tcW w:w="7400" w:type="dxa"/>
            <w:tcBorders>
              <w:top w:val="single" w:color="auto" w:sz="4" w:space="0"/>
              <w:left w:val="single" w:color="auto" w:sz="4" w:space="0"/>
              <w:bottom w:val="single" w:color="auto" w:sz="4" w:space="0"/>
              <w:right w:val="single" w:color="auto" w:sz="4" w:space="0"/>
            </w:tcBorders>
            <w:vAlign w:val="center"/>
          </w:tcPr>
          <w:p w14:paraId="5821D425">
            <w:pPr>
              <w:spacing w:line="360" w:lineRule="auto"/>
              <w:rPr>
                <w:rFonts w:ascii="仿宋" w:hAnsi="仿宋" w:eastAsia="仿宋" w:cs="仿宋"/>
                <w:color w:val="auto"/>
                <w:highlight w:val="none"/>
                <w:lang w:eastAsia="zh-CN"/>
              </w:rPr>
            </w:pPr>
            <w:r>
              <w:rPr>
                <w:rFonts w:hint="eastAsia" w:ascii="仿宋" w:hAnsi="仿宋" w:eastAsia="仿宋" w:cs="仿宋"/>
                <w:color w:val="auto"/>
                <w:lang w:eastAsia="zh-CN"/>
              </w:rPr>
              <w:t>（</w:t>
            </w:r>
            <w:r>
              <w:rPr>
                <w:rFonts w:hint="eastAsia" w:ascii="仿宋" w:hAnsi="仿宋" w:eastAsia="仿宋" w:cs="仿宋"/>
                <w:b/>
                <w:bCs/>
                <w:color w:val="auto"/>
                <w:lang w:eastAsia="zh-CN"/>
              </w:rPr>
              <w:t>1）支持中小企业发展：给予小型和微型企业产品的价格10%-20%的扣除，用扣除后的价格参与评审，</w:t>
            </w:r>
            <w:r>
              <w:rPr>
                <w:rFonts w:hint="eastAsia" w:ascii="仿宋" w:hAnsi="仿宋" w:eastAsia="仿宋" w:cs="仿宋"/>
                <w:b/>
                <w:bCs/>
                <w:color w:val="auto"/>
                <w:u w:val="single"/>
                <w:lang w:eastAsia="zh-CN"/>
              </w:rPr>
              <w:t>本项目具体扣除比例为10%</w:t>
            </w:r>
            <w:r>
              <w:rPr>
                <w:rFonts w:hint="eastAsia" w:ascii="仿宋" w:hAnsi="仿宋" w:eastAsia="仿宋" w:cs="仿宋"/>
                <w:color w:val="auto"/>
                <w:lang w:eastAsia="zh-CN"/>
              </w:rPr>
              <w:t>。用扣除后的价格参与评审。残疾人福利性单位视同小型、微型企业，享受同等价格扣除，但同时属于残疾人福利性单位和小微企业的，不重复价格扣除。</w:t>
            </w:r>
          </w:p>
        </w:tc>
      </w:tr>
      <w:tr w14:paraId="6375822F">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right w:val="single" w:color="auto" w:sz="4" w:space="0"/>
            </w:tcBorders>
            <w:vAlign w:val="center"/>
          </w:tcPr>
          <w:p w14:paraId="3725B156">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right w:val="single" w:color="auto" w:sz="4" w:space="0"/>
            </w:tcBorders>
            <w:vAlign w:val="center"/>
          </w:tcPr>
          <w:p w14:paraId="62422376">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1446A2CE">
            <w:pPr>
              <w:numPr>
                <w:ilvl w:val="0"/>
                <w:numId w:val="0"/>
              </w:numPr>
              <w:spacing w:line="360" w:lineRule="auto"/>
              <w:rPr>
                <w:rFonts w:hint="default" w:ascii="仿宋" w:hAnsi="仿宋" w:eastAsia="仿宋" w:cs="仿宋"/>
                <w:b/>
                <w:bCs/>
                <w:color w:val="auto"/>
                <w:highlight w:val="none"/>
                <w:lang w:val="en-US" w:eastAsia="zh-CN"/>
              </w:rPr>
            </w:pPr>
            <w:r>
              <w:rPr>
                <w:rFonts w:hint="eastAsia" w:ascii="仿宋" w:hAnsi="仿宋" w:eastAsia="仿宋" w:cs="仿宋"/>
                <w:b/>
                <w:bCs/>
                <w:color w:val="auto"/>
                <w:lang w:eastAsia="zh-CN"/>
              </w:rPr>
              <w:t>（2）不符合上述适用情形的供应商无需提供上述声明函件。</w:t>
            </w:r>
          </w:p>
        </w:tc>
      </w:tr>
      <w:tr w14:paraId="2D01D68F">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right w:val="single" w:color="auto" w:sz="4" w:space="0"/>
            </w:tcBorders>
            <w:vAlign w:val="center"/>
          </w:tcPr>
          <w:p w14:paraId="77C3BA36">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right w:val="single" w:color="auto" w:sz="4" w:space="0"/>
            </w:tcBorders>
            <w:vAlign w:val="center"/>
          </w:tcPr>
          <w:p w14:paraId="5DB44865">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01579539">
            <w:pPr>
              <w:numPr>
                <w:ilvl w:val="0"/>
                <w:numId w:val="0"/>
              </w:numPr>
              <w:spacing w:line="360" w:lineRule="auto"/>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3</w:t>
            </w:r>
            <w:r>
              <w:rPr>
                <w:rFonts w:hint="eastAsia" w:ascii="仿宋" w:hAnsi="仿宋" w:eastAsia="仿宋" w:cs="仿宋"/>
                <w:b/>
                <w:bCs/>
                <w:color w:val="auto"/>
                <w:highlight w:val="none"/>
                <w:lang w:eastAsia="zh-CN"/>
              </w:rPr>
              <w:t>）本项目货物所属行业：</w:t>
            </w:r>
            <w:r>
              <w:rPr>
                <w:rFonts w:hint="eastAsia" w:ascii="仿宋" w:hAnsi="仿宋" w:eastAsia="仿宋" w:cs="仿宋"/>
                <w:b/>
                <w:bCs/>
                <w:color w:val="auto"/>
                <w:highlight w:val="none"/>
                <w:lang w:val="en-US" w:eastAsia="zh-CN"/>
              </w:rPr>
              <w:t>工业</w:t>
            </w:r>
          </w:p>
        </w:tc>
      </w:tr>
      <w:tr w14:paraId="3D9B2228">
        <w:tblPrEx>
          <w:tblCellMar>
            <w:top w:w="0" w:type="dxa"/>
            <w:left w:w="108" w:type="dxa"/>
            <w:bottom w:w="0" w:type="dxa"/>
            <w:right w:w="108" w:type="dxa"/>
          </w:tblCellMar>
        </w:tblPrEx>
        <w:trPr>
          <w:trHeight w:val="459" w:hRule="atLeast"/>
          <w:jc w:val="center"/>
        </w:trPr>
        <w:tc>
          <w:tcPr>
            <w:tcW w:w="558" w:type="dxa"/>
            <w:vMerge w:val="continue"/>
            <w:tcBorders>
              <w:left w:val="single" w:color="auto" w:sz="4" w:space="0"/>
              <w:bottom w:val="single" w:color="auto" w:sz="4" w:space="0"/>
              <w:right w:val="single" w:color="auto" w:sz="4" w:space="0"/>
            </w:tcBorders>
            <w:vAlign w:val="center"/>
          </w:tcPr>
          <w:p w14:paraId="7C7715D9">
            <w:pPr>
              <w:spacing w:line="360" w:lineRule="auto"/>
              <w:jc w:val="center"/>
              <w:rPr>
                <w:rFonts w:ascii="仿宋" w:hAnsi="仿宋" w:eastAsia="仿宋" w:cs="仿宋"/>
                <w:color w:val="auto"/>
                <w:sz w:val="21"/>
                <w:szCs w:val="21"/>
                <w:highlight w:val="none"/>
                <w:lang w:eastAsia="zh-CN"/>
              </w:rPr>
            </w:pPr>
          </w:p>
        </w:tc>
        <w:tc>
          <w:tcPr>
            <w:tcW w:w="1407" w:type="dxa"/>
            <w:vMerge w:val="continue"/>
            <w:tcBorders>
              <w:left w:val="single" w:color="auto" w:sz="4" w:space="0"/>
              <w:bottom w:val="single" w:color="auto" w:sz="4" w:space="0"/>
              <w:right w:val="single" w:color="auto" w:sz="4" w:space="0"/>
            </w:tcBorders>
            <w:vAlign w:val="center"/>
          </w:tcPr>
          <w:p w14:paraId="0249E662">
            <w:pPr>
              <w:spacing w:line="360" w:lineRule="auto"/>
              <w:rPr>
                <w:rFonts w:ascii="仿宋" w:hAnsi="仿宋" w:eastAsia="仿宋" w:cs="仿宋"/>
                <w:color w:val="auto"/>
                <w:sz w:val="21"/>
                <w:szCs w:val="21"/>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219C181D">
            <w:pPr>
              <w:spacing w:line="360" w:lineRule="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着重提醒：投标供应商在提供《中小企业声明函》时，必须将招标文件采购标的物全部列入《中小企业声明函》，否则不享受扣除价格政策。</w:t>
            </w:r>
          </w:p>
        </w:tc>
      </w:tr>
      <w:tr w14:paraId="38F5B89C">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116FF88B">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31</w:t>
            </w:r>
          </w:p>
        </w:tc>
        <w:tc>
          <w:tcPr>
            <w:tcW w:w="1407" w:type="dxa"/>
            <w:tcBorders>
              <w:top w:val="single" w:color="auto" w:sz="4" w:space="0"/>
              <w:left w:val="single" w:color="auto" w:sz="4" w:space="0"/>
              <w:bottom w:val="single" w:color="auto" w:sz="4" w:space="0"/>
              <w:right w:val="single" w:color="auto" w:sz="4" w:space="0"/>
            </w:tcBorders>
            <w:vAlign w:val="center"/>
          </w:tcPr>
          <w:p w14:paraId="44EF3DBD">
            <w:pPr>
              <w:spacing w:line="360" w:lineRule="auto"/>
              <w:jc w:val="center"/>
              <w:rPr>
                <w:rFonts w:ascii="仿宋" w:hAnsi="仿宋" w:eastAsia="仿宋" w:cs="仿宋"/>
                <w:color w:val="auto"/>
                <w:highlight w:val="none"/>
                <w:lang w:val="zh-CN" w:eastAsia="zh-CN"/>
              </w:rPr>
            </w:pPr>
          </w:p>
          <w:p w14:paraId="0EEFAA62">
            <w:pPr>
              <w:spacing w:line="360" w:lineRule="auto"/>
              <w:jc w:val="center"/>
              <w:rPr>
                <w:rFonts w:ascii="仿宋" w:hAnsi="仿宋" w:eastAsia="仿宋" w:cs="仿宋"/>
                <w:color w:val="auto"/>
                <w:highlight w:val="none"/>
                <w:lang w:val="zh-CN" w:eastAsia="zh-CN"/>
              </w:rPr>
            </w:pPr>
            <w:r>
              <w:rPr>
                <w:rFonts w:hint="eastAsia" w:ascii="仿宋" w:hAnsi="仿宋" w:eastAsia="仿宋" w:cs="仿宋"/>
                <w:color w:val="auto"/>
                <w:highlight w:val="none"/>
                <w:lang w:val="zh-CN" w:eastAsia="zh-CN"/>
              </w:rPr>
              <w:t>履约保证金</w:t>
            </w:r>
          </w:p>
          <w:p w14:paraId="3E500592">
            <w:pPr>
              <w:spacing w:line="360" w:lineRule="auto"/>
              <w:jc w:val="center"/>
              <w:rPr>
                <w:rFonts w:ascii="仿宋" w:hAnsi="仿宋" w:eastAsia="仿宋" w:cs="仿宋"/>
                <w:color w:val="auto"/>
                <w:highlight w:val="none"/>
                <w:lang w:eastAsia="zh-CN"/>
              </w:rPr>
            </w:pPr>
          </w:p>
        </w:tc>
        <w:tc>
          <w:tcPr>
            <w:tcW w:w="7400" w:type="dxa"/>
            <w:tcBorders>
              <w:top w:val="single" w:color="auto" w:sz="4" w:space="0"/>
              <w:left w:val="single" w:color="auto" w:sz="4" w:space="0"/>
              <w:bottom w:val="single" w:color="auto" w:sz="4" w:space="0"/>
              <w:right w:val="single" w:color="auto" w:sz="4" w:space="0"/>
            </w:tcBorders>
            <w:vAlign w:val="center"/>
          </w:tcPr>
          <w:p w14:paraId="082C03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zh-CN" w:eastAsia="zh-CN"/>
              </w:rPr>
              <w:t>中标人</w:t>
            </w:r>
            <w:r>
              <w:rPr>
                <w:rFonts w:hint="eastAsia" w:ascii="仿宋" w:hAnsi="仿宋" w:eastAsia="仿宋" w:cs="仿宋"/>
                <w:color w:val="auto"/>
                <w:highlight w:val="none"/>
                <w:lang w:eastAsia="zh-CN"/>
              </w:rPr>
              <w:t>应在领取《中标通知书》后的十个日历日内，办理履约保证金，</w:t>
            </w:r>
            <w:r>
              <w:rPr>
                <w:rFonts w:hint="eastAsia" w:ascii="仿宋" w:hAnsi="仿宋" w:eastAsia="仿宋" w:cs="仿宋"/>
                <w:color w:val="auto"/>
                <w:highlight w:val="none"/>
                <w:u w:val="single"/>
                <w:lang w:val="zh-CN" w:eastAsia="zh-CN"/>
              </w:rPr>
              <w:t>金额</w:t>
            </w:r>
            <w:r>
              <w:rPr>
                <w:rFonts w:hint="eastAsia" w:ascii="仿宋" w:hAnsi="仿宋" w:eastAsia="仿宋" w:cs="仿宋"/>
                <w:color w:val="auto"/>
                <w:highlight w:val="none"/>
                <w:u w:val="single"/>
                <w:lang w:val="en-US" w:eastAsia="zh-CN"/>
              </w:rPr>
              <w:t>不超过</w:t>
            </w:r>
            <w:r>
              <w:rPr>
                <w:rFonts w:hint="eastAsia" w:ascii="仿宋" w:hAnsi="仿宋" w:eastAsia="仿宋" w:cs="仿宋"/>
                <w:color w:val="auto"/>
                <w:highlight w:val="none"/>
                <w:u w:val="single"/>
                <w:lang w:val="zh-CN" w:eastAsia="zh-CN"/>
              </w:rPr>
              <w:t>合同总价的</w:t>
            </w:r>
            <w:r>
              <w:rPr>
                <w:rFonts w:hint="eastAsia" w:ascii="仿宋" w:hAnsi="仿宋" w:eastAsia="仿宋" w:cs="仿宋"/>
                <w:color w:val="auto"/>
                <w:highlight w:val="none"/>
                <w:u w:val="single"/>
                <w:lang w:val="en-US" w:eastAsia="zh-CN"/>
              </w:rPr>
              <w:t>10</w:t>
            </w:r>
            <w:r>
              <w:rPr>
                <w:rFonts w:hint="eastAsia" w:ascii="仿宋" w:hAnsi="仿宋" w:eastAsia="仿宋" w:cs="仿宋"/>
                <w:color w:val="auto"/>
                <w:highlight w:val="none"/>
                <w:u w:val="single"/>
                <w:lang w:val="zh-CN" w:eastAsia="zh-CN"/>
              </w:rPr>
              <w:t>%</w:t>
            </w:r>
            <w:r>
              <w:rPr>
                <w:rFonts w:hint="eastAsia" w:ascii="仿宋" w:hAnsi="仿宋" w:eastAsia="仿宋" w:cs="仿宋"/>
                <w:color w:val="auto"/>
                <w:highlight w:val="none"/>
                <w:lang w:val="zh-CN" w:eastAsia="zh-CN"/>
              </w:rPr>
              <w:t>，</w:t>
            </w:r>
            <w:r>
              <w:rPr>
                <w:rFonts w:hint="eastAsia" w:ascii="仿宋" w:hAnsi="仿宋" w:eastAsia="仿宋" w:cs="仿宋"/>
                <w:color w:val="auto"/>
                <w:highlight w:val="none"/>
                <w:lang w:eastAsia="zh-CN"/>
              </w:rPr>
              <w:t>否则招标人可取消</w:t>
            </w:r>
            <w:r>
              <w:rPr>
                <w:rFonts w:hint="eastAsia" w:ascii="仿宋" w:hAnsi="仿宋" w:eastAsia="仿宋" w:cs="仿宋"/>
                <w:color w:val="auto"/>
                <w:highlight w:val="none"/>
                <w:lang w:val="zh-CN" w:eastAsia="zh-CN"/>
              </w:rPr>
              <w:t>成交人</w:t>
            </w:r>
            <w:r>
              <w:rPr>
                <w:rFonts w:hint="eastAsia" w:ascii="仿宋" w:hAnsi="仿宋" w:eastAsia="仿宋" w:cs="仿宋"/>
                <w:color w:val="auto"/>
                <w:highlight w:val="none"/>
                <w:lang w:eastAsia="zh-CN"/>
              </w:rPr>
              <w:t>的</w:t>
            </w:r>
            <w:r>
              <w:rPr>
                <w:rFonts w:hint="eastAsia" w:ascii="仿宋" w:hAnsi="仿宋" w:eastAsia="仿宋" w:cs="仿宋"/>
                <w:color w:val="auto"/>
                <w:highlight w:val="none"/>
                <w:lang w:val="zh-CN" w:eastAsia="zh-CN"/>
              </w:rPr>
              <w:t>成交</w:t>
            </w:r>
            <w:r>
              <w:rPr>
                <w:rFonts w:hint="eastAsia" w:ascii="仿宋" w:hAnsi="仿宋" w:eastAsia="仿宋" w:cs="仿宋"/>
                <w:color w:val="auto"/>
                <w:highlight w:val="none"/>
                <w:lang w:eastAsia="zh-CN"/>
              </w:rPr>
              <w:t>资格，并没收其投标保证金。</w:t>
            </w:r>
          </w:p>
        </w:tc>
      </w:tr>
      <w:tr w14:paraId="60F82324">
        <w:tblPrEx>
          <w:tblCellMar>
            <w:top w:w="0" w:type="dxa"/>
            <w:left w:w="108" w:type="dxa"/>
            <w:bottom w:w="0" w:type="dxa"/>
            <w:right w:w="108" w:type="dxa"/>
          </w:tblCellMar>
        </w:tblPrEx>
        <w:trPr>
          <w:trHeight w:val="90" w:hRule="atLeast"/>
          <w:jc w:val="center"/>
        </w:trPr>
        <w:tc>
          <w:tcPr>
            <w:tcW w:w="558" w:type="dxa"/>
            <w:tcBorders>
              <w:top w:val="single" w:color="auto" w:sz="4" w:space="0"/>
              <w:left w:val="single" w:color="auto" w:sz="4" w:space="0"/>
              <w:bottom w:val="single" w:color="auto" w:sz="4" w:space="0"/>
              <w:right w:val="single" w:color="auto" w:sz="4" w:space="0"/>
            </w:tcBorders>
            <w:vAlign w:val="center"/>
          </w:tcPr>
          <w:p w14:paraId="4320EC0C">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32</w:t>
            </w:r>
          </w:p>
        </w:tc>
        <w:tc>
          <w:tcPr>
            <w:tcW w:w="1407" w:type="dxa"/>
            <w:tcBorders>
              <w:top w:val="single" w:color="auto" w:sz="4" w:space="0"/>
              <w:left w:val="single" w:color="auto" w:sz="4" w:space="0"/>
              <w:bottom w:val="single" w:color="auto" w:sz="4" w:space="0"/>
              <w:right w:val="single" w:color="auto" w:sz="4" w:space="0"/>
            </w:tcBorders>
            <w:vAlign w:val="center"/>
          </w:tcPr>
          <w:p w14:paraId="5AD94D06">
            <w:pPr>
              <w:spacing w:line="360" w:lineRule="auto"/>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踏勘现场</w:t>
            </w:r>
          </w:p>
        </w:tc>
        <w:tc>
          <w:tcPr>
            <w:tcW w:w="7400" w:type="dxa"/>
            <w:tcBorders>
              <w:top w:val="single" w:color="auto" w:sz="4" w:space="0"/>
              <w:left w:val="single" w:color="auto" w:sz="4" w:space="0"/>
              <w:bottom w:val="single" w:color="auto" w:sz="4" w:space="0"/>
              <w:right w:val="single" w:color="auto" w:sz="4" w:space="0"/>
            </w:tcBorders>
            <w:vAlign w:val="center"/>
          </w:tcPr>
          <w:p w14:paraId="49AA147C">
            <w:pPr>
              <w:spacing w:line="360" w:lineRule="auto"/>
              <w:rPr>
                <w:rFonts w:hint="eastAsia" w:ascii="仿宋" w:hAnsi="仿宋" w:eastAsia="仿宋" w:cs="仿宋"/>
                <w:color w:val="auto"/>
                <w:highlight w:val="none"/>
                <w:lang w:val="zh-CN" w:eastAsia="zh-CN"/>
              </w:rPr>
            </w:pPr>
            <w:r>
              <w:rPr>
                <w:rFonts w:hint="eastAsia" w:ascii="仿宋" w:hAnsi="仿宋" w:eastAsia="仿宋" w:cs="仿宋"/>
                <w:color w:val="auto"/>
                <w:highlight w:val="none"/>
                <w:lang w:eastAsia="zh-CN"/>
              </w:rPr>
              <w:t>不组织,投标人自行组织踏勘现场。</w:t>
            </w:r>
          </w:p>
        </w:tc>
      </w:tr>
      <w:tr w14:paraId="64E7447C">
        <w:tblPrEx>
          <w:tblCellMar>
            <w:top w:w="0" w:type="dxa"/>
            <w:left w:w="108" w:type="dxa"/>
            <w:bottom w:w="0" w:type="dxa"/>
            <w:right w:w="108" w:type="dxa"/>
          </w:tblCellMar>
        </w:tblPrEx>
        <w:trPr>
          <w:trHeight w:val="84" w:hRule="atLeast"/>
          <w:jc w:val="center"/>
        </w:trPr>
        <w:tc>
          <w:tcPr>
            <w:tcW w:w="1965" w:type="dxa"/>
            <w:gridSpan w:val="2"/>
            <w:tcBorders>
              <w:top w:val="single" w:color="auto" w:sz="4" w:space="0"/>
              <w:left w:val="single" w:color="auto" w:sz="4" w:space="0"/>
              <w:bottom w:val="single" w:color="auto" w:sz="4" w:space="0"/>
              <w:right w:val="single" w:color="auto" w:sz="4" w:space="0"/>
            </w:tcBorders>
            <w:vAlign w:val="center"/>
          </w:tcPr>
          <w:p w14:paraId="616032C3">
            <w:pPr>
              <w:spacing w:line="360" w:lineRule="auto"/>
              <w:ind w:firstLine="729"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w:t>
            </w:r>
          </w:p>
        </w:tc>
        <w:tc>
          <w:tcPr>
            <w:tcW w:w="7400" w:type="dxa"/>
            <w:tcBorders>
              <w:top w:val="single" w:color="auto" w:sz="4" w:space="0"/>
              <w:left w:val="single" w:color="auto" w:sz="4" w:space="0"/>
              <w:bottom w:val="single" w:color="auto" w:sz="4" w:space="0"/>
              <w:right w:val="single" w:color="auto" w:sz="4" w:space="0"/>
            </w:tcBorders>
            <w:vAlign w:val="center"/>
          </w:tcPr>
          <w:p w14:paraId="43F22F11">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1、着重提醒各供应商注意，并认真查看招标文件中的每一个条款及要求，因误读招标文件而造成的后果，招标人概不负责。</w:t>
            </w:r>
          </w:p>
          <w:p w14:paraId="45CA0D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2、供应商使用相同IP地址的，一经发现，相关部门将进一步核实，查实后按串通投标处理。</w:t>
            </w:r>
          </w:p>
          <w:p w14:paraId="3330D75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3、为保证本项目质量，良好的售后服务，最低报价不作为中标的唯一依据。</w:t>
            </w:r>
          </w:p>
          <w:p w14:paraId="683A373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58A35E32">
            <w:pPr>
              <w:spacing w:line="360" w:lineRule="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5、如为信息系统采购项目，供应商不得为该整体项目或其中分项目前期工作提供过设计、编制、管理等服务的法人及附属单位。</w:t>
            </w:r>
          </w:p>
          <w:p w14:paraId="54EBBA63">
            <w:pPr>
              <w:spacing w:line="360" w:lineRule="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6、单位负责人为同一人或者存在直接控股、管理关系的不同供应商，不得参加同一合同项下的政府采购活动。除单一来源采购项目外，为采购项目提供整理设计、规范编制或者项目管理、监理、检测等服务的供应商，不得再参加该采购项目的其他采购活动。</w:t>
            </w:r>
          </w:p>
          <w:p w14:paraId="7822178C">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7</w:t>
            </w:r>
            <w:r>
              <w:rPr>
                <w:rFonts w:hint="eastAsia" w:ascii="仿宋" w:hAnsi="仿宋" w:eastAsia="仿宋" w:cs="仿宋"/>
                <w:color w:val="auto"/>
                <w:highlight w:val="none"/>
                <w:lang w:eastAsia="zh-CN"/>
              </w:rPr>
              <w:t>、其它：</w:t>
            </w:r>
          </w:p>
          <w:p w14:paraId="12B8CBE9">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（1）投标企业严格遵守国家的法律法规及招标纪律，无违法违纪及商业贿赂行为。</w:t>
            </w:r>
          </w:p>
          <w:p w14:paraId="31E2EDB5">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（2）不管投标结果如何，供应商均应自行承担投标所需一切费用。</w:t>
            </w:r>
          </w:p>
          <w:p w14:paraId="5B35D7E2">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（3）供应商应以书面形式保证中标后由本公司组织实施，不得以任何理由将项目转包给其他机构。</w:t>
            </w:r>
          </w:p>
          <w:p w14:paraId="4B1BBE68">
            <w:pPr>
              <w:spacing w:line="360" w:lineRule="auto"/>
              <w:rPr>
                <w:rFonts w:ascii="仿宋" w:hAnsi="仿宋" w:eastAsia="仿宋" w:cs="仿宋"/>
                <w:color w:val="auto"/>
                <w:highlight w:val="none"/>
                <w:lang w:eastAsia="zh-CN"/>
              </w:rPr>
            </w:pPr>
            <w:r>
              <w:rPr>
                <w:rFonts w:hint="eastAsia" w:ascii="仿宋" w:hAnsi="仿宋" w:eastAsia="仿宋" w:cs="仿宋"/>
                <w:b w:val="0"/>
                <w:bCs w:val="0"/>
                <w:color w:val="auto"/>
                <w:highlight w:val="none"/>
                <w:lang w:eastAsia="zh-CN"/>
              </w:rPr>
              <w:t>（</w:t>
            </w:r>
            <w:r>
              <w:rPr>
                <w:rFonts w:hint="eastAsia" w:ascii="仿宋" w:hAnsi="仿宋" w:eastAsia="仿宋" w:cs="仿宋"/>
                <w:b w:val="0"/>
                <w:bCs w:val="0"/>
                <w:color w:val="auto"/>
                <w:highlight w:val="none"/>
                <w:lang w:val="en-US" w:eastAsia="zh-CN"/>
              </w:rPr>
              <w:t>4</w:t>
            </w:r>
            <w:r>
              <w:rPr>
                <w:rFonts w:hint="eastAsia" w:ascii="仿宋" w:hAnsi="仿宋" w:eastAsia="仿宋" w:cs="仿宋"/>
                <w:b w:val="0"/>
                <w:bCs w:val="0"/>
                <w:color w:val="auto"/>
                <w:highlight w:val="none"/>
                <w:lang w:eastAsia="zh-CN"/>
              </w:rPr>
              <w:t>）招标文件中如出现前后不一致情况，均以前附表内容为准。</w:t>
            </w:r>
          </w:p>
        </w:tc>
      </w:tr>
    </w:tbl>
    <w:p w14:paraId="60554924">
      <w:pPr>
        <w:pageBreakBefore/>
        <w:spacing w:beforeLines="100" w:afterLines="100" w:line="340" w:lineRule="exact"/>
        <w:jc w:val="center"/>
        <w:outlineLvl w:val="1"/>
        <w:rPr>
          <w:rFonts w:ascii="仿宋" w:hAnsi="仿宋" w:eastAsia="仿宋" w:cs="仿宋"/>
          <w:b/>
          <w:color w:val="auto"/>
          <w:sz w:val="28"/>
          <w:szCs w:val="32"/>
          <w:highlight w:val="none"/>
          <w:lang w:eastAsia="zh-CN"/>
        </w:rPr>
      </w:pPr>
      <w:r>
        <w:rPr>
          <w:rFonts w:hint="eastAsia" w:ascii="仿宋" w:hAnsi="仿宋" w:eastAsia="仿宋" w:cs="仿宋"/>
          <w:b/>
          <w:color w:val="auto"/>
          <w:sz w:val="28"/>
          <w:szCs w:val="28"/>
          <w:highlight w:val="none"/>
          <w:lang w:eastAsia="zh-CN"/>
        </w:rPr>
        <w:t>二、供应商须知</w:t>
      </w:r>
    </w:p>
    <w:p w14:paraId="4F1D39A1">
      <w:pPr>
        <w:spacing w:line="340" w:lineRule="exact"/>
        <w:jc w:val="center"/>
        <w:outlineLvl w:val="2"/>
        <w:rPr>
          <w:rFonts w:ascii="仿宋" w:hAnsi="仿宋" w:eastAsia="仿宋" w:cs="仿宋"/>
          <w:color w:val="auto"/>
          <w:sz w:val="28"/>
          <w:szCs w:val="28"/>
          <w:highlight w:val="none"/>
          <w:lang w:eastAsia="zh-CN"/>
        </w:rPr>
      </w:pPr>
      <w:bookmarkStart w:id="0" w:name="_Toc469495724"/>
      <w:r>
        <w:rPr>
          <w:rFonts w:hint="eastAsia" w:ascii="仿宋" w:hAnsi="仿宋" w:eastAsia="仿宋" w:cs="仿宋"/>
          <w:b/>
          <w:color w:val="auto"/>
          <w:sz w:val="28"/>
          <w:szCs w:val="28"/>
          <w:highlight w:val="none"/>
          <w:lang w:eastAsia="zh-CN"/>
        </w:rPr>
        <w:t>（一）</w:t>
      </w:r>
      <w:r>
        <w:rPr>
          <w:rFonts w:hint="eastAsia" w:ascii="仿宋" w:hAnsi="仿宋" w:eastAsia="仿宋" w:cs="仿宋"/>
          <w:b/>
          <w:color w:val="auto"/>
          <w:sz w:val="28"/>
          <w:szCs w:val="32"/>
          <w:highlight w:val="none"/>
          <w:lang w:eastAsia="zh-CN"/>
        </w:rPr>
        <w:t>总  则</w:t>
      </w:r>
      <w:bookmarkEnd w:id="0"/>
    </w:p>
    <w:p w14:paraId="6CD3048A">
      <w:pPr>
        <w:snapToGrid w:val="0"/>
        <w:spacing w:line="3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1.项目概况</w:t>
      </w:r>
    </w:p>
    <w:p w14:paraId="755F1B39">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1.1本次招标采购项目名称：见供应商须知前附表。</w:t>
      </w:r>
    </w:p>
    <w:p w14:paraId="1FC381D5">
      <w:pPr>
        <w:snapToGrid w:val="0"/>
        <w:spacing w:line="440" w:lineRule="exact"/>
        <w:ind w:firstLine="2430" w:firstLineChars="10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项目编号：见供应商须知前附表。</w:t>
      </w:r>
    </w:p>
    <w:p w14:paraId="0D0CC008">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招标人：见供应商须知前附表。</w:t>
      </w:r>
    </w:p>
    <w:p w14:paraId="78AC400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供货期：见供应商须知前附表。</w:t>
      </w:r>
    </w:p>
    <w:p w14:paraId="28CADA2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供货地点：见供应商须知前附表。</w:t>
      </w:r>
    </w:p>
    <w:p w14:paraId="0543DC36">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1.2招标人及联系人：见供应商须知前附表。</w:t>
      </w:r>
    </w:p>
    <w:p w14:paraId="29B75125">
      <w:pPr>
        <w:snapToGrid w:val="0"/>
        <w:spacing w:line="440" w:lineRule="exact"/>
        <w:ind w:firstLine="607" w:firstLineChars="25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 代理机构及联系人：见供应商须知前附表。</w:t>
      </w:r>
    </w:p>
    <w:p w14:paraId="0A4325C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1.3资金来源：见供应商须知前附表。</w:t>
      </w:r>
    </w:p>
    <w:p w14:paraId="15358B92">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1.4本项目预算：见供应商须知前附表。</w:t>
      </w:r>
    </w:p>
    <w:p w14:paraId="4BCE988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1.5本项目控制价：见供应商须知前附表。</w:t>
      </w:r>
    </w:p>
    <w:p w14:paraId="47FFFFC5">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2.招标范围：</w:t>
      </w:r>
    </w:p>
    <w:p w14:paraId="45D806D9">
      <w:pPr>
        <w:snapToGrid w:val="0"/>
        <w:spacing w:line="440" w:lineRule="exact"/>
        <w:ind w:firstLine="486" w:firstLineChars="200"/>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2.1 采购内容：见供应商须知前附表。</w:t>
      </w:r>
    </w:p>
    <w:p w14:paraId="2CB03F92">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 技术要求：详见采购文件第四章采购内容及技术要求。</w:t>
      </w:r>
    </w:p>
    <w:p w14:paraId="7DB61AEF">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3.标包划分：</w:t>
      </w:r>
    </w:p>
    <w:p w14:paraId="6B0DC0B3">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3.1本项目划分：</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个包。</w:t>
      </w:r>
    </w:p>
    <w:p w14:paraId="72D8C765">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4.招标方式：</w:t>
      </w:r>
    </w:p>
    <w:p w14:paraId="5856CD06">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4.1本项目招标方式：公开招标。</w:t>
      </w:r>
    </w:p>
    <w:p w14:paraId="7E71F11F">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5.计价方式：</w:t>
      </w:r>
    </w:p>
    <w:p w14:paraId="7CD3901A">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5.1本次招标项目合同采用</w:t>
      </w:r>
      <w:r>
        <w:rPr>
          <w:rFonts w:hint="eastAsia" w:ascii="仿宋" w:hAnsi="仿宋" w:eastAsia="仿宋" w:cs="仿宋"/>
          <w:color w:val="auto"/>
          <w:szCs w:val="21"/>
          <w:highlight w:val="none"/>
          <w:u w:val="single"/>
          <w:lang w:eastAsia="zh-CN"/>
        </w:rPr>
        <w:t xml:space="preserve">   固定总价 。</w:t>
      </w:r>
    </w:p>
    <w:p w14:paraId="1F41037A">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6.评标办法：</w:t>
      </w:r>
    </w:p>
    <w:p w14:paraId="1B58D136">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6.1本次招标评标采用</w:t>
      </w:r>
      <w:r>
        <w:rPr>
          <w:rFonts w:hint="eastAsia" w:ascii="仿宋" w:hAnsi="仿宋" w:eastAsia="仿宋" w:cs="仿宋"/>
          <w:color w:val="auto"/>
          <w:szCs w:val="21"/>
          <w:highlight w:val="none"/>
          <w:u w:val="single"/>
          <w:lang w:eastAsia="zh-CN"/>
        </w:rPr>
        <w:t xml:space="preserve">  综合评分法 </w:t>
      </w:r>
      <w:r>
        <w:rPr>
          <w:rFonts w:hint="eastAsia" w:ascii="仿宋" w:hAnsi="仿宋" w:eastAsia="仿宋" w:cs="仿宋"/>
          <w:color w:val="auto"/>
          <w:szCs w:val="21"/>
          <w:highlight w:val="none"/>
          <w:lang w:eastAsia="zh-CN"/>
        </w:rPr>
        <w:t>（详见第三章评标办法）</w:t>
      </w:r>
    </w:p>
    <w:p w14:paraId="2E8CAE81">
      <w:pPr>
        <w:snapToGrid w:val="0"/>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7.供应商资格：</w:t>
      </w:r>
    </w:p>
    <w:p w14:paraId="6689E395">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7.1参与采购活动的供应商必须是满足《中华人民共和国政府采购法》规定条件的法人、其他组织或者自然人：</w:t>
      </w:r>
    </w:p>
    <w:p w14:paraId="2307301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7.2由于政府采购项目的差异性，供应商在参与具体政府采购项目活动时，应仔细阅读该项目的资质要求,具体见供应商须知前附表。</w:t>
      </w:r>
    </w:p>
    <w:p w14:paraId="14B4EEAA">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7.3根据电子化政府采购的特点，各供应商在开标前应确保成为新疆维吾尔自治区政府采购网正式注册入库供应商，</w:t>
      </w:r>
      <w:r>
        <w:rPr>
          <w:rFonts w:hint="eastAsia" w:ascii="仿宋" w:hAnsi="仿宋" w:eastAsia="仿宋" w:cs="仿宋"/>
          <w:color w:val="auto"/>
          <w:kern w:val="2"/>
          <w:highlight w:val="none"/>
          <w:lang w:eastAsia="zh-CN" w:bidi="ar-SA"/>
        </w:rPr>
        <w:t>(已在政采云平台其他省份入驻的供应商无须重复注册），</w:t>
      </w:r>
      <w:r>
        <w:rPr>
          <w:rFonts w:hint="eastAsia" w:ascii="仿宋" w:hAnsi="仿宋" w:eastAsia="仿宋" w:cs="仿宋"/>
          <w:color w:val="auto"/>
          <w:szCs w:val="21"/>
          <w:highlight w:val="none"/>
          <w:lang w:eastAsia="zh-CN"/>
        </w:rPr>
        <w:t>并完成CA数字证书申领。因未注册入库、未办理CA数字证书等原因造成无法投标或投标失败等后果由供应商自行承担。</w:t>
      </w:r>
    </w:p>
    <w:p w14:paraId="7CEE29DF">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7.4供应商必须确保自己在信息库中注册的信息真实、准确，并保证投标文件中的有关信息与库中的信息相一致。否则，供应商因此蒙受损失，招标人概不负责。</w:t>
      </w:r>
    </w:p>
    <w:p w14:paraId="1040FA75">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8. 投标费用</w:t>
      </w:r>
    </w:p>
    <w:p w14:paraId="4EF4FD6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8.1供应商准备和参加投标活动发生的费用自理。</w:t>
      </w:r>
    </w:p>
    <w:p w14:paraId="7323BD15">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9.</w:t>
      </w:r>
      <w:bookmarkStart w:id="1" w:name="_Toc296602429"/>
      <w:bookmarkStart w:id="2" w:name="_Toc152045539"/>
      <w:bookmarkStart w:id="3" w:name="_Toc247592876"/>
      <w:bookmarkStart w:id="4" w:name="_Toc247513962"/>
      <w:bookmarkStart w:id="5" w:name="_Toc247527563"/>
      <w:bookmarkStart w:id="6" w:name="_Toc152042315"/>
      <w:bookmarkStart w:id="7" w:name="_Toc144974507"/>
      <w:r>
        <w:rPr>
          <w:rFonts w:hint="eastAsia" w:ascii="仿宋" w:hAnsi="仿宋" w:eastAsia="仿宋" w:cs="仿宋"/>
          <w:b/>
          <w:color w:val="auto"/>
          <w:szCs w:val="21"/>
          <w:highlight w:val="none"/>
          <w:lang w:eastAsia="zh-CN"/>
        </w:rPr>
        <w:t xml:space="preserve"> 踏勘现场</w:t>
      </w:r>
      <w:bookmarkEnd w:id="1"/>
      <w:bookmarkEnd w:id="2"/>
      <w:bookmarkEnd w:id="3"/>
      <w:bookmarkEnd w:id="4"/>
      <w:bookmarkEnd w:id="5"/>
      <w:bookmarkEnd w:id="6"/>
      <w:bookmarkEnd w:id="7"/>
    </w:p>
    <w:p w14:paraId="53FD0C53">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供应商须知前附表规定组织踏勘现场的，招标人按供应商须知前附表规定的时间、地点组织供应商踏勘项目现场。如需踏勘现场，</w:t>
      </w:r>
      <w:r>
        <w:rPr>
          <w:rFonts w:hint="eastAsia" w:ascii="仿宋" w:hAnsi="仿宋" w:eastAsia="仿宋" w:cs="仿宋"/>
          <w:color w:val="auto"/>
          <w:highlight w:val="none"/>
          <w:lang w:eastAsia="zh-CN"/>
        </w:rPr>
        <w:t>供应商自行踏勘现场的，可咨询本项目采购人或采购代理机构联系人。</w:t>
      </w:r>
      <w:r>
        <w:rPr>
          <w:rFonts w:hint="eastAsia" w:ascii="仿宋" w:hAnsi="仿宋" w:eastAsia="仿宋" w:cs="仿宋"/>
          <w:b/>
          <w:bCs/>
          <w:color w:val="auto"/>
          <w:highlight w:val="none"/>
          <w:lang w:eastAsia="zh-CN"/>
        </w:rPr>
        <w:t>供应商自行踏勘现场的，可咨询本项目采购人或采购代理机构联系人。</w:t>
      </w:r>
      <w:r>
        <w:rPr>
          <w:rFonts w:hint="eastAsia" w:ascii="仿宋" w:hAnsi="仿宋" w:eastAsia="仿宋" w:cs="仿宋"/>
          <w:b/>
          <w:bCs/>
          <w:color w:val="auto"/>
          <w:szCs w:val="21"/>
          <w:highlight w:val="none"/>
          <w:lang w:eastAsia="zh-CN"/>
        </w:rPr>
        <w:t xml:space="preserve"> </w:t>
      </w:r>
    </w:p>
    <w:p w14:paraId="1F7111F6">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供应商踏勘现场发生的费用自理。</w:t>
      </w:r>
    </w:p>
    <w:p w14:paraId="44555D49">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除招标人的原因外，供应商自行负责在踏勘现场中所发生的人员伤亡和财产损失。</w:t>
      </w:r>
    </w:p>
    <w:p w14:paraId="74BED9D6">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招标人在踏勘现场中介绍的场地和相关的周边环境情况，供应商在编制投标文件时参考，招标人不对供应商据此作出的判断和决策负责。</w:t>
      </w:r>
      <w:bookmarkStart w:id="8" w:name="_Toc152042316"/>
      <w:bookmarkStart w:id="9" w:name="_Toc152045540"/>
      <w:bookmarkStart w:id="10" w:name="_Toc296602430"/>
      <w:bookmarkStart w:id="11" w:name="_Toc247513963"/>
      <w:bookmarkStart w:id="12" w:name="_Toc247527564"/>
      <w:bookmarkStart w:id="13" w:name="_Toc144974508"/>
      <w:bookmarkStart w:id="14" w:name="_Toc247592877"/>
    </w:p>
    <w:p w14:paraId="678352B0">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10. 投标预备会</w:t>
      </w:r>
      <w:bookmarkEnd w:id="8"/>
      <w:bookmarkEnd w:id="9"/>
      <w:bookmarkEnd w:id="10"/>
      <w:bookmarkEnd w:id="11"/>
      <w:bookmarkEnd w:id="12"/>
      <w:bookmarkEnd w:id="13"/>
      <w:bookmarkEnd w:id="14"/>
    </w:p>
    <w:p w14:paraId="6196BAF1">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10.1供应商须知前附表规定召开投标预备会的，招标人按供应商须知前附表规定的时间和地点召开投标预备会，澄清供应商提出的问题。</w:t>
      </w:r>
    </w:p>
    <w:p w14:paraId="62776064">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10.2供应商应在供应商须知前附表规定的时间前，将提出的问题送达招标人，以便招标人澄清。</w:t>
      </w:r>
    </w:p>
    <w:p w14:paraId="46C8198E">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10.3招标人在供应商须知前附表规定的时间，将对供应商所提的问题进行澄清。该澄清内容为采购文件的组成部分。</w:t>
      </w:r>
    </w:p>
    <w:p w14:paraId="58031D4B">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11. 联合投标</w:t>
      </w:r>
    </w:p>
    <w:p w14:paraId="47B51979">
      <w:pPr>
        <w:spacing w:line="44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 两个以上供应商可以组成一个投标联合体，以一个供应商的身份投标。以联合体形式参加投标的，联合体各方均应当符合《政府采购法》第二十二条规定的条件。招标人根据采购项目的特殊要求规定供应商特定条件的，联合体各方中至少应当有一方符合招标人规定的特定条件。</w:t>
      </w:r>
    </w:p>
    <w:p w14:paraId="644658AF">
      <w:pPr>
        <w:spacing w:line="400" w:lineRule="exact"/>
        <w:ind w:firstLine="473" w:firstLineChars="19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14:paraId="05E4954F">
      <w:pPr>
        <w:spacing w:line="4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11.3 联合体应当确定其中一个单位为投标的全权代表，负责参加投标的一切事务，并承担投标及履约中应承担的全部责任与义务。</w:t>
      </w:r>
    </w:p>
    <w:p w14:paraId="6633F0D4">
      <w:pPr>
        <w:pStyle w:val="8"/>
        <w:spacing w:after="0" w:line="400" w:lineRule="exact"/>
        <w:ind w:left="0" w:leftChars="0" w:firstLine="490" w:firstLineChars="20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11.4 联合体各方应当共同与招标人签订采购合同，就采购合同约定的事项对招标人承担连带责任。</w:t>
      </w:r>
    </w:p>
    <w:p w14:paraId="13B4E898">
      <w:pPr>
        <w:spacing w:line="440" w:lineRule="exact"/>
        <w:ind w:firstLine="475" w:firstLineChars="196"/>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12.招标代理费：</w:t>
      </w:r>
      <w:r>
        <w:rPr>
          <w:rFonts w:hint="eastAsia" w:ascii="仿宋" w:hAnsi="仿宋" w:eastAsia="仿宋" w:cs="仿宋"/>
          <w:color w:val="auto"/>
          <w:szCs w:val="21"/>
          <w:highlight w:val="none"/>
          <w:lang w:eastAsia="zh-CN"/>
        </w:rPr>
        <w:t>见供应商须知前附表。</w:t>
      </w:r>
    </w:p>
    <w:p w14:paraId="22E34752">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13.供应商应注意的事项</w:t>
      </w:r>
    </w:p>
    <w:p w14:paraId="31B01231">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color w:val="auto"/>
          <w:szCs w:val="21"/>
          <w:highlight w:val="none"/>
          <w:lang w:eastAsia="zh-CN"/>
        </w:rPr>
        <w:t>13.1供应商一旦按规定缴纳了投标保证金并参加投标，即被认为接受了本采购文件中的所有条件和规定。供应商必须严格按采购文件的要求编制投标文件，投标文件宜编制页码和目录，以便评委审核。否则，由此产生的一切后果由供应商承担。</w:t>
      </w:r>
    </w:p>
    <w:p w14:paraId="4F6328A2">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13.2 供应商对采购内容中规定的技术参数、规格等要求必须完全响应或优于采购文件中的要求。</w:t>
      </w:r>
    </w:p>
    <w:p w14:paraId="0740E16F">
      <w:pPr>
        <w:spacing w:line="440" w:lineRule="exact"/>
        <w:ind w:firstLine="475"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13.3所有供应商的投标保证金都应在采购文件规定的投标保证金缴纳截止日期前缴纳。</w:t>
      </w:r>
    </w:p>
    <w:p w14:paraId="72C8224F">
      <w:pPr>
        <w:spacing w:line="440" w:lineRule="exact"/>
        <w:ind w:firstLine="475" w:firstLineChars="196"/>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13.4单位负责人为同一人或者存在直接控股、管理关系的不同供应商，不得参加同一合同项下的政府采购活动。</w:t>
      </w:r>
      <w:r>
        <w:rPr>
          <w:rFonts w:hint="eastAsia" w:ascii="仿宋" w:hAnsi="仿宋" w:eastAsia="仿宋" w:cs="仿宋"/>
          <w:color w:val="auto"/>
          <w:szCs w:val="21"/>
          <w:highlight w:val="none"/>
          <w:lang w:eastAsia="zh-CN"/>
        </w:rPr>
        <w:t>为采购项目提供整体设计、规范编制或者项目管理、监理、检测等服务的供应商，不得再参加该采购项目的其他采购活动。</w:t>
      </w:r>
    </w:p>
    <w:p w14:paraId="3DB247E4">
      <w:pPr>
        <w:snapToGrid w:val="0"/>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13.5本项目只接受</w:t>
      </w:r>
      <w:r>
        <w:rPr>
          <w:rFonts w:hint="eastAsia" w:ascii="仿宋" w:hAnsi="仿宋" w:eastAsia="仿宋" w:cs="仿宋"/>
          <w:color w:val="auto"/>
          <w:szCs w:val="21"/>
          <w:highlight w:val="none"/>
          <w:lang w:eastAsia="zh-CN"/>
        </w:rPr>
        <w:t>成为新疆维吾尔自治区政府采购网正式注册入库并完成CA数字证书申领供应商参与投标。因未注册入库、未办理CA数字证书等原因造成无法投标或投标失败等后果由供应商自行承担。</w:t>
      </w:r>
    </w:p>
    <w:p w14:paraId="405CE3D9">
      <w:pPr>
        <w:wordWrap w:val="0"/>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13.6  供应商被视为充分熟悉本招标项目所在地的与履行合同有关的各种情况，包括但不限于：</w:t>
      </w:r>
    </w:p>
    <w:p w14:paraId="368EDD64">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（1）国家对本次投标货物和服务的生产、安装调试、验收、维修等有关法律、法规及行业管理标准；</w:t>
      </w:r>
    </w:p>
    <w:p w14:paraId="6BA49357">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（2）本地区有关管理部门的相关规定；</w:t>
      </w:r>
    </w:p>
    <w:p w14:paraId="4F1F814B">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（3）招标人的相关场地情况、基础建设、电力供应情况及相关设计标准。</w:t>
      </w:r>
    </w:p>
    <w:p w14:paraId="05066BCA">
      <w:pPr>
        <w:spacing w:line="400" w:lineRule="exact"/>
        <w:ind w:firstLine="364" w:firstLineChars="15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本采购文件不再对上述情况进行描述。</w:t>
      </w:r>
      <w:bookmarkStart w:id="15" w:name="_Toc469495725"/>
    </w:p>
    <w:p w14:paraId="0080EA82">
      <w:pPr>
        <w:spacing w:line="400" w:lineRule="exact"/>
        <w:ind w:firstLine="424" w:firstLineChars="150"/>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w:t>
      </w:r>
      <w:bookmarkEnd w:id="15"/>
      <w:r>
        <w:rPr>
          <w:rFonts w:hint="eastAsia" w:ascii="仿宋" w:hAnsi="仿宋" w:eastAsia="仿宋" w:cs="仿宋"/>
          <w:b/>
          <w:color w:val="auto"/>
          <w:sz w:val="28"/>
          <w:szCs w:val="28"/>
          <w:highlight w:val="none"/>
          <w:lang w:eastAsia="zh-CN"/>
        </w:rPr>
        <w:t>招标文件</w:t>
      </w:r>
    </w:p>
    <w:p w14:paraId="7140B679">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15. 采购文件的编制依据</w:t>
      </w:r>
    </w:p>
    <w:p w14:paraId="55224F53">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根据《中华人民共和国政府采购法》、《政府采购货物和服务招标投标管理办法》和《中华人民共和国合同法》</w:t>
      </w:r>
      <w:r>
        <w:rPr>
          <w:rFonts w:hint="eastAsia" w:ascii="仿宋" w:hAnsi="仿宋" w:eastAsia="仿宋" w:cs="仿宋"/>
          <w:color w:val="auto"/>
          <w:spacing w:val="-2"/>
          <w:szCs w:val="21"/>
          <w:highlight w:val="none"/>
          <w:lang w:eastAsia="zh-CN"/>
        </w:rPr>
        <w:t>等相关法律法规和规章及部、省、市级规范性文件的规定，编制本采购文件。</w:t>
      </w:r>
    </w:p>
    <w:p w14:paraId="10F30CE8">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16. 采购文件的组成</w:t>
      </w:r>
    </w:p>
    <w:p w14:paraId="0ACE06CB">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16.1 采购文件包括内容：</w:t>
      </w:r>
    </w:p>
    <w:p w14:paraId="6C26FFF4">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第一章  招标公告</w:t>
      </w:r>
    </w:p>
    <w:p w14:paraId="0C284F6E">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第二章  投标须知</w:t>
      </w:r>
    </w:p>
    <w:p w14:paraId="55BB5837">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第三章  评标办法</w:t>
      </w:r>
    </w:p>
    <w:p w14:paraId="2606AD1F">
      <w:pPr>
        <w:spacing w:line="440" w:lineRule="exact"/>
        <w:ind w:firstLine="1701" w:firstLineChars="700"/>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 xml:space="preserve">第四章  </w:t>
      </w:r>
      <w:r>
        <w:rPr>
          <w:rFonts w:hint="eastAsia" w:ascii="仿宋" w:hAnsi="仿宋" w:eastAsia="仿宋" w:cs="仿宋"/>
          <w:color w:val="auto"/>
          <w:szCs w:val="21"/>
          <w:highlight w:val="none"/>
          <w:lang w:val="en-US" w:eastAsia="zh-CN"/>
        </w:rPr>
        <w:t>技术规格、数量及质量要求</w:t>
      </w:r>
    </w:p>
    <w:p w14:paraId="15F5DAA5">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第五章  合同条款及格式</w:t>
      </w:r>
    </w:p>
    <w:p w14:paraId="7B1A874A">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第六章  投标文件格式</w:t>
      </w:r>
    </w:p>
    <w:p w14:paraId="555B6462">
      <w:pPr>
        <w:spacing w:line="440" w:lineRule="exact"/>
        <w:ind w:firstLine="1701" w:firstLineChars="7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第七章  招标单位、招标代理机构对本文件的确认</w:t>
      </w:r>
    </w:p>
    <w:p w14:paraId="1582CFD4">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16.2 除16.1内容外，招标答疑亦为采购文件的组成部分，对招标人和供应商起约束作用。</w:t>
      </w:r>
    </w:p>
    <w:p w14:paraId="703FAA12">
      <w:pPr>
        <w:pStyle w:val="10"/>
        <w:wordWrap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16.3供应商应仔细阅读和检查采购文件的全部内容。如发现缺页或附件不全，应及时向招标人提出，以便补齐。如有疑问，供应商应以书面形式一次性向采购人和采购代理机构提出同一环节的质疑。</w:t>
      </w:r>
    </w:p>
    <w:p w14:paraId="53986F2A">
      <w:pPr>
        <w:wordWrap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采购文件的澄清将在政采云平台“更正公告”栏目予以公告，但不指明澄清问题的来源。如果澄清内容影响投标文件编制的，将相应延长投标截止时间。</w:t>
      </w:r>
    </w:p>
    <w:p w14:paraId="54640AA1">
      <w:pPr>
        <w:spacing w:line="440" w:lineRule="exact"/>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17. 采购文件的修改、补充、解释</w:t>
      </w:r>
    </w:p>
    <w:p w14:paraId="213C1A56">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17.1采购文件发出后，招标人在规定的投标截止时间前可对采购文件进行必要的修改和补充，并以更正公告形式在政采云平台 “更正公告”栏目予以公告，请各位供应商注意查看有关澄清内容，如不及时查看造成后果由供应商自负。采购文件的修改、补充等内容作为采购文件的组成部分，具有约束作用。</w:t>
      </w:r>
    </w:p>
    <w:p w14:paraId="26F2950B">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14:paraId="56FE399E">
      <w:pPr>
        <w:wordWrap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 xml:space="preserve">17.3 </w:t>
      </w:r>
      <w:r>
        <w:rPr>
          <w:rFonts w:hint="eastAsia" w:ascii="仿宋" w:hAnsi="仿宋" w:eastAsia="仿宋" w:cs="仿宋"/>
          <w:color w:val="auto"/>
          <w:szCs w:val="21"/>
          <w:highlight w:val="none"/>
          <w:lang w:eastAsia="zh-CN"/>
        </w:rPr>
        <w:t>供应商在规定的时间内未对采购文件提出疑问、质疑或要求澄清的，将视其为无异议。</w:t>
      </w:r>
    </w:p>
    <w:p w14:paraId="5D608D1E">
      <w:pPr>
        <w:spacing w:line="400" w:lineRule="exact"/>
        <w:ind w:firstLine="243" w:firstLineChars="1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17.4 采购文件的解释</w:t>
      </w:r>
    </w:p>
    <w:p w14:paraId="65F4F81B">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本采购文件由招标人（或其委托的招标代理机构）负责解释。</w:t>
      </w:r>
    </w:p>
    <w:p w14:paraId="3E3A7C5E">
      <w:pPr>
        <w:spacing w:line="40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 18. 采购文件的发出</w:t>
      </w:r>
    </w:p>
    <w:p w14:paraId="58EB3BEA">
      <w:pPr>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18.1 采购文件、采购文件的澄清、修改、补充及招标答疑等均应报相关部门备案后，方可发出。</w:t>
      </w:r>
    </w:p>
    <w:p w14:paraId="121CEE4F">
      <w:pPr>
        <w:spacing w:line="440" w:lineRule="exact"/>
        <w:ind w:firstLine="243" w:firstLineChars="100"/>
        <w:rPr>
          <w:rFonts w:ascii="仿宋" w:hAnsi="仿宋" w:eastAsia="仿宋" w:cs="仿宋"/>
          <w:color w:val="auto"/>
          <w:szCs w:val="21"/>
          <w:highlight w:val="none"/>
          <w:lang w:eastAsia="zh-CN"/>
        </w:rPr>
      </w:pPr>
      <w:bookmarkStart w:id="16" w:name="_Toc469495726"/>
      <w:r>
        <w:rPr>
          <w:rFonts w:hint="eastAsia" w:ascii="仿宋" w:hAnsi="仿宋" w:eastAsia="仿宋" w:cs="仿宋"/>
          <w:b/>
          <w:color w:val="auto"/>
          <w:szCs w:val="21"/>
          <w:highlight w:val="none"/>
          <w:lang w:eastAsia="zh-CN"/>
        </w:rPr>
        <w:t xml:space="preserve">19. </w:t>
      </w:r>
      <w:r>
        <w:rPr>
          <w:rFonts w:hint="eastAsia" w:ascii="仿宋" w:hAnsi="仿宋" w:eastAsia="仿宋" w:cs="仿宋"/>
          <w:color w:val="auto"/>
          <w:szCs w:val="21"/>
          <w:highlight w:val="none"/>
          <w:lang w:eastAsia="zh-CN"/>
        </w:rPr>
        <w:t>凡需要设置样品情形时，必须明确是否需要随样品提交检测报告，并明确检测机构的要求、检测内容、中标样品封存等事项。（评标委员会无法判断样品是否合格且样品需要提供给第三方权威检测机构检测的,在供应商提供招标人认可的第三方权威检测机构检测报告后，评标委员会推荐的中标候选人方可生效，采购人或代理机构发布中标（成交）结果公告。</w:t>
      </w:r>
    </w:p>
    <w:p w14:paraId="790D730A">
      <w:pPr>
        <w:spacing w:line="440" w:lineRule="exact"/>
        <w:ind w:firstLine="42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采购文件中应明确样品送检方式、检测费用支付方法、供应商在规定时间内无法提供第三方权威检测机构检测报告的处理方式。（采购人根据项目需求按上述要求自行描述）</w:t>
      </w:r>
    </w:p>
    <w:p w14:paraId="3AE20458">
      <w:pPr>
        <w:spacing w:beforeLines="100" w:afterLines="100" w:line="440" w:lineRule="exact"/>
        <w:jc w:val="center"/>
        <w:outlineLvl w:val="2"/>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（三）投标文件的编制</w:t>
      </w:r>
      <w:bookmarkEnd w:id="16"/>
    </w:p>
    <w:p w14:paraId="12A67DF2">
      <w:pPr>
        <w:spacing w:line="440" w:lineRule="exact"/>
        <w:ind w:firstLine="352" w:firstLineChars="145"/>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20. 投标的语言及度量衡单位</w:t>
      </w:r>
    </w:p>
    <w:p w14:paraId="7713B2B9">
      <w:pPr>
        <w:spacing w:line="440" w:lineRule="exact"/>
        <w:ind w:firstLine="328" w:firstLineChars="135"/>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20.1供应商提交的投标文件、技术文件和资料，以及供应商与招标人就有关投标的所有来往函电均应使用中文。投标文件中若有英文或其他语言文字的资料，应提供相应的中文翻译资料。对不同文本投标文件的解释发生异议的，以中文文本为准。</w:t>
      </w:r>
    </w:p>
    <w:p w14:paraId="157B5EA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20.2除采购文件中另有规定外，投标书所使用的度量衡均须采用法定计量单位。</w:t>
      </w:r>
    </w:p>
    <w:p w14:paraId="11149F9E">
      <w:pPr>
        <w:spacing w:line="400" w:lineRule="exact"/>
        <w:ind w:firstLine="237" w:firstLineChars="98"/>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21. 投标文件的组成</w:t>
      </w:r>
    </w:p>
    <w:p w14:paraId="564E5C4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资格证明文件和商务及技术文件两部分。</w:t>
      </w:r>
    </w:p>
    <w:p w14:paraId="1507ECF3">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21.1资格证明文件（包括但不限于）</w:t>
      </w:r>
    </w:p>
    <w:p w14:paraId="5A15191B">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资格证明文件是证明供应商有资格参加投标和中标后有能力履行合同的文件，这些文件应能满足招标的要求，否则作无效投标处理。</w:t>
      </w:r>
    </w:p>
    <w:p w14:paraId="6E1C6082">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1、法人或者非法人组织的营业执照等证明文件复印件（须加盖本单位章）或自然人的身份证明复印件;</w:t>
      </w:r>
    </w:p>
    <w:p w14:paraId="1BC12BE1">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2、法定代表人资格证明书</w:t>
      </w:r>
    </w:p>
    <w:p w14:paraId="76286804">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3、法定代表人授权书</w:t>
      </w:r>
    </w:p>
    <w:p w14:paraId="61532C2F">
      <w:pPr>
        <w:spacing w:line="440" w:lineRule="exact"/>
        <w:ind w:firstLine="356" w:firstLineChars="147"/>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1A9FBF8D">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、投标保证金缴纳凭证或投标担保函；</w:t>
      </w:r>
    </w:p>
    <w:p w14:paraId="2D65455C">
      <w:pPr>
        <w:spacing w:line="440" w:lineRule="exact"/>
        <w:ind w:firstLine="356" w:firstLineChars="147"/>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6、投标企业须提供供应商（被授权本单位在职人员）近6个月内任意1个月的有效社保证明;</w:t>
      </w:r>
    </w:p>
    <w:p w14:paraId="4EE8B9FE">
      <w:pPr>
        <w:spacing w:line="440" w:lineRule="exact"/>
        <w:ind w:firstLine="356" w:firstLineChars="147"/>
        <w:rPr>
          <w:color w:val="auto"/>
          <w:highlight w:val="none"/>
          <w:lang w:eastAsia="zh-CN"/>
        </w:rPr>
      </w:pPr>
      <w:r>
        <w:rPr>
          <w:rFonts w:hint="eastAsia" w:ascii="仿宋" w:hAnsi="仿宋" w:eastAsia="仿宋" w:cs="仿宋"/>
          <w:color w:val="auto"/>
          <w:szCs w:val="21"/>
          <w:highlight w:val="none"/>
          <w:lang w:val="en-US" w:eastAsia="zh-CN"/>
        </w:rPr>
        <w:t>7、所投产品属于第二类医疗器械的，投标企业须提供有效的行政主管部门颁发的医疗器械经营备案凭证（或医疗器械生产许可证或医疗器械经营许可证）；所投产品属于第三类医疗器械的，须提供有效的行政主管部门颁发的医疗器械生产许可证（或医疗器械经营许可证）。</w:t>
      </w:r>
    </w:p>
    <w:p w14:paraId="60734D5B">
      <w:pPr>
        <w:spacing w:line="440" w:lineRule="exact"/>
        <w:ind w:firstLine="356" w:firstLineChars="1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p>
    <w:p w14:paraId="463094E2">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lang w:eastAsia="zh-CN"/>
        </w:rPr>
        <w:t xml:space="preserve">、供应商须知资料表要求的其他资格证明文件; </w:t>
      </w:r>
    </w:p>
    <w:p w14:paraId="7878B78C">
      <w:pPr>
        <w:spacing w:line="440" w:lineRule="exact"/>
        <w:ind w:firstLine="356" w:firstLineChars="147"/>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21.2 商务及技术文件（包括但不限于）</w:t>
      </w:r>
    </w:p>
    <w:p w14:paraId="5FD6781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1、投标函</w:t>
      </w:r>
    </w:p>
    <w:p w14:paraId="1D220947">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2、开标一览表</w:t>
      </w:r>
    </w:p>
    <w:p w14:paraId="095024C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3、货物说明一览表</w:t>
      </w:r>
    </w:p>
    <w:p w14:paraId="26EC0EBF">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4、投标分项报价表</w:t>
      </w:r>
    </w:p>
    <w:p w14:paraId="5530F7B4">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5、技术条款偏离表</w:t>
      </w:r>
    </w:p>
    <w:p w14:paraId="2FFE27CA">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6、商务条款偏离表</w:t>
      </w:r>
    </w:p>
    <w:p w14:paraId="3DFB4310">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7、供应商基本情况表</w:t>
      </w:r>
    </w:p>
    <w:p w14:paraId="67C519AE">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8</w:t>
      </w:r>
      <w:r>
        <w:rPr>
          <w:rFonts w:hint="eastAsia" w:ascii="仿宋" w:hAnsi="仿宋" w:eastAsia="仿宋" w:cs="仿宋"/>
          <w:bCs/>
          <w:color w:val="auto"/>
          <w:szCs w:val="21"/>
          <w:highlight w:val="none"/>
          <w:lang w:eastAsia="zh-CN"/>
        </w:rPr>
        <w:t>、中小企业声明函(货物)</w:t>
      </w:r>
    </w:p>
    <w:p w14:paraId="1EAC9E83">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9</w:t>
      </w:r>
      <w:r>
        <w:rPr>
          <w:rFonts w:hint="eastAsia" w:ascii="仿宋" w:hAnsi="仿宋" w:eastAsia="仿宋" w:cs="仿宋"/>
          <w:bCs/>
          <w:color w:val="auto"/>
          <w:szCs w:val="21"/>
          <w:highlight w:val="none"/>
          <w:lang w:eastAsia="zh-CN"/>
        </w:rPr>
        <w:t>、残疾人福利性单位声明函</w:t>
      </w:r>
    </w:p>
    <w:p w14:paraId="673463B9">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10</w:t>
      </w:r>
      <w:r>
        <w:rPr>
          <w:rFonts w:hint="eastAsia" w:ascii="仿宋" w:hAnsi="仿宋" w:eastAsia="仿宋" w:cs="仿宋"/>
          <w:bCs/>
          <w:color w:val="auto"/>
          <w:szCs w:val="21"/>
          <w:highlight w:val="none"/>
          <w:lang w:eastAsia="zh-CN"/>
        </w:rPr>
        <w:t>、评分标准和细则中技术部分证明材料</w:t>
      </w:r>
    </w:p>
    <w:p w14:paraId="545BF701">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11</w:t>
      </w:r>
      <w:r>
        <w:rPr>
          <w:rFonts w:hint="eastAsia" w:ascii="仿宋" w:hAnsi="仿宋" w:eastAsia="仿宋" w:cs="仿宋"/>
          <w:bCs/>
          <w:color w:val="auto"/>
          <w:szCs w:val="21"/>
          <w:highlight w:val="none"/>
          <w:lang w:eastAsia="zh-CN"/>
        </w:rPr>
        <w:t>、评分标准和细则中</w:t>
      </w:r>
      <w:r>
        <w:rPr>
          <w:rFonts w:hint="eastAsia" w:ascii="仿宋" w:hAnsi="仿宋" w:eastAsia="仿宋" w:cs="仿宋"/>
          <w:bCs/>
          <w:color w:val="auto"/>
          <w:szCs w:val="21"/>
          <w:highlight w:val="none"/>
          <w:lang w:val="en-US" w:eastAsia="zh-CN"/>
        </w:rPr>
        <w:t>商务</w:t>
      </w:r>
      <w:r>
        <w:rPr>
          <w:rFonts w:hint="eastAsia" w:ascii="仿宋" w:hAnsi="仿宋" w:eastAsia="仿宋" w:cs="仿宋"/>
          <w:bCs/>
          <w:color w:val="auto"/>
          <w:szCs w:val="21"/>
          <w:highlight w:val="none"/>
          <w:lang w:eastAsia="zh-CN"/>
        </w:rPr>
        <w:t>部分证明材料（格式自拟）</w:t>
      </w:r>
    </w:p>
    <w:p w14:paraId="19341CA8">
      <w:pPr>
        <w:spacing w:line="400" w:lineRule="exact"/>
        <w:ind w:firstLine="482" w:firstLineChars="199"/>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1</w:t>
      </w:r>
      <w:r>
        <w:rPr>
          <w:rFonts w:hint="eastAsia" w:ascii="仿宋" w:hAnsi="仿宋" w:eastAsia="仿宋" w:cs="仿宋"/>
          <w:bCs/>
          <w:color w:val="auto"/>
          <w:szCs w:val="21"/>
          <w:highlight w:val="none"/>
          <w:lang w:val="en-US" w:eastAsia="zh-CN"/>
        </w:rPr>
        <w:t>2</w:t>
      </w:r>
      <w:r>
        <w:rPr>
          <w:rFonts w:hint="eastAsia" w:ascii="仿宋" w:hAnsi="仿宋" w:eastAsia="仿宋" w:cs="仿宋"/>
          <w:bCs/>
          <w:color w:val="auto"/>
          <w:szCs w:val="21"/>
          <w:highlight w:val="none"/>
          <w:lang w:eastAsia="zh-CN"/>
        </w:rPr>
        <w:t>、供应商认为有必要提供的其他证明材料（格式自拟）</w:t>
      </w:r>
    </w:p>
    <w:p w14:paraId="0E937802">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u w:val="single"/>
          <w:lang w:eastAsia="zh-CN"/>
        </w:rPr>
        <w:t>注：以上材料须逐页加盖单位公章。</w:t>
      </w:r>
    </w:p>
    <w:p w14:paraId="26F4BC91">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21.3投标文件的要求</w:t>
      </w:r>
    </w:p>
    <w:p w14:paraId="0F9C6CE3">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应仔细阅读采购文件的所有内容，按照采购文件的要求详细编制投标文件，所提交的全部资料必须真实有效，并且要保证字迹清晰易于辨认。投标文件应对采购文件实质性内容作出响应，否则按无效标处理。</w:t>
      </w:r>
    </w:p>
    <w:p w14:paraId="3E6E56EF">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（2）投标文件格式应按本采购文件第六章格式要求编制，不得对采购文件格式进行增删更改，否则按无效标处理。</w:t>
      </w:r>
    </w:p>
    <w:p w14:paraId="224C281A">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（3）对采购文件格式可更改的例外情况：采购文件第六部分附件格式要求中明确规定表格中行数不够用时可按相同格式增加行数，其他一切内容和格式不得更改。 </w:t>
      </w:r>
    </w:p>
    <w:p w14:paraId="5B93F9CC">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（4）投标文件为电子投标文件，电子投标文件按“政采云供应商项目采购-电子招投标操作指南”及本采购文件要求制作、加密传输。</w:t>
      </w:r>
    </w:p>
    <w:p w14:paraId="29156648">
      <w:pPr>
        <w:spacing w:line="400" w:lineRule="exact"/>
        <w:ind w:firstLine="482" w:firstLineChars="199"/>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（5）投标文件未在投标截止时间前完成传输的，视为投标文件撤回；投标文件未按时解密也未提供备份投标文件的，亦视为投标文件撤回。</w:t>
      </w:r>
    </w:p>
    <w:p w14:paraId="160ADCED">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22</w:t>
      </w:r>
      <w:r>
        <w:rPr>
          <w:rFonts w:hint="eastAsia" w:ascii="仿宋" w:hAnsi="仿宋" w:eastAsia="仿宋" w:cs="仿宋"/>
          <w:color w:val="auto"/>
          <w:szCs w:val="21"/>
          <w:highlight w:val="none"/>
          <w:lang w:eastAsia="zh-CN"/>
        </w:rPr>
        <w:t>.</w:t>
      </w:r>
      <w:r>
        <w:rPr>
          <w:rFonts w:hint="eastAsia" w:ascii="仿宋" w:hAnsi="仿宋" w:eastAsia="仿宋" w:cs="仿宋"/>
          <w:b/>
          <w:color w:val="auto"/>
          <w:szCs w:val="21"/>
          <w:highlight w:val="none"/>
          <w:lang w:eastAsia="zh-CN"/>
        </w:rPr>
        <w:t>投标报价</w:t>
      </w:r>
    </w:p>
    <w:p w14:paraId="26C7E68A">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22.1投标报价文件中的单价和总价全部采用人民币表示。</w:t>
      </w:r>
    </w:p>
    <w:p w14:paraId="3C07F8E1">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22.2投标报价表上应清楚地标明供应商拟提供货物的名称、型号、生产厂家、数量、单价和总价。</w:t>
      </w:r>
    </w:p>
    <w:p w14:paraId="2F437E7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22.3供应商只允许有一个方案、一个报价。</w:t>
      </w:r>
    </w:p>
    <w:p w14:paraId="0FCEB865">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22.4供应商应按“采购内容及技术参数要求”所列货物逐项进行单价报价，并最终按货物总量乘以货物单价报总价，不得采用总价下浮的方式进行报价。综合单价包括：设备费、安装费、材料费、辅材费、运输费、管理费、利润、风险费用、代理费、调试、验收、培训及后期服务及国家对中标单位征收的各种税费等所有一切费用，综合单价今后将不作任何调整。</w:t>
      </w:r>
    </w:p>
    <w:p w14:paraId="2CE37ADA">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22.5投标报价的价格是货物交货地验收价格，其总价即为履行合同的固定总价。</w:t>
      </w:r>
    </w:p>
    <w:p w14:paraId="779E1891">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22.6技术要求中规定的安装、调试和培训费用应包括在投标价格中。投标文件报价为含税价，招标人不再为此次招标支付任何费用。</w:t>
      </w:r>
    </w:p>
    <w:p w14:paraId="518E672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22.7投标报价应由法定代表人或被授权人签署。</w:t>
      </w:r>
    </w:p>
    <w:p w14:paraId="6F5BA910">
      <w:pPr>
        <w:spacing w:line="440" w:lineRule="exact"/>
        <w:ind w:firstLine="486" w:firstLineChars="200"/>
        <w:rPr>
          <w:rFonts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eastAsia="zh-CN"/>
        </w:rPr>
        <w:t>22.8</w:t>
      </w:r>
      <w:r>
        <w:rPr>
          <w:rFonts w:hint="eastAsia" w:ascii="仿宋" w:hAnsi="仿宋" w:eastAsia="仿宋" w:cs="仿宋"/>
          <w:b/>
          <w:color w:val="auto"/>
          <w:szCs w:val="21"/>
          <w:highlight w:val="none"/>
          <w:lang w:eastAsia="zh-CN"/>
        </w:rPr>
        <w:t>供应商投标总报价，不得高于本次招标设置的最高限价，</w:t>
      </w:r>
      <w:r>
        <w:rPr>
          <w:rFonts w:hint="eastAsia" w:ascii="仿宋" w:hAnsi="仿宋" w:eastAsia="仿宋" w:cs="仿宋"/>
          <w:b/>
          <w:bCs/>
          <w:color w:val="auto"/>
          <w:szCs w:val="21"/>
          <w:highlight w:val="none"/>
          <w:lang w:eastAsia="zh-CN"/>
        </w:rPr>
        <w:t>否则将作为无效投标处理。</w:t>
      </w:r>
    </w:p>
    <w:p w14:paraId="0D5427C2">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22.9如投标文件中未列明全面实现投标货物功能而必须配置的配套或辅助设施及相应技术措施的费用，这些费用将被视为已包含在总投标价中。</w:t>
      </w:r>
    </w:p>
    <w:p w14:paraId="4ACE1CA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22.10总投标价中不得包含采购文件要求以外的内容，否则，在评标时不予核减，但在授予合同时，招标人有权将这部分价格从其中标价格中扣除。</w:t>
      </w:r>
    </w:p>
    <w:p w14:paraId="66C22818">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22.11总投标价中不得缺漏采购文件所要求的内容，否则，评标时将有效投标中该项内容的最高价计入其评标总价，但在授予合同时，缺漏项目的报价视作已含在其他项目的报价中，这些项目将作为免费赠送而包含在合同内。    </w:t>
      </w:r>
    </w:p>
    <w:p w14:paraId="7EEB8F26">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22.12供应商不得对从第三方采购货物的随机备品、备件另行收费，否则在计算评标价时这部分费用将不予扣除，在授予合同时将从中标价格中扣除该部分费用。</w:t>
      </w:r>
    </w:p>
    <w:p w14:paraId="305740C3">
      <w:pPr>
        <w:spacing w:line="440" w:lineRule="exact"/>
        <w:ind w:firstLine="465" w:firstLineChars="192"/>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22.13供应商应根据货物的技术状况列出随机备品备件的清单和数量，并将该备品备件价格计入总投标价，若所提供的产品无需备件，则应在投标文件中说明；无论供应商在报价中列明随机备品备件的数量及价格多少，在质保期内招标人均无需为维护维修保养所需的专用工具和备品备件另行支付费用。</w:t>
      </w:r>
    </w:p>
    <w:p w14:paraId="3CE16624">
      <w:pPr>
        <w:spacing w:line="44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23. 投标有效期</w:t>
      </w:r>
    </w:p>
    <w:p w14:paraId="504601B4">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23.1 除供应商须知前附表另有规定外，投标有效期为60天。</w:t>
      </w:r>
    </w:p>
    <w:p w14:paraId="396C840B">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23.2在投标有效期内，供应商撤销或修改其投标文件的，应承担采购文件和法律规定的责任。</w:t>
      </w:r>
    </w:p>
    <w:p w14:paraId="4CE67ED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23.3出现特殊情况需要延长投标有效期的，招标人以书面形式通知所有供应商延长投标有效期。供应商同意延长的，应相应延长其投标保证金的有效期，但不得要求或被允许修改或撤销其投标文件；供应商拒绝延长的，其投标失效，但供应商有权收回其投标保证金。</w:t>
      </w:r>
    </w:p>
    <w:p w14:paraId="20C79B95">
      <w:pPr>
        <w:spacing w:line="440" w:lineRule="exact"/>
        <w:ind w:firstLine="465" w:firstLineChars="192"/>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24. 投标保证金</w:t>
      </w:r>
    </w:p>
    <w:p w14:paraId="0245F5C6">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24.1供应商须知前附表规定递交投标保证金的，供应商在递交投标文件的同时，应按供应商须知前附表规定的金额、担保形式和第六部分“投标文件格式”规定的投标保证金格式递交投标保证金，并作为其投标文件的组成部分。供应商不按要求提交投标保证金的，评标委员会将否决其投标。</w:t>
      </w:r>
    </w:p>
    <w:p w14:paraId="65F5450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24.2自中标通知书发出之日起5个工作日内退还未中标供应商的投标保证金，自政府采购合同签订之日起5个工作日内退还中标人的投标保证金。</w:t>
      </w:r>
    </w:p>
    <w:p w14:paraId="33904FE1">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24.3有下列情形之一的，投标保证金将不予退还： </w:t>
      </w:r>
    </w:p>
    <w:p w14:paraId="7E739A9D">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（1）供应商在规定的投标有效期内撤回或修改其投标文件；</w:t>
      </w:r>
    </w:p>
    <w:p w14:paraId="74DA338F">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（2）中标通知书发出后三十天内，中标人无正当理由拒签合同协议书或未按采购文件规定提交履约担保。</w:t>
      </w:r>
    </w:p>
    <w:p w14:paraId="13BE3EFC">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（3）提供虚假材料谋取中标的；</w:t>
      </w:r>
    </w:p>
    <w:p w14:paraId="3C215595">
      <w:pPr>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（4）经查实属于陪标、串通投标的等。</w:t>
      </w:r>
    </w:p>
    <w:p w14:paraId="6AF8CDC1">
      <w:pPr>
        <w:spacing w:line="400" w:lineRule="exact"/>
        <w:ind w:firstLine="486" w:firstLineChars="200"/>
        <w:rPr>
          <w:rFonts w:ascii="仿宋" w:hAnsi="仿宋" w:eastAsia="仿宋" w:cs="仿宋"/>
          <w:color w:val="auto"/>
          <w:szCs w:val="21"/>
          <w:highlight w:val="none"/>
          <w:lang w:eastAsia="zh-CN"/>
        </w:rPr>
      </w:pPr>
      <w:bookmarkStart w:id="17" w:name="_Toc469495727"/>
      <w:r>
        <w:rPr>
          <w:rFonts w:hint="eastAsia" w:ascii="仿宋" w:hAnsi="仿宋" w:eastAsia="仿宋" w:cs="仿宋"/>
          <w:color w:val="auto"/>
          <w:szCs w:val="21"/>
          <w:highlight w:val="none"/>
          <w:lang w:eastAsia="zh-CN"/>
        </w:rPr>
        <w:t>24.4投标保证金按供应商须知前附表第</w:t>
      </w:r>
      <w:r>
        <w:rPr>
          <w:rFonts w:hint="eastAsia" w:ascii="仿宋" w:hAnsi="仿宋" w:eastAsia="仿宋" w:cs="仿宋"/>
          <w:color w:val="auto"/>
          <w:szCs w:val="21"/>
          <w:highlight w:val="none"/>
          <w:lang w:val="en-US" w:eastAsia="zh-CN"/>
        </w:rPr>
        <w:t>13</w:t>
      </w:r>
      <w:r>
        <w:rPr>
          <w:rFonts w:hint="eastAsia" w:ascii="仿宋" w:hAnsi="仿宋" w:eastAsia="仿宋" w:cs="仿宋"/>
          <w:color w:val="auto"/>
          <w:szCs w:val="21"/>
          <w:highlight w:val="none"/>
          <w:lang w:eastAsia="zh-CN"/>
        </w:rPr>
        <w:t>条规定执行。</w:t>
      </w:r>
    </w:p>
    <w:p w14:paraId="52E6A78E">
      <w:pPr>
        <w:pStyle w:val="2"/>
        <w:rPr>
          <w:rFonts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（四）</w:t>
      </w:r>
      <w:bookmarkEnd w:id="17"/>
      <w:r>
        <w:rPr>
          <w:rFonts w:hint="eastAsia" w:ascii="仿宋" w:hAnsi="仿宋" w:eastAsia="仿宋" w:cs="仿宋"/>
          <w:color w:val="auto"/>
          <w:sz w:val="28"/>
          <w:szCs w:val="28"/>
          <w:highlight w:val="none"/>
          <w:lang w:eastAsia="zh-CN"/>
        </w:rPr>
        <w:t>投标文件的制作、上传及递交要求</w:t>
      </w:r>
    </w:p>
    <w:p w14:paraId="2B236A54">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25.投标文件的制作要求</w:t>
      </w:r>
    </w:p>
    <w:p w14:paraId="6BC59C8A">
      <w:pPr>
        <w:pStyle w:val="5"/>
        <w:snapToGrid w:val="0"/>
        <w:spacing w:line="360" w:lineRule="auto"/>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1）供应商应按照投标文件组成内容及项目招标需求和新疆政府采购云平台要求制作投标文件，不按采购文件和新疆政府采购云平台要求制作投标文件的将视情况处理（拒收等），由此产生的责任由供应商自行承担。</w:t>
      </w:r>
    </w:p>
    <w:p w14:paraId="647E9702">
      <w:pPr>
        <w:pStyle w:val="5"/>
        <w:snapToGrid w:val="0"/>
        <w:spacing w:line="360" w:lineRule="auto"/>
        <w:ind w:firstLine="486" w:firstLineChars="200"/>
        <w:rPr>
          <w:rFonts w:ascii="仿宋" w:hAnsi="仿宋" w:eastAsia="仿宋" w:cs="仿宋"/>
          <w:color w:val="auto"/>
          <w:szCs w:val="24"/>
          <w:highlight w:val="none"/>
          <w:lang w:eastAsia="zh-CN"/>
        </w:rPr>
      </w:pPr>
      <w:r>
        <w:rPr>
          <w:rFonts w:hint="eastAsia" w:ascii="仿宋" w:hAnsi="仿宋" w:eastAsia="仿宋" w:cs="仿宋"/>
          <w:bCs/>
          <w:color w:val="auto"/>
          <w:szCs w:val="24"/>
          <w:highlight w:val="none"/>
          <w:lang w:eastAsia="zh-CN"/>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部分投标文件格式》未提供格式的，请供应商自行拟定格式，并加盖单位公章，否则视为未提供。</w:t>
      </w:r>
    </w:p>
    <w:p w14:paraId="226470DD">
      <w:pPr>
        <w:pStyle w:val="5"/>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备份电子投标文件：通过“政采云”平台电子投标工具制作投标文件所产生的备份文件。</w:t>
      </w:r>
    </w:p>
    <w:p w14:paraId="23F24DCE">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（2）供应商应对所提供的全部资料的真实性、有效性承担法律责任，电子投标文件中所</w:t>
      </w:r>
      <w:r>
        <w:rPr>
          <w:rFonts w:hint="eastAsia" w:ascii="仿宋" w:hAnsi="仿宋" w:eastAsia="仿宋" w:cs="仿宋"/>
          <w:bCs/>
          <w:color w:val="auto"/>
          <w:szCs w:val="24"/>
          <w:highlight w:val="none"/>
          <w:lang w:val="en-US" w:eastAsia="zh-CN"/>
        </w:rPr>
        <w:t>需</w:t>
      </w:r>
      <w:r>
        <w:rPr>
          <w:rFonts w:hint="eastAsia" w:ascii="仿宋" w:hAnsi="仿宋" w:eastAsia="仿宋" w:cs="仿宋"/>
          <w:bCs/>
          <w:color w:val="auto"/>
          <w:szCs w:val="24"/>
          <w:highlight w:val="none"/>
          <w:lang w:eastAsia="zh-CN"/>
        </w:rPr>
        <w:t>加盖公章部分均采用CA签章。</w:t>
      </w:r>
    </w:p>
    <w:p w14:paraId="316AC4B8">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（3）投标文件以及供应商与采购组织机构就有关投标事宜的所有来往函电，均应以中文汉语书写。除签章、盖章、专用名称等特殊情形外，以中文汉语以外的文字表述的投标文件视同未提供。</w:t>
      </w:r>
    </w:p>
    <w:p w14:paraId="0482D362">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（4）投标计量单位，采购文件已有明确规定的，使用采购文件规定的计量单位；采购文件没有规定的，应采用中华人民共和国法定计量单位（货币单位：人民币元）。</w:t>
      </w:r>
    </w:p>
    <w:p w14:paraId="69C30E16">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（5）若供应商不按采购文件的要求提供资格审查材料，其风险由供应商自行承担。</w:t>
      </w:r>
    </w:p>
    <w:p w14:paraId="2B07BDB8">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（6）与本次投标无关的内容请不要制作在内，确保投标文件有针对性、简洁明了。</w:t>
      </w:r>
    </w:p>
    <w:p w14:paraId="14C9B788">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26.投标文件的上传</w:t>
      </w:r>
    </w:p>
    <w:p w14:paraId="1AF93B09">
      <w:pPr>
        <w:pStyle w:val="5"/>
        <w:snapToGrid w:val="0"/>
        <w:spacing w:line="360" w:lineRule="auto"/>
        <w:rPr>
          <w:rFonts w:ascii="仿宋" w:hAnsi="仿宋" w:eastAsia="仿宋" w:cs="仿宋"/>
          <w:b/>
          <w:bCs/>
          <w:color w:val="auto"/>
          <w:szCs w:val="24"/>
          <w:highlight w:val="none"/>
          <w:lang w:eastAsia="zh-CN"/>
        </w:rPr>
      </w:pPr>
      <w:r>
        <w:rPr>
          <w:rFonts w:hint="eastAsia" w:ascii="仿宋" w:hAnsi="仿宋" w:eastAsia="仿宋" w:cs="仿宋"/>
          <w:b/>
          <w:bCs/>
          <w:color w:val="auto"/>
          <w:szCs w:val="24"/>
          <w:highlight w:val="none"/>
          <w:lang w:eastAsia="zh-CN"/>
        </w:rPr>
        <w:t>（1）</w:t>
      </w:r>
      <w:r>
        <w:rPr>
          <w:rFonts w:hint="eastAsia" w:ascii="仿宋" w:hAnsi="仿宋" w:eastAsia="仿宋" w:cs="仿宋"/>
          <w:b/>
          <w:bCs/>
          <w:color w:val="auto"/>
          <w:szCs w:val="24"/>
          <w:highlight w:val="none"/>
          <w:lang w:eastAsia="zh-CN" w:bidi="zh-CN"/>
        </w:rPr>
        <w:t>电子加密投标文件（“.jmbs”格式）</w:t>
      </w:r>
      <w:r>
        <w:rPr>
          <w:rFonts w:hint="eastAsia" w:ascii="仿宋" w:hAnsi="仿宋" w:eastAsia="仿宋" w:cs="仿宋"/>
          <w:b/>
          <w:bCs/>
          <w:color w:val="auto"/>
          <w:szCs w:val="24"/>
          <w:highlight w:val="none"/>
          <w:lang w:eastAsia="zh-CN"/>
        </w:rPr>
        <w:t>：</w:t>
      </w:r>
    </w:p>
    <w:p w14:paraId="51FA408E">
      <w:pPr>
        <w:pStyle w:val="5"/>
        <w:snapToGrid w:val="0"/>
        <w:spacing w:line="360" w:lineRule="auto"/>
        <w:ind w:firstLine="607"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a.</w:t>
      </w:r>
      <w:r>
        <w:rPr>
          <w:rFonts w:hint="eastAsia" w:ascii="仿宋" w:hAnsi="仿宋" w:eastAsia="仿宋" w:cs="仿宋"/>
          <w:bCs/>
          <w:color w:val="auto"/>
          <w:szCs w:val="24"/>
          <w:highlight w:val="none"/>
          <w:lang w:eastAsia="zh-CN"/>
        </w:rPr>
        <w:t xml:space="preserve"> </w:t>
      </w:r>
      <w:r>
        <w:rPr>
          <w:rFonts w:hint="eastAsia" w:ascii="仿宋" w:hAnsi="仿宋" w:eastAsia="仿宋" w:cs="仿宋"/>
          <w:bCs/>
          <w:color w:val="auto"/>
          <w:szCs w:val="24"/>
          <w:highlight w:val="none"/>
          <w:lang w:eastAsia="zh-CN" w:bidi="zh-CN"/>
        </w:rPr>
        <w:t>供应商应在投标截止时间前将电子加密投标文件成功上传递交至新疆政府采购云平台，否则投标无效；</w:t>
      </w:r>
    </w:p>
    <w:p w14:paraId="78B52F8F">
      <w:pPr>
        <w:pStyle w:val="5"/>
        <w:snapToGrid w:val="0"/>
        <w:spacing w:line="360" w:lineRule="auto"/>
        <w:ind w:firstLine="607" w:firstLineChars="25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bidi="zh-CN"/>
        </w:rPr>
        <w:t>b.供应商成功上传电子加密投标文件后，可自行打印投标文件接收回执。</w:t>
      </w:r>
    </w:p>
    <w:p w14:paraId="6AD29E90">
      <w:pPr>
        <w:pStyle w:val="5"/>
        <w:snapToGrid w:val="0"/>
        <w:spacing w:line="360" w:lineRule="auto"/>
        <w:rPr>
          <w:rFonts w:ascii="仿宋" w:hAnsi="仿宋" w:eastAsia="仿宋" w:cs="仿宋"/>
          <w:b/>
          <w:bCs/>
          <w:color w:val="auto"/>
          <w:szCs w:val="24"/>
          <w:highlight w:val="none"/>
          <w:lang w:eastAsia="zh-CN" w:bidi="zh-CN"/>
        </w:rPr>
      </w:pPr>
      <w:r>
        <w:rPr>
          <w:rFonts w:hint="eastAsia" w:ascii="仿宋" w:hAnsi="仿宋" w:eastAsia="仿宋" w:cs="仿宋"/>
          <w:b/>
          <w:bCs/>
          <w:color w:val="auto"/>
          <w:szCs w:val="24"/>
          <w:highlight w:val="none"/>
          <w:lang w:eastAsia="zh-CN"/>
        </w:rPr>
        <w:t>（2）</w:t>
      </w:r>
      <w:r>
        <w:rPr>
          <w:rFonts w:hint="eastAsia" w:ascii="仿宋" w:hAnsi="仿宋" w:eastAsia="仿宋" w:cs="仿宋"/>
          <w:b/>
          <w:bCs/>
          <w:color w:val="auto"/>
          <w:szCs w:val="24"/>
          <w:highlight w:val="none"/>
          <w:lang w:eastAsia="zh-CN" w:bidi="zh-CN"/>
        </w:rPr>
        <w:t>备份投标文件（“.bfbs”格式）：</w:t>
      </w:r>
    </w:p>
    <w:p w14:paraId="0A261A08">
      <w:pPr>
        <w:pStyle w:val="19"/>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exact"/>
        <w:ind w:right="0" w:firstLine="486" w:firstLineChars="200"/>
        <w:jc w:val="left"/>
        <w:textAlignment w:val="auto"/>
        <w:rPr>
          <w:rFonts w:ascii="仿宋" w:hAnsi="仿宋" w:eastAsia="仿宋" w:cs="仿宋"/>
          <w:color w:val="auto"/>
          <w:szCs w:val="24"/>
          <w:highlight w:val="none"/>
          <w:lang w:eastAsia="zh-CN" w:bidi="zh-CN"/>
        </w:rPr>
      </w:pPr>
      <w:r>
        <w:rPr>
          <w:rFonts w:hint="eastAsia" w:ascii="仿宋" w:hAnsi="仿宋" w:eastAsia="仿宋" w:cs="仿宋"/>
          <w:bCs/>
          <w:color w:val="auto"/>
          <w:szCs w:val="24"/>
          <w:highlight w:val="none"/>
          <w:lang w:eastAsia="zh-CN"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Cs w:val="24"/>
          <w:highlight w:val="none"/>
          <w:lang w:eastAsia="zh-CN" w:bidi="zh-CN"/>
        </w:rPr>
        <w:t>“备份投标文件”以投标截止时间前指定接收邮箱最终收到的文件为准，逾期或未按要求提供的视为未提供，建议供应商提前1日办理邮件提供事宜（接收人邮箱：</w:t>
      </w:r>
      <w:r>
        <w:rPr>
          <w:color w:val="auto"/>
          <w:highlight w:val="none"/>
          <w:u w:val="none"/>
        </w:rPr>
        <w:fldChar w:fldCharType="begin"/>
      </w:r>
      <w:r>
        <w:rPr>
          <w:color w:val="auto"/>
          <w:highlight w:val="none"/>
          <w:u w:val="none"/>
        </w:rPr>
        <w:instrText xml:space="preserve"> HYPERLINK "mailto:1207446769@qq.com，接收人：陈加轲，电话：15157655122" </w:instrText>
      </w:r>
      <w:r>
        <w:rPr>
          <w:color w:val="auto"/>
          <w:highlight w:val="none"/>
          <w:u w:val="none"/>
        </w:rPr>
        <w:fldChar w:fldCharType="separate"/>
      </w:r>
      <w:r>
        <w:rPr>
          <w:rFonts w:hint="eastAsia" w:ascii="仿宋" w:hAnsi="仿宋" w:eastAsia="仿宋" w:cs="仿宋"/>
          <w:color w:val="auto"/>
          <w:szCs w:val="24"/>
          <w:highlight w:val="none"/>
          <w:u w:val="none"/>
          <w:lang w:eastAsia="zh-CN" w:bidi="zh-CN"/>
        </w:rPr>
        <w:t>245291818@qq.com，</w:t>
      </w:r>
      <w:r>
        <w:rPr>
          <w:rStyle w:val="26"/>
          <w:rFonts w:hint="eastAsia" w:ascii="仿宋" w:hAnsi="仿宋" w:eastAsia="仿宋" w:cs="仿宋"/>
          <w:color w:val="auto"/>
          <w:szCs w:val="24"/>
          <w:highlight w:val="none"/>
          <w:u w:val="none"/>
          <w:lang w:eastAsia="zh-CN" w:bidi="zh-CN"/>
        </w:rPr>
        <w:t>接收人：</w:t>
      </w:r>
      <w:r>
        <w:rPr>
          <w:rFonts w:hint="eastAsia" w:ascii="仿宋" w:hAnsi="仿宋" w:eastAsia="仿宋" w:cs="仿宋"/>
          <w:color w:val="auto"/>
          <w:szCs w:val="24"/>
          <w:highlight w:val="none"/>
          <w:u w:val="none"/>
          <w:lang w:eastAsia="zh-CN" w:bidi="zh-CN"/>
        </w:rPr>
        <w:t>银先生</w:t>
      </w:r>
      <w:r>
        <w:rPr>
          <w:rStyle w:val="26"/>
          <w:rFonts w:hint="eastAsia" w:ascii="仿宋" w:hAnsi="仿宋" w:eastAsia="仿宋" w:cs="仿宋"/>
          <w:color w:val="auto"/>
          <w:szCs w:val="24"/>
          <w:highlight w:val="none"/>
          <w:u w:val="none"/>
          <w:lang w:eastAsia="zh-CN" w:bidi="zh-CN"/>
        </w:rPr>
        <w:t>，电话：</w:t>
      </w:r>
      <w:r>
        <w:rPr>
          <w:rFonts w:hint="eastAsia" w:ascii="仿宋" w:hAnsi="仿宋" w:eastAsia="仿宋" w:cs="仿宋"/>
          <w:color w:val="auto"/>
          <w:szCs w:val="24"/>
          <w:highlight w:val="none"/>
          <w:u w:val="none"/>
          <w:lang w:eastAsia="zh-CN" w:bidi="zh-CN"/>
        </w:rPr>
        <w:t>1</w:t>
      </w:r>
      <w:r>
        <w:rPr>
          <w:rFonts w:hint="eastAsia" w:ascii="仿宋" w:hAnsi="仿宋" w:eastAsia="仿宋" w:cs="仿宋"/>
          <w:color w:val="auto"/>
          <w:szCs w:val="24"/>
          <w:highlight w:val="none"/>
          <w:u w:val="none"/>
          <w:lang w:eastAsia="zh-CN" w:bidi="zh-CN"/>
        </w:rPr>
        <w:fldChar w:fldCharType="end"/>
      </w:r>
      <w:r>
        <w:rPr>
          <w:rFonts w:hint="eastAsia" w:ascii="仿宋" w:hAnsi="仿宋" w:eastAsia="仿宋" w:cs="仿宋"/>
          <w:i w:val="0"/>
          <w:iCs w:val="0"/>
          <w:caps w:val="0"/>
          <w:color w:val="auto"/>
          <w:spacing w:val="0"/>
          <w:sz w:val="24"/>
          <w:szCs w:val="24"/>
          <w:u w:val="none"/>
          <w:lang w:val="en-US" w:eastAsia="zh-CN"/>
        </w:rPr>
        <w:t>88</w:t>
      </w:r>
      <w:r>
        <w:rPr>
          <w:rFonts w:hint="eastAsia" w:ascii="仿宋" w:hAnsi="仿宋" w:eastAsia="仿宋" w:cs="仿宋"/>
          <w:i w:val="0"/>
          <w:iCs w:val="0"/>
          <w:caps w:val="0"/>
          <w:color w:val="auto"/>
          <w:spacing w:val="0"/>
          <w:sz w:val="24"/>
          <w:szCs w:val="24"/>
          <w:lang w:val="en-US" w:eastAsia="zh-CN"/>
        </w:rPr>
        <w:t>09088695</w:t>
      </w:r>
      <w:r>
        <w:rPr>
          <w:rFonts w:hint="eastAsia" w:ascii="仿宋" w:hAnsi="仿宋" w:eastAsia="仿宋" w:cs="仿宋"/>
          <w:color w:val="auto"/>
          <w:szCs w:val="24"/>
          <w:highlight w:val="none"/>
          <w:lang w:eastAsia="zh-CN" w:bidi="zh-CN"/>
        </w:rPr>
        <w:t>）；</w:t>
      </w:r>
    </w:p>
    <w:p w14:paraId="2246AD65">
      <w:pPr>
        <w:pStyle w:val="5"/>
        <w:snapToGrid w:val="0"/>
        <w:spacing w:line="360" w:lineRule="auto"/>
        <w:ind w:firstLine="607" w:firstLineChars="250"/>
        <w:rPr>
          <w:rFonts w:ascii="仿宋" w:hAnsi="仿宋" w:eastAsia="仿宋" w:cs="仿宋"/>
          <w:bCs/>
          <w:color w:val="auto"/>
          <w:szCs w:val="24"/>
          <w:highlight w:val="none"/>
          <w:lang w:eastAsia="zh-CN" w:bidi="zh-CN"/>
        </w:rPr>
      </w:pPr>
      <w:r>
        <w:rPr>
          <w:rFonts w:hint="eastAsia" w:ascii="仿宋" w:hAnsi="仿宋" w:eastAsia="仿宋" w:cs="仿宋"/>
          <w:bCs/>
          <w:color w:val="auto"/>
          <w:szCs w:val="24"/>
          <w:highlight w:val="none"/>
          <w:lang w:eastAsia="zh-CN"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14:paraId="4DE6513F">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bCs/>
          <w:color w:val="auto"/>
          <w:highlight w:val="none"/>
          <w:lang w:eastAsia="zh-CN"/>
        </w:rPr>
        <w:t>27.</w:t>
      </w:r>
      <w:r>
        <w:rPr>
          <w:rFonts w:hint="eastAsia" w:ascii="仿宋" w:hAnsi="仿宋" w:eastAsia="仿宋" w:cs="仿宋"/>
          <w:b/>
          <w:color w:val="auto"/>
          <w:highlight w:val="none"/>
          <w:lang w:eastAsia="zh-CN"/>
        </w:rPr>
        <w:t>投标文件的递交要求</w:t>
      </w:r>
    </w:p>
    <w:p w14:paraId="0E709F96">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（1）供应商须按照采购文件和政采云平台的要求编制并加密投标文件。在投标文件递交截止时间以前完成投标文件的传输递交，截止时间后递交的投标文件，将被拒收。</w:t>
      </w:r>
    </w:p>
    <w:p w14:paraId="706E10F8">
      <w:pPr>
        <w:tabs>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（2）备份电子投标文件必须在投标截止时间前送达指定的投标地点。备份电子投标文件在截止时间后提交，采购组织机构将拒绝接收。</w:t>
      </w:r>
    </w:p>
    <w:p w14:paraId="02EAEF06">
      <w:pPr>
        <w:tabs>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（3）如有特殊情况，采购组织机构延长截止时间和开标时间，采购组织机构和供应商的权利和义务将受到新的截止时间和开标时间的约束。</w:t>
      </w:r>
    </w:p>
    <w:p w14:paraId="5003DB61">
      <w:pPr>
        <w:snapToGrid w:val="0"/>
        <w:spacing w:line="360" w:lineRule="auto"/>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28．投标文件的补充、修改与撤回</w:t>
      </w:r>
    </w:p>
    <w:p w14:paraId="3DD69817">
      <w:pPr>
        <w:tabs>
          <w:tab w:val="left" w:pos="960"/>
          <w:tab w:val="left" w:pos="1418"/>
        </w:tabs>
        <w:autoSpaceDE w:val="0"/>
        <w:autoSpaceDN w:val="0"/>
        <w:adjustRightInd w:val="0"/>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bookmarkStart w:id="18" w:name="_Toc469495728"/>
    </w:p>
    <w:p w14:paraId="46D447DD">
      <w:pPr>
        <w:tabs>
          <w:tab w:val="left" w:pos="960"/>
          <w:tab w:val="left" w:pos="1418"/>
        </w:tabs>
        <w:autoSpaceDE w:val="0"/>
        <w:autoSpaceDN w:val="0"/>
        <w:adjustRightInd w:val="0"/>
        <w:snapToGrid w:val="0"/>
        <w:spacing w:line="360" w:lineRule="auto"/>
        <w:ind w:firstLine="566" w:firstLineChars="200"/>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（五）开标、评标和定标</w:t>
      </w:r>
      <w:bookmarkEnd w:id="18"/>
    </w:p>
    <w:p w14:paraId="51C3012D">
      <w:pPr>
        <w:snapToGrid w:val="0"/>
        <w:spacing w:line="360" w:lineRule="auto"/>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29. 开标</w:t>
      </w:r>
    </w:p>
    <w:p w14:paraId="2CECA796">
      <w:pPr>
        <w:snapToGrid w:val="0"/>
        <w:spacing w:line="360" w:lineRule="auto"/>
        <w:ind w:firstLine="486" w:firstLineChars="200"/>
        <w:rPr>
          <w:rFonts w:ascii="仿宋" w:hAnsi="仿宋" w:eastAsia="仿宋" w:cs="仿宋"/>
          <w:b/>
          <w:bCs/>
          <w:color w:val="auto"/>
          <w:highlight w:val="none"/>
          <w:lang w:eastAsia="zh-CN"/>
        </w:rPr>
      </w:pPr>
      <w:bookmarkStart w:id="19" w:name="_Toc73975822"/>
      <w:r>
        <w:rPr>
          <w:rFonts w:hint="eastAsia" w:ascii="仿宋" w:hAnsi="仿宋" w:eastAsia="仿宋" w:cs="仿宋"/>
          <w:b/>
          <w:bCs/>
          <w:color w:val="auto"/>
          <w:highlight w:val="none"/>
          <w:lang w:eastAsia="zh-CN"/>
        </w:rPr>
        <w:t>29.1开标邀请</w:t>
      </w:r>
      <w:bookmarkEnd w:id="19"/>
    </w:p>
    <w:p w14:paraId="21D28DFD">
      <w:pPr>
        <w:pStyle w:val="10"/>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（1）开标准备：本项目开标的准备工作由采购组织机构负责落实，开标过程由采购组织机构负责记录；</w:t>
      </w:r>
    </w:p>
    <w:p w14:paraId="386420AC">
      <w:pPr>
        <w:pStyle w:val="10"/>
        <w:snapToGrid w:val="0"/>
        <w:spacing w:line="360" w:lineRule="auto"/>
        <w:ind w:firstLine="486" w:firstLineChars="200"/>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（2）开标主持:本项目开标由采购人或者采购代理机构主持；</w:t>
      </w:r>
    </w:p>
    <w:p w14:paraId="6A5AEA21">
      <w:pPr>
        <w:pStyle w:val="10"/>
        <w:snapToGrid w:val="0"/>
        <w:spacing w:line="360" w:lineRule="auto"/>
        <w:ind w:firstLine="486" w:firstLineChars="200"/>
        <w:rPr>
          <w:rFonts w:ascii="仿宋" w:hAnsi="仿宋" w:eastAsia="仿宋" w:cs="仿宋"/>
          <w:color w:val="auto"/>
          <w:szCs w:val="24"/>
          <w:highlight w:val="none"/>
        </w:rPr>
      </w:pPr>
      <w:r>
        <w:rPr>
          <w:rFonts w:hint="eastAsia" w:ascii="仿宋" w:hAnsi="仿宋" w:eastAsia="仿宋" w:cs="仿宋"/>
          <w:color w:val="auto"/>
          <w:szCs w:val="24"/>
          <w:highlight w:val="none"/>
          <w:lang w:eastAsia="zh-CN"/>
        </w:rPr>
        <w:t>（3）</w:t>
      </w:r>
      <w:r>
        <w:rPr>
          <w:rFonts w:hint="eastAsia" w:ascii="仿宋" w:hAnsi="仿宋" w:eastAsia="仿宋" w:cs="仿宋"/>
          <w:color w:val="auto"/>
          <w:szCs w:val="24"/>
          <w:highlight w:val="none"/>
        </w:rPr>
        <w:t>开标邀请：本项目采用电子交易，采购组织机构将按照采购文件规定的时间通过“</w:t>
      </w:r>
      <w:r>
        <w:rPr>
          <w:rFonts w:hint="eastAsia" w:ascii="仿宋" w:hAnsi="仿宋" w:eastAsia="仿宋" w:cs="仿宋"/>
          <w:color w:val="auto"/>
          <w:szCs w:val="24"/>
          <w:highlight w:val="none"/>
          <w:lang w:eastAsia="zh-CN"/>
        </w:rPr>
        <w:t>新疆</w:t>
      </w:r>
      <w:r>
        <w:rPr>
          <w:rFonts w:hint="eastAsia" w:ascii="仿宋" w:hAnsi="仿宋" w:eastAsia="仿宋" w:cs="仿宋"/>
          <w:color w:val="auto"/>
          <w:szCs w:val="24"/>
          <w:highlight w:val="none"/>
        </w:rPr>
        <w:t>政府采购云平台，网址：</w:t>
      </w:r>
      <w:r>
        <w:rPr>
          <w:color w:val="auto"/>
          <w:highlight w:val="none"/>
        </w:rPr>
        <w:fldChar w:fldCharType="begin"/>
      </w:r>
      <w:r>
        <w:rPr>
          <w:color w:val="auto"/>
          <w:highlight w:val="none"/>
        </w:rPr>
        <w:instrText xml:space="preserve"> HYPERLINK "http://www.zcygov.cn" </w:instrText>
      </w:r>
      <w:r>
        <w:rPr>
          <w:color w:val="auto"/>
          <w:highlight w:val="none"/>
        </w:rPr>
        <w:fldChar w:fldCharType="separate"/>
      </w:r>
      <w:r>
        <w:rPr>
          <w:rStyle w:val="26"/>
          <w:rFonts w:hint="eastAsia" w:ascii="仿宋" w:hAnsi="仿宋" w:eastAsia="仿宋" w:cs="仿宋"/>
          <w:color w:val="auto"/>
          <w:szCs w:val="24"/>
          <w:highlight w:val="none"/>
          <w:u w:val="none"/>
        </w:rPr>
        <w:t>www.zcygov.cn</w:t>
      </w:r>
      <w:r>
        <w:rPr>
          <w:rStyle w:val="26"/>
          <w:rFonts w:hint="eastAsia" w:ascii="仿宋" w:hAnsi="仿宋" w:eastAsia="仿宋" w:cs="仿宋"/>
          <w:color w:val="auto"/>
          <w:szCs w:val="24"/>
          <w:highlight w:val="none"/>
          <w:u w:val="none"/>
        </w:rPr>
        <w:fldChar w:fldCharType="end"/>
      </w:r>
      <w:r>
        <w:rPr>
          <w:rFonts w:hint="eastAsia" w:ascii="仿宋" w:hAnsi="仿宋" w:eastAsia="仿宋" w:cs="仿宋"/>
          <w:color w:val="auto"/>
          <w:szCs w:val="24"/>
          <w:highlight w:val="none"/>
        </w:rPr>
        <w:t>”组织开标、开启投标响应文件，所有供应商均应当准时在线参加。</w:t>
      </w:r>
    </w:p>
    <w:p w14:paraId="2E14F74A">
      <w:pPr>
        <w:pStyle w:val="10"/>
        <w:snapToGrid w:val="0"/>
        <w:spacing w:line="360" w:lineRule="auto"/>
        <w:ind w:firstLine="486" w:firstLineChars="200"/>
        <w:rPr>
          <w:rFonts w:ascii="仿宋" w:hAnsi="仿宋" w:eastAsia="仿宋" w:cs="仿宋"/>
          <w:color w:val="auto"/>
          <w:szCs w:val="24"/>
          <w:highlight w:val="none"/>
          <w:lang w:eastAsia="zh-CN"/>
        </w:rPr>
      </w:pPr>
      <w:r>
        <w:rPr>
          <w:rFonts w:hint="eastAsia" w:ascii="仿宋" w:hAnsi="仿宋" w:eastAsia="仿宋" w:cs="仿宋"/>
          <w:color w:val="auto"/>
          <w:szCs w:val="24"/>
          <w:highlight w:val="none"/>
          <w:lang w:eastAsia="zh-CN"/>
        </w:rPr>
        <w:t>（4）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14:paraId="11489B83">
      <w:pPr>
        <w:snapToGrid w:val="0"/>
        <w:spacing w:line="360" w:lineRule="auto"/>
        <w:ind w:firstLine="486" w:firstLineChars="200"/>
        <w:outlineLvl w:val="2"/>
        <w:rPr>
          <w:rFonts w:ascii="仿宋" w:hAnsi="仿宋" w:eastAsia="仿宋" w:cs="仿宋"/>
          <w:b/>
          <w:color w:val="auto"/>
          <w:highlight w:val="none"/>
          <w:lang w:eastAsia="zh-CN"/>
        </w:rPr>
      </w:pPr>
      <w:bookmarkStart w:id="20" w:name="_Toc73975823"/>
      <w:r>
        <w:rPr>
          <w:rFonts w:hint="eastAsia" w:ascii="仿宋" w:hAnsi="仿宋" w:eastAsia="仿宋" w:cs="仿宋"/>
          <w:b/>
          <w:color w:val="auto"/>
          <w:highlight w:val="none"/>
          <w:lang w:eastAsia="zh-CN"/>
        </w:rPr>
        <w:t>29.2</w:t>
      </w:r>
      <w:r>
        <w:rPr>
          <w:rFonts w:hint="eastAsia" w:ascii="仿宋" w:hAnsi="仿宋" w:eastAsia="仿宋" w:cs="仿宋"/>
          <w:b/>
          <w:bCs/>
          <w:color w:val="auto"/>
          <w:highlight w:val="none"/>
          <w:lang w:eastAsia="zh-CN"/>
        </w:rPr>
        <w:t>开标程序（先资格、商务技术后报价）</w:t>
      </w:r>
      <w:bookmarkEnd w:id="20"/>
    </w:p>
    <w:p w14:paraId="6FA724C3">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（1）开标时间到后，主持人宣布开标会议开始。</w:t>
      </w:r>
    </w:p>
    <w:p w14:paraId="3A60934B">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（2）投标文件解密（</w:t>
      </w:r>
      <w:r>
        <w:rPr>
          <w:rFonts w:hint="eastAsia" w:ascii="仿宋" w:hAnsi="仿宋" w:eastAsia="仿宋" w:cs="仿宋"/>
          <w:b/>
          <w:color w:val="auto"/>
          <w:highlight w:val="none"/>
          <w:lang w:eastAsia="zh-CN"/>
        </w:rPr>
        <w:t>解密规定见《供应商须知前附表》</w:t>
      </w:r>
      <w:r>
        <w:rPr>
          <w:rFonts w:hint="eastAsia" w:ascii="仿宋" w:hAnsi="仿宋" w:eastAsia="仿宋" w:cs="仿宋"/>
          <w:color w:val="auto"/>
          <w:highlight w:val="none"/>
          <w:lang w:eastAsia="zh-CN"/>
        </w:rPr>
        <w:t>）。</w:t>
      </w:r>
    </w:p>
    <w:p w14:paraId="0B4E0885">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（3）投标文件解密异常情况处理（</w:t>
      </w:r>
      <w:r>
        <w:rPr>
          <w:rFonts w:hint="eastAsia" w:ascii="仿宋" w:hAnsi="仿宋" w:eastAsia="仿宋" w:cs="仿宋"/>
          <w:b/>
          <w:color w:val="auto"/>
          <w:highlight w:val="none"/>
          <w:lang w:eastAsia="zh-CN"/>
        </w:rPr>
        <w:t>处理办法见《供应商须知前附表》</w:t>
      </w:r>
      <w:r>
        <w:rPr>
          <w:rFonts w:hint="eastAsia" w:ascii="仿宋" w:hAnsi="仿宋" w:eastAsia="仿宋" w:cs="仿宋"/>
          <w:color w:val="auto"/>
          <w:highlight w:val="none"/>
          <w:lang w:eastAsia="zh-CN"/>
        </w:rPr>
        <w:t>）。</w:t>
      </w:r>
    </w:p>
    <w:p w14:paraId="586046BE">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（4）公布投标文件解密情况（投标文件成功解密的供应商名单等信息），组织签署</w:t>
      </w:r>
      <w:r>
        <w:rPr>
          <w:rFonts w:hint="eastAsia" w:ascii="仿宋" w:hAnsi="仿宋" w:eastAsia="仿宋" w:cs="仿宋"/>
          <w:b/>
          <w:bCs/>
          <w:color w:val="auto"/>
          <w:highlight w:val="none"/>
          <w:lang w:eastAsia="zh-CN"/>
        </w:rPr>
        <w:t>《政府采购活动现场确认声明书》，供应商应在20分钟内通过邮件形式将经签署的《政府采购活动现场确认声明书》发送至采购代理机构指定邮箱245291818@qq.com ，逾期发送或未发送的视为无异议</w:t>
      </w:r>
      <w:r>
        <w:rPr>
          <w:rFonts w:hint="eastAsia" w:ascii="仿宋" w:hAnsi="仿宋" w:eastAsia="仿宋" w:cs="仿宋"/>
          <w:color w:val="auto"/>
          <w:highlight w:val="none"/>
          <w:lang w:eastAsia="zh-CN"/>
        </w:rPr>
        <w:t>。</w:t>
      </w:r>
    </w:p>
    <w:p w14:paraId="350EAE27">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（5）开启标书信息（资格证明文件、商务技术文件）。标书信息开启后，首先由采购人或采购代理机构或评审小组依法对投标供应商的资格证明文件进行审查（具体见本章“29.3 投标供应商资格审查”）， 审查结束公布投标供应商的资格符合情况。资格审查未获通过的供应商，其商务技术文件及报价文件不再进入评审。</w:t>
      </w:r>
    </w:p>
    <w:p w14:paraId="68423082">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（6）商务技术评审结束后，主持人公布商务技术评审无效投标供应商名单和商务技术评审有效投标供应商名单及其商务技术得分情况。商务技术评审无效的供应商，其报价不再进入评审。</w:t>
      </w:r>
    </w:p>
    <w:p w14:paraId="0AA990C4">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（7）开启有效投标供应商的报价，公布开标一览表有关内容，</w:t>
      </w:r>
      <w:r>
        <w:rPr>
          <w:rFonts w:hint="eastAsia" w:ascii="仿宋" w:hAnsi="仿宋" w:eastAsia="仿宋" w:cs="仿宋"/>
          <w:color w:val="auto"/>
          <w:highlight w:val="none"/>
          <w:lang w:eastAsia="zh-CN" w:bidi="zh-CN"/>
        </w:rPr>
        <w:t>并【开启签章时段】，供应商对开标记录进行在线签章确认（不予确认的应说明理由，否则视为无异议）</w:t>
      </w:r>
      <w:r>
        <w:rPr>
          <w:rFonts w:hint="eastAsia" w:ascii="仿宋" w:hAnsi="仿宋" w:eastAsia="仿宋" w:cs="仿宋"/>
          <w:color w:val="auto"/>
          <w:highlight w:val="none"/>
          <w:lang w:eastAsia="zh-CN"/>
        </w:rPr>
        <w:t>。开标结束后，由评标委员会对报价的合理性、准确性等进行审查核实。</w:t>
      </w:r>
    </w:p>
    <w:p w14:paraId="1D062BFC">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（8）评审结束后，采购代理机构在系统上公布评审结果。</w:t>
      </w:r>
    </w:p>
    <w:p w14:paraId="5AF26851">
      <w:pPr>
        <w:snapToGrid w:val="0"/>
        <w:spacing w:line="360" w:lineRule="auto"/>
        <w:ind w:left="48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特别情况说明：</w:t>
      </w:r>
    </w:p>
    <w:p w14:paraId="70239735">
      <w:pPr>
        <w:snapToGrid w:val="0"/>
        <w:spacing w:line="360" w:lineRule="auto"/>
        <w:ind w:firstLine="429"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（1）本项目采用电子交易，如遇“新疆政府采购云平台”电子化开标或评审程序调整的，按调整后程序执行。</w:t>
      </w:r>
    </w:p>
    <w:p w14:paraId="7818688C">
      <w:pPr>
        <w:snapToGrid w:val="0"/>
        <w:spacing w:line="360" w:lineRule="auto"/>
        <w:ind w:firstLine="429" w:firstLineChars="177"/>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（2）开标过程中需要相关当事人进行签章或盖章确认的材料将通过“政府采购云平台”进行，若因“政府采购云平台”技术问题无法进行签章或盖章确认的，采购组织机构将通过电子邮件等形式予以确认，</w:t>
      </w:r>
      <w:r>
        <w:rPr>
          <w:rFonts w:hint="eastAsia" w:ascii="仿宋" w:hAnsi="仿宋" w:eastAsia="仿宋" w:cs="仿宋"/>
          <w:b/>
          <w:color w:val="auto"/>
          <w:highlight w:val="none"/>
          <w:u w:val="single"/>
          <w:lang w:eastAsia="zh-CN"/>
        </w:rPr>
        <w:t>请供应商保证办理投标事宜人员电话畅通、网络在线，签章或盖章确认的时间为20分钟。如未及时签章或盖章确认的，视为无异议</w:t>
      </w:r>
      <w:r>
        <w:rPr>
          <w:rFonts w:hint="eastAsia" w:ascii="仿宋" w:hAnsi="仿宋" w:eastAsia="仿宋" w:cs="仿宋"/>
          <w:b/>
          <w:color w:val="auto"/>
          <w:highlight w:val="none"/>
          <w:lang w:eastAsia="zh-CN"/>
        </w:rPr>
        <w:t>。</w:t>
      </w:r>
    </w:p>
    <w:p w14:paraId="3B9FDCEC">
      <w:pPr>
        <w:snapToGrid w:val="0"/>
        <w:spacing w:line="360" w:lineRule="auto"/>
        <w:ind w:firstLine="486" w:firstLineChars="200"/>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29.3 投标供应商资格审查：</w:t>
      </w:r>
    </w:p>
    <w:p w14:paraId="1C9EF9EB">
      <w:pPr>
        <w:snapToGrid w:val="0"/>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bCs/>
          <w:color w:val="auto"/>
          <w:highlight w:val="none"/>
          <w:lang w:eastAsia="zh-CN"/>
        </w:rPr>
        <w:t>开标（标书信息开启）后，采购人或采购代理机构或</w:t>
      </w:r>
      <w:r>
        <w:rPr>
          <w:rFonts w:hint="eastAsia" w:ascii="仿宋" w:hAnsi="仿宋" w:eastAsia="仿宋" w:cs="仿宋"/>
          <w:color w:val="auto"/>
          <w:highlight w:val="none"/>
          <w:lang w:eastAsia="zh-CN"/>
        </w:rPr>
        <w:t>评审小组</w:t>
      </w:r>
      <w:r>
        <w:rPr>
          <w:rFonts w:hint="eastAsia" w:ascii="仿宋" w:hAnsi="仿宋" w:eastAsia="仿宋" w:cs="仿宋"/>
          <w:bCs/>
          <w:color w:val="auto"/>
          <w:highlight w:val="none"/>
          <w:lang w:eastAsia="zh-CN"/>
        </w:rPr>
        <w:t>首先依法对投标供应商的资格文件进行审查，审查各投标供应商的资格符合情况。</w:t>
      </w:r>
      <w:r>
        <w:rPr>
          <w:rFonts w:hint="eastAsia" w:ascii="仿宋" w:hAnsi="仿宋" w:eastAsia="仿宋" w:cs="仿宋"/>
          <w:color w:val="auto"/>
          <w:highlight w:val="none"/>
          <w:lang w:eastAsia="zh-CN"/>
        </w:rPr>
        <w:t>采购人或采购代理机构</w:t>
      </w:r>
      <w:r>
        <w:rPr>
          <w:rFonts w:hint="eastAsia" w:ascii="仿宋" w:hAnsi="仿宋" w:eastAsia="仿宋" w:cs="仿宋"/>
          <w:bCs/>
          <w:color w:val="auto"/>
          <w:highlight w:val="none"/>
          <w:lang w:eastAsia="zh-CN"/>
        </w:rPr>
        <w:t>或</w:t>
      </w:r>
      <w:r>
        <w:rPr>
          <w:rFonts w:hint="eastAsia" w:ascii="仿宋" w:hAnsi="仿宋" w:eastAsia="仿宋" w:cs="仿宋"/>
          <w:color w:val="auto"/>
          <w:highlight w:val="none"/>
          <w:lang w:eastAsia="zh-CN"/>
        </w:rPr>
        <w:t>评审小组对投标供应商所提交的资格证明材料仅负审核的责任。如发现投标供应商所提交的资格证明材料不合法或与事实不符，采购人可取消其中标资格并追究投标供应商的法律责任。</w:t>
      </w:r>
    </w:p>
    <w:p w14:paraId="61C1305C">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2）投标供应商提交的资格证明材料无法证明其符合采购文件规定的“投标供应商资格要求”的，采购人或采购代理机构将对其作“资格审查不合格”处理（无效投标），并不再将其投标提交评标委员会进行后续评审。</w:t>
      </w:r>
    </w:p>
    <w:p w14:paraId="3A825C99">
      <w:pPr>
        <w:pStyle w:val="5"/>
        <w:snapToGrid w:val="0"/>
        <w:spacing w:line="360" w:lineRule="auto"/>
        <w:rPr>
          <w:rFonts w:ascii="仿宋" w:hAnsi="仿宋" w:eastAsia="仿宋" w:cs="仿宋"/>
          <w:bCs/>
          <w:color w:val="auto"/>
          <w:szCs w:val="24"/>
          <w:highlight w:val="none"/>
          <w:lang w:eastAsia="zh-CN"/>
        </w:rPr>
      </w:pPr>
      <w:r>
        <w:rPr>
          <w:rFonts w:hint="eastAsia" w:ascii="仿宋" w:hAnsi="仿宋" w:eastAsia="仿宋" w:cs="仿宋"/>
          <w:bCs/>
          <w:color w:val="auto"/>
          <w:szCs w:val="24"/>
          <w:highlight w:val="none"/>
          <w:lang w:eastAsia="zh-CN"/>
        </w:rPr>
        <w:t>（3）供应商信用记录查询与使用：见《供应商须知前附表》。</w:t>
      </w:r>
    </w:p>
    <w:p w14:paraId="48CF17E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30.评审工作的组织</w:t>
      </w:r>
    </w:p>
    <w:p w14:paraId="208893E6">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采购人或采购代理机构负责组织本项目的评审工作，并依据《政府采购货物和服务招标投标管理办法（财政部第87号令）》第四十五条的相关规定履行职责。</w:t>
      </w:r>
    </w:p>
    <w:p w14:paraId="45227706">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 评标委员会的组建</w:t>
      </w:r>
    </w:p>
    <w:p w14:paraId="581634A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31.1评标委员会由采购人或采购代理机构依法组建，成员由采购人代表1人和评审专家4人，成员人数为5人，其中评审专家不少于成员总数的三分之二。</w:t>
      </w:r>
    </w:p>
    <w:p w14:paraId="75A9D30F">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31.2评审专家从新疆政府采购云平台专家库中通过随机方式抽取产生。评标委员会成员名单在采购结果公告前保密。</w:t>
      </w:r>
    </w:p>
    <w:p w14:paraId="6F6C99E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32.评标委员会的职责</w:t>
      </w:r>
    </w:p>
    <w:p w14:paraId="60771EA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32.1审查、评价投标文件是否符合采购文件的商务、技术等实质性要求。</w:t>
      </w:r>
    </w:p>
    <w:p w14:paraId="715759C3">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32.2要求供应商对投标文件有关事项作出澄清或者说明。</w:t>
      </w:r>
    </w:p>
    <w:p w14:paraId="434B76E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32.3对投标文件进行比较和评价。</w:t>
      </w:r>
    </w:p>
    <w:p w14:paraId="7EC7BB8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32.4确定中标候选人名单，以及根据采购人委托直接确定中标人。</w:t>
      </w:r>
    </w:p>
    <w:p w14:paraId="120A442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32.5向采购人、采购代理机构或者有关部门报告评审中发现的违法行为。</w:t>
      </w:r>
    </w:p>
    <w:p w14:paraId="4FDD057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 评标原则</w:t>
      </w:r>
    </w:p>
    <w:p w14:paraId="7DB035FE">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33.1评标委员会将遵循公平、公正、科学的原则，对供应商提交的投标文件进行综合评审，评标委员会按照采购文件规定的评标细则进行评分。</w:t>
      </w:r>
    </w:p>
    <w:p w14:paraId="7678A2D9">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33.2客观公正对待所有供应商，对所有投标评价均采用相同的程序和标准。 </w:t>
      </w:r>
    </w:p>
    <w:p w14:paraId="0949D10C">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33.3评标委员会成员对需要共同认定的事项存在争议的，按照少数服从多数的原则作出结论。持不同意见的评标委员会成员应当在评审报告上签署不同意见及理由，否则视为同意评审报告。</w:t>
      </w:r>
    </w:p>
    <w:p w14:paraId="3BFE91D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33.4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40E4883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非单一产品采购项目，采购人应当根据采购项目技术构成、产品价格比重等合理确定核心产品，并在采购文件中载明。多家供应商提供的核心产品品牌相同的，按前款规定处理。      </w:t>
      </w:r>
    </w:p>
    <w:p w14:paraId="7B07521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34. 评委纪律</w:t>
      </w:r>
    </w:p>
    <w:p w14:paraId="2FF68E0B">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委员会成员必须严格遵守保密规定，不得泄露评审的有关情况，任何单位和个人不得干扰、影响评标的正常进行，评标委员会成员不得私下与投标供应商接触，不得出现政府采购活动现场组织管理办法中规定的其他禁止行为。</w:t>
      </w:r>
    </w:p>
    <w:p w14:paraId="1777DD1D">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35.评标程序</w:t>
      </w:r>
    </w:p>
    <w:p w14:paraId="06B398DE">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35.1 在评审专家中推选评标委员会组长，采购人代表不得担任评标委员会组长。</w:t>
      </w:r>
    </w:p>
    <w:p w14:paraId="7E569F4A">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14:paraId="3ECB90C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35.3 评审人员对符合资格的供应商的投标文件的有效性、符合性、完整性和响应程度进行审查，确定是否对采购文件作出实质性响应。</w:t>
      </w:r>
    </w:p>
    <w:p w14:paraId="660DBD9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35.4 评审人员按采购文件规定的评审方法和评审标准，依法独立对供应商投标文件进行评估、比较，并给予评价或打分，不受任何单位和个人的干预。</w:t>
      </w:r>
    </w:p>
    <w:p w14:paraId="01128DCA">
      <w:pPr>
        <w:widowControl/>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综合评分法货物项目的价格分值占总分值的比重(即权值)为</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lang w:eastAsia="zh-CN"/>
        </w:rPr>
        <w:t>％，采购项目中含不同采购对象的，以占项目资金比例最高的采购对象确定其项目属性。其价格不列为评分因素，有特殊情况需要在上述规定范围外设定价格分权重的。</w:t>
      </w:r>
    </w:p>
    <w:p w14:paraId="33F7F18F">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综合评分法中的价格分统一采用低价优先法计算，即满足招标文件要求且最后报价最低的供应商的价格为招标基准价，其价格分为满分。其他供应商的价格分统一按照下列公式计算：</w:t>
      </w:r>
    </w:p>
    <w:p w14:paraId="301F6033">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投标报价得分=（基准价/投标报价）×价格权值×100</w:t>
      </w:r>
    </w:p>
    <w:p w14:paraId="3E4278BE">
      <w:pPr>
        <w:widowControl/>
        <w:spacing w:line="440" w:lineRule="exact"/>
        <w:ind w:firstLine="48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项目评审过程中，不得去掉最后报价中的最高报价和最低报价。</w:t>
      </w:r>
    </w:p>
    <w:p w14:paraId="49C576E7">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14:paraId="63A5F6CF">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lang w:eastAsia="zh-CN"/>
        </w:rPr>
        <w:t>%以上的）情形的，应由相关人员当场改正或作出书面说明；拒不改正又不作书面说明的，由现场监督员如实记载后存入项目档案资料。</w:t>
      </w:r>
    </w:p>
    <w:p w14:paraId="5E322372">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35.7 评标委员会根据评审汇总情况和采购文件规定确定中标候选供应商排序名单。</w:t>
      </w:r>
    </w:p>
    <w:p w14:paraId="0485B425">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35.8 起草评审报告，所有评审人员须在评审报告上签章确认，对自己的评审意见承担法律责任。 </w:t>
      </w:r>
    </w:p>
    <w:p w14:paraId="78DC09F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35.9 采购组织机构对评标委员会评审专家进行评价。</w:t>
      </w:r>
    </w:p>
    <w:p w14:paraId="1B7F74BD">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35.10 修改评审结果</w:t>
      </w:r>
    </w:p>
    <w:p w14:paraId="1AEB8E23">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评标结果汇总完成后，除下列情形外，任何人不得修改评标结果：</w:t>
      </w:r>
    </w:p>
    <w:p w14:paraId="1F5E10B5">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（1）分值汇总计算错误的；</w:t>
      </w:r>
    </w:p>
    <w:p w14:paraId="4F801560">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（2）分项评分超出评分标准范围的；</w:t>
      </w:r>
    </w:p>
    <w:p w14:paraId="1F310091">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（3）评标委员会成员对客观评审因素评分不一致的；</w:t>
      </w:r>
    </w:p>
    <w:p w14:paraId="417FBAD8">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（4）经评标委员会认定评分畸高、畸低的。</w:t>
      </w:r>
    </w:p>
    <w:p w14:paraId="31D2B6C4">
      <w:pPr>
        <w:widowControl/>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475BE03F">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36．澄清、说明或补正的形式</w:t>
      </w:r>
    </w:p>
    <w:p w14:paraId="2B3F00E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eastAsia="zh-CN"/>
        </w:rPr>
        <w:t>投标供应商澄清、说明或补正时间为20分钟</w:t>
      </w:r>
      <w:r>
        <w:rPr>
          <w:rFonts w:hint="eastAsia" w:ascii="仿宋" w:hAnsi="仿宋" w:eastAsia="仿宋" w:cs="仿宋"/>
          <w:color w:val="auto"/>
          <w:szCs w:val="21"/>
          <w:highlight w:val="none"/>
          <w:lang w:eastAsia="zh-CN"/>
        </w:rPr>
        <w:t>。</w:t>
      </w:r>
    </w:p>
    <w:p w14:paraId="680E35F6">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61C5EF9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67EAE89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37．错误修正的原则</w:t>
      </w:r>
    </w:p>
    <w:p w14:paraId="4A5027D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6FF0368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601F97B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37.1 投标函中表述的内容与报价表中不一致的，以报价表为准；报价表中的内容与报价明细表不一致的，以报价表为准；</w:t>
      </w:r>
    </w:p>
    <w:p w14:paraId="730F1F16">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37.2 投标文件中的大写金额和小写金额不一致的，以大写金额为准；</w:t>
      </w:r>
    </w:p>
    <w:p w14:paraId="02BA2F7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37.3 单价金额小数点或者百分比有明显错位的，以开标一览表的总价为准，并修改单价；</w:t>
      </w:r>
    </w:p>
    <w:p w14:paraId="680A65B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37.4 总价金额与按单价汇总金额不一致的，以单价金额计算结果为准；</w:t>
      </w:r>
    </w:p>
    <w:p w14:paraId="7C0D7E9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37.5 若用文字表示的数值与用数字表示的数值不一致，以文字表示的数值为准；</w:t>
      </w:r>
    </w:p>
    <w:p w14:paraId="384703D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37.6 如有多报（指数量超出采购文件需求）、重报（指同一货物重复报价），其投标总价在评标过程中不予调整，如其中标，其合同价按其投标单价予以调整；</w:t>
      </w:r>
    </w:p>
    <w:p w14:paraId="1618C77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37.7 对不同文字文本投标文件的解释发生异议的，以中文文本为准；</w:t>
      </w:r>
    </w:p>
    <w:p w14:paraId="1774084A">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eastAsia="zh-CN"/>
        </w:rPr>
        <w:t>修正应当采用电子询标的形式，并加盖公章（电子印章）。</w:t>
      </w:r>
    </w:p>
    <w:p w14:paraId="237451E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38．无效投标文件</w:t>
      </w:r>
    </w:p>
    <w:p w14:paraId="474F7F8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有下列情形之一的，投标文件按无效标处理：</w:t>
      </w:r>
    </w:p>
    <w:p w14:paraId="218E1E3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 报名的供应商与参加投标的供应商发生实质性变更的且未提供有效证明的；</w:t>
      </w:r>
    </w:p>
    <w:p w14:paraId="6E56337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38.2 供应商提交两份或两份以上内容不同的投标文件，未声明哪一份有效的；</w:t>
      </w:r>
    </w:p>
    <w:p w14:paraId="2FCDDBB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38.3 投标文件非供应商法定代表人签署的，未提供或提供无效的法定代表人授权书；</w:t>
      </w:r>
    </w:p>
    <w:p w14:paraId="10A2793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38.4 未按招标文件规定装订；</w:t>
      </w:r>
    </w:p>
    <w:p w14:paraId="13A669E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38.5 投标文件内容未按招标文件规定签章或盖章的；</w:t>
      </w:r>
    </w:p>
    <w:p w14:paraId="1181DDF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38.6 投标文件组成漏项或未按规定的格式编制或投标文件正、副本份数不足或内容不全或内容字迹模糊辨认不清的等而导致评标活动无法正常进行；</w:t>
      </w:r>
    </w:p>
    <w:p w14:paraId="4E84F428">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38.7 供应商未按招标文件变更通知更改投标文件的；</w:t>
      </w:r>
    </w:p>
    <w:p w14:paraId="57FDA1F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38.8 《开标一览表》和《投标分项报价表》内容不完整且不接受修正意见或字迹不能辨认的或未提供；</w:t>
      </w:r>
    </w:p>
    <w:p w14:paraId="31E3F4A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38.9 标项投标报价超过招标文件规定的预算金额或最高限价</w:t>
      </w:r>
    </w:p>
    <w:p w14:paraId="44D9120F">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38.10 因供应商原因编制错误造成经评标委员会修正后的报价达到或超过投标报价的0.5%；</w:t>
      </w:r>
    </w:p>
    <w:p w14:paraId="00E71DC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38.11 供应商的报价明显低于其他通过符合性审查供应商的报价，有可能影响产品质量或者不能诚信履约的，且在规定时间内不能合理说明原因并提供证明材料的；</w:t>
      </w:r>
    </w:p>
    <w:p w14:paraId="60724C1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38.12 未实质性响应招标文件中条款要求的投标文件；</w:t>
      </w:r>
    </w:p>
    <w:p w14:paraId="4267583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38.13 不符合招标范围、技术规格、技术标准的要求无法满足采购人使用要求；</w:t>
      </w:r>
    </w:p>
    <w:p w14:paraId="75387CF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38.14 投标文件附有采购人不能接受的条款；</w:t>
      </w:r>
    </w:p>
    <w:p w14:paraId="65DA330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38.15 投标文件中提供了赠品或者与本项目采购无关的其他商品、服务；</w:t>
      </w:r>
    </w:p>
    <w:p w14:paraId="1455304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38.16 投标文件中承诺的投标有效期少于招标文件中载明的投标有效期；</w:t>
      </w:r>
    </w:p>
    <w:p w14:paraId="303F8B5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38.17供应商串通投标，妨碍其他供应商的竞争行为，损害采购人或者其他供应商的合法权益；</w:t>
      </w:r>
    </w:p>
    <w:p w14:paraId="181A542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38.18违反国家及政府部门相关法律、法规、文件规定或经评标委员会认定的其他属于重大偏离；</w:t>
      </w:r>
    </w:p>
    <w:p w14:paraId="68337190">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39．废标</w:t>
      </w:r>
    </w:p>
    <w:p w14:paraId="0B1D66C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39.1 符合招标文件规定废标情形的；</w:t>
      </w:r>
    </w:p>
    <w:p w14:paraId="7D44E0D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39.2 出现影响采购公正的违法、违规行为的；</w:t>
      </w:r>
    </w:p>
    <w:p w14:paraId="36F175D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39.3 供应商的报价均超过了采购预算（或最高限价），采购人不能支付的;</w:t>
      </w:r>
    </w:p>
    <w:p w14:paraId="7350F46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39.4 因重大变故，采购任务取消的。</w:t>
      </w:r>
    </w:p>
    <w:p w14:paraId="737DF86C">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40．突发情况处理</w:t>
      </w:r>
    </w:p>
    <w:p w14:paraId="6B9ED08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40.1 采购过程中出现以下情形，导致电子交易平台无法正常运行，或者无法保证电子交易的公平、公正和安全时，采购组织机构可中止电子交易活动：</w:t>
      </w:r>
    </w:p>
    <w:p w14:paraId="710A4A2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（1）电子交易平台发生故障而无法登录访问的； </w:t>
      </w:r>
    </w:p>
    <w:p w14:paraId="28D234A5">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（2）电子交易平台应用或数据库出现错误，不能进行正常操作的；</w:t>
      </w:r>
    </w:p>
    <w:p w14:paraId="5B19C47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（3）电子交易平台发现严重安全漏洞，有潜在泄密危险的；</w:t>
      </w:r>
    </w:p>
    <w:p w14:paraId="63C7D76E">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（4）病毒发作导致不能进行正常操作的； </w:t>
      </w:r>
    </w:p>
    <w:p w14:paraId="238A0DC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（5）其他无法保证电子交易的公平、公正和安全的情况。</w:t>
      </w:r>
    </w:p>
    <w:p w14:paraId="02E03ED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1704D17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40.2 采购代理机构或评审小组因不可抗力（不可抗力包括但不限于自然灾害、断电、传播疫病等）原因造成电子交易活动无法正常运行的，将采取以下措施：</w:t>
      </w:r>
    </w:p>
    <w:p w14:paraId="6A42C1A2">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（1）短时间内能消除不可抗力因素的，采购代理机构或评审小组在消除不可抗力因素后继续组织电子交易活动； </w:t>
      </w:r>
    </w:p>
    <w:p w14:paraId="693F4D3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（2）长时间内无法消除不可抗力因素的，采购代理机构或评审小组将中止电子交易活动。中止电子交易活动的，采购人应当重新组织政府采购活动。</w:t>
      </w:r>
    </w:p>
    <w:p w14:paraId="55D2FECC">
      <w:pPr>
        <w:snapToGrid w:val="0"/>
        <w:spacing w:line="360" w:lineRule="exact"/>
        <w:ind w:firstLine="42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41. 定标</w:t>
      </w:r>
    </w:p>
    <w:p w14:paraId="6A787F7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w:t>
      </w:r>
      <w:bookmarkStart w:id="21" w:name="_Toc469495729"/>
      <w:r>
        <w:rPr>
          <w:rFonts w:hint="eastAsia" w:ascii="仿宋" w:hAnsi="仿宋" w:eastAsia="仿宋" w:cs="仿宋"/>
          <w:color w:val="auto"/>
          <w:szCs w:val="21"/>
          <w:highlight w:val="none"/>
          <w:lang w:eastAsia="zh-CN"/>
        </w:rPr>
        <w:t>41.1采购结果确认（确定中标供应商）</w:t>
      </w:r>
    </w:p>
    <w:p w14:paraId="3D8A776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采购结果确认（确定中标供应商）：本项目由采购人根据评标委员会提交的《评审报告》，通过“政府采购云平台”依法确认采购结果、确定中标供应商。具体流程如下：</w:t>
      </w:r>
    </w:p>
    <w:p w14:paraId="2B22EC5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（1）采购代理机构将在评审结束后2个工作日内将评审报告送采购人。</w:t>
      </w:r>
    </w:p>
    <w:p w14:paraId="56D5F6F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（2）采购人将在收到评审报告之日起5个工作日内，在评审报告推荐的中标候选供应商名单中按顺序确定中标供应商，并将确认意见以书面形式回复采购代理机构。 </w:t>
      </w:r>
    </w:p>
    <w:p w14:paraId="718EA75B">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41.2采购结果经采购人确认后2个工作日内，采购代理机构将在</w:t>
      </w:r>
      <w:r>
        <w:rPr>
          <w:rFonts w:hint="eastAsia" w:ascii="仿宋" w:hAnsi="仿宋" w:eastAsia="仿宋" w:cs="仿宋"/>
          <w:b/>
          <w:bCs/>
          <w:color w:val="auto"/>
          <w:szCs w:val="21"/>
          <w:highlight w:val="none"/>
          <w:lang w:eastAsia="zh-CN"/>
        </w:rPr>
        <w:t>克州公共资源交易中心网、新疆政府采购网（www.zjzfcg.gov.cn）上公告采购结果，中标公告期限为1个工作日。</w:t>
      </w:r>
    </w:p>
    <w:p w14:paraId="7F83A962">
      <w:pPr>
        <w:spacing w:line="44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42. 中标通知书</w:t>
      </w:r>
    </w:p>
    <w:p w14:paraId="2F2E071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42.1在中标通知书发出前，招标人将中标侯选人的情况在克州公共资源交易中心网、新疆政府采购网予以公示，</w:t>
      </w:r>
      <w:r>
        <w:rPr>
          <w:rFonts w:hint="eastAsia" w:ascii="仿宋" w:hAnsi="仿宋" w:eastAsia="仿宋" w:cs="仿宋"/>
          <w:b/>
          <w:bCs/>
          <w:color w:val="auto"/>
          <w:szCs w:val="21"/>
          <w:highlight w:val="none"/>
          <w:lang w:eastAsia="zh-CN"/>
        </w:rPr>
        <w:t>公示期为一个工作日。待公示期结束后，</w:t>
      </w:r>
      <w:r>
        <w:rPr>
          <w:rFonts w:hint="eastAsia" w:ascii="仿宋" w:hAnsi="仿宋" w:eastAsia="仿宋" w:cs="仿宋"/>
          <w:color w:val="auto"/>
          <w:szCs w:val="21"/>
          <w:highlight w:val="none"/>
          <w:lang w:eastAsia="zh-CN"/>
        </w:rPr>
        <w:t>采购组织机构向中标人发出中标通知书。</w:t>
      </w:r>
    </w:p>
    <w:p w14:paraId="7B09999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14:paraId="27C25C20">
      <w:pPr>
        <w:spacing w:beforeLines="50" w:line="440" w:lineRule="exact"/>
        <w:jc w:val="center"/>
        <w:outlineLvl w:val="2"/>
        <w:rPr>
          <w:rFonts w:ascii="仿宋" w:hAnsi="仿宋" w:eastAsia="仿宋" w:cs="仿宋"/>
          <w:b/>
          <w:bCs/>
          <w:color w:val="auto"/>
          <w:highlight w:val="none"/>
          <w:lang w:eastAsia="zh-CN"/>
        </w:rPr>
      </w:pPr>
      <w:r>
        <w:rPr>
          <w:rFonts w:hint="eastAsia" w:ascii="仿宋" w:hAnsi="仿宋" w:eastAsia="仿宋" w:cs="仿宋"/>
          <w:b/>
          <w:bCs/>
          <w:color w:val="auto"/>
          <w:sz w:val="28"/>
          <w:szCs w:val="28"/>
          <w:highlight w:val="none"/>
          <w:lang w:eastAsia="zh-CN"/>
        </w:rPr>
        <w:t>（六）合同的授予</w:t>
      </w:r>
      <w:bookmarkEnd w:id="21"/>
    </w:p>
    <w:p w14:paraId="34215E4A">
      <w:pPr>
        <w:spacing w:line="440" w:lineRule="exact"/>
        <w:ind w:firstLine="243" w:firstLineChars="100"/>
        <w:rPr>
          <w:rFonts w:ascii="仿宋" w:hAnsi="仿宋" w:eastAsia="仿宋" w:cs="仿宋"/>
          <w:b/>
          <w:bCs/>
          <w:color w:val="auto"/>
          <w:szCs w:val="21"/>
          <w:highlight w:val="none"/>
          <w:lang w:eastAsia="zh-CN"/>
        </w:rPr>
      </w:pPr>
      <w:bookmarkStart w:id="22" w:name="_Toc73975842"/>
      <w:bookmarkStart w:id="23" w:name="_Toc469495730"/>
      <w:r>
        <w:rPr>
          <w:rFonts w:hint="eastAsia" w:ascii="仿宋" w:hAnsi="仿宋" w:eastAsia="仿宋" w:cs="仿宋"/>
          <w:b/>
          <w:bCs/>
          <w:color w:val="auto"/>
          <w:szCs w:val="21"/>
          <w:highlight w:val="none"/>
          <w:lang w:eastAsia="zh-CN"/>
        </w:rPr>
        <w:t>43．履约保证金</w:t>
      </w:r>
      <w:bookmarkEnd w:id="22"/>
    </w:p>
    <w:p w14:paraId="7468B945">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43.1 中标供应商在签订合同后10个工作日内向采购人缴纳</w:t>
      </w:r>
      <w:r>
        <w:rPr>
          <w:rFonts w:hint="eastAsia" w:ascii="仿宋" w:hAnsi="仿宋" w:eastAsia="仿宋" w:cs="仿宋"/>
          <w:color w:val="auto"/>
          <w:szCs w:val="21"/>
          <w:highlight w:val="none"/>
          <w:u w:val="single"/>
          <w:lang w:eastAsia="zh-CN"/>
        </w:rPr>
        <w:t>中标价</w:t>
      </w:r>
      <w:r>
        <w:rPr>
          <w:rFonts w:hint="eastAsia" w:ascii="仿宋" w:hAnsi="仿宋" w:eastAsia="仿宋" w:cs="仿宋"/>
          <w:color w:val="auto"/>
          <w:szCs w:val="21"/>
          <w:highlight w:val="none"/>
          <w:u w:val="single"/>
          <w:lang w:val="en-US" w:eastAsia="zh-CN"/>
        </w:rPr>
        <w:t>不超过10</w:t>
      </w:r>
      <w:r>
        <w:rPr>
          <w:rFonts w:hint="eastAsia" w:ascii="仿宋" w:hAnsi="仿宋" w:eastAsia="仿宋" w:cs="仿宋"/>
          <w:color w:val="auto"/>
          <w:szCs w:val="21"/>
          <w:highlight w:val="none"/>
          <w:u w:val="single"/>
          <w:lang w:eastAsia="zh-CN"/>
        </w:rPr>
        <w:t>%</w:t>
      </w:r>
      <w:r>
        <w:rPr>
          <w:rFonts w:hint="eastAsia" w:ascii="仿宋" w:hAnsi="仿宋" w:eastAsia="仿宋" w:cs="仿宋"/>
          <w:color w:val="auto"/>
          <w:szCs w:val="21"/>
          <w:highlight w:val="none"/>
          <w:lang w:eastAsia="zh-CN"/>
        </w:rPr>
        <w:t>的履约保证金（鼓励以银行、保险公司出具的履约保函形式提交；若以电汇、银行转账方式提交的，必须转到采购人的指定账户）。</w:t>
      </w:r>
    </w:p>
    <w:p w14:paraId="24CE0AA7">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43.2 签订合同后，如中标供应商不按合同约定履约的，履约保证金不予退还，履约保证金不足以赔偿损失的，按实际损失赔偿。</w:t>
      </w:r>
    </w:p>
    <w:p w14:paraId="19E9A95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43.3 如果中标供应商在建设期内没有涉及采购人的应付而未付金额或违约行为，采购人在项目验收合格后或提前终止合同后全额无息退还履约保证金。</w:t>
      </w:r>
    </w:p>
    <w:p w14:paraId="7F45E7BC">
      <w:pPr>
        <w:spacing w:line="440" w:lineRule="exact"/>
        <w:ind w:firstLine="243" w:firstLineChars="100"/>
        <w:rPr>
          <w:rFonts w:ascii="仿宋" w:hAnsi="仿宋" w:eastAsia="仿宋" w:cs="仿宋"/>
          <w:b/>
          <w:bCs/>
          <w:color w:val="auto"/>
          <w:szCs w:val="21"/>
          <w:highlight w:val="none"/>
          <w:lang w:eastAsia="zh-CN"/>
        </w:rPr>
      </w:pPr>
      <w:bookmarkStart w:id="24" w:name="_Toc73975843"/>
      <w:r>
        <w:rPr>
          <w:rFonts w:hint="eastAsia" w:ascii="仿宋" w:hAnsi="仿宋" w:eastAsia="仿宋" w:cs="仿宋"/>
          <w:b/>
          <w:bCs/>
          <w:color w:val="auto"/>
          <w:szCs w:val="21"/>
          <w:highlight w:val="none"/>
          <w:lang w:eastAsia="zh-CN"/>
        </w:rPr>
        <w:t>44．签订合同及公告</w:t>
      </w:r>
      <w:bookmarkEnd w:id="24"/>
    </w:p>
    <w:p w14:paraId="65B822C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44.1采购人在中标通知书发出之日起30日内与中标供应商签订合同。</w:t>
      </w:r>
    </w:p>
    <w:p w14:paraId="5794B73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44.2中标供应商拖延、拒签合同的,取消中标资格。</w:t>
      </w:r>
    </w:p>
    <w:p w14:paraId="42215BC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44.3 采购文件、中标供应商的投标文件及评标过程中有关澄清文件等均作为签订合同的依据。所签订的合同不得对采购文件和中标供应商的投标文件的内容作实质性修改。</w:t>
      </w:r>
    </w:p>
    <w:p w14:paraId="271941BD">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44.4采购人应当自政府采购合同签订之日起2个工作日内，在省级以上财政部门指定的政府采购信息发布媒体及相关网站上公告。</w:t>
      </w:r>
    </w:p>
    <w:p w14:paraId="21E5CF5C">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44.5采购人应当自政府采购合同签订之日起7个工作日内，将政府采购合同副本报同级人民政府财政部门备案以及采购代理机构存档。</w:t>
      </w:r>
    </w:p>
    <w:p w14:paraId="6F549D5C">
      <w:pPr>
        <w:adjustRightInd w:val="0"/>
        <w:snapToGrid w:val="0"/>
        <w:spacing w:line="440" w:lineRule="exact"/>
        <w:jc w:val="center"/>
        <w:outlineLvl w:val="2"/>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（七）纪律和监督</w:t>
      </w:r>
      <w:bookmarkEnd w:id="23"/>
    </w:p>
    <w:p w14:paraId="2FCE415B">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45. 对招标人的纪律要求 </w:t>
      </w:r>
    </w:p>
    <w:p w14:paraId="2E28C573">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 xml:space="preserve">45.1招标人不得泄漏招标投标活动中应当保密的情况和资料，不得与供应商串通损害国家利益，社会公共利益或者他人合法权益。 </w:t>
      </w:r>
    </w:p>
    <w:p w14:paraId="403F6161">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46. 对供应商的纪律要求 </w:t>
      </w:r>
    </w:p>
    <w:p w14:paraId="5FBE0490">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46.1供应商不得相互串通投标或者与招标人串通投标，不得向招标人或者评标委员会成员行贿谋取中标，不得以他人名义投标或者以其他方式弄虚作假骗取中标；供应商不得以任何方式干扰、影响评标工作。</w:t>
      </w:r>
    </w:p>
    <w:p w14:paraId="4189C0FE">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47. 对评标委员会成员的纪律要求 </w:t>
      </w:r>
    </w:p>
    <w:p w14:paraId="37DAA81F">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47.1评标委员会成员不得收受他人的财物或者其他好处，不得向他人透</w:t>
      </w:r>
      <w:r>
        <w:rPr>
          <w:rFonts w:hint="eastAsia" w:ascii="仿宋" w:hAnsi="仿宋" w:eastAsia="仿宋" w:cs="仿宋"/>
          <w:color w:val="auto"/>
          <w:kern w:val="10"/>
          <w:szCs w:val="21"/>
          <w:highlight w:val="none"/>
          <w:lang w:val="en-US" w:eastAsia="zh-CN"/>
        </w:rPr>
        <w:t>露</w:t>
      </w:r>
      <w:r>
        <w:rPr>
          <w:rFonts w:hint="eastAsia" w:ascii="仿宋" w:hAnsi="仿宋" w:eastAsia="仿宋" w:cs="仿宋"/>
          <w:color w:val="auto"/>
          <w:kern w:val="10"/>
          <w:szCs w:val="21"/>
          <w:highlight w:val="none"/>
          <w:lang w:eastAsia="zh-CN"/>
        </w:rPr>
        <w:t>对投标文件的评审和比较、中标候选人的推荐情况以及评标有关的其他情况。</w:t>
      </w:r>
    </w:p>
    <w:p w14:paraId="26D27816">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 xml:space="preserve">47.2在评标活动中，评标委员会成员不得擅离职守，影响评标程序正常进行，不得使用第三章“评标办法”没有规定的评审因素和标准进行评标。 </w:t>
      </w:r>
    </w:p>
    <w:p w14:paraId="4C00878A">
      <w:pPr>
        <w:spacing w:line="44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 xml:space="preserve">48. 对与评标活动有关的工作人员的纪律要求 </w:t>
      </w:r>
    </w:p>
    <w:p w14:paraId="2E392ED0">
      <w:pPr>
        <w:adjustRightInd w:val="0"/>
        <w:snapToGrid w:val="0"/>
        <w:spacing w:line="440" w:lineRule="exact"/>
        <w:ind w:firstLine="364" w:firstLineChars="150"/>
        <w:rPr>
          <w:rFonts w:ascii="仿宋" w:hAnsi="仿宋" w:eastAsia="仿宋" w:cs="仿宋"/>
          <w:color w:val="auto"/>
          <w:kern w:val="10"/>
          <w:szCs w:val="21"/>
          <w:highlight w:val="none"/>
          <w:lang w:eastAsia="zh-CN"/>
        </w:rPr>
      </w:pPr>
      <w:r>
        <w:rPr>
          <w:rFonts w:hint="eastAsia" w:ascii="仿宋" w:hAnsi="仿宋" w:eastAsia="仿宋" w:cs="仿宋"/>
          <w:color w:val="auto"/>
          <w:kern w:val="10"/>
          <w:szCs w:val="21"/>
          <w:highlight w:val="none"/>
          <w:lang w:eastAsia="zh-CN"/>
        </w:rPr>
        <w:t>48.1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7F080AB5">
      <w:pPr>
        <w:spacing w:beforeLines="50" w:afterLines="50" w:line="320" w:lineRule="exact"/>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（八）质疑与投诉</w:t>
      </w:r>
    </w:p>
    <w:p w14:paraId="683A9128">
      <w:pPr>
        <w:spacing w:line="360" w:lineRule="exact"/>
        <w:ind w:firstLine="243" w:firstLineChars="1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49．质疑和投诉</w:t>
      </w:r>
    </w:p>
    <w:p w14:paraId="334680FF">
      <w:pPr>
        <w:spacing w:line="36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14:paraId="4BF76DB8">
      <w:pPr>
        <w:spacing w:line="36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（一）对可以质疑的采购文件提出质疑的，为收到采购文件之日或者采购文件公告期限届满之日；</w:t>
      </w:r>
    </w:p>
    <w:p w14:paraId="175AFEB0">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（二）对采购过程提出质疑的，为各采购程序环节结束之日；</w:t>
      </w:r>
    </w:p>
    <w:p w14:paraId="2189B1B3">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（三）对中标或者成交结果提出质疑的，为中标或者成交结果公告期限届满之日。</w:t>
      </w:r>
    </w:p>
    <w:p w14:paraId="2ACFCEB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14:paraId="150C0B2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供应商为自然人的，应当由本人签章；供应商为法人或者其他组织的，应当由法定代表人、主要负责人，或者其授权代表签章或者盖章，并加盖公章。</w:t>
      </w:r>
    </w:p>
    <w:p w14:paraId="103C084B">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49.3供应商质疑、投诉应当有明确的请求和必要的证明材料。供应商投诉的事项不得超出已质疑事项的范围。采购人及采购代理机构按《政府采购质疑和投诉办法》进行处理供应商质疑事项。</w:t>
      </w:r>
    </w:p>
    <w:p w14:paraId="0611FF61">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49.4质疑供应商对采购人、采购代理机构的质疑答复不满意，或者采购人、采购代理机构未在规定期限内作出答复的，供应商可以在答复期满后15个工作日内向同级财政部门提起投诉。</w:t>
      </w:r>
    </w:p>
    <w:p w14:paraId="78FC95B9">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49.5供应商有下列情形之一的，采购代理机构将报告克州财政局，将其列入不良行为记录名单：</w:t>
      </w:r>
    </w:p>
    <w:p w14:paraId="3EF17D5A">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（一）一年内三次以上质疑均查无实据的；</w:t>
      </w:r>
    </w:p>
    <w:p w14:paraId="7E746184">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（二）捏造事实或者提供虚假质疑材料的。</w:t>
      </w:r>
    </w:p>
    <w:p w14:paraId="7962706E">
      <w:pPr>
        <w:spacing w:line="440" w:lineRule="exact"/>
        <w:ind w:firstLine="243" w:firstLineChars="1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（三）以非法手段取得证明材料。证据来源的合法性存在明显疑问，质疑人无法证明其取得方式合法的，视为以非法手段取得证明材料。</w:t>
      </w:r>
    </w:p>
    <w:p w14:paraId="7C03FD12">
      <w:pPr>
        <w:spacing w:line="360" w:lineRule="exact"/>
        <w:jc w:val="center"/>
        <w:rPr>
          <w:rFonts w:ascii="仿宋" w:hAnsi="仿宋" w:eastAsia="仿宋" w:cs="仿宋"/>
          <w:color w:val="auto"/>
          <w:sz w:val="30"/>
          <w:szCs w:val="30"/>
          <w:highlight w:val="none"/>
          <w:lang w:eastAsia="zh-CN"/>
        </w:rPr>
      </w:pPr>
    </w:p>
    <w:p w14:paraId="2493818B">
      <w:pPr>
        <w:pStyle w:val="32"/>
        <w:rPr>
          <w:rFonts w:ascii="仿宋" w:hAnsi="仿宋" w:eastAsia="仿宋" w:cs="仿宋"/>
          <w:color w:val="auto"/>
          <w:sz w:val="30"/>
          <w:szCs w:val="30"/>
          <w:highlight w:val="none"/>
          <w:lang w:eastAsia="zh-CN"/>
        </w:rPr>
      </w:pPr>
    </w:p>
    <w:p w14:paraId="4503B306">
      <w:pPr>
        <w:pStyle w:val="32"/>
        <w:rPr>
          <w:rFonts w:ascii="仿宋" w:hAnsi="仿宋" w:eastAsia="仿宋" w:cs="仿宋"/>
          <w:color w:val="auto"/>
          <w:sz w:val="30"/>
          <w:szCs w:val="30"/>
          <w:highlight w:val="none"/>
          <w:lang w:eastAsia="zh-CN"/>
        </w:rPr>
      </w:pPr>
    </w:p>
    <w:p w14:paraId="31168101">
      <w:pPr>
        <w:pStyle w:val="32"/>
        <w:rPr>
          <w:rFonts w:ascii="仿宋" w:hAnsi="仿宋" w:eastAsia="仿宋" w:cs="仿宋"/>
          <w:color w:val="auto"/>
          <w:sz w:val="30"/>
          <w:szCs w:val="30"/>
          <w:highlight w:val="none"/>
          <w:lang w:eastAsia="zh-CN"/>
        </w:rPr>
      </w:pPr>
    </w:p>
    <w:p w14:paraId="670AFD6C">
      <w:pPr>
        <w:pStyle w:val="32"/>
        <w:rPr>
          <w:rFonts w:ascii="仿宋" w:hAnsi="仿宋" w:eastAsia="仿宋" w:cs="仿宋"/>
          <w:color w:val="auto"/>
          <w:sz w:val="30"/>
          <w:szCs w:val="30"/>
          <w:highlight w:val="none"/>
          <w:lang w:eastAsia="zh-CN"/>
        </w:rPr>
      </w:pPr>
    </w:p>
    <w:p w14:paraId="79831A78">
      <w:pPr>
        <w:pStyle w:val="32"/>
        <w:rPr>
          <w:rFonts w:ascii="仿宋" w:hAnsi="仿宋" w:eastAsia="仿宋" w:cs="仿宋"/>
          <w:color w:val="auto"/>
          <w:sz w:val="30"/>
          <w:szCs w:val="30"/>
          <w:highlight w:val="none"/>
          <w:lang w:eastAsia="zh-CN"/>
        </w:rPr>
      </w:pPr>
    </w:p>
    <w:p w14:paraId="264EAE8C">
      <w:pPr>
        <w:pStyle w:val="32"/>
        <w:rPr>
          <w:rFonts w:ascii="仿宋" w:hAnsi="仿宋" w:eastAsia="仿宋" w:cs="仿宋"/>
          <w:color w:val="auto"/>
          <w:sz w:val="30"/>
          <w:szCs w:val="30"/>
          <w:highlight w:val="none"/>
          <w:lang w:eastAsia="zh-CN"/>
        </w:rPr>
      </w:pPr>
    </w:p>
    <w:p w14:paraId="4629E22E">
      <w:pPr>
        <w:pStyle w:val="32"/>
        <w:rPr>
          <w:rFonts w:ascii="仿宋" w:hAnsi="仿宋" w:eastAsia="仿宋" w:cs="仿宋"/>
          <w:color w:val="auto"/>
          <w:sz w:val="30"/>
          <w:szCs w:val="30"/>
          <w:highlight w:val="none"/>
          <w:lang w:eastAsia="zh-CN"/>
        </w:rPr>
      </w:pPr>
    </w:p>
    <w:p w14:paraId="582288CF">
      <w:pPr>
        <w:pStyle w:val="32"/>
        <w:rPr>
          <w:rFonts w:ascii="仿宋" w:hAnsi="仿宋" w:eastAsia="仿宋" w:cs="仿宋"/>
          <w:color w:val="auto"/>
          <w:sz w:val="30"/>
          <w:szCs w:val="30"/>
          <w:highlight w:val="none"/>
          <w:lang w:eastAsia="zh-CN"/>
        </w:rPr>
      </w:pPr>
    </w:p>
    <w:p w14:paraId="1B920363">
      <w:pPr>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附件：</w:t>
      </w:r>
    </w:p>
    <w:p w14:paraId="1959B51C">
      <w:pPr>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32"/>
          <w:szCs w:val="32"/>
          <w:highlight w:val="none"/>
          <w:lang w:eastAsia="zh-CN"/>
        </w:rPr>
        <w:t>政府采购投诉书（范本）、质疑函范本</w:t>
      </w:r>
    </w:p>
    <w:p w14:paraId="65B3F669">
      <w:pPr>
        <w:spacing w:line="400" w:lineRule="exact"/>
        <w:jc w:val="center"/>
        <w:rPr>
          <w:rFonts w:ascii="仿宋" w:hAnsi="仿宋" w:eastAsia="仿宋" w:cs="仿宋"/>
          <w:color w:val="auto"/>
          <w:highlight w:val="none"/>
          <w:u w:val="single"/>
          <w:lang w:eastAsia="zh-CN"/>
        </w:rPr>
      </w:pPr>
      <w:r>
        <w:rPr>
          <w:rFonts w:hint="eastAsia" w:ascii="仿宋" w:hAnsi="仿宋" w:eastAsia="仿宋" w:cs="仿宋"/>
          <w:b/>
          <w:bCs/>
          <w:color w:val="auto"/>
          <w:sz w:val="28"/>
          <w:szCs w:val="28"/>
          <w:highlight w:val="none"/>
          <w:lang w:eastAsia="zh-CN"/>
        </w:rPr>
        <w:t>政府采购投诉书（范本）</w:t>
      </w:r>
    </w:p>
    <w:p w14:paraId="1874053B">
      <w:pPr>
        <w:spacing w:line="400" w:lineRule="exact"/>
        <w:rPr>
          <w:rFonts w:ascii="仿宋" w:hAnsi="仿宋" w:eastAsia="仿宋" w:cs="仿宋"/>
          <w:color w:val="auto"/>
          <w:highlight w:val="none"/>
          <w:lang w:eastAsia="zh-CN"/>
        </w:rPr>
      </w:pPr>
    </w:p>
    <w:p w14:paraId="31D20835">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0132899">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2CA85AE4">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委托代理人姓名：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4CF729D8">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住址：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联系电话：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7D0812A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被投诉人：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法定代表人：</w:t>
      </w:r>
      <w:r>
        <w:rPr>
          <w:rFonts w:hint="eastAsia" w:ascii="仿宋" w:hAnsi="仿宋" w:eastAsia="仿宋" w:cs="仿宋"/>
          <w:color w:val="auto"/>
          <w:highlight w:val="none"/>
          <w:u w:val="single"/>
          <w:lang w:eastAsia="zh-CN"/>
        </w:rPr>
        <w:t xml:space="preserve">         </w:t>
      </w:r>
    </w:p>
    <w:p w14:paraId="39D1C629">
      <w:pPr>
        <w:spacing w:line="40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电话：</w:t>
      </w:r>
      <w:r>
        <w:rPr>
          <w:rFonts w:hint="eastAsia" w:ascii="仿宋" w:hAnsi="仿宋" w:eastAsia="仿宋" w:cs="仿宋"/>
          <w:color w:val="auto"/>
          <w:highlight w:val="none"/>
          <w:u w:val="single"/>
          <w:lang w:eastAsia="zh-CN"/>
        </w:rPr>
        <w:t xml:space="preserve">               </w:t>
      </w:r>
    </w:p>
    <w:p w14:paraId="77EFE735">
      <w:pPr>
        <w:spacing w:line="400" w:lineRule="exact"/>
        <w:ind w:firstLine="486" w:firstLineChars="200"/>
        <w:rPr>
          <w:rFonts w:ascii="仿宋" w:hAnsi="仿宋" w:eastAsia="仿宋" w:cs="仿宋"/>
          <w:color w:val="auto"/>
          <w:highlight w:val="none"/>
          <w:lang w:eastAsia="zh-CN"/>
        </w:rPr>
      </w:pPr>
    </w:p>
    <w:p w14:paraId="656AE813">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我公司参加了</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年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日被投诉人组织的</w:t>
      </w:r>
      <w:r>
        <w:rPr>
          <w:rFonts w:hint="eastAsia" w:ascii="仿宋" w:hAnsi="仿宋" w:eastAsia="仿宋" w:cs="仿宋"/>
          <w:color w:val="auto"/>
          <w:highlight w:val="none"/>
          <w:u w:val="single"/>
          <w:lang w:eastAsia="zh-CN"/>
        </w:rPr>
        <w:t>（采购人）（项目名称）（项目编号）</w:t>
      </w:r>
      <w:r>
        <w:rPr>
          <w:rFonts w:hint="eastAsia" w:ascii="仿宋" w:hAnsi="仿宋" w:eastAsia="仿宋" w:cs="仿宋"/>
          <w:color w:val="auto"/>
          <w:highlight w:val="none"/>
          <w:lang w:eastAsia="zh-CN"/>
        </w:rPr>
        <w:t>的采购活动，我公司认为该项目的</w:t>
      </w:r>
      <w:r>
        <w:rPr>
          <w:rFonts w:hint="eastAsia" w:ascii="仿宋" w:hAnsi="仿宋" w:eastAsia="仿宋" w:cs="仿宋"/>
          <w:color w:val="auto"/>
          <w:highlight w:val="none"/>
          <w:u w:val="single"/>
          <w:lang w:eastAsia="zh-CN"/>
        </w:rPr>
        <w:t>（采购文件/采购过程/中标（中标）结果）</w:t>
      </w:r>
      <w:r>
        <w:rPr>
          <w:rFonts w:hint="eastAsia" w:ascii="仿宋" w:hAnsi="仿宋" w:eastAsia="仿宋" w:cs="仿宋"/>
          <w:color w:val="auto"/>
          <w:highlight w:val="none"/>
          <w:lang w:eastAsia="zh-CN"/>
        </w:rPr>
        <w:t>损害了我公司权益，对此，我公司于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日向</w:t>
      </w:r>
      <w:r>
        <w:rPr>
          <w:rFonts w:hint="eastAsia" w:ascii="仿宋" w:hAnsi="仿宋" w:eastAsia="仿宋" w:cs="仿宋"/>
          <w:color w:val="auto"/>
          <w:highlight w:val="none"/>
          <w:u w:val="single"/>
          <w:lang w:eastAsia="zh-CN"/>
        </w:rPr>
        <w:t>（采购人或者政府采购代理机构）</w:t>
      </w:r>
      <w:r>
        <w:rPr>
          <w:rFonts w:hint="eastAsia" w:ascii="仿宋" w:hAnsi="仿宋" w:eastAsia="仿宋" w:cs="仿宋"/>
          <w:color w:val="auto"/>
          <w:highlight w:val="none"/>
          <w:lang w:eastAsia="zh-CN"/>
        </w:rPr>
        <w:t>提出了质疑，</w:t>
      </w:r>
      <w:r>
        <w:rPr>
          <w:rFonts w:hint="eastAsia" w:ascii="仿宋" w:hAnsi="仿宋" w:eastAsia="仿宋" w:cs="仿宋"/>
          <w:color w:val="auto"/>
          <w:highlight w:val="none"/>
          <w:u w:val="single"/>
          <w:lang w:eastAsia="zh-CN"/>
        </w:rPr>
        <w:t>（其于    年  月  日作出书面答复，因对其作出的答复不满意）/（被质疑人未在法定期内予以答复，按照政府采购有关规定）</w:t>
      </w:r>
      <w:r>
        <w:rPr>
          <w:rFonts w:hint="eastAsia" w:ascii="仿宋" w:hAnsi="仿宋" w:eastAsia="仿宋" w:cs="仿宋"/>
          <w:color w:val="auto"/>
          <w:highlight w:val="none"/>
          <w:lang w:eastAsia="zh-CN"/>
        </w:rPr>
        <w:t>，现向贵机关提起投诉：</w:t>
      </w:r>
    </w:p>
    <w:p w14:paraId="0710E983">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color w:val="auto"/>
          <w:highlight w:val="none"/>
          <w:u w:val="single"/>
          <w:lang w:eastAsia="zh-CN"/>
        </w:rPr>
        <w:t>具体的投诉事项及事实依据；</w:t>
      </w:r>
    </w:p>
    <w:p w14:paraId="09FD0485">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w:t>
      </w:r>
      <w:r>
        <w:rPr>
          <w:rFonts w:hint="eastAsia" w:ascii="仿宋" w:hAnsi="仿宋" w:eastAsia="仿宋" w:cs="仿宋"/>
          <w:color w:val="auto"/>
          <w:highlight w:val="none"/>
          <w:u w:val="single"/>
          <w:lang w:eastAsia="zh-CN"/>
        </w:rPr>
        <w:t>质疑和质疑答复情况简要描述；</w:t>
      </w:r>
    </w:p>
    <w:p w14:paraId="263FFCC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u w:val="single"/>
          <w:lang w:eastAsia="zh-CN"/>
        </w:rPr>
        <w:t>投诉请求。</w:t>
      </w:r>
    </w:p>
    <w:p w14:paraId="5E4AC2A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附件：</w:t>
      </w:r>
    </w:p>
    <w:p w14:paraId="3D9D3464">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1.质疑书和质疑答复书；</w:t>
      </w:r>
    </w:p>
    <w:p w14:paraId="7F6ED4E9">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2.证据材料（需注明证据来源），证人的姓名、住址和联系方式等；</w:t>
      </w:r>
    </w:p>
    <w:p w14:paraId="7A6B9F99">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3.营业执照；</w:t>
      </w:r>
    </w:p>
    <w:p w14:paraId="6C883DBD">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4.法定代表人身份证明函</w:t>
      </w:r>
    </w:p>
    <w:p w14:paraId="1CF31A9D">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5.法定代表人授权委托书（包含法定代表人和委托代理人的身份证复印件）；</w:t>
      </w:r>
    </w:p>
    <w:p w14:paraId="09D82EB5">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6.政府采购监管部门认为应当提供的其它材料。</w:t>
      </w:r>
    </w:p>
    <w:p w14:paraId="2DEA80FC">
      <w:pPr>
        <w:spacing w:line="400" w:lineRule="exact"/>
        <w:jc w:val="center"/>
        <w:rPr>
          <w:rFonts w:ascii="仿宋" w:hAnsi="仿宋" w:eastAsia="仿宋" w:cs="仿宋"/>
          <w:color w:val="auto"/>
          <w:highlight w:val="none"/>
          <w:lang w:eastAsia="zh-CN"/>
        </w:rPr>
      </w:pPr>
    </w:p>
    <w:p w14:paraId="06F57BBE">
      <w:pPr>
        <w:spacing w:line="400" w:lineRule="exact"/>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投诉供应商：（盖章）</w:t>
      </w:r>
    </w:p>
    <w:p w14:paraId="79D89C4B">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法定代表人（或主要负责人）：（签章）</w:t>
      </w:r>
    </w:p>
    <w:p w14:paraId="16CDAAB6">
      <w:pPr>
        <w:spacing w:line="400" w:lineRule="exact"/>
        <w:ind w:firstLine="3888" w:firstLineChars="16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5B7F3A1F">
      <w:pPr>
        <w:spacing w:line="400" w:lineRule="exact"/>
        <w:rPr>
          <w:rFonts w:ascii="仿宋" w:hAnsi="仿宋" w:eastAsia="仿宋" w:cs="仿宋"/>
          <w:color w:val="auto"/>
          <w:highlight w:val="none"/>
          <w:lang w:eastAsia="zh-CN"/>
        </w:rPr>
      </w:pPr>
    </w:p>
    <w:p w14:paraId="39069632">
      <w:pPr>
        <w:spacing w:line="400" w:lineRule="exact"/>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本投诉书正本叁份，副本</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份并附电子文档。</w:t>
      </w:r>
    </w:p>
    <w:p w14:paraId="68A09E17">
      <w:pPr>
        <w:ind w:left="5783" w:hanging="5814" w:hangingChars="1800"/>
        <w:jc w:val="center"/>
        <w:outlineLvl w:val="0"/>
        <w:rPr>
          <w:rFonts w:hint="eastAsia" w:ascii="仿宋" w:hAnsi="仿宋" w:eastAsia="仿宋" w:cs="仿宋"/>
          <w:b/>
          <w:bCs/>
          <w:color w:val="auto"/>
          <w:sz w:val="32"/>
          <w:szCs w:val="32"/>
          <w:highlight w:val="none"/>
          <w:lang w:eastAsia="zh-CN"/>
        </w:rPr>
      </w:pPr>
      <w:bookmarkStart w:id="25" w:name="_Toc17515"/>
    </w:p>
    <w:p w14:paraId="55DF0E73">
      <w:pPr>
        <w:ind w:left="5783" w:hanging="5814" w:hangingChars="1800"/>
        <w:jc w:val="center"/>
        <w:outlineLvl w:val="0"/>
        <w:rPr>
          <w:rFonts w:ascii="仿宋" w:hAnsi="仿宋" w:eastAsia="仿宋" w:cs="仿宋"/>
          <w:color w:val="auto"/>
          <w:sz w:val="32"/>
          <w:szCs w:val="32"/>
          <w:highlight w:val="none"/>
          <w:lang w:eastAsia="zh-CN"/>
        </w:rPr>
      </w:pPr>
      <w:r>
        <w:rPr>
          <w:rFonts w:hint="eastAsia" w:ascii="仿宋" w:hAnsi="仿宋" w:eastAsia="仿宋" w:cs="仿宋"/>
          <w:b/>
          <w:bCs/>
          <w:color w:val="auto"/>
          <w:sz w:val="32"/>
          <w:szCs w:val="32"/>
          <w:highlight w:val="none"/>
          <w:lang w:eastAsia="zh-CN"/>
        </w:rPr>
        <w:t>投诉相关说明</w:t>
      </w:r>
      <w:bookmarkEnd w:id="25"/>
    </w:p>
    <w:p w14:paraId="30CEF2C7">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投诉人应当满足《政府采购法》、《政府采购法实施条例》和《政府采购供应商投诉处理办法》的相关规定。</w:t>
      </w:r>
    </w:p>
    <w:p w14:paraId="15FD454F">
      <w:pPr>
        <w:numPr>
          <w:ilvl w:val="0"/>
          <w:numId w:val="4"/>
        </w:numPr>
        <w:spacing w:line="400" w:lineRule="exact"/>
        <w:ind w:left="4626" w:leftChars="304" w:hanging="3888" w:hangingChars="1600"/>
        <w:outlineLvl w:val="0"/>
        <w:rPr>
          <w:rFonts w:ascii="仿宋" w:hAnsi="仿宋" w:eastAsia="仿宋" w:cs="仿宋"/>
          <w:b/>
          <w:bCs/>
          <w:color w:val="auto"/>
          <w:sz w:val="24"/>
          <w:szCs w:val="24"/>
          <w:highlight w:val="none"/>
        </w:rPr>
      </w:pPr>
      <w:bookmarkStart w:id="26" w:name="_Toc11499"/>
      <w:r>
        <w:rPr>
          <w:rFonts w:hint="eastAsia" w:ascii="仿宋" w:hAnsi="仿宋" w:eastAsia="仿宋" w:cs="仿宋"/>
          <w:b/>
          <w:bCs/>
          <w:color w:val="auto"/>
          <w:sz w:val="24"/>
          <w:szCs w:val="24"/>
          <w:highlight w:val="none"/>
        </w:rPr>
        <w:t>质疑前置及时间要求</w:t>
      </w:r>
      <w:bookmarkEnd w:id="26"/>
    </w:p>
    <w:p w14:paraId="5934B758">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lang w:eastAsia="zh-CN"/>
        </w:rPr>
        <w:t>《中华人民共和国政府采购法》</w:t>
      </w:r>
      <w:r>
        <w:rPr>
          <w:rFonts w:hint="eastAsia" w:ascii="仿宋" w:hAnsi="仿宋" w:eastAsia="仿宋" w:cs="仿宋"/>
          <w:color w:val="auto"/>
          <w:highlight w:val="none"/>
          <w:shd w:val="clear" w:color="auto" w:fill="FFFFFF"/>
          <w:lang w:eastAsia="zh-CN"/>
        </w:rPr>
        <w:t>第五十一条：供应商对政府采购活动事项有疑问的，可以向采购人提出询问，采购人应当及时作出答复，但答复的内容不得涉及商业秘密。</w:t>
      </w:r>
    </w:p>
    <w:p w14:paraId="006436B2">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第五十二条：供应商认为采购文件、采购过程和中标、中标结果使自己的权益受到损害的，可以在知道或者应知其权益受到损害之日起七个工作日内，以书面形式向采购人提出质疑。</w:t>
      </w:r>
    </w:p>
    <w:p w14:paraId="0F61EE64">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第五十三条：采购人应当在收到供应商的书面质疑后七个工作日内作出答复，并以书面形式通知质疑供应商和其他有关供应商，但答复的内容不得涉及商业秘密。</w:t>
      </w:r>
    </w:p>
    <w:p w14:paraId="347A0A58">
      <w:pPr>
        <w:widowControl/>
        <w:spacing w:line="400" w:lineRule="exact"/>
        <w:ind w:firstLine="420"/>
        <w:rPr>
          <w:rFonts w:ascii="仿宋" w:hAnsi="仿宋" w:eastAsia="仿宋" w:cs="仿宋"/>
          <w:color w:val="auto"/>
          <w:highlight w:val="none"/>
          <w:shd w:val="clear" w:color="auto" w:fill="FFFFFF"/>
          <w:lang w:eastAsia="zh-CN"/>
        </w:rPr>
      </w:pPr>
      <w:r>
        <w:rPr>
          <w:rFonts w:hint="eastAsia" w:ascii="仿宋" w:hAnsi="仿宋" w:eastAsia="仿宋" w:cs="仿宋"/>
          <w:color w:val="auto"/>
          <w:highlight w:val="none"/>
          <w:shd w:val="clear" w:color="auto" w:fill="FFFFFF"/>
          <w:lang w:eastAsia="zh-CN"/>
        </w:rPr>
        <w:t xml:space="preserve"> 第五十五条:质疑供应商对采购人、采购代理机构的答复不满意或者采购人、采购代理机构未在规定的时间内作出答复的，可以在答复期满后十五个工作日内向同级政府采购监督管理部门投诉。</w:t>
      </w:r>
    </w:p>
    <w:p w14:paraId="7D74877E">
      <w:pPr>
        <w:widowControl/>
        <w:spacing w:line="400" w:lineRule="exact"/>
        <w:ind w:firstLine="420"/>
        <w:rPr>
          <w:rFonts w:ascii="仿宋" w:hAnsi="仿宋" w:eastAsia="仿宋" w:cs="仿宋"/>
          <w:color w:val="auto"/>
          <w:highlight w:val="none"/>
          <w:lang w:eastAsia="zh-CN"/>
        </w:rPr>
      </w:pPr>
      <w:r>
        <w:rPr>
          <w:rFonts w:hint="eastAsia" w:ascii="仿宋" w:hAnsi="仿宋" w:eastAsia="仿宋" w:cs="仿宋"/>
          <w:color w:val="auto"/>
          <w:highlight w:val="none"/>
          <w:shd w:val="clear" w:color="auto" w:fill="FFFFFF"/>
          <w:lang w:eastAsia="zh-CN"/>
        </w:rPr>
        <w:t xml:space="preserve">  《政府采购实施条例》第五十五条：供应商质疑、投诉应当有明确的请求和必要的证明材料。供应商投诉的事项不得超出质疑事项的范围。</w:t>
      </w:r>
    </w:p>
    <w:p w14:paraId="13224A29">
      <w:pPr>
        <w:spacing w:line="400" w:lineRule="exact"/>
        <w:ind w:left="3780" w:hanging="3834" w:hangingChars="1800"/>
        <w:outlineLvl w:val="0"/>
        <w:rPr>
          <w:rFonts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b/>
          <w:bCs/>
          <w:color w:val="auto"/>
          <w:sz w:val="21"/>
          <w:szCs w:val="21"/>
          <w:highlight w:val="none"/>
          <w:lang w:eastAsia="zh-CN"/>
        </w:rPr>
        <w:t xml:space="preserve">   </w:t>
      </w:r>
      <w:bookmarkStart w:id="27" w:name="_Toc13508"/>
      <w:r>
        <w:rPr>
          <w:rFonts w:hint="eastAsia" w:ascii="仿宋" w:hAnsi="仿宋" w:eastAsia="仿宋" w:cs="仿宋"/>
          <w:b/>
          <w:bCs/>
          <w:color w:val="auto"/>
          <w:sz w:val="21"/>
          <w:szCs w:val="21"/>
          <w:highlight w:val="none"/>
          <w:lang w:eastAsia="zh-CN"/>
        </w:rPr>
        <w:t>二、书面方式</w:t>
      </w:r>
      <w:bookmarkEnd w:id="27"/>
    </w:p>
    <w:p w14:paraId="1AD2F3FB">
      <w:pPr>
        <w:spacing w:line="400" w:lineRule="exact"/>
        <w:ind w:left="3780" w:hanging="3834" w:hangingChars="1800"/>
        <w:rPr>
          <w:rFonts w:ascii="仿宋" w:hAnsi="仿宋" w:eastAsia="仿宋" w:cs="仿宋"/>
          <w:color w:val="auto"/>
          <w:highlight w:val="none"/>
          <w:lang w:eastAsia="zh-CN"/>
        </w:rPr>
      </w:pPr>
      <w:r>
        <w:rPr>
          <w:rFonts w:hint="eastAsia" w:ascii="仿宋" w:hAnsi="仿宋" w:eastAsia="仿宋" w:cs="仿宋"/>
          <w:color w:val="auto"/>
          <w:sz w:val="21"/>
          <w:szCs w:val="21"/>
          <w:highlight w:val="none"/>
          <w:lang w:eastAsia="zh-CN"/>
        </w:rPr>
        <w:t xml:space="preserve">    《</w:t>
      </w:r>
      <w:r>
        <w:rPr>
          <w:rFonts w:hint="eastAsia" w:ascii="仿宋" w:hAnsi="仿宋" w:eastAsia="仿宋" w:cs="仿宋"/>
          <w:color w:val="auto"/>
          <w:highlight w:val="none"/>
          <w:lang w:eastAsia="zh-CN"/>
        </w:rPr>
        <w:t>政府采购供应商投诉处理办法》第八条：投诉人投诉</w:t>
      </w:r>
    </w:p>
    <w:p w14:paraId="10F3C4B0">
      <w:p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时，应当提交投诉书，并按照被投诉人以及与投诉事项有关的供应商数量提供投诉书的副本。</w:t>
      </w:r>
    </w:p>
    <w:p w14:paraId="7E8A1F4A">
      <w:pPr>
        <w:spacing w:line="400" w:lineRule="exact"/>
        <w:ind w:left="4320" w:hanging="4374"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投诉书应当包括下列主要内容：</w:t>
      </w:r>
    </w:p>
    <w:p w14:paraId="09F67A18">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投诉人和被投诉人的名称、地址、电话等；</w:t>
      </w:r>
    </w:p>
    <w:p w14:paraId="7502D4CA">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具体的投诉事项及事实依据；</w:t>
      </w:r>
    </w:p>
    <w:p w14:paraId="3DCAB7DE">
      <w:pPr>
        <w:numPr>
          <w:ilvl w:val="0"/>
          <w:numId w:val="5"/>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质疑和质疑答复情况及相关证明材料；</w:t>
      </w:r>
    </w:p>
    <w:p w14:paraId="09EE8D1C">
      <w:pPr>
        <w:numPr>
          <w:ilvl w:val="0"/>
          <w:numId w:val="5"/>
        </w:numPr>
        <w:spacing w:line="400" w:lineRule="exact"/>
        <w:rPr>
          <w:rFonts w:ascii="仿宋" w:hAnsi="仿宋" w:eastAsia="仿宋" w:cs="仿宋"/>
          <w:color w:val="auto"/>
          <w:highlight w:val="none"/>
        </w:rPr>
      </w:pPr>
      <w:r>
        <w:rPr>
          <w:rFonts w:hint="eastAsia" w:ascii="仿宋" w:hAnsi="仿宋" w:eastAsia="仿宋" w:cs="仿宋"/>
          <w:color w:val="auto"/>
          <w:highlight w:val="none"/>
        </w:rPr>
        <w:t>提起投诉的日期。</w:t>
      </w:r>
    </w:p>
    <w:p w14:paraId="69EF0B0F">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投诉书应当署名。投诉人为自然人，应当由本人签章；投诉人为法人或者其他组织的，应当由法定代表人或者主要负责人签章并加盖公章。</w:t>
      </w:r>
    </w:p>
    <w:p w14:paraId="2EC69474">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14:paraId="10E524E3">
      <w:pPr>
        <w:spacing w:line="400" w:lineRule="exact"/>
        <w:ind w:firstLine="645"/>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《政府采购供应商投诉处理办法》第十条：投诉人提起投诉应当符合下列条件：</w:t>
      </w:r>
    </w:p>
    <w:p w14:paraId="01FF2EBD">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投诉人是参与所投诉政府采购活动的供应商；</w:t>
      </w:r>
    </w:p>
    <w:p w14:paraId="3A9BEC5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提起投诉诉前已依法进行质疑；</w:t>
      </w:r>
    </w:p>
    <w:p w14:paraId="3C63D7C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投诉书内容符合本办法的规定；</w:t>
      </w:r>
    </w:p>
    <w:p w14:paraId="59D13710">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在投诉有效期内提起投诉；</w:t>
      </w:r>
    </w:p>
    <w:p w14:paraId="51295BD3">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属于本级财政部门管辖；</w:t>
      </w:r>
    </w:p>
    <w:p w14:paraId="2F116F36">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同一投诉事项未经财政部门投诉处理；</w:t>
      </w:r>
    </w:p>
    <w:p w14:paraId="24CD9C3F">
      <w:pPr>
        <w:numPr>
          <w:ilvl w:val="0"/>
          <w:numId w:val="6"/>
        </w:numPr>
        <w:spacing w:line="40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国务院财政部门规定的其他条件。</w:t>
      </w:r>
    </w:p>
    <w:p w14:paraId="3714495B">
      <w:pPr>
        <w:spacing w:line="400" w:lineRule="exact"/>
        <w:ind w:left="4320" w:hanging="4374" w:hangingChars="18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257B8F6B">
      <w:pPr>
        <w:outlineLvl w:val="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b/>
          <w:bCs/>
          <w:color w:val="auto"/>
          <w:highlight w:val="none"/>
          <w:lang w:eastAsia="zh-CN"/>
        </w:rPr>
        <w:t xml:space="preserve">   </w:t>
      </w:r>
      <w:bookmarkStart w:id="28" w:name="_Toc5978"/>
      <w:r>
        <w:rPr>
          <w:rFonts w:hint="eastAsia" w:ascii="仿宋" w:hAnsi="仿宋" w:eastAsia="仿宋" w:cs="仿宋"/>
          <w:b/>
          <w:bCs/>
          <w:color w:val="auto"/>
          <w:highlight w:val="none"/>
          <w:lang w:eastAsia="zh-CN"/>
        </w:rPr>
        <w:t>三、虚假、恶意投诉法律责任</w:t>
      </w:r>
      <w:bookmarkEnd w:id="28"/>
    </w:p>
    <w:p w14:paraId="1CCD749E">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第七十三条：供应商捏造</w:t>
      </w:r>
      <w:r>
        <w:rPr>
          <w:rFonts w:hint="eastAsia" w:ascii="仿宋" w:hAnsi="仿宋" w:eastAsia="仿宋" w:cs="仿宋"/>
          <w:color w:val="auto"/>
          <w:highlight w:val="none"/>
          <w:lang w:val="en-US" w:eastAsia="zh-CN"/>
        </w:rPr>
        <w:t>事实</w:t>
      </w:r>
      <w:r>
        <w:rPr>
          <w:rFonts w:hint="eastAsia" w:ascii="仿宋" w:hAnsi="仿宋" w:eastAsia="仿宋" w:cs="仿宋"/>
          <w:color w:val="auto"/>
          <w:highlight w:val="none"/>
          <w:lang w:eastAsia="zh-CN"/>
        </w:rPr>
        <w:t>、提供虚假材料或者以非法手段取得证明材料进行投诉的，由财政部门列入不良行为记录名单，禁止其1至3年内参加政府采购活动。</w:t>
      </w:r>
    </w:p>
    <w:p w14:paraId="048EA27B">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《政府采购供应商投诉处理办法》第二十六条：投诉人有下列情形之一的，属于虚假、恶意投诉，财政部门应当驳回投诉，将其列入不良行为记录名单，并依法予以处罚：</w:t>
      </w:r>
    </w:p>
    <w:p w14:paraId="6BC3718A">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（一）1年内3次以上投诉均查无实据的；</w:t>
      </w:r>
    </w:p>
    <w:p w14:paraId="319CFC76">
      <w:pPr>
        <w:spacing w:line="40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（二）捏造事实或者提供虚假投诉材料的。</w:t>
      </w:r>
    </w:p>
    <w:p w14:paraId="40EFF90A">
      <w:pPr>
        <w:spacing w:line="400" w:lineRule="exact"/>
        <w:rPr>
          <w:rFonts w:ascii="仿宋" w:hAnsi="仿宋" w:eastAsia="仿宋" w:cs="仿宋"/>
          <w:color w:val="auto"/>
          <w:sz w:val="21"/>
          <w:szCs w:val="21"/>
          <w:highlight w:val="none"/>
          <w:lang w:eastAsia="zh-CN"/>
        </w:rPr>
      </w:pPr>
    </w:p>
    <w:p w14:paraId="5293EA61">
      <w:pPr>
        <w:spacing w:line="400" w:lineRule="exact"/>
        <w:rPr>
          <w:rFonts w:ascii="仿宋" w:hAnsi="仿宋" w:eastAsia="仿宋" w:cs="仿宋"/>
          <w:color w:val="auto"/>
          <w:sz w:val="21"/>
          <w:szCs w:val="21"/>
          <w:highlight w:val="none"/>
          <w:lang w:eastAsia="zh-CN"/>
        </w:rPr>
      </w:pPr>
    </w:p>
    <w:p w14:paraId="12119127">
      <w:pPr>
        <w:jc w:val="both"/>
        <w:rPr>
          <w:rFonts w:ascii="仿宋" w:hAnsi="仿宋" w:eastAsia="仿宋" w:cs="仿宋"/>
          <w:color w:val="auto"/>
          <w:highlight w:val="none"/>
          <w:lang w:eastAsia="zh-CN"/>
        </w:rPr>
      </w:pPr>
      <w:r>
        <w:rPr>
          <w:rFonts w:hint="eastAsia" w:ascii="仿宋" w:hAnsi="仿宋" w:eastAsia="仿宋" w:cs="仿宋"/>
          <w:color w:val="auto"/>
          <w:highlight w:val="none"/>
          <w:lang w:eastAsia="zh-CN"/>
        </w:rPr>
        <w:t>递交投诉书地址：</w:t>
      </w:r>
      <w:r>
        <w:rPr>
          <w:rFonts w:hint="eastAsia" w:ascii="仿宋" w:hAnsi="仿宋" w:eastAsia="仿宋" w:cs="仿宋"/>
          <w:color w:val="auto"/>
          <w:highlight w:val="none"/>
          <w:lang w:val="en-US" w:eastAsia="zh-CN"/>
        </w:rPr>
        <w:t>阿合奇县</w:t>
      </w:r>
      <w:r>
        <w:rPr>
          <w:rFonts w:hint="eastAsia" w:ascii="仿宋" w:hAnsi="仿宋" w:eastAsia="仿宋" w:cs="仿宋"/>
          <w:color w:val="auto"/>
          <w:highlight w:val="none"/>
          <w:lang w:eastAsia="zh-CN"/>
        </w:rPr>
        <w:t>政府采购办监管办公室</w:t>
      </w:r>
    </w:p>
    <w:p w14:paraId="31A1CCD2">
      <w:pPr>
        <w:jc w:val="right"/>
        <w:rPr>
          <w:rFonts w:ascii="仿宋" w:hAnsi="仿宋" w:eastAsia="仿宋" w:cs="仿宋"/>
          <w:color w:val="auto"/>
          <w:sz w:val="32"/>
          <w:szCs w:val="32"/>
          <w:highlight w:val="none"/>
          <w:lang w:eastAsia="zh-CN"/>
        </w:rPr>
      </w:pPr>
    </w:p>
    <w:p w14:paraId="59C3A8DF">
      <w:pPr>
        <w:spacing w:line="540" w:lineRule="exact"/>
        <w:jc w:val="center"/>
        <w:rPr>
          <w:rFonts w:ascii="仿宋" w:hAnsi="仿宋" w:eastAsia="仿宋" w:cs="仿宋"/>
          <w:b/>
          <w:bCs/>
          <w:color w:val="auto"/>
          <w:sz w:val="44"/>
          <w:szCs w:val="44"/>
          <w:highlight w:val="none"/>
          <w:lang w:eastAsia="zh-CN"/>
        </w:rPr>
      </w:pPr>
    </w:p>
    <w:p w14:paraId="3284956C">
      <w:pPr>
        <w:spacing w:line="540" w:lineRule="exact"/>
        <w:jc w:val="center"/>
        <w:rPr>
          <w:rFonts w:ascii="仿宋" w:hAnsi="仿宋" w:eastAsia="仿宋" w:cs="仿宋"/>
          <w:b/>
          <w:bCs/>
          <w:color w:val="auto"/>
          <w:sz w:val="44"/>
          <w:szCs w:val="44"/>
          <w:highlight w:val="none"/>
          <w:lang w:eastAsia="zh-CN"/>
        </w:rPr>
      </w:pPr>
    </w:p>
    <w:p w14:paraId="2954FCA5">
      <w:pPr>
        <w:spacing w:line="540" w:lineRule="exact"/>
        <w:jc w:val="center"/>
        <w:rPr>
          <w:rFonts w:ascii="仿宋" w:hAnsi="仿宋" w:eastAsia="仿宋" w:cs="仿宋"/>
          <w:b/>
          <w:bCs/>
          <w:color w:val="auto"/>
          <w:sz w:val="44"/>
          <w:szCs w:val="44"/>
          <w:highlight w:val="none"/>
          <w:lang w:eastAsia="zh-CN"/>
        </w:rPr>
      </w:pPr>
    </w:p>
    <w:p w14:paraId="6D2ED7AE">
      <w:pPr>
        <w:spacing w:line="540" w:lineRule="exact"/>
        <w:jc w:val="center"/>
        <w:rPr>
          <w:rFonts w:ascii="仿宋" w:hAnsi="仿宋" w:eastAsia="仿宋" w:cs="仿宋"/>
          <w:b/>
          <w:bCs/>
          <w:color w:val="auto"/>
          <w:sz w:val="44"/>
          <w:szCs w:val="44"/>
          <w:highlight w:val="none"/>
          <w:lang w:eastAsia="zh-CN"/>
        </w:rPr>
      </w:pPr>
    </w:p>
    <w:p w14:paraId="0F8E0641">
      <w:pPr>
        <w:spacing w:line="540" w:lineRule="exact"/>
        <w:jc w:val="center"/>
        <w:rPr>
          <w:rFonts w:ascii="仿宋" w:hAnsi="仿宋" w:eastAsia="仿宋" w:cs="仿宋"/>
          <w:b/>
          <w:bCs/>
          <w:color w:val="auto"/>
          <w:sz w:val="44"/>
          <w:szCs w:val="44"/>
          <w:highlight w:val="none"/>
          <w:lang w:eastAsia="zh-CN"/>
        </w:rPr>
      </w:pPr>
    </w:p>
    <w:p w14:paraId="1AFD1FB4">
      <w:pPr>
        <w:spacing w:line="540" w:lineRule="exact"/>
        <w:jc w:val="center"/>
        <w:rPr>
          <w:rFonts w:ascii="仿宋" w:hAnsi="仿宋" w:eastAsia="仿宋" w:cs="仿宋"/>
          <w:b/>
          <w:bCs/>
          <w:color w:val="auto"/>
          <w:sz w:val="44"/>
          <w:szCs w:val="44"/>
          <w:highlight w:val="none"/>
          <w:lang w:eastAsia="zh-CN"/>
        </w:rPr>
      </w:pPr>
    </w:p>
    <w:p w14:paraId="7AEAA93A">
      <w:pPr>
        <w:spacing w:line="540" w:lineRule="exact"/>
        <w:jc w:val="center"/>
        <w:rPr>
          <w:rFonts w:ascii="仿宋" w:hAnsi="仿宋" w:eastAsia="仿宋" w:cs="仿宋"/>
          <w:b/>
          <w:bCs/>
          <w:color w:val="auto"/>
          <w:sz w:val="44"/>
          <w:szCs w:val="44"/>
          <w:highlight w:val="none"/>
          <w:lang w:eastAsia="zh-CN"/>
        </w:rPr>
      </w:pPr>
    </w:p>
    <w:p w14:paraId="2D8DE183">
      <w:pPr>
        <w:spacing w:line="540" w:lineRule="exact"/>
        <w:jc w:val="center"/>
        <w:rPr>
          <w:rFonts w:ascii="仿宋" w:hAnsi="仿宋" w:eastAsia="仿宋" w:cs="仿宋"/>
          <w:b/>
          <w:bCs/>
          <w:color w:val="auto"/>
          <w:sz w:val="44"/>
          <w:szCs w:val="44"/>
          <w:highlight w:val="none"/>
          <w:lang w:eastAsia="zh-CN"/>
        </w:rPr>
      </w:pPr>
    </w:p>
    <w:p w14:paraId="30696A84">
      <w:pPr>
        <w:spacing w:line="540" w:lineRule="exact"/>
        <w:jc w:val="center"/>
        <w:rPr>
          <w:rFonts w:ascii="仿宋" w:hAnsi="仿宋" w:eastAsia="仿宋" w:cs="仿宋"/>
          <w:b/>
          <w:bCs/>
          <w:color w:val="auto"/>
          <w:sz w:val="44"/>
          <w:szCs w:val="44"/>
          <w:highlight w:val="none"/>
          <w:lang w:eastAsia="zh-CN"/>
        </w:rPr>
      </w:pPr>
    </w:p>
    <w:p w14:paraId="206A30B8">
      <w:pPr>
        <w:spacing w:line="540" w:lineRule="exact"/>
        <w:jc w:val="center"/>
        <w:rPr>
          <w:rFonts w:ascii="仿宋" w:hAnsi="仿宋" w:eastAsia="仿宋" w:cs="仿宋"/>
          <w:b/>
          <w:bCs/>
          <w:color w:val="auto"/>
          <w:sz w:val="44"/>
          <w:szCs w:val="44"/>
          <w:highlight w:val="none"/>
          <w:lang w:eastAsia="zh-CN"/>
        </w:rPr>
      </w:pPr>
    </w:p>
    <w:p w14:paraId="2CB62FCD">
      <w:pPr>
        <w:spacing w:line="540" w:lineRule="exact"/>
        <w:jc w:val="center"/>
        <w:outlineLvl w:val="0"/>
        <w:rPr>
          <w:rFonts w:hint="eastAsia" w:ascii="仿宋" w:hAnsi="仿宋" w:eastAsia="仿宋" w:cs="仿宋"/>
          <w:b/>
          <w:bCs/>
          <w:color w:val="auto"/>
          <w:sz w:val="32"/>
          <w:szCs w:val="32"/>
          <w:highlight w:val="none"/>
          <w:lang w:eastAsia="zh-CN"/>
        </w:rPr>
      </w:pPr>
      <w:bookmarkStart w:id="29" w:name="_Toc1697"/>
    </w:p>
    <w:p w14:paraId="21C7770F">
      <w:pPr>
        <w:spacing w:line="540" w:lineRule="exact"/>
        <w:jc w:val="center"/>
        <w:outlineLvl w:val="0"/>
        <w:rPr>
          <w:rFonts w:hint="eastAsia" w:ascii="仿宋" w:hAnsi="仿宋" w:eastAsia="仿宋" w:cs="仿宋"/>
          <w:b/>
          <w:bCs/>
          <w:color w:val="auto"/>
          <w:sz w:val="32"/>
          <w:szCs w:val="32"/>
          <w:highlight w:val="none"/>
          <w:lang w:eastAsia="zh-CN"/>
        </w:rPr>
      </w:pPr>
    </w:p>
    <w:p w14:paraId="23B75B6C">
      <w:pPr>
        <w:spacing w:line="540" w:lineRule="exact"/>
        <w:jc w:val="center"/>
        <w:outlineLvl w:val="0"/>
        <w:rPr>
          <w:rFonts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lang w:eastAsia="zh-CN"/>
        </w:rPr>
        <w:t>质疑函范本</w:t>
      </w:r>
      <w:bookmarkEnd w:id="29"/>
    </w:p>
    <w:p w14:paraId="27ACD03F">
      <w:pPr>
        <w:adjustRightInd w:val="0"/>
        <w:snapToGrid w:val="0"/>
        <w:spacing w:beforeLines="100" w:line="540" w:lineRule="exact"/>
        <w:ind w:firstLine="486" w:firstLineChars="200"/>
        <w:outlineLvl w:val="0"/>
        <w:rPr>
          <w:rFonts w:ascii="仿宋" w:hAnsi="仿宋" w:eastAsia="仿宋" w:cs="仿宋"/>
          <w:bCs/>
          <w:color w:val="auto"/>
          <w:highlight w:val="none"/>
          <w:lang w:eastAsia="zh-CN"/>
        </w:rPr>
      </w:pPr>
      <w:bookmarkStart w:id="30" w:name="_Toc9061"/>
      <w:r>
        <w:rPr>
          <w:rFonts w:hint="eastAsia" w:ascii="仿宋" w:hAnsi="仿宋" w:eastAsia="仿宋" w:cs="仿宋"/>
          <w:bCs/>
          <w:color w:val="auto"/>
          <w:highlight w:val="none"/>
          <w:lang w:eastAsia="zh-CN"/>
        </w:rPr>
        <w:t>一、质疑供应商基本信息</w:t>
      </w:r>
      <w:bookmarkEnd w:id="30"/>
    </w:p>
    <w:p w14:paraId="5164A39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质疑供应商：</w:t>
      </w:r>
      <w:r>
        <w:rPr>
          <w:rFonts w:hint="eastAsia" w:ascii="仿宋" w:hAnsi="仿宋" w:eastAsia="仿宋" w:cs="仿宋"/>
          <w:color w:val="auto"/>
          <w:highlight w:val="none"/>
          <w:u w:val="dotted"/>
          <w:lang w:eastAsia="zh-CN"/>
        </w:rPr>
        <w:t xml:space="preserve">                         </w:t>
      </w:r>
    </w:p>
    <w:p w14:paraId="1E5F8FE5">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30C52DB5">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联系人：</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2FD9836F">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授权代表：</w:t>
      </w:r>
      <w:r>
        <w:rPr>
          <w:rFonts w:hint="eastAsia" w:ascii="仿宋" w:hAnsi="仿宋" w:eastAsia="仿宋" w:cs="仿宋"/>
          <w:color w:val="auto"/>
          <w:highlight w:val="none"/>
          <w:u w:val="dotted"/>
          <w:lang w:eastAsia="zh-CN"/>
        </w:rPr>
        <w:t xml:space="preserve">                                          </w:t>
      </w:r>
    </w:p>
    <w:p w14:paraId="5AFF0243">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联系电话：</w:t>
      </w:r>
      <w:r>
        <w:rPr>
          <w:rFonts w:hint="eastAsia" w:ascii="仿宋" w:hAnsi="仿宋" w:eastAsia="仿宋" w:cs="仿宋"/>
          <w:color w:val="auto"/>
          <w:highlight w:val="none"/>
          <w:u w:val="dotted"/>
          <w:lang w:eastAsia="zh-CN"/>
        </w:rPr>
        <w:t xml:space="preserve">                                          </w:t>
      </w:r>
    </w:p>
    <w:p w14:paraId="64502826">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地址： </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邮编：</w:t>
      </w:r>
      <w:r>
        <w:rPr>
          <w:rFonts w:hint="eastAsia" w:ascii="仿宋" w:hAnsi="仿宋" w:eastAsia="仿宋" w:cs="仿宋"/>
          <w:color w:val="auto"/>
          <w:highlight w:val="none"/>
          <w:u w:val="dotted"/>
          <w:lang w:eastAsia="zh-CN"/>
        </w:rPr>
        <w:t xml:space="preserve">               </w:t>
      </w:r>
    </w:p>
    <w:p w14:paraId="6998E770">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1" w:name="_Toc15938"/>
      <w:r>
        <w:rPr>
          <w:rFonts w:hint="eastAsia" w:ascii="仿宋" w:hAnsi="仿宋" w:eastAsia="仿宋" w:cs="仿宋"/>
          <w:bCs/>
          <w:color w:val="auto"/>
          <w:highlight w:val="none"/>
          <w:lang w:eastAsia="zh-CN"/>
        </w:rPr>
        <w:t>二、质疑项目基本情况</w:t>
      </w:r>
      <w:bookmarkEnd w:id="31"/>
    </w:p>
    <w:p w14:paraId="201FD057">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质疑项目的名称：</w:t>
      </w:r>
      <w:r>
        <w:rPr>
          <w:rFonts w:hint="eastAsia" w:ascii="仿宋" w:hAnsi="仿宋" w:eastAsia="仿宋" w:cs="仿宋"/>
          <w:color w:val="auto"/>
          <w:highlight w:val="none"/>
          <w:u w:val="dotted"/>
          <w:lang w:eastAsia="zh-CN"/>
        </w:rPr>
        <w:t xml:space="preserve">                                     </w:t>
      </w:r>
    </w:p>
    <w:p w14:paraId="6B1123DA">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质疑项目的编号：</w:t>
      </w:r>
      <w:r>
        <w:rPr>
          <w:rFonts w:hint="eastAsia" w:ascii="仿宋" w:hAnsi="仿宋" w:eastAsia="仿宋" w:cs="仿宋"/>
          <w:color w:val="auto"/>
          <w:highlight w:val="none"/>
          <w:u w:val="dotted"/>
          <w:lang w:eastAsia="zh-CN"/>
        </w:rPr>
        <w:t xml:space="preserve">               </w:t>
      </w:r>
      <w:r>
        <w:rPr>
          <w:rFonts w:hint="eastAsia" w:ascii="仿宋" w:hAnsi="仿宋" w:eastAsia="仿宋" w:cs="仿宋"/>
          <w:color w:val="auto"/>
          <w:highlight w:val="none"/>
          <w:lang w:eastAsia="zh-CN"/>
        </w:rPr>
        <w:t>包号：</w:t>
      </w:r>
      <w:r>
        <w:rPr>
          <w:rFonts w:hint="eastAsia" w:ascii="仿宋" w:hAnsi="仿宋" w:eastAsia="仿宋" w:cs="仿宋"/>
          <w:color w:val="auto"/>
          <w:highlight w:val="none"/>
          <w:u w:val="dotted"/>
          <w:lang w:eastAsia="zh-CN"/>
        </w:rPr>
        <w:t xml:space="preserve">                </w:t>
      </w:r>
    </w:p>
    <w:p w14:paraId="63A9D02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采购人名称：</w:t>
      </w:r>
      <w:r>
        <w:rPr>
          <w:rFonts w:hint="eastAsia" w:ascii="仿宋" w:hAnsi="仿宋" w:eastAsia="仿宋" w:cs="仿宋"/>
          <w:color w:val="auto"/>
          <w:highlight w:val="none"/>
          <w:u w:val="dotted"/>
          <w:lang w:eastAsia="zh-CN"/>
        </w:rPr>
        <w:t xml:space="preserve">                                         </w:t>
      </w:r>
    </w:p>
    <w:p w14:paraId="19938A14">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采购文件获取日期：</w:t>
      </w:r>
      <w:r>
        <w:rPr>
          <w:rFonts w:hint="eastAsia" w:ascii="仿宋" w:hAnsi="仿宋" w:eastAsia="仿宋" w:cs="仿宋"/>
          <w:color w:val="auto"/>
          <w:highlight w:val="none"/>
          <w:u w:val="dotted"/>
          <w:lang w:eastAsia="zh-CN"/>
        </w:rPr>
        <w:t xml:space="preserve">                                   </w:t>
      </w:r>
    </w:p>
    <w:p w14:paraId="61750B65">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2" w:name="_Toc18271"/>
      <w:r>
        <w:rPr>
          <w:rFonts w:hint="eastAsia" w:ascii="仿宋" w:hAnsi="仿宋" w:eastAsia="仿宋" w:cs="仿宋"/>
          <w:bCs/>
          <w:color w:val="auto"/>
          <w:highlight w:val="none"/>
          <w:lang w:eastAsia="zh-CN"/>
        </w:rPr>
        <w:t>三、质疑事项具体内容</w:t>
      </w:r>
      <w:bookmarkEnd w:id="32"/>
    </w:p>
    <w:p w14:paraId="5B39EF38">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质疑事项1：</w:t>
      </w:r>
      <w:r>
        <w:rPr>
          <w:rFonts w:hint="eastAsia" w:ascii="仿宋" w:hAnsi="仿宋" w:eastAsia="仿宋" w:cs="仿宋"/>
          <w:color w:val="auto"/>
          <w:highlight w:val="none"/>
          <w:u w:val="dotted"/>
          <w:lang w:eastAsia="zh-CN"/>
        </w:rPr>
        <w:t xml:space="preserve">                                         </w:t>
      </w:r>
    </w:p>
    <w:p w14:paraId="2A45ADF1">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事实依据：</w:t>
      </w:r>
      <w:r>
        <w:rPr>
          <w:rFonts w:hint="eastAsia" w:ascii="仿宋" w:hAnsi="仿宋" w:eastAsia="仿宋" w:cs="仿宋"/>
          <w:color w:val="auto"/>
          <w:highlight w:val="none"/>
          <w:u w:val="dotted"/>
          <w:lang w:eastAsia="zh-CN"/>
        </w:rPr>
        <w:t xml:space="preserve">                                           </w:t>
      </w:r>
    </w:p>
    <w:p w14:paraId="7FCDF2B4">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法律依据：</w:t>
      </w:r>
      <w:r>
        <w:rPr>
          <w:rFonts w:hint="eastAsia" w:ascii="仿宋" w:hAnsi="仿宋" w:eastAsia="仿宋" w:cs="仿宋"/>
          <w:color w:val="auto"/>
          <w:highlight w:val="none"/>
          <w:u w:val="dotted"/>
          <w:lang w:eastAsia="zh-CN"/>
        </w:rPr>
        <w:t xml:space="preserve">                                           </w:t>
      </w:r>
    </w:p>
    <w:p w14:paraId="60E0837D">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质疑事项2</w:t>
      </w:r>
    </w:p>
    <w:p w14:paraId="03CE412D">
      <w:pPr>
        <w:adjustRightInd w:val="0"/>
        <w:snapToGrid w:val="0"/>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4559E0E4">
      <w:pPr>
        <w:adjustRightInd w:val="0"/>
        <w:snapToGrid w:val="0"/>
        <w:spacing w:line="540" w:lineRule="exact"/>
        <w:ind w:firstLine="486" w:firstLineChars="200"/>
        <w:outlineLvl w:val="0"/>
        <w:rPr>
          <w:rFonts w:ascii="仿宋" w:hAnsi="仿宋" w:eastAsia="仿宋" w:cs="仿宋"/>
          <w:bCs/>
          <w:color w:val="auto"/>
          <w:highlight w:val="none"/>
          <w:lang w:eastAsia="zh-CN"/>
        </w:rPr>
      </w:pPr>
      <w:bookmarkStart w:id="33" w:name="_Toc22365"/>
      <w:r>
        <w:rPr>
          <w:rFonts w:hint="eastAsia" w:ascii="仿宋" w:hAnsi="仿宋" w:eastAsia="仿宋" w:cs="仿宋"/>
          <w:bCs/>
          <w:color w:val="auto"/>
          <w:highlight w:val="none"/>
          <w:lang w:eastAsia="zh-CN"/>
        </w:rPr>
        <w:t>四、与质疑事项相关的质疑请求</w:t>
      </w:r>
      <w:bookmarkEnd w:id="33"/>
    </w:p>
    <w:p w14:paraId="2CE8380A">
      <w:pPr>
        <w:adjustRightInd w:val="0"/>
        <w:snapToGrid w:val="0"/>
        <w:spacing w:line="540" w:lineRule="exact"/>
        <w:ind w:firstLine="486" w:firstLineChars="200"/>
        <w:rPr>
          <w:rFonts w:ascii="仿宋" w:hAnsi="仿宋" w:eastAsia="仿宋" w:cs="仿宋"/>
          <w:color w:val="auto"/>
          <w:highlight w:val="none"/>
          <w:u w:val="dotted"/>
          <w:lang w:eastAsia="zh-CN"/>
        </w:rPr>
      </w:pPr>
      <w:r>
        <w:rPr>
          <w:rFonts w:hint="eastAsia" w:ascii="仿宋" w:hAnsi="仿宋" w:eastAsia="仿宋" w:cs="仿宋"/>
          <w:color w:val="auto"/>
          <w:highlight w:val="none"/>
          <w:lang w:eastAsia="zh-CN"/>
        </w:rPr>
        <w:t>请求：</w:t>
      </w:r>
      <w:r>
        <w:rPr>
          <w:rFonts w:hint="eastAsia" w:ascii="仿宋" w:hAnsi="仿宋" w:eastAsia="仿宋" w:cs="仿宋"/>
          <w:color w:val="auto"/>
          <w:highlight w:val="none"/>
          <w:u w:val="dotted"/>
          <w:lang w:eastAsia="zh-CN"/>
        </w:rPr>
        <w:t xml:space="preserve">                                               </w:t>
      </w:r>
    </w:p>
    <w:p w14:paraId="6102294E">
      <w:pPr>
        <w:spacing w:line="5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签章(签章)：                   公章：                      </w:t>
      </w:r>
    </w:p>
    <w:p w14:paraId="23FD5EA8">
      <w:pPr>
        <w:spacing w:line="540" w:lineRule="exact"/>
        <w:ind w:firstLine="486" w:firstLineChars="200"/>
        <w:rPr>
          <w:rFonts w:ascii="仿宋" w:hAnsi="仿宋" w:eastAsia="仿宋" w:cs="仿宋"/>
          <w:b/>
          <w:bCs/>
          <w:color w:val="auto"/>
          <w:highlight w:val="none"/>
          <w:lang w:eastAsia="zh-CN"/>
        </w:rPr>
      </w:pPr>
      <w:r>
        <w:rPr>
          <w:rFonts w:hint="eastAsia" w:ascii="仿宋" w:hAnsi="仿宋" w:eastAsia="仿宋" w:cs="仿宋"/>
          <w:color w:val="auto"/>
          <w:highlight w:val="none"/>
          <w:lang w:eastAsia="zh-CN"/>
        </w:rPr>
        <w:t xml:space="preserve">日期：    </w:t>
      </w:r>
    </w:p>
    <w:p w14:paraId="3DB25C28">
      <w:pPr>
        <w:spacing w:line="540" w:lineRule="exact"/>
        <w:ind w:firstLine="426" w:firstLineChars="200"/>
        <w:rPr>
          <w:rFonts w:ascii="仿宋" w:hAnsi="仿宋" w:eastAsia="仿宋" w:cs="仿宋"/>
          <w:b/>
          <w:bCs/>
          <w:color w:val="auto"/>
          <w:sz w:val="21"/>
          <w:szCs w:val="21"/>
          <w:highlight w:val="none"/>
          <w:lang w:eastAsia="zh-CN"/>
        </w:rPr>
      </w:pPr>
    </w:p>
    <w:p w14:paraId="60B9EF53">
      <w:pPr>
        <w:pageBreakBefore/>
        <w:spacing w:line="440" w:lineRule="exact"/>
        <w:jc w:val="center"/>
        <w:outlineLvl w:val="0"/>
        <w:rPr>
          <w:rFonts w:ascii="仿宋" w:hAnsi="仿宋" w:eastAsia="仿宋" w:cs="仿宋"/>
          <w:b/>
          <w:bCs/>
          <w:color w:val="auto"/>
          <w:sz w:val="30"/>
          <w:szCs w:val="30"/>
          <w:highlight w:val="none"/>
          <w:lang w:eastAsia="zh-CN"/>
        </w:rPr>
      </w:pPr>
      <w:bookmarkStart w:id="34" w:name="_Toc469495731"/>
      <w:r>
        <w:rPr>
          <w:rFonts w:hint="eastAsia" w:ascii="仿宋" w:hAnsi="仿宋" w:eastAsia="仿宋" w:cs="仿宋"/>
          <w:b/>
          <w:bCs/>
          <w:color w:val="auto"/>
          <w:sz w:val="30"/>
          <w:szCs w:val="30"/>
          <w:highlight w:val="none"/>
          <w:lang w:eastAsia="zh-CN"/>
        </w:rPr>
        <w:t>第三部分  评标办法</w:t>
      </w:r>
      <w:bookmarkEnd w:id="34"/>
    </w:p>
    <w:p w14:paraId="2A5C3E5A">
      <w:pPr>
        <w:jc w:val="center"/>
        <w:outlineLvl w:val="1"/>
        <w:rPr>
          <w:rFonts w:ascii="仿宋" w:hAnsi="仿宋" w:eastAsia="仿宋" w:cs="仿宋"/>
          <w:b/>
          <w:color w:val="auto"/>
          <w:sz w:val="28"/>
          <w:szCs w:val="28"/>
          <w:highlight w:val="none"/>
          <w:lang w:eastAsia="zh-CN"/>
        </w:rPr>
      </w:pPr>
      <w:bookmarkStart w:id="35" w:name="_Toc469495733"/>
      <w:bookmarkStart w:id="36" w:name="_Toc362983802"/>
      <w:bookmarkStart w:id="37" w:name="_Toc267320058"/>
      <w:bookmarkStart w:id="38" w:name="_Toc363135205"/>
      <w:r>
        <w:rPr>
          <w:rFonts w:hint="eastAsia" w:ascii="仿宋" w:hAnsi="仿宋" w:eastAsia="仿宋" w:cs="仿宋"/>
          <w:b/>
          <w:color w:val="auto"/>
          <w:sz w:val="28"/>
          <w:szCs w:val="28"/>
          <w:highlight w:val="none"/>
          <w:lang w:eastAsia="zh-CN"/>
        </w:rPr>
        <w:t>一  总  则</w:t>
      </w:r>
    </w:p>
    <w:p w14:paraId="269F601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1、一般规定</w:t>
      </w:r>
    </w:p>
    <w:p w14:paraId="6A8C7D37">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1.1本项目的招标按照《中华人民共和国政府采购法》、《政府采购货物和服务招标投标管理办法》及政府采购的有关规定进行。</w:t>
      </w:r>
    </w:p>
    <w:p w14:paraId="65EEC720">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1.2评标必须遵循邀请、公平、公正、诚实信用的原则。</w:t>
      </w:r>
    </w:p>
    <w:p w14:paraId="2B080F70">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1.3招标代理机构组织招标、开标、评标工作，全过程接受政府采购有关部门的监督、管理和指导。</w:t>
      </w:r>
    </w:p>
    <w:p w14:paraId="6DAF6D79">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1.4评标按照招标文件规定的内容进行，采取符合招标文件要求的</w:t>
      </w:r>
      <w:r>
        <w:rPr>
          <w:rFonts w:hint="eastAsia" w:ascii="仿宋" w:hAnsi="仿宋" w:eastAsia="仿宋" w:cs="仿宋"/>
          <w:color w:val="auto"/>
          <w:szCs w:val="21"/>
          <w:highlight w:val="none"/>
          <w:lang w:val="en-US" w:eastAsia="zh-CN"/>
        </w:rPr>
        <w:t>综合评分法</w:t>
      </w:r>
      <w:r>
        <w:rPr>
          <w:rFonts w:hint="eastAsia" w:ascii="仿宋" w:hAnsi="仿宋" w:eastAsia="仿宋" w:cs="仿宋"/>
          <w:color w:val="auto"/>
          <w:szCs w:val="21"/>
          <w:highlight w:val="none"/>
          <w:lang w:eastAsia="zh-CN"/>
        </w:rPr>
        <w:t>；</w:t>
      </w:r>
    </w:p>
    <w:p w14:paraId="4941AFC4">
      <w:pPr>
        <w:keepNext w:val="0"/>
        <w:keepLines w:val="0"/>
        <w:pageBreakBefore w:val="0"/>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1.5本办法的评标对象是指供应商按照招标文件要求提供的有效投标文件，包括供应商应评标委员会要求对原投标文件作出的正式书面澄清文件。</w:t>
      </w:r>
    </w:p>
    <w:p w14:paraId="42B4F95E">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2、评标组织机构的组成</w:t>
      </w:r>
    </w:p>
    <w:p w14:paraId="700BA7F0">
      <w:pPr>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2.1</w:t>
      </w:r>
      <w:r>
        <w:rPr>
          <w:rFonts w:hint="eastAsia" w:ascii="仿宋" w:hAnsi="仿宋" w:eastAsia="仿宋" w:cs="仿宋"/>
          <w:color w:val="auto"/>
          <w:spacing w:val="-2"/>
          <w:highlight w:val="none"/>
          <w:lang w:eastAsia="zh-CN"/>
        </w:rPr>
        <w:t xml:space="preserve"> 评标委员会由采购人代表1人和有关技术、经济等方面的专家4人组成，成员人数为5人。</w:t>
      </w:r>
      <w:r>
        <w:rPr>
          <w:rFonts w:hint="eastAsia" w:ascii="仿宋" w:hAnsi="仿宋" w:eastAsia="仿宋" w:cs="仿宋"/>
          <w:color w:val="auto"/>
          <w:szCs w:val="21"/>
          <w:highlight w:val="none"/>
          <w:lang w:eastAsia="zh-CN" w:bidi="ar-SA"/>
        </w:rPr>
        <w:t>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14:paraId="75D28977">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2.2评标工作组由招标人及有关专家组成，由评标委员会确认，并接受其领导。</w:t>
      </w:r>
    </w:p>
    <w:p w14:paraId="7710D760">
      <w:pPr>
        <w:keepNext w:val="0"/>
        <w:keepLines w:val="0"/>
        <w:pageBreakBefore w:val="0"/>
        <w:tabs>
          <w:tab w:val="left" w:pos="567"/>
          <w:tab w:val="left" w:pos="1145"/>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2.3评标委员会应相对独立工作，负责评标、撰写技术、商务评标报告。采购代理机构负责评标过程中资料的保管、发放、回收，整理、汇总评标资料。</w:t>
      </w:r>
    </w:p>
    <w:p w14:paraId="69C6E69F">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3、评标委员会职责</w:t>
      </w:r>
    </w:p>
    <w:p w14:paraId="46F09BBB">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3.1审查投标文件是否符合招标文件要求，并作出评价；</w:t>
      </w:r>
    </w:p>
    <w:p w14:paraId="18DD52E6">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3.2要求供应商对投标文件有关事项作出解释或者澄清；</w:t>
      </w:r>
    </w:p>
    <w:p w14:paraId="6361995A">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3.3推荐中标候选人名单；</w:t>
      </w:r>
    </w:p>
    <w:p w14:paraId="70196729">
      <w:pPr>
        <w:pStyle w:val="4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619" w:firstLineChars="255"/>
        <w:textAlignment w:val="auto"/>
        <w:rPr>
          <w:rFonts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3.4向招标人、招标代理机构或者有关部门报告非法干预评标工作的行为。</w:t>
      </w:r>
    </w:p>
    <w:p w14:paraId="112FB0C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4、评标委员会义务</w:t>
      </w:r>
    </w:p>
    <w:p w14:paraId="30CBE7F5">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4.1遵纪守法，客观、公正、廉洁地履行职责；</w:t>
      </w:r>
    </w:p>
    <w:p w14:paraId="7BF501B8">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4.2按照招标文件规定的评标方法和评标标准进行评标，对评审意见承担个人责任；</w:t>
      </w:r>
    </w:p>
    <w:p w14:paraId="2FDF2186">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4.3对评标过程和结果，以及供应商的商业秘密保密；</w:t>
      </w:r>
    </w:p>
    <w:p w14:paraId="6906479C">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4.4参与评标报告的起草；</w:t>
      </w:r>
    </w:p>
    <w:p w14:paraId="22ACF526">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4.5配合有关部门的投诉处理工作；</w:t>
      </w:r>
    </w:p>
    <w:p w14:paraId="7288BE47">
      <w:pPr>
        <w:keepNext w:val="0"/>
        <w:keepLines w:val="0"/>
        <w:pageBreakBefore w:val="0"/>
        <w:tabs>
          <w:tab w:val="left" w:pos="567"/>
          <w:tab w:val="left" w:pos="60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4.6配合招标人、招标代理机构答复投标供应商提出的质疑。</w:t>
      </w:r>
    </w:p>
    <w:p w14:paraId="63852C50">
      <w:pPr>
        <w:keepNext w:val="0"/>
        <w:keepLines w:val="0"/>
        <w:pageBreakBefore w:val="0"/>
        <w:tabs>
          <w:tab w:val="left" w:pos="1547"/>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 评标程序</w:t>
      </w:r>
    </w:p>
    <w:p w14:paraId="584A908F">
      <w:pPr>
        <w:pStyle w:val="18"/>
        <w:keepNext w:val="0"/>
        <w:keepLines w:val="0"/>
        <w:pageBreakBefore w:val="0"/>
        <w:tabs>
          <w:tab w:val="left" w:pos="720"/>
          <w:tab w:val="clear" w:pos="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bCs/>
          <w:color w:val="auto"/>
          <w:szCs w:val="21"/>
          <w:highlight w:val="none"/>
          <w:lang w:eastAsia="zh-CN" w:bidi="ar-SA"/>
        </w:rPr>
      </w:pPr>
      <w:r>
        <w:rPr>
          <w:rFonts w:hint="eastAsia" w:ascii="仿宋" w:hAnsi="仿宋" w:eastAsia="仿宋" w:cs="仿宋"/>
          <w:bCs/>
          <w:color w:val="auto"/>
          <w:szCs w:val="21"/>
          <w:highlight w:val="none"/>
          <w:lang w:eastAsia="zh-CN" w:bidi="ar-SA"/>
        </w:rPr>
        <w:t>5.1本次评标首先由评标委员会对供应商的投标文件进行初审，对未能通过初审的投标文件作无效标处理；</w:t>
      </w:r>
    </w:p>
    <w:p w14:paraId="5081D52F">
      <w:pPr>
        <w:keepNext w:val="0"/>
        <w:keepLines w:val="0"/>
        <w:pageBreakBefore w:val="0"/>
        <w:tabs>
          <w:tab w:val="left" w:pos="720"/>
        </w:tabs>
        <w:kinsoku/>
        <w:wordWrap/>
        <w:overflowPunct/>
        <w:topLinePunct w:val="0"/>
        <w:autoSpaceDE/>
        <w:autoSpaceDN/>
        <w:bidi w:val="0"/>
        <w:adjustRightInd/>
        <w:snapToGrid/>
        <w:spacing w:line="420" w:lineRule="exact"/>
        <w:ind w:firstLine="619" w:firstLineChars="255"/>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5.2对通过初审的供应商的投标文件进行详细的比较和评价。如需要，进行必要的澄清工作；</w:t>
      </w:r>
    </w:p>
    <w:p w14:paraId="28C4A47D">
      <w:pPr>
        <w:keepNext w:val="0"/>
        <w:keepLines w:val="0"/>
        <w:pageBreakBefore w:val="0"/>
        <w:widowControl/>
        <w:kinsoku/>
        <w:wordWrap/>
        <w:overflowPunct/>
        <w:topLinePunct w:val="0"/>
        <w:autoSpaceDE/>
        <w:autoSpaceDN/>
        <w:bidi w:val="0"/>
        <w:adjustRightInd/>
        <w:snapToGrid/>
        <w:spacing w:line="420" w:lineRule="exact"/>
        <w:ind w:firstLine="482"/>
        <w:textAlignment w:val="auto"/>
        <w:rPr>
          <w:rFonts w:ascii="仿宋" w:hAnsi="仿宋" w:eastAsia="仿宋" w:cs="仿宋"/>
          <w:b/>
          <w:bCs/>
          <w:color w:val="auto"/>
          <w:sz w:val="36"/>
          <w:szCs w:val="36"/>
          <w:highlight w:val="none"/>
          <w:lang w:eastAsia="zh-CN" w:bidi="ar-SA"/>
        </w:rPr>
      </w:pPr>
      <w:r>
        <w:rPr>
          <w:rFonts w:hint="eastAsia" w:ascii="仿宋" w:hAnsi="仿宋" w:eastAsia="仿宋" w:cs="仿宋"/>
          <w:color w:val="auto"/>
          <w:szCs w:val="21"/>
          <w:highlight w:val="none"/>
          <w:lang w:eastAsia="zh-CN" w:bidi="ar-SA"/>
        </w:rPr>
        <w:t>5.3依据评分标准以及各项权值，各位评委单独就每个供应商的投标文件进行价格、技术、信誉、业绩、服务、对招标文件的响应程度，以及相应的比重或者权值等各项因素进行综合评审后，按最终综合得分由高向低排序，由评标委员会推荐综合得分最高的供应商为第一中标候选人，综合得分第二名的供应商为第二中标候选人，综合得分第三名的供应商为第三中标候选人。</w:t>
      </w:r>
    </w:p>
    <w:p w14:paraId="1903B263">
      <w:pPr>
        <w:jc w:val="center"/>
        <w:outlineLvl w:val="1"/>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二  投标文件初审</w:t>
      </w:r>
      <w:bookmarkEnd w:id="35"/>
      <w:bookmarkEnd w:id="36"/>
    </w:p>
    <w:p w14:paraId="3B9942EC">
      <w:pPr>
        <w:spacing w:line="400" w:lineRule="exact"/>
        <w:ind w:firstLine="356" w:firstLineChars="147"/>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6.资格性审查:</w:t>
      </w:r>
    </w:p>
    <w:p w14:paraId="25867752">
      <w:pPr>
        <w:spacing w:line="400" w:lineRule="exact"/>
        <w:ind w:firstLine="356" w:firstLineChars="147"/>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.1评审细则</w:t>
      </w:r>
    </w:p>
    <w:tbl>
      <w:tblPr>
        <w:tblStyle w:val="22"/>
        <w:tblW w:w="10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495"/>
        <w:gridCol w:w="7662"/>
        <w:gridCol w:w="525"/>
        <w:gridCol w:w="568"/>
      </w:tblGrid>
      <w:tr w14:paraId="4D7A4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36" w:type="dxa"/>
            <w:vMerge w:val="restart"/>
            <w:vAlign w:val="center"/>
          </w:tcPr>
          <w:p w14:paraId="02BDCFC2">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w:t>
            </w:r>
          </w:p>
        </w:tc>
        <w:tc>
          <w:tcPr>
            <w:tcW w:w="8157" w:type="dxa"/>
            <w:gridSpan w:val="2"/>
            <w:vMerge w:val="restart"/>
            <w:vAlign w:val="center"/>
          </w:tcPr>
          <w:p w14:paraId="2FD4608F">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1093" w:type="dxa"/>
            <w:gridSpan w:val="2"/>
            <w:vAlign w:val="center"/>
          </w:tcPr>
          <w:p w14:paraId="4BCA7972">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评审意见</w:t>
            </w:r>
          </w:p>
        </w:tc>
      </w:tr>
      <w:tr w14:paraId="200B0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 w:hRule="atLeast"/>
          <w:jc w:val="center"/>
        </w:trPr>
        <w:tc>
          <w:tcPr>
            <w:tcW w:w="936" w:type="dxa"/>
            <w:vMerge w:val="continue"/>
            <w:vAlign w:val="center"/>
          </w:tcPr>
          <w:p w14:paraId="2F416ABF">
            <w:pPr>
              <w:rPr>
                <w:rFonts w:ascii="仿宋" w:hAnsi="仿宋" w:eastAsia="仿宋" w:cs="仿宋"/>
                <w:color w:val="auto"/>
                <w:sz w:val="18"/>
                <w:szCs w:val="21"/>
                <w:highlight w:val="none"/>
              </w:rPr>
            </w:pPr>
          </w:p>
        </w:tc>
        <w:tc>
          <w:tcPr>
            <w:tcW w:w="8157" w:type="dxa"/>
            <w:gridSpan w:val="2"/>
            <w:vMerge w:val="continue"/>
          </w:tcPr>
          <w:p w14:paraId="4930FB05">
            <w:pPr>
              <w:rPr>
                <w:rFonts w:ascii="仿宋" w:hAnsi="仿宋" w:eastAsia="仿宋" w:cs="仿宋"/>
                <w:color w:val="auto"/>
                <w:sz w:val="18"/>
                <w:szCs w:val="21"/>
                <w:highlight w:val="none"/>
              </w:rPr>
            </w:pPr>
          </w:p>
        </w:tc>
        <w:tc>
          <w:tcPr>
            <w:tcW w:w="525" w:type="dxa"/>
            <w:vAlign w:val="center"/>
          </w:tcPr>
          <w:p w14:paraId="59C1C37C">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是</w:t>
            </w:r>
          </w:p>
        </w:tc>
        <w:tc>
          <w:tcPr>
            <w:tcW w:w="568" w:type="dxa"/>
            <w:vAlign w:val="center"/>
          </w:tcPr>
          <w:p w14:paraId="03BDA764">
            <w:pPr>
              <w:jc w:val="center"/>
              <w:rPr>
                <w:rFonts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否</w:t>
            </w:r>
          </w:p>
        </w:tc>
      </w:tr>
      <w:tr w14:paraId="314C2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936" w:type="dxa"/>
            <w:vMerge w:val="continue"/>
            <w:vAlign w:val="center"/>
          </w:tcPr>
          <w:p w14:paraId="115FE235">
            <w:pPr>
              <w:jc w:val="center"/>
              <w:rPr>
                <w:rFonts w:ascii="仿宋" w:hAnsi="仿宋" w:eastAsia="仿宋" w:cs="仿宋"/>
                <w:color w:val="auto"/>
                <w:szCs w:val="21"/>
                <w:highlight w:val="none"/>
                <w:lang w:eastAsia="zh-CN"/>
              </w:rPr>
            </w:pPr>
          </w:p>
        </w:tc>
        <w:tc>
          <w:tcPr>
            <w:tcW w:w="495" w:type="dxa"/>
            <w:vAlign w:val="center"/>
          </w:tcPr>
          <w:p w14:paraId="2A2AE7E7">
            <w:pPr>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1</w:t>
            </w:r>
          </w:p>
        </w:tc>
        <w:tc>
          <w:tcPr>
            <w:tcW w:w="7662" w:type="dxa"/>
            <w:vAlign w:val="center"/>
          </w:tcPr>
          <w:p w14:paraId="38ABDD69">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（三证合一）营业执照</w:t>
            </w:r>
          </w:p>
        </w:tc>
        <w:tc>
          <w:tcPr>
            <w:tcW w:w="525" w:type="dxa"/>
          </w:tcPr>
          <w:p w14:paraId="5C4A6CB6">
            <w:pPr>
              <w:rPr>
                <w:rFonts w:ascii="仿宋" w:hAnsi="仿宋" w:eastAsia="仿宋" w:cs="仿宋"/>
                <w:color w:val="auto"/>
                <w:szCs w:val="21"/>
                <w:highlight w:val="none"/>
                <w:lang w:eastAsia="zh-CN"/>
              </w:rPr>
            </w:pPr>
          </w:p>
        </w:tc>
        <w:tc>
          <w:tcPr>
            <w:tcW w:w="568" w:type="dxa"/>
          </w:tcPr>
          <w:p w14:paraId="35F9E33C">
            <w:pPr>
              <w:rPr>
                <w:rFonts w:ascii="仿宋" w:hAnsi="仿宋" w:eastAsia="仿宋" w:cs="仿宋"/>
                <w:color w:val="auto"/>
                <w:szCs w:val="21"/>
                <w:highlight w:val="none"/>
                <w:lang w:eastAsia="zh-CN"/>
              </w:rPr>
            </w:pPr>
          </w:p>
        </w:tc>
      </w:tr>
      <w:tr w14:paraId="59FFF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936" w:type="dxa"/>
            <w:vMerge w:val="continue"/>
            <w:vAlign w:val="center"/>
          </w:tcPr>
          <w:p w14:paraId="486C6D03">
            <w:pPr>
              <w:jc w:val="center"/>
              <w:rPr>
                <w:rFonts w:ascii="仿宋" w:hAnsi="仿宋" w:eastAsia="仿宋" w:cs="仿宋"/>
                <w:color w:val="auto"/>
                <w:szCs w:val="21"/>
                <w:highlight w:val="none"/>
                <w:lang w:eastAsia="zh-CN"/>
              </w:rPr>
            </w:pPr>
          </w:p>
        </w:tc>
        <w:tc>
          <w:tcPr>
            <w:tcW w:w="495" w:type="dxa"/>
            <w:vAlign w:val="center"/>
          </w:tcPr>
          <w:p w14:paraId="13025ECC">
            <w:pPr>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7662" w:type="dxa"/>
            <w:vAlign w:val="center"/>
          </w:tcPr>
          <w:p w14:paraId="7F5D1FC2">
            <w:pPr>
              <w:widowControl/>
              <w:textAlignment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法定代表人投标需提供法定代表人资格证明书，委托代理人投标需提供法定代表人授权委托书</w:t>
            </w:r>
          </w:p>
        </w:tc>
        <w:tc>
          <w:tcPr>
            <w:tcW w:w="525" w:type="dxa"/>
          </w:tcPr>
          <w:p w14:paraId="1F7F7CFC">
            <w:pPr>
              <w:rPr>
                <w:rFonts w:ascii="仿宋" w:hAnsi="仿宋" w:eastAsia="仿宋" w:cs="仿宋"/>
                <w:color w:val="auto"/>
                <w:szCs w:val="21"/>
                <w:highlight w:val="none"/>
                <w:lang w:eastAsia="zh-CN"/>
              </w:rPr>
            </w:pPr>
          </w:p>
        </w:tc>
        <w:tc>
          <w:tcPr>
            <w:tcW w:w="568" w:type="dxa"/>
          </w:tcPr>
          <w:p w14:paraId="2801E2AE">
            <w:pPr>
              <w:rPr>
                <w:rFonts w:ascii="仿宋" w:hAnsi="仿宋" w:eastAsia="仿宋" w:cs="仿宋"/>
                <w:color w:val="auto"/>
                <w:szCs w:val="21"/>
                <w:highlight w:val="none"/>
                <w:lang w:eastAsia="zh-CN"/>
              </w:rPr>
            </w:pPr>
          </w:p>
        </w:tc>
      </w:tr>
      <w:tr w14:paraId="0252D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936" w:type="dxa"/>
            <w:vMerge w:val="continue"/>
            <w:vAlign w:val="center"/>
          </w:tcPr>
          <w:p w14:paraId="40939682">
            <w:pPr>
              <w:rPr>
                <w:rFonts w:ascii="仿宋" w:hAnsi="仿宋" w:eastAsia="仿宋" w:cs="仿宋"/>
                <w:color w:val="auto"/>
                <w:highlight w:val="none"/>
                <w:lang w:eastAsia="zh-CN"/>
              </w:rPr>
            </w:pPr>
          </w:p>
        </w:tc>
        <w:tc>
          <w:tcPr>
            <w:tcW w:w="495" w:type="dxa"/>
            <w:vAlign w:val="center"/>
          </w:tcPr>
          <w:p w14:paraId="6F7336CA">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3</w:t>
            </w:r>
          </w:p>
        </w:tc>
        <w:tc>
          <w:tcPr>
            <w:tcW w:w="7662" w:type="dxa"/>
            <w:vAlign w:val="center"/>
          </w:tcPr>
          <w:p w14:paraId="0A3876F0">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投标企业须提供供应商（被授权本单位在职人员）近6个月内任意1个月的有效社保证明；</w:t>
            </w:r>
          </w:p>
        </w:tc>
        <w:tc>
          <w:tcPr>
            <w:tcW w:w="525" w:type="dxa"/>
          </w:tcPr>
          <w:p w14:paraId="150F1E2F">
            <w:pPr>
              <w:rPr>
                <w:rFonts w:ascii="仿宋" w:hAnsi="仿宋" w:eastAsia="仿宋" w:cs="仿宋"/>
                <w:color w:val="auto"/>
                <w:szCs w:val="21"/>
                <w:highlight w:val="none"/>
                <w:lang w:eastAsia="zh-CN"/>
              </w:rPr>
            </w:pPr>
          </w:p>
        </w:tc>
        <w:tc>
          <w:tcPr>
            <w:tcW w:w="568" w:type="dxa"/>
          </w:tcPr>
          <w:p w14:paraId="26DB4739">
            <w:pPr>
              <w:rPr>
                <w:rFonts w:ascii="仿宋" w:hAnsi="仿宋" w:eastAsia="仿宋" w:cs="仿宋"/>
                <w:color w:val="auto"/>
                <w:szCs w:val="21"/>
                <w:highlight w:val="none"/>
                <w:lang w:eastAsia="zh-CN"/>
              </w:rPr>
            </w:pPr>
          </w:p>
        </w:tc>
      </w:tr>
      <w:tr w14:paraId="7B8B0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6" w:type="dxa"/>
            <w:vMerge w:val="continue"/>
            <w:vAlign w:val="center"/>
          </w:tcPr>
          <w:p w14:paraId="48445AF1">
            <w:pPr>
              <w:rPr>
                <w:rFonts w:ascii="仿宋" w:hAnsi="仿宋" w:eastAsia="仿宋" w:cs="仿宋"/>
                <w:color w:val="auto"/>
                <w:highlight w:val="none"/>
                <w:lang w:eastAsia="zh-CN"/>
              </w:rPr>
            </w:pPr>
          </w:p>
        </w:tc>
        <w:tc>
          <w:tcPr>
            <w:tcW w:w="495" w:type="dxa"/>
            <w:vAlign w:val="center"/>
          </w:tcPr>
          <w:p w14:paraId="1D3FBF6F">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7662" w:type="dxa"/>
            <w:vAlign w:val="center"/>
          </w:tcPr>
          <w:p w14:paraId="2CD2DCF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所投产品属于第二类医疗器械的，投标企业</w:t>
            </w:r>
            <w:r>
              <w:rPr>
                <w:rFonts w:hint="eastAsia" w:ascii="仿宋" w:hAnsi="仿宋" w:eastAsia="仿宋" w:cs="仿宋"/>
                <w:color w:val="auto"/>
                <w:highlight w:val="none"/>
                <w:lang w:val="en-US" w:eastAsia="zh-CN"/>
              </w:rPr>
              <w:t>须</w:t>
            </w:r>
            <w:r>
              <w:rPr>
                <w:rFonts w:hint="eastAsia" w:ascii="仿宋" w:hAnsi="仿宋" w:eastAsia="仿宋" w:cs="仿宋"/>
                <w:color w:val="auto"/>
                <w:highlight w:val="none"/>
                <w:lang w:eastAsia="zh-CN"/>
              </w:rPr>
              <w:t>提供有效的行政主管部门颁发的医疗器械经营备案凭证（或医疗器械生产许可证或医疗器械经营许可证）；所投产品属于第三类医疗器械的，</w:t>
            </w:r>
            <w:r>
              <w:rPr>
                <w:rFonts w:hint="eastAsia" w:ascii="仿宋" w:hAnsi="仿宋" w:eastAsia="仿宋" w:cs="仿宋"/>
                <w:color w:val="auto"/>
                <w:highlight w:val="none"/>
                <w:lang w:val="en-US" w:eastAsia="zh-CN"/>
              </w:rPr>
              <w:t>须</w:t>
            </w:r>
            <w:r>
              <w:rPr>
                <w:rFonts w:hint="eastAsia" w:ascii="仿宋" w:hAnsi="仿宋" w:eastAsia="仿宋" w:cs="仿宋"/>
                <w:color w:val="auto"/>
                <w:highlight w:val="none"/>
                <w:lang w:eastAsia="zh-CN"/>
              </w:rPr>
              <w:t>提供有效的行政主管部门颁发的医疗器械生产许可证（或医疗器械经营许可证）。</w:t>
            </w:r>
          </w:p>
        </w:tc>
        <w:tc>
          <w:tcPr>
            <w:tcW w:w="525" w:type="dxa"/>
          </w:tcPr>
          <w:p w14:paraId="18D4795F">
            <w:pPr>
              <w:rPr>
                <w:rFonts w:ascii="仿宋" w:hAnsi="仿宋" w:eastAsia="仿宋" w:cs="仿宋"/>
                <w:color w:val="auto"/>
                <w:szCs w:val="21"/>
                <w:highlight w:val="none"/>
                <w:lang w:eastAsia="zh-CN"/>
              </w:rPr>
            </w:pPr>
          </w:p>
        </w:tc>
        <w:tc>
          <w:tcPr>
            <w:tcW w:w="568" w:type="dxa"/>
          </w:tcPr>
          <w:p w14:paraId="561E20F2">
            <w:pPr>
              <w:rPr>
                <w:rFonts w:ascii="仿宋" w:hAnsi="仿宋" w:eastAsia="仿宋" w:cs="仿宋"/>
                <w:color w:val="auto"/>
                <w:szCs w:val="21"/>
                <w:highlight w:val="none"/>
                <w:lang w:eastAsia="zh-CN"/>
              </w:rPr>
            </w:pPr>
          </w:p>
        </w:tc>
      </w:tr>
      <w:tr w14:paraId="45448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936" w:type="dxa"/>
            <w:vMerge w:val="continue"/>
            <w:vAlign w:val="center"/>
          </w:tcPr>
          <w:p w14:paraId="4A0160F8">
            <w:pPr>
              <w:rPr>
                <w:rFonts w:ascii="仿宋" w:hAnsi="仿宋" w:eastAsia="仿宋" w:cs="仿宋"/>
                <w:color w:val="auto"/>
                <w:highlight w:val="none"/>
                <w:lang w:eastAsia="zh-CN"/>
              </w:rPr>
            </w:pPr>
          </w:p>
        </w:tc>
        <w:tc>
          <w:tcPr>
            <w:tcW w:w="495" w:type="dxa"/>
            <w:vAlign w:val="center"/>
          </w:tcPr>
          <w:p w14:paraId="34DDDDA1">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p>
        </w:tc>
        <w:tc>
          <w:tcPr>
            <w:tcW w:w="7662" w:type="dxa"/>
            <w:vAlign w:val="center"/>
          </w:tcPr>
          <w:p w14:paraId="5819EA6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参加政府采购活动前三年内，在经营活动中没有重大违法记录；未被“信用中国”（www.creditchina.gov.cn）、中国政府采购网（www.ccgp.gov.cn）列入失信被执行人、税收违法黑名单、政府采购严重违法失信行为记录名单。</w:t>
            </w:r>
          </w:p>
        </w:tc>
        <w:tc>
          <w:tcPr>
            <w:tcW w:w="525" w:type="dxa"/>
          </w:tcPr>
          <w:p w14:paraId="046611C7">
            <w:pPr>
              <w:rPr>
                <w:rFonts w:ascii="仿宋" w:hAnsi="仿宋" w:eastAsia="仿宋" w:cs="仿宋"/>
                <w:color w:val="auto"/>
                <w:szCs w:val="21"/>
                <w:highlight w:val="none"/>
                <w:lang w:eastAsia="zh-CN"/>
              </w:rPr>
            </w:pPr>
          </w:p>
        </w:tc>
        <w:tc>
          <w:tcPr>
            <w:tcW w:w="568" w:type="dxa"/>
          </w:tcPr>
          <w:p w14:paraId="547561AD">
            <w:pPr>
              <w:rPr>
                <w:rFonts w:ascii="仿宋" w:hAnsi="仿宋" w:eastAsia="仿宋" w:cs="仿宋"/>
                <w:color w:val="auto"/>
                <w:szCs w:val="21"/>
                <w:highlight w:val="none"/>
                <w:lang w:eastAsia="zh-CN"/>
              </w:rPr>
            </w:pPr>
          </w:p>
        </w:tc>
      </w:tr>
      <w:tr w14:paraId="57529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936" w:type="dxa"/>
            <w:vMerge w:val="continue"/>
            <w:vAlign w:val="center"/>
          </w:tcPr>
          <w:p w14:paraId="458A1573">
            <w:pPr>
              <w:rPr>
                <w:rFonts w:ascii="仿宋" w:hAnsi="仿宋" w:eastAsia="仿宋" w:cs="仿宋"/>
                <w:color w:val="auto"/>
                <w:highlight w:val="none"/>
                <w:lang w:eastAsia="zh-CN"/>
              </w:rPr>
            </w:pPr>
          </w:p>
        </w:tc>
        <w:tc>
          <w:tcPr>
            <w:tcW w:w="495" w:type="dxa"/>
            <w:vAlign w:val="center"/>
          </w:tcPr>
          <w:p w14:paraId="18A56148">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6</w:t>
            </w:r>
          </w:p>
        </w:tc>
        <w:tc>
          <w:tcPr>
            <w:tcW w:w="7662" w:type="dxa"/>
            <w:vAlign w:val="center"/>
          </w:tcPr>
          <w:p w14:paraId="39617A5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投标保证金缴纳凭证或投标担保函</w:t>
            </w:r>
          </w:p>
        </w:tc>
        <w:tc>
          <w:tcPr>
            <w:tcW w:w="525" w:type="dxa"/>
          </w:tcPr>
          <w:p w14:paraId="02CDA562">
            <w:pPr>
              <w:rPr>
                <w:rFonts w:ascii="仿宋" w:hAnsi="仿宋" w:eastAsia="仿宋" w:cs="仿宋"/>
                <w:color w:val="auto"/>
                <w:szCs w:val="21"/>
                <w:highlight w:val="none"/>
                <w:lang w:eastAsia="zh-CN"/>
              </w:rPr>
            </w:pPr>
          </w:p>
        </w:tc>
        <w:tc>
          <w:tcPr>
            <w:tcW w:w="568" w:type="dxa"/>
          </w:tcPr>
          <w:p w14:paraId="3F278D52">
            <w:pPr>
              <w:rPr>
                <w:rFonts w:ascii="仿宋" w:hAnsi="仿宋" w:eastAsia="仿宋" w:cs="仿宋"/>
                <w:color w:val="auto"/>
                <w:szCs w:val="21"/>
                <w:highlight w:val="none"/>
                <w:lang w:eastAsia="zh-CN"/>
              </w:rPr>
            </w:pPr>
          </w:p>
        </w:tc>
      </w:tr>
      <w:tr w14:paraId="38BFB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936" w:type="dxa"/>
            <w:vMerge w:val="continue"/>
            <w:vAlign w:val="center"/>
          </w:tcPr>
          <w:p w14:paraId="305ED223">
            <w:pPr>
              <w:jc w:val="center"/>
              <w:rPr>
                <w:rFonts w:ascii="仿宋" w:hAnsi="仿宋" w:eastAsia="仿宋" w:cs="仿宋"/>
                <w:color w:val="auto"/>
                <w:szCs w:val="21"/>
                <w:highlight w:val="none"/>
                <w:lang w:eastAsia="zh-CN"/>
              </w:rPr>
            </w:pPr>
          </w:p>
        </w:tc>
        <w:tc>
          <w:tcPr>
            <w:tcW w:w="495" w:type="dxa"/>
          </w:tcPr>
          <w:p w14:paraId="724502C4">
            <w:pPr>
              <w:spacing w:line="440" w:lineRule="exact"/>
              <w:rPr>
                <w:rFonts w:ascii="仿宋" w:hAnsi="仿宋" w:eastAsia="仿宋" w:cs="仿宋"/>
                <w:color w:val="auto"/>
                <w:szCs w:val="21"/>
                <w:highlight w:val="none"/>
                <w:lang w:eastAsia="zh-CN"/>
              </w:rPr>
            </w:pPr>
          </w:p>
        </w:tc>
        <w:tc>
          <w:tcPr>
            <w:tcW w:w="7662" w:type="dxa"/>
          </w:tcPr>
          <w:p w14:paraId="546A4373">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1242EFE8">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093" w:type="dxa"/>
            <w:gridSpan w:val="2"/>
          </w:tcPr>
          <w:p w14:paraId="0FA40F97">
            <w:pPr>
              <w:rPr>
                <w:rFonts w:ascii="仿宋" w:hAnsi="仿宋" w:eastAsia="仿宋" w:cs="仿宋"/>
                <w:color w:val="auto"/>
                <w:szCs w:val="21"/>
                <w:highlight w:val="none"/>
                <w:lang w:eastAsia="zh-CN"/>
              </w:rPr>
            </w:pPr>
          </w:p>
        </w:tc>
      </w:tr>
    </w:tbl>
    <w:p w14:paraId="44AAE91D">
      <w:pPr>
        <w:spacing w:line="400" w:lineRule="exact"/>
        <w:ind w:firstLine="585" w:firstLineChars="241"/>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6.2如评标专家在检验电子标书过程中，如果由于供应商自身原因导致评标专家无法查看并检验电子标书中以上相关资料的，否决其投标。即使投标单位将原件携带至现场的，同样按无效投标处理。</w:t>
      </w:r>
    </w:p>
    <w:p w14:paraId="76D31690">
      <w:pPr>
        <w:spacing w:beforeLines="50" w:line="440" w:lineRule="exact"/>
        <w:ind w:firstLine="356" w:firstLineChars="147"/>
        <w:rPr>
          <w:rFonts w:ascii="仿宋" w:hAnsi="仿宋" w:eastAsia="仿宋" w:cs="仿宋"/>
          <w:b/>
          <w:color w:val="auto"/>
          <w:szCs w:val="21"/>
          <w:highlight w:val="none"/>
        </w:rPr>
      </w:pPr>
      <w:r>
        <w:rPr>
          <w:rFonts w:hint="eastAsia" w:ascii="仿宋" w:hAnsi="仿宋" w:eastAsia="仿宋" w:cs="仿宋"/>
          <w:b/>
          <w:color w:val="auto"/>
          <w:szCs w:val="21"/>
          <w:highlight w:val="none"/>
          <w:lang w:eastAsia="zh-CN"/>
        </w:rPr>
        <w:t>7</w:t>
      </w:r>
      <w:r>
        <w:rPr>
          <w:rFonts w:hint="eastAsia" w:ascii="仿宋" w:hAnsi="仿宋" w:eastAsia="仿宋" w:cs="仿宋"/>
          <w:b/>
          <w:color w:val="auto"/>
          <w:szCs w:val="21"/>
          <w:highlight w:val="none"/>
        </w:rPr>
        <w:t>.符合性审查</w:t>
      </w:r>
    </w:p>
    <w:p w14:paraId="2E751585">
      <w:pPr>
        <w:spacing w:line="440" w:lineRule="exact"/>
        <w:ind w:firstLine="364" w:firstLineChars="150"/>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．1评审细则</w:t>
      </w:r>
    </w:p>
    <w:tbl>
      <w:tblPr>
        <w:tblStyle w:val="22"/>
        <w:tblpPr w:leftFromText="180" w:rightFromText="180" w:vertAnchor="text" w:horzAnchor="page" w:tblpX="1293" w:tblpY="544"/>
        <w:tblW w:w="94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094"/>
        <w:gridCol w:w="597"/>
        <w:gridCol w:w="6378"/>
        <w:gridCol w:w="749"/>
        <w:gridCol w:w="617"/>
      </w:tblGrid>
      <w:tr w14:paraId="6B2BB5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0" w:hRule="atLeast"/>
        </w:trPr>
        <w:tc>
          <w:tcPr>
            <w:tcW w:w="1094" w:type="dxa"/>
            <w:vMerge w:val="restart"/>
            <w:tcBorders>
              <w:top w:val="single" w:color="auto" w:sz="4" w:space="0"/>
              <w:left w:val="single" w:color="auto" w:sz="4" w:space="0"/>
            </w:tcBorders>
            <w:vAlign w:val="center"/>
          </w:tcPr>
          <w:p w14:paraId="2424B02F">
            <w:pPr>
              <w:jc w:val="center"/>
              <w:rPr>
                <w:rFonts w:ascii="仿宋" w:hAnsi="仿宋" w:eastAsia="仿宋" w:cs="仿宋"/>
                <w:b/>
                <w:color w:val="auto"/>
                <w:highlight w:val="none"/>
              </w:rPr>
            </w:pPr>
            <w:r>
              <w:rPr>
                <w:rFonts w:hint="eastAsia" w:ascii="仿宋" w:hAnsi="仿宋" w:eastAsia="仿宋" w:cs="仿宋"/>
                <w:b/>
                <w:color w:val="auto"/>
                <w:highlight w:val="none"/>
              </w:rPr>
              <w:t>项目</w:t>
            </w:r>
          </w:p>
        </w:tc>
        <w:tc>
          <w:tcPr>
            <w:tcW w:w="6975" w:type="dxa"/>
            <w:gridSpan w:val="2"/>
            <w:vMerge w:val="restart"/>
            <w:tcBorders>
              <w:top w:val="single" w:color="auto" w:sz="4" w:space="0"/>
            </w:tcBorders>
            <w:vAlign w:val="center"/>
          </w:tcPr>
          <w:p w14:paraId="55B7DF53">
            <w:pPr>
              <w:jc w:val="center"/>
              <w:rPr>
                <w:rFonts w:ascii="仿宋" w:hAnsi="仿宋" w:eastAsia="仿宋" w:cs="仿宋"/>
                <w:b/>
                <w:color w:val="auto"/>
                <w:highlight w:val="none"/>
              </w:rPr>
            </w:pPr>
            <w:r>
              <w:rPr>
                <w:rFonts w:hint="eastAsia" w:ascii="仿宋" w:hAnsi="仿宋" w:eastAsia="仿宋" w:cs="仿宋"/>
                <w:b/>
                <w:color w:val="auto"/>
                <w:highlight w:val="none"/>
              </w:rPr>
              <w:t>评审内容</w:t>
            </w:r>
          </w:p>
        </w:tc>
        <w:tc>
          <w:tcPr>
            <w:tcW w:w="1366" w:type="dxa"/>
            <w:gridSpan w:val="2"/>
            <w:tcBorders>
              <w:top w:val="single" w:color="auto" w:sz="4" w:space="0"/>
              <w:right w:val="single" w:color="auto" w:sz="4" w:space="0"/>
            </w:tcBorders>
            <w:vAlign w:val="center"/>
          </w:tcPr>
          <w:p w14:paraId="772063B9">
            <w:pPr>
              <w:jc w:val="center"/>
              <w:rPr>
                <w:rFonts w:ascii="仿宋" w:hAnsi="仿宋" w:eastAsia="仿宋" w:cs="仿宋"/>
                <w:b/>
                <w:color w:val="auto"/>
                <w:highlight w:val="none"/>
              </w:rPr>
            </w:pPr>
            <w:r>
              <w:rPr>
                <w:rFonts w:hint="eastAsia" w:ascii="仿宋" w:hAnsi="仿宋" w:eastAsia="仿宋" w:cs="仿宋"/>
                <w:b/>
                <w:color w:val="auto"/>
                <w:highlight w:val="none"/>
              </w:rPr>
              <w:t>评审意见</w:t>
            </w:r>
          </w:p>
        </w:tc>
      </w:tr>
      <w:tr w14:paraId="2E9F58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bottom w:val="single" w:color="auto" w:sz="4" w:space="0"/>
            </w:tcBorders>
            <w:vAlign w:val="center"/>
          </w:tcPr>
          <w:p w14:paraId="451BC7EB">
            <w:pPr>
              <w:rPr>
                <w:rFonts w:ascii="仿宋" w:hAnsi="仿宋" w:eastAsia="仿宋" w:cs="仿宋"/>
                <w:color w:val="auto"/>
                <w:highlight w:val="none"/>
              </w:rPr>
            </w:pPr>
          </w:p>
        </w:tc>
        <w:tc>
          <w:tcPr>
            <w:tcW w:w="6975" w:type="dxa"/>
            <w:gridSpan w:val="2"/>
            <w:vMerge w:val="continue"/>
            <w:tcBorders>
              <w:bottom w:val="single" w:color="auto" w:sz="4" w:space="0"/>
            </w:tcBorders>
          </w:tcPr>
          <w:p w14:paraId="001012DD">
            <w:pPr>
              <w:rPr>
                <w:rFonts w:ascii="仿宋" w:hAnsi="仿宋" w:eastAsia="仿宋" w:cs="仿宋"/>
                <w:color w:val="auto"/>
                <w:highlight w:val="none"/>
              </w:rPr>
            </w:pPr>
          </w:p>
        </w:tc>
        <w:tc>
          <w:tcPr>
            <w:tcW w:w="749" w:type="dxa"/>
            <w:vAlign w:val="center"/>
          </w:tcPr>
          <w:p w14:paraId="03592496">
            <w:pPr>
              <w:jc w:val="center"/>
              <w:rPr>
                <w:rFonts w:ascii="仿宋" w:hAnsi="仿宋" w:eastAsia="仿宋" w:cs="仿宋"/>
                <w:b/>
                <w:color w:val="auto"/>
                <w:highlight w:val="none"/>
              </w:rPr>
            </w:pPr>
            <w:r>
              <w:rPr>
                <w:rFonts w:hint="eastAsia" w:ascii="仿宋" w:hAnsi="仿宋" w:eastAsia="仿宋" w:cs="仿宋"/>
                <w:b/>
                <w:color w:val="auto"/>
                <w:highlight w:val="none"/>
              </w:rPr>
              <w:t>是</w:t>
            </w:r>
          </w:p>
        </w:tc>
        <w:tc>
          <w:tcPr>
            <w:tcW w:w="617" w:type="dxa"/>
            <w:tcBorders>
              <w:right w:val="single" w:color="auto" w:sz="4" w:space="0"/>
            </w:tcBorders>
            <w:vAlign w:val="center"/>
          </w:tcPr>
          <w:p w14:paraId="092B92B6">
            <w:pPr>
              <w:jc w:val="center"/>
              <w:rPr>
                <w:rFonts w:ascii="仿宋" w:hAnsi="仿宋" w:eastAsia="仿宋" w:cs="仿宋"/>
                <w:b/>
                <w:color w:val="auto"/>
                <w:highlight w:val="none"/>
              </w:rPr>
            </w:pPr>
            <w:r>
              <w:rPr>
                <w:rFonts w:hint="eastAsia" w:ascii="仿宋" w:hAnsi="仿宋" w:eastAsia="仿宋" w:cs="仿宋"/>
                <w:b/>
                <w:color w:val="auto"/>
                <w:highlight w:val="none"/>
              </w:rPr>
              <w:t>否</w:t>
            </w:r>
          </w:p>
        </w:tc>
      </w:tr>
      <w:tr w14:paraId="7D27C1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30" w:hRule="atLeast"/>
        </w:trPr>
        <w:tc>
          <w:tcPr>
            <w:tcW w:w="1094" w:type="dxa"/>
            <w:vMerge w:val="restart"/>
            <w:tcBorders>
              <w:top w:val="single" w:color="auto" w:sz="4" w:space="0"/>
              <w:left w:val="single" w:color="auto" w:sz="4" w:space="0"/>
              <w:right w:val="single" w:color="auto" w:sz="4" w:space="0"/>
            </w:tcBorders>
            <w:vAlign w:val="center"/>
          </w:tcPr>
          <w:p w14:paraId="5BD72E4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审</w:t>
            </w:r>
          </w:p>
          <w:p w14:paraId="2A28CA3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查</w:t>
            </w:r>
          </w:p>
          <w:p w14:paraId="7DB5B348">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标</w:t>
            </w:r>
          </w:p>
          <w:p w14:paraId="142D4BCD">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准</w:t>
            </w:r>
          </w:p>
        </w:tc>
        <w:tc>
          <w:tcPr>
            <w:tcW w:w="597" w:type="dxa"/>
            <w:tcBorders>
              <w:top w:val="single" w:color="auto" w:sz="4" w:space="0"/>
              <w:left w:val="single" w:color="auto" w:sz="4" w:space="0"/>
              <w:right w:val="single" w:color="auto" w:sz="4" w:space="0"/>
            </w:tcBorders>
            <w:vAlign w:val="center"/>
          </w:tcPr>
          <w:p w14:paraId="11BDF6AC">
            <w:pPr>
              <w:jc w:val="center"/>
              <w:rPr>
                <w:rFonts w:ascii="仿宋" w:hAnsi="仿宋" w:eastAsia="仿宋" w:cs="仿宋"/>
                <w:color w:val="auto"/>
                <w:highlight w:val="none"/>
              </w:rPr>
            </w:pPr>
            <w:r>
              <w:rPr>
                <w:rFonts w:hint="eastAsia" w:ascii="仿宋" w:hAnsi="仿宋" w:eastAsia="仿宋" w:cs="仿宋"/>
                <w:color w:val="auto"/>
                <w:highlight w:val="none"/>
              </w:rPr>
              <w:t>1</w:t>
            </w:r>
          </w:p>
        </w:tc>
        <w:tc>
          <w:tcPr>
            <w:tcW w:w="6378" w:type="dxa"/>
            <w:tcBorders>
              <w:top w:val="single" w:color="auto" w:sz="4" w:space="0"/>
              <w:left w:val="single" w:color="auto" w:sz="4" w:space="0"/>
              <w:right w:val="single" w:color="auto" w:sz="4" w:space="0"/>
            </w:tcBorders>
            <w:vAlign w:val="center"/>
          </w:tcPr>
          <w:p w14:paraId="5947BF2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由政府立项核准、审批的采购项目, 报价高于设定的采购预算价的；</w:t>
            </w:r>
          </w:p>
        </w:tc>
        <w:tc>
          <w:tcPr>
            <w:tcW w:w="749" w:type="dxa"/>
            <w:tcBorders>
              <w:left w:val="single" w:color="auto" w:sz="4" w:space="0"/>
              <w:right w:val="single" w:color="auto" w:sz="4" w:space="0"/>
            </w:tcBorders>
          </w:tcPr>
          <w:p w14:paraId="04AAF8C8">
            <w:pPr>
              <w:jc w:val="center"/>
              <w:rPr>
                <w:rFonts w:ascii="仿宋" w:hAnsi="仿宋" w:eastAsia="仿宋" w:cs="仿宋"/>
                <w:b/>
                <w:color w:val="auto"/>
                <w:szCs w:val="21"/>
                <w:highlight w:val="none"/>
                <w:lang w:eastAsia="zh-CN"/>
              </w:rPr>
            </w:pPr>
          </w:p>
        </w:tc>
        <w:tc>
          <w:tcPr>
            <w:tcW w:w="617" w:type="dxa"/>
            <w:tcBorders>
              <w:left w:val="single" w:color="auto" w:sz="4" w:space="0"/>
              <w:right w:val="single" w:color="auto" w:sz="4" w:space="0"/>
            </w:tcBorders>
          </w:tcPr>
          <w:p w14:paraId="5B3BE374">
            <w:pPr>
              <w:jc w:val="center"/>
              <w:rPr>
                <w:rFonts w:ascii="仿宋" w:hAnsi="仿宋" w:eastAsia="仿宋" w:cs="仿宋"/>
                <w:b/>
                <w:color w:val="auto"/>
                <w:szCs w:val="21"/>
                <w:highlight w:val="none"/>
                <w:lang w:eastAsia="zh-CN"/>
              </w:rPr>
            </w:pPr>
          </w:p>
        </w:tc>
      </w:tr>
      <w:tr w14:paraId="20A3AA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1094" w:type="dxa"/>
            <w:vMerge w:val="continue"/>
            <w:tcBorders>
              <w:left w:val="single" w:color="auto" w:sz="4" w:space="0"/>
              <w:right w:val="single" w:color="auto" w:sz="4" w:space="0"/>
            </w:tcBorders>
            <w:vAlign w:val="center"/>
          </w:tcPr>
          <w:p w14:paraId="2B7AF4CB">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789260E0">
            <w:pPr>
              <w:jc w:val="center"/>
              <w:rPr>
                <w:rFonts w:ascii="仿宋" w:hAnsi="仿宋" w:eastAsia="仿宋" w:cs="仿宋"/>
                <w:color w:val="auto"/>
                <w:highlight w:val="none"/>
              </w:rPr>
            </w:pPr>
            <w:r>
              <w:rPr>
                <w:rFonts w:hint="eastAsia" w:ascii="仿宋" w:hAnsi="仿宋" w:eastAsia="仿宋" w:cs="仿宋"/>
                <w:color w:val="auto"/>
                <w:highlight w:val="none"/>
              </w:rPr>
              <w:t>2</w:t>
            </w:r>
          </w:p>
        </w:tc>
        <w:tc>
          <w:tcPr>
            <w:tcW w:w="6378" w:type="dxa"/>
            <w:tcBorders>
              <w:top w:val="single" w:color="auto" w:sz="4" w:space="0"/>
              <w:left w:val="single" w:color="auto" w:sz="4" w:space="0"/>
              <w:bottom w:val="single" w:color="auto" w:sz="4" w:space="0"/>
              <w:right w:val="single" w:color="auto" w:sz="4" w:space="0"/>
            </w:tcBorders>
            <w:vAlign w:val="center"/>
          </w:tcPr>
          <w:p w14:paraId="3C6AA345">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法定代表人身份证明及授权委托书有效，且符合招标文件规定的格式。</w:t>
            </w:r>
          </w:p>
        </w:tc>
        <w:tc>
          <w:tcPr>
            <w:tcW w:w="749" w:type="dxa"/>
            <w:tcBorders>
              <w:left w:val="single" w:color="auto" w:sz="4" w:space="0"/>
            </w:tcBorders>
          </w:tcPr>
          <w:p w14:paraId="60DC9831">
            <w:pPr>
              <w:rPr>
                <w:rFonts w:ascii="仿宋" w:hAnsi="仿宋" w:eastAsia="仿宋" w:cs="仿宋"/>
                <w:color w:val="auto"/>
                <w:szCs w:val="21"/>
                <w:highlight w:val="none"/>
                <w:lang w:eastAsia="zh-CN"/>
              </w:rPr>
            </w:pPr>
          </w:p>
        </w:tc>
        <w:tc>
          <w:tcPr>
            <w:tcW w:w="617" w:type="dxa"/>
            <w:tcBorders>
              <w:right w:val="single" w:color="auto" w:sz="4" w:space="0"/>
            </w:tcBorders>
          </w:tcPr>
          <w:p w14:paraId="092B4F95">
            <w:pPr>
              <w:rPr>
                <w:rFonts w:ascii="仿宋" w:hAnsi="仿宋" w:eastAsia="仿宋" w:cs="仿宋"/>
                <w:color w:val="auto"/>
                <w:szCs w:val="21"/>
                <w:highlight w:val="none"/>
                <w:lang w:eastAsia="zh-CN"/>
              </w:rPr>
            </w:pPr>
          </w:p>
        </w:tc>
      </w:tr>
      <w:tr w14:paraId="7A1A2B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4" w:hRule="atLeast"/>
        </w:trPr>
        <w:tc>
          <w:tcPr>
            <w:tcW w:w="1094" w:type="dxa"/>
            <w:vMerge w:val="continue"/>
            <w:tcBorders>
              <w:left w:val="single" w:color="auto" w:sz="4" w:space="0"/>
              <w:right w:val="single" w:color="auto" w:sz="4" w:space="0"/>
            </w:tcBorders>
            <w:vAlign w:val="center"/>
          </w:tcPr>
          <w:p w14:paraId="1283422B">
            <w:pPr>
              <w:rPr>
                <w:rFonts w:ascii="仿宋" w:hAnsi="仿宋" w:eastAsia="仿宋" w:cs="仿宋"/>
                <w:color w:val="auto"/>
                <w:highlight w:val="none"/>
                <w:lang w:eastAsia="zh-CN"/>
              </w:rPr>
            </w:pPr>
          </w:p>
        </w:tc>
        <w:tc>
          <w:tcPr>
            <w:tcW w:w="597" w:type="dxa"/>
            <w:tcBorders>
              <w:top w:val="single" w:color="auto" w:sz="4" w:space="0"/>
              <w:left w:val="single" w:color="auto" w:sz="4" w:space="0"/>
              <w:right w:val="single" w:color="auto" w:sz="4" w:space="0"/>
            </w:tcBorders>
            <w:vAlign w:val="center"/>
          </w:tcPr>
          <w:p w14:paraId="05275DF4">
            <w:pPr>
              <w:jc w:val="center"/>
              <w:rPr>
                <w:rFonts w:ascii="仿宋" w:hAnsi="仿宋" w:eastAsia="仿宋" w:cs="仿宋"/>
                <w:color w:val="auto"/>
                <w:highlight w:val="none"/>
              </w:rPr>
            </w:pPr>
            <w:r>
              <w:rPr>
                <w:rFonts w:hint="eastAsia" w:ascii="仿宋" w:hAnsi="仿宋" w:eastAsia="仿宋" w:cs="仿宋"/>
                <w:color w:val="auto"/>
                <w:highlight w:val="none"/>
              </w:rPr>
              <w:t>3</w:t>
            </w:r>
          </w:p>
        </w:tc>
        <w:tc>
          <w:tcPr>
            <w:tcW w:w="6378" w:type="dxa"/>
            <w:tcBorders>
              <w:top w:val="single" w:color="auto" w:sz="4" w:space="0"/>
              <w:left w:val="single" w:color="auto" w:sz="4" w:space="0"/>
              <w:right w:val="single" w:color="auto" w:sz="4" w:space="0"/>
            </w:tcBorders>
            <w:vAlign w:val="center"/>
          </w:tcPr>
          <w:p w14:paraId="7122D3F7">
            <w:pPr>
              <w:widowControl/>
              <w:textAlignment w:val="center"/>
              <w:rPr>
                <w:rFonts w:ascii="仿宋" w:hAnsi="仿宋" w:eastAsia="仿宋" w:cs="仿宋"/>
                <w:color w:val="auto"/>
                <w:highlight w:val="none"/>
              </w:rPr>
            </w:pPr>
            <w:r>
              <w:rPr>
                <w:rFonts w:hint="eastAsia" w:ascii="仿宋" w:hAnsi="仿宋" w:eastAsia="仿宋" w:cs="仿宋"/>
                <w:color w:val="auto"/>
                <w:highlight w:val="none"/>
              </w:rPr>
              <w:t>只有一个方案投标。</w:t>
            </w:r>
          </w:p>
        </w:tc>
        <w:tc>
          <w:tcPr>
            <w:tcW w:w="749" w:type="dxa"/>
            <w:tcBorders>
              <w:left w:val="single" w:color="auto" w:sz="4" w:space="0"/>
            </w:tcBorders>
          </w:tcPr>
          <w:p w14:paraId="58E8BB83">
            <w:pPr>
              <w:rPr>
                <w:rFonts w:ascii="仿宋" w:hAnsi="仿宋" w:eastAsia="仿宋" w:cs="仿宋"/>
                <w:color w:val="auto"/>
                <w:szCs w:val="21"/>
                <w:highlight w:val="none"/>
              </w:rPr>
            </w:pPr>
          </w:p>
        </w:tc>
        <w:tc>
          <w:tcPr>
            <w:tcW w:w="617" w:type="dxa"/>
            <w:tcBorders>
              <w:right w:val="single" w:color="auto" w:sz="4" w:space="0"/>
            </w:tcBorders>
          </w:tcPr>
          <w:p w14:paraId="7224DA63">
            <w:pPr>
              <w:rPr>
                <w:rFonts w:ascii="仿宋" w:hAnsi="仿宋" w:eastAsia="仿宋" w:cs="仿宋"/>
                <w:color w:val="auto"/>
                <w:szCs w:val="21"/>
                <w:highlight w:val="none"/>
              </w:rPr>
            </w:pPr>
          </w:p>
        </w:tc>
      </w:tr>
      <w:tr w14:paraId="38520C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8" w:hRule="atLeast"/>
        </w:trPr>
        <w:tc>
          <w:tcPr>
            <w:tcW w:w="1094" w:type="dxa"/>
            <w:vMerge w:val="continue"/>
            <w:tcBorders>
              <w:left w:val="single" w:color="auto" w:sz="4" w:space="0"/>
              <w:right w:val="single" w:color="auto" w:sz="4" w:space="0"/>
            </w:tcBorders>
            <w:vAlign w:val="center"/>
          </w:tcPr>
          <w:p w14:paraId="4E1B8432">
            <w:pPr>
              <w:rPr>
                <w:rFonts w:ascii="仿宋" w:hAnsi="仿宋" w:eastAsia="仿宋" w:cs="仿宋"/>
                <w:color w:val="auto"/>
                <w:highlight w:val="none"/>
              </w:rPr>
            </w:pPr>
          </w:p>
        </w:tc>
        <w:tc>
          <w:tcPr>
            <w:tcW w:w="597" w:type="dxa"/>
            <w:tcBorders>
              <w:left w:val="single" w:color="auto" w:sz="4" w:space="0"/>
            </w:tcBorders>
            <w:vAlign w:val="center"/>
          </w:tcPr>
          <w:p w14:paraId="43B8FFCB">
            <w:pPr>
              <w:jc w:val="center"/>
              <w:rPr>
                <w:rFonts w:ascii="仿宋" w:hAnsi="仿宋" w:eastAsia="仿宋" w:cs="仿宋"/>
                <w:color w:val="auto"/>
                <w:highlight w:val="none"/>
              </w:rPr>
            </w:pPr>
            <w:r>
              <w:rPr>
                <w:rFonts w:hint="eastAsia" w:ascii="仿宋" w:hAnsi="仿宋" w:eastAsia="仿宋" w:cs="仿宋"/>
                <w:color w:val="auto"/>
                <w:highlight w:val="none"/>
                <w:lang w:eastAsia="zh-CN"/>
              </w:rPr>
              <w:t>4</w:t>
            </w:r>
          </w:p>
        </w:tc>
        <w:tc>
          <w:tcPr>
            <w:tcW w:w="6378" w:type="dxa"/>
            <w:tcBorders>
              <w:right w:val="single" w:color="auto" w:sz="4" w:space="0"/>
            </w:tcBorders>
            <w:vAlign w:val="center"/>
          </w:tcPr>
          <w:p w14:paraId="3CAC116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投标文件内容齐全、无遗漏。</w:t>
            </w:r>
          </w:p>
        </w:tc>
        <w:tc>
          <w:tcPr>
            <w:tcW w:w="749" w:type="dxa"/>
            <w:tcBorders>
              <w:left w:val="single" w:color="auto" w:sz="4" w:space="0"/>
            </w:tcBorders>
          </w:tcPr>
          <w:p w14:paraId="3477C01B">
            <w:pPr>
              <w:rPr>
                <w:rFonts w:ascii="仿宋" w:hAnsi="仿宋" w:eastAsia="仿宋" w:cs="仿宋"/>
                <w:color w:val="auto"/>
                <w:szCs w:val="21"/>
                <w:highlight w:val="none"/>
                <w:lang w:eastAsia="zh-CN"/>
              </w:rPr>
            </w:pPr>
          </w:p>
        </w:tc>
        <w:tc>
          <w:tcPr>
            <w:tcW w:w="617" w:type="dxa"/>
            <w:tcBorders>
              <w:right w:val="single" w:color="auto" w:sz="4" w:space="0"/>
            </w:tcBorders>
          </w:tcPr>
          <w:p w14:paraId="6A2A6D63">
            <w:pPr>
              <w:rPr>
                <w:rFonts w:ascii="仿宋" w:hAnsi="仿宋" w:eastAsia="仿宋" w:cs="仿宋"/>
                <w:color w:val="auto"/>
                <w:szCs w:val="21"/>
                <w:highlight w:val="none"/>
                <w:lang w:eastAsia="zh-CN"/>
              </w:rPr>
            </w:pPr>
          </w:p>
        </w:tc>
      </w:tr>
      <w:tr w14:paraId="505C3B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1" w:hRule="atLeast"/>
        </w:trPr>
        <w:tc>
          <w:tcPr>
            <w:tcW w:w="1094" w:type="dxa"/>
            <w:vMerge w:val="continue"/>
            <w:tcBorders>
              <w:left w:val="single" w:color="auto" w:sz="4" w:space="0"/>
              <w:right w:val="single" w:color="auto" w:sz="4" w:space="0"/>
            </w:tcBorders>
            <w:vAlign w:val="center"/>
          </w:tcPr>
          <w:p w14:paraId="5F4AC57E">
            <w:pPr>
              <w:rPr>
                <w:rFonts w:ascii="仿宋" w:hAnsi="仿宋" w:eastAsia="仿宋" w:cs="仿宋"/>
                <w:color w:val="auto"/>
                <w:highlight w:val="none"/>
                <w:lang w:eastAsia="zh-CN"/>
              </w:rPr>
            </w:pPr>
          </w:p>
        </w:tc>
        <w:tc>
          <w:tcPr>
            <w:tcW w:w="597" w:type="dxa"/>
            <w:tcBorders>
              <w:left w:val="single" w:color="auto" w:sz="4" w:space="0"/>
              <w:bottom w:val="single" w:color="auto" w:sz="4" w:space="0"/>
            </w:tcBorders>
            <w:vAlign w:val="center"/>
          </w:tcPr>
          <w:p w14:paraId="014C413D">
            <w:pPr>
              <w:jc w:val="center"/>
              <w:rPr>
                <w:rFonts w:ascii="仿宋" w:hAnsi="仿宋" w:eastAsia="仿宋" w:cs="仿宋"/>
                <w:color w:val="auto"/>
                <w:highlight w:val="none"/>
              </w:rPr>
            </w:pPr>
            <w:r>
              <w:rPr>
                <w:rFonts w:hint="eastAsia" w:ascii="仿宋" w:hAnsi="仿宋" w:eastAsia="仿宋" w:cs="仿宋"/>
                <w:color w:val="auto"/>
                <w:highlight w:val="none"/>
              </w:rPr>
              <w:t>5</w:t>
            </w:r>
          </w:p>
        </w:tc>
        <w:tc>
          <w:tcPr>
            <w:tcW w:w="6378" w:type="dxa"/>
            <w:tcBorders>
              <w:bottom w:val="single" w:color="auto" w:sz="4" w:space="0"/>
              <w:right w:val="single" w:color="auto" w:sz="4" w:space="0"/>
            </w:tcBorders>
            <w:vAlign w:val="center"/>
          </w:tcPr>
          <w:p w14:paraId="55A865C7">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对招标文件规定的招标内容全部作出响应。</w:t>
            </w:r>
          </w:p>
        </w:tc>
        <w:tc>
          <w:tcPr>
            <w:tcW w:w="749" w:type="dxa"/>
            <w:tcBorders>
              <w:left w:val="single" w:color="auto" w:sz="4" w:space="0"/>
              <w:bottom w:val="single" w:color="auto" w:sz="4" w:space="0"/>
            </w:tcBorders>
          </w:tcPr>
          <w:p w14:paraId="432598D4">
            <w:pPr>
              <w:rPr>
                <w:rFonts w:ascii="仿宋" w:hAnsi="仿宋" w:eastAsia="仿宋" w:cs="仿宋"/>
                <w:color w:val="auto"/>
                <w:szCs w:val="21"/>
                <w:highlight w:val="none"/>
                <w:lang w:eastAsia="zh-CN"/>
              </w:rPr>
            </w:pPr>
          </w:p>
        </w:tc>
        <w:tc>
          <w:tcPr>
            <w:tcW w:w="617" w:type="dxa"/>
            <w:tcBorders>
              <w:bottom w:val="single" w:color="auto" w:sz="4" w:space="0"/>
              <w:right w:val="single" w:color="auto" w:sz="4" w:space="0"/>
            </w:tcBorders>
          </w:tcPr>
          <w:p w14:paraId="2F54207C">
            <w:pPr>
              <w:rPr>
                <w:rFonts w:ascii="仿宋" w:hAnsi="仿宋" w:eastAsia="仿宋" w:cs="仿宋"/>
                <w:color w:val="auto"/>
                <w:szCs w:val="21"/>
                <w:highlight w:val="none"/>
                <w:lang w:eastAsia="zh-CN"/>
              </w:rPr>
            </w:pPr>
          </w:p>
        </w:tc>
      </w:tr>
      <w:tr w14:paraId="175478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3" w:hRule="atLeast"/>
        </w:trPr>
        <w:tc>
          <w:tcPr>
            <w:tcW w:w="1094" w:type="dxa"/>
            <w:vMerge w:val="continue"/>
            <w:tcBorders>
              <w:left w:val="single" w:color="auto" w:sz="4" w:space="0"/>
              <w:right w:val="single" w:color="auto" w:sz="4" w:space="0"/>
            </w:tcBorders>
            <w:vAlign w:val="center"/>
          </w:tcPr>
          <w:p w14:paraId="21E61142">
            <w:pPr>
              <w:rPr>
                <w:rFonts w:ascii="仿宋" w:hAnsi="仿宋" w:eastAsia="仿宋" w:cs="仿宋"/>
                <w:color w:val="auto"/>
                <w:highlight w:val="none"/>
                <w:lang w:eastAsia="zh-CN"/>
              </w:rPr>
            </w:pPr>
          </w:p>
        </w:tc>
        <w:tc>
          <w:tcPr>
            <w:tcW w:w="597" w:type="dxa"/>
            <w:tcBorders>
              <w:top w:val="single" w:color="auto" w:sz="4" w:space="0"/>
              <w:left w:val="single" w:color="auto" w:sz="4" w:space="0"/>
              <w:bottom w:val="single" w:color="auto" w:sz="4" w:space="0"/>
              <w:right w:val="single" w:color="auto" w:sz="4" w:space="0"/>
            </w:tcBorders>
            <w:vAlign w:val="center"/>
          </w:tcPr>
          <w:p w14:paraId="3266B98C">
            <w:pPr>
              <w:jc w:val="center"/>
              <w:rPr>
                <w:rFonts w:ascii="仿宋" w:hAnsi="仿宋" w:eastAsia="仿宋" w:cs="仿宋"/>
                <w:color w:val="auto"/>
                <w:highlight w:val="none"/>
              </w:rPr>
            </w:pPr>
            <w:r>
              <w:rPr>
                <w:rFonts w:hint="eastAsia" w:ascii="仿宋" w:hAnsi="仿宋" w:eastAsia="仿宋" w:cs="仿宋"/>
                <w:color w:val="auto"/>
                <w:highlight w:val="none"/>
              </w:rPr>
              <w:t>6</w:t>
            </w:r>
          </w:p>
        </w:tc>
        <w:tc>
          <w:tcPr>
            <w:tcW w:w="6378" w:type="dxa"/>
            <w:tcBorders>
              <w:top w:val="single" w:color="auto" w:sz="4" w:space="0"/>
              <w:left w:val="single" w:color="auto" w:sz="4" w:space="0"/>
              <w:bottom w:val="single" w:color="auto" w:sz="4" w:space="0"/>
              <w:right w:val="single" w:color="auto" w:sz="4" w:space="0"/>
            </w:tcBorders>
            <w:vAlign w:val="center"/>
          </w:tcPr>
          <w:p w14:paraId="53524A5C">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满足招标文件提出的技术和质量要求。</w:t>
            </w:r>
          </w:p>
        </w:tc>
        <w:tc>
          <w:tcPr>
            <w:tcW w:w="749" w:type="dxa"/>
            <w:tcBorders>
              <w:top w:val="single" w:color="auto" w:sz="4" w:space="0"/>
              <w:left w:val="single" w:color="auto" w:sz="4" w:space="0"/>
              <w:bottom w:val="single" w:color="auto" w:sz="4" w:space="0"/>
              <w:right w:val="single" w:color="auto" w:sz="4" w:space="0"/>
            </w:tcBorders>
          </w:tcPr>
          <w:p w14:paraId="1C8D8C03">
            <w:pPr>
              <w:rPr>
                <w:rFonts w:ascii="仿宋" w:hAnsi="仿宋" w:eastAsia="仿宋" w:cs="仿宋"/>
                <w:color w:val="auto"/>
                <w:szCs w:val="21"/>
                <w:highlight w:val="none"/>
                <w:lang w:eastAsia="zh-CN"/>
              </w:rPr>
            </w:pPr>
          </w:p>
        </w:tc>
        <w:tc>
          <w:tcPr>
            <w:tcW w:w="617" w:type="dxa"/>
            <w:tcBorders>
              <w:top w:val="single" w:color="auto" w:sz="4" w:space="0"/>
              <w:left w:val="single" w:color="auto" w:sz="4" w:space="0"/>
              <w:bottom w:val="single" w:color="auto" w:sz="4" w:space="0"/>
              <w:right w:val="single" w:color="auto" w:sz="4" w:space="0"/>
            </w:tcBorders>
          </w:tcPr>
          <w:p w14:paraId="6CF5B860">
            <w:pPr>
              <w:rPr>
                <w:rFonts w:ascii="仿宋" w:hAnsi="仿宋" w:eastAsia="仿宋" w:cs="仿宋"/>
                <w:color w:val="auto"/>
                <w:szCs w:val="21"/>
                <w:highlight w:val="none"/>
                <w:lang w:eastAsia="zh-CN"/>
              </w:rPr>
            </w:pPr>
          </w:p>
        </w:tc>
      </w:tr>
      <w:tr w14:paraId="6A7088B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 w:hRule="atLeast"/>
        </w:trPr>
        <w:tc>
          <w:tcPr>
            <w:tcW w:w="1094" w:type="dxa"/>
            <w:vMerge w:val="continue"/>
            <w:tcBorders>
              <w:left w:val="single" w:color="auto" w:sz="4" w:space="0"/>
              <w:right w:val="single" w:color="auto" w:sz="4" w:space="0"/>
            </w:tcBorders>
            <w:vAlign w:val="center"/>
          </w:tcPr>
          <w:p w14:paraId="796467CD">
            <w:pPr>
              <w:rPr>
                <w:rFonts w:ascii="仿宋" w:hAnsi="仿宋" w:eastAsia="仿宋" w:cs="仿宋"/>
                <w:color w:val="auto"/>
                <w:highlight w:val="none"/>
                <w:lang w:eastAsia="zh-CN"/>
              </w:rPr>
            </w:pPr>
          </w:p>
        </w:tc>
        <w:tc>
          <w:tcPr>
            <w:tcW w:w="597" w:type="dxa"/>
            <w:tcBorders>
              <w:top w:val="single" w:color="auto" w:sz="4" w:space="0"/>
              <w:left w:val="single" w:color="auto" w:sz="4" w:space="0"/>
            </w:tcBorders>
            <w:vAlign w:val="center"/>
          </w:tcPr>
          <w:p w14:paraId="78E55D38">
            <w:pPr>
              <w:jc w:val="center"/>
              <w:rPr>
                <w:rFonts w:ascii="仿宋" w:hAnsi="仿宋" w:eastAsia="仿宋" w:cs="仿宋"/>
                <w:color w:val="auto"/>
                <w:highlight w:val="none"/>
              </w:rPr>
            </w:pPr>
            <w:r>
              <w:rPr>
                <w:rFonts w:hint="eastAsia" w:ascii="仿宋" w:hAnsi="仿宋" w:eastAsia="仿宋" w:cs="仿宋"/>
                <w:color w:val="auto"/>
                <w:highlight w:val="none"/>
              </w:rPr>
              <w:t>7</w:t>
            </w:r>
          </w:p>
        </w:tc>
        <w:tc>
          <w:tcPr>
            <w:tcW w:w="6378" w:type="dxa"/>
            <w:tcBorders>
              <w:top w:val="single" w:color="auto" w:sz="4" w:space="0"/>
              <w:right w:val="single" w:color="auto" w:sz="4" w:space="0"/>
            </w:tcBorders>
            <w:vAlign w:val="center"/>
          </w:tcPr>
          <w:p w14:paraId="70C9FE2E">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完成期限满足招标文件要求。</w:t>
            </w:r>
          </w:p>
        </w:tc>
        <w:tc>
          <w:tcPr>
            <w:tcW w:w="749" w:type="dxa"/>
            <w:tcBorders>
              <w:top w:val="single" w:color="auto" w:sz="4" w:space="0"/>
              <w:left w:val="single" w:color="auto" w:sz="4" w:space="0"/>
            </w:tcBorders>
          </w:tcPr>
          <w:p w14:paraId="04DDFF40">
            <w:pPr>
              <w:rPr>
                <w:rFonts w:ascii="仿宋" w:hAnsi="仿宋" w:eastAsia="仿宋" w:cs="仿宋"/>
                <w:color w:val="auto"/>
                <w:szCs w:val="21"/>
                <w:highlight w:val="none"/>
                <w:lang w:eastAsia="zh-CN"/>
              </w:rPr>
            </w:pPr>
          </w:p>
        </w:tc>
        <w:tc>
          <w:tcPr>
            <w:tcW w:w="617" w:type="dxa"/>
            <w:tcBorders>
              <w:top w:val="single" w:color="auto" w:sz="4" w:space="0"/>
              <w:right w:val="single" w:color="auto" w:sz="4" w:space="0"/>
            </w:tcBorders>
          </w:tcPr>
          <w:p w14:paraId="7D395D29">
            <w:pPr>
              <w:rPr>
                <w:rFonts w:ascii="仿宋" w:hAnsi="仿宋" w:eastAsia="仿宋" w:cs="仿宋"/>
                <w:color w:val="auto"/>
                <w:szCs w:val="21"/>
                <w:highlight w:val="none"/>
                <w:lang w:eastAsia="zh-CN"/>
              </w:rPr>
            </w:pPr>
          </w:p>
        </w:tc>
      </w:tr>
      <w:tr w14:paraId="0B7A3E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 w:hRule="atLeast"/>
        </w:trPr>
        <w:tc>
          <w:tcPr>
            <w:tcW w:w="1094" w:type="dxa"/>
            <w:vMerge w:val="continue"/>
            <w:tcBorders>
              <w:left w:val="single" w:color="auto" w:sz="4" w:space="0"/>
              <w:right w:val="single" w:color="auto" w:sz="4" w:space="0"/>
            </w:tcBorders>
            <w:vAlign w:val="center"/>
          </w:tcPr>
          <w:p w14:paraId="6B1D0FDA">
            <w:pPr>
              <w:rPr>
                <w:rFonts w:ascii="仿宋" w:hAnsi="仿宋" w:eastAsia="仿宋" w:cs="仿宋"/>
                <w:color w:val="auto"/>
                <w:highlight w:val="none"/>
                <w:lang w:eastAsia="zh-CN"/>
              </w:rPr>
            </w:pPr>
          </w:p>
        </w:tc>
        <w:tc>
          <w:tcPr>
            <w:tcW w:w="597" w:type="dxa"/>
            <w:tcBorders>
              <w:left w:val="single" w:color="auto" w:sz="4" w:space="0"/>
            </w:tcBorders>
            <w:vAlign w:val="center"/>
          </w:tcPr>
          <w:p w14:paraId="5A67CA4F">
            <w:pPr>
              <w:jc w:val="center"/>
              <w:rPr>
                <w:rFonts w:ascii="仿宋" w:hAnsi="仿宋" w:eastAsia="仿宋" w:cs="仿宋"/>
                <w:color w:val="auto"/>
                <w:highlight w:val="none"/>
              </w:rPr>
            </w:pPr>
            <w:r>
              <w:rPr>
                <w:rFonts w:hint="eastAsia" w:ascii="仿宋" w:hAnsi="仿宋" w:eastAsia="仿宋" w:cs="仿宋"/>
                <w:color w:val="auto"/>
                <w:highlight w:val="none"/>
              </w:rPr>
              <w:t>8</w:t>
            </w:r>
          </w:p>
        </w:tc>
        <w:tc>
          <w:tcPr>
            <w:tcW w:w="6378" w:type="dxa"/>
            <w:tcBorders>
              <w:right w:val="single" w:color="auto" w:sz="4" w:space="0"/>
            </w:tcBorders>
            <w:vAlign w:val="center"/>
          </w:tcPr>
          <w:p w14:paraId="53FDA5AF">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售后服务满足招标文件要求。</w:t>
            </w:r>
          </w:p>
        </w:tc>
        <w:tc>
          <w:tcPr>
            <w:tcW w:w="749" w:type="dxa"/>
            <w:tcBorders>
              <w:left w:val="single" w:color="auto" w:sz="4" w:space="0"/>
            </w:tcBorders>
          </w:tcPr>
          <w:p w14:paraId="3DFC50A4">
            <w:pPr>
              <w:rPr>
                <w:rFonts w:ascii="仿宋" w:hAnsi="仿宋" w:eastAsia="仿宋" w:cs="仿宋"/>
                <w:color w:val="auto"/>
                <w:szCs w:val="21"/>
                <w:highlight w:val="none"/>
                <w:lang w:eastAsia="zh-CN"/>
              </w:rPr>
            </w:pPr>
          </w:p>
        </w:tc>
        <w:tc>
          <w:tcPr>
            <w:tcW w:w="617" w:type="dxa"/>
            <w:tcBorders>
              <w:right w:val="single" w:color="auto" w:sz="4" w:space="0"/>
            </w:tcBorders>
          </w:tcPr>
          <w:p w14:paraId="2BCEDAC0">
            <w:pPr>
              <w:rPr>
                <w:rFonts w:ascii="仿宋" w:hAnsi="仿宋" w:eastAsia="仿宋" w:cs="仿宋"/>
                <w:color w:val="auto"/>
                <w:szCs w:val="21"/>
                <w:highlight w:val="none"/>
                <w:lang w:eastAsia="zh-CN"/>
              </w:rPr>
            </w:pPr>
          </w:p>
        </w:tc>
      </w:tr>
      <w:tr w14:paraId="71AF78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72" w:hRule="atLeast"/>
        </w:trPr>
        <w:tc>
          <w:tcPr>
            <w:tcW w:w="1094" w:type="dxa"/>
            <w:vMerge w:val="continue"/>
            <w:tcBorders>
              <w:left w:val="single" w:color="auto" w:sz="4" w:space="0"/>
              <w:right w:val="single" w:color="auto" w:sz="4" w:space="0"/>
            </w:tcBorders>
            <w:vAlign w:val="center"/>
          </w:tcPr>
          <w:p w14:paraId="45FE50EE">
            <w:pPr>
              <w:rPr>
                <w:rFonts w:ascii="仿宋" w:hAnsi="仿宋" w:eastAsia="仿宋" w:cs="仿宋"/>
                <w:color w:val="auto"/>
                <w:highlight w:val="none"/>
                <w:lang w:eastAsia="zh-CN"/>
              </w:rPr>
            </w:pPr>
          </w:p>
        </w:tc>
        <w:tc>
          <w:tcPr>
            <w:tcW w:w="597" w:type="dxa"/>
            <w:tcBorders>
              <w:left w:val="single" w:color="auto" w:sz="4" w:space="0"/>
            </w:tcBorders>
            <w:vAlign w:val="center"/>
          </w:tcPr>
          <w:p w14:paraId="6FB9EE71">
            <w:pPr>
              <w:jc w:val="center"/>
              <w:rPr>
                <w:rFonts w:ascii="仿宋" w:hAnsi="仿宋" w:eastAsia="仿宋" w:cs="仿宋"/>
                <w:color w:val="auto"/>
                <w:highlight w:val="none"/>
              </w:rPr>
            </w:pPr>
            <w:r>
              <w:rPr>
                <w:rFonts w:hint="eastAsia" w:ascii="仿宋" w:hAnsi="仿宋" w:eastAsia="仿宋" w:cs="仿宋"/>
                <w:color w:val="auto"/>
                <w:highlight w:val="none"/>
              </w:rPr>
              <w:t>9</w:t>
            </w:r>
          </w:p>
        </w:tc>
        <w:tc>
          <w:tcPr>
            <w:tcW w:w="6378" w:type="dxa"/>
            <w:tcBorders>
              <w:right w:val="single" w:color="auto" w:sz="4" w:space="0"/>
            </w:tcBorders>
            <w:vAlign w:val="center"/>
          </w:tcPr>
          <w:p w14:paraId="2F095FF8">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投标有效期满足招标文件要求。</w:t>
            </w:r>
          </w:p>
        </w:tc>
        <w:tc>
          <w:tcPr>
            <w:tcW w:w="749" w:type="dxa"/>
            <w:tcBorders>
              <w:left w:val="single" w:color="auto" w:sz="4" w:space="0"/>
            </w:tcBorders>
          </w:tcPr>
          <w:p w14:paraId="47E18DDB">
            <w:pPr>
              <w:rPr>
                <w:rFonts w:ascii="仿宋" w:hAnsi="仿宋" w:eastAsia="仿宋" w:cs="仿宋"/>
                <w:color w:val="auto"/>
                <w:szCs w:val="21"/>
                <w:highlight w:val="none"/>
                <w:lang w:eastAsia="zh-CN"/>
              </w:rPr>
            </w:pPr>
          </w:p>
        </w:tc>
        <w:tc>
          <w:tcPr>
            <w:tcW w:w="617" w:type="dxa"/>
            <w:tcBorders>
              <w:right w:val="single" w:color="auto" w:sz="4" w:space="0"/>
            </w:tcBorders>
          </w:tcPr>
          <w:p w14:paraId="28ABFE25">
            <w:pPr>
              <w:rPr>
                <w:rFonts w:ascii="仿宋" w:hAnsi="仿宋" w:eastAsia="仿宋" w:cs="仿宋"/>
                <w:color w:val="auto"/>
                <w:szCs w:val="21"/>
                <w:highlight w:val="none"/>
                <w:lang w:eastAsia="zh-CN"/>
              </w:rPr>
            </w:pPr>
          </w:p>
        </w:tc>
      </w:tr>
      <w:tr w14:paraId="579FDD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094" w:type="dxa"/>
            <w:vMerge w:val="continue"/>
            <w:tcBorders>
              <w:left w:val="single" w:color="auto" w:sz="4" w:space="0"/>
              <w:right w:val="single" w:color="auto" w:sz="4" w:space="0"/>
            </w:tcBorders>
            <w:vAlign w:val="center"/>
          </w:tcPr>
          <w:p w14:paraId="307AEDE9">
            <w:pPr>
              <w:rPr>
                <w:rFonts w:ascii="仿宋" w:hAnsi="仿宋" w:eastAsia="仿宋" w:cs="仿宋"/>
                <w:color w:val="auto"/>
                <w:highlight w:val="none"/>
                <w:lang w:eastAsia="zh-CN"/>
              </w:rPr>
            </w:pPr>
          </w:p>
        </w:tc>
        <w:tc>
          <w:tcPr>
            <w:tcW w:w="597" w:type="dxa"/>
            <w:tcBorders>
              <w:left w:val="single" w:color="auto" w:sz="4" w:space="0"/>
            </w:tcBorders>
            <w:vAlign w:val="center"/>
          </w:tcPr>
          <w:p w14:paraId="6AFC69CD">
            <w:pPr>
              <w:jc w:val="center"/>
              <w:rPr>
                <w:rFonts w:ascii="仿宋" w:hAnsi="仿宋" w:eastAsia="仿宋" w:cs="仿宋"/>
                <w:color w:val="auto"/>
                <w:highlight w:val="none"/>
              </w:rPr>
            </w:pPr>
            <w:r>
              <w:rPr>
                <w:rFonts w:hint="eastAsia" w:ascii="仿宋" w:hAnsi="仿宋" w:eastAsia="仿宋" w:cs="仿宋"/>
                <w:color w:val="auto"/>
                <w:highlight w:val="none"/>
              </w:rPr>
              <w:t>10</w:t>
            </w:r>
          </w:p>
        </w:tc>
        <w:tc>
          <w:tcPr>
            <w:tcW w:w="6378" w:type="dxa"/>
            <w:tcBorders>
              <w:right w:val="single" w:color="auto" w:sz="4" w:space="0"/>
            </w:tcBorders>
            <w:vAlign w:val="center"/>
          </w:tcPr>
          <w:p w14:paraId="51617FF3">
            <w:pPr>
              <w:widowControl/>
              <w:textAlignment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供应商详细地址、联系人、电话。</w:t>
            </w:r>
          </w:p>
        </w:tc>
        <w:tc>
          <w:tcPr>
            <w:tcW w:w="749" w:type="dxa"/>
            <w:tcBorders>
              <w:left w:val="single" w:color="auto" w:sz="4" w:space="0"/>
            </w:tcBorders>
          </w:tcPr>
          <w:p w14:paraId="70954B52">
            <w:pPr>
              <w:rPr>
                <w:rFonts w:ascii="仿宋" w:hAnsi="仿宋" w:eastAsia="仿宋" w:cs="仿宋"/>
                <w:color w:val="auto"/>
                <w:szCs w:val="21"/>
                <w:highlight w:val="none"/>
                <w:lang w:eastAsia="zh-CN"/>
              </w:rPr>
            </w:pPr>
          </w:p>
        </w:tc>
        <w:tc>
          <w:tcPr>
            <w:tcW w:w="617" w:type="dxa"/>
            <w:tcBorders>
              <w:right w:val="single" w:color="auto" w:sz="4" w:space="0"/>
            </w:tcBorders>
          </w:tcPr>
          <w:p w14:paraId="24259A29">
            <w:pPr>
              <w:rPr>
                <w:rFonts w:ascii="仿宋" w:hAnsi="仿宋" w:eastAsia="仿宋" w:cs="仿宋"/>
                <w:color w:val="auto"/>
                <w:szCs w:val="21"/>
                <w:highlight w:val="none"/>
                <w:lang w:eastAsia="zh-CN"/>
              </w:rPr>
            </w:pPr>
          </w:p>
        </w:tc>
      </w:tr>
      <w:tr w14:paraId="0334A6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9" w:hRule="atLeast"/>
        </w:trPr>
        <w:tc>
          <w:tcPr>
            <w:tcW w:w="1094" w:type="dxa"/>
            <w:tcBorders>
              <w:left w:val="single" w:color="auto" w:sz="4" w:space="0"/>
              <w:bottom w:val="single" w:color="auto" w:sz="4" w:space="0"/>
              <w:right w:val="single" w:color="auto" w:sz="4" w:space="0"/>
            </w:tcBorders>
            <w:vAlign w:val="center"/>
          </w:tcPr>
          <w:p w14:paraId="00C3016B">
            <w:pPr>
              <w:jc w:val="center"/>
              <w:rPr>
                <w:rFonts w:ascii="仿宋" w:hAnsi="仿宋" w:eastAsia="仿宋" w:cs="仿宋"/>
                <w:color w:val="auto"/>
                <w:szCs w:val="21"/>
                <w:highlight w:val="none"/>
                <w:lang w:eastAsia="zh-CN"/>
              </w:rPr>
            </w:pPr>
          </w:p>
        </w:tc>
        <w:tc>
          <w:tcPr>
            <w:tcW w:w="6975" w:type="dxa"/>
            <w:gridSpan w:val="2"/>
            <w:tcBorders>
              <w:left w:val="single" w:color="auto" w:sz="4" w:space="0"/>
              <w:bottom w:val="single" w:color="auto" w:sz="4" w:space="0"/>
              <w:right w:val="single" w:color="auto" w:sz="4" w:space="0"/>
            </w:tcBorders>
          </w:tcPr>
          <w:p w14:paraId="11DDFF48">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结论：是否通过评审（须填写通过或不通过）</w:t>
            </w:r>
          </w:p>
          <w:p w14:paraId="4C73CCEE">
            <w:pPr>
              <w:rPr>
                <w:rFonts w:ascii="仿宋" w:hAnsi="仿宋" w:eastAsia="仿宋" w:cs="仿宋"/>
                <w:color w:val="auto"/>
                <w:highlight w:val="none"/>
                <w:lang w:eastAsia="zh-CN"/>
              </w:rPr>
            </w:pPr>
            <w:r>
              <w:rPr>
                <w:rFonts w:hint="eastAsia" w:ascii="仿宋" w:hAnsi="仿宋" w:eastAsia="仿宋" w:cs="仿宋"/>
                <w:color w:val="auto"/>
                <w:highlight w:val="none"/>
                <w:lang w:eastAsia="zh-CN"/>
              </w:rPr>
              <w:t>注：如有一项不合格，作废标处理。</w:t>
            </w:r>
          </w:p>
        </w:tc>
        <w:tc>
          <w:tcPr>
            <w:tcW w:w="1366" w:type="dxa"/>
            <w:gridSpan w:val="2"/>
            <w:tcBorders>
              <w:left w:val="single" w:color="auto" w:sz="4" w:space="0"/>
              <w:bottom w:val="single" w:color="auto" w:sz="4" w:space="0"/>
              <w:right w:val="single" w:color="auto" w:sz="4" w:space="0"/>
            </w:tcBorders>
          </w:tcPr>
          <w:p w14:paraId="4186E0F3">
            <w:pPr>
              <w:rPr>
                <w:rFonts w:ascii="仿宋" w:hAnsi="仿宋" w:eastAsia="仿宋" w:cs="仿宋"/>
                <w:color w:val="auto"/>
                <w:szCs w:val="21"/>
                <w:highlight w:val="none"/>
                <w:lang w:eastAsia="zh-CN"/>
              </w:rPr>
            </w:pPr>
          </w:p>
        </w:tc>
      </w:tr>
    </w:tbl>
    <w:p w14:paraId="56D0CC08">
      <w:pPr>
        <w:rPr>
          <w:rFonts w:ascii="仿宋" w:hAnsi="仿宋" w:eastAsia="仿宋" w:cs="仿宋"/>
          <w:color w:val="auto"/>
          <w:highlight w:val="none"/>
          <w:lang w:eastAsia="zh-CN"/>
        </w:rPr>
      </w:pPr>
    </w:p>
    <w:p w14:paraId="545F3C87">
      <w:pPr>
        <w:keepNext w:val="0"/>
        <w:keepLines w:val="0"/>
        <w:pageBreakBefore w:val="0"/>
        <w:widowControl w:val="0"/>
        <w:kinsoku/>
        <w:wordWrap/>
        <w:overflowPunct/>
        <w:topLinePunct w:val="0"/>
        <w:bidi w:val="0"/>
        <w:snapToGrid/>
        <w:spacing w:line="360" w:lineRule="exact"/>
        <w:ind w:firstLine="585"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7.2评委会判定投标文件的响应性只根据投标文件本身的内容，而不寻求外部的证据，但投标有不真实不正确的内容时除外。</w:t>
      </w:r>
    </w:p>
    <w:p w14:paraId="4C1B5FCC">
      <w:pPr>
        <w:keepNext w:val="0"/>
        <w:keepLines w:val="0"/>
        <w:pageBreakBefore w:val="0"/>
        <w:widowControl w:val="0"/>
        <w:kinsoku/>
        <w:wordWrap/>
        <w:overflowPunct/>
        <w:topLinePunct w:val="0"/>
        <w:bidi w:val="0"/>
        <w:snapToGrid/>
        <w:spacing w:line="360" w:lineRule="exact"/>
        <w:ind w:firstLine="585" w:firstLineChars="241"/>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7.3如果投标文件实质上没有响应采购文件的要求，评委会将予以拒绝，供应商不得通过修正或撤销不符合要求的偏离或保留，而使其投标成为实质上响应的投标。</w:t>
      </w:r>
    </w:p>
    <w:p w14:paraId="58180DB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7.4供应商可在现场20分钟内对评标委员会的评审结论提出异议，评标委员会根据采购文件及有关规定对供应商的异议进行复议</w:t>
      </w:r>
    </w:p>
    <w:p w14:paraId="3DFD9354">
      <w:pPr>
        <w:keepNext w:val="0"/>
        <w:keepLines w:val="0"/>
        <w:pageBreakBefore w:val="0"/>
        <w:widowControl w:val="0"/>
        <w:kinsoku/>
        <w:wordWrap/>
        <w:overflowPunct/>
        <w:topLinePunct w:val="0"/>
        <w:bidi w:val="0"/>
        <w:snapToGrid/>
        <w:spacing w:line="360" w:lineRule="exact"/>
        <w:ind w:firstLine="607" w:firstLineChars="25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7.5只有通过初审的供应商才能进入下一步评标程序。</w:t>
      </w:r>
    </w:p>
    <w:p w14:paraId="37105DE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b/>
          <w:color w:val="auto"/>
          <w:szCs w:val="21"/>
          <w:highlight w:val="none"/>
          <w:lang w:eastAsia="zh-CN"/>
        </w:rPr>
        <w:t>温馨提示：投标文件资格审查资料请精心准备,如评标专家在检验电子标书过程中，如果由于供应商自身原因导致评标专家无法查看并检验电子标书中以上相关资料的，按无效投标处理。即使投标单位将原件携带至现场的，同样按无效投标处理。</w:t>
      </w:r>
    </w:p>
    <w:p w14:paraId="727D1BC1">
      <w:pPr>
        <w:keepNext w:val="0"/>
        <w:keepLines w:val="0"/>
        <w:pageBreakBefore w:val="0"/>
        <w:widowControl w:val="0"/>
        <w:kinsoku/>
        <w:wordWrap/>
        <w:overflowPunct/>
        <w:topLinePunct w:val="0"/>
        <w:bidi w:val="0"/>
        <w:snapToGrid/>
        <w:spacing w:beforeLines="50" w:line="360" w:lineRule="exact"/>
        <w:jc w:val="center"/>
        <w:textAlignment w:val="auto"/>
        <w:outlineLvl w:val="1"/>
        <w:rPr>
          <w:rFonts w:ascii="仿宋" w:hAnsi="仿宋" w:eastAsia="仿宋" w:cs="仿宋"/>
          <w:b/>
          <w:color w:val="auto"/>
          <w:highlight w:val="none"/>
          <w:lang w:eastAsia="zh-CN"/>
        </w:rPr>
      </w:pPr>
      <w:bookmarkStart w:id="39" w:name="_Toc469495734"/>
      <w:bookmarkStart w:id="40" w:name="_Toc362983803"/>
      <w:r>
        <w:rPr>
          <w:rFonts w:hint="eastAsia" w:ascii="仿宋" w:hAnsi="仿宋" w:eastAsia="仿宋" w:cs="仿宋"/>
          <w:b/>
          <w:color w:val="auto"/>
          <w:highlight w:val="none"/>
          <w:lang w:eastAsia="zh-CN"/>
        </w:rPr>
        <w:t xml:space="preserve">三 </w:t>
      </w:r>
      <w:r>
        <w:rPr>
          <w:rFonts w:hint="eastAsia" w:ascii="仿宋" w:hAnsi="仿宋" w:eastAsia="仿宋" w:cs="仿宋"/>
          <w:b/>
          <w:color w:val="auto"/>
          <w:sz w:val="28"/>
          <w:szCs w:val="28"/>
          <w:highlight w:val="none"/>
          <w:lang w:eastAsia="zh-CN"/>
        </w:rPr>
        <w:t xml:space="preserve"> </w:t>
      </w:r>
      <w:r>
        <w:rPr>
          <w:rFonts w:hint="eastAsia" w:ascii="仿宋" w:hAnsi="仿宋" w:eastAsia="仿宋" w:cs="仿宋"/>
          <w:b/>
          <w:color w:val="auto"/>
          <w:highlight w:val="none"/>
          <w:lang w:eastAsia="zh-CN"/>
        </w:rPr>
        <w:t>投标文件的澄清和补正</w:t>
      </w:r>
      <w:bookmarkEnd w:id="39"/>
      <w:bookmarkEnd w:id="40"/>
    </w:p>
    <w:p w14:paraId="3E4CE34D">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8．澄清、说明或补正的形式</w:t>
      </w:r>
    </w:p>
    <w:p w14:paraId="71C4B6AA">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14:paraId="650FBE4B">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14:paraId="34D0E152">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14:paraId="5A0911CA">
      <w:pPr>
        <w:keepNext w:val="0"/>
        <w:keepLines w:val="0"/>
        <w:pageBreakBefore w:val="0"/>
        <w:widowControl w:val="0"/>
        <w:kinsoku/>
        <w:wordWrap/>
        <w:overflowPunct/>
        <w:topLinePunct w:val="0"/>
        <w:bidi w:val="0"/>
        <w:snapToGrid/>
        <w:spacing w:line="360" w:lineRule="exact"/>
        <w:ind w:firstLine="243" w:firstLineChars="1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9．错误修正的原则</w:t>
      </w:r>
    </w:p>
    <w:p w14:paraId="7155432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电子交易平台客户端里开标一览表录入的投标报价或优惠率与扫描上传的报价文件信息不一致的，以扫描上传的报价文件信息为准进行修正。</w:t>
      </w:r>
    </w:p>
    <w:p w14:paraId="6191BB1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投标文件报价出现前后不一致的，除采购文件另有规定外，按照下列规定修正：</w:t>
      </w:r>
    </w:p>
    <w:p w14:paraId="40BBA527">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9.1 投标函中表述的内容与报价表中不一致的，以报价表为准；报价表中的内容与报价明细表不一致的，以报价表为准；</w:t>
      </w:r>
    </w:p>
    <w:p w14:paraId="5120B966">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9.2 投标文件中的大写金额和小写金额不一致的，以大写金额为准；</w:t>
      </w:r>
    </w:p>
    <w:p w14:paraId="581CCC2E">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9.3 单价金额小数点或者百分比有明显错位的，以开标一览表的总价为准，并修改单价；</w:t>
      </w:r>
    </w:p>
    <w:p w14:paraId="47C9AB5E">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9.4 总价金额与按单价汇总金额不一致的，以单价金额计算结果为准；</w:t>
      </w:r>
    </w:p>
    <w:p w14:paraId="0E95410D">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9.5 若用文字表示的数值与用数字表示的数值不一致，以文字表示的数值为准；</w:t>
      </w:r>
    </w:p>
    <w:p w14:paraId="1C40EAFF">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9.6 如有多报（指数量超出采购文件需求）、重报（指同一货物重复报价），其投标总价在评标过程中不予调整，如其中标，其合同价按其投标单价予以调整；</w:t>
      </w:r>
    </w:p>
    <w:p w14:paraId="352D83BB">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9.7 对不同文字文本投标文件的解释发生异议的，以中文文本为准；</w:t>
      </w:r>
    </w:p>
    <w:p w14:paraId="307C55C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14:paraId="03AA98C7">
      <w:pPr>
        <w:keepNext w:val="0"/>
        <w:keepLines w:val="0"/>
        <w:pageBreakBefore w:val="0"/>
        <w:widowControl w:val="0"/>
        <w:kinsoku/>
        <w:wordWrap/>
        <w:overflowPunct/>
        <w:topLinePunct w:val="0"/>
        <w:bidi w:val="0"/>
        <w:snapToGrid/>
        <w:spacing w:line="360" w:lineRule="exact"/>
        <w:jc w:val="center"/>
        <w:textAlignment w:val="auto"/>
        <w:outlineLvl w:val="1"/>
        <w:rPr>
          <w:rFonts w:ascii="仿宋" w:hAnsi="仿宋" w:eastAsia="仿宋" w:cs="仿宋"/>
          <w:b/>
          <w:color w:val="auto"/>
          <w:highlight w:val="none"/>
          <w:lang w:eastAsia="zh-CN"/>
        </w:rPr>
      </w:pPr>
      <w:bookmarkStart w:id="41" w:name="_Toc469495735"/>
      <w:r>
        <w:rPr>
          <w:rFonts w:hint="eastAsia" w:ascii="仿宋" w:hAnsi="仿宋" w:eastAsia="仿宋" w:cs="仿宋"/>
          <w:b/>
          <w:color w:val="auto"/>
          <w:highlight w:val="none"/>
          <w:lang w:eastAsia="zh-CN"/>
        </w:rPr>
        <w:t>四 比较与评价</w:t>
      </w:r>
      <w:bookmarkEnd w:id="41"/>
    </w:p>
    <w:p w14:paraId="0D1C33E1">
      <w:pPr>
        <w:keepNext w:val="0"/>
        <w:keepLines w:val="0"/>
        <w:pageBreakBefore w:val="0"/>
        <w:widowControl w:val="0"/>
        <w:tabs>
          <w:tab w:val="left" w:pos="720"/>
        </w:tabs>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bookmarkStart w:id="42" w:name="_Toc469495736"/>
      <w:bookmarkStart w:id="43" w:name="_Toc362983805"/>
      <w:r>
        <w:rPr>
          <w:rFonts w:hint="eastAsia" w:ascii="仿宋" w:hAnsi="仿宋" w:eastAsia="仿宋" w:cs="仿宋"/>
          <w:color w:val="auto"/>
          <w:szCs w:val="21"/>
          <w:highlight w:val="none"/>
          <w:lang w:eastAsia="zh-CN" w:bidi="ar-SA"/>
        </w:rPr>
        <w:t>10.1评标委员会按招标文件中规定的评标方法和标准，对资格性检查和符合性检查合格的投标文件进行商务和技术评估、综合比较与评价。</w:t>
      </w:r>
    </w:p>
    <w:p w14:paraId="3DDE7DAD">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10.2评标委员会根据商务和技术评估的结果，采用综合评分法，分别对投标文件的商务、技术、价格等内容进行打分。其中，商务评估、技术评估、价格评估的评分权值（详见附件1）。</w:t>
      </w:r>
    </w:p>
    <w:p w14:paraId="67B3E65B">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bCs/>
          <w:color w:val="auto"/>
          <w:szCs w:val="21"/>
          <w:highlight w:val="none"/>
          <w:lang w:eastAsia="zh-CN" w:bidi="ar-SA"/>
        </w:rPr>
      </w:pPr>
      <w:r>
        <w:rPr>
          <w:rFonts w:hint="eastAsia" w:ascii="仿宋" w:hAnsi="仿宋" w:eastAsia="仿宋" w:cs="仿宋"/>
          <w:color w:val="auto"/>
          <w:szCs w:val="21"/>
          <w:highlight w:val="none"/>
          <w:lang w:eastAsia="zh-CN" w:bidi="ar-SA"/>
        </w:rPr>
        <w:t>10.</w:t>
      </w:r>
      <w:r>
        <w:rPr>
          <w:rFonts w:hint="eastAsia" w:ascii="仿宋" w:hAnsi="仿宋" w:eastAsia="仿宋" w:cs="仿宋"/>
          <w:bCs/>
          <w:color w:val="auto"/>
          <w:szCs w:val="21"/>
          <w:highlight w:val="none"/>
          <w:lang w:eastAsia="zh-CN" w:bidi="ar-SA"/>
        </w:rPr>
        <w:t>2.1评委打分办法</w:t>
      </w:r>
    </w:p>
    <w:p w14:paraId="43EA2A72">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bCs/>
          <w:color w:val="auto"/>
          <w:szCs w:val="21"/>
          <w:highlight w:val="none"/>
          <w:lang w:eastAsia="zh-CN" w:bidi="ar-SA"/>
        </w:rPr>
        <w:t>（1）</w:t>
      </w:r>
      <w:r>
        <w:rPr>
          <w:rFonts w:hint="eastAsia" w:ascii="仿宋" w:hAnsi="仿宋" w:eastAsia="仿宋" w:cs="仿宋"/>
          <w:color w:val="auto"/>
          <w:szCs w:val="21"/>
          <w:highlight w:val="none"/>
          <w:lang w:eastAsia="zh-CN" w:bidi="ar-SA"/>
        </w:rPr>
        <w:t>参加评分的评委应尽力体现客观、实事求是，避免学派偏见和个人偏好。</w:t>
      </w:r>
    </w:p>
    <w:p w14:paraId="16105718">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（2）衡量、对比的依据，应以招标文件、投标文件、提供的正式试验数据、质询澄清中的文字为准，口头回答和收集的资料只作为参考。</w:t>
      </w:r>
    </w:p>
    <w:p w14:paraId="33B4DD90">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（3）评分主要是为比较各供应商的价格、商务和技术综合排序。</w:t>
      </w:r>
    </w:p>
    <w:p w14:paraId="338AAAAA">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（4）评委打分采取记名形式。</w:t>
      </w:r>
    </w:p>
    <w:p w14:paraId="3B85963C">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（5）各评委根据提供的技术打分表独立自主打分，任何人不得要求评委统一打分或统一确定等次顺序。</w:t>
      </w:r>
    </w:p>
    <w:p w14:paraId="51EB1E22">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（6）对打分表中的每项条款，各评委应根据投标文件、澄清材料、招标文件要求，按满足的程度给供应商打分。</w:t>
      </w:r>
    </w:p>
    <w:p w14:paraId="2A701423">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（7）评分程序</w:t>
      </w:r>
    </w:p>
    <w:p w14:paraId="59FB30A1">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1)就供应商的投标文件对照整理出商务、技术评标因素对比表、偏差表，并在经过校核的基础上逐项打分。</w:t>
      </w:r>
    </w:p>
    <w:p w14:paraId="03F09D78">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2)各评委独立完成打分后，将评分表交给代理机构，由代理机构组织进行分数统计。</w:t>
      </w:r>
    </w:p>
    <w:p w14:paraId="022EF574">
      <w:pPr>
        <w:keepNext w:val="0"/>
        <w:keepLines w:val="0"/>
        <w:pageBreakBefore w:val="0"/>
        <w:widowControl w:val="0"/>
        <w:kinsoku/>
        <w:wordWrap/>
        <w:overflowPunct/>
        <w:topLinePunct w:val="0"/>
        <w:bidi w:val="0"/>
        <w:snapToGrid/>
        <w:spacing w:line="36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3)最终汇总表中各供应商得分应为评委打分的算术平均值。</w:t>
      </w:r>
    </w:p>
    <w:p w14:paraId="2059CB5F">
      <w:pPr>
        <w:pStyle w:val="5"/>
        <w:keepNext w:val="0"/>
        <w:keepLines w:val="0"/>
        <w:pageBreakBefore w:val="0"/>
        <w:widowControl w:val="0"/>
        <w:kinsoku/>
        <w:wordWrap/>
        <w:overflowPunct/>
        <w:topLinePunct w:val="0"/>
        <w:bidi w:val="0"/>
        <w:snapToGrid/>
        <w:spacing w:line="360" w:lineRule="exact"/>
        <w:jc w:val="left"/>
        <w:textAlignment w:val="auto"/>
        <w:rPr>
          <w:rFonts w:hint="eastAsia"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（8）评分标准和细则（综合评分法评分标准）</w:t>
      </w:r>
    </w:p>
    <w:p w14:paraId="0EAB4B94">
      <w:pPr>
        <w:pStyle w:val="5"/>
        <w:jc w:val="center"/>
        <w:rPr>
          <w:rFonts w:hint="eastAsia" w:ascii="仿宋" w:hAnsi="仿宋" w:eastAsia="仿宋" w:cs="仿宋"/>
          <w:b/>
          <w:bCs/>
          <w:color w:val="auto"/>
          <w:sz w:val="28"/>
          <w:szCs w:val="21"/>
          <w:highlight w:val="none"/>
          <w:lang w:val="en-US" w:eastAsia="zh-CN"/>
        </w:rPr>
      </w:pPr>
      <w:r>
        <w:rPr>
          <w:rFonts w:hint="eastAsia" w:ascii="仿宋" w:hAnsi="仿宋" w:eastAsia="仿宋" w:cs="仿宋"/>
          <w:b/>
          <w:bCs/>
          <w:color w:val="auto"/>
          <w:sz w:val="28"/>
          <w:szCs w:val="21"/>
          <w:highlight w:val="none"/>
          <w:lang w:val="en-US" w:eastAsia="zh-CN"/>
        </w:rPr>
        <w:t>评分标准</w:t>
      </w:r>
    </w:p>
    <w:tbl>
      <w:tblPr>
        <w:tblStyle w:val="22"/>
        <w:tblW w:w="10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8"/>
        <w:gridCol w:w="1764"/>
        <w:gridCol w:w="7013"/>
      </w:tblGrid>
      <w:tr w14:paraId="259F6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448" w:type="dxa"/>
            <w:noWrap w:val="0"/>
            <w:vAlign w:val="center"/>
          </w:tcPr>
          <w:p w14:paraId="02CBFC0B">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评分因素</w:t>
            </w:r>
          </w:p>
        </w:tc>
        <w:tc>
          <w:tcPr>
            <w:tcW w:w="1764" w:type="dxa"/>
            <w:noWrap w:val="0"/>
            <w:vAlign w:val="center"/>
          </w:tcPr>
          <w:p w14:paraId="59F91D70">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分值</w:t>
            </w:r>
          </w:p>
        </w:tc>
        <w:tc>
          <w:tcPr>
            <w:tcW w:w="7013" w:type="dxa"/>
            <w:noWrap w:val="0"/>
            <w:vAlign w:val="center"/>
          </w:tcPr>
          <w:p w14:paraId="3EBA4335">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说明</w:t>
            </w:r>
          </w:p>
        </w:tc>
      </w:tr>
      <w:tr w14:paraId="1E54AA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1" w:hRule="atLeast"/>
          <w:jc w:val="center"/>
        </w:trPr>
        <w:tc>
          <w:tcPr>
            <w:tcW w:w="1448" w:type="dxa"/>
            <w:noWrap w:val="0"/>
            <w:vAlign w:val="center"/>
          </w:tcPr>
          <w:p w14:paraId="552523ED">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报价得分</w:t>
            </w:r>
          </w:p>
          <w:p w14:paraId="16E767A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w:t>
            </w:r>
            <w:r>
              <w:rPr>
                <w:rFonts w:hint="eastAsia" w:ascii="仿宋" w:hAnsi="仿宋" w:eastAsia="仿宋" w:cs="仿宋"/>
                <w:color w:val="auto"/>
                <w:sz w:val="24"/>
                <w:szCs w:val="24"/>
                <w:highlight w:val="none"/>
                <w:lang w:val="en-US" w:eastAsia="zh-CN" w:bidi="ar-SA"/>
              </w:rPr>
              <w:t>30</w:t>
            </w:r>
            <w:r>
              <w:rPr>
                <w:rFonts w:hint="eastAsia" w:ascii="仿宋" w:hAnsi="仿宋" w:eastAsia="仿宋" w:cs="仿宋"/>
                <w:color w:val="auto"/>
                <w:sz w:val="24"/>
                <w:szCs w:val="24"/>
                <w:highlight w:val="none"/>
                <w:lang w:eastAsia="zh-CN" w:bidi="ar-SA"/>
              </w:rPr>
              <w:t>分）</w:t>
            </w:r>
          </w:p>
        </w:tc>
        <w:tc>
          <w:tcPr>
            <w:tcW w:w="1764" w:type="dxa"/>
            <w:noWrap w:val="0"/>
            <w:vAlign w:val="center"/>
          </w:tcPr>
          <w:p w14:paraId="3D10678D">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val="en-US" w:eastAsia="zh-CN" w:bidi="ar-SA"/>
              </w:rPr>
              <w:t>30</w:t>
            </w:r>
            <w:r>
              <w:rPr>
                <w:rFonts w:hint="eastAsia" w:ascii="仿宋" w:hAnsi="仿宋" w:eastAsia="仿宋" w:cs="仿宋"/>
                <w:color w:val="auto"/>
                <w:sz w:val="24"/>
                <w:szCs w:val="24"/>
                <w:highlight w:val="none"/>
                <w:lang w:eastAsia="zh-CN" w:bidi="ar-SA"/>
              </w:rPr>
              <w:t>分</w:t>
            </w:r>
          </w:p>
        </w:tc>
        <w:tc>
          <w:tcPr>
            <w:tcW w:w="7013" w:type="dxa"/>
            <w:noWrap w:val="0"/>
            <w:vAlign w:val="top"/>
          </w:tcPr>
          <w:p w14:paraId="0018946A">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价格分应当采用低价优先法计算，满足招标文件要求且报价最低的为评审基准价，价格得分=（评审基准价/投标报价）×价格权值*100。</w:t>
            </w:r>
          </w:p>
          <w:p w14:paraId="222B9AA8">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ascii="仿宋" w:hAnsi="仿宋" w:eastAsia="仿宋" w:cs="仿宋"/>
                <w:color w:val="auto"/>
                <w:sz w:val="24"/>
                <w:szCs w:val="24"/>
                <w:highlight w:val="none"/>
                <w:lang w:eastAsia="zh-CN" w:bidi="ar-SA"/>
              </w:rPr>
            </w:pPr>
            <w:r>
              <w:rPr>
                <w:rFonts w:hint="eastAsia" w:ascii="仿宋" w:hAnsi="仿宋" w:eastAsia="仿宋" w:cs="仿宋"/>
                <w:b/>
                <w:bCs/>
                <w:color w:val="auto"/>
                <w:sz w:val="24"/>
                <w:szCs w:val="24"/>
                <w:highlight w:val="none"/>
                <w:lang w:val="en-US" w:eastAsia="zh-CN"/>
              </w:rPr>
              <w:t>注：投标报价超过采购预算价的按废标处理</w:t>
            </w:r>
          </w:p>
        </w:tc>
      </w:tr>
      <w:tr w14:paraId="33EA9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4" w:hRule="atLeast"/>
          <w:jc w:val="center"/>
        </w:trPr>
        <w:tc>
          <w:tcPr>
            <w:tcW w:w="1448" w:type="dxa"/>
            <w:vMerge w:val="restart"/>
            <w:noWrap w:val="0"/>
            <w:vAlign w:val="center"/>
          </w:tcPr>
          <w:p w14:paraId="20A9A94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商务技术部分</w:t>
            </w:r>
          </w:p>
          <w:p w14:paraId="4A4CF736">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w:t>
            </w:r>
            <w:r>
              <w:rPr>
                <w:rFonts w:hint="eastAsia" w:ascii="仿宋" w:hAnsi="仿宋" w:eastAsia="仿宋" w:cs="仿宋"/>
                <w:color w:val="auto"/>
                <w:sz w:val="24"/>
                <w:szCs w:val="24"/>
                <w:highlight w:val="none"/>
                <w:lang w:val="en-US" w:eastAsia="zh-CN" w:bidi="ar-SA"/>
              </w:rPr>
              <w:t>70</w:t>
            </w:r>
            <w:r>
              <w:rPr>
                <w:rFonts w:hint="eastAsia" w:ascii="仿宋" w:hAnsi="仿宋" w:eastAsia="仿宋" w:cs="仿宋"/>
                <w:color w:val="auto"/>
                <w:sz w:val="24"/>
                <w:szCs w:val="24"/>
                <w:highlight w:val="none"/>
                <w:lang w:eastAsia="zh-CN" w:bidi="ar-SA"/>
              </w:rPr>
              <w:t>分）</w:t>
            </w:r>
          </w:p>
          <w:p w14:paraId="731A3331">
            <w:pPr>
              <w:spacing w:line="440" w:lineRule="exact"/>
              <w:ind w:firstLine="623" w:firstLineChars="257"/>
              <w:jc w:val="center"/>
              <w:rPr>
                <w:rFonts w:ascii="仿宋" w:hAnsi="仿宋" w:eastAsia="仿宋" w:cs="仿宋"/>
                <w:color w:val="auto"/>
                <w:sz w:val="24"/>
                <w:szCs w:val="24"/>
                <w:highlight w:val="none"/>
                <w:lang w:eastAsia="zh-CN" w:bidi="ar-SA"/>
              </w:rPr>
            </w:pPr>
          </w:p>
          <w:p w14:paraId="448DA695">
            <w:pPr>
              <w:spacing w:line="440" w:lineRule="exact"/>
              <w:ind w:firstLine="623" w:firstLineChars="257"/>
              <w:jc w:val="center"/>
              <w:rPr>
                <w:rFonts w:ascii="仿宋" w:hAnsi="仿宋" w:eastAsia="仿宋" w:cs="仿宋"/>
                <w:color w:val="auto"/>
                <w:sz w:val="24"/>
                <w:szCs w:val="24"/>
                <w:highlight w:val="none"/>
                <w:lang w:eastAsia="zh-CN" w:bidi="ar-SA"/>
              </w:rPr>
            </w:pPr>
          </w:p>
        </w:tc>
        <w:tc>
          <w:tcPr>
            <w:tcW w:w="1764" w:type="dxa"/>
            <w:noWrap w:val="0"/>
            <w:vAlign w:val="center"/>
          </w:tcPr>
          <w:p w14:paraId="3B8ECA6D">
            <w:pPr>
              <w:spacing w:line="440" w:lineRule="exact"/>
              <w:jc w:val="center"/>
              <w:rPr>
                <w:rFonts w:ascii="仿宋" w:hAnsi="仿宋" w:eastAsia="仿宋" w:cs="仿宋"/>
                <w:color w:val="auto"/>
                <w:sz w:val="24"/>
                <w:szCs w:val="24"/>
                <w:highlight w:val="none"/>
                <w:lang w:val="zh-CN" w:eastAsia="zh-CN" w:bidi="ar-SA"/>
              </w:rPr>
            </w:pPr>
            <w:r>
              <w:rPr>
                <w:rFonts w:hint="eastAsia" w:ascii="仿宋" w:hAnsi="仿宋" w:eastAsia="仿宋" w:cs="仿宋"/>
                <w:color w:val="auto"/>
                <w:sz w:val="24"/>
                <w:szCs w:val="24"/>
                <w:highlight w:val="none"/>
                <w:lang w:val="zh-CN" w:eastAsia="zh-CN" w:bidi="ar-SA"/>
              </w:rPr>
              <w:t>技术指标、参数响应情况</w:t>
            </w:r>
          </w:p>
          <w:p w14:paraId="32A902ED">
            <w:pPr>
              <w:spacing w:line="440" w:lineRule="exact"/>
              <w:jc w:val="center"/>
              <w:rPr>
                <w:rFonts w:ascii="仿宋" w:hAnsi="仿宋" w:eastAsia="仿宋" w:cs="仿宋"/>
                <w:color w:val="auto"/>
                <w:sz w:val="24"/>
                <w:szCs w:val="24"/>
                <w:highlight w:val="none"/>
                <w:lang w:eastAsia="zh-CN" w:bidi="ar-SA"/>
              </w:rPr>
            </w:pPr>
            <w:r>
              <w:rPr>
                <w:rFonts w:hint="eastAsia" w:ascii="仿宋" w:hAnsi="仿宋" w:eastAsia="仿宋" w:cs="仿宋"/>
                <w:color w:val="auto"/>
                <w:sz w:val="24"/>
                <w:szCs w:val="24"/>
                <w:highlight w:val="none"/>
                <w:lang w:eastAsia="zh-CN" w:bidi="ar-SA"/>
              </w:rPr>
              <w:t>（</w:t>
            </w:r>
            <w:r>
              <w:rPr>
                <w:rFonts w:hint="eastAsia" w:ascii="仿宋" w:hAnsi="仿宋" w:eastAsia="仿宋" w:cs="仿宋"/>
                <w:color w:val="auto"/>
                <w:sz w:val="24"/>
                <w:szCs w:val="24"/>
                <w:highlight w:val="none"/>
                <w:lang w:val="en-US" w:eastAsia="zh-CN" w:bidi="ar-SA"/>
              </w:rPr>
              <w:t>40</w:t>
            </w:r>
            <w:r>
              <w:rPr>
                <w:rFonts w:hint="eastAsia" w:ascii="仿宋" w:hAnsi="仿宋" w:eastAsia="仿宋" w:cs="仿宋"/>
                <w:color w:val="auto"/>
                <w:sz w:val="24"/>
                <w:szCs w:val="24"/>
                <w:highlight w:val="none"/>
                <w:lang w:eastAsia="zh-CN" w:bidi="ar-SA"/>
              </w:rPr>
              <w:t>分）</w:t>
            </w:r>
          </w:p>
        </w:tc>
        <w:tc>
          <w:tcPr>
            <w:tcW w:w="7013" w:type="dxa"/>
            <w:noWrap w:val="0"/>
            <w:vAlign w:val="top"/>
          </w:tcPr>
          <w:p w14:paraId="2EC6FAE2">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以招标文件的技术参数要求为基准，提供详细技术偏离表。根据所投产品的配置与性能指标的响应程度打分（</w:t>
            </w:r>
            <w:r>
              <w:rPr>
                <w:rFonts w:hint="eastAsia" w:ascii="仿宋" w:hAnsi="仿宋" w:eastAsia="仿宋" w:cs="仿宋"/>
                <w:b w:val="0"/>
                <w:bCs w:val="0"/>
                <w:color w:val="auto"/>
                <w:sz w:val="24"/>
                <w:szCs w:val="24"/>
                <w:highlight w:val="none"/>
                <w:lang w:val="en-US" w:eastAsia="zh-CN"/>
              </w:rPr>
              <w:t>带★技术参数指标不允许出现负偏离，出现负偏离视为不响应招标文件实质性要求，作废标处理</w:t>
            </w:r>
            <w:r>
              <w:rPr>
                <w:rFonts w:hint="eastAsia" w:ascii="仿宋" w:hAnsi="仿宋" w:eastAsia="仿宋" w:cs="仿宋"/>
                <w:b w:val="0"/>
                <w:bCs w:val="0"/>
                <w:color w:val="auto"/>
                <w:sz w:val="24"/>
                <w:szCs w:val="24"/>
                <w:highlight w:val="none"/>
                <w:lang w:eastAsia="zh-CN"/>
              </w:rPr>
              <w:t>）：</w:t>
            </w:r>
          </w:p>
          <w:p w14:paraId="00CF4CB3">
            <w:pPr>
              <w:keepNext w:val="0"/>
              <w:keepLines w:val="0"/>
              <w:pageBreakBefore w:val="0"/>
              <w:widowControl w:val="0"/>
              <w:numPr>
                <w:ilvl w:val="0"/>
                <w:numId w:val="7"/>
              </w:numPr>
              <w:shd w:val="clear" w:color="auto" w:fill="auto"/>
              <w:kinsoku/>
              <w:wordWrap/>
              <w:overflowPunct/>
              <w:topLinePunct w:val="0"/>
              <w:autoSpaceDE/>
              <w:autoSpaceDN/>
              <w:bidi w:val="0"/>
              <w:adjustRightInd/>
              <w:snapToGrid/>
              <w:spacing w:line="300" w:lineRule="exact"/>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所投产品技术参数全部满足的得</w:t>
            </w:r>
            <w:r>
              <w:rPr>
                <w:rFonts w:hint="eastAsia" w:ascii="仿宋" w:hAnsi="仿宋" w:eastAsia="仿宋" w:cs="仿宋"/>
                <w:b w:val="0"/>
                <w:bCs w:val="0"/>
                <w:color w:val="auto"/>
                <w:sz w:val="24"/>
                <w:szCs w:val="24"/>
                <w:highlight w:val="none"/>
                <w:lang w:val="en-US" w:eastAsia="zh-CN"/>
              </w:rPr>
              <w:t>35</w:t>
            </w:r>
            <w:r>
              <w:rPr>
                <w:rFonts w:hint="eastAsia" w:ascii="仿宋" w:hAnsi="仿宋" w:eastAsia="仿宋" w:cs="仿宋"/>
                <w:b w:val="0"/>
                <w:bCs w:val="0"/>
                <w:color w:val="auto"/>
                <w:sz w:val="24"/>
                <w:szCs w:val="24"/>
                <w:highlight w:val="none"/>
                <w:lang w:eastAsia="zh-CN"/>
              </w:rPr>
              <w:t>分；</w:t>
            </w:r>
          </w:p>
          <w:p w14:paraId="0C444C0A">
            <w:pPr>
              <w:keepNext w:val="0"/>
              <w:keepLines w:val="0"/>
              <w:pageBreakBefore w:val="0"/>
              <w:widowControl w:val="0"/>
              <w:numPr>
                <w:ilvl w:val="0"/>
                <w:numId w:val="7"/>
              </w:numPr>
              <w:shd w:val="clear" w:color="auto" w:fill="auto"/>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技术参数指标每优于招标文件要求的一项加</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lang w:eastAsia="zh-CN"/>
              </w:rPr>
              <w:t>分，最多加</w:t>
            </w: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lang w:eastAsia="zh-CN"/>
              </w:rPr>
              <w:t>分；</w:t>
            </w:r>
          </w:p>
          <w:p w14:paraId="50828EBC">
            <w:pPr>
              <w:keepNext w:val="0"/>
              <w:keepLines w:val="0"/>
              <w:pageBreakBefore w:val="0"/>
              <w:widowControl w:val="0"/>
              <w:numPr>
                <w:ilvl w:val="0"/>
                <w:numId w:val="7"/>
              </w:numPr>
              <w:shd w:val="clear" w:color="auto" w:fill="auto"/>
              <w:kinsoku/>
              <w:wordWrap/>
              <w:overflowPunct/>
              <w:topLinePunct w:val="0"/>
              <w:autoSpaceDE/>
              <w:autoSpaceDN/>
              <w:bidi w:val="0"/>
              <w:adjustRightInd/>
              <w:snapToGrid/>
              <w:spacing w:line="300" w:lineRule="exact"/>
              <w:ind w:left="0" w:leftChars="0" w:firstLine="0" w:firstLineChars="0"/>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非★技术参数指标允许出现负偏离，每有一项扣1分，扣完为止。</w:t>
            </w:r>
          </w:p>
          <w:p w14:paraId="1998377D">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rPr>
                <w:rFonts w:ascii="仿宋" w:hAnsi="仿宋" w:eastAsia="仿宋" w:cs="仿宋"/>
                <w:color w:val="auto"/>
                <w:sz w:val="24"/>
                <w:szCs w:val="24"/>
                <w:highlight w:val="none"/>
                <w:lang w:eastAsia="zh-CN" w:bidi="ar-SA"/>
              </w:rPr>
            </w:pPr>
            <w:r>
              <w:rPr>
                <w:rFonts w:hint="eastAsia" w:ascii="仿宋" w:hAnsi="仿宋" w:eastAsia="仿宋" w:cs="仿宋"/>
                <w:b/>
                <w:bCs/>
                <w:color w:val="auto"/>
                <w:sz w:val="24"/>
                <w:szCs w:val="24"/>
                <w:highlight w:val="none"/>
                <w:lang w:eastAsia="zh-CN"/>
              </w:rPr>
              <w:t>（注：正偏离的需提供相关证明材料，不提供的不加分）</w:t>
            </w:r>
          </w:p>
        </w:tc>
      </w:tr>
      <w:tr w14:paraId="62F09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48" w:type="dxa"/>
            <w:vMerge w:val="continue"/>
            <w:noWrap w:val="0"/>
            <w:vAlign w:val="center"/>
          </w:tcPr>
          <w:p w14:paraId="75FDE5C0">
            <w:pPr>
              <w:spacing w:line="440" w:lineRule="exact"/>
              <w:ind w:firstLine="623" w:firstLineChars="257"/>
              <w:jc w:val="center"/>
              <w:rPr>
                <w:rFonts w:ascii="仿宋" w:hAnsi="仿宋" w:eastAsia="仿宋" w:cs="仿宋"/>
                <w:color w:val="auto"/>
                <w:sz w:val="24"/>
                <w:szCs w:val="24"/>
                <w:highlight w:val="none"/>
                <w:lang w:eastAsia="zh-CN" w:bidi="ar-SA"/>
              </w:rPr>
            </w:pPr>
          </w:p>
        </w:tc>
        <w:tc>
          <w:tcPr>
            <w:tcW w:w="1764" w:type="dxa"/>
            <w:noWrap w:val="0"/>
            <w:vAlign w:val="center"/>
          </w:tcPr>
          <w:p w14:paraId="4E6A08A2">
            <w:pPr>
              <w:spacing w:line="440" w:lineRule="exact"/>
              <w:jc w:val="center"/>
              <w:rPr>
                <w:rFonts w:hint="eastAsia" w:ascii="仿宋" w:hAnsi="仿宋" w:eastAsia="仿宋"/>
                <w:b w:val="0"/>
                <w:color w:val="auto"/>
                <w:sz w:val="24"/>
                <w:szCs w:val="24"/>
                <w:highlight w:val="none"/>
                <w:lang w:eastAsia="zh-CN"/>
              </w:rPr>
            </w:pPr>
            <w:r>
              <w:rPr>
                <w:rFonts w:hint="eastAsia" w:ascii="仿宋" w:hAnsi="仿宋" w:eastAsia="仿宋"/>
                <w:b w:val="0"/>
                <w:color w:val="auto"/>
                <w:sz w:val="24"/>
                <w:szCs w:val="24"/>
                <w:highlight w:val="none"/>
              </w:rPr>
              <w:t>质保期</w:t>
            </w:r>
            <w:r>
              <w:rPr>
                <w:rFonts w:hint="eastAsia" w:ascii="仿宋" w:hAnsi="仿宋" w:eastAsia="仿宋"/>
                <w:b w:val="0"/>
                <w:color w:val="auto"/>
                <w:sz w:val="24"/>
                <w:szCs w:val="24"/>
                <w:highlight w:val="none"/>
                <w:lang w:eastAsia="zh-CN"/>
              </w:rPr>
              <w:t>（</w:t>
            </w:r>
            <w:r>
              <w:rPr>
                <w:rFonts w:hint="eastAsia" w:ascii="仿宋" w:hAnsi="仿宋" w:eastAsia="仿宋"/>
                <w:b w:val="0"/>
                <w:color w:val="auto"/>
                <w:sz w:val="24"/>
                <w:szCs w:val="24"/>
                <w:highlight w:val="none"/>
                <w:lang w:val="en-US" w:eastAsia="zh-CN"/>
              </w:rPr>
              <w:t>3分</w:t>
            </w:r>
            <w:r>
              <w:rPr>
                <w:rFonts w:hint="eastAsia" w:ascii="仿宋" w:hAnsi="仿宋" w:eastAsia="仿宋"/>
                <w:b w:val="0"/>
                <w:color w:val="auto"/>
                <w:sz w:val="24"/>
                <w:szCs w:val="24"/>
                <w:highlight w:val="none"/>
                <w:lang w:eastAsia="zh-CN"/>
              </w:rPr>
              <w:t>）</w:t>
            </w:r>
          </w:p>
        </w:tc>
        <w:tc>
          <w:tcPr>
            <w:tcW w:w="7013" w:type="dxa"/>
            <w:noWrap w:val="0"/>
            <w:vAlign w:val="center"/>
          </w:tcPr>
          <w:p w14:paraId="3BCEB606">
            <w:pPr>
              <w:keepNext w:val="0"/>
              <w:keepLines w:val="0"/>
              <w:pageBreakBefore w:val="0"/>
              <w:widowControl w:val="0"/>
              <w:shd w:val="clear" w:color="auto" w:fill="auto"/>
              <w:kinsoku/>
              <w:wordWrap/>
              <w:overflowPunct/>
              <w:topLinePunct w:val="0"/>
              <w:autoSpaceDE/>
              <w:autoSpaceDN/>
              <w:bidi w:val="0"/>
              <w:adjustRightInd/>
              <w:snapToGrid/>
              <w:spacing w:line="30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rPr>
              <w:t>质保期满足招标文件基础上，每增加1年加1分，最多加3分。</w:t>
            </w:r>
          </w:p>
        </w:tc>
      </w:tr>
      <w:tr w14:paraId="6F545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1448" w:type="dxa"/>
            <w:vMerge w:val="continue"/>
            <w:noWrap w:val="0"/>
            <w:vAlign w:val="center"/>
          </w:tcPr>
          <w:p w14:paraId="2DDCE41A">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560AA725">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售后服务方案</w:t>
            </w:r>
          </w:p>
          <w:p w14:paraId="156AB1F6">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（24分）</w:t>
            </w:r>
          </w:p>
        </w:tc>
        <w:tc>
          <w:tcPr>
            <w:tcW w:w="7013" w:type="dxa"/>
            <w:noWrap w:val="0"/>
            <w:vAlign w:val="top"/>
          </w:tcPr>
          <w:p w14:paraId="485F3E3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投标人提供了售后服务方案及措施，内容包含但不限于： </w:t>
            </w:r>
          </w:p>
          <w:p w14:paraId="4BDC98C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①质保期；</w:t>
            </w:r>
          </w:p>
          <w:p w14:paraId="100FAE4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②质保期内响应时间；</w:t>
            </w:r>
          </w:p>
          <w:p w14:paraId="48560CC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③售后服务措施、免费技术培训等；</w:t>
            </w:r>
          </w:p>
          <w:p w14:paraId="069F07B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④售后服务人员；</w:t>
            </w:r>
          </w:p>
          <w:p w14:paraId="2D7F503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⑤厂家技术支持；</w:t>
            </w:r>
          </w:p>
          <w:p w14:paraId="428B00C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⑥技术升级服务；</w:t>
            </w:r>
          </w:p>
          <w:p w14:paraId="2006D20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⑦ 质保期满后的后续维修服务等内容。</w:t>
            </w:r>
          </w:p>
          <w:p w14:paraId="730C495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⑧备品备件</w:t>
            </w:r>
            <w:r>
              <w:rPr>
                <w:rFonts w:hint="eastAsia" w:ascii="仿宋" w:hAnsi="仿宋" w:eastAsia="仿宋" w:cs="仿宋"/>
                <w:b w:val="0"/>
                <w:bCs w:val="0"/>
                <w:color w:val="auto"/>
                <w:kern w:val="2"/>
                <w:sz w:val="24"/>
                <w:szCs w:val="24"/>
                <w:highlight w:val="none"/>
                <w:lang w:val="en-US" w:eastAsia="zh-CN" w:bidi="ar-SA"/>
              </w:rPr>
              <w:t>有详细完善的备品备件库（提供清单）</w:t>
            </w:r>
          </w:p>
          <w:p w14:paraId="2E3C1F5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以上 8项内容无缺陷、科学、合理，能满足项目实际需求的得24分， 每有一项内容缺失扣 3分，每有一项内容不完整或未能满足采购需求的扣 1 分，扣完为止。</w:t>
            </w:r>
          </w:p>
        </w:tc>
      </w:tr>
      <w:tr w14:paraId="2B830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jc w:val="center"/>
        </w:trPr>
        <w:tc>
          <w:tcPr>
            <w:tcW w:w="1448" w:type="dxa"/>
            <w:vMerge w:val="continue"/>
            <w:noWrap w:val="0"/>
            <w:vAlign w:val="center"/>
          </w:tcPr>
          <w:p w14:paraId="1B0E9AF5">
            <w:pPr>
              <w:spacing w:line="440" w:lineRule="exact"/>
              <w:ind w:firstLine="623" w:firstLineChars="257"/>
              <w:rPr>
                <w:rFonts w:ascii="仿宋" w:hAnsi="仿宋" w:eastAsia="仿宋" w:cs="仿宋"/>
                <w:color w:val="auto"/>
                <w:sz w:val="24"/>
                <w:szCs w:val="24"/>
                <w:highlight w:val="none"/>
                <w:lang w:eastAsia="zh-CN" w:bidi="ar-SA"/>
              </w:rPr>
            </w:pPr>
          </w:p>
        </w:tc>
        <w:tc>
          <w:tcPr>
            <w:tcW w:w="1764" w:type="dxa"/>
            <w:noWrap w:val="0"/>
            <w:vAlign w:val="center"/>
          </w:tcPr>
          <w:p w14:paraId="11F63472">
            <w:pPr>
              <w:spacing w:line="440" w:lineRule="exact"/>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培训方案   （3分）</w:t>
            </w:r>
          </w:p>
        </w:tc>
        <w:tc>
          <w:tcPr>
            <w:tcW w:w="7013" w:type="dxa"/>
            <w:noWrap w:val="0"/>
            <w:vAlign w:val="top"/>
          </w:tcPr>
          <w:p w14:paraId="7A3B3B6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评标委员会根据投标供应商提供的培训方案（包含但不限于①组织人员培训及方式、②设备的基本 结构、性能、主要部件的构造及原理，③日常使用操作、维护保养与管理，常见故障的排除，紧急情况的处理等）进行评审：方案内容全面、完整、详细、完全符合项目实际需求， 细节考虑完善的，完全符合本项目要求，满分3分，每缺一项内容减 1 分，每有一项内容存在缺陷（缺陷指内容阐述不清晰，存在偏差或过于简略）的减 0.5 分，减完为止。未提供方案得 0 分。</w:t>
            </w:r>
          </w:p>
        </w:tc>
      </w:tr>
    </w:tbl>
    <w:p w14:paraId="455F38E6">
      <w:pPr>
        <w:keepNext w:val="0"/>
        <w:keepLines w:val="0"/>
        <w:pageBreakBefore w:val="0"/>
        <w:widowControl w:val="0"/>
        <w:kinsoku/>
        <w:wordWrap/>
        <w:overflowPunct/>
        <w:topLinePunct w:val="0"/>
        <w:autoSpaceDE/>
        <w:autoSpaceDN/>
        <w:bidi w:val="0"/>
        <w:adjustRightInd/>
        <w:snapToGrid/>
        <w:spacing w:line="40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如评标专家在检验电子标书过程中，如果由于供应商自身原因导致评标专家无法查看并检验电子标书中以上相关资料的，否决其投标。即使投标单位将原件携带至现场的，同样按无效投标处理。</w:t>
      </w:r>
    </w:p>
    <w:p w14:paraId="665A3B6E">
      <w:pPr>
        <w:pStyle w:val="44"/>
        <w:keepNext w:val="0"/>
        <w:keepLines w:val="0"/>
        <w:pageBreakBefore w:val="0"/>
        <w:widowControl w:val="0"/>
        <w:tabs>
          <w:tab w:val="left" w:pos="1701"/>
        </w:tabs>
        <w:kinsoku/>
        <w:wordWrap/>
        <w:overflowPunct/>
        <w:topLinePunct w:val="0"/>
        <w:autoSpaceDE/>
        <w:autoSpaceDN/>
        <w:bidi w:val="0"/>
        <w:adjustRightInd/>
        <w:snapToGrid/>
        <w:spacing w:line="400" w:lineRule="exact"/>
        <w:ind w:left="0"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10.2.2价格评分方法</w:t>
      </w:r>
    </w:p>
    <w:p w14:paraId="4606E0C4">
      <w:pPr>
        <w:keepNext w:val="0"/>
        <w:keepLines w:val="0"/>
        <w:pageBreakBefore w:val="0"/>
        <w:widowControl w:val="0"/>
        <w:kinsoku/>
        <w:wordWrap/>
        <w:overflowPunct/>
        <w:topLinePunct w:val="0"/>
        <w:autoSpaceDE/>
        <w:autoSpaceDN/>
        <w:bidi w:val="0"/>
        <w:adjustRightInd/>
        <w:snapToGrid/>
        <w:spacing w:line="400" w:lineRule="exact"/>
        <w:ind w:firstLine="486" w:firstLineChars="200"/>
        <w:textAlignment w:val="auto"/>
        <w:rPr>
          <w:rFonts w:ascii="仿宋" w:hAnsi="仿宋" w:eastAsia="仿宋" w:cs="仿宋"/>
          <w:color w:val="auto"/>
          <w:szCs w:val="21"/>
          <w:highlight w:val="none"/>
          <w:lang w:eastAsia="zh-CN" w:bidi="ar-SA"/>
        </w:rPr>
      </w:pPr>
      <w:r>
        <w:rPr>
          <w:rFonts w:hint="eastAsia" w:ascii="仿宋" w:hAnsi="仿宋" w:eastAsia="仿宋" w:cs="仿宋"/>
          <w:color w:val="auto"/>
          <w:szCs w:val="21"/>
          <w:highlight w:val="none"/>
          <w:lang w:eastAsia="zh-CN" w:bidi="ar-SA"/>
        </w:rPr>
        <w:t>满足招标文件技术要求且投标价格最低的投标报价为评标基准价，其价格分为满分。其他供应商的价格分别按照下列公式计算： 投标报价得分=（评标基准价/投标报价）×价格权重。</w:t>
      </w:r>
    </w:p>
    <w:p w14:paraId="39E529DA">
      <w:pPr>
        <w:spacing w:beforeLines="50" w:line="400" w:lineRule="exact"/>
        <w:jc w:val="center"/>
        <w:outlineLvl w:val="1"/>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五  推荐中标候选人</w:t>
      </w:r>
      <w:bookmarkEnd w:id="42"/>
      <w:bookmarkEnd w:id="43"/>
    </w:p>
    <w:p w14:paraId="2D5DDB1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11.1评标委员会推荐3名中标候选人，并标明排序。</w:t>
      </w:r>
    </w:p>
    <w:p w14:paraId="7598F9E1">
      <w:pPr>
        <w:spacing w:line="4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11.2如出现报价相同情况，则由招标人现场抽签确定中标候选人排名顺序。</w:t>
      </w:r>
    </w:p>
    <w:bookmarkEnd w:id="37"/>
    <w:p w14:paraId="5DA5EF26">
      <w:pPr>
        <w:snapToGrid w:val="0"/>
        <w:spacing w:line="400" w:lineRule="exact"/>
        <w:ind w:firstLine="486" w:firstLineChars="200"/>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12.无效投标条款</w:t>
      </w:r>
    </w:p>
    <w:p w14:paraId="7F42E8F9">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12.1投标文件有下列情形之一的,其投标文件拒收:</w:t>
      </w:r>
    </w:p>
    <w:p w14:paraId="135133FD">
      <w:pPr>
        <w:snapToGrid w:val="0"/>
        <w:spacing w:line="400" w:lineRule="exact"/>
        <w:rPr>
          <w:rFonts w:ascii="仿宋" w:hAnsi="仿宋" w:eastAsia="仿宋" w:cs="仿宋"/>
          <w:b/>
          <w:bCs/>
          <w:color w:val="auto"/>
          <w:szCs w:val="21"/>
          <w:highlight w:val="none"/>
          <w:lang w:eastAsia="zh-CN"/>
        </w:rPr>
      </w:pPr>
      <w:r>
        <w:rPr>
          <w:rFonts w:hint="eastAsia" w:ascii="仿宋" w:hAnsi="仿宋" w:eastAsia="仿宋" w:cs="仿宋"/>
          <w:color w:val="auto"/>
          <w:szCs w:val="21"/>
          <w:highlight w:val="none"/>
          <w:lang w:eastAsia="zh-CN"/>
        </w:rPr>
        <w:t xml:space="preserve">   </w:t>
      </w:r>
      <w:r>
        <w:rPr>
          <w:rFonts w:hint="eastAsia" w:ascii="仿宋" w:hAnsi="仿宋" w:eastAsia="仿宋" w:cs="仿宋"/>
          <w:b/>
          <w:bCs/>
          <w:color w:val="auto"/>
          <w:szCs w:val="21"/>
          <w:highlight w:val="none"/>
          <w:lang w:eastAsia="zh-CN"/>
        </w:rPr>
        <w:t xml:space="preserve"> (1) 未在开标截止时间前通过网上招标投标系统递交有效电子投标文件的，开标系统不予接收。</w:t>
      </w:r>
    </w:p>
    <w:p w14:paraId="5656809F">
      <w:pPr>
        <w:snapToGrid w:val="0"/>
        <w:spacing w:line="400" w:lineRule="exact"/>
        <w:ind w:firstLine="486" w:firstLineChars="200"/>
        <w:rPr>
          <w:rFonts w:ascii="仿宋" w:hAnsi="仿宋" w:eastAsia="仿宋" w:cs="仿宋"/>
          <w:b/>
          <w:bCs/>
          <w:color w:val="auto"/>
          <w:szCs w:val="21"/>
          <w:highlight w:val="none"/>
          <w:lang w:eastAsia="zh-CN"/>
        </w:rPr>
      </w:pPr>
      <w:r>
        <w:rPr>
          <w:rFonts w:hint="eastAsia" w:ascii="仿宋" w:hAnsi="仿宋" w:eastAsia="仿宋" w:cs="仿宋"/>
          <w:b/>
          <w:bCs/>
          <w:color w:val="auto"/>
          <w:szCs w:val="21"/>
          <w:highlight w:val="none"/>
          <w:lang w:eastAsia="zh-CN"/>
        </w:rPr>
        <w:t>（2）</w:t>
      </w:r>
      <w:r>
        <w:rPr>
          <w:rFonts w:hint="eastAsia" w:ascii="仿宋" w:hAnsi="仿宋" w:eastAsia="仿宋" w:cs="仿宋"/>
          <w:b/>
          <w:color w:val="auto"/>
          <w:szCs w:val="21"/>
          <w:highlight w:val="none"/>
          <w:lang w:eastAsia="zh-CN"/>
        </w:rPr>
        <w:t>所有供应商应在规定时间里完成投标文件的解密工作</w:t>
      </w:r>
      <w:r>
        <w:rPr>
          <w:rFonts w:hint="eastAsia" w:ascii="仿宋" w:hAnsi="仿宋" w:eastAsia="仿宋" w:cs="仿宋"/>
          <w:b/>
          <w:bCs/>
          <w:color w:val="auto"/>
          <w:szCs w:val="21"/>
          <w:highlight w:val="none"/>
          <w:lang w:eastAsia="zh-CN"/>
        </w:rPr>
        <w:t>【供应商使用其有效加密锁（CA锁）进行解密（因供应商原因未能提供有效CA锁对其投标文件进行解密的，其投标文件按无效标处理），以网上招投标系统解密倒计时为准】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lang w:eastAsia="zh-CN"/>
        </w:rPr>
        <w:t>，因系统原因未能成功解密的投标文件，可导入备份投标文件。备份投标文件也无法导入的，则投标文件被否决。</w:t>
      </w:r>
    </w:p>
    <w:p w14:paraId="127C6BFC">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12.2供应商有下列情形之一的,资格审查后其投标作无效投标处理：</w:t>
      </w:r>
    </w:p>
    <w:p w14:paraId="6E0E8E8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(1)法定代表人参加开标会议未携带有效的法定代表人身份证明原件和本人身份证的；委托代理人参加开标会议未携带有效的法定代表人授权书和本人身份证；</w:t>
      </w:r>
    </w:p>
    <w:p w14:paraId="4F870B45">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(2)供应商为本项目提供招标代理服务的；</w:t>
      </w:r>
    </w:p>
    <w:p w14:paraId="5CA6B4CF">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(3)供应商与在本项目代理机构存在相互任职或工作的；</w:t>
      </w:r>
    </w:p>
    <w:p w14:paraId="1314CDC8">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(4)投标保证金未按规定要求缴纳的；</w:t>
      </w:r>
    </w:p>
    <w:p w14:paraId="402F6A2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(5)评标专家无法查看并检验电子标书中相关资料的；</w:t>
      </w:r>
    </w:p>
    <w:p w14:paraId="7B6F1229">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(6)供应商超出营业范围投标的；</w:t>
      </w:r>
    </w:p>
    <w:p w14:paraId="2467FD3D">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(7)联合体投标未提交联合体协议的；</w:t>
      </w:r>
    </w:p>
    <w:p w14:paraId="5C670400">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(8)被暂停营业的；</w:t>
      </w:r>
    </w:p>
    <w:p w14:paraId="7C72D071">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(9)被暂停或取消投标资格的；</w:t>
      </w:r>
    </w:p>
    <w:p w14:paraId="2D5E594A">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(10)财产被接管或冻结的；</w:t>
      </w:r>
    </w:p>
    <w:p w14:paraId="4BB28F3F">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(11)供应商单位负责人为同一人或者存在控股、管理关系的不同单位的；</w:t>
      </w:r>
    </w:p>
    <w:p w14:paraId="7FC17EC3">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（12）供应商基本资格条件和特定资格条件中有一项及以上不符合要求的；</w:t>
      </w:r>
    </w:p>
    <w:p w14:paraId="6FD26354">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（13）供应商使用相同的MAC地址进行报名的；</w:t>
      </w:r>
    </w:p>
    <w:p w14:paraId="79B6F8EE">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（14）其它情形，经评标委员会提出按无效投标处理，并经公共资源交易监督部门核准的；</w:t>
      </w:r>
    </w:p>
    <w:p w14:paraId="45023ADB">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（15）供应商使用相同IP地址报名的，一经发现，监管部门将进一步核实，查实后按串通投标处理；</w:t>
      </w:r>
    </w:p>
    <w:p w14:paraId="1E3A0E8C">
      <w:pPr>
        <w:snapToGrid w:val="0"/>
        <w:spacing w:line="400" w:lineRule="exact"/>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（16）采购文件规定的其它无效投标情形。</w:t>
      </w:r>
    </w:p>
    <w:p w14:paraId="573D6A6E">
      <w:pPr>
        <w:snapToGrid w:val="0"/>
        <w:spacing w:line="4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12.3 供应商有下列情形之一的,符合性审查后其投标按无效投标处理：</w:t>
      </w:r>
    </w:p>
    <w:p w14:paraId="662256A7">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 投标文件签章、盖章不全，经评标委员会一致认定对开评标内容有实质性影响并经监督部门核准的；</w:t>
      </w:r>
    </w:p>
    <w:p w14:paraId="394ACF88">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(2)未按规定的格式填写，实质性内容不全或关键字迹模糊、无法辨认; 经监督部门核准的；</w:t>
      </w:r>
    </w:p>
    <w:p w14:paraId="4550CECC">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(4)同一供应商提交两个以上不同的投标文件或者投标报价，但采购文件规定提交备选方案的除外；</w:t>
      </w:r>
    </w:p>
    <w:p w14:paraId="6320C1D4">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(3)投标文件没有对采购文件的实质性要求和条件作出响应;</w:t>
      </w:r>
    </w:p>
    <w:p w14:paraId="6E406FC3">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(4)投标报价超出规定的投标限价或公布的采购预算的；注：供应商的投标报价各项单价均不得高于招标文件给定的单价最高限价，否则，其投标文件将按无效投标处理。</w:t>
      </w:r>
    </w:p>
    <w:p w14:paraId="2651DD42">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(5)不按评标委员会要求澄清、说明或补正的，或者评标委员会根据采购文件的规定对采购文件的计算错误进行修正后，供应商不接受修正的投标报价的。</w:t>
      </w:r>
    </w:p>
    <w:p w14:paraId="4992D6B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（6）其它情形，经评标委员会委提出按无效投标处理，并经公共资源交易监督部门核准的；</w:t>
      </w:r>
    </w:p>
    <w:p w14:paraId="022B6339">
      <w:pPr>
        <w:widowControl/>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shd w:val="clear" w:color="auto" w:fill="FFFFFF"/>
          <w:lang w:eastAsia="zh-CN"/>
        </w:rPr>
        <w:t>未按照招标文件的规定提交投标保证金的；</w:t>
      </w:r>
    </w:p>
    <w:p w14:paraId="29804036">
      <w:pPr>
        <w:widowControl/>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shd w:val="clear" w:color="auto" w:fill="FFFFFF"/>
          <w:lang w:eastAsia="zh-CN"/>
        </w:rPr>
        <w:t>投标文件含有采购人不能接受的附加条件的;</w:t>
      </w:r>
    </w:p>
    <w:p w14:paraId="23237A0F">
      <w:pPr>
        <w:tabs>
          <w:tab w:val="left" w:pos="1123"/>
        </w:tabs>
        <w:snapToGrid w:val="0"/>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（9）采购文件规定的其它无效投标情形。</w:t>
      </w:r>
    </w:p>
    <w:p w14:paraId="0163BB00">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12.4 供应商有下列情形之一的, 详细评审后其投标按无效投标处理：</w:t>
      </w:r>
    </w:p>
    <w:p w14:paraId="34635FD2">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(1)投标产品不符合必须强制执行的国家标准的；</w:t>
      </w:r>
    </w:p>
    <w:p w14:paraId="2DED06EA">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(2)供应商有串通投标、弄虚作假、行贿等违法行为；</w:t>
      </w:r>
    </w:p>
    <w:p w14:paraId="2FBB668E">
      <w:pPr>
        <w:snapToGrid w:val="0"/>
        <w:spacing w:line="4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(3)投标文件含有违反国家法律、法规的内容，或附有招标人不能接受的条件的；</w:t>
      </w:r>
    </w:p>
    <w:p w14:paraId="62F933E6">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（4）在同一项目（或同一标段）中有多个供应商有效投标报价接近最高限价，且评标委员会认为报价出现异常的，可以宣布其投标无效；</w:t>
      </w:r>
    </w:p>
    <w:p w14:paraId="6F89E998">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（5）报价明显低于其他供应商，且不能证明报价合理性的投标无效；</w:t>
      </w:r>
    </w:p>
    <w:p w14:paraId="0B2309CF">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（6）拒不确认评标委员会评审修正的投标无效；</w:t>
      </w:r>
    </w:p>
    <w:p w14:paraId="477E5C02">
      <w:pPr>
        <w:spacing w:line="360" w:lineRule="auto"/>
        <w:ind w:firstLine="364" w:firstLineChars="15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（7）其它情形，经评标委员会委提出按无效投标处理，并经公共资源交易监督部门核准的；</w:t>
      </w:r>
    </w:p>
    <w:p w14:paraId="4978B26C">
      <w:pPr>
        <w:spacing w:line="360" w:lineRule="auto"/>
        <w:ind w:firstLine="364" w:firstLineChars="15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（8）采购文件规定的其它无效投标情形。</w:t>
      </w:r>
      <w:bookmarkStart w:id="44" w:name="OLE_LINK4"/>
      <w:bookmarkStart w:id="45" w:name="_Toc469495737"/>
    </w:p>
    <w:p w14:paraId="5CE56D7F">
      <w:pPr>
        <w:rPr>
          <w:rFonts w:hint="eastAsia"/>
          <w:color w:val="auto"/>
          <w:lang w:eastAsia="zh-CN"/>
        </w:rPr>
      </w:pPr>
      <w:r>
        <w:rPr>
          <w:rFonts w:hint="eastAsia"/>
          <w:color w:val="auto"/>
          <w:lang w:eastAsia="zh-CN"/>
        </w:rPr>
        <w:br w:type="page"/>
      </w:r>
    </w:p>
    <w:p w14:paraId="127180B7">
      <w:pPr>
        <w:pStyle w:val="30"/>
        <w:rPr>
          <w:rFonts w:hint="eastAsia"/>
          <w:color w:val="auto"/>
          <w:lang w:eastAsia="zh-CN"/>
        </w:rPr>
        <w:sectPr>
          <w:headerReference r:id="rId6" w:type="default"/>
          <w:footerReference r:id="rId7" w:type="default"/>
          <w:pgSz w:w="11905" w:h="16838"/>
          <w:pgMar w:top="1440" w:right="1417" w:bottom="1440" w:left="1417" w:header="850" w:footer="992" w:gutter="0"/>
          <w:pgNumType w:fmt="decimal" w:start="1"/>
          <w:cols w:space="0" w:num="1"/>
          <w:docGrid w:type="linesAndChars" w:linePitch="325" w:charSpace="635"/>
        </w:sectPr>
      </w:pPr>
    </w:p>
    <w:p w14:paraId="3003ABFC">
      <w:pPr>
        <w:jc w:val="center"/>
        <w:rPr>
          <w:rFonts w:hint="eastAsia" w:ascii="仿宋" w:hAnsi="仿宋" w:eastAsia="仿宋" w:cs="仿宋"/>
          <w:b/>
          <w:bCs w:val="0"/>
          <w:color w:val="auto"/>
          <w:sz w:val="36"/>
          <w:szCs w:val="36"/>
          <w:highlight w:val="none"/>
          <w:lang w:eastAsia="zh-CN"/>
        </w:rPr>
      </w:pPr>
      <w:r>
        <w:rPr>
          <w:rFonts w:hint="eastAsia" w:ascii="仿宋" w:hAnsi="仿宋" w:eastAsia="仿宋" w:cs="仿宋"/>
          <w:b/>
          <w:bCs w:val="0"/>
          <w:color w:val="auto"/>
          <w:sz w:val="36"/>
          <w:szCs w:val="36"/>
          <w:highlight w:val="none"/>
          <w:lang w:eastAsia="zh-CN"/>
        </w:rPr>
        <w:t>第四部分 技术规格、数量及质量要求</w:t>
      </w:r>
      <w:bookmarkEnd w:id="38"/>
      <w:bookmarkEnd w:id="44"/>
      <w:bookmarkEnd w:id="45"/>
      <w:bookmarkStart w:id="46" w:name="_Toc267320052"/>
      <w:bookmarkStart w:id="47" w:name="_Toc340225294"/>
    </w:p>
    <w:tbl>
      <w:tblPr>
        <w:tblStyle w:val="23"/>
        <w:tblW w:w="140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139"/>
        <w:gridCol w:w="7683"/>
        <w:gridCol w:w="1033"/>
        <w:gridCol w:w="975"/>
      </w:tblGrid>
      <w:tr w14:paraId="671E0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732E8E9">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序号</w:t>
            </w:r>
          </w:p>
        </w:tc>
        <w:tc>
          <w:tcPr>
            <w:tcW w:w="3139" w:type="dxa"/>
            <w:vAlign w:val="center"/>
          </w:tcPr>
          <w:p w14:paraId="136CB123">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设备名称</w:t>
            </w:r>
          </w:p>
        </w:tc>
        <w:tc>
          <w:tcPr>
            <w:tcW w:w="7683" w:type="dxa"/>
            <w:vAlign w:val="center"/>
          </w:tcPr>
          <w:p w14:paraId="45CBDF9A">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技术参数</w:t>
            </w:r>
          </w:p>
        </w:tc>
        <w:tc>
          <w:tcPr>
            <w:tcW w:w="1033" w:type="dxa"/>
            <w:vAlign w:val="center"/>
          </w:tcPr>
          <w:p w14:paraId="08D7C446">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数量</w:t>
            </w:r>
          </w:p>
        </w:tc>
        <w:tc>
          <w:tcPr>
            <w:tcW w:w="975" w:type="dxa"/>
            <w:vAlign w:val="center"/>
          </w:tcPr>
          <w:p w14:paraId="32A47E3E">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备注</w:t>
            </w:r>
          </w:p>
        </w:tc>
      </w:tr>
      <w:tr w14:paraId="09E8E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106A38A2">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w:t>
            </w:r>
          </w:p>
        </w:tc>
        <w:tc>
          <w:tcPr>
            <w:tcW w:w="3139" w:type="dxa"/>
            <w:vAlign w:val="center"/>
          </w:tcPr>
          <w:p w14:paraId="59680627">
            <w:pPr>
              <w:jc w:val="center"/>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lang w:val="en-US" w:eastAsia="zh-CN"/>
              </w:rPr>
              <w:t>医用干燥柜</w:t>
            </w:r>
          </w:p>
        </w:tc>
        <w:tc>
          <w:tcPr>
            <w:tcW w:w="7683" w:type="dxa"/>
            <w:vAlign w:val="center"/>
          </w:tcPr>
          <w:p w14:paraId="709FF5C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外观要求：整体不锈钢外观，带侧部除湿功能，有效提高干燥效率</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显示屏和控制面板位于侧维修门处</w:t>
            </w:r>
            <w:r>
              <w:rPr>
                <w:rFonts w:hint="eastAsia" w:ascii="仿宋" w:hAnsi="仿宋" w:eastAsia="仿宋" w:cs="仿宋"/>
                <w:color w:val="auto"/>
                <w:sz w:val="28"/>
                <w:szCs w:val="28"/>
                <w:vertAlign w:val="baseline"/>
                <w:lang w:eastAsia="zh-CN"/>
              </w:rPr>
              <w:t>；</w:t>
            </w:r>
          </w:p>
          <w:p w14:paraId="49495FE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材质要求：外罩、柜体采用优质SUS304不锈钢拉丝板，板材厚度≥1.2mm，板材折边采用刨槽工艺，折边圆角小，整体缝隙小、美观</w:t>
            </w:r>
            <w:r>
              <w:rPr>
                <w:rFonts w:hint="eastAsia" w:ascii="仿宋" w:hAnsi="仿宋" w:eastAsia="仿宋" w:cs="仿宋"/>
                <w:color w:val="auto"/>
                <w:sz w:val="28"/>
                <w:szCs w:val="28"/>
                <w:vertAlign w:val="baseline"/>
                <w:lang w:eastAsia="zh-CN"/>
              </w:rPr>
              <w:t>；</w:t>
            </w:r>
          </w:p>
          <w:p w14:paraId="54D3787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舱体高度≥1600mm，满足各类导管的长度要求，避免干燥过程中导管与舱体底部接触</w:t>
            </w:r>
            <w:r>
              <w:rPr>
                <w:rFonts w:hint="eastAsia" w:ascii="仿宋" w:hAnsi="仿宋" w:eastAsia="仿宋" w:cs="仿宋"/>
                <w:color w:val="auto"/>
                <w:sz w:val="28"/>
                <w:szCs w:val="28"/>
                <w:vertAlign w:val="baseline"/>
                <w:lang w:eastAsia="zh-CN"/>
              </w:rPr>
              <w:t>；</w:t>
            </w:r>
          </w:p>
          <w:p w14:paraId="5C3A733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地脚要求：设备底部装有万向脚轮，方便设备移动</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四角装有调整脚蹄，用于设备稳固支撑</w:t>
            </w:r>
            <w:r>
              <w:rPr>
                <w:rFonts w:hint="eastAsia" w:ascii="仿宋" w:hAnsi="仿宋" w:eastAsia="仿宋" w:cs="仿宋"/>
                <w:color w:val="auto"/>
                <w:sz w:val="28"/>
                <w:szCs w:val="28"/>
                <w:vertAlign w:val="baseline"/>
                <w:lang w:eastAsia="zh-CN"/>
              </w:rPr>
              <w:t>；</w:t>
            </w:r>
          </w:p>
          <w:p w14:paraId="0599807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保温材料：腔体外壁包覆玻璃丝毡保温层，厚度≥10mm</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有效阻止热量损耗，提高干燥性能</w:t>
            </w:r>
            <w:r>
              <w:rPr>
                <w:rFonts w:hint="eastAsia" w:ascii="仿宋" w:hAnsi="仿宋" w:eastAsia="仿宋" w:cs="仿宋"/>
                <w:color w:val="auto"/>
                <w:sz w:val="28"/>
                <w:szCs w:val="28"/>
                <w:vertAlign w:val="baseline"/>
                <w:lang w:eastAsia="zh-CN"/>
              </w:rPr>
              <w:t>；</w:t>
            </w:r>
          </w:p>
          <w:p w14:paraId="0C55135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密封门材质要求：门板采用优质SUS304不锈钢拉丝板，板材厚度≥2mm，板材折边采用刨槽工艺，折边圆角小，整体缝隙小、美观</w:t>
            </w:r>
            <w:r>
              <w:rPr>
                <w:rFonts w:hint="eastAsia" w:ascii="仿宋" w:hAnsi="仿宋" w:eastAsia="仿宋" w:cs="仿宋"/>
                <w:color w:val="auto"/>
                <w:sz w:val="28"/>
                <w:szCs w:val="28"/>
                <w:vertAlign w:val="baseline"/>
                <w:lang w:eastAsia="zh-CN"/>
              </w:rPr>
              <w:t>；</w:t>
            </w:r>
          </w:p>
          <w:p w14:paraId="30B06CB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密封门结构要求：门体中部采用双层PC透明玻璃结构，通透面积大，保证可视性同时又能够有效阻隔舱体内热量损耗、降低密封门工作温度</w:t>
            </w:r>
            <w:r>
              <w:rPr>
                <w:rFonts w:hint="eastAsia" w:ascii="仿宋" w:hAnsi="仿宋" w:eastAsia="仿宋" w:cs="仿宋"/>
                <w:color w:val="auto"/>
                <w:sz w:val="28"/>
                <w:szCs w:val="28"/>
                <w:vertAlign w:val="baseline"/>
                <w:lang w:eastAsia="zh-CN"/>
              </w:rPr>
              <w:t>；</w:t>
            </w:r>
          </w:p>
          <w:p w14:paraId="4AD386D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★门密封要求：采用电磁锁，电磁锁吸合处位于门体上部和下部，整体受力均匀，保证密封效果</w:t>
            </w:r>
            <w:r>
              <w:rPr>
                <w:rFonts w:hint="eastAsia" w:ascii="仿宋" w:hAnsi="仿宋" w:eastAsia="仿宋" w:cs="仿宋"/>
                <w:color w:val="auto"/>
                <w:sz w:val="28"/>
                <w:szCs w:val="28"/>
                <w:vertAlign w:val="baseline"/>
                <w:lang w:eastAsia="zh-CN"/>
              </w:rPr>
              <w:t>；</w:t>
            </w:r>
          </w:p>
          <w:p w14:paraId="01AA0E3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密封门转轴要求：密封门固定采用上下转轴方式，隐藏式结构，转轴整体置于设备内部，开关闭合顺畅无阻滞，外形更简洁美观</w:t>
            </w:r>
            <w:r>
              <w:rPr>
                <w:rFonts w:hint="eastAsia" w:ascii="仿宋" w:hAnsi="仿宋" w:eastAsia="仿宋" w:cs="仿宋"/>
                <w:color w:val="auto"/>
                <w:sz w:val="28"/>
                <w:szCs w:val="28"/>
                <w:vertAlign w:val="baseline"/>
                <w:lang w:eastAsia="zh-CN"/>
              </w:rPr>
              <w:t>；</w:t>
            </w:r>
          </w:p>
          <w:p w14:paraId="3720522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★双门互锁功能：双扉干燥柜带有双门互锁功能，非电插锁，满足供应室隔离需求</w:t>
            </w:r>
            <w:r>
              <w:rPr>
                <w:rFonts w:hint="eastAsia" w:ascii="仿宋" w:hAnsi="仿宋" w:eastAsia="仿宋" w:cs="仿宋"/>
                <w:color w:val="auto"/>
                <w:sz w:val="28"/>
                <w:szCs w:val="28"/>
                <w:vertAlign w:val="baseline"/>
                <w:lang w:eastAsia="zh-CN"/>
              </w:rPr>
              <w:t>；</w:t>
            </w:r>
          </w:p>
          <w:p w14:paraId="5374334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维修门要求：采用优质SUS304不锈钢拉丝板，板材折边采用刨槽工艺，折边圆角小，整体缝隙小、美观</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上下双磁吸闭合方式，开关方便</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底部开散热孔，满足侧部风机散热需求，避免局部温度过高</w:t>
            </w:r>
            <w:r>
              <w:rPr>
                <w:rFonts w:hint="eastAsia" w:ascii="仿宋" w:hAnsi="仿宋" w:eastAsia="仿宋" w:cs="仿宋"/>
                <w:color w:val="auto"/>
                <w:sz w:val="28"/>
                <w:szCs w:val="28"/>
                <w:vertAlign w:val="baseline"/>
                <w:lang w:eastAsia="zh-CN"/>
              </w:rPr>
              <w:t>；</w:t>
            </w:r>
          </w:p>
          <w:p w14:paraId="346546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风机要求：交流离心风机，电容感应启动，长效免维护，顶风机风量≥1900m³/h</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最大静压≥700Pa</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噪音≤75dB</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侧风机风量≥570m³/h，最大静压≥450Pa，噪音≤72dB</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顶风机与出风口联接，采用锥形结构设计，最大限度减少风量损耗</w:t>
            </w:r>
            <w:r>
              <w:rPr>
                <w:rFonts w:hint="eastAsia" w:ascii="仿宋" w:hAnsi="仿宋" w:eastAsia="仿宋" w:cs="仿宋"/>
                <w:color w:val="auto"/>
                <w:sz w:val="28"/>
                <w:szCs w:val="28"/>
                <w:vertAlign w:val="baseline"/>
                <w:lang w:eastAsia="zh-CN"/>
              </w:rPr>
              <w:t>；</w:t>
            </w:r>
          </w:p>
          <w:p w14:paraId="450324F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风压开关：采用</w:t>
            </w:r>
            <w:r>
              <w:rPr>
                <w:rFonts w:hint="eastAsia" w:ascii="仿宋" w:hAnsi="仿宋" w:eastAsia="仿宋" w:cs="仿宋"/>
                <w:color w:val="auto"/>
                <w:sz w:val="28"/>
                <w:szCs w:val="28"/>
                <w:vertAlign w:val="baseline"/>
                <w:lang w:val="en-US" w:eastAsia="zh-CN"/>
              </w:rPr>
              <w:t>优质</w:t>
            </w:r>
            <w:r>
              <w:rPr>
                <w:rFonts w:hint="eastAsia" w:ascii="仿宋" w:hAnsi="仿宋" w:eastAsia="仿宋" w:cs="仿宋"/>
                <w:color w:val="auto"/>
                <w:sz w:val="28"/>
                <w:szCs w:val="28"/>
                <w:vertAlign w:val="baseline"/>
              </w:rPr>
              <w:t>风压开关，最小启动压力标准20Pa，设定点及间隙可调整，最小启动间隙10Pa，范围20～300Pa。当风机故障或运行中密封门开启时，风压过低，风压开关启动</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蜂鸣器报警</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显示屏提示报警信息</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程序停止运行，直至故障排除</w:t>
            </w:r>
            <w:r>
              <w:rPr>
                <w:rFonts w:hint="eastAsia" w:ascii="仿宋" w:hAnsi="仿宋" w:eastAsia="仿宋" w:cs="仿宋"/>
                <w:color w:val="auto"/>
                <w:sz w:val="28"/>
                <w:szCs w:val="28"/>
                <w:vertAlign w:val="baseline"/>
                <w:lang w:eastAsia="zh-CN"/>
              </w:rPr>
              <w:t>；</w:t>
            </w:r>
          </w:p>
          <w:p w14:paraId="0EC6298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过热保护：设备具有加热系统故障检测、保护、报警功能，采用知名品牌过热保护器，保护阶段程序停止运行，</w:t>
            </w:r>
            <w:r>
              <w:rPr>
                <w:rFonts w:hint="eastAsia" w:ascii="仿宋" w:hAnsi="仿宋" w:eastAsia="仿宋" w:cs="仿宋"/>
                <w:color w:val="auto"/>
                <w:sz w:val="28"/>
                <w:szCs w:val="28"/>
                <w:vertAlign w:val="baseline"/>
                <w:lang w:eastAsia="zh-CN"/>
              </w:rPr>
              <w:t>排除故障</w:t>
            </w:r>
            <w:r>
              <w:rPr>
                <w:rFonts w:hint="eastAsia" w:ascii="仿宋" w:hAnsi="仿宋" w:eastAsia="仿宋" w:cs="仿宋"/>
                <w:color w:val="auto"/>
                <w:sz w:val="28"/>
                <w:szCs w:val="28"/>
                <w:vertAlign w:val="baseline"/>
              </w:rPr>
              <w:t>后方可正常使用</w:t>
            </w:r>
            <w:r>
              <w:rPr>
                <w:rFonts w:hint="eastAsia" w:ascii="仿宋" w:hAnsi="仿宋" w:eastAsia="仿宋" w:cs="仿宋"/>
                <w:color w:val="auto"/>
                <w:sz w:val="28"/>
                <w:szCs w:val="28"/>
                <w:vertAlign w:val="baseline"/>
                <w:lang w:eastAsia="zh-CN"/>
              </w:rPr>
              <w:t>；</w:t>
            </w:r>
          </w:p>
          <w:p w14:paraId="58BD455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加热器要求：采用电加热方式，分布在侧风道内，减小占用空间，加热器数量≥7根，设备整体加热功率≥4.9kVA，加热箱加装品牌温度探头，精准测量空气温度，加热管含过热保护，避免安全隐患。加热箱外部粘贴隔热保温层，采用橡塑海绵，闭泡式结构、防火性能好、导热系数低、绿色环保</w:t>
            </w:r>
            <w:r>
              <w:rPr>
                <w:rFonts w:hint="eastAsia" w:ascii="仿宋" w:hAnsi="仿宋" w:eastAsia="仿宋" w:cs="仿宋"/>
                <w:color w:val="auto"/>
                <w:sz w:val="28"/>
                <w:szCs w:val="28"/>
                <w:vertAlign w:val="baseline"/>
                <w:lang w:eastAsia="zh-CN"/>
              </w:rPr>
              <w:t>；</w:t>
            </w:r>
          </w:p>
          <w:p w14:paraId="7F723DD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除湿系统要求：采用风冷换热结构，密闭结构，利用散热器对除湿风道局部散热，使风道侧壁与湿热空气产生一定温差，湿热空气在除湿风道上冷凝成水珠，从而达到除湿目的，提高对物体的干燥效率</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lang w:val="en-US" w:eastAsia="zh-CN"/>
              </w:rPr>
              <w:t>无需外接排气管路减少对通风管道的安装要求</w:t>
            </w:r>
            <w:r>
              <w:rPr>
                <w:rFonts w:hint="eastAsia" w:ascii="仿宋" w:hAnsi="仿宋" w:eastAsia="仿宋" w:cs="仿宋"/>
                <w:color w:val="auto"/>
                <w:sz w:val="28"/>
                <w:szCs w:val="28"/>
                <w:vertAlign w:val="baseline"/>
                <w:lang w:eastAsia="zh-CN"/>
              </w:rPr>
              <w:t>；</w:t>
            </w:r>
          </w:p>
          <w:p w14:paraId="2A4A8C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控制系统要求：采用高性能控制器，具有多个RS485/232接口，方便扩展设备功能</w:t>
            </w:r>
            <w:r>
              <w:rPr>
                <w:rFonts w:hint="eastAsia" w:ascii="仿宋" w:hAnsi="仿宋" w:eastAsia="仿宋" w:cs="仿宋"/>
                <w:color w:val="auto"/>
                <w:sz w:val="28"/>
                <w:szCs w:val="28"/>
                <w:vertAlign w:val="baseline"/>
                <w:lang w:eastAsia="zh-CN"/>
              </w:rPr>
              <w:t>；</w:t>
            </w:r>
          </w:p>
          <w:p w14:paraId="76414B8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★触摸屏</w:t>
            </w:r>
            <w:r>
              <w:rPr>
                <w:rFonts w:hint="eastAsia" w:ascii="仿宋" w:hAnsi="仿宋" w:eastAsia="仿宋" w:cs="仿宋"/>
                <w:color w:val="auto"/>
                <w:sz w:val="28"/>
                <w:szCs w:val="28"/>
                <w:vertAlign w:val="baseline"/>
                <w:lang w:val="en-US" w:eastAsia="zh-CN"/>
              </w:rPr>
              <w:t>≥</w:t>
            </w:r>
            <w:r>
              <w:rPr>
                <w:rFonts w:hint="eastAsia" w:ascii="仿宋" w:hAnsi="仿宋" w:eastAsia="仿宋" w:cs="仿宋"/>
                <w:color w:val="auto"/>
                <w:sz w:val="28"/>
                <w:szCs w:val="28"/>
                <w:vertAlign w:val="baseline"/>
              </w:rPr>
              <w:t>7英寸高清彩色触摸屏作为人机界面，显示程序类型、实时温度、运行时间、报警信息提示等内容</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lang w:val="en-US" w:eastAsia="zh-CN"/>
              </w:rPr>
              <w:t>提供实物照片</w:t>
            </w:r>
            <w:r>
              <w:rPr>
                <w:rFonts w:hint="eastAsia" w:ascii="仿宋" w:hAnsi="仿宋" w:eastAsia="仿宋" w:cs="仿宋"/>
                <w:color w:val="auto"/>
                <w:sz w:val="28"/>
                <w:szCs w:val="28"/>
                <w:vertAlign w:val="baseline"/>
                <w:lang w:eastAsia="zh-CN"/>
              </w:rPr>
              <w:t>）；</w:t>
            </w:r>
          </w:p>
          <w:p w14:paraId="0034B92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程序设定</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采用相互独立的开放程序，内置4套默认程序（器械、玻璃器皿、湿化瓶、导管）、2套自动程序、4套自定义程序</w:t>
            </w:r>
            <w:r>
              <w:rPr>
                <w:rFonts w:hint="eastAsia" w:ascii="仿宋" w:hAnsi="仿宋" w:eastAsia="仿宋" w:cs="仿宋"/>
                <w:color w:val="auto"/>
                <w:sz w:val="28"/>
                <w:szCs w:val="28"/>
                <w:vertAlign w:val="baseline"/>
                <w:lang w:eastAsia="zh-CN"/>
              </w:rPr>
              <w:t>；</w:t>
            </w:r>
          </w:p>
          <w:p w14:paraId="44D889A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干燥温度设置范围40℃～99℃，干燥时间设置范围1～999min，各程序参数均可调节，用户可根据需求自行设置</w:t>
            </w:r>
            <w:r>
              <w:rPr>
                <w:rFonts w:hint="eastAsia" w:ascii="仿宋" w:hAnsi="仿宋" w:eastAsia="仿宋" w:cs="仿宋"/>
                <w:color w:val="auto"/>
                <w:sz w:val="28"/>
                <w:szCs w:val="28"/>
                <w:vertAlign w:val="baseline"/>
                <w:lang w:eastAsia="zh-CN"/>
              </w:rPr>
              <w:t>；</w:t>
            </w:r>
          </w:p>
          <w:p w14:paraId="7F9E0A1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温度采集</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采用双芯温度采集系统，控温稳定</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控温精度采用PID间断式的控温方式，控温精度≤±1℃</w:t>
            </w:r>
            <w:r>
              <w:rPr>
                <w:rFonts w:hint="eastAsia" w:ascii="仿宋" w:hAnsi="仿宋" w:eastAsia="仿宋" w:cs="仿宋"/>
                <w:color w:val="auto"/>
                <w:sz w:val="28"/>
                <w:szCs w:val="28"/>
                <w:vertAlign w:val="baseline"/>
                <w:lang w:eastAsia="zh-CN"/>
              </w:rPr>
              <w:t>；</w:t>
            </w:r>
          </w:p>
          <w:p w14:paraId="2EB2BB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待机冷却功能</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程序运行结束后，若温度过高，设备自动冷却，防止烫伤</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断电记忆功能设备断电后可以记忆断电前的运行状态，恢复供电后继续断电前的程序</w:t>
            </w:r>
            <w:r>
              <w:rPr>
                <w:rFonts w:hint="eastAsia" w:ascii="仿宋" w:hAnsi="仿宋" w:eastAsia="仿宋" w:cs="仿宋"/>
                <w:color w:val="auto"/>
                <w:sz w:val="28"/>
                <w:szCs w:val="28"/>
                <w:vertAlign w:val="baseline"/>
                <w:lang w:eastAsia="zh-CN"/>
              </w:rPr>
              <w:t>；</w:t>
            </w:r>
          </w:p>
          <w:p w14:paraId="2ED1217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★容积</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w:t>
            </w:r>
            <w:r>
              <w:rPr>
                <w:rFonts w:hint="eastAsia" w:ascii="仿宋" w:hAnsi="仿宋" w:eastAsia="仿宋" w:cs="仿宋"/>
                <w:color w:val="auto"/>
                <w:sz w:val="28"/>
                <w:szCs w:val="28"/>
                <w:vertAlign w:val="baseline"/>
                <w:lang w:val="en-US" w:eastAsia="zh-CN"/>
              </w:rPr>
              <w:t>5</w:t>
            </w:r>
            <w:r>
              <w:rPr>
                <w:rFonts w:hint="eastAsia" w:ascii="仿宋" w:hAnsi="仿宋" w:eastAsia="仿宋" w:cs="仿宋"/>
                <w:color w:val="auto"/>
                <w:sz w:val="28"/>
                <w:szCs w:val="28"/>
                <w:vertAlign w:val="baseline"/>
              </w:rPr>
              <w:t>00L</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lang w:val="en-US" w:eastAsia="zh-CN"/>
              </w:rPr>
              <w:t>提供内室尺寸；</w:t>
            </w:r>
          </w:p>
          <w:p w14:paraId="3A44417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装载容量</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满载一次可处理≥</w:t>
            </w:r>
            <w:r>
              <w:rPr>
                <w:rFonts w:hint="eastAsia" w:ascii="仿宋" w:hAnsi="仿宋" w:eastAsia="仿宋" w:cs="仿宋"/>
                <w:color w:val="auto"/>
                <w:sz w:val="28"/>
                <w:szCs w:val="28"/>
                <w:vertAlign w:val="baseline"/>
                <w:lang w:val="en-US" w:eastAsia="zh-CN"/>
              </w:rPr>
              <w:t>18</w:t>
            </w:r>
            <w:r>
              <w:rPr>
                <w:rFonts w:hint="eastAsia" w:ascii="仿宋" w:hAnsi="仿宋" w:eastAsia="仿宋" w:cs="仿宋"/>
                <w:color w:val="auto"/>
                <w:sz w:val="28"/>
                <w:szCs w:val="28"/>
                <w:vertAlign w:val="baseline"/>
              </w:rPr>
              <w:t>个DIN标准器械托盘或≥</w:t>
            </w:r>
            <w:r>
              <w:rPr>
                <w:rFonts w:hint="eastAsia" w:ascii="仿宋" w:hAnsi="仿宋" w:eastAsia="仿宋" w:cs="仿宋"/>
                <w:color w:val="auto"/>
                <w:sz w:val="28"/>
                <w:szCs w:val="28"/>
                <w:vertAlign w:val="baseline"/>
                <w:lang w:val="en-US" w:eastAsia="zh-CN"/>
              </w:rPr>
              <w:t>64</w:t>
            </w:r>
            <w:r>
              <w:rPr>
                <w:rFonts w:hint="eastAsia" w:ascii="仿宋" w:hAnsi="仿宋" w:eastAsia="仿宋" w:cs="仿宋"/>
                <w:color w:val="auto"/>
                <w:sz w:val="28"/>
                <w:szCs w:val="28"/>
                <w:vertAlign w:val="baseline"/>
              </w:rPr>
              <w:t>根导管或≥3</w:t>
            </w:r>
            <w:r>
              <w:rPr>
                <w:rFonts w:hint="eastAsia" w:ascii="仿宋" w:hAnsi="仿宋" w:eastAsia="仿宋" w:cs="仿宋"/>
                <w:color w:val="auto"/>
                <w:sz w:val="28"/>
                <w:szCs w:val="28"/>
                <w:vertAlign w:val="baseline"/>
                <w:lang w:val="en-US" w:eastAsia="zh-CN"/>
              </w:rPr>
              <w:t>8</w:t>
            </w:r>
            <w:r>
              <w:rPr>
                <w:rFonts w:hint="eastAsia" w:ascii="仿宋" w:hAnsi="仿宋" w:eastAsia="仿宋" w:cs="仿宋"/>
                <w:color w:val="auto"/>
                <w:sz w:val="28"/>
                <w:szCs w:val="28"/>
                <w:vertAlign w:val="baseline"/>
              </w:rPr>
              <w:t>个湿化瓶</w:t>
            </w:r>
            <w:r>
              <w:rPr>
                <w:rFonts w:hint="eastAsia" w:ascii="仿宋" w:hAnsi="仿宋" w:eastAsia="仿宋" w:cs="仿宋"/>
                <w:color w:val="auto"/>
                <w:sz w:val="28"/>
                <w:szCs w:val="28"/>
                <w:vertAlign w:val="baseline"/>
                <w:lang w:eastAsia="zh-CN"/>
              </w:rPr>
              <w:t>；</w:t>
            </w:r>
          </w:p>
          <w:p w14:paraId="0DA141C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rPr>
            </w:pPr>
            <w:r>
              <w:rPr>
                <w:rFonts w:hint="eastAsia" w:ascii="仿宋" w:hAnsi="仿宋" w:eastAsia="仿宋" w:cs="仿宋"/>
                <w:color w:val="auto"/>
                <w:sz w:val="28"/>
                <w:szCs w:val="28"/>
                <w:vertAlign w:val="baseline"/>
              </w:rPr>
              <w:t>标准配置</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主机 1台</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格栅 9个</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DIN标准器械托盘 9个</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导管干燥架 1个（单个管架可装载</w:t>
            </w:r>
            <w:r>
              <w:rPr>
                <w:rFonts w:hint="eastAsia" w:ascii="仿宋" w:hAnsi="仿宋" w:eastAsia="仿宋" w:cs="仿宋"/>
                <w:color w:val="auto"/>
                <w:sz w:val="28"/>
                <w:szCs w:val="28"/>
                <w:vertAlign w:val="baseline"/>
                <w:lang w:val="en-US" w:eastAsia="zh-CN"/>
              </w:rPr>
              <w:t>32</w:t>
            </w:r>
            <w:r>
              <w:rPr>
                <w:rFonts w:hint="eastAsia" w:ascii="仿宋" w:hAnsi="仿宋" w:eastAsia="仿宋" w:cs="仿宋"/>
                <w:color w:val="auto"/>
                <w:sz w:val="28"/>
                <w:szCs w:val="28"/>
                <w:vertAlign w:val="baseline"/>
              </w:rPr>
              <w:t>根不同口径的导管，最多可装2个管架）</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湿化瓶干燥架 1个（单个瓶架可装载1</w:t>
            </w:r>
            <w:r>
              <w:rPr>
                <w:rFonts w:hint="eastAsia" w:ascii="仿宋" w:hAnsi="仿宋" w:eastAsia="仿宋" w:cs="仿宋"/>
                <w:color w:val="auto"/>
                <w:sz w:val="28"/>
                <w:szCs w:val="28"/>
                <w:vertAlign w:val="baseline"/>
                <w:lang w:val="en-US" w:eastAsia="zh-CN"/>
              </w:rPr>
              <w:t>9</w:t>
            </w:r>
            <w:r>
              <w:rPr>
                <w:rFonts w:hint="eastAsia" w:ascii="仿宋" w:hAnsi="仿宋" w:eastAsia="仿宋" w:cs="仿宋"/>
                <w:color w:val="auto"/>
                <w:sz w:val="28"/>
                <w:szCs w:val="28"/>
                <w:vertAlign w:val="baseline"/>
              </w:rPr>
              <w:t>个不同瓶径瓶类负载，最多可装2个瓶架）</w:t>
            </w:r>
            <w:r>
              <w:rPr>
                <w:rFonts w:hint="eastAsia" w:ascii="仿宋" w:hAnsi="仿宋" w:eastAsia="仿宋" w:cs="仿宋"/>
                <w:color w:val="auto"/>
                <w:sz w:val="28"/>
                <w:szCs w:val="28"/>
                <w:vertAlign w:val="baseline"/>
                <w:lang w:eastAsia="zh-CN"/>
              </w:rPr>
              <w:t>、</w:t>
            </w:r>
            <w:r>
              <w:rPr>
                <w:rFonts w:hint="eastAsia" w:ascii="仿宋" w:hAnsi="仿宋" w:eastAsia="仿宋" w:cs="仿宋"/>
                <w:color w:val="auto"/>
                <w:sz w:val="28"/>
                <w:szCs w:val="28"/>
                <w:vertAlign w:val="baseline"/>
              </w:rPr>
              <w:t>积水盒 1个</w:t>
            </w:r>
            <w:r>
              <w:rPr>
                <w:rFonts w:hint="eastAsia" w:ascii="仿宋" w:hAnsi="仿宋" w:eastAsia="仿宋" w:cs="仿宋"/>
                <w:color w:val="auto"/>
                <w:sz w:val="28"/>
                <w:szCs w:val="28"/>
                <w:vertAlign w:val="baseline"/>
                <w:lang w:eastAsia="zh-CN"/>
              </w:rPr>
              <w:t>。</w:t>
            </w:r>
          </w:p>
        </w:tc>
        <w:tc>
          <w:tcPr>
            <w:tcW w:w="1033" w:type="dxa"/>
            <w:vAlign w:val="center"/>
          </w:tcPr>
          <w:p w14:paraId="00727205">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5E28B9ED">
            <w:pPr>
              <w:jc w:val="center"/>
              <w:rPr>
                <w:rFonts w:hint="eastAsia" w:ascii="仿宋" w:hAnsi="仿宋" w:eastAsia="仿宋" w:cs="仿宋"/>
                <w:color w:val="auto"/>
                <w:sz w:val="28"/>
                <w:szCs w:val="28"/>
                <w:vertAlign w:val="baseline"/>
              </w:rPr>
            </w:pPr>
          </w:p>
        </w:tc>
      </w:tr>
      <w:tr w14:paraId="49B16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4EFD730">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w:t>
            </w:r>
          </w:p>
        </w:tc>
        <w:tc>
          <w:tcPr>
            <w:tcW w:w="3139" w:type="dxa"/>
            <w:vAlign w:val="center"/>
          </w:tcPr>
          <w:p w14:paraId="76B6BC84">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显微镜</w:t>
            </w:r>
          </w:p>
        </w:tc>
        <w:tc>
          <w:tcPr>
            <w:tcW w:w="7683" w:type="dxa"/>
            <w:vAlign w:val="center"/>
          </w:tcPr>
          <w:p w14:paraId="0ED133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光学系统：无限远光学校正系统；</w:t>
            </w:r>
          </w:p>
          <w:p w14:paraId="4749B9E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放大倍率：40～1000倍；</w:t>
            </w:r>
          </w:p>
          <w:p w14:paraId="6DCD7EE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载物台：钢丝传动，双层活动平台 (尺寸：210mm×140mm，移动范围： 76mm× 50mm)，双片标本夹；</w:t>
            </w:r>
          </w:p>
          <w:p w14:paraId="40D72EA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调焦机构：粗微动同轴调焦，带锁紧和限位装置，微动格值2μm，粗动行程每圈40mm，微动行程每圈0.2mm，调焦范围24mm，具备粗调限位挡块和张力调整环；</w:t>
            </w:r>
          </w:p>
          <w:p w14:paraId="2481223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聚光镜：带有孔径光阑的阿贝聚光镜，N.A. 1.25；</w:t>
            </w:r>
          </w:p>
          <w:p w14:paraId="6E97199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照明系统：内置透射光柯勒照明，长寿命3WLED光源，色温4300K～4500K，工作时间：大于20000小时，亮度可调；</w:t>
            </w:r>
          </w:p>
          <w:p w14:paraId="223CD46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观察镜筒：双目/三目观察筒可选，镜筒倾角为30°，视场数为22，瞳距调节范围为48～75mm，铰链式；</w:t>
            </w:r>
          </w:p>
          <w:p w14:paraId="5AE90FF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目镜：10X，带眼罩，F.N. 22；</w:t>
            </w:r>
          </w:p>
          <w:p w14:paraId="4B0E65B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物镜转盘：与显微镜机身固定的4孔物镜转盘；</w:t>
            </w:r>
          </w:p>
          <w:p w14:paraId="26D2339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物镜：高衬度平场消色差物镜，平场范围》25mm</w:t>
            </w:r>
          </w:p>
          <w:p w14:paraId="2091863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4X（N.A. 0.10,W.D. 21.5）</w:t>
            </w:r>
          </w:p>
          <w:p w14:paraId="360E27A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10X（N.A. 0.25,W.D7.5）</w:t>
            </w:r>
          </w:p>
          <w:p w14:paraId="741C051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40X（N.A. 0.65,W.D. 0.65）</w:t>
            </w:r>
          </w:p>
          <w:p w14:paraId="6444136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100X（N.A. 1.25,W.D. 0.185 oil）；</w:t>
            </w:r>
          </w:p>
          <w:p w14:paraId="36C2F6B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防霉装置：观察筒、目镜、物镜都做了防霉处理；</w:t>
            </w:r>
          </w:p>
          <w:p w14:paraId="2C4FF1F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荧光照明装置：LED荧光模块，光源为进口长寿命光源，即开即用，响应时间纳秒级别，激发波长：B激发：460～490nm。</w:t>
            </w:r>
          </w:p>
        </w:tc>
        <w:tc>
          <w:tcPr>
            <w:tcW w:w="1033" w:type="dxa"/>
            <w:vAlign w:val="center"/>
          </w:tcPr>
          <w:p w14:paraId="64FE018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0D7F2C96">
            <w:pPr>
              <w:jc w:val="center"/>
              <w:rPr>
                <w:rFonts w:hint="eastAsia" w:ascii="仿宋" w:hAnsi="仿宋" w:eastAsia="仿宋" w:cs="仿宋"/>
                <w:color w:val="auto"/>
                <w:sz w:val="28"/>
                <w:szCs w:val="28"/>
                <w:vertAlign w:val="baseline"/>
              </w:rPr>
            </w:pPr>
          </w:p>
        </w:tc>
      </w:tr>
      <w:tr w14:paraId="2A6D5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44E6974E">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w:t>
            </w:r>
          </w:p>
        </w:tc>
        <w:tc>
          <w:tcPr>
            <w:tcW w:w="3139" w:type="dxa"/>
            <w:vAlign w:val="center"/>
          </w:tcPr>
          <w:p w14:paraId="74B6A133">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高流量湿化氧疗仪</w:t>
            </w:r>
          </w:p>
        </w:tc>
        <w:tc>
          <w:tcPr>
            <w:tcW w:w="7683" w:type="dxa"/>
            <w:vAlign w:val="center"/>
          </w:tcPr>
          <w:p w14:paraId="5E8D2D0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预期用途：适用于有自主呼吸的患者，通过提供一定流量加温湿化的呼吸气体进行有效的呼吸治疗，适用于需要湿化治疗、氧气治疗、气管插管和气管切开的患者；</w:t>
            </w:r>
          </w:p>
          <w:p w14:paraId="0FD34B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具备中文操作界面；</w:t>
            </w:r>
          </w:p>
          <w:p w14:paraId="07D7CE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≥4英寸彩屏显示：可同时监测温度、氧浓度、流量等参数；</w:t>
            </w:r>
          </w:p>
          <w:p w14:paraId="2CCC552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支持高流量模式、低流量模式；</w:t>
            </w:r>
          </w:p>
          <w:p w14:paraId="3F67DD6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流量设置调节范围：2～80L/min，支持1L和5L两种流量调节步长，流量2L～25L/min时调节步长为1L/min，流量25L～80L/min时调节步长为5L/min；</w:t>
            </w:r>
          </w:p>
          <w:p w14:paraId="5EF9FDF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温度设置调节范围值为：31℃～37℃，步长1℃；</w:t>
            </w:r>
          </w:p>
          <w:p w14:paraId="02DC0EE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具有湿度补偿功能，7档可调，可根据环境变化手动湿度档位；</w:t>
            </w:r>
          </w:p>
          <w:p w14:paraId="3FE455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一体化加温湿化器，湿度输出范围：33～44mg/L；</w:t>
            </w:r>
          </w:p>
          <w:p w14:paraId="7518A4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氧浓度监测范围：21%～100%，精确度为±3%；</w:t>
            </w:r>
          </w:p>
          <w:p w14:paraId="7C67979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预热时间：10分钟达到31℃，30分钟达到37℃；</w:t>
            </w:r>
          </w:p>
          <w:p w14:paraId="7714C94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支持干燥模式：用于干燥管路，模式运行99 min；</w:t>
            </w:r>
          </w:p>
          <w:p w14:paraId="0ED7856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主机免消毒模式，呼吸管路转接头采用完全独立的气路设计，主机气路免消毒；</w:t>
            </w:r>
          </w:p>
          <w:p w14:paraId="17C14F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机器带有高密度过滤棉，过滤效果大于99%；</w:t>
            </w:r>
          </w:p>
          <w:p w14:paraId="58CF1CA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提供与主机配套使用的原厂同品牌耗材，耗材具备独立的注册证，包括加温呼吸管路、患者连接界面； </w:t>
            </w:r>
          </w:p>
          <w:p w14:paraId="37BC13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提供自动注水湿化罐；</w:t>
            </w:r>
          </w:p>
          <w:p w14:paraId="05CC8B9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提供配套移动台车；</w:t>
            </w:r>
          </w:p>
          <w:p w14:paraId="10BE094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机器具有 USB 接口，可实现多方式等数据传输功能；</w:t>
            </w:r>
          </w:p>
          <w:p w14:paraId="2D8237D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配备视觉报警信号和声音报警信号，在使用过程中产生报警时操作者位于治疗仪正前方，面对液晶显示屏幕，可以清晰观察到视觉报警信号；</w:t>
            </w:r>
          </w:p>
          <w:p w14:paraId="7D78F6C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报警状态按照优先级别反应，影响氧气输送和湿度输送的报警应立刻做出反应；</w:t>
            </w:r>
          </w:p>
          <w:p w14:paraId="3AF6EBB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提示功能：内部故障、呼吸管路报警，漏气报警，阻塞报警，氧气浓度低报警，氧气浓度高报警，无法达到目标流量报警，检查水量报警，无法达到目标温度、检查工作条件、断电报警，超温报警，氧气压力低报警，氧气压力高报警，出气口故障报警等；</w:t>
            </w:r>
          </w:p>
          <w:p w14:paraId="46B91E0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具备独立的静音键，提供快速复位静音功能。</w:t>
            </w:r>
          </w:p>
        </w:tc>
        <w:tc>
          <w:tcPr>
            <w:tcW w:w="1033" w:type="dxa"/>
            <w:vAlign w:val="center"/>
          </w:tcPr>
          <w:p w14:paraId="30F3EBD8">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725713DF">
            <w:pPr>
              <w:jc w:val="center"/>
              <w:rPr>
                <w:rFonts w:hint="eastAsia" w:ascii="仿宋" w:hAnsi="仿宋" w:eastAsia="仿宋" w:cs="仿宋"/>
                <w:color w:val="auto"/>
                <w:sz w:val="28"/>
                <w:szCs w:val="28"/>
                <w:vertAlign w:val="baseline"/>
              </w:rPr>
            </w:pPr>
          </w:p>
        </w:tc>
      </w:tr>
      <w:tr w14:paraId="73B57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CC66320">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w:t>
            </w:r>
          </w:p>
        </w:tc>
        <w:tc>
          <w:tcPr>
            <w:tcW w:w="3139" w:type="dxa"/>
            <w:vAlign w:val="center"/>
          </w:tcPr>
          <w:p w14:paraId="5FDADD29">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胰岛素泵</w:t>
            </w:r>
          </w:p>
        </w:tc>
        <w:tc>
          <w:tcPr>
            <w:tcW w:w="7683" w:type="dxa"/>
            <w:vAlign w:val="center"/>
          </w:tcPr>
          <w:p w14:paraId="0DDCBD1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适用范围：产品适用于有必要进行胰岛素输注治疗的糖尿病患者；</w:t>
            </w:r>
          </w:p>
          <w:p w14:paraId="37960B8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蓝牙联接：支持；</w:t>
            </w:r>
          </w:p>
          <w:p w14:paraId="4066BEA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手机APP管理：支持，通过APP查看胰岛素泵的使用情况；</w:t>
            </w:r>
          </w:p>
          <w:p w14:paraId="5DDAFC0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设备管理：APP可自定义编辑设备名称、使用科室、床位号、患者姓名；</w:t>
            </w:r>
          </w:p>
          <w:p w14:paraId="4E854D5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数据管理：APP可生成治疗日报告和周期报告，支持无线局域网一键打印；</w:t>
            </w:r>
          </w:p>
          <w:p w14:paraId="481F2F9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电脑PC端操作：电脑端可设置胰岛素泵治疗方案，内容包括：基础率、三餐大剂量预设值、脉冲周期、日总量限量、大剂量限量、报警方式、用餐提示、测血糖提示等，推送给手机APP后手机端可一键设置；</w:t>
            </w:r>
          </w:p>
          <w:p w14:paraId="2AE5B3B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在线咨询功能：APP支持在线咨询，电脑端支持在线回复；</w:t>
            </w:r>
          </w:p>
          <w:p w14:paraId="27DB08D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屏幕背景色彩：三种；</w:t>
            </w:r>
          </w:p>
          <w:p w14:paraId="327AE8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全中文菜单显示，易用易懂；</w:t>
            </w:r>
          </w:p>
          <w:p w14:paraId="04AC13C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胰岛素种类：U-100和U-40两种可选，两种浓度胰岛素可以智能换算，短效和速效可选；</w:t>
            </w:r>
          </w:p>
          <w:p w14:paraId="34EC414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基础率分段：48段；</w:t>
            </w:r>
          </w:p>
          <w:p w14:paraId="2FA8FF9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基础率设置：自动分配基础率、个性化设置基础率；</w:t>
            </w:r>
          </w:p>
          <w:p w14:paraId="6E319CB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数据库：速效数据库、短效数据库；</w:t>
            </w:r>
          </w:p>
          <w:p w14:paraId="2C8F388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基础率设置范围：常规范围 0～5 U/h；</w:t>
            </w:r>
          </w:p>
          <w:p w14:paraId="4DF852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临基率设置范围：速度设置范围为基础率设置值的0～250%，时间设置范围0～24小时；</w:t>
            </w:r>
          </w:p>
          <w:p w14:paraId="7A2F0A3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基础率增幅：默认值0.05U、0.1U、0.5U；</w:t>
            </w:r>
          </w:p>
          <w:p w14:paraId="60B2A2E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防水等级标准：IPX8；</w:t>
            </w:r>
          </w:p>
          <w:p w14:paraId="7210C1D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长餐模式：基础输注、临基输注、方波输注、双波输注</w:t>
            </w:r>
          </w:p>
          <w:p w14:paraId="38F9C46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大剂量预设：有；</w:t>
            </w:r>
          </w:p>
          <w:p w14:paraId="00593D5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大剂量设置范围：0.1～88U；</w:t>
            </w:r>
          </w:p>
          <w:p w14:paraId="453D21B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大剂量增幅：0.1U；</w:t>
            </w:r>
          </w:p>
          <w:p w14:paraId="1DF2C27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大剂量输注速度：可调；</w:t>
            </w:r>
          </w:p>
          <w:p w14:paraId="5428615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螺杆复位形式：自动复位，电机驱动；</w:t>
            </w:r>
          </w:p>
          <w:p w14:paraId="792A378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最大装药量：3.05 毫升(305U)；</w:t>
            </w:r>
          </w:p>
          <w:p w14:paraId="77D4CAC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血糖目标：最多48个；</w:t>
            </w:r>
          </w:p>
          <w:p w14:paraId="0BA1AFE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碳水化合物系数：最多48个；</w:t>
            </w:r>
          </w:p>
          <w:p w14:paraId="045B314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胰岛素敏感系数：最多48个；</w:t>
            </w:r>
          </w:p>
          <w:p w14:paraId="66BDB4A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大剂量输注速度：可调整，5s、10s、15s、20s四种脉冲周期；</w:t>
            </w:r>
          </w:p>
          <w:p w14:paraId="32630A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剂量限制功能：每次大剂量限制、每小时基础量限制、日总量限制；</w:t>
            </w:r>
          </w:p>
          <w:p w14:paraId="31191FB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保护功能：按键自动上锁、儿童锁防止误操作、医生凭密码设置、工程师凭密码设置；</w:t>
            </w:r>
          </w:p>
          <w:p w14:paraId="3E06B81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警示项目：阻塞、低药量、药完、低电量、用餐、测血糖、闹铃；</w:t>
            </w:r>
          </w:p>
          <w:p w14:paraId="6A36155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报警方式：蜂鸣、震动报警；</w:t>
            </w:r>
          </w:p>
          <w:p w14:paraId="4B4B321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堵塞剂量可调；</w:t>
            </w:r>
          </w:p>
          <w:p w14:paraId="591BBA4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低药量报警阈值可设；</w:t>
            </w:r>
          </w:p>
          <w:p w14:paraId="3E5CCB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日总量回顾记录：100条以上；</w:t>
            </w:r>
          </w:p>
          <w:p w14:paraId="5CAA14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基础率回顾记录：100条以上；</w:t>
            </w:r>
          </w:p>
          <w:p w14:paraId="608F794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大剂量回顾记录：100条以上；  </w:t>
            </w:r>
          </w:p>
          <w:p w14:paraId="70C26E8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排气回顾记录：100条以上；  </w:t>
            </w:r>
          </w:p>
          <w:p w14:paraId="3B3ACE4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报警回顾记录：100条以上。</w:t>
            </w:r>
          </w:p>
        </w:tc>
        <w:tc>
          <w:tcPr>
            <w:tcW w:w="1033" w:type="dxa"/>
            <w:vAlign w:val="center"/>
          </w:tcPr>
          <w:p w14:paraId="4E725D10">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43F953E0">
            <w:pPr>
              <w:jc w:val="center"/>
              <w:rPr>
                <w:rFonts w:hint="eastAsia" w:ascii="仿宋" w:hAnsi="仿宋" w:eastAsia="仿宋" w:cs="仿宋"/>
                <w:color w:val="auto"/>
                <w:sz w:val="28"/>
                <w:szCs w:val="28"/>
                <w:vertAlign w:val="baseline"/>
              </w:rPr>
            </w:pPr>
          </w:p>
        </w:tc>
      </w:tr>
      <w:tr w14:paraId="0019E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60F69DC3">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5</w:t>
            </w:r>
          </w:p>
        </w:tc>
        <w:tc>
          <w:tcPr>
            <w:tcW w:w="3139" w:type="dxa"/>
            <w:vAlign w:val="center"/>
          </w:tcPr>
          <w:p w14:paraId="4DC2CE9B">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雾化器</w:t>
            </w:r>
          </w:p>
        </w:tc>
        <w:tc>
          <w:tcPr>
            <w:tcW w:w="7683" w:type="dxa"/>
            <w:vAlign w:val="center"/>
          </w:tcPr>
          <w:p w14:paraId="5A3A8C5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输入电压：220∨(-15%,+10%)，输入频率50Hz±1Hz；</w:t>
            </w:r>
          </w:p>
          <w:p w14:paraId="0F6DFB8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额定电压：220V，额定频率50Hz；</w:t>
            </w:r>
          </w:p>
          <w:p w14:paraId="2A86E5F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输入功率：200VA；</w:t>
            </w:r>
          </w:p>
          <w:p w14:paraId="39F0E15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喷雾速率：≥0.2mL/min；</w:t>
            </w:r>
          </w:p>
          <w:p w14:paraId="16A2E83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药液残留量：≤1.0mL；</w:t>
            </w:r>
          </w:p>
          <w:p w14:paraId="4C874FB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雾粒中位粒径：3.9μm±25%米；</w:t>
            </w:r>
          </w:p>
          <w:p w14:paraId="06537C3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雾粒等效体积粒径分布曲线图测试条件：环境温度20℃±5℃，湿度50%～75%，测试溶液0.9%生理盐水；</w:t>
            </w:r>
          </w:p>
          <w:p w14:paraId="7ACEFFC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雾化器所产生的压力范围：正常工作条件下雾化器所产生的压力范围是60kPa～150kPa，当雾化器发生异常情况时雾化器所产生的最大压力范围是150kPa～400kPa；</w:t>
            </w:r>
          </w:p>
          <w:p w14:paraId="7C7AC6B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气体流量：≥7L/min；</w:t>
            </w:r>
          </w:p>
          <w:p w14:paraId="38C8F5D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工作噪声：≤60dB(A)；</w:t>
            </w:r>
          </w:p>
          <w:p w14:paraId="77E5BD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熔丝管：T1.6AL250V，φ3.6×11；</w:t>
            </w:r>
          </w:p>
          <w:p w14:paraId="01C4D3E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正常工作条件：环境温度+10℃～+40℃ 、相对湿度30%75%、大气压力86kPa～106kPa；</w:t>
            </w:r>
          </w:p>
          <w:p w14:paraId="0E7AFC5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运输和贮存环境限制条件：环境温度-40℃～+55℃、相对湿度10%～93%、大气压力70kPa～106kPa；</w:t>
            </w:r>
          </w:p>
          <w:p w14:paraId="3FA7D10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对电击防护：I类ME设备1；</w:t>
            </w:r>
          </w:p>
          <w:p w14:paraId="3B95B95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应用部分：BF型应用部分；</w:t>
            </w:r>
          </w:p>
          <w:p w14:paraId="273AA1E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对有害进液和颗粒物质的防护：IP2；</w:t>
            </w:r>
          </w:p>
          <w:p w14:paraId="3671AA5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按与空气混合的易燃麻醉气或与氧或氧化亚氮混合的易燃麻醉气情况下使用时的安全程度分类：非AP/非APG型；</w:t>
            </w:r>
          </w:p>
          <w:p w14:paraId="007245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运行模式：连续运行。</w:t>
            </w:r>
          </w:p>
        </w:tc>
        <w:tc>
          <w:tcPr>
            <w:tcW w:w="1033" w:type="dxa"/>
            <w:vAlign w:val="center"/>
          </w:tcPr>
          <w:p w14:paraId="66B34FCD">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2个</w:t>
            </w:r>
          </w:p>
        </w:tc>
        <w:tc>
          <w:tcPr>
            <w:tcW w:w="975" w:type="dxa"/>
            <w:vAlign w:val="center"/>
          </w:tcPr>
          <w:p w14:paraId="2F0D95CB">
            <w:pPr>
              <w:jc w:val="center"/>
              <w:rPr>
                <w:rFonts w:hint="eastAsia" w:ascii="仿宋" w:hAnsi="仿宋" w:eastAsia="仿宋" w:cs="仿宋"/>
                <w:color w:val="auto"/>
                <w:sz w:val="28"/>
                <w:szCs w:val="28"/>
                <w:vertAlign w:val="baseline"/>
              </w:rPr>
            </w:pPr>
          </w:p>
        </w:tc>
      </w:tr>
      <w:tr w14:paraId="56F7E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1CC0459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6</w:t>
            </w:r>
          </w:p>
        </w:tc>
        <w:tc>
          <w:tcPr>
            <w:tcW w:w="3139" w:type="dxa"/>
            <w:vAlign w:val="center"/>
          </w:tcPr>
          <w:p w14:paraId="2EF08012">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输液泵</w:t>
            </w:r>
          </w:p>
        </w:tc>
        <w:tc>
          <w:tcPr>
            <w:tcW w:w="7683" w:type="dxa"/>
            <w:vAlign w:val="center"/>
          </w:tcPr>
          <w:p w14:paraId="765C07F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输液精度≤±5%；</w:t>
            </w:r>
          </w:p>
          <w:p w14:paraId="7D4FB7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速率范围：0.1～1500ml/h；</w:t>
            </w:r>
          </w:p>
          <w:p w14:paraId="6F7856E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预置输液总量范围：0.1～9999ml；</w:t>
            </w:r>
          </w:p>
          <w:p w14:paraId="75B57B8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快进流速范围：0.1～1500ml/h；</w:t>
            </w:r>
          </w:p>
          <w:p w14:paraId="17F8930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 ml/h 和滴/min 两种流速单位；</w:t>
            </w:r>
          </w:p>
          <w:p w14:paraId="3183CB0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屏幕≥2.5 英寸，同屏显示：速度、当前注射状态、累计量、电池状态、报警压力档位和在线压力等信息；</w:t>
            </w:r>
          </w:p>
          <w:p w14:paraId="2AB1B0E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锁屏功能：支持自动锁屏，自动锁屏时间可调；</w:t>
            </w:r>
          </w:p>
          <w:p w14:paraId="0D54C6F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在线滴定功能：安全不中断输液而更改速率；</w:t>
            </w:r>
          </w:p>
          <w:p w14:paraId="397101C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分低级、中级、高级三级报警，可实现声光报警提示，同时显示具体报警信息；</w:t>
            </w:r>
          </w:p>
          <w:p w14:paraId="26678C0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在线动态压力监测，可实时显示当前压力数值；</w:t>
            </w:r>
          </w:p>
          <w:p w14:paraId="47A122E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压力报警阈值可调；</w:t>
            </w:r>
          </w:p>
          <w:p w14:paraId="03F77D8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电池工作时间≥4 小时@25ml/h，可升级至≥8 小时@25ml/h；</w:t>
            </w:r>
          </w:p>
          <w:p w14:paraId="715AB36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接口支持 RS232 数据传输、护士呼叫、DC 输入功能；</w:t>
            </w:r>
          </w:p>
          <w:p w14:paraId="06F45EC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可升级无线模块，实现无线联网监测；</w:t>
            </w:r>
          </w:p>
          <w:p w14:paraId="615FB40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泵片用防水膜保护，防止药液进入机器内部，便于清洁和消毒；</w:t>
            </w:r>
          </w:p>
          <w:p w14:paraId="6F0F383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主机自带提手，方便携带。</w:t>
            </w:r>
          </w:p>
        </w:tc>
        <w:tc>
          <w:tcPr>
            <w:tcW w:w="1033" w:type="dxa"/>
            <w:vAlign w:val="center"/>
          </w:tcPr>
          <w:p w14:paraId="366E4932">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3台</w:t>
            </w:r>
          </w:p>
        </w:tc>
        <w:tc>
          <w:tcPr>
            <w:tcW w:w="975" w:type="dxa"/>
            <w:vAlign w:val="center"/>
          </w:tcPr>
          <w:p w14:paraId="452C23BA">
            <w:pPr>
              <w:jc w:val="center"/>
              <w:rPr>
                <w:rFonts w:hint="eastAsia" w:ascii="仿宋" w:hAnsi="仿宋" w:eastAsia="仿宋" w:cs="仿宋"/>
                <w:color w:val="auto"/>
                <w:sz w:val="28"/>
                <w:szCs w:val="28"/>
                <w:vertAlign w:val="baseline"/>
              </w:rPr>
            </w:pPr>
          </w:p>
        </w:tc>
      </w:tr>
      <w:tr w14:paraId="2448D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14B454A">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w:t>
            </w:r>
          </w:p>
        </w:tc>
        <w:tc>
          <w:tcPr>
            <w:tcW w:w="3139" w:type="dxa"/>
            <w:vAlign w:val="center"/>
          </w:tcPr>
          <w:p w14:paraId="0BE4CFC9">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电子血压计</w:t>
            </w:r>
          </w:p>
        </w:tc>
        <w:tc>
          <w:tcPr>
            <w:tcW w:w="7683" w:type="dxa"/>
            <w:vAlign w:val="center"/>
          </w:tcPr>
          <w:p w14:paraId="38D3105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全程语音播报，血压测量更方便，柔色背光大屏，夜间也能看清50组记忆值，一键查看血压变化，一键静音，快速切换无声模式，不规则脉波提示/三次测量平均值/时间日期显示；</w:t>
            </w:r>
          </w:p>
          <w:p w14:paraId="608EA1D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测量方式：示波测定法；</w:t>
            </w:r>
          </w:p>
          <w:p w14:paraId="3CBA244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显示方式：LCD数字显示；</w:t>
            </w:r>
          </w:p>
          <w:p w14:paraId="7529C58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适用臂围：22～32cm；</w:t>
            </w:r>
          </w:p>
          <w:p w14:paraId="2702A7A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压力测量范围：（0-300)mmHg/(0.0-40.0)kPa，精度±3mmHg(+0.4kPa)以内；</w:t>
            </w:r>
          </w:p>
          <w:p w14:paraId="6E6F789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脉率测量范围：（40~200）次/分钟，精度读数的+5%以内。</w:t>
            </w:r>
          </w:p>
          <w:p w14:paraId="5726C54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包装内容：收纳袋、电子血压计、臂带、说明书（附保修卡)、USB数据线*1。</w:t>
            </w:r>
          </w:p>
        </w:tc>
        <w:tc>
          <w:tcPr>
            <w:tcW w:w="1033" w:type="dxa"/>
            <w:vAlign w:val="center"/>
          </w:tcPr>
          <w:p w14:paraId="1B30B011">
            <w:pPr>
              <w:jc w:val="center"/>
              <w:rPr>
                <w:rFonts w:hint="default" w:ascii="仿宋" w:hAnsi="仿宋" w:eastAsia="仿宋" w:cs="仿宋"/>
                <w:color w:val="auto"/>
                <w:sz w:val="28"/>
                <w:szCs w:val="28"/>
                <w:highlight w:val="none"/>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75D08F69">
            <w:pPr>
              <w:jc w:val="center"/>
              <w:rPr>
                <w:rFonts w:hint="eastAsia" w:ascii="仿宋" w:hAnsi="仿宋" w:eastAsia="仿宋" w:cs="仿宋"/>
                <w:color w:val="auto"/>
                <w:sz w:val="28"/>
                <w:szCs w:val="28"/>
                <w:vertAlign w:val="baseline"/>
              </w:rPr>
            </w:pPr>
          </w:p>
        </w:tc>
      </w:tr>
      <w:tr w14:paraId="335AE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4463572">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8</w:t>
            </w:r>
          </w:p>
        </w:tc>
        <w:tc>
          <w:tcPr>
            <w:tcW w:w="3139" w:type="dxa"/>
            <w:vAlign w:val="center"/>
          </w:tcPr>
          <w:p w14:paraId="333692DE">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高频电刀</w:t>
            </w:r>
          </w:p>
        </w:tc>
        <w:tc>
          <w:tcPr>
            <w:tcW w:w="7683" w:type="dxa"/>
            <w:vAlign w:val="center"/>
          </w:tcPr>
          <w:p w14:paraId="50D634F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输出功率：≥320W；</w:t>
            </w:r>
          </w:p>
          <w:p w14:paraId="4BB6188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单双极功能，适用于全科室；</w:t>
            </w:r>
          </w:p>
          <w:p w14:paraId="36C69FA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六种输出模式：①切割、②混切1、③混切2、④电凝1、⑤电凝2、⑥双极电凝；</w:t>
            </w:r>
          </w:p>
          <w:p w14:paraId="1658B22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具有功率自动补偿系统；</w:t>
            </w:r>
          </w:p>
          <w:p w14:paraId="38A6A73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全悬浮输出，防止低频电流对人体造成的伤害；</w:t>
            </w:r>
          </w:p>
          <w:p w14:paraId="286CB0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具有高性能的病人回路电极板接触质量检测系统（REM），具备中性电极面积检测功能，实时监测中性电极与病人皮肤的接触，一旦接触面积减少机器自动报警并停止输出；</w:t>
            </w:r>
          </w:p>
          <w:p w14:paraId="1946E4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具备功率反馈识别功能，即：组织密度及时反馈，可及时检测组织阻抗大小的变化，输出功率大小自动调节以维持功率的恒定；</w:t>
            </w:r>
          </w:p>
          <w:p w14:paraId="0878C24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既可手动输出，也可脚控输出；</w:t>
            </w:r>
          </w:p>
          <w:p w14:paraId="6C5ABA1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采用CPU控制，可记忆关机前的工作状态；</w:t>
            </w:r>
          </w:p>
          <w:p w14:paraId="35EF74D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具有开机自检功能，可有效判定外围配件是否良好并有代码报警提示；</w:t>
            </w:r>
          </w:p>
          <w:p w14:paraId="16750D8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无外置风扇自然散热，适用于层流净化手术室；</w:t>
            </w:r>
          </w:p>
          <w:p w14:paraId="544B507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具备额定功率过压保护功能，即：实际输出功率高于设定值时停止输出；</w:t>
            </w:r>
          </w:p>
          <w:p w14:paraId="0317D57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具备高频漏电流保护功能；</w:t>
            </w:r>
          </w:p>
          <w:p w14:paraId="044880E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具备闭环回路功率校准电路；</w:t>
            </w:r>
          </w:p>
          <w:p w14:paraId="6E91FFB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★双极负载200Ω，单极负载500Ω，可做水下切割，包括富脂区的组织切割；</w:t>
            </w:r>
          </w:p>
          <w:p w14:paraId="033BC96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★工作频率：360～460kHz，可以配合氩气系统、内镜、宫腔镜等使用；</w:t>
            </w:r>
          </w:p>
          <w:p w14:paraId="40EB174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★符合GJB 150.9A-2009、GJB 150.10A-2009、 GJB 150.11A-2009 检测要求。</w:t>
            </w:r>
          </w:p>
        </w:tc>
        <w:tc>
          <w:tcPr>
            <w:tcW w:w="1033" w:type="dxa"/>
            <w:vAlign w:val="center"/>
          </w:tcPr>
          <w:p w14:paraId="6B8CE02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7FA22170">
            <w:pPr>
              <w:jc w:val="center"/>
              <w:rPr>
                <w:rFonts w:hint="eastAsia" w:ascii="仿宋" w:hAnsi="仿宋" w:eastAsia="仿宋" w:cs="仿宋"/>
                <w:color w:val="auto"/>
                <w:sz w:val="28"/>
                <w:szCs w:val="28"/>
                <w:vertAlign w:val="baseline"/>
              </w:rPr>
            </w:pPr>
          </w:p>
        </w:tc>
      </w:tr>
      <w:tr w14:paraId="300EA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100B0C3F">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9</w:t>
            </w:r>
          </w:p>
        </w:tc>
        <w:tc>
          <w:tcPr>
            <w:tcW w:w="3139" w:type="dxa"/>
            <w:vAlign w:val="center"/>
          </w:tcPr>
          <w:p w14:paraId="46527C2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双轮助行器</w:t>
            </w:r>
          </w:p>
        </w:tc>
        <w:tc>
          <w:tcPr>
            <w:tcW w:w="7683" w:type="dxa"/>
            <w:vAlign w:val="center"/>
          </w:tcPr>
          <w:p w14:paraId="76EBBFC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扶手宽度：46cm；</w:t>
            </w:r>
          </w:p>
          <w:p w14:paraId="08247BA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额定承载质量：135kg；</w:t>
            </w:r>
          </w:p>
          <w:p w14:paraId="51ED406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支脚高度调节范围：8档；</w:t>
            </w:r>
          </w:p>
          <w:p w14:paraId="1818277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用途：辅助代步用具。</w:t>
            </w:r>
          </w:p>
        </w:tc>
        <w:tc>
          <w:tcPr>
            <w:tcW w:w="1033" w:type="dxa"/>
            <w:vAlign w:val="center"/>
          </w:tcPr>
          <w:p w14:paraId="1B4B6C30">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7844E43A">
            <w:pPr>
              <w:jc w:val="center"/>
              <w:rPr>
                <w:rFonts w:hint="eastAsia" w:ascii="仿宋" w:hAnsi="仿宋" w:eastAsia="仿宋" w:cs="仿宋"/>
                <w:color w:val="auto"/>
                <w:sz w:val="28"/>
                <w:szCs w:val="28"/>
                <w:vertAlign w:val="baseline"/>
              </w:rPr>
            </w:pPr>
          </w:p>
        </w:tc>
      </w:tr>
      <w:tr w14:paraId="10D31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42375F7C">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10</w:t>
            </w:r>
          </w:p>
        </w:tc>
        <w:tc>
          <w:tcPr>
            <w:tcW w:w="3139" w:type="dxa"/>
            <w:vAlign w:val="center"/>
          </w:tcPr>
          <w:p w14:paraId="1870537B">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单通道注射泵</w:t>
            </w:r>
          </w:p>
        </w:tc>
        <w:tc>
          <w:tcPr>
            <w:tcW w:w="7683" w:type="dxa"/>
            <w:vAlign w:val="center"/>
          </w:tcPr>
          <w:p w14:paraId="0962ECE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注射精度≤±2% 或 0.005mL/h 取大者；</w:t>
            </w:r>
          </w:p>
          <w:p w14:paraId="52A6A1A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速率范围：0.01～2100ml/h，最小步进 0.01ml/h；</w:t>
            </w:r>
          </w:p>
          <w:p w14:paraId="741AEE0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预置输液总量范围：0.00～9999.99ml；</w:t>
            </w:r>
          </w:p>
          <w:p w14:paraId="4AAD530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★快进流速范围：1～2100ml/h；</w:t>
            </w:r>
          </w:p>
          <w:p w14:paraId="767A50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★支持注射器规格：2ml、5ml、10ml、20ml、30ml、50、60ml；</w:t>
            </w:r>
          </w:p>
          <w:p w14:paraId="7A1D049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LCD 显示屏，可同屏显示：当前时间、注射器规格、注射器品牌、注射流速、注射预置量、注射累积量、剩余时间、剩余注射量、并显示实时动态压力检测；</w:t>
            </w:r>
          </w:p>
          <w:p w14:paraId="381CD34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锁屏功能：支持自动锁屏，自动锁屏时间可调；</w:t>
            </w:r>
          </w:p>
          <w:p w14:paraId="0898FE0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在线滴定功能：安全不中断输液而更改速率；</w:t>
            </w:r>
          </w:p>
          <w:p w14:paraId="590CBC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分低级、中级、高级三级报警，可实现声光报警提示，同时显示具体报警信息；</w:t>
            </w:r>
          </w:p>
          <w:p w14:paraId="740F812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在线动态压力监测，可实时显示当前压力数值；</w:t>
            </w:r>
          </w:p>
          <w:p w14:paraId="2DEFA2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接口支持 RS232 数据传输、护士呼叫、DC 输入功能；</w:t>
            </w:r>
          </w:p>
          <w:p w14:paraId="0C5644A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防进液等级 IPX4；</w:t>
            </w:r>
          </w:p>
          <w:p w14:paraId="70D614A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无线模块，实现无线联网监测；</w:t>
            </w:r>
          </w:p>
          <w:p w14:paraId="52DEAD4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注射泵推杆无皮套设计，更易清洁，符合院感要求；</w:t>
            </w:r>
          </w:p>
          <w:p w14:paraId="76E599E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整机重量≤ 1.6kg，主机自带提手，方便携带。</w:t>
            </w:r>
          </w:p>
        </w:tc>
        <w:tc>
          <w:tcPr>
            <w:tcW w:w="1033" w:type="dxa"/>
            <w:vAlign w:val="center"/>
          </w:tcPr>
          <w:p w14:paraId="15B63F6A">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34CF7184">
            <w:pPr>
              <w:jc w:val="center"/>
              <w:rPr>
                <w:rFonts w:hint="eastAsia" w:ascii="仿宋" w:hAnsi="仿宋" w:eastAsia="仿宋" w:cs="仿宋"/>
                <w:color w:val="auto"/>
                <w:sz w:val="28"/>
                <w:szCs w:val="28"/>
                <w:vertAlign w:val="baseline"/>
              </w:rPr>
            </w:pPr>
          </w:p>
        </w:tc>
      </w:tr>
      <w:tr w14:paraId="2D943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D1768F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11</w:t>
            </w:r>
          </w:p>
        </w:tc>
        <w:tc>
          <w:tcPr>
            <w:tcW w:w="3139" w:type="dxa"/>
            <w:vAlign w:val="center"/>
          </w:tcPr>
          <w:p w14:paraId="7C468C5D">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医用ABS床（双摇床）</w:t>
            </w:r>
          </w:p>
        </w:tc>
        <w:tc>
          <w:tcPr>
            <w:tcW w:w="7683" w:type="dxa"/>
            <w:vAlign w:val="center"/>
          </w:tcPr>
          <w:p w14:paraId="799772D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床头、床尾采用ABS高级工程塑料一次而成，外形美观，装卸自如，抗冲击性、耐热性、耐低温性、耐化学药品性；</w:t>
            </w:r>
          </w:p>
          <w:p w14:paraId="7FE803D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床面采用优质冷轧钢板冲压成型，厚度≥1.0mm，凹型多气孔设计，便于透气并具有防滑功能，表面无焊点，背部有钢管加强筋，采用双支撑卸力结构延长病床寿命；</w:t>
            </w:r>
          </w:p>
          <w:p w14:paraId="645190B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床体骨架采用≥40*80*1.2mm、床腿采用≥50*50*1.2mm的成型方管焊接而成，焊接工艺先进，焊接质量优质，床体坚固，可承载≥200kg；</w:t>
            </w:r>
          </w:p>
          <w:p w14:paraId="7C24CF7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整体床体采用酸洗、磷化、水洗、氧化等一系列工艺，全自动流水喷涂线，使用粉末静电喷涂，色泽鲜亮、附着牢固；</w:t>
            </w:r>
          </w:p>
          <w:p w14:paraId="3C18F71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可选配折叠式护栏，管材为优质铝合金材料，护栏立柱上下连接件坚固耐用，护栏操作手柄具防夹手设计，不使用时可折叠放于床框上，操作方便；</w:t>
            </w:r>
          </w:p>
          <w:p w14:paraId="2D437EE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置不锈钢隐藏式摇把，可以隐藏于床体，避免不必要的伤害，方便护理人员操作，具有双向极限保护设置，丝杠采用20mm/40Cr材质，不变形，回旋体为锌合金压铸工艺，丝杠结合部采用铜棒加工制作的铜母，与丝杠密切咬合，有效地防止磨损，噪音小，寿命长；</w:t>
            </w:r>
          </w:p>
          <w:p w14:paraId="695A175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豪华静音脚轮，转动灵活，稳定性强，无噪音，方便移动；</w:t>
            </w:r>
          </w:p>
          <w:p w14:paraId="2957C90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功能简介：①靠背0～70±5º，②腿部：0～50±5º；</w:t>
            </w:r>
          </w:p>
          <w:p w14:paraId="0CF8D3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四个点滴架插座，钢板成型，配点滴架一个、餐板一个；</w:t>
            </w:r>
          </w:p>
          <w:p w14:paraId="74539D2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四个引流袋挂钩，床底配金属杂物架一个，床体四角配防撞护角；</w:t>
            </w:r>
          </w:p>
          <w:p w14:paraId="382634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含配套80mm半棕半棉床垫；</w:t>
            </w:r>
          </w:p>
          <w:p w14:paraId="6B42C80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床架颜色：亚光白色。</w:t>
            </w:r>
          </w:p>
        </w:tc>
        <w:tc>
          <w:tcPr>
            <w:tcW w:w="1033" w:type="dxa"/>
            <w:vAlign w:val="center"/>
          </w:tcPr>
          <w:p w14:paraId="5D48AF9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50张</w:t>
            </w:r>
          </w:p>
        </w:tc>
        <w:tc>
          <w:tcPr>
            <w:tcW w:w="975" w:type="dxa"/>
            <w:vAlign w:val="center"/>
          </w:tcPr>
          <w:p w14:paraId="72D903D3">
            <w:pPr>
              <w:jc w:val="center"/>
              <w:rPr>
                <w:rFonts w:hint="eastAsia" w:ascii="仿宋" w:hAnsi="仿宋" w:eastAsia="仿宋" w:cs="仿宋"/>
                <w:color w:val="auto"/>
                <w:sz w:val="28"/>
                <w:szCs w:val="28"/>
                <w:vertAlign w:val="baseline"/>
              </w:rPr>
            </w:pPr>
          </w:p>
        </w:tc>
      </w:tr>
      <w:tr w14:paraId="66D56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02B86B78">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12</w:t>
            </w:r>
          </w:p>
        </w:tc>
        <w:tc>
          <w:tcPr>
            <w:tcW w:w="3139" w:type="dxa"/>
            <w:vAlign w:val="center"/>
          </w:tcPr>
          <w:p w14:paraId="7ABECB7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T组合复苏器</w:t>
            </w:r>
          </w:p>
        </w:tc>
        <w:tc>
          <w:tcPr>
            <w:tcW w:w="7683" w:type="dxa"/>
            <w:vAlign w:val="center"/>
          </w:tcPr>
          <w:p w14:paraId="3BF6F51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基本配置：T组合复苏器、Pmax保护端盖、模拟肺、进气口转换接头；</w:t>
            </w:r>
          </w:p>
          <w:p w14:paraId="75890E9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适用复苏对象：体重≤10Kg的婴儿；</w:t>
            </w:r>
          </w:p>
          <w:p w14:paraId="6E3823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复苏气体氧浓度：21～100%（依据气源供应氧浓度）；</w:t>
            </w:r>
          </w:p>
          <w:p w14:paraId="5088549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复苏气体流量范围：5～15L/min（要求气源可设置该流量范围）；</w:t>
            </w:r>
          </w:p>
          <w:p w14:paraId="0505FDB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吸气峰压（PIP）设置范围：当流量为8L/min时2～58cmH2O；</w:t>
            </w:r>
          </w:p>
          <w:p w14:paraId="04AEB58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呼气末正压（PEEP）设置范围：当流量为8L/min时0.2～17cmH2O；</w:t>
            </w:r>
          </w:p>
          <w:p w14:paraId="302612D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压力表：量程-10～80cmH2O，精度±2%满刻度；</w:t>
            </w:r>
          </w:p>
          <w:p w14:paraId="52112FD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最大安全压力（Pmax）设置范围：在规定气源输入流量范围内设置范围为1～60cmH2O，出厂默认40cmH2O；</w:t>
            </w:r>
          </w:p>
          <w:p w14:paraId="438A471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★工作适用时间（400L，50%空氧混合压缩气体）：当流量为5L/min时75min，当流量为10L/min时38min，当流量为15L/min时26min。</w:t>
            </w:r>
          </w:p>
        </w:tc>
        <w:tc>
          <w:tcPr>
            <w:tcW w:w="1033" w:type="dxa"/>
            <w:vAlign w:val="center"/>
          </w:tcPr>
          <w:p w14:paraId="672A9C6B">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2台</w:t>
            </w:r>
          </w:p>
        </w:tc>
        <w:tc>
          <w:tcPr>
            <w:tcW w:w="975" w:type="dxa"/>
            <w:vAlign w:val="center"/>
          </w:tcPr>
          <w:p w14:paraId="53D46DBA">
            <w:pPr>
              <w:jc w:val="center"/>
              <w:rPr>
                <w:rFonts w:hint="eastAsia" w:ascii="仿宋" w:hAnsi="仿宋" w:eastAsia="仿宋" w:cs="仿宋"/>
                <w:color w:val="auto"/>
                <w:sz w:val="28"/>
                <w:szCs w:val="28"/>
                <w:vertAlign w:val="baseline"/>
              </w:rPr>
            </w:pPr>
          </w:p>
        </w:tc>
      </w:tr>
      <w:tr w14:paraId="1F5ED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23F80DC3">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13</w:t>
            </w:r>
          </w:p>
        </w:tc>
        <w:tc>
          <w:tcPr>
            <w:tcW w:w="3139" w:type="dxa"/>
            <w:vAlign w:val="center"/>
          </w:tcPr>
          <w:p w14:paraId="6D6F06DD">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空氧混合仪</w:t>
            </w:r>
          </w:p>
        </w:tc>
        <w:tc>
          <w:tcPr>
            <w:tcW w:w="7683" w:type="dxa"/>
            <w:vAlign w:val="center"/>
          </w:tcPr>
          <w:p w14:paraId="007F70E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氧浓度21%～100%连续可调；</w:t>
            </w:r>
          </w:p>
          <w:p w14:paraId="4DD0894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氧浓度和流量分开调节、互不影响；</w:t>
            </w:r>
          </w:p>
          <w:p w14:paraId="3788531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气动气控，无需电源供电；</w:t>
            </w:r>
          </w:p>
          <w:p w14:paraId="1C31642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调节精度高，气体输出持续稳定；</w:t>
            </w:r>
          </w:p>
          <w:p w14:paraId="5205635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氧浓度调节范围及精度：氧浓度调节范围21%～100%，允差±3%；</w:t>
            </w:r>
          </w:p>
          <w:p w14:paraId="38940E6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流量计调节范围：0L/min～15/min和 0L/min-3.5L/min，允差最大示值的±4%；</w:t>
            </w:r>
          </w:p>
          <w:p w14:paraId="6B4714B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报警功能：内置气动声音报警装置，报警声为哨声，正前方1米处的报警声压级大于60dB，供气气源压力高于560kPa±40kPa时混合器会产生高压报警，供气气源压力差在150kPa±30kPa时混合器会产生压差报警。</w:t>
            </w:r>
          </w:p>
        </w:tc>
        <w:tc>
          <w:tcPr>
            <w:tcW w:w="1033" w:type="dxa"/>
            <w:vAlign w:val="center"/>
          </w:tcPr>
          <w:p w14:paraId="127864E3">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050ED290">
            <w:pPr>
              <w:jc w:val="center"/>
              <w:rPr>
                <w:rFonts w:hint="eastAsia" w:ascii="仿宋" w:hAnsi="仿宋" w:eastAsia="仿宋" w:cs="仿宋"/>
                <w:color w:val="auto"/>
                <w:sz w:val="28"/>
                <w:szCs w:val="28"/>
                <w:vertAlign w:val="baseline"/>
              </w:rPr>
            </w:pPr>
          </w:p>
        </w:tc>
      </w:tr>
      <w:tr w14:paraId="0BA5E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649F8CF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14</w:t>
            </w:r>
          </w:p>
        </w:tc>
        <w:tc>
          <w:tcPr>
            <w:tcW w:w="3139" w:type="dxa"/>
            <w:vAlign w:val="center"/>
          </w:tcPr>
          <w:p w14:paraId="22B3CA1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空压机</w:t>
            </w:r>
          </w:p>
        </w:tc>
        <w:tc>
          <w:tcPr>
            <w:tcW w:w="7683" w:type="dxa"/>
            <w:vAlign w:val="center"/>
          </w:tcPr>
          <w:p w14:paraId="19966AB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输入功率：1000VA；</w:t>
            </w:r>
          </w:p>
          <w:p w14:paraId="46B8F3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计时器范围：0～99999.9H；</w:t>
            </w:r>
          </w:p>
          <w:p w14:paraId="1CE45C1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工作噪音：≤55dB(A)；</w:t>
            </w:r>
          </w:p>
          <w:p w14:paraId="7B6CA98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低压提示：出现低压提示时，输出压力应不超过 0.2 MPa；</w:t>
            </w:r>
          </w:p>
          <w:p w14:paraId="13E2F7A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输出气体压力：0.35 MPa±10%；</w:t>
            </w:r>
          </w:p>
          <w:p w14:paraId="4E23C96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输出气体流量：不低于40L/min；</w:t>
            </w:r>
          </w:p>
          <w:p w14:paraId="761F97A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输出气体温度：不高于环境温度 5℃；</w:t>
            </w:r>
          </w:p>
          <w:p w14:paraId="6BF94EF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★过滤器过滤精度：0.1μm；</w:t>
            </w:r>
          </w:p>
          <w:p w14:paraId="07DD2DE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可选配支架组件，支架组件最大承载重量：8kg；</w:t>
            </w:r>
          </w:p>
          <w:p w14:paraId="77674EB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可与空氧混合器、CPAP、呼吸机等医疗用气设备配套使用；</w:t>
            </w:r>
          </w:p>
          <w:p w14:paraId="7CB5A30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专利技术设计、多重过滤，确保在正常工作环境下设备可持续稳定地提供洁净空气源，满足临床患者吸入气体的要求；</w:t>
            </w:r>
          </w:p>
          <w:p w14:paraId="5584210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采用高性能无油泵与集成控制系统，一键式快速开启、快速升压，超长连续使用时间；</w:t>
            </w:r>
          </w:p>
          <w:p w14:paraId="61C24E2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独特的隔音降噪设计，提供安静的使用环境；</w:t>
            </w:r>
          </w:p>
          <w:p w14:paraId="5EB32F1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配置双路气体输出结构，满足临床多设备同时使用需求。</w:t>
            </w:r>
          </w:p>
        </w:tc>
        <w:tc>
          <w:tcPr>
            <w:tcW w:w="1033" w:type="dxa"/>
            <w:vAlign w:val="center"/>
          </w:tcPr>
          <w:p w14:paraId="01B6EBE4">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72F29E39">
            <w:pPr>
              <w:jc w:val="center"/>
              <w:rPr>
                <w:rFonts w:hint="eastAsia" w:ascii="仿宋" w:hAnsi="仿宋" w:eastAsia="仿宋" w:cs="仿宋"/>
                <w:color w:val="auto"/>
                <w:sz w:val="28"/>
                <w:szCs w:val="28"/>
                <w:vertAlign w:val="baseline"/>
              </w:rPr>
            </w:pPr>
          </w:p>
        </w:tc>
      </w:tr>
      <w:tr w14:paraId="2AC43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6BA8CC0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15</w:t>
            </w:r>
          </w:p>
        </w:tc>
        <w:tc>
          <w:tcPr>
            <w:tcW w:w="3139" w:type="dxa"/>
            <w:vAlign w:val="center"/>
          </w:tcPr>
          <w:p w14:paraId="4BDB33EF">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便携式除颤仪</w:t>
            </w:r>
          </w:p>
        </w:tc>
        <w:tc>
          <w:tcPr>
            <w:tcW w:w="7683" w:type="dxa"/>
            <w:vAlign w:val="center"/>
          </w:tcPr>
          <w:p w14:paraId="4E12B76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工作环境</w:t>
            </w:r>
          </w:p>
          <w:p w14:paraId="475ACA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工作温度：0℃～50℃；</w:t>
            </w:r>
          </w:p>
          <w:p w14:paraId="2F7B0C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相对湿度：5%～95%(无冷凝)；</w:t>
            </w:r>
          </w:p>
          <w:p w14:paraId="66DFCB6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大气压力范围：57kPa～106kPa。</w:t>
            </w:r>
          </w:p>
          <w:p w14:paraId="1B48FCB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二、存储环境</w:t>
            </w:r>
          </w:p>
          <w:p w14:paraId="3531E79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温度：0℃～50℃；</w:t>
            </w:r>
          </w:p>
          <w:p w14:paraId="594892E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电极片存储温度：5℃～35℃之间；</w:t>
            </w:r>
          </w:p>
          <w:p w14:paraId="15CF23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极限温度：-30℃～65℃限24小时之内；</w:t>
            </w:r>
          </w:p>
          <w:p w14:paraId="3922E98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相对湿度：5%～95%（无冷凝）。</w:t>
            </w:r>
          </w:p>
          <w:p w14:paraId="0F80A00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三、安全性</w:t>
            </w:r>
          </w:p>
          <w:p w14:paraId="599A97D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防尘防水等级：IP55；</w:t>
            </w:r>
          </w:p>
          <w:p w14:paraId="0A6EB28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状态/故障提示：有明确的LED状态指示灯和语音提示功能，（LED灯夜间可视）在设备故障时发出警报声且提示不同的颜色，可以远距离查看设备状态是否正常；</w:t>
            </w:r>
          </w:p>
          <w:p w14:paraId="7139051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自检功能：设备支持多种自检程序，包括首次安装电池自检、开机自检、日自检、周自检、月自检，自动保存日检结果，对于异常情况能及时有语音提示和警示灯；</w:t>
            </w:r>
          </w:p>
          <w:p w14:paraId="7AE4B46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日志功能：自动记录设备的按键操作及心电数据分析结果，能导出设备日志功能进行操作追溯。</w:t>
            </w:r>
          </w:p>
          <w:p w14:paraId="45CE15C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四、操作</w:t>
            </w:r>
          </w:p>
          <w:p w14:paraId="58EC86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操作便捷：有操作流程图画提示，在抢救时，按键操作步骤不超过2步，大尺寸硅胶按键并带有闪烁指示灯能够快速找到对应操作按键；</w:t>
            </w:r>
          </w:p>
          <w:p w14:paraId="047EE82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操作提示：每一步操作流程都有语音提示，默认中文，电极片粘贴不良或插头脱落时，具有及时的语音提示功能，避免无效操作耽误抢救；</w:t>
            </w:r>
          </w:p>
          <w:p w14:paraId="2F4B4F7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心肺复苏（CPR）提示：符合国际指南最新要求，专业的辅助节拍音指导施救者进行心肺复苏；</w:t>
            </w:r>
          </w:p>
          <w:p w14:paraId="5EB4D4D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操作安全防护：当遇到患者电极片脱落、拔出电极插头、患者心律转为不可电击心律时设备具备自动取消电击的功能，防止发生意外伤害；</w:t>
            </w:r>
          </w:p>
          <w:p w14:paraId="279A170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仪器除了开关和除颤按键外，没有其它操作按键，防止抢救时因误碰操作而延误抢救时间。</w:t>
            </w:r>
          </w:p>
          <w:p w14:paraId="23D6FA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五、心律分析及除颤</w:t>
            </w:r>
          </w:p>
          <w:p w14:paraId="5641ADE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心率分析：5秒心率分析、1秒充电时间（新电池）；</w:t>
            </w:r>
          </w:p>
          <w:p w14:paraId="35EDE3D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除颤技术：采用双相波技术，成人模式下患者阻抗为50Ω时输出能量150J，低能量除颤，降低心肌损伤；</w:t>
            </w:r>
          </w:p>
          <w:p w14:paraId="13855C8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患者阻抗为50Ω时，释放能量精度不超过输出能量的±10%；</w:t>
            </w:r>
          </w:p>
          <w:p w14:paraId="661BA92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除颤波形：高电流双相截尾波，可根据不同人体阻抗情况进行输出能量自动调节；</w:t>
            </w:r>
          </w:p>
          <w:p w14:paraId="3841E00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可除颤的阻抗范围：25到180Ω；</w:t>
            </w:r>
          </w:p>
          <w:p w14:paraId="1EB6CA6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具有标准成人/儿童除颤功能，通过拨码选择对应功能并有语音提示所选模式；</w:t>
            </w:r>
          </w:p>
          <w:p w14:paraId="0C45241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充电结束后未及时除颤时设备可内部自动吸收电能，且有语音提示，保证患者和操作人员安全。</w:t>
            </w:r>
          </w:p>
          <w:p w14:paraId="005F87F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六、电极片</w:t>
            </w:r>
          </w:p>
          <w:p w14:paraId="74FCFAF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连接类型：预连接型，待机状态下可连接，不影响电极片有效期；</w:t>
            </w:r>
          </w:p>
          <w:p w14:paraId="03486A1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有效期：≥30个月；</w:t>
            </w:r>
          </w:p>
          <w:p w14:paraId="1AD02E8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主机采用一体式把手设计，方便携带，具备透明保护上盖，可内置存放电极片，更好地对电极片的有效期进行管理，同时降低外部环境对电极片的影响；</w:t>
            </w:r>
          </w:p>
          <w:p w14:paraId="22A765A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电极片有色彩区分，且有明显的粘贴位置图形指示，可以帮助操作者快速粘贴在患者的正确位置。</w:t>
            </w:r>
          </w:p>
          <w:p w14:paraId="1F32A6E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七、电池性能</w:t>
            </w:r>
          </w:p>
          <w:p w14:paraId="308C47E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可更换免维护、免充电型大容量锂电池，直流12V，容量4200mAh；</w:t>
            </w:r>
          </w:p>
          <w:p w14:paraId="7828B76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电池安装采用卡扣式设计，无需使用工具，一次按压安装到位；</w:t>
            </w:r>
          </w:p>
          <w:p w14:paraId="62E7927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在20℃±2℃环境中使用新电池，可电击次数≥160次，针对不可电击心律进行分析和心肺复苏引导时间≥450分钟，首次电量低提示后可实施电击≥15次；</w:t>
            </w:r>
          </w:p>
          <w:p w14:paraId="40EFC61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AED主机与４G联网模块不共用电源，避免不必要的电池耗损。</w:t>
            </w:r>
          </w:p>
          <w:p w14:paraId="0E8811C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八、数据存储和导出</w:t>
            </w:r>
          </w:p>
          <w:p w14:paraId="65E7846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信息记录和回溯：具备使用信息及心电波形图（ECG）的记录储存功能，提供专业软件可对事件作出完整的回顾和分析，包含抢救过程记录事件标记、开机时间、黏贴电极片时间、分析次数、放电次数等，可形成抢救事件报告。</w:t>
            </w:r>
          </w:p>
        </w:tc>
        <w:tc>
          <w:tcPr>
            <w:tcW w:w="1033" w:type="dxa"/>
            <w:vAlign w:val="center"/>
          </w:tcPr>
          <w:p w14:paraId="385A7B3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64112321">
            <w:pPr>
              <w:jc w:val="center"/>
              <w:rPr>
                <w:rFonts w:hint="eastAsia" w:ascii="仿宋" w:hAnsi="仿宋" w:eastAsia="仿宋" w:cs="仿宋"/>
                <w:color w:val="auto"/>
                <w:sz w:val="28"/>
                <w:szCs w:val="28"/>
                <w:vertAlign w:val="baseline"/>
              </w:rPr>
            </w:pPr>
          </w:p>
        </w:tc>
      </w:tr>
      <w:tr w14:paraId="4160A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363B2171">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16</w:t>
            </w:r>
          </w:p>
        </w:tc>
        <w:tc>
          <w:tcPr>
            <w:tcW w:w="3139" w:type="dxa"/>
            <w:vAlign w:val="center"/>
          </w:tcPr>
          <w:p w14:paraId="73E0D6FF">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电脑胎儿监护仪</w:t>
            </w:r>
          </w:p>
        </w:tc>
        <w:tc>
          <w:tcPr>
            <w:tcW w:w="7683" w:type="dxa"/>
            <w:vAlign w:val="center"/>
          </w:tcPr>
          <w:p w14:paraId="098148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屏幕显示</w:t>
            </w:r>
          </w:p>
          <w:p w14:paraId="5D4A576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1.1彩色LCD显示屏，屏幕大小≥10英寸</w:t>
            </w:r>
          </w:p>
          <w:p w14:paraId="63B7A49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1.2波形颜色可调</w:t>
            </w:r>
          </w:p>
          <w:p w14:paraId="2642972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1.3具备胎儿界面、胎儿大字符两种显示界面</w:t>
            </w:r>
          </w:p>
          <w:p w14:paraId="4333798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2、监测功能</w:t>
            </w:r>
          </w:p>
          <w:p w14:paraId="4774836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标配功能：胎心率（FHR）、宫缩压力（TOCO）、胎动（FM）</w:t>
            </w:r>
          </w:p>
          <w:p w14:paraId="4C3DFA7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3、胎心率规格</w:t>
            </w:r>
          </w:p>
          <w:p w14:paraId="594EF7E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3.1测量方法：超声多普勒</w:t>
            </w:r>
          </w:p>
          <w:p w14:paraId="3B902CE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3.2★测量范围：50～220BPM</w:t>
            </w:r>
          </w:p>
          <w:p w14:paraId="06E8721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3.3测量误差：≤±2bpm</w:t>
            </w:r>
          </w:p>
          <w:p w14:paraId="4880731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3.4超声工作频率：1MHz</w:t>
            </w:r>
          </w:p>
          <w:p w14:paraId="1551ECC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3.5峰值负声压：≤1MPa</w:t>
            </w:r>
          </w:p>
          <w:p w14:paraId="76F4D00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3.6输出波束声强：≤20mW/cm2</w:t>
            </w:r>
          </w:p>
          <w:p w14:paraId="0FA3EED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3.7★超声探头：12晶片、宽波束、高灵敏度、脉冲波。</w:t>
            </w:r>
          </w:p>
          <w:p w14:paraId="783A86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4、宫缩压力规格</w:t>
            </w:r>
          </w:p>
          <w:p w14:paraId="0AED02C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4.1测量方法：应力计传感器元件</w:t>
            </w:r>
          </w:p>
          <w:p w14:paraId="641CF8A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4.2测量范围：0～100%</w:t>
            </w:r>
          </w:p>
          <w:p w14:paraId="3DE8EB2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4.3分辨率：1%</w:t>
            </w:r>
          </w:p>
          <w:p w14:paraId="6E7B189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4.4非线性误差：≤±10%</w:t>
            </w:r>
          </w:p>
          <w:p w14:paraId="0E84EBF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4.5★宫缩压基线：0、5、10、15可选</w:t>
            </w:r>
          </w:p>
          <w:p w14:paraId="261E11F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5、胎动规格</w:t>
            </w:r>
          </w:p>
          <w:p w14:paraId="6A78AEA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5.1★识别类型：自动胎动、手动胎动</w:t>
            </w:r>
          </w:p>
          <w:p w14:paraId="25B425B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5.2自动胎动：测量范围：0～100%，分辨率：1%，可绘制胎儿活动强度曲线图</w:t>
            </w:r>
          </w:p>
          <w:p w14:paraId="07AC6C0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6、电池</w:t>
            </w:r>
          </w:p>
          <w:p w14:paraId="0325146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配备大容量可充电锂电池，轻松应对断电场合。</w:t>
            </w:r>
          </w:p>
          <w:p w14:paraId="403D9DA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7、记录仪</w:t>
            </w:r>
          </w:p>
          <w:p w14:paraId="7A3A174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7.1内置热敏点阵记录仪</w:t>
            </w:r>
          </w:p>
          <w:p w14:paraId="01D3BAF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7.2记录纸：152mm Z型折纸</w:t>
            </w:r>
          </w:p>
          <w:p w14:paraId="7A32BD2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7.3记录方式：实时打印，回顾快速打印</w:t>
            </w:r>
          </w:p>
          <w:p w14:paraId="10815AC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7.4记录速度：1cm/min、2cm/min、3cm/min可选</w:t>
            </w:r>
          </w:p>
        </w:tc>
        <w:tc>
          <w:tcPr>
            <w:tcW w:w="1033" w:type="dxa"/>
            <w:vAlign w:val="center"/>
          </w:tcPr>
          <w:p w14:paraId="79F7B6C5">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2台</w:t>
            </w:r>
          </w:p>
        </w:tc>
        <w:tc>
          <w:tcPr>
            <w:tcW w:w="975" w:type="dxa"/>
            <w:vAlign w:val="center"/>
          </w:tcPr>
          <w:p w14:paraId="75CDF9C3">
            <w:pPr>
              <w:jc w:val="center"/>
              <w:rPr>
                <w:rFonts w:hint="eastAsia" w:ascii="仿宋" w:hAnsi="仿宋" w:eastAsia="仿宋" w:cs="仿宋"/>
                <w:color w:val="auto"/>
                <w:sz w:val="28"/>
                <w:szCs w:val="28"/>
                <w:vertAlign w:val="baseline"/>
              </w:rPr>
            </w:pPr>
          </w:p>
        </w:tc>
      </w:tr>
      <w:tr w14:paraId="0D1FD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179B5ADE">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17</w:t>
            </w:r>
          </w:p>
        </w:tc>
        <w:tc>
          <w:tcPr>
            <w:tcW w:w="3139" w:type="dxa"/>
            <w:vAlign w:val="center"/>
          </w:tcPr>
          <w:p w14:paraId="48CA6D71">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胎心多普勒仪</w:t>
            </w:r>
          </w:p>
        </w:tc>
        <w:tc>
          <w:tcPr>
            <w:tcW w:w="7683" w:type="dxa"/>
            <w:vAlign w:val="center"/>
          </w:tcPr>
          <w:p w14:paraId="5C85677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手持式紧凑设计，一手掌握； </w:t>
            </w:r>
          </w:p>
          <w:p w14:paraId="4CB0570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★高亮度OLED屏幕显示胎心数字，探头工作状态及探头工作频率自动识别显示； </w:t>
            </w:r>
          </w:p>
          <w:p w14:paraId="07D3F71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轻巧机身设计，整机不到350g；</w:t>
            </w:r>
          </w:p>
          <w:p w14:paraId="71A5E2A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超声工作频率：标配3MHz±1%，可选配2MHz±1%；</w:t>
            </w:r>
          </w:p>
          <w:p w14:paraId="6561D07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★高灵敏度超声探头，可检测9周小孕周胎儿心率；</w:t>
            </w:r>
          </w:p>
          <w:p w14:paraId="33CFF2B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探头与主机分体设计，探头可更换；</w:t>
            </w:r>
          </w:p>
          <w:p w14:paraId="603D382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超声输出强度：Iob≤20mW/cm2；</w:t>
            </w:r>
          </w:p>
          <w:p w14:paraId="0248F03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★胎心率检测范围：50～240bpm，心率检测精度±2bpm，分辨率1bpm；</w:t>
            </w:r>
          </w:p>
          <w:p w14:paraId="557066B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★在探头表面200mm的距离处灵敏度≥90dB；</w:t>
            </w:r>
          </w:p>
          <w:p w14:paraId="22177E5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具有电量低提示功能；</w:t>
            </w:r>
          </w:p>
          <w:p w14:paraId="0F070A3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无信号1分钟自动关机功能；</w:t>
            </w:r>
          </w:p>
          <w:p w14:paraId="6AC6CCB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电源：可采用标准AA电池或镍氢充电电池供电，连续工作时间≥10小时；</w:t>
            </w:r>
          </w:p>
          <w:p w14:paraId="744C727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内置扬声器；</w:t>
            </w:r>
          </w:p>
          <w:p w14:paraId="3D26081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具有音频输出接口，可接驳耳机或有音频输入的录音机。</w:t>
            </w:r>
          </w:p>
        </w:tc>
        <w:tc>
          <w:tcPr>
            <w:tcW w:w="1033" w:type="dxa"/>
            <w:vAlign w:val="center"/>
          </w:tcPr>
          <w:p w14:paraId="2615E31A">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774EB400">
            <w:pPr>
              <w:jc w:val="center"/>
              <w:rPr>
                <w:rFonts w:hint="eastAsia" w:ascii="仿宋" w:hAnsi="仿宋" w:eastAsia="仿宋" w:cs="仿宋"/>
                <w:color w:val="auto"/>
                <w:sz w:val="28"/>
                <w:szCs w:val="28"/>
                <w:vertAlign w:val="baseline"/>
              </w:rPr>
            </w:pPr>
          </w:p>
        </w:tc>
      </w:tr>
      <w:tr w14:paraId="5F7FF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7F2452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18</w:t>
            </w:r>
          </w:p>
        </w:tc>
        <w:tc>
          <w:tcPr>
            <w:tcW w:w="3139" w:type="dxa"/>
            <w:vAlign w:val="center"/>
          </w:tcPr>
          <w:p w14:paraId="1467E3F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妇检床（产床）</w:t>
            </w:r>
          </w:p>
        </w:tc>
        <w:tc>
          <w:tcPr>
            <w:tcW w:w="7683" w:type="dxa"/>
            <w:vAlign w:val="center"/>
          </w:tcPr>
          <w:p w14:paraId="309EC3D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床面长度 ≥1450mm（±20）；</w:t>
            </w:r>
          </w:p>
          <w:p w14:paraId="2C46423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床面宽度 ≥600（±20）mm ；</w:t>
            </w:r>
          </w:p>
          <w:p w14:paraId="74F4C60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床面高度（不含床垫） ≥580(±20)～1000(±20)mm(电动）；</w:t>
            </w:r>
          </w:p>
          <w:p w14:paraId="6707B08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床面升距 ≥220mm(电动）；</w:t>
            </w:r>
          </w:p>
          <w:p w14:paraId="3D49980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背板折转角度 上折≥70° 下折≥10°(电动）；</w:t>
            </w:r>
          </w:p>
          <w:p w14:paraId="385060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电源 AC 220V 50Hz。</w:t>
            </w:r>
          </w:p>
        </w:tc>
        <w:tc>
          <w:tcPr>
            <w:tcW w:w="1033" w:type="dxa"/>
            <w:vAlign w:val="center"/>
          </w:tcPr>
          <w:p w14:paraId="0E05C663">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2张</w:t>
            </w:r>
          </w:p>
        </w:tc>
        <w:tc>
          <w:tcPr>
            <w:tcW w:w="975" w:type="dxa"/>
            <w:vAlign w:val="center"/>
          </w:tcPr>
          <w:p w14:paraId="75D49AC5">
            <w:pPr>
              <w:jc w:val="center"/>
              <w:rPr>
                <w:rFonts w:hint="eastAsia" w:ascii="仿宋" w:hAnsi="仿宋" w:eastAsia="仿宋" w:cs="仿宋"/>
                <w:color w:val="auto"/>
                <w:sz w:val="28"/>
                <w:szCs w:val="28"/>
                <w:vertAlign w:val="baseline"/>
              </w:rPr>
            </w:pPr>
          </w:p>
        </w:tc>
      </w:tr>
      <w:tr w14:paraId="6BA46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7D7B534E">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19</w:t>
            </w:r>
          </w:p>
        </w:tc>
        <w:tc>
          <w:tcPr>
            <w:tcW w:w="3139" w:type="dxa"/>
            <w:vAlign w:val="center"/>
          </w:tcPr>
          <w:p w14:paraId="598632DF">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婴儿车</w:t>
            </w:r>
          </w:p>
        </w:tc>
        <w:tc>
          <w:tcPr>
            <w:tcW w:w="7683" w:type="dxa"/>
            <w:vAlign w:val="center"/>
          </w:tcPr>
          <w:p w14:paraId="0D21734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婴儿盆由ABS材质制成，设有导流槽和透气孔，坚固耐用，方便观察，易清洗；</w:t>
            </w:r>
          </w:p>
          <w:p w14:paraId="42D3F47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床架采用酸洗、磷化、水洗、氧化等一系列工艺，全自动流水喷涂线，使用粉末静电喷涂，色泽鲜亮，坚固耐用；</w:t>
            </w:r>
          </w:p>
          <w:p w14:paraId="534BC0A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婴儿盆可倾斜，角度范围0～10度,有效防止婴儿进食后发生溢奶呛奶的情况，保护了婴儿肺部安全；</w:t>
            </w:r>
          </w:p>
          <w:p w14:paraId="10BBFFA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采用豪华静音脚轮，有刹、无刹脚轮对角装配，刹车性能稳定可靠，转动灵活，稳定性强，无噪音，方便移动；</w:t>
            </w:r>
          </w:p>
          <w:p w14:paraId="0CFFBF9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底盘护罩凹槽设计可临时摆放洗浴用品；</w:t>
            </w:r>
          </w:p>
          <w:p w14:paraId="0DB68E0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标准配置：床垫1个，安全绑带2根；</w:t>
            </w:r>
          </w:p>
          <w:p w14:paraId="4D7836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整车升降可调，方便母婴交流，升降范围：780-980mm。</w:t>
            </w:r>
          </w:p>
        </w:tc>
        <w:tc>
          <w:tcPr>
            <w:tcW w:w="1033" w:type="dxa"/>
            <w:vAlign w:val="center"/>
          </w:tcPr>
          <w:p w14:paraId="5E9E495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5个</w:t>
            </w:r>
          </w:p>
        </w:tc>
        <w:tc>
          <w:tcPr>
            <w:tcW w:w="975" w:type="dxa"/>
            <w:vAlign w:val="center"/>
          </w:tcPr>
          <w:p w14:paraId="78FBE2B7">
            <w:pPr>
              <w:jc w:val="center"/>
              <w:rPr>
                <w:rFonts w:hint="eastAsia" w:ascii="仿宋" w:hAnsi="仿宋" w:eastAsia="仿宋" w:cs="仿宋"/>
                <w:color w:val="auto"/>
                <w:sz w:val="28"/>
                <w:szCs w:val="28"/>
                <w:vertAlign w:val="baseline"/>
              </w:rPr>
            </w:pPr>
          </w:p>
        </w:tc>
      </w:tr>
      <w:tr w14:paraId="25274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2125E5D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20</w:t>
            </w:r>
          </w:p>
        </w:tc>
        <w:tc>
          <w:tcPr>
            <w:tcW w:w="3139" w:type="dxa"/>
            <w:vAlign w:val="center"/>
          </w:tcPr>
          <w:p w14:paraId="751C232D">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空气波压力治疗仪 </w:t>
            </w:r>
          </w:p>
        </w:tc>
        <w:tc>
          <w:tcPr>
            <w:tcW w:w="7683" w:type="dxa"/>
            <w:vAlign w:val="center"/>
          </w:tcPr>
          <w:p w14:paraId="48102B9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柜式一体机，可同时使用两个十二腔气囊；</w:t>
            </w:r>
          </w:p>
          <w:p w14:paraId="63C31B1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★液晶触摸屏加旋转编码器操作，操作简便；</w:t>
            </w:r>
          </w:p>
          <w:p w14:paraId="2D42AC6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时间设定功能：时间范围为0～60min，步长1min； </w:t>
            </w:r>
          </w:p>
          <w:p w14:paraId="4FA070E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★生物波功能：</w:t>
            </w:r>
          </w:p>
          <w:p w14:paraId="31F669C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四组生物波输出</w:t>
            </w:r>
          </w:p>
          <w:p w14:paraId="0814AF8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输出模式分为连续波、正弦波和方波三种模式</w:t>
            </w:r>
          </w:p>
          <w:p w14:paraId="6A032A7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脉冲频率应为1Hz～99Hz连续可调，步长为1Hz，脉冲宽度为500μs</w:t>
            </w:r>
          </w:p>
          <w:p w14:paraId="51D2701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充气模式：八种基础充气模式，可任意组合治疗；</w:t>
            </w:r>
          </w:p>
          <w:p w14:paraId="1FE8FDB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治疗仪压力范围：5～25kPa可调；</w:t>
            </w:r>
          </w:p>
          <w:p w14:paraId="7ADC51A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极限压强≤40kPa，且超过2kPa的持续时间应≤3min；</w:t>
            </w:r>
          </w:p>
          <w:p w14:paraId="1A776D4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过压保护：治疗仪应具有过压保护措施；</w:t>
            </w:r>
          </w:p>
          <w:p w14:paraId="1AADEC8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★手动释压器：治疗仪应提供在各种状态下手动解除患者压强的措施；</w:t>
            </w:r>
          </w:p>
          <w:p w14:paraId="09BE520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连接管路应有防止接错的装置或标识；</w:t>
            </w:r>
          </w:p>
          <w:p w14:paraId="3650988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治疗仪正常工作时的噪声应≤70dB。</w:t>
            </w:r>
          </w:p>
        </w:tc>
        <w:tc>
          <w:tcPr>
            <w:tcW w:w="1033" w:type="dxa"/>
            <w:vAlign w:val="center"/>
          </w:tcPr>
          <w:p w14:paraId="0232991B">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77C354BA">
            <w:pPr>
              <w:jc w:val="center"/>
              <w:rPr>
                <w:rFonts w:hint="eastAsia" w:ascii="仿宋" w:hAnsi="仿宋" w:eastAsia="仿宋" w:cs="仿宋"/>
                <w:color w:val="auto"/>
                <w:sz w:val="28"/>
                <w:szCs w:val="28"/>
                <w:vertAlign w:val="baseline"/>
              </w:rPr>
            </w:pPr>
          </w:p>
        </w:tc>
      </w:tr>
      <w:tr w14:paraId="32579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328144E8">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21</w:t>
            </w:r>
          </w:p>
        </w:tc>
        <w:tc>
          <w:tcPr>
            <w:tcW w:w="3139" w:type="dxa"/>
            <w:vAlign w:val="center"/>
          </w:tcPr>
          <w:p w14:paraId="16F79B2C">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除颤监护仪</w:t>
            </w:r>
          </w:p>
        </w:tc>
        <w:tc>
          <w:tcPr>
            <w:tcW w:w="7683" w:type="dxa"/>
            <w:vAlign w:val="center"/>
          </w:tcPr>
          <w:p w14:paraId="7F74128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重量：≤4.2kg（标配，含电池）；</w:t>
            </w:r>
          </w:p>
          <w:p w14:paraId="0FF0580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彩色电容触摸屏≥8英寸， 分辨率1024×768像素，可显示≥5通道监护参数波形，支持手势操作，自动亮度调节；</w:t>
            </w:r>
          </w:p>
          <w:p w14:paraId="14114B4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提供图形化故障排除指引，帮助医护人员快速解决设备故障；</w:t>
            </w:r>
          </w:p>
          <w:p w14:paraId="4609DE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支持中文操作界面；</w:t>
            </w:r>
          </w:p>
          <w:p w14:paraId="30CACFB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屏幕显示心电波形扫描时间≥36s；</w:t>
            </w:r>
          </w:p>
          <w:p w14:paraId="699110E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★具备手动除颤、心电监护、呼吸监护、自动体外除颤（AED）功能，AED功能适用于三十天以上人群；</w:t>
            </w:r>
          </w:p>
          <w:p w14:paraId="059916A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除颤采用双相波技术，具备自动阻抗补偿功能；</w:t>
            </w:r>
          </w:p>
          <w:p w14:paraId="1A980DB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手动除颤分为同步和非同步两种方式，能量分20档以上，可通过体外电极板进行能量选择，最大能量可达360J；</w:t>
            </w:r>
          </w:p>
          <w:p w14:paraId="73F602D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体内手动除颤能力选择：1/2/3/4/5/6/7/8/9/10/15/20/25/30/50 J；</w:t>
            </w:r>
          </w:p>
          <w:p w14:paraId="2A4184E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体外除颤电极板同时支持成人和小儿，一体化设计，支持快速切换；</w:t>
            </w:r>
          </w:p>
          <w:p w14:paraId="0137BD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★电极板支持能量选择、充电和放电三步操作，满足单人除颤操作；</w:t>
            </w:r>
          </w:p>
          <w:p w14:paraId="3FEF939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AED除颤功能提供中文语音和中文提醒，对于抢救过程支持自动录音，记录时长≥8小时；</w:t>
            </w:r>
          </w:p>
          <w:p w14:paraId="473D2AC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开机到可正常使用时间≤2s，符合临床使用；</w:t>
            </w:r>
          </w:p>
          <w:p w14:paraId="0E8CF93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★除颤充电迅速，充电至200J≤4s；</w:t>
            </w:r>
          </w:p>
          <w:p w14:paraId="700A974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除颤后心电基线恢复时间≤2.5s；</w:t>
            </w:r>
          </w:p>
          <w:p w14:paraId="68F90D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从开始AED分析到放电准备就绪≤10s；</w:t>
            </w:r>
          </w:p>
          <w:p w14:paraId="7C9DAC5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支持病人接触状态和阻抗值实时显示；</w:t>
            </w:r>
          </w:p>
          <w:p w14:paraId="0D3106A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支持智能分析功能，手动除颤模式下也可提供自动节律分析和操作指引；</w:t>
            </w:r>
          </w:p>
          <w:p w14:paraId="26C0DAF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提供CPR按压干扰滤过功能，通过除颤电极片或CPR传感器自动检测按压干扰并实时滤波，减少按压中断；</w:t>
            </w:r>
          </w:p>
          <w:p w14:paraId="1273412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支持培训模式，包含CPR操作培训、抢救操作培训，可提供培训考核系统，支持多台设备同时接入进行在线培训、考核；</w:t>
            </w:r>
          </w:p>
          <w:p w14:paraId="70EE78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心电波形速度支持50 mm/s、25 mm/s、12.5 mm/s、6.25 mm/s，阻抗呼吸和呼吸末二氧化碳波形速度支持25 mm/s、12.5 mm/s、6.25 mm/s，血氧饱和度波形速度支持25 mm/s、12.5 mm/s；</w:t>
            </w:r>
          </w:p>
          <w:p w14:paraId="44A7793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通过心电电极片可监测的心律失常分析种类≥27种；</w:t>
            </w:r>
          </w:p>
          <w:p w14:paraId="23A5A5A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支持ST/QT实时分析；</w:t>
            </w:r>
          </w:p>
          <w:p w14:paraId="09DF2B2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阻抗呼吸率范围：0～200rpm；</w:t>
            </w:r>
          </w:p>
          <w:p w14:paraId="5CE7A4B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提供的监护参数适用于成人、小儿和新生儿，并通过国家三类注册、CE(MDR)认证；</w:t>
            </w:r>
          </w:p>
          <w:p w14:paraId="28E52D6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脉率范围：20～300bpm；</w:t>
            </w:r>
          </w:p>
          <w:p w14:paraId="3D402B0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无创血压收缩压测量范围：25～290mmHg（成人）、25～240mmHg（小儿）、25～140mmHg（新生儿），舒张压测量范围：10～250mmHg（成人）、10～200mmHg（小儿），10～115mmHg（新生儿）；</w:t>
            </w:r>
          </w:p>
          <w:p w14:paraId="44D2F89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可根据病人类型自动切换除颤默认能量、CPR提示和参数报警限；</w:t>
            </w:r>
          </w:p>
          <w:p w14:paraId="0FBA806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支持连接中央站，与科室床旁监护仪共用监护网络；</w:t>
            </w:r>
          </w:p>
          <w:p w14:paraId="40E21A5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支持提供IHE HL7协议，满足院前院内急救系统的联网通信；</w:t>
            </w:r>
          </w:p>
          <w:p w14:paraId="6370C51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标配1块外置智能锂电池，可支持200J除颤≥300次；</w:t>
            </w:r>
          </w:p>
          <w:p w14:paraId="3FC8830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具备生理报警和技术报警功能，通过声音、文字和灯光三种方式进行报警；</w:t>
            </w:r>
          </w:p>
          <w:p w14:paraId="1563B31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配置50mm记录纸记录仪，可同时打印不少于三通道波形，自动打印除颤记录，单次波形记录时间最大不小于30s，支持连续波形记录；</w:t>
            </w:r>
          </w:p>
          <w:p w14:paraId="4489025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可存储120小时连续ECG波形，数据可导出至电脑查看；</w:t>
            </w:r>
          </w:p>
          <w:p w14:paraId="2F3EBEB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关机状态下设备支持每天定时自动运行自检（含监护模块和治疗模块），支持定期自动大能量自检（最大放电能量）；</w:t>
            </w:r>
          </w:p>
          <w:p w14:paraId="47A91BE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具备良好的防尘防水性能，防尘防水级别IP55。</w:t>
            </w:r>
          </w:p>
        </w:tc>
        <w:tc>
          <w:tcPr>
            <w:tcW w:w="1033" w:type="dxa"/>
            <w:vAlign w:val="center"/>
          </w:tcPr>
          <w:p w14:paraId="6361EE6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2台</w:t>
            </w:r>
          </w:p>
        </w:tc>
        <w:tc>
          <w:tcPr>
            <w:tcW w:w="975" w:type="dxa"/>
            <w:vAlign w:val="center"/>
          </w:tcPr>
          <w:p w14:paraId="3AA727DE">
            <w:pPr>
              <w:jc w:val="center"/>
              <w:rPr>
                <w:rFonts w:hint="eastAsia" w:ascii="仿宋" w:hAnsi="仿宋" w:eastAsia="仿宋" w:cs="仿宋"/>
                <w:color w:val="auto"/>
                <w:sz w:val="28"/>
                <w:szCs w:val="28"/>
                <w:vertAlign w:val="baseline"/>
              </w:rPr>
            </w:pPr>
          </w:p>
        </w:tc>
      </w:tr>
      <w:tr w14:paraId="20DFB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3C94AA1F">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22</w:t>
            </w:r>
          </w:p>
        </w:tc>
        <w:tc>
          <w:tcPr>
            <w:tcW w:w="3139" w:type="dxa"/>
            <w:vAlign w:val="center"/>
          </w:tcPr>
          <w:p w14:paraId="1CCA17AD">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ABS转运床</w:t>
            </w:r>
          </w:p>
        </w:tc>
        <w:tc>
          <w:tcPr>
            <w:tcW w:w="7683" w:type="dxa"/>
            <w:vAlign w:val="center"/>
          </w:tcPr>
          <w:p w14:paraId="0CF201A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车面采用ABS工程注塑料一次铸压成型，具有阻燃性高，耐腐蚀，韧性强等特点，四角分别设计有把手，方便护理急救人员操作；</w:t>
            </w:r>
          </w:p>
          <w:p w14:paraId="4DD5B18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床身由 30*50 厚 1.2mm 的冷轧钢管制成，先进机器人高精度焊接工艺保证焊接质量，床体坚固，可承载≥200kg；</w:t>
            </w:r>
          </w:p>
          <w:p w14:paraId="69B1F19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床身采用环保粉沫喷塑处理，起背采用进口优质气压系统，背部起升0～65°，操作简便，可单手操作；</w:t>
            </w:r>
          </w:p>
          <w:p w14:paraId="0719911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护栏高度≥290mm，护栏最薄处厚度≥15mm，确保患者更安全；</w:t>
            </w:r>
          </w:p>
          <w:p w14:paraId="336F6AE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整体升降采用摇杆式设计，摇把采用双向过盈保护，自动润滑功能；</w:t>
            </w:r>
          </w:p>
          <w:p w14:paraId="6ADFE58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平车底座为1.5mm冷轧钢板，采用模具一次性冲压成型，坚固耐用，稳定性强；</w:t>
            </w:r>
          </w:p>
          <w:p w14:paraId="6D69438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刹车采用先进的中控刹车系统，四个全制动脚轮，轮径φ150mm，脚轮具有优良的耐油性、耐磨性、耐药性和耐化学品性，保证了脚轮的使用寿命，防尘脚轮使平车运动稳定、可靠、轻巧；</w:t>
            </w:r>
          </w:p>
          <w:p w14:paraId="152D1D1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增加第五轮设计，使平车在直线及转向运动中更加方便快捷；</w:t>
            </w:r>
          </w:p>
          <w:p w14:paraId="771ACC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床体前部带有氧气瓶托架，可放置氧气瓶，以便急救使用；</w:t>
            </w:r>
          </w:p>
          <w:p w14:paraId="16EFFB0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平车头尾带有对角输液架插孔，并配有1根输液架，方便患者输液；</w:t>
            </w:r>
          </w:p>
          <w:p w14:paraId="34EE4F9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辅助装置：带有厚度3CM牛津布车垫，带有2条安全绑带，在紧急运送病人时，可保护病人不从运送推车掉落；</w:t>
            </w:r>
          </w:p>
          <w:p w14:paraId="2D7CEE6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配置：床体1套、床垫1张、护栏1副、输液杆架1根、氧气瓶架1个、脚轮4个、摇把1套、产品说明书1套。</w:t>
            </w:r>
          </w:p>
        </w:tc>
        <w:tc>
          <w:tcPr>
            <w:tcW w:w="1033" w:type="dxa"/>
            <w:vAlign w:val="center"/>
          </w:tcPr>
          <w:p w14:paraId="26440BF3">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2张</w:t>
            </w:r>
          </w:p>
        </w:tc>
        <w:tc>
          <w:tcPr>
            <w:tcW w:w="975" w:type="dxa"/>
            <w:vAlign w:val="center"/>
          </w:tcPr>
          <w:p w14:paraId="67F70AF3">
            <w:pPr>
              <w:jc w:val="center"/>
              <w:rPr>
                <w:rFonts w:hint="eastAsia" w:ascii="仿宋" w:hAnsi="仿宋" w:eastAsia="仿宋" w:cs="仿宋"/>
                <w:color w:val="auto"/>
                <w:sz w:val="28"/>
                <w:szCs w:val="28"/>
                <w:vertAlign w:val="baseline"/>
              </w:rPr>
            </w:pPr>
          </w:p>
        </w:tc>
      </w:tr>
      <w:tr w14:paraId="1E7CC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465827CA">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23</w:t>
            </w:r>
          </w:p>
        </w:tc>
        <w:tc>
          <w:tcPr>
            <w:tcW w:w="3139" w:type="dxa"/>
            <w:vAlign w:val="center"/>
          </w:tcPr>
          <w:p w14:paraId="12B1B250">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注射泵</w:t>
            </w:r>
          </w:p>
        </w:tc>
        <w:tc>
          <w:tcPr>
            <w:tcW w:w="7683" w:type="dxa"/>
            <w:vAlign w:val="center"/>
          </w:tcPr>
          <w:p w14:paraId="66CFE6B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注射精度≤±2% 或 0.005mL/h 取大者；</w:t>
            </w:r>
          </w:p>
          <w:p w14:paraId="35AF47D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速率范围：0.01～2100ml/h，最小步进 0.01ml/h；</w:t>
            </w:r>
          </w:p>
          <w:p w14:paraId="02A81DF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预置输液总量范围：0.00～9999.99ml；</w:t>
            </w:r>
          </w:p>
          <w:p w14:paraId="7F36F14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★快进流速范围：1～2100ml/h；</w:t>
            </w:r>
          </w:p>
          <w:p w14:paraId="01591CE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★支持注射器规格：2ml、5ml、10ml、20ml、30ml、50、60ml；</w:t>
            </w:r>
          </w:p>
          <w:p w14:paraId="4A71359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LCD 显示屏，可同屏显示：当前时间、注射器规格、注射器品牌、注射流速、注射预置量、注射累积量、剩余时间、剩余注射量、并显示实时动态压力检测；</w:t>
            </w:r>
          </w:p>
          <w:p w14:paraId="7493666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锁屏功能：支持自动锁屏，自动锁屏时间可调；</w:t>
            </w:r>
          </w:p>
          <w:p w14:paraId="2C9A73A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在线滴定功能：安全不中断输液而更改速率；</w:t>
            </w:r>
          </w:p>
          <w:p w14:paraId="6520543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分低级、中级、高级三级报警，可实现声光报警提示，同时显示具体报警信息；</w:t>
            </w:r>
          </w:p>
          <w:p w14:paraId="7B8F70F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在线动态压力监测，可实时显示当前压力数值；</w:t>
            </w:r>
          </w:p>
          <w:p w14:paraId="0375899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接口支持 RS232 数据传输、护士呼叫、DC 输入功能；</w:t>
            </w:r>
          </w:p>
          <w:p w14:paraId="370EE33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防进液等级 IPX4；</w:t>
            </w:r>
          </w:p>
          <w:p w14:paraId="67B96FE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无线模块，实现无线联网监测；</w:t>
            </w:r>
          </w:p>
          <w:p w14:paraId="6A498D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注射泵推杆无皮套设计，更易清洁，符合院感要求；</w:t>
            </w:r>
          </w:p>
          <w:p w14:paraId="4C32398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整机重量≤ 1.6kg，主机自带提手，方便携带。</w:t>
            </w:r>
          </w:p>
        </w:tc>
        <w:tc>
          <w:tcPr>
            <w:tcW w:w="1033" w:type="dxa"/>
            <w:vAlign w:val="center"/>
          </w:tcPr>
          <w:p w14:paraId="1A40874D">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2台</w:t>
            </w:r>
          </w:p>
        </w:tc>
        <w:tc>
          <w:tcPr>
            <w:tcW w:w="975" w:type="dxa"/>
            <w:vAlign w:val="center"/>
          </w:tcPr>
          <w:p w14:paraId="075986F2">
            <w:pPr>
              <w:jc w:val="center"/>
              <w:rPr>
                <w:rFonts w:hint="eastAsia" w:ascii="仿宋" w:hAnsi="仿宋" w:eastAsia="仿宋" w:cs="仿宋"/>
                <w:color w:val="auto"/>
                <w:sz w:val="28"/>
                <w:szCs w:val="28"/>
                <w:vertAlign w:val="baseline"/>
              </w:rPr>
            </w:pPr>
          </w:p>
        </w:tc>
      </w:tr>
      <w:tr w14:paraId="3E19D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4767A51">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24</w:t>
            </w:r>
          </w:p>
        </w:tc>
        <w:tc>
          <w:tcPr>
            <w:tcW w:w="3139" w:type="dxa"/>
            <w:vAlign w:val="center"/>
          </w:tcPr>
          <w:p w14:paraId="3BFFCE19">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电动吸引器</w:t>
            </w:r>
          </w:p>
        </w:tc>
        <w:tc>
          <w:tcPr>
            <w:tcW w:w="7683" w:type="dxa"/>
            <w:vAlign w:val="center"/>
          </w:tcPr>
          <w:p w14:paraId="39EC8FF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高负压/高流量；</w:t>
            </w:r>
          </w:p>
          <w:p w14:paraId="50AED72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电源电压：-220V±22V，频率：50Hz±1Hz；</w:t>
            </w:r>
          </w:p>
          <w:p w14:paraId="59C2CFA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输入功率：180VA；</w:t>
            </w:r>
          </w:p>
          <w:p w14:paraId="286342B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额定电压：-220V； </w:t>
            </w:r>
          </w:p>
          <w:p w14:paraId="235DE67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额定频率：50Hz； </w:t>
            </w:r>
          </w:p>
          <w:p w14:paraId="4EB9D39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最大负压值：90kPa±10kPa； </w:t>
            </w:r>
          </w:p>
          <w:p w14:paraId="66285FE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负压调节范围：20kPa至最大负压值； </w:t>
            </w:r>
          </w:p>
          <w:p w14:paraId="0F0134F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自由空气流量：≥20L/min； </w:t>
            </w:r>
          </w:p>
          <w:p w14:paraId="6B9A032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噪声：≤65dB(A)； </w:t>
            </w:r>
          </w:p>
          <w:p w14:paraId="6A3A201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贮液瓶：2000mL/只，2只一组(倾斜角度≤10°仍适用)； </w:t>
            </w:r>
          </w:p>
          <w:p w14:paraId="7C4D774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熔丝管：F2AL250V，Φ5×20。</w:t>
            </w:r>
          </w:p>
        </w:tc>
        <w:tc>
          <w:tcPr>
            <w:tcW w:w="1033" w:type="dxa"/>
            <w:vAlign w:val="center"/>
          </w:tcPr>
          <w:p w14:paraId="075EA3B4">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7014090A">
            <w:pPr>
              <w:jc w:val="center"/>
              <w:rPr>
                <w:rFonts w:hint="eastAsia" w:ascii="仿宋" w:hAnsi="仿宋" w:eastAsia="仿宋" w:cs="仿宋"/>
                <w:color w:val="auto"/>
                <w:sz w:val="28"/>
                <w:szCs w:val="28"/>
                <w:vertAlign w:val="baseline"/>
              </w:rPr>
            </w:pPr>
          </w:p>
        </w:tc>
      </w:tr>
      <w:tr w14:paraId="3C3C7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2623957">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25</w:t>
            </w:r>
          </w:p>
        </w:tc>
        <w:tc>
          <w:tcPr>
            <w:tcW w:w="3139" w:type="dxa"/>
            <w:vAlign w:val="center"/>
          </w:tcPr>
          <w:p w14:paraId="1FA2AD7D">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软皮检查床</w:t>
            </w:r>
          </w:p>
        </w:tc>
        <w:tc>
          <w:tcPr>
            <w:tcW w:w="7683" w:type="dxa"/>
            <w:vAlign w:val="center"/>
          </w:tcPr>
          <w:p w14:paraId="623033A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床架材质：床框为≥50*30矩形钢管，厚度≥1.2mm</w:t>
            </w:r>
          </w:p>
          <w:p w14:paraId="6436264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床脚为≥50*50方形钢管，厚度≥1.0mm</w:t>
            </w:r>
          </w:p>
          <w:p w14:paraId="0F7368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加强连接管为≥30*30方形钢管，厚度≥1.2mm</w:t>
            </w:r>
          </w:p>
          <w:p w14:paraId="345EC4B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床垫材质：采用优质医用皮革、内包厚度≥25mm优质高弹海绵、优质蓝皮包面，坚固耐用，美观大方，床板为12mm厚多层板，床垫与床架连接牢固；</w:t>
            </w:r>
          </w:p>
          <w:p w14:paraId="40800B4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结构：床腿上装有橡胶套、与地面接触防滑减震；</w:t>
            </w:r>
          </w:p>
          <w:p w14:paraId="71DA23D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喷涂：钢制部件经酸洗、陶化等前处理除锈工艺后，采用医用抗菌粉末静电喷涂，防菌抗菌，抗酸碱腐蚀，耐裉色，有效延长使用寿命；</w:t>
            </w:r>
          </w:p>
          <w:p w14:paraId="0DFADEB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重量：≥25KG。</w:t>
            </w:r>
          </w:p>
        </w:tc>
        <w:tc>
          <w:tcPr>
            <w:tcW w:w="1033" w:type="dxa"/>
            <w:vAlign w:val="center"/>
          </w:tcPr>
          <w:p w14:paraId="7C0895A8">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10张</w:t>
            </w:r>
          </w:p>
        </w:tc>
        <w:tc>
          <w:tcPr>
            <w:tcW w:w="975" w:type="dxa"/>
            <w:vAlign w:val="center"/>
          </w:tcPr>
          <w:p w14:paraId="36565AC1">
            <w:pPr>
              <w:jc w:val="center"/>
              <w:rPr>
                <w:rFonts w:hint="eastAsia" w:ascii="仿宋" w:hAnsi="仿宋" w:eastAsia="仿宋" w:cs="仿宋"/>
                <w:color w:val="auto"/>
                <w:sz w:val="28"/>
                <w:szCs w:val="28"/>
                <w:vertAlign w:val="baseline"/>
              </w:rPr>
            </w:pPr>
          </w:p>
        </w:tc>
      </w:tr>
      <w:tr w14:paraId="7698B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AAB65CE">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26</w:t>
            </w:r>
          </w:p>
        </w:tc>
        <w:tc>
          <w:tcPr>
            <w:tcW w:w="3139" w:type="dxa"/>
            <w:vAlign w:val="center"/>
          </w:tcPr>
          <w:p w14:paraId="114B8423">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动态心电图机</w:t>
            </w:r>
          </w:p>
        </w:tc>
        <w:tc>
          <w:tcPr>
            <w:tcW w:w="7683" w:type="dxa"/>
            <w:vAlign w:val="center"/>
          </w:tcPr>
          <w:p w14:paraId="3D173DA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电源DC 1.5V，1节AAA 电池，记录时间连续记录72小时以上；</w:t>
            </w:r>
          </w:p>
          <w:p w14:paraId="6C8FEF7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小巧轻便，重量不超过62g（带电池）；</w:t>
            </w:r>
          </w:p>
          <w:p w14:paraId="5C554FF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外壳材料：ABS塑料；  </w:t>
            </w:r>
          </w:p>
          <w:p w14:paraId="70E5CC8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导联(通道)：12导，3导；                    </w:t>
            </w:r>
          </w:p>
          <w:p w14:paraId="64DF6C2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频率响应：0.05～65HZ； </w:t>
            </w:r>
          </w:p>
          <w:p w14:paraId="56D35BB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记录方式：全信息无压缩；</w:t>
            </w:r>
          </w:p>
          <w:p w14:paraId="3F34974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输入阻抗：≥30MΩ；</w:t>
            </w:r>
          </w:p>
          <w:p w14:paraId="07D9C81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增益：5、10、20、40mm/mv；</w:t>
            </w:r>
          </w:p>
          <w:p w14:paraId="49E117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共模抑制比：≥100dB；</w:t>
            </w:r>
          </w:p>
          <w:p w14:paraId="7E1D894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采样率：128-1024次/秒/通道，起博采样率32000HZ；</w:t>
            </w:r>
          </w:p>
          <w:p w14:paraId="004E90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显示：LCD显示文字和波形，支持中、英文；</w:t>
            </w:r>
          </w:p>
          <w:p w14:paraId="4DEBC8D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转换精度：12或16位；</w:t>
            </w:r>
          </w:p>
          <w:p w14:paraId="603350F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实时时钟：年、月、日；时、分、秒；</w:t>
            </w:r>
          </w:p>
          <w:p w14:paraId="1AC9F98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数据接口：SD卡；</w:t>
            </w:r>
          </w:p>
          <w:p w14:paraId="2C927A1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存储介质：Flash卡；</w:t>
            </w:r>
          </w:p>
          <w:p w14:paraId="5C8BE87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导联线插头：19 针；</w:t>
            </w:r>
          </w:p>
          <w:p w14:paraId="4134813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导联线：10 芯、5芯、7芯；</w:t>
            </w:r>
          </w:p>
          <w:p w14:paraId="730615D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起博检测：支持，起博采样率32000HZ；独立显示通道，3通道检测。</w:t>
            </w:r>
          </w:p>
        </w:tc>
        <w:tc>
          <w:tcPr>
            <w:tcW w:w="1033" w:type="dxa"/>
            <w:vAlign w:val="center"/>
          </w:tcPr>
          <w:p w14:paraId="21E6983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2台</w:t>
            </w:r>
          </w:p>
        </w:tc>
        <w:tc>
          <w:tcPr>
            <w:tcW w:w="975" w:type="dxa"/>
            <w:vAlign w:val="center"/>
          </w:tcPr>
          <w:p w14:paraId="40B2836F">
            <w:pPr>
              <w:jc w:val="center"/>
              <w:rPr>
                <w:rFonts w:hint="eastAsia" w:ascii="仿宋" w:hAnsi="仿宋" w:eastAsia="仿宋" w:cs="仿宋"/>
                <w:color w:val="auto"/>
                <w:sz w:val="28"/>
                <w:szCs w:val="28"/>
                <w:vertAlign w:val="baseline"/>
              </w:rPr>
            </w:pPr>
          </w:p>
        </w:tc>
      </w:tr>
      <w:tr w14:paraId="65882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6034688">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27</w:t>
            </w:r>
          </w:p>
        </w:tc>
        <w:tc>
          <w:tcPr>
            <w:tcW w:w="3139" w:type="dxa"/>
            <w:vAlign w:val="center"/>
          </w:tcPr>
          <w:p w14:paraId="780DE855">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动态血压计</w:t>
            </w:r>
          </w:p>
        </w:tc>
        <w:tc>
          <w:tcPr>
            <w:tcW w:w="7683" w:type="dxa"/>
            <w:vAlign w:val="center"/>
          </w:tcPr>
          <w:p w14:paraId="1D60B0F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记录器技术要求</w:t>
            </w:r>
          </w:p>
          <w:p w14:paraId="4D11C01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测量方法采用示波法进行血压测量；</w:t>
            </w:r>
          </w:p>
          <w:p w14:paraId="0818B7D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血压测量范围：0～260（mmHg）；</w:t>
            </w:r>
          </w:p>
          <w:p w14:paraId="7394E38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脉搏率测量范围：30～220（mmHg）；</w:t>
            </w:r>
          </w:p>
          <w:p w14:paraId="322D7C2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支持过压保护：当袖带内压力大于40kPa（300mmHg）时，袖带能够自动释压；</w:t>
            </w:r>
          </w:p>
          <w:p w14:paraId="3CECF60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支持释压保护：袖带加压过程中取掉电池袖带能够自动释压；</w:t>
            </w:r>
          </w:p>
          <w:p w14:paraId="78D0FD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支持掉电数据保护：记录过程中取掉电池不会丢失已经记录的数据；</w:t>
            </w:r>
          </w:p>
          <w:p w14:paraId="7D27CFF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支持自动重测功能：对错误数据可进行自动重测；</w:t>
            </w:r>
          </w:p>
          <w:p w14:paraId="19187A0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两节碱性5号电池供电；</w:t>
            </w:r>
          </w:p>
          <w:p w14:paraId="13E4B0D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存储容量：可储存至少460条以上测试数据；</w:t>
            </w:r>
          </w:p>
          <w:p w14:paraId="26D7E64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屏幕要求为液晶点阵屏显示，可显示全程记录的全部血压趋势图，可显示收缩压、舒张压、脉搏及工作状态信息；</w:t>
            </w:r>
          </w:p>
          <w:p w14:paraId="4CF168D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具备实时时钟功能，能够显示当前时间；</w:t>
            </w:r>
          </w:p>
          <w:p w14:paraId="14CF78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能够测定患者体位状态。</w:t>
            </w:r>
          </w:p>
          <w:p w14:paraId="3792849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二、分析软件要求</w:t>
            </w:r>
          </w:p>
          <w:p w14:paraId="3869C4D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支持比较分析功能：可对同一患者进行多次测量，进行不同数据间的比较分析；</w:t>
            </w:r>
          </w:p>
          <w:p w14:paraId="55AE713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 xml:space="preserve">支持多种形式显示及打印回访数据，方便医生做出全面诊断； </w:t>
            </w:r>
          </w:p>
          <w:p w14:paraId="66E163B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具有趋势图功能：能选择显示心率趋势图、平均动脉压、错误数据、RPP数据趋势图；</w:t>
            </w:r>
          </w:p>
          <w:p w14:paraId="141EA76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数据表功能：能选择显示全部功能、按小时显示、显示小时平均值、显示错误数据，血压异常数据、错误数据需以不同颜色进行标注，并可选择是否显示；</w:t>
            </w:r>
          </w:p>
          <w:p w14:paraId="6F9C128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柱状图功能：能选择显示全部、白天、晚上柱状图；</w:t>
            </w:r>
          </w:p>
          <w:p w14:paraId="542C5C7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饼状图功能：能选择显示全部、白天、晚上饼状图；</w:t>
            </w:r>
          </w:p>
          <w:p w14:paraId="3A7E88C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患者信息登记功能：可登录患者的详细信息，避免混淆数据。</w:t>
            </w:r>
          </w:p>
        </w:tc>
        <w:tc>
          <w:tcPr>
            <w:tcW w:w="1033" w:type="dxa"/>
            <w:vAlign w:val="center"/>
          </w:tcPr>
          <w:p w14:paraId="71277C1F">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4台</w:t>
            </w:r>
          </w:p>
        </w:tc>
        <w:tc>
          <w:tcPr>
            <w:tcW w:w="975" w:type="dxa"/>
            <w:vAlign w:val="center"/>
          </w:tcPr>
          <w:p w14:paraId="5FEF0172">
            <w:pPr>
              <w:jc w:val="center"/>
              <w:rPr>
                <w:rFonts w:hint="eastAsia" w:ascii="仿宋" w:hAnsi="仿宋" w:eastAsia="仿宋" w:cs="仿宋"/>
                <w:color w:val="auto"/>
                <w:sz w:val="28"/>
                <w:szCs w:val="28"/>
                <w:vertAlign w:val="baseline"/>
              </w:rPr>
            </w:pPr>
          </w:p>
        </w:tc>
      </w:tr>
      <w:tr w14:paraId="71EDD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6B164A8C">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28</w:t>
            </w:r>
          </w:p>
        </w:tc>
        <w:tc>
          <w:tcPr>
            <w:tcW w:w="3139" w:type="dxa"/>
            <w:vAlign w:val="center"/>
          </w:tcPr>
          <w:p w14:paraId="20AAFA4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保温箱</w:t>
            </w:r>
          </w:p>
        </w:tc>
        <w:tc>
          <w:tcPr>
            <w:tcW w:w="7683" w:type="dxa"/>
            <w:vAlign w:val="center"/>
          </w:tcPr>
          <w:p w14:paraId="00DD533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内部容量：≥80L，符合新版《GSP》要求，满足冷藏冷链温湿度要求，实时显示并采集温湿度数据，温湿度异常报警，数据全程跟踪可追溯、可上传、可导出、可现场打印，配备蓄冷剂等降温装置（可保持2～8度20小时）；</w:t>
            </w:r>
          </w:p>
          <w:p w14:paraId="3BAD24D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通信接口：4G通信接口，基于蜂窝网络，TCP/IP方式上传数据；</w:t>
            </w:r>
          </w:p>
          <w:p w14:paraId="7BC6ADE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精度：温度±0.5℃（25℃）、湿度±3%RH(60%RH,25℃)；</w:t>
            </w:r>
          </w:p>
          <w:p w14:paraId="1568EB8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测量范围：温度-40℃～+120℃（默认：-40℃～+80℃）、湿度0%RH～100%RH。</w:t>
            </w:r>
          </w:p>
          <w:p w14:paraId="4A22FD2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显示分辨率：温度0.1℃、湿度0.1%RH；</w:t>
            </w:r>
          </w:p>
          <w:p w14:paraId="4B18805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工作环境：-20℃～+60℃，0%RH～95%RH（非结露）；</w:t>
            </w:r>
          </w:p>
          <w:p w14:paraId="7B596A5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正常记录间隔默认5min，告警记录间隔默认2min，支持自定义设置，最低1min记录一次；</w:t>
            </w:r>
          </w:p>
          <w:p w14:paraId="5ED2A83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配备蓝牙打印功能：本设备默认配备蓝牙模块，在现场可与热敏蓝牙打印机直接进行蓝牙无线配对，打印运输途中的温度小票；</w:t>
            </w:r>
          </w:p>
          <w:p w14:paraId="3DEF065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报警功能：支持本地声光报警、蜂鸣报警；</w:t>
            </w:r>
          </w:p>
          <w:p w14:paraId="2571595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支持平台端远程告警，如报警弹窗、变色、音频、短信、邮件、振铃、微信等多种本地及远程告警方式；</w:t>
            </w:r>
          </w:p>
          <w:p w14:paraId="08CD7CE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定位功能：默认基站定位，可选配GPS定位模块，可查询历史定位信息并生成定位轨迹，方便查询运输路线；</w:t>
            </w:r>
          </w:p>
          <w:p w14:paraId="69F5447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配置方式：可通过监测平台远程配置设备具体参数信息。</w:t>
            </w:r>
          </w:p>
        </w:tc>
        <w:tc>
          <w:tcPr>
            <w:tcW w:w="1033" w:type="dxa"/>
            <w:vAlign w:val="center"/>
          </w:tcPr>
          <w:p w14:paraId="20E227A0">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3台</w:t>
            </w:r>
          </w:p>
        </w:tc>
        <w:tc>
          <w:tcPr>
            <w:tcW w:w="975" w:type="dxa"/>
            <w:vAlign w:val="center"/>
          </w:tcPr>
          <w:p w14:paraId="38EB756B">
            <w:pPr>
              <w:jc w:val="center"/>
              <w:rPr>
                <w:rFonts w:hint="eastAsia" w:ascii="仿宋" w:hAnsi="仿宋" w:eastAsia="仿宋" w:cs="仿宋"/>
                <w:color w:val="auto"/>
                <w:sz w:val="28"/>
                <w:szCs w:val="28"/>
                <w:vertAlign w:val="baseline"/>
              </w:rPr>
            </w:pPr>
          </w:p>
        </w:tc>
      </w:tr>
      <w:tr w14:paraId="696B9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4C4C49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29</w:t>
            </w:r>
          </w:p>
        </w:tc>
        <w:tc>
          <w:tcPr>
            <w:tcW w:w="3139" w:type="dxa"/>
            <w:vAlign w:val="center"/>
          </w:tcPr>
          <w:p w14:paraId="6DECE537">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冷藏柜</w:t>
            </w:r>
          </w:p>
        </w:tc>
        <w:tc>
          <w:tcPr>
            <w:tcW w:w="7683" w:type="dxa"/>
            <w:vAlign w:val="center"/>
          </w:tcPr>
          <w:p w14:paraId="55C8B12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容积：≥100L；</w:t>
            </w:r>
          </w:p>
          <w:p w14:paraId="28343EC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恒定温度：4～38℃每度可调控；</w:t>
            </w:r>
          </w:p>
          <w:p w14:paraId="52E89E5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低功耗：额定功率小于85\170W，日耗电量仅0.45KWh，宽电压带，适合电压不稳定地区；</w:t>
            </w:r>
          </w:p>
          <w:p w14:paraId="7381B7D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内置微电脑控制系统，温度数字显示，控制面板与门一体设计，触摸式LED液晶显示屏，简约、便捷操作；</w:t>
            </w:r>
          </w:p>
          <w:p w14:paraId="277AC7F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无噪音设计：噪音低于39dB(A)，无氟环保压缩机制冷技术；</w:t>
            </w:r>
          </w:p>
          <w:p w14:paraId="49DA2E1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采用上置式顶部双风机设计，翅片式风冷式结构，合理的风循环系统，保持箱内温度均匀稳定；</w:t>
            </w:r>
          </w:p>
          <w:p w14:paraId="0E887F0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合理设计蒸发器，有效增大制冷面积，提高降温速度，多层搁架设计，可根据存放物品的规格合理调整间隙，充分利用空间；</w:t>
            </w:r>
          </w:p>
          <w:p w14:paraId="10243B3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内嵌式双安全门锁设计，照明灯设计、透明保温双层钢化玻璃门，便于观察内部物品的存放情况；</w:t>
            </w:r>
          </w:p>
          <w:p w14:paraId="7CBB47E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箱体采用数控机床加工成型，造型美观大方、操作简便，箱体外胆采用A3钢板喷塑，增加外观质感和洁净度。</w:t>
            </w:r>
          </w:p>
        </w:tc>
        <w:tc>
          <w:tcPr>
            <w:tcW w:w="1033" w:type="dxa"/>
            <w:vAlign w:val="center"/>
          </w:tcPr>
          <w:p w14:paraId="50CBAF49">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13台</w:t>
            </w:r>
          </w:p>
        </w:tc>
        <w:tc>
          <w:tcPr>
            <w:tcW w:w="975" w:type="dxa"/>
            <w:vAlign w:val="center"/>
          </w:tcPr>
          <w:p w14:paraId="1537AA49">
            <w:pPr>
              <w:jc w:val="center"/>
              <w:rPr>
                <w:rFonts w:hint="eastAsia" w:ascii="仿宋" w:hAnsi="仿宋" w:eastAsia="仿宋" w:cs="仿宋"/>
                <w:color w:val="auto"/>
                <w:sz w:val="28"/>
                <w:szCs w:val="28"/>
                <w:vertAlign w:val="baseline"/>
              </w:rPr>
            </w:pPr>
          </w:p>
        </w:tc>
      </w:tr>
      <w:tr w14:paraId="69886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591E5421">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30</w:t>
            </w:r>
          </w:p>
        </w:tc>
        <w:tc>
          <w:tcPr>
            <w:tcW w:w="3139" w:type="dxa"/>
            <w:vAlign w:val="center"/>
          </w:tcPr>
          <w:p w14:paraId="263564E0">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新生儿专用监护仪</w:t>
            </w:r>
          </w:p>
        </w:tc>
        <w:tc>
          <w:tcPr>
            <w:tcW w:w="7683" w:type="dxa"/>
            <w:vAlign w:val="center"/>
          </w:tcPr>
          <w:p w14:paraId="682B274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8英寸彩色液晶触摸屏，支持触摸飞梭双操作，分辨率高达1024*768像素，紧凑小巧，方便新生儿科室的固定安装；</w:t>
            </w:r>
          </w:p>
          <w:p w14:paraId="569C0B6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360度报警灯，保证任何方向都可观察到报警信息；</w:t>
            </w:r>
          </w:p>
          <w:p w14:paraId="7AF6295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整机无风扇设计，降低环境噪音干扰，利于院感控制；</w:t>
            </w:r>
          </w:p>
          <w:p w14:paraId="7589972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监护仪设计使用年限为8年，提供机器标贴证明材料；</w:t>
            </w:r>
          </w:p>
          <w:p w14:paraId="2D07FEC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监护仪通过国家二类注册认证，提供注册证相关材料；</w:t>
            </w:r>
          </w:p>
          <w:p w14:paraId="5C1EBD5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病人类型：新生儿，不提供成人和小儿类型，专用于新生儿；</w:t>
            </w:r>
          </w:p>
          <w:p w14:paraId="5D213FB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标准配置监测心电、呼吸、无创血压、血氧饱和度、脉搏和体温；</w:t>
            </w:r>
          </w:p>
          <w:p w14:paraId="514F625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支持3/5导心电测量；</w:t>
            </w:r>
          </w:p>
          <w:p w14:paraId="24F7E82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心电波形扫描速度支持6.25mm/s、12.5 mm/s、25 mm/s和50 mm/s，提供界面截图证明材料；</w:t>
            </w:r>
          </w:p>
          <w:p w14:paraId="52595E41">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支持显示PI血氧灌注指数，并提供PI过低报警，有效反映血氧灌注情况；</w:t>
            </w:r>
          </w:p>
          <w:p w14:paraId="6CB45A3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血氧监测具备抗干扰和抗弱灌注性能；</w:t>
            </w:r>
          </w:p>
          <w:p w14:paraId="30747787">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标配CCHD新生儿危重先心病筛查临床辅助应用功能；</w:t>
            </w:r>
          </w:p>
          <w:p w14:paraId="550BE7DC">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新生儿呼吸测量范围：0～150bpm；</w:t>
            </w:r>
          </w:p>
          <w:p w14:paraId="2528D8C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★NIBP可选择初始充气压力，提升测量的准确性和患者舒适性；</w:t>
            </w:r>
          </w:p>
          <w:p w14:paraId="68D016A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新生儿NIBP测量范围：收缩压40～130mmHg、舒张压20～100mmHg、平均压27～110mmHg；</w:t>
            </w:r>
          </w:p>
          <w:p w14:paraId="76F6EBB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提供手动、自动、连续3种测量模式，满足临床应用并提供产品界面截图证明材料；</w:t>
            </w:r>
          </w:p>
          <w:p w14:paraId="7B2509C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支持英文字符输入；</w:t>
            </w:r>
          </w:p>
          <w:p w14:paraId="7501F33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具有三级声光报警，参数报警级别可调；</w:t>
            </w:r>
          </w:p>
          <w:p w14:paraId="650DD3A3">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具备大字体显示界面、单血氧显示界面及标准显示界面等多种显示界面；</w:t>
            </w:r>
          </w:p>
          <w:p w14:paraId="4CB700A0">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支持120小时趋势图表、100个报警和手动事件、1000组NIBP测量回顾；</w:t>
            </w:r>
          </w:p>
          <w:p w14:paraId="7A344766">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支持48小时全息波形和体征参数的存储与回顾；</w:t>
            </w:r>
          </w:p>
          <w:p w14:paraId="2F06560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★电池内置插槽式安装固定，无螺钉固定，方便徒手快速更换电池，配置单块锂电池，工作时间≥5小时；</w:t>
            </w:r>
          </w:p>
          <w:p w14:paraId="5E530338">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ECG、RESP参数为抗电击类型最高等级，CF型保证新生儿监护的安全；</w:t>
            </w:r>
          </w:p>
          <w:p w14:paraId="6BCAF81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支持监护仪历史病人数据的存储和回顾并支持通过USB接口将历史病人数据导出到U盘。</w:t>
            </w:r>
          </w:p>
        </w:tc>
        <w:tc>
          <w:tcPr>
            <w:tcW w:w="1033" w:type="dxa"/>
            <w:vAlign w:val="center"/>
          </w:tcPr>
          <w:p w14:paraId="63F3148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1台</w:t>
            </w:r>
          </w:p>
        </w:tc>
        <w:tc>
          <w:tcPr>
            <w:tcW w:w="975" w:type="dxa"/>
            <w:vAlign w:val="center"/>
          </w:tcPr>
          <w:p w14:paraId="74624EAC">
            <w:pPr>
              <w:jc w:val="center"/>
              <w:rPr>
                <w:rFonts w:hint="eastAsia" w:ascii="仿宋" w:hAnsi="仿宋" w:eastAsia="仿宋" w:cs="仿宋"/>
                <w:color w:val="auto"/>
                <w:sz w:val="28"/>
                <w:szCs w:val="28"/>
                <w:vertAlign w:val="baseline"/>
              </w:rPr>
            </w:pPr>
          </w:p>
        </w:tc>
      </w:tr>
      <w:tr w14:paraId="0A2E5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36" w:type="dxa"/>
            <w:vAlign w:val="center"/>
          </w:tcPr>
          <w:p w14:paraId="0DA80946">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31</w:t>
            </w:r>
          </w:p>
        </w:tc>
        <w:tc>
          <w:tcPr>
            <w:tcW w:w="3139" w:type="dxa"/>
            <w:vAlign w:val="center"/>
          </w:tcPr>
          <w:p w14:paraId="5F028D00">
            <w:pPr>
              <w:jc w:val="center"/>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麻醉咽喉镜（小儿光纤喉镜）</w:t>
            </w:r>
          </w:p>
        </w:tc>
        <w:tc>
          <w:tcPr>
            <w:tcW w:w="7683" w:type="dxa"/>
            <w:vAlign w:val="center"/>
          </w:tcPr>
          <w:p w14:paraId="6650D515">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喉镜片采用304不锈钢制造而成，镜片设计符合人体工程学，便于操作；</w:t>
            </w:r>
          </w:p>
          <w:p w14:paraId="2C586499">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手柄采用网纹设计，防止操作者有汗水导致脱落，操作手柄采用 H62铜材质加工而成，反复使用划痕少、高温消毒不易变形；</w:t>
            </w:r>
          </w:p>
          <w:p w14:paraId="24BF33A4">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发光方式：LED灯泡置于手柄前部，通过光导纤维冷光源导光，使用寿命长；</w:t>
            </w:r>
          </w:p>
          <w:p w14:paraId="6AEF7AFE">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光纤管可拆卸，清洗后可直接用2%戊二醛浸泡或环氧乙烷消毒，减少了交叉感染的可能性；</w:t>
            </w:r>
          </w:p>
          <w:p w14:paraId="05A879F2">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窥视片长度：102mm、75mm、65mm；</w:t>
            </w:r>
          </w:p>
          <w:p w14:paraId="229A1ACB">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手柄直径：18.5mm；</w:t>
            </w:r>
          </w:p>
          <w:p w14:paraId="4499ADED">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光纤照明度：＞5000LUX；</w:t>
            </w:r>
          </w:p>
          <w:p w14:paraId="6ACBF1FA">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 w:hAnsi="仿宋" w:eastAsia="仿宋" w:cs="仿宋"/>
                <w:color w:val="auto"/>
                <w:sz w:val="28"/>
                <w:szCs w:val="28"/>
                <w:vertAlign w:val="baseline"/>
                <w:lang w:val="en-US" w:eastAsia="zh-CN"/>
              </w:rPr>
            </w:pPr>
            <w:r>
              <w:rPr>
                <w:rFonts w:hint="eastAsia" w:ascii="仿宋" w:hAnsi="仿宋" w:eastAsia="仿宋" w:cs="仿宋"/>
                <w:color w:val="auto"/>
                <w:sz w:val="28"/>
                <w:szCs w:val="28"/>
                <w:vertAlign w:val="baseline"/>
                <w:lang w:val="en-US" w:eastAsia="zh-CN"/>
              </w:rPr>
              <w:t>包装方式：塑料盒包装。</w:t>
            </w:r>
          </w:p>
        </w:tc>
        <w:tc>
          <w:tcPr>
            <w:tcW w:w="1033" w:type="dxa"/>
            <w:vAlign w:val="center"/>
          </w:tcPr>
          <w:p w14:paraId="26C21C8B">
            <w:pPr>
              <w:jc w:val="center"/>
              <w:rPr>
                <w:rFonts w:hint="default" w:ascii="仿宋" w:hAnsi="仿宋" w:eastAsia="仿宋" w:cs="仿宋"/>
                <w:color w:val="auto"/>
                <w:sz w:val="28"/>
                <w:szCs w:val="28"/>
                <w:vertAlign w:val="baseline"/>
                <w:lang w:val="en-US" w:eastAsia="zh-CN"/>
              </w:rPr>
            </w:pPr>
            <w:r>
              <w:rPr>
                <w:rFonts w:hint="eastAsia" w:ascii="仿宋" w:hAnsi="仿宋" w:eastAsia="仿宋" w:cs="仿宋"/>
                <w:color w:val="auto"/>
                <w:sz w:val="28"/>
                <w:szCs w:val="28"/>
                <w:highlight w:val="none"/>
                <w:vertAlign w:val="baseline"/>
                <w:lang w:val="en-US" w:eastAsia="zh-CN"/>
              </w:rPr>
              <w:t>1个</w:t>
            </w:r>
          </w:p>
        </w:tc>
        <w:tc>
          <w:tcPr>
            <w:tcW w:w="975" w:type="dxa"/>
            <w:vAlign w:val="center"/>
          </w:tcPr>
          <w:p w14:paraId="488651BA">
            <w:pPr>
              <w:jc w:val="center"/>
              <w:rPr>
                <w:rFonts w:hint="eastAsia" w:ascii="仿宋" w:hAnsi="仿宋" w:eastAsia="仿宋" w:cs="仿宋"/>
                <w:color w:val="auto"/>
                <w:sz w:val="28"/>
                <w:szCs w:val="28"/>
                <w:vertAlign w:val="baseline"/>
              </w:rPr>
            </w:pPr>
          </w:p>
        </w:tc>
      </w:tr>
    </w:tbl>
    <w:p w14:paraId="6812CF0D">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p>
    <w:p w14:paraId="2CD79F60">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pPr>
    </w:p>
    <w:p w14:paraId="0A133C13">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仿宋" w:hAnsi="仿宋" w:eastAsia="仿宋" w:cs="仿宋"/>
          <w:b/>
          <w:bCs/>
          <w:color w:val="auto"/>
          <w:highlight w:val="none"/>
          <w:lang w:eastAsia="zh-CN"/>
        </w:rPr>
        <w:sectPr>
          <w:pgSz w:w="16838" w:h="11905" w:orient="landscape"/>
          <w:pgMar w:top="1417" w:right="1440" w:bottom="1417" w:left="1440" w:header="850" w:footer="992" w:gutter="0"/>
          <w:pgNumType w:fmt="decimal"/>
          <w:cols w:space="0" w:num="1"/>
          <w:docGrid w:type="linesAndChars" w:linePitch="325" w:charSpace="635"/>
        </w:sectPr>
      </w:pPr>
    </w:p>
    <w:p w14:paraId="3BD20998">
      <w:pPr>
        <w:keepNext w:val="0"/>
        <w:keepLines w:val="0"/>
        <w:pageBreakBefore w:val="0"/>
        <w:widowControl w:val="0"/>
        <w:kinsoku/>
        <w:wordWrap/>
        <w:overflowPunct/>
        <w:topLinePunct w:val="0"/>
        <w:autoSpaceDE/>
        <w:autoSpaceDN/>
        <w:bidi w:val="0"/>
        <w:adjustRightInd/>
        <w:snapToGrid/>
        <w:spacing w:line="460" w:lineRule="exact"/>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商务要求：</w:t>
      </w:r>
    </w:p>
    <w:p w14:paraId="042BD504">
      <w:pPr>
        <w:keepNext w:val="0"/>
        <w:keepLines w:val="0"/>
        <w:pageBreakBefore w:val="0"/>
        <w:widowControl w:val="0"/>
        <w:kinsoku/>
        <w:wordWrap/>
        <w:overflowPunct/>
        <w:topLinePunct w:val="0"/>
        <w:autoSpaceDE/>
        <w:autoSpaceDN/>
        <w:bidi w:val="0"/>
        <w:adjustRightInd/>
        <w:snapToGrid/>
        <w:spacing w:line="460" w:lineRule="exact"/>
        <w:ind w:left="486" w:leftChars="200"/>
        <w:textAlignment w:val="auto"/>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eastAsia="zh-CN"/>
        </w:rPr>
        <w:t>（一）实施（供货）期 ：</w:t>
      </w:r>
      <w:r>
        <w:rPr>
          <w:rFonts w:hint="eastAsia" w:ascii="仿宋" w:hAnsi="仿宋" w:eastAsia="仿宋" w:cs="仿宋"/>
          <w:b/>
          <w:bCs/>
          <w:color w:val="auto"/>
          <w:highlight w:val="none"/>
          <w:lang w:eastAsia="zh-CN"/>
        </w:rPr>
        <w:t>自合同签订之日起</w:t>
      </w:r>
      <w:r>
        <w:rPr>
          <w:rFonts w:hint="eastAsia" w:ascii="仿宋" w:hAnsi="仿宋" w:eastAsia="仿宋" w:cs="仿宋"/>
          <w:b/>
          <w:bCs/>
          <w:color w:val="auto"/>
          <w:highlight w:val="none"/>
          <w:lang w:val="en-US" w:eastAsia="zh-CN"/>
        </w:rPr>
        <w:t>30个工作日</w:t>
      </w:r>
      <w:r>
        <w:rPr>
          <w:rFonts w:hint="eastAsia" w:ascii="仿宋" w:hAnsi="仿宋" w:eastAsia="仿宋" w:cs="仿宋"/>
          <w:b/>
          <w:bCs/>
          <w:color w:val="auto"/>
          <w:highlight w:val="none"/>
          <w:lang w:eastAsia="zh-CN"/>
        </w:rPr>
        <w:t>内完成供货、</w:t>
      </w:r>
      <w:r>
        <w:rPr>
          <w:rFonts w:hint="eastAsia" w:ascii="仿宋" w:hAnsi="仿宋" w:eastAsia="仿宋" w:cs="仿宋"/>
          <w:b/>
          <w:bCs/>
          <w:color w:val="auto"/>
          <w:highlight w:val="none"/>
          <w:lang w:val="en-US" w:eastAsia="zh-CN"/>
        </w:rPr>
        <w:t>安装、调试并投入使用。</w:t>
      </w:r>
    </w:p>
    <w:p w14:paraId="1D47F2C6">
      <w:pPr>
        <w:keepNext w:val="0"/>
        <w:keepLines w:val="0"/>
        <w:pageBreakBefore w:val="0"/>
        <w:widowControl w:val="0"/>
        <w:kinsoku/>
        <w:wordWrap/>
        <w:overflowPunct/>
        <w:topLinePunct w:val="0"/>
        <w:autoSpaceDE/>
        <w:autoSpaceDN/>
        <w:bidi w:val="0"/>
        <w:adjustRightInd/>
        <w:snapToGrid/>
        <w:spacing w:line="460" w:lineRule="exact"/>
        <w:ind w:left="486" w:leftChars="200"/>
        <w:textAlignment w:val="auto"/>
        <w:rPr>
          <w:rFonts w:ascii="仿宋" w:hAnsi="仿宋" w:eastAsia="仿宋" w:cs="仿宋"/>
          <w:color w:val="auto"/>
          <w:highlight w:val="none"/>
          <w:lang w:eastAsia="zh-CN"/>
        </w:rPr>
      </w:pPr>
      <w:r>
        <w:rPr>
          <w:rFonts w:hint="eastAsia" w:ascii="仿宋" w:hAnsi="仿宋" w:eastAsia="仿宋" w:cs="仿宋"/>
          <w:b/>
          <w:bCs/>
          <w:color w:val="auto"/>
          <w:highlight w:val="none"/>
          <w:lang w:eastAsia="zh-CN"/>
        </w:rPr>
        <w:t>（二）实施（交货）地点</w:t>
      </w:r>
      <w:r>
        <w:rPr>
          <w:rFonts w:hint="eastAsia" w:ascii="仿宋" w:hAnsi="仿宋" w:eastAsia="仿宋" w:cs="仿宋"/>
          <w:color w:val="auto"/>
          <w:highlight w:val="none"/>
          <w:lang w:eastAsia="zh-CN"/>
        </w:rPr>
        <w:t xml:space="preserve"> ：甲方指定地点</w:t>
      </w:r>
    </w:p>
    <w:p w14:paraId="2D611B5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（三）报价要求</w:t>
      </w:r>
    </w:p>
    <w:p w14:paraId="5D264D4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本次报价为人民币报价，投标报价应包括：货物本身价格、保险费用、培训费、养护费、包装费、运输费用、二次搬运费（甲方原因要求二次搬运的，需视情况另付费或免费）、装卸费、损耗、税金费用、自检费、人工费、其他配件费及验收合格前和质保期内发生的一切费用、应当提供的伴随服务/售后服务费用。</w:t>
      </w:r>
    </w:p>
    <w:p w14:paraId="7E8207E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（四）质保要求</w:t>
      </w:r>
    </w:p>
    <w:p w14:paraId="2FB79D8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1、质保期：</w:t>
      </w:r>
      <w:r>
        <w:rPr>
          <w:rFonts w:hint="eastAsia" w:ascii="仿宋" w:hAnsi="仿宋" w:eastAsia="仿宋" w:cs="仿宋"/>
          <w:b/>
          <w:bCs/>
          <w:color w:val="auto"/>
          <w:highlight w:val="none"/>
          <w:lang w:val="en-US" w:eastAsia="zh-CN"/>
        </w:rPr>
        <w:t>1年。</w:t>
      </w:r>
      <w:r>
        <w:rPr>
          <w:rFonts w:hint="eastAsia" w:ascii="仿宋" w:hAnsi="仿宋" w:eastAsia="仿宋" w:cs="仿宋"/>
          <w:color w:val="auto"/>
          <w:highlight w:val="none"/>
          <w:lang w:val="en-US" w:eastAsia="zh-CN"/>
        </w:rPr>
        <w:t xml:space="preserve">  </w:t>
      </w:r>
    </w:p>
    <w:p w14:paraId="63CF574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2、乙方应保证所提供的货物是全新、未使用过的原装合格正品，并完全符合国家标准和行业的相关标准。</w:t>
      </w:r>
    </w:p>
    <w:p w14:paraId="54E97791">
      <w:pPr>
        <w:keepNext w:val="0"/>
        <w:keepLines w:val="0"/>
        <w:pageBreakBefore w:val="0"/>
        <w:widowControl w:val="0"/>
        <w:kinsoku/>
        <w:wordWrap/>
        <w:overflowPunct/>
        <w:topLinePunct w:val="0"/>
        <w:autoSpaceDE/>
        <w:autoSpaceDN/>
        <w:bidi w:val="0"/>
        <w:adjustRightInd/>
        <w:snapToGrid/>
        <w:spacing w:line="460" w:lineRule="exact"/>
        <w:ind w:firstLine="243" w:firstLineChars="1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（五）售后服务、理赔、质量技术及验收保证的承诺</w:t>
      </w:r>
    </w:p>
    <w:p w14:paraId="4F90F2C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1、售后服务</w:t>
      </w:r>
    </w:p>
    <w:p w14:paraId="274C64A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1.1产品质量：在合同期内，甲方正常使用乙方所供产品而出现质量问题时，乙方负责。产品使用：甲方在使用乙方所供产品中出现问题需乙方解决时，乙方应无偿解决（质保期内，如果该产品多次出现质量问题或出现质量问题不能解决的需退换货）</w:t>
      </w:r>
      <w:r>
        <w:rPr>
          <w:rFonts w:hint="eastAsia" w:ascii="仿宋" w:hAnsi="仿宋" w:eastAsia="仿宋" w:cs="仿宋"/>
          <w:color w:val="auto"/>
          <w:highlight w:val="none"/>
          <w:lang w:eastAsia="zh-CN"/>
        </w:rPr>
        <w:t>。</w:t>
      </w:r>
    </w:p>
    <w:p w14:paraId="7D0FB17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1.2质保期内，当采购人遇到使用及技术问题电话咨询不能解决的，须在</w:t>
      </w:r>
      <w:r>
        <w:rPr>
          <w:rFonts w:hint="eastAsia" w:ascii="仿宋" w:hAnsi="仿宋" w:eastAsia="仿宋" w:cs="仿宋"/>
          <w:color w:val="auto"/>
          <w:highlight w:val="none"/>
          <w:lang w:val="en-US" w:eastAsia="zh-CN"/>
        </w:rPr>
        <w:t>48</w:t>
      </w:r>
      <w:r>
        <w:rPr>
          <w:rFonts w:hint="eastAsia" w:ascii="仿宋" w:hAnsi="仿宋" w:eastAsia="仿宋" w:cs="仿宋"/>
          <w:color w:val="auto"/>
          <w:highlight w:val="none"/>
          <w:lang w:eastAsia="zh-CN"/>
        </w:rPr>
        <w:t xml:space="preserve">小时内到达现场进行处理。    </w:t>
      </w:r>
    </w:p>
    <w:p w14:paraId="7A8F3CB6">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b w:val="0"/>
          <w:bCs w:val="0"/>
          <w:color w:val="auto"/>
          <w:highlight w:val="none"/>
          <w:lang w:eastAsia="zh-CN"/>
        </w:rPr>
      </w:pPr>
      <w:r>
        <w:rPr>
          <w:rFonts w:hint="eastAsia" w:ascii="仿宋" w:hAnsi="仿宋" w:eastAsia="仿宋" w:cs="仿宋"/>
          <w:b w:val="0"/>
          <w:bCs w:val="0"/>
          <w:color w:val="auto"/>
          <w:highlight w:val="none"/>
          <w:lang w:eastAsia="zh-CN"/>
        </w:rPr>
        <w:t>1.3质保期内，设备出现故障，须在</w:t>
      </w:r>
      <w:r>
        <w:rPr>
          <w:rFonts w:hint="eastAsia" w:ascii="仿宋" w:hAnsi="仿宋" w:eastAsia="仿宋" w:cs="仿宋"/>
          <w:b w:val="0"/>
          <w:bCs w:val="0"/>
          <w:color w:val="auto"/>
          <w:highlight w:val="none"/>
          <w:lang w:val="en-US" w:eastAsia="zh-CN"/>
        </w:rPr>
        <w:t>12</w:t>
      </w:r>
      <w:r>
        <w:rPr>
          <w:rFonts w:hint="eastAsia" w:ascii="仿宋" w:hAnsi="仿宋" w:eastAsia="仿宋" w:cs="仿宋"/>
          <w:b w:val="0"/>
          <w:bCs w:val="0"/>
          <w:color w:val="auto"/>
          <w:highlight w:val="none"/>
          <w:lang w:eastAsia="zh-CN"/>
        </w:rPr>
        <w:t>小时内响应，</w:t>
      </w:r>
      <w:r>
        <w:rPr>
          <w:rFonts w:hint="eastAsia" w:ascii="仿宋" w:hAnsi="仿宋" w:eastAsia="仿宋" w:cs="仿宋"/>
          <w:b w:val="0"/>
          <w:bCs w:val="0"/>
          <w:color w:val="auto"/>
          <w:highlight w:val="none"/>
          <w:lang w:val="en-US" w:eastAsia="zh-CN"/>
        </w:rPr>
        <w:t>48</w:t>
      </w:r>
      <w:r>
        <w:rPr>
          <w:rFonts w:hint="eastAsia" w:ascii="仿宋" w:hAnsi="仿宋" w:eastAsia="仿宋" w:cs="仿宋"/>
          <w:b w:val="0"/>
          <w:bCs w:val="0"/>
          <w:color w:val="auto"/>
          <w:highlight w:val="none"/>
          <w:lang w:eastAsia="zh-CN"/>
        </w:rPr>
        <w:t>小时内到达现场，一般故障8小时内修复，较大故障24小时内解决问题。</w:t>
      </w:r>
    </w:p>
    <w:p w14:paraId="651B483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2、交货时应提供以下技术或培训资料（如涉及）</w:t>
      </w:r>
    </w:p>
    <w:p w14:paraId="19E7D130">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2.1原产地证明书(由制造厂签发)；</w:t>
      </w:r>
    </w:p>
    <w:p w14:paraId="2A5A03B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2.2提供主机及配套设备的安装图纸及说明；</w:t>
      </w:r>
    </w:p>
    <w:p w14:paraId="5254838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2.3提供主机及配套设备使用说明书、维护手册；</w:t>
      </w:r>
    </w:p>
    <w:p w14:paraId="7679526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2.4备件手册、零件及易损件的图纸及相关资料；</w:t>
      </w:r>
    </w:p>
    <w:p w14:paraId="2B99B9F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2.5其它相关技术资料。</w:t>
      </w:r>
    </w:p>
    <w:p w14:paraId="5A28266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3、 安装、现场培训：免费安装并现场培训相关人员至掌握仪器设备操作及日常维护，</w:t>
      </w:r>
    </w:p>
    <w:p w14:paraId="798E6E4A">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设备到场后，</w:t>
      </w:r>
      <w:r>
        <w:rPr>
          <w:rFonts w:hint="eastAsia" w:ascii="仿宋" w:hAnsi="仿宋" w:eastAsia="仿宋" w:cs="仿宋"/>
          <w:b/>
          <w:bCs/>
          <w:color w:val="auto"/>
          <w:highlight w:val="none"/>
          <w:lang w:eastAsia="zh-CN"/>
        </w:rPr>
        <w:t>供应商需至少派1名工程师现场指导安装调试</w:t>
      </w:r>
      <w:r>
        <w:rPr>
          <w:rFonts w:hint="eastAsia" w:ascii="仿宋" w:hAnsi="仿宋" w:eastAsia="仿宋" w:cs="仿宋"/>
          <w:color w:val="auto"/>
          <w:highlight w:val="none"/>
          <w:lang w:eastAsia="zh-CN"/>
        </w:rPr>
        <w:t>。</w:t>
      </w:r>
    </w:p>
    <w:p w14:paraId="088ED82F">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 xml:space="preserve">4、新购设备随仪器配备必要的维修工具，工具能满足维护人员对设备的 </w:t>
      </w:r>
    </w:p>
    <w:p w14:paraId="22E3D0F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正常维护、维修。</w:t>
      </w:r>
    </w:p>
    <w:p w14:paraId="3449104D">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、在质保期内，如果供应商的产品技术升级，供应商应及时通知采购人，如采购人有相应要求，供应商应对采购人购买的产品进行升级服务。</w:t>
      </w:r>
    </w:p>
    <w:p w14:paraId="23FB38E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、质保期过后，供应商应同样提供免费电话咨询服务，并应承诺提供该产品上门维护服务。</w:t>
      </w:r>
    </w:p>
    <w:p w14:paraId="1B0207B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7、质保期过后，采购人需要继续由原投标人提供售后服务的，该投标人和制造 </w:t>
      </w:r>
    </w:p>
    <w:p w14:paraId="09F88A5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商应以优惠价格提供售后服务。</w:t>
      </w:r>
    </w:p>
    <w:p w14:paraId="7B5E3BD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（六）验收</w:t>
      </w:r>
    </w:p>
    <w:p w14:paraId="4164D38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1、供应商提供的产品为全新未使用且符合相关法律法规要求的合格产品；</w:t>
      </w:r>
    </w:p>
    <w:p w14:paraId="06F6622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2、供应商提供的产品型号、规格等特性需与投标文件、合同规定内容完全一致，且满足采购方提出的采购需求。</w:t>
      </w:r>
    </w:p>
    <w:p w14:paraId="17968C6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3、货物验收时，供应商向采购人提供生产厂家出具的验收报告、合格证、厂家资格证件等相关文件。</w:t>
      </w:r>
    </w:p>
    <w:p w14:paraId="684DE4E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、供应商提供的产品需经采购人验收小组验收，进行试验检测，按照技术要求逐项进行测试，测试结果应满足相关要求，试验通过并满足要求为验收合格。</w:t>
      </w:r>
    </w:p>
    <w:p w14:paraId="3EC1B180">
      <w:pPr>
        <w:keepNext w:val="0"/>
        <w:keepLines w:val="0"/>
        <w:pageBreakBefore w:val="0"/>
        <w:widowControl w:val="0"/>
        <w:kinsoku/>
        <w:wordWrap/>
        <w:overflowPunct/>
        <w:topLinePunct w:val="0"/>
        <w:autoSpaceDE/>
        <w:autoSpaceDN/>
        <w:bidi w:val="0"/>
        <w:adjustRightInd/>
        <w:snapToGrid/>
        <w:spacing w:line="460" w:lineRule="exact"/>
        <w:ind w:firstLine="356" w:firstLineChars="147"/>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（七）付款方式</w:t>
      </w:r>
    </w:p>
    <w:p w14:paraId="3B44A892">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签订合同后</w:t>
      </w:r>
      <w:r>
        <w:rPr>
          <w:rFonts w:hint="eastAsia" w:ascii="仿宋" w:hAnsi="仿宋" w:eastAsia="仿宋" w:cs="仿宋"/>
          <w:color w:val="auto"/>
          <w:highlight w:val="none"/>
          <w:lang w:eastAsia="zh-CN"/>
        </w:rPr>
        <w:t>供货完成安装调试验收合格</w:t>
      </w:r>
      <w:r>
        <w:rPr>
          <w:rFonts w:hint="eastAsia" w:ascii="仿宋" w:hAnsi="仿宋" w:eastAsia="仿宋" w:cs="仿宋"/>
          <w:color w:val="auto"/>
          <w:highlight w:val="none"/>
          <w:lang w:val="en-US" w:eastAsia="zh-CN"/>
        </w:rPr>
        <w:t>后支付合同价款的80%</w:t>
      </w:r>
      <w:r>
        <w:rPr>
          <w:rFonts w:hint="eastAsia" w:ascii="仿宋" w:hAnsi="仿宋" w:eastAsia="仿宋" w:cs="仿宋"/>
          <w:color w:val="auto"/>
          <w:highlight w:val="none"/>
          <w:lang w:eastAsia="zh-CN"/>
        </w:rPr>
        <w:t>，正常运行后</w:t>
      </w:r>
      <w:r>
        <w:rPr>
          <w:rFonts w:hint="eastAsia" w:ascii="仿宋" w:hAnsi="仿宋" w:eastAsia="仿宋" w:cs="仿宋"/>
          <w:color w:val="auto"/>
          <w:highlight w:val="none"/>
          <w:lang w:val="en-US" w:eastAsia="zh-CN"/>
        </w:rPr>
        <w:t>支</w:t>
      </w:r>
      <w:r>
        <w:rPr>
          <w:rFonts w:hint="eastAsia" w:ascii="仿宋" w:hAnsi="仿宋" w:eastAsia="仿宋" w:cs="仿宋"/>
          <w:color w:val="auto"/>
          <w:highlight w:val="none"/>
          <w:lang w:eastAsia="zh-CN"/>
        </w:rPr>
        <w:t>付</w:t>
      </w:r>
      <w:r>
        <w:rPr>
          <w:rFonts w:hint="eastAsia" w:ascii="仿宋" w:hAnsi="仿宋" w:eastAsia="仿宋" w:cs="仿宋"/>
          <w:color w:val="auto"/>
          <w:highlight w:val="none"/>
          <w:lang w:val="en-US" w:eastAsia="zh-CN"/>
        </w:rPr>
        <w:t>剩余的20%</w:t>
      </w:r>
      <w:r>
        <w:rPr>
          <w:rFonts w:hint="eastAsia" w:ascii="仿宋" w:hAnsi="仿宋" w:eastAsia="仿宋" w:cs="仿宋"/>
          <w:color w:val="auto"/>
          <w:highlight w:val="none"/>
          <w:lang w:eastAsia="zh-CN"/>
        </w:rPr>
        <w:t>。（具体以甲乙双方签订合同为准）</w:t>
      </w:r>
    </w:p>
    <w:p w14:paraId="02D44CD5">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（八）知识产权</w:t>
      </w:r>
    </w:p>
    <w:p w14:paraId="343B5653">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采购人在中华人民共和国境内使用供应商提供的货物及服务时免受第三方提出的侵犯其专利权或其它知识产权的起诉。如果第三方提出侵权指控，中标人应承担由此而引起的一切法律责任和费用。</w:t>
      </w:r>
    </w:p>
    <w:bookmarkEnd w:id="46"/>
    <w:bookmarkEnd w:id="47"/>
    <w:p w14:paraId="685478A6">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bCs/>
          <w:color w:val="auto"/>
          <w:highlight w:val="none"/>
          <w:lang w:eastAsia="zh-CN"/>
        </w:rPr>
      </w:pPr>
      <w:bookmarkStart w:id="48" w:name="_Toc12239"/>
      <w:bookmarkStart w:id="49" w:name="_Toc20832"/>
      <w:bookmarkStart w:id="50" w:name="_Toc7598"/>
      <w:bookmarkStart w:id="51" w:name="_Toc267320054"/>
      <w:bookmarkStart w:id="52" w:name="_Toc12840_WPSOffice_Level1"/>
      <w:bookmarkStart w:id="53" w:name="_Toc439255252"/>
      <w:bookmarkStart w:id="54" w:name="_Toc469495740"/>
      <w:r>
        <w:rPr>
          <w:rFonts w:hint="eastAsia" w:ascii="仿宋" w:hAnsi="仿宋" w:eastAsia="仿宋" w:cs="仿宋"/>
          <w:b/>
          <w:bCs/>
          <w:color w:val="auto"/>
          <w:highlight w:val="none"/>
          <w:lang w:eastAsia="zh-CN"/>
        </w:rPr>
        <w:t>（九）其他</w:t>
      </w:r>
      <w:bookmarkEnd w:id="48"/>
      <w:bookmarkEnd w:id="49"/>
      <w:bookmarkEnd w:id="50"/>
    </w:p>
    <w:bookmarkEnd w:id="51"/>
    <w:bookmarkEnd w:id="52"/>
    <w:bookmarkEnd w:id="53"/>
    <w:p w14:paraId="24E3A2EB">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1、供应商必须在投标文件中对以上条款和服务承诺明确列出，承诺内容必须达到本篇及招标文件其他条款的要求。</w:t>
      </w:r>
    </w:p>
    <w:p w14:paraId="4FC99934">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2、中标人与采购人签订《协议》后，须与用户方签订《货物采购供应合同》（包括供货范围、需求数量、单价等），明确具体供货数量、供货时间、送达地点等内容。</w:t>
      </w:r>
    </w:p>
    <w:p w14:paraId="457ACC7C">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3、其他未尽事宜由供需双方在采购合同中详细约定。</w:t>
      </w:r>
    </w:p>
    <w:p w14:paraId="5AAC7939">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4、 若供应商不能按招标文件规定的交货期正常交货，采购方有权终止采购合同，并将相关情况上报给采购计划主管部门，取消其中标资格。</w:t>
      </w:r>
    </w:p>
    <w:p w14:paraId="1E9BFF97">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color w:val="auto"/>
          <w:sz w:val="30"/>
          <w:szCs w:val="30"/>
          <w:highlight w:val="none"/>
          <w:lang w:eastAsia="zh-CN"/>
        </w:rPr>
      </w:pPr>
      <w:r>
        <w:rPr>
          <w:rFonts w:hint="eastAsia" w:ascii="仿宋" w:hAnsi="仿宋" w:eastAsia="仿宋" w:cs="仿宋"/>
          <w:color w:val="auto"/>
          <w:highlight w:val="none"/>
          <w:lang w:eastAsia="zh-CN"/>
        </w:rPr>
        <w:t>5、</w:t>
      </w:r>
      <w:r>
        <w:rPr>
          <w:rFonts w:hint="eastAsia" w:ascii="仿宋" w:hAnsi="仿宋" w:eastAsia="仿宋" w:cs="仿宋"/>
          <w:color w:val="auto"/>
          <w:kern w:val="2"/>
          <w:highlight w:val="none"/>
          <w:lang w:eastAsia="zh-CN" w:bidi="ar-SA"/>
        </w:rPr>
        <w:t>其他未尽事宜由供需双方在采购合同中详细约定。</w:t>
      </w:r>
      <w:bookmarkEnd w:id="54"/>
    </w:p>
    <w:p w14:paraId="7D29CB61">
      <w:pPr>
        <w:keepNext w:val="0"/>
        <w:keepLines w:val="0"/>
        <w:pageBreakBefore w:val="0"/>
        <w:widowControl w:val="0"/>
        <w:kinsoku/>
        <w:wordWrap/>
        <w:overflowPunct/>
        <w:topLinePunct w:val="0"/>
        <w:autoSpaceDE/>
        <w:autoSpaceDN/>
        <w:bidi w:val="0"/>
        <w:adjustRightInd/>
        <w:snapToGrid/>
        <w:spacing w:line="360" w:lineRule="exact"/>
        <w:ind w:firstLine="606" w:firstLineChars="200"/>
        <w:textAlignment w:val="auto"/>
        <w:rPr>
          <w:rFonts w:ascii="仿宋" w:hAnsi="仿宋" w:eastAsia="仿宋" w:cs="仿宋"/>
          <w:b/>
          <w:color w:val="auto"/>
          <w:sz w:val="30"/>
          <w:szCs w:val="30"/>
          <w:highlight w:val="none"/>
          <w:lang w:eastAsia="zh-CN"/>
        </w:rPr>
      </w:pPr>
    </w:p>
    <w:p w14:paraId="2B157468">
      <w:pPr>
        <w:spacing w:line="480" w:lineRule="exact"/>
        <w:jc w:val="center"/>
        <w:outlineLvl w:val="1"/>
        <w:rPr>
          <w:rFonts w:hint="eastAsia" w:ascii="仿宋" w:hAnsi="仿宋" w:eastAsia="仿宋" w:cs="仿宋"/>
          <w:b/>
          <w:color w:val="auto"/>
          <w:sz w:val="30"/>
          <w:szCs w:val="30"/>
          <w:highlight w:val="none"/>
          <w:lang w:eastAsia="zh-CN"/>
        </w:rPr>
      </w:pPr>
    </w:p>
    <w:p w14:paraId="21B57EF4">
      <w:pPr>
        <w:pStyle w:val="5"/>
        <w:rPr>
          <w:rFonts w:hint="eastAsia" w:ascii="仿宋" w:hAnsi="仿宋" w:eastAsia="仿宋" w:cs="仿宋"/>
          <w:b/>
          <w:color w:val="auto"/>
          <w:sz w:val="30"/>
          <w:szCs w:val="30"/>
          <w:highlight w:val="none"/>
          <w:lang w:eastAsia="zh-CN"/>
        </w:rPr>
      </w:pPr>
    </w:p>
    <w:p w14:paraId="4758590B">
      <w:pPr>
        <w:pStyle w:val="6"/>
        <w:rPr>
          <w:rFonts w:hint="eastAsia" w:ascii="仿宋" w:hAnsi="仿宋" w:eastAsia="仿宋" w:cs="仿宋"/>
          <w:b/>
          <w:color w:val="auto"/>
          <w:sz w:val="30"/>
          <w:szCs w:val="30"/>
          <w:highlight w:val="none"/>
          <w:lang w:eastAsia="zh-CN"/>
        </w:rPr>
      </w:pPr>
    </w:p>
    <w:p w14:paraId="767C7FE7">
      <w:pPr>
        <w:rPr>
          <w:rFonts w:hint="eastAsia" w:ascii="仿宋" w:hAnsi="仿宋" w:eastAsia="仿宋" w:cs="仿宋"/>
          <w:b/>
          <w:color w:val="auto"/>
          <w:sz w:val="30"/>
          <w:szCs w:val="30"/>
          <w:highlight w:val="none"/>
          <w:lang w:eastAsia="zh-CN"/>
        </w:rPr>
      </w:pPr>
    </w:p>
    <w:p w14:paraId="5265B5A4">
      <w:pPr>
        <w:pStyle w:val="5"/>
        <w:rPr>
          <w:rFonts w:hint="eastAsia" w:ascii="仿宋" w:hAnsi="仿宋" w:eastAsia="仿宋" w:cs="仿宋"/>
          <w:b/>
          <w:color w:val="auto"/>
          <w:sz w:val="30"/>
          <w:szCs w:val="30"/>
          <w:highlight w:val="none"/>
          <w:lang w:eastAsia="zh-CN"/>
        </w:rPr>
      </w:pPr>
    </w:p>
    <w:p w14:paraId="69E4BEA6">
      <w:pPr>
        <w:pStyle w:val="6"/>
        <w:rPr>
          <w:rFonts w:hint="eastAsia" w:ascii="仿宋" w:hAnsi="仿宋" w:eastAsia="仿宋" w:cs="仿宋"/>
          <w:b/>
          <w:color w:val="auto"/>
          <w:sz w:val="30"/>
          <w:szCs w:val="30"/>
          <w:highlight w:val="none"/>
          <w:lang w:eastAsia="zh-CN"/>
        </w:rPr>
      </w:pPr>
    </w:p>
    <w:p w14:paraId="7149302C">
      <w:pPr>
        <w:rPr>
          <w:rFonts w:hint="eastAsia" w:ascii="仿宋" w:hAnsi="仿宋" w:eastAsia="仿宋" w:cs="仿宋"/>
          <w:b/>
          <w:color w:val="auto"/>
          <w:sz w:val="30"/>
          <w:szCs w:val="30"/>
          <w:highlight w:val="none"/>
          <w:lang w:eastAsia="zh-CN"/>
        </w:rPr>
      </w:pPr>
    </w:p>
    <w:p w14:paraId="12C1C1EC">
      <w:pPr>
        <w:rPr>
          <w:rFonts w:hint="eastAsia" w:ascii="仿宋" w:hAnsi="仿宋" w:eastAsia="仿宋" w:cs="仿宋"/>
          <w:b/>
          <w:color w:val="auto"/>
          <w:sz w:val="30"/>
          <w:szCs w:val="30"/>
          <w:highlight w:val="none"/>
          <w:lang w:eastAsia="zh-CN"/>
        </w:rPr>
      </w:pPr>
    </w:p>
    <w:p w14:paraId="2CD64273">
      <w:pPr>
        <w:rPr>
          <w:rFonts w:hint="eastAsia" w:ascii="仿宋" w:hAnsi="仿宋" w:eastAsia="仿宋" w:cs="仿宋"/>
          <w:b/>
          <w:color w:val="auto"/>
          <w:sz w:val="30"/>
          <w:szCs w:val="30"/>
          <w:highlight w:val="none"/>
          <w:lang w:eastAsia="zh-CN"/>
        </w:rPr>
      </w:pPr>
    </w:p>
    <w:p w14:paraId="2721A15E">
      <w:pPr>
        <w:rPr>
          <w:rFonts w:hint="eastAsia" w:ascii="仿宋" w:hAnsi="仿宋" w:eastAsia="仿宋" w:cs="仿宋"/>
          <w:b/>
          <w:color w:val="auto"/>
          <w:sz w:val="30"/>
          <w:szCs w:val="30"/>
          <w:highlight w:val="none"/>
          <w:lang w:eastAsia="zh-CN"/>
        </w:rPr>
      </w:pPr>
    </w:p>
    <w:p w14:paraId="13F298D5">
      <w:pPr>
        <w:rPr>
          <w:rFonts w:hint="eastAsia" w:ascii="仿宋" w:hAnsi="仿宋" w:eastAsia="仿宋" w:cs="仿宋"/>
          <w:b/>
          <w:color w:val="auto"/>
          <w:sz w:val="30"/>
          <w:szCs w:val="30"/>
          <w:highlight w:val="none"/>
          <w:lang w:eastAsia="zh-CN"/>
        </w:rPr>
      </w:pPr>
    </w:p>
    <w:p w14:paraId="3F126AB2">
      <w:pPr>
        <w:rPr>
          <w:rFonts w:hint="eastAsia" w:ascii="仿宋" w:hAnsi="仿宋" w:eastAsia="仿宋" w:cs="仿宋"/>
          <w:b/>
          <w:color w:val="auto"/>
          <w:sz w:val="30"/>
          <w:szCs w:val="30"/>
          <w:highlight w:val="none"/>
          <w:lang w:eastAsia="zh-CN"/>
        </w:rPr>
      </w:pPr>
    </w:p>
    <w:p w14:paraId="73F047A8">
      <w:pPr>
        <w:pStyle w:val="30"/>
        <w:rPr>
          <w:rFonts w:hint="eastAsia" w:ascii="仿宋" w:hAnsi="仿宋" w:eastAsia="仿宋" w:cs="仿宋"/>
          <w:b/>
          <w:color w:val="auto"/>
          <w:sz w:val="30"/>
          <w:szCs w:val="30"/>
          <w:highlight w:val="none"/>
          <w:lang w:eastAsia="zh-CN"/>
        </w:rPr>
      </w:pPr>
    </w:p>
    <w:p w14:paraId="05815A67">
      <w:pPr>
        <w:pStyle w:val="30"/>
        <w:rPr>
          <w:rFonts w:hint="eastAsia" w:ascii="仿宋" w:hAnsi="仿宋" w:eastAsia="仿宋" w:cs="仿宋"/>
          <w:b/>
          <w:color w:val="auto"/>
          <w:sz w:val="30"/>
          <w:szCs w:val="30"/>
          <w:highlight w:val="none"/>
          <w:lang w:eastAsia="zh-CN"/>
        </w:rPr>
      </w:pPr>
    </w:p>
    <w:p w14:paraId="710AD2C5">
      <w:pPr>
        <w:pStyle w:val="30"/>
        <w:rPr>
          <w:rFonts w:hint="eastAsia" w:ascii="仿宋" w:hAnsi="仿宋" w:eastAsia="仿宋" w:cs="仿宋"/>
          <w:b/>
          <w:color w:val="auto"/>
          <w:sz w:val="30"/>
          <w:szCs w:val="30"/>
          <w:highlight w:val="none"/>
          <w:lang w:eastAsia="zh-CN"/>
        </w:rPr>
      </w:pPr>
    </w:p>
    <w:p w14:paraId="4C2ACDCC">
      <w:pPr>
        <w:pStyle w:val="30"/>
        <w:rPr>
          <w:rFonts w:hint="eastAsia" w:ascii="仿宋" w:hAnsi="仿宋" w:eastAsia="仿宋" w:cs="仿宋"/>
          <w:b/>
          <w:color w:val="auto"/>
          <w:sz w:val="30"/>
          <w:szCs w:val="30"/>
          <w:highlight w:val="none"/>
          <w:lang w:eastAsia="zh-CN"/>
        </w:rPr>
      </w:pPr>
    </w:p>
    <w:p w14:paraId="4C9C0671">
      <w:pPr>
        <w:pStyle w:val="30"/>
        <w:rPr>
          <w:rFonts w:hint="eastAsia" w:ascii="仿宋" w:hAnsi="仿宋" w:eastAsia="仿宋" w:cs="仿宋"/>
          <w:b/>
          <w:color w:val="auto"/>
          <w:sz w:val="30"/>
          <w:szCs w:val="30"/>
          <w:highlight w:val="none"/>
          <w:lang w:eastAsia="zh-CN"/>
        </w:rPr>
      </w:pPr>
    </w:p>
    <w:p w14:paraId="5F691E3B">
      <w:pPr>
        <w:rPr>
          <w:rFonts w:hint="eastAsia" w:ascii="仿宋" w:hAnsi="仿宋" w:eastAsia="仿宋" w:cs="仿宋"/>
          <w:b/>
          <w:color w:val="auto"/>
          <w:sz w:val="30"/>
          <w:szCs w:val="30"/>
          <w:highlight w:val="none"/>
          <w:lang w:eastAsia="zh-CN"/>
        </w:rPr>
      </w:pPr>
    </w:p>
    <w:p w14:paraId="1EFF2BDD">
      <w:pPr>
        <w:pStyle w:val="6"/>
        <w:rPr>
          <w:rFonts w:hint="eastAsia"/>
          <w:color w:val="auto"/>
          <w:highlight w:val="none"/>
          <w:lang w:eastAsia="zh-CN"/>
        </w:rPr>
      </w:pPr>
    </w:p>
    <w:p w14:paraId="21BFC034">
      <w:pPr>
        <w:spacing w:line="480" w:lineRule="exact"/>
        <w:jc w:val="center"/>
        <w:outlineLvl w:val="1"/>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第五部分 合同条款及格式</w:t>
      </w:r>
      <w:bookmarkStart w:id="55" w:name="_Toc20669"/>
    </w:p>
    <w:p w14:paraId="263D4390">
      <w:pPr>
        <w:spacing w:line="480" w:lineRule="exact"/>
        <w:jc w:val="center"/>
        <w:outlineLvl w:val="1"/>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（本合同为合同样稿，最终稿由供需双方协商后确定）</w:t>
      </w:r>
      <w:bookmarkEnd w:id="55"/>
    </w:p>
    <w:p w14:paraId="7FDF8236">
      <w:pPr>
        <w:keepNext w:val="0"/>
        <w:keepLines w:val="0"/>
        <w:pageBreakBefore w:val="0"/>
        <w:widowControl/>
        <w:numPr>
          <w:ilvl w:val="0"/>
          <w:numId w:val="8"/>
        </w:numPr>
        <w:kinsoku/>
        <w:wordWrap/>
        <w:overflowPunct/>
        <w:topLinePunct w:val="0"/>
        <w:autoSpaceDE/>
        <w:autoSpaceDN/>
        <w:bidi w:val="0"/>
        <w:adjustRightInd/>
        <w:snapToGrid/>
        <w:spacing w:line="440" w:lineRule="exact"/>
        <w:jc w:val="center"/>
        <w:textAlignment w:val="baseline"/>
        <w:outlineLvl w:val="1"/>
        <w:rPr>
          <w:rFonts w:ascii="宋体"/>
          <w:color w:val="auto"/>
          <w:highlight w:val="none"/>
        </w:rPr>
      </w:pPr>
      <w:r>
        <w:rPr>
          <w:rFonts w:hint="eastAsia" w:ascii="仿宋" w:hAnsi="仿宋" w:eastAsia="仿宋" w:cs="仿宋"/>
          <w:b/>
          <w:color w:val="auto"/>
          <w:sz w:val="30"/>
          <w:szCs w:val="30"/>
          <w:highlight w:val="none"/>
          <w:lang w:eastAsia="zh-CN"/>
        </w:rPr>
        <w:t xml:space="preserve"> </w:t>
      </w:r>
      <w:bookmarkStart w:id="56" w:name="_Toc469495741"/>
      <w:r>
        <w:rPr>
          <w:rFonts w:hint="eastAsia" w:ascii="仿宋" w:hAnsi="仿宋" w:eastAsia="仿宋" w:cs="仿宋"/>
          <w:b/>
          <w:color w:val="auto"/>
          <w:sz w:val="30"/>
          <w:szCs w:val="30"/>
          <w:highlight w:val="none"/>
        </w:rPr>
        <w:t>合同协议书</w:t>
      </w:r>
      <w:bookmarkEnd w:id="56"/>
      <w:r>
        <w:rPr>
          <w:rFonts w:hint="eastAsia" w:ascii="仿宋" w:hAnsi="仿宋" w:eastAsia="仿宋" w:cs="仿宋"/>
          <w:b/>
          <w:color w:val="auto"/>
          <w:sz w:val="30"/>
          <w:szCs w:val="30"/>
          <w:highlight w:val="none"/>
          <w:lang w:eastAsia="zh-CN"/>
        </w:rPr>
        <w:t xml:space="preserve">      </w:t>
      </w:r>
      <w:r>
        <w:rPr>
          <w:rFonts w:hint="eastAsia" w:ascii="仿宋" w:hAnsi="仿宋" w:eastAsia="仿宋" w:cs="仿宋"/>
          <w:b/>
          <w:color w:val="auto"/>
          <w:sz w:val="32"/>
          <w:szCs w:val="32"/>
          <w:highlight w:val="none"/>
        </w:rPr>
        <w:t>合同名称</w:t>
      </w:r>
      <w:r>
        <w:rPr>
          <w:rFonts w:hint="eastAsia" w:ascii="仿宋" w:hAnsi="仿宋" w:eastAsia="仿宋" w:cs="仿宋"/>
          <w:b/>
          <w:color w:val="auto"/>
          <w:highlight w:val="none"/>
        </w:rPr>
        <w:t xml:space="preserve"> </w:t>
      </w:r>
      <w:r>
        <w:rPr>
          <w:rFonts w:hint="eastAsia" w:ascii="宋体"/>
          <w:b/>
          <w:color w:val="auto"/>
          <w:highlight w:val="none"/>
        </w:rPr>
        <w:t xml:space="preserve"> </w:t>
      </w:r>
    </w:p>
    <w:p w14:paraId="44294013">
      <w:pPr>
        <w:keepNext w:val="0"/>
        <w:keepLines w:val="0"/>
        <w:pageBreakBefore w:val="0"/>
        <w:widowControl/>
        <w:kinsoku/>
        <w:wordWrap/>
        <w:overflowPunct/>
        <w:topLinePunct w:val="0"/>
        <w:autoSpaceDE/>
        <w:autoSpaceDN/>
        <w:bidi w:val="0"/>
        <w:adjustRightInd/>
        <w:snapToGrid/>
        <w:spacing w:line="440" w:lineRule="exact"/>
        <w:jc w:val="both"/>
        <w:textAlignment w:val="baseline"/>
        <w:outlineLvl w:val="1"/>
        <w:rPr>
          <w:rFonts w:ascii="仿宋" w:hAnsi="仿宋" w:eastAsia="仿宋" w:cs="仿宋"/>
          <w:color w:val="auto"/>
          <w:highlight w:val="none"/>
        </w:rPr>
      </w:pPr>
      <w:r>
        <w:rPr>
          <w:rFonts w:hint="eastAsia" w:ascii="仿宋" w:hAnsi="仿宋" w:eastAsia="仿宋" w:cs="仿宋"/>
          <w:color w:val="auto"/>
          <w:highlight w:val="none"/>
        </w:rPr>
        <w:t>编号</w:t>
      </w:r>
    </w:p>
    <w:p w14:paraId="5180164F">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bookmarkStart w:id="57" w:name="_Toc296602498"/>
      <w:bookmarkStart w:id="58" w:name="_Toc152042388"/>
      <w:bookmarkStart w:id="59" w:name="_Toc469495742"/>
      <w:bookmarkStart w:id="60" w:name="_Toc246996253"/>
      <w:bookmarkStart w:id="61" w:name="_Toc247085768"/>
      <w:bookmarkStart w:id="62" w:name="_Toc179632628"/>
      <w:bookmarkStart w:id="63" w:name="_Toc246996996"/>
      <w:bookmarkStart w:id="64" w:name="_Toc152045610"/>
      <w:bookmarkStart w:id="65" w:name="_Toc144974578"/>
      <w:r>
        <w:rPr>
          <w:rFonts w:hint="eastAsia" w:ascii="仿宋" w:hAnsi="仿宋" w:eastAsia="仿宋" w:cs="仿宋"/>
          <w:color w:val="auto"/>
          <w:highlight w:val="none"/>
        </w:rPr>
        <w:t>买    方：                                   卖    方：</w:t>
      </w:r>
    </w:p>
    <w:p w14:paraId="0DE7160E">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电    话：                                   电    话：</w:t>
      </w:r>
    </w:p>
    <w:p w14:paraId="4575F683">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rPr>
      </w:pPr>
      <w:r>
        <w:rPr>
          <w:rFonts w:hint="eastAsia" w:ascii="仿宋" w:hAnsi="仿宋" w:eastAsia="仿宋" w:cs="仿宋"/>
          <w:color w:val="auto"/>
          <w:highlight w:val="none"/>
        </w:rPr>
        <w:t xml:space="preserve">住    所：                                   住    所：                       </w:t>
      </w:r>
    </w:p>
    <w:p w14:paraId="08FC183C">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（买方）</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（项目名称）</w:t>
      </w:r>
      <w:r>
        <w:rPr>
          <w:rFonts w:hint="eastAsia" w:ascii="仿宋" w:hAnsi="仿宋" w:eastAsia="仿宋" w:cs="仿宋"/>
          <w:color w:val="auto"/>
          <w:highlight w:val="none"/>
          <w:lang w:eastAsia="zh-CN"/>
        </w:rPr>
        <w:t>中所需</w:t>
      </w:r>
      <w:r>
        <w:rPr>
          <w:rFonts w:hint="eastAsia" w:ascii="仿宋" w:hAnsi="仿宋" w:eastAsia="仿宋" w:cs="仿宋"/>
          <w:color w:val="auto"/>
          <w:highlight w:val="none"/>
          <w:u w:val="single"/>
          <w:lang w:eastAsia="zh-CN"/>
        </w:rPr>
        <w:t>（产品名称）</w:t>
      </w:r>
      <w:r>
        <w:rPr>
          <w:rFonts w:hint="eastAsia" w:ascii="仿宋" w:hAnsi="仿宋" w:eastAsia="仿宋" w:cs="仿宋"/>
          <w:color w:val="auto"/>
          <w:highlight w:val="none"/>
          <w:lang w:eastAsia="zh-CN"/>
        </w:rPr>
        <w:t xml:space="preserve"> 经公开招标，确定</w:t>
      </w:r>
      <w:r>
        <w:rPr>
          <w:rFonts w:hint="eastAsia" w:ascii="仿宋" w:hAnsi="仿宋" w:eastAsia="仿宋" w:cs="仿宋"/>
          <w:color w:val="auto"/>
          <w:highlight w:val="none"/>
          <w:u w:val="single"/>
          <w:lang w:eastAsia="zh-CN"/>
        </w:rPr>
        <w:t>（卖方）</w:t>
      </w:r>
      <w:r>
        <w:rPr>
          <w:rFonts w:hint="eastAsia" w:ascii="仿宋" w:hAnsi="仿宋" w:eastAsia="仿宋" w:cs="仿宋"/>
          <w:color w:val="auto"/>
          <w:highlight w:val="none"/>
          <w:lang w:eastAsia="zh-CN"/>
        </w:rPr>
        <w:t>为中标人。按照中华人民共和国</w:t>
      </w:r>
      <w:r>
        <w:rPr>
          <w:rFonts w:hint="eastAsia" w:ascii="仿宋" w:hAnsi="仿宋" w:eastAsia="仿宋" w:cs="仿宋"/>
          <w:color w:val="auto"/>
          <w:highlight w:val="none"/>
          <w:lang w:val="en-US" w:eastAsia="zh-CN"/>
        </w:rPr>
        <w:t>民法典</w:t>
      </w:r>
      <w:r>
        <w:rPr>
          <w:rFonts w:hint="eastAsia" w:ascii="仿宋" w:hAnsi="仿宋" w:eastAsia="仿宋" w:cs="仿宋"/>
          <w:color w:val="auto"/>
          <w:highlight w:val="none"/>
          <w:lang w:eastAsia="zh-CN"/>
        </w:rPr>
        <w:t>的规定，买卖双方同意按照下述的条款和条件，签署本合同。</w:t>
      </w:r>
    </w:p>
    <w:p w14:paraId="4ACD1901">
      <w:pPr>
        <w:keepNext w:val="0"/>
        <w:keepLines w:val="0"/>
        <w:pageBreakBefore w:val="0"/>
        <w:kinsoku/>
        <w:wordWrap/>
        <w:overflowPunct/>
        <w:topLinePunct w:val="0"/>
        <w:autoSpaceDE/>
        <w:autoSpaceDN/>
        <w:bidi w:val="0"/>
        <w:adjustRightInd/>
        <w:snapToGrid/>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1、本合同文件</w:t>
      </w:r>
    </w:p>
    <w:p w14:paraId="560A3936">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下列每一文件均应作为合同的组成部分进行阅读和解释：</w:t>
      </w:r>
    </w:p>
    <w:p w14:paraId="71983797">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（1）采购文件（2）投标文件（3）中标通知书</w:t>
      </w:r>
    </w:p>
    <w:p w14:paraId="5D3AFD5A">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（4）经双方确认进入合同的其它文件、补充条款或说明</w:t>
      </w:r>
    </w:p>
    <w:p w14:paraId="3192EFA2">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2、采购标的、数量、质量要求</w:t>
      </w:r>
    </w:p>
    <w:p w14:paraId="3D153C63">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3、合同总价</w:t>
      </w:r>
    </w:p>
    <w:p w14:paraId="5F80EED5">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合同总价为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元人民币。</w:t>
      </w:r>
    </w:p>
    <w:p w14:paraId="330D4651">
      <w:pPr>
        <w:keepNext w:val="0"/>
        <w:keepLines w:val="0"/>
        <w:pageBreakBefore w:val="0"/>
        <w:widowControl w:val="0"/>
        <w:kinsoku/>
        <w:wordWrap/>
        <w:overflowPunct/>
        <w:topLinePunct w:val="0"/>
        <w:autoSpaceDE/>
        <w:autoSpaceDN/>
        <w:bidi w:val="0"/>
        <w:adjustRightInd/>
        <w:snapToGrid/>
        <w:spacing w:line="460" w:lineRule="exact"/>
        <w:ind w:firstLine="486" w:firstLineChars="200"/>
        <w:textAlignment w:val="auto"/>
        <w:rPr>
          <w:rFonts w:ascii="仿宋" w:hAnsi="仿宋" w:eastAsia="仿宋" w:cs="仿宋"/>
          <w:b w:val="0"/>
          <w:bCs w:val="0"/>
          <w:color w:val="auto"/>
          <w:highlight w:val="yellow"/>
          <w:lang w:eastAsia="zh-CN"/>
        </w:rPr>
      </w:pPr>
      <w:r>
        <w:rPr>
          <w:rFonts w:hint="eastAsia" w:ascii="仿宋" w:hAnsi="仿宋" w:eastAsia="仿宋" w:cs="仿宋"/>
          <w:color w:val="auto"/>
          <w:highlight w:val="none"/>
          <w:lang w:eastAsia="zh-CN"/>
        </w:rPr>
        <w:t>4、付款方式</w:t>
      </w:r>
      <w:r>
        <w:rPr>
          <w:rFonts w:hint="eastAsia" w:ascii="仿宋" w:hAnsi="仿宋" w:eastAsia="仿宋" w:cs="仿宋"/>
          <w:b/>
          <w:bCs/>
          <w:color w:val="auto"/>
          <w:highlight w:val="none"/>
          <w:lang w:eastAsia="zh-CN"/>
        </w:rPr>
        <w:t>：</w:t>
      </w:r>
      <w:r>
        <w:rPr>
          <w:rFonts w:hint="eastAsia" w:ascii="仿宋" w:hAnsi="仿宋" w:eastAsia="仿宋" w:cs="仿宋"/>
          <w:b w:val="0"/>
          <w:bCs w:val="0"/>
          <w:color w:val="auto"/>
          <w:highlight w:val="none"/>
          <w:lang w:val="en-US" w:eastAsia="zh-CN"/>
        </w:rPr>
        <w:t>签订合同后</w:t>
      </w:r>
      <w:r>
        <w:rPr>
          <w:rFonts w:hint="eastAsia" w:ascii="仿宋" w:hAnsi="仿宋" w:eastAsia="仿宋" w:cs="仿宋"/>
          <w:b w:val="0"/>
          <w:bCs w:val="0"/>
          <w:color w:val="auto"/>
          <w:highlight w:val="none"/>
          <w:lang w:eastAsia="zh-CN"/>
        </w:rPr>
        <w:t>供货完成安装调试验收合格</w:t>
      </w:r>
      <w:r>
        <w:rPr>
          <w:rFonts w:hint="eastAsia" w:ascii="仿宋" w:hAnsi="仿宋" w:eastAsia="仿宋" w:cs="仿宋"/>
          <w:b w:val="0"/>
          <w:bCs w:val="0"/>
          <w:color w:val="auto"/>
          <w:highlight w:val="none"/>
          <w:lang w:val="en-US" w:eastAsia="zh-CN"/>
        </w:rPr>
        <w:t>后支付合同价款的80%</w:t>
      </w:r>
      <w:r>
        <w:rPr>
          <w:rFonts w:hint="eastAsia" w:ascii="仿宋" w:hAnsi="仿宋" w:eastAsia="仿宋" w:cs="仿宋"/>
          <w:b w:val="0"/>
          <w:bCs w:val="0"/>
          <w:color w:val="auto"/>
          <w:highlight w:val="none"/>
          <w:lang w:eastAsia="zh-CN"/>
        </w:rPr>
        <w:t>，正常运行后</w:t>
      </w:r>
      <w:r>
        <w:rPr>
          <w:rFonts w:hint="eastAsia" w:ascii="仿宋" w:hAnsi="仿宋" w:eastAsia="仿宋" w:cs="仿宋"/>
          <w:b w:val="0"/>
          <w:bCs w:val="0"/>
          <w:color w:val="auto"/>
          <w:highlight w:val="none"/>
          <w:lang w:val="en-US" w:eastAsia="zh-CN"/>
        </w:rPr>
        <w:t>支</w:t>
      </w:r>
      <w:r>
        <w:rPr>
          <w:rFonts w:hint="eastAsia" w:ascii="仿宋" w:hAnsi="仿宋" w:eastAsia="仿宋" w:cs="仿宋"/>
          <w:b w:val="0"/>
          <w:bCs w:val="0"/>
          <w:color w:val="auto"/>
          <w:highlight w:val="none"/>
          <w:lang w:eastAsia="zh-CN"/>
        </w:rPr>
        <w:t>付</w:t>
      </w:r>
      <w:r>
        <w:rPr>
          <w:rFonts w:hint="eastAsia" w:ascii="仿宋" w:hAnsi="仿宋" w:eastAsia="仿宋" w:cs="仿宋"/>
          <w:b w:val="0"/>
          <w:bCs w:val="0"/>
          <w:color w:val="auto"/>
          <w:highlight w:val="none"/>
          <w:lang w:val="en-US" w:eastAsia="zh-CN"/>
        </w:rPr>
        <w:t>剩余的20%</w:t>
      </w:r>
      <w:r>
        <w:rPr>
          <w:rFonts w:hint="eastAsia" w:ascii="仿宋" w:hAnsi="仿宋" w:eastAsia="仿宋" w:cs="仿宋"/>
          <w:b w:val="0"/>
          <w:bCs w:val="0"/>
          <w:color w:val="auto"/>
          <w:highlight w:val="none"/>
          <w:lang w:eastAsia="zh-CN"/>
        </w:rPr>
        <w:t>。（具体以甲乙双方签订合同为准）</w:t>
      </w:r>
    </w:p>
    <w:p w14:paraId="3D9E75EB">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5、合同供货（服务）期限及地点和方式</w:t>
      </w:r>
    </w:p>
    <w:p w14:paraId="3A7F1532">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6、验收要求及违约责任</w:t>
      </w:r>
    </w:p>
    <w:p w14:paraId="6908EC10">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7、违约责任及解决争议方法</w:t>
      </w:r>
    </w:p>
    <w:p w14:paraId="2741F5C0">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8、合同的生效</w:t>
      </w:r>
    </w:p>
    <w:p w14:paraId="20EB0ED3">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合同经双方授权代表签署，买卖双方加盖印章之后生效。</w:t>
      </w:r>
    </w:p>
    <w:p w14:paraId="475B0187">
      <w:pPr>
        <w:pStyle w:val="8"/>
        <w:spacing w:after="0" w:line="42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本合同一式     份，双方各执     份。</w:t>
      </w:r>
    </w:p>
    <w:p w14:paraId="736E2C52">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买  方：                            卖  方：</w:t>
      </w:r>
    </w:p>
    <w:p w14:paraId="5BF95E3D">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名  称：（盖章）                    名  称：（盖章）</w:t>
      </w:r>
    </w:p>
    <w:p w14:paraId="2A9BEC45">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法定代表人（或委托代理人签章）：    法定代表人（或委托代理人签章）：</w:t>
      </w:r>
    </w:p>
    <w:p w14:paraId="7E488AEC">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地    址：                          地    址：</w:t>
      </w:r>
    </w:p>
    <w:p w14:paraId="1EE8B428">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邮政编码：                          邮政编码：</w:t>
      </w:r>
    </w:p>
    <w:p w14:paraId="7F00EA8B">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电    话：                          电    话：</w:t>
      </w:r>
    </w:p>
    <w:p w14:paraId="4DC12595">
      <w:pPr>
        <w:pStyle w:val="8"/>
        <w:spacing w:after="0" w:line="360" w:lineRule="exact"/>
        <w:ind w:left="0" w:leftChars="0" w:firstLine="486" w:firstLineChars="200"/>
        <w:rPr>
          <w:rFonts w:ascii="仿宋" w:hAnsi="仿宋" w:eastAsia="仿宋" w:cs="仿宋"/>
          <w:color w:val="auto"/>
          <w:highlight w:val="none"/>
          <w:u w:color="000000"/>
          <w:lang w:eastAsia="zh-CN"/>
        </w:rPr>
      </w:pPr>
      <w:r>
        <w:rPr>
          <w:rFonts w:hint="eastAsia" w:ascii="仿宋" w:hAnsi="仿宋" w:eastAsia="仿宋" w:cs="仿宋"/>
          <w:color w:val="auto"/>
          <w:highlight w:val="none"/>
          <w:u w:color="000000"/>
          <w:lang w:eastAsia="zh-CN"/>
        </w:rPr>
        <w:t>开户银行：                          开户银行：</w:t>
      </w:r>
    </w:p>
    <w:p w14:paraId="23C7BA08">
      <w:pPr>
        <w:pStyle w:val="8"/>
        <w:spacing w:after="0" w:line="360" w:lineRule="exact"/>
        <w:ind w:left="0" w:leftChars="0" w:firstLine="486" w:firstLineChars="200"/>
        <w:rPr>
          <w:rFonts w:ascii="仿宋" w:hAnsi="仿宋" w:eastAsia="仿宋" w:cs="仿宋"/>
          <w:b/>
          <w:color w:val="auto"/>
          <w:sz w:val="30"/>
          <w:szCs w:val="30"/>
          <w:highlight w:val="none"/>
          <w:lang w:eastAsia="zh-CN"/>
        </w:rPr>
      </w:pPr>
      <w:r>
        <w:rPr>
          <w:rFonts w:hint="eastAsia" w:ascii="仿宋" w:hAnsi="仿宋" w:eastAsia="仿宋" w:cs="仿宋"/>
          <w:color w:val="auto"/>
          <w:highlight w:val="none"/>
          <w:u w:color="000000"/>
          <w:lang w:eastAsia="zh-CN"/>
        </w:rPr>
        <w:t>帐    号：                          帐    号：</w:t>
      </w:r>
    </w:p>
    <w:p w14:paraId="13221E44">
      <w:pPr>
        <w:pStyle w:val="8"/>
        <w:spacing w:after="0" w:line="420" w:lineRule="exact"/>
        <w:ind w:left="0" w:leftChars="0" w:firstLine="606" w:firstLineChars="200"/>
        <w:jc w:val="center"/>
        <w:rPr>
          <w:rFonts w:ascii="仿宋" w:hAnsi="仿宋" w:eastAsia="仿宋" w:cs="仿宋"/>
          <w:b/>
          <w:color w:val="auto"/>
          <w:sz w:val="30"/>
          <w:szCs w:val="30"/>
          <w:highlight w:val="none"/>
          <w:lang w:eastAsia="zh-CN"/>
        </w:rPr>
      </w:pPr>
      <w:r>
        <w:rPr>
          <w:rFonts w:hint="eastAsia" w:ascii="仿宋" w:hAnsi="仿宋" w:eastAsia="仿宋" w:cs="仿宋"/>
          <w:b/>
          <w:color w:val="auto"/>
          <w:sz w:val="30"/>
          <w:szCs w:val="30"/>
          <w:highlight w:val="none"/>
          <w:lang w:eastAsia="zh-CN"/>
        </w:rPr>
        <w:t>二  合同条款</w:t>
      </w:r>
      <w:bookmarkEnd w:id="57"/>
      <w:bookmarkEnd w:id="58"/>
      <w:bookmarkEnd w:id="59"/>
      <w:bookmarkEnd w:id="60"/>
      <w:bookmarkEnd w:id="61"/>
      <w:bookmarkEnd w:id="62"/>
      <w:bookmarkEnd w:id="63"/>
      <w:bookmarkEnd w:id="64"/>
      <w:bookmarkEnd w:id="65"/>
    </w:p>
    <w:p w14:paraId="0DE0AACA">
      <w:pPr>
        <w:spacing w:line="440" w:lineRule="exact"/>
        <w:rPr>
          <w:rFonts w:ascii="仿宋" w:hAnsi="仿宋" w:eastAsia="仿宋" w:cs="仿宋"/>
          <w:b/>
          <w:color w:val="auto"/>
          <w:szCs w:val="21"/>
          <w:highlight w:val="none"/>
        </w:rPr>
      </w:pPr>
      <w:r>
        <w:rPr>
          <w:rFonts w:hint="eastAsia" w:ascii="仿宋" w:hAnsi="仿宋" w:eastAsia="仿宋" w:cs="仿宋"/>
          <w:b/>
          <w:color w:val="auto"/>
          <w:szCs w:val="21"/>
          <w:highlight w:val="none"/>
        </w:rPr>
        <w:t>一.合同文件</w:t>
      </w:r>
    </w:p>
    <w:p w14:paraId="58154B37">
      <w:pPr>
        <w:spacing w:line="440" w:lineRule="exact"/>
        <w:rPr>
          <w:rFonts w:ascii="仿宋" w:hAnsi="仿宋" w:eastAsia="仿宋" w:cs="仿宋"/>
          <w:color w:val="auto"/>
          <w:szCs w:val="21"/>
          <w:highlight w:val="none"/>
        </w:rPr>
      </w:pPr>
      <w:r>
        <w:rPr>
          <w:rFonts w:hint="eastAsia" w:ascii="仿宋" w:hAnsi="仿宋" w:eastAsia="仿宋" w:cs="仿宋"/>
          <w:color w:val="auto"/>
          <w:szCs w:val="21"/>
          <w:highlight w:val="none"/>
        </w:rPr>
        <w:t>1、合同文件适用法律</w:t>
      </w:r>
    </w:p>
    <w:p w14:paraId="196BD1FD">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适用于合同文件的法律是中华人民共和国现行法律、法规及招标人所在地的地方性法规。</w:t>
      </w:r>
    </w:p>
    <w:p w14:paraId="4EA45BBA">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2、合同文件组成和解释顺序</w:t>
      </w:r>
    </w:p>
    <w:p w14:paraId="6E1E341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(1)合同文件的组成和解释顺序如下：</w:t>
      </w:r>
    </w:p>
    <w:p w14:paraId="77A2B82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&lt;1&gt;合同的主要条款；</w:t>
      </w:r>
    </w:p>
    <w:p w14:paraId="1C50FFB6">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&lt;2&gt;合同的一般性条款；</w:t>
      </w:r>
    </w:p>
    <w:p w14:paraId="799434B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&lt;3&gt;洽商、变更等明确双方权利义务的纪要、协议；</w:t>
      </w:r>
    </w:p>
    <w:p w14:paraId="3831AD07">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&lt;4&gt;中标通知书、投标文件和采购文件；</w:t>
      </w:r>
    </w:p>
    <w:p w14:paraId="29DA6160">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&lt;5&gt;有关图纸、标准、规范和其它有关技术资料、技术要求。</w:t>
      </w:r>
    </w:p>
    <w:p w14:paraId="773123C9">
      <w:pPr>
        <w:spacing w:line="44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&lt;6&gt;合同的主要条款的效力优于合同的一般性条款的效力。</w:t>
      </w:r>
    </w:p>
    <w:p w14:paraId="3EB50D6C">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3、合同文件使用文字</w:t>
      </w:r>
    </w:p>
    <w:p w14:paraId="1724058A">
      <w:pPr>
        <w:pStyle w:val="5"/>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(1)合同文件使用中文书写、解释和说明。</w:t>
      </w:r>
    </w:p>
    <w:p w14:paraId="7B610E6E">
      <w:pPr>
        <w:pStyle w:val="5"/>
        <w:overflowPunct w:val="0"/>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(2)合同文件使用技术性条款约定的为国家标准和规范；国家没有相应标准、规范时，可使用行业标准、规范。非标货物应按约定的技术性条款的标准和规范。 </w:t>
      </w:r>
    </w:p>
    <w:p w14:paraId="674B3899">
      <w:pPr>
        <w:spacing w:line="440" w:lineRule="exact"/>
        <w:rPr>
          <w:rFonts w:ascii="仿宋" w:hAnsi="仿宋" w:eastAsia="仿宋" w:cs="仿宋"/>
          <w:b/>
          <w:color w:val="auto"/>
          <w:szCs w:val="21"/>
          <w:highlight w:val="none"/>
          <w:lang w:eastAsia="zh-CN"/>
        </w:rPr>
      </w:pPr>
      <w:r>
        <w:rPr>
          <w:rFonts w:hint="eastAsia" w:ascii="仿宋" w:hAnsi="仿宋" w:eastAsia="仿宋" w:cs="仿宋"/>
          <w:b/>
          <w:color w:val="auto"/>
          <w:szCs w:val="21"/>
          <w:highlight w:val="none"/>
          <w:lang w:eastAsia="zh-CN"/>
        </w:rPr>
        <w:t>二.标的物的一般条款</w:t>
      </w:r>
    </w:p>
    <w:p w14:paraId="6AA4687A">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4、完整物权</w:t>
      </w:r>
    </w:p>
    <w:p w14:paraId="20E33CAC">
      <w:pPr>
        <w:tabs>
          <w:tab w:val="left" w:pos="660"/>
        </w:tabs>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对于</w:t>
      </w:r>
      <w:r>
        <w:rPr>
          <w:rFonts w:hint="eastAsia" w:ascii="仿宋" w:hAnsi="仿宋" w:eastAsia="仿宋" w:cs="仿宋"/>
          <w:color w:val="auto"/>
          <w:szCs w:val="21"/>
          <w:highlight w:val="none"/>
          <w:lang w:val="en-US" w:eastAsia="zh-CN"/>
        </w:rPr>
        <w:t>出售</w:t>
      </w:r>
      <w:r>
        <w:rPr>
          <w:rFonts w:hint="eastAsia" w:ascii="仿宋" w:hAnsi="仿宋" w:eastAsia="仿宋" w:cs="仿宋"/>
          <w:color w:val="auto"/>
          <w:szCs w:val="21"/>
          <w:highlight w:val="none"/>
          <w:lang w:eastAsia="zh-CN"/>
        </w:rPr>
        <w:t>的标的物，卖方应当拥有完整物权，并且卖方负有保证第三人不得向买方主张任何权利（包括知识产权）的义务。</w:t>
      </w:r>
    </w:p>
    <w:p w14:paraId="7178416D">
      <w:pPr>
        <w:spacing w:line="44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5、质量保证</w:t>
      </w:r>
    </w:p>
    <w:p w14:paraId="3B19A56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保证所供标的物是全新的，未使用过的，并且是非长期积压的库存商品，完全符合合同规定的质量、规格和性能的要求，卖方应保证其提供的标的物在正确安装，正常使用和保养条件下，在其标称的使用寿命期内应具有满意的性能。在卖方承诺的质量保证期限内，卖方应对由于设计、工艺或材料的缺陷及伴随服务而造成的任何不足或故障负责。</w:t>
      </w:r>
    </w:p>
    <w:p w14:paraId="3F547C0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根据买方按检验标准自己检验的结果或当地技监部门的检验结果，或者在质量保证期内，如果标的物的数量、质量或规格与合同不符或证实标的物是有缺陷的，包括潜在缺陷或使用不符合要求的材料等，买方应尽快以书面形式通知卖方并提出索赔。</w:t>
      </w:r>
    </w:p>
    <w:p w14:paraId="0A00E5AA">
      <w:pPr>
        <w:pStyle w:val="5"/>
        <w:tabs>
          <w:tab w:val="left" w:pos="900"/>
        </w:tabs>
        <w:overflowPunct w:val="0"/>
        <w:spacing w:line="440" w:lineRule="exact"/>
        <w:rPr>
          <w:rFonts w:cs="宋体"/>
          <w:color w:val="auto"/>
          <w:sz w:val="21"/>
          <w:szCs w:val="21"/>
          <w:highlight w:val="none"/>
          <w:u w:color="000000"/>
          <w:lang w:eastAsia="zh-CN"/>
        </w:rPr>
      </w:pPr>
      <w:r>
        <w:rPr>
          <w:rFonts w:hint="eastAsia" w:ascii="仿宋" w:hAnsi="仿宋" w:eastAsia="仿宋" w:cs="仿宋"/>
          <w:color w:val="auto"/>
          <w:szCs w:val="24"/>
          <w:highlight w:val="none"/>
          <w:u w:color="000000"/>
          <w:lang w:eastAsia="zh-CN"/>
        </w:rPr>
        <w:t>(3)除合同主要条款规定外，合同条款中标的物的质量保证期均自标的物通过最终验收之日起计算，且质量保证期按不低于国家标准和卖方承诺的高于国家标准的质保期（卖方有特殊要求的除</w:t>
      </w:r>
      <w:r>
        <w:rPr>
          <w:rFonts w:hint="eastAsia" w:cs="宋体"/>
          <w:color w:val="auto"/>
          <w:sz w:val="21"/>
          <w:szCs w:val="21"/>
          <w:highlight w:val="none"/>
          <w:u w:color="000000"/>
          <w:lang w:eastAsia="zh-CN"/>
        </w:rPr>
        <w:t>外）。</w:t>
      </w:r>
    </w:p>
    <w:p w14:paraId="6BC6414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6、包装</w:t>
      </w:r>
    </w:p>
    <w:p w14:paraId="77B6EFA7">
      <w:pPr>
        <w:pStyle w:val="5"/>
        <w:tabs>
          <w:tab w:val="left" w:pos="900"/>
        </w:tabs>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卖方应当按照约定的包装方式交付标的物。对包装方式没有约定或者约定不明确的，应当按照双方补充协议约定的方式包装，或者按照通用的方式包装，没有通用方式的，应当采取足以保护标的物的包装方式。</w:t>
      </w:r>
    </w:p>
    <w:p w14:paraId="5D583B1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7、伴随服务</w:t>
      </w:r>
    </w:p>
    <w:p w14:paraId="06DFE29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(1)卖方除应履行按期按量交付合格标的物的义务之外，还应提供下列服务：</w:t>
      </w:r>
    </w:p>
    <w:p w14:paraId="2F36C61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&lt;1&gt;标的物的现场安装或指导安装、启动、调试、监督（如果必须安装、调试的话）；</w:t>
      </w:r>
    </w:p>
    <w:p w14:paraId="5D4020C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&lt;2&gt;提供标的物组装和一般维修所必须的工具；</w:t>
      </w:r>
    </w:p>
    <w:p w14:paraId="6690CE7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&lt;3&gt;在合同规定的期限内对所提供标的物实行运行监督、维修服务的前提条件是该服务并不能免除卖方在质量保证期内所承担的义务；</w:t>
      </w:r>
    </w:p>
    <w:p w14:paraId="6F242C8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&lt;4&gt;对买方技术人员的技术指导或培训。</w:t>
      </w:r>
    </w:p>
    <w:p w14:paraId="4EE92DD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(2)除合同另有规定之外，伴随服务的费用均已含在合同价款中，买方不再另行进行支付。</w:t>
      </w:r>
    </w:p>
    <w:p w14:paraId="209E8F05">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三.标的物的交付、检验和验收</w:t>
      </w:r>
    </w:p>
    <w:p w14:paraId="68817923">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8、标的物的交付</w:t>
      </w:r>
    </w:p>
    <w:p w14:paraId="73B41FF9">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(1)标的物的所有权自标的物交付时转移。</w:t>
      </w:r>
    </w:p>
    <w:p w14:paraId="46889642">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(2)卖方应当按照约定的期限和约定的地点交付符合采购文件要求的标的物。</w:t>
      </w:r>
    </w:p>
    <w:p w14:paraId="6A2A1C13">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(3)卖方应当按照约定或者交易习惯向招标人交付提取标的物单证以外的有关单证和资料。</w:t>
      </w:r>
    </w:p>
    <w:p w14:paraId="1C30B1D8">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9、检验和验收</w:t>
      </w:r>
    </w:p>
    <w:p w14:paraId="10B5564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交货时，卖方应配合买方对标的物的质量、规格、性能、数量等进行详细而全面的检验，并出具一份合格检验证明，合格检验证明作为验收的依据，但不能作为有关标的物质量、规格、数量或性能的最终检验结果。</w:t>
      </w:r>
    </w:p>
    <w:p w14:paraId="415F4913">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(2)买方根据合同规定的内容和验收标准进行验收，经检验无误后出具验收合格证明，该证明作为最终付款所需文件的组成部分。</w:t>
      </w:r>
    </w:p>
    <w:p w14:paraId="12A5F33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(3)验收期限自标的物交付之日起三十天内。特殊情况需延长的，双方应在合同条款中约定。</w:t>
      </w:r>
    </w:p>
    <w:p w14:paraId="4679C110">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四.对标的物提出异议的时间和办法</w:t>
      </w:r>
    </w:p>
    <w:p w14:paraId="6195298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10、对标的物提出异议的时间和办法 </w:t>
      </w:r>
    </w:p>
    <w:p w14:paraId="1B7AA69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(1)买方在验收过程中，应当于双方约定的检验期间内将标的物的数量或质量不符合约定的情形及处理方式以书面形式通知卖方。</w:t>
      </w:r>
    </w:p>
    <w:p w14:paraId="3FC5478D">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(2)如买方在验收期满后既不出具验收合格证明又未提出书面异议的视为卖方所交标的物符合合同规定。</w:t>
      </w:r>
    </w:p>
    <w:p w14:paraId="16367B1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(3)卖方应在收到买方书面异议后七天内负责处理问题，否则将视为默认买方提出的异议和处理意见。</w:t>
      </w:r>
    </w:p>
    <w:p w14:paraId="78001F3D">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五.合同价款和支付</w:t>
      </w:r>
    </w:p>
    <w:p w14:paraId="5F7A8BF5">
      <w:pPr>
        <w:spacing w:line="440" w:lineRule="exact"/>
        <w:rPr>
          <w:rFonts w:ascii="仿宋" w:hAnsi="仿宋" w:eastAsia="仿宋" w:cs="仿宋"/>
          <w:color w:val="auto"/>
          <w:highlight w:val="none"/>
        </w:rPr>
      </w:pPr>
      <w:r>
        <w:rPr>
          <w:rFonts w:hint="eastAsia" w:ascii="仿宋" w:hAnsi="仿宋" w:eastAsia="仿宋" w:cs="仿宋"/>
          <w:color w:val="auto"/>
          <w:highlight w:val="none"/>
        </w:rPr>
        <w:t>11、合同价款和支付</w:t>
      </w:r>
    </w:p>
    <w:p w14:paraId="729E3F7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(1)本合同的结算货币为人民币，单位元。</w:t>
      </w:r>
    </w:p>
    <w:p w14:paraId="62560B4B">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(2)卖方应按照双方签订的合同规定交货并在合同主要条款规定的期限内持下列单据结算货款：</w:t>
      </w:r>
    </w:p>
    <w:p w14:paraId="06C89E4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&lt;1&gt;合格的销售发票；</w:t>
      </w:r>
    </w:p>
    <w:p w14:paraId="179A9D4D">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&lt;2&gt;买方盖章签收后的送货回单和验收合格证明。</w:t>
      </w:r>
    </w:p>
    <w:p w14:paraId="6FBF8441">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(3)买方应按合同主要条款规定的期限和方式付款。</w:t>
      </w:r>
    </w:p>
    <w:p w14:paraId="38F9C2F7">
      <w:pPr>
        <w:pStyle w:val="5"/>
        <w:tabs>
          <w:tab w:val="left" w:pos="54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(4)根据现行税法对买方征收的与本合同有关的一切税费均由买方承担；根据现行税法对卖方征收的与本合同有关的一切税费均由卖方承担。</w:t>
      </w:r>
    </w:p>
    <w:p w14:paraId="3A407DC7">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六.违约责任</w:t>
      </w:r>
    </w:p>
    <w:p w14:paraId="64C53A3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12、违约责任</w:t>
      </w:r>
    </w:p>
    <w:p w14:paraId="00CDC879">
      <w:pPr>
        <w:pStyle w:val="5"/>
        <w:spacing w:line="440" w:lineRule="exact"/>
        <w:ind w:firstLine="486" w:firstLineChars="20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合同一方不履行合同义务或者履行合同义务不符合约定的，应当承担继续履行、采取补救措施或者赔偿损失等违约责任。</w:t>
      </w:r>
    </w:p>
    <w:p w14:paraId="71FBAA7D">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13、买方违约责任</w:t>
      </w:r>
    </w:p>
    <w:p w14:paraId="6F048E9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(1)在合同生效后，买方要求退货的，应向卖方偿付合同总价款的5%，作为违约金，违约金不足以补偿损失的，卖方有权要求甲方补足。</w:t>
      </w:r>
    </w:p>
    <w:p w14:paraId="00C7BADE">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(2)买方逾期付款的应按照逾期付款金额的每天万分之四支付逾期付款违约金。</w:t>
      </w:r>
    </w:p>
    <w:p w14:paraId="4C654F68">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(3)买方违反合同规定，拒绝接收卖方交付的符合采购文件要求的合格标的物，应当承担卖方由此造成的损失。</w:t>
      </w:r>
    </w:p>
    <w:p w14:paraId="50D2D9E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14、卖方违约责任</w:t>
      </w:r>
    </w:p>
    <w:p w14:paraId="2F38F32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(1)卖方不能交货（逾期超过五天视为不能交货），或交货不合格从而影响买方按期正常使用的，应向买方偿付合同总价款5%的违约金，违约金不足以补偿损失的，买方有权要求卖方补足。</w:t>
      </w:r>
    </w:p>
    <w:p w14:paraId="61FC9C36">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(2)卖方逾期交货的，应在发货前与买方和政府采购管理部门协商，买方仍需求的，卖方应立即发货并应按照逾期交货部分货款的每天万分之四支付逾期交货违约金，同时承担买方因此遭致的损失费用。</w:t>
      </w:r>
    </w:p>
    <w:p w14:paraId="1AEF5ED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15、不可抗力</w:t>
      </w:r>
    </w:p>
    <w:p w14:paraId="161E24CA">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(1)因水灾、火灾、地震、战争等不可抗力不能履行合同的，根据不可抗力的影响，部分或者全部免除责任。但合同一方迟延履行后发生不可抗力的，不能免除责任。</w:t>
      </w:r>
    </w:p>
    <w:p w14:paraId="51EFBEE2">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(2)合同一方因不可抗力不能履行合同的，应当及时通知对方，以减轻可能给对方造成的损失，并应当在合理期限内提供证明。</w:t>
      </w:r>
    </w:p>
    <w:p w14:paraId="2DB3C3B6">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七.索赔</w:t>
      </w:r>
    </w:p>
    <w:p w14:paraId="66C45EF6">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16、索赔</w:t>
      </w:r>
    </w:p>
    <w:p w14:paraId="6DBD3DB9">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(1)买方有权根据当地产品质量检验机构或其它有权威部门出具的检验证书向卖方提出索赔。</w:t>
      </w:r>
    </w:p>
    <w:p w14:paraId="6CCF610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(2)在本合同规定的检验期和质量保证期内，如果卖方对买方提出的索赔或差异有责任，则卖方应按买方同意的下列一种或多种方式解决索赔事宜：</w:t>
      </w:r>
    </w:p>
    <w:p w14:paraId="322BE86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&lt;1&gt;卖方同意退货，并按合同规定的货币将货款退还给买方，并承担由此发生的一切损失和费用，包括利息、银行手续费、运费、保险费、检验费、仓储费、装卸费以及为保护退回标的物所需的其它必要费用；</w:t>
      </w:r>
    </w:p>
    <w:p w14:paraId="3E8DF30F">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&lt;2&gt;根据标的物的低劣程度、损坏程度以及甲方遭受损失的数额，经双方协商确定降低标的物的价格；</w:t>
      </w:r>
    </w:p>
    <w:p w14:paraId="486F99B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3&gt;用符合规格、质量和性能要求的新零件、部件或标的物来更换有缺陷的部分或修补缺陷部分，卖方应承担一切费用和风险并负担买方所发生的一切直接费用。同时，卖方应按合同规定，相应延长修补或被更换部件或标的物的质量保证期。</w:t>
      </w:r>
    </w:p>
    <w:p w14:paraId="747ED8FC">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如果在买方发出索赔通知后七天内，卖方未能答复，上述索赔应视为已被卖方接受。若卖方未在买方提出索赔通知后七天内或买方同意的更长时间内，按照合同规定的任何一种方法解决索赔事宜，买方将从未付款或卖方开具的履约保证金中扣回索赔金额，如果这些金额不足以补偿索赔金额，买方有权向卖方提出对不足部分的补偿。</w:t>
      </w:r>
    </w:p>
    <w:p w14:paraId="332A6E3A">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(4)买方提出索赔的书面材料应报当地政府采购管理部门备案。卖方同意的索赔方案应报当地政府采购管理部门审核。</w:t>
      </w:r>
    </w:p>
    <w:p w14:paraId="3176E1A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八.履约保证金</w:t>
      </w:r>
    </w:p>
    <w:p w14:paraId="23798B69">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17、履约保证金</w:t>
      </w:r>
    </w:p>
    <w:p w14:paraId="49DD7669">
      <w:pPr>
        <w:pStyle w:val="5"/>
        <w:overflowPunct w:val="0"/>
        <w:spacing w:line="440" w:lineRule="exact"/>
        <w:ind w:firstLine="607" w:firstLineChars="25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(1)卖方应在本合同签订时，按采购文件的约定提供相应的履约保证金，保证金的有效期应不低于合同有效期。</w:t>
      </w:r>
    </w:p>
    <w:p w14:paraId="096573E3">
      <w:pPr>
        <w:pStyle w:val="5"/>
        <w:overflowPunct w:val="0"/>
        <w:spacing w:line="440" w:lineRule="exact"/>
        <w:ind w:right="-386" w:rightChars="-159"/>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(2)如果卖方未能履行合同规定的任何义务，买方有权从履约保证金中取得补偿。</w:t>
      </w:r>
    </w:p>
    <w:p w14:paraId="60688D80">
      <w:pPr>
        <w:pStyle w:val="5"/>
        <w:overflowPunct w:val="0"/>
        <w:spacing w:line="440" w:lineRule="exact"/>
        <w:ind w:right="-1010" w:rightChars="-416"/>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(3)履约保证金（无息）将在卖方履行完合同义务，买方支付合同价款的五天内</w:t>
      </w:r>
    </w:p>
    <w:p w14:paraId="514B7B70">
      <w:pPr>
        <w:pStyle w:val="5"/>
        <w:overflowPunct w:val="0"/>
        <w:spacing w:line="440" w:lineRule="exact"/>
        <w:ind w:right="-1010" w:rightChars="-416" w:firstLine="0"/>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退回。</w:t>
      </w:r>
    </w:p>
    <w:p w14:paraId="33914FBB">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九.合同的解除和转让</w:t>
      </w:r>
    </w:p>
    <w:p w14:paraId="6E3A7FE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18、合同的解除</w:t>
      </w:r>
    </w:p>
    <w:p w14:paraId="41D5F3F7">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(1)买方和卖方协商一致，可以解除合同。</w:t>
      </w:r>
    </w:p>
    <w:p w14:paraId="3FABAAD9">
      <w:pPr>
        <w:pStyle w:val="5"/>
        <w:spacing w:line="440" w:lineRule="exact"/>
        <w:rPr>
          <w:rFonts w:ascii="仿宋" w:hAnsi="仿宋" w:eastAsia="仿宋" w:cs="仿宋"/>
          <w:color w:val="auto"/>
          <w:szCs w:val="24"/>
          <w:highlight w:val="none"/>
          <w:u w:color="000000"/>
        </w:rPr>
      </w:pPr>
      <w:r>
        <w:rPr>
          <w:rFonts w:hint="eastAsia" w:ascii="仿宋" w:hAnsi="仿宋" w:eastAsia="仿宋" w:cs="仿宋"/>
          <w:color w:val="auto"/>
          <w:szCs w:val="24"/>
          <w:highlight w:val="none"/>
          <w:u w:color="000000"/>
        </w:rPr>
        <w:t>(2)有下列情形之一，合同一方可以解除合同：</w:t>
      </w:r>
    </w:p>
    <w:p w14:paraId="56F67079">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&lt;1&gt;因不可抗力致使不能实现合同目的，未受不可抗力影响的一方有权解除合同；</w:t>
      </w:r>
    </w:p>
    <w:p w14:paraId="23340707">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&lt;2&gt;因合同一方违约导致合同不能履行，另一方有权解除合同。</w:t>
      </w:r>
    </w:p>
    <w:p w14:paraId="0D46DE3E">
      <w:pPr>
        <w:pStyle w:val="5"/>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(3)有权解除合同的一方，应当在违约事实或不可抗力发生之后三十天内书面通知对方以主张解除合同，合同在书面通知到达对方时解除。</w:t>
      </w:r>
    </w:p>
    <w:p w14:paraId="31D717C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19、合同的转让</w:t>
      </w:r>
    </w:p>
    <w:p w14:paraId="784AA14B">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合同的部分和全部都不得转让。</w:t>
      </w:r>
    </w:p>
    <w:p w14:paraId="3B540CD7">
      <w:pPr>
        <w:spacing w:line="440" w:lineRule="exact"/>
        <w:rPr>
          <w:rFonts w:ascii="仿宋" w:hAnsi="仿宋" w:eastAsia="仿宋" w:cs="仿宋"/>
          <w:b/>
          <w:color w:val="auto"/>
          <w:highlight w:val="none"/>
        </w:rPr>
      </w:pPr>
      <w:r>
        <w:rPr>
          <w:rFonts w:hint="eastAsia" w:ascii="仿宋" w:hAnsi="仿宋" w:eastAsia="仿宋" w:cs="仿宋"/>
          <w:b/>
          <w:color w:val="auto"/>
          <w:highlight w:val="none"/>
        </w:rPr>
        <w:t>十.合同的生效</w:t>
      </w:r>
    </w:p>
    <w:p w14:paraId="24C61BCE">
      <w:pPr>
        <w:spacing w:line="440" w:lineRule="exact"/>
        <w:rPr>
          <w:rFonts w:ascii="仿宋" w:hAnsi="仿宋" w:eastAsia="仿宋" w:cs="仿宋"/>
          <w:color w:val="auto"/>
          <w:highlight w:val="none"/>
        </w:rPr>
      </w:pPr>
      <w:r>
        <w:rPr>
          <w:rFonts w:hint="eastAsia" w:ascii="仿宋" w:hAnsi="仿宋" w:eastAsia="仿宋" w:cs="仿宋"/>
          <w:color w:val="auto"/>
          <w:highlight w:val="none"/>
        </w:rPr>
        <w:t>20</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合同的生效</w:t>
      </w:r>
    </w:p>
    <w:p w14:paraId="709A3A0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本合同在双方签字盖章并在招标人收到中标人提交的履约保证金后，经招标采购管理部门备案后生效。</w:t>
      </w:r>
    </w:p>
    <w:p w14:paraId="278D04EC">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十一. 争议解决</w:t>
      </w:r>
    </w:p>
    <w:p w14:paraId="144E8DD8">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21、争议解决</w:t>
      </w:r>
    </w:p>
    <w:p w14:paraId="4752943E">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 xml:space="preserve"> 买卖双方因合同发生争议，进行调解，协商不成，可选择：</w:t>
      </w:r>
    </w:p>
    <w:p w14:paraId="572EF194">
      <w:pPr>
        <w:pStyle w:val="5"/>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(1)双方同时申请仲裁；</w:t>
      </w:r>
    </w:p>
    <w:p w14:paraId="7C68F464">
      <w:pPr>
        <w:pStyle w:val="5"/>
        <w:tabs>
          <w:tab w:val="left" w:pos="900"/>
        </w:tabs>
        <w:overflowPunct w:val="0"/>
        <w:spacing w:line="440" w:lineRule="exact"/>
        <w:rPr>
          <w:rFonts w:ascii="仿宋" w:hAnsi="仿宋" w:eastAsia="仿宋" w:cs="仿宋"/>
          <w:color w:val="auto"/>
          <w:szCs w:val="24"/>
          <w:highlight w:val="none"/>
          <w:u w:color="000000"/>
          <w:lang w:eastAsia="zh-CN"/>
        </w:rPr>
      </w:pPr>
      <w:r>
        <w:rPr>
          <w:rFonts w:hint="eastAsia" w:ascii="仿宋" w:hAnsi="仿宋" w:eastAsia="仿宋" w:cs="仿宋"/>
          <w:color w:val="auto"/>
          <w:szCs w:val="24"/>
          <w:highlight w:val="none"/>
          <w:u w:color="000000"/>
          <w:lang w:eastAsia="zh-CN"/>
        </w:rPr>
        <w:t>(2)向买方所在地人民法院提起诉讼。</w:t>
      </w:r>
    </w:p>
    <w:p w14:paraId="3FE60AB3">
      <w:pPr>
        <w:spacing w:line="440" w:lineRule="exact"/>
        <w:rPr>
          <w:rFonts w:ascii="仿宋" w:hAnsi="仿宋" w:eastAsia="仿宋" w:cs="仿宋"/>
          <w:b/>
          <w:color w:val="auto"/>
          <w:highlight w:val="none"/>
          <w:lang w:eastAsia="zh-CN"/>
        </w:rPr>
      </w:pPr>
      <w:r>
        <w:rPr>
          <w:rFonts w:hint="eastAsia" w:ascii="仿宋" w:hAnsi="仿宋" w:eastAsia="仿宋" w:cs="仿宋"/>
          <w:b/>
          <w:color w:val="auto"/>
          <w:highlight w:val="none"/>
          <w:lang w:eastAsia="zh-CN"/>
        </w:rPr>
        <w:t>十二 .附则</w:t>
      </w:r>
    </w:p>
    <w:p w14:paraId="182416E1">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22、合同份数。</w:t>
      </w:r>
    </w:p>
    <w:p w14:paraId="237ECDA5">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lang w:eastAsia="zh-CN"/>
        </w:rPr>
        <w:tab/>
      </w:r>
      <w:r>
        <w:rPr>
          <w:rFonts w:hint="eastAsia" w:ascii="仿宋" w:hAnsi="仿宋" w:eastAsia="仿宋" w:cs="仿宋"/>
          <w:color w:val="auto"/>
          <w:highlight w:val="none"/>
          <w:lang w:eastAsia="zh-CN"/>
        </w:rPr>
        <w:t xml:space="preserve"> 本合同一式</w:t>
      </w:r>
      <w:r>
        <w:rPr>
          <w:rFonts w:hint="eastAsia" w:ascii="仿宋" w:hAnsi="仿宋" w:eastAsia="仿宋" w:cs="仿宋"/>
          <w:color w:val="auto"/>
          <w:highlight w:val="none"/>
          <w:lang w:val="en-US" w:eastAsia="zh-CN"/>
        </w:rPr>
        <w:t>六</w:t>
      </w:r>
      <w:r>
        <w:rPr>
          <w:rFonts w:hint="eastAsia" w:ascii="仿宋" w:hAnsi="仿宋" w:eastAsia="仿宋" w:cs="仿宋"/>
          <w:color w:val="auto"/>
          <w:highlight w:val="none"/>
          <w:lang w:eastAsia="zh-CN"/>
        </w:rPr>
        <w:t>份，买卖双方各执二份，招标代理机构一份，招标采购管理部门一份。</w:t>
      </w:r>
    </w:p>
    <w:p w14:paraId="3D07F7DC">
      <w:pPr>
        <w:spacing w:line="440" w:lineRule="exact"/>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23、未尽事宜</w:t>
      </w:r>
    </w:p>
    <w:p w14:paraId="1689E3E8">
      <w:pPr>
        <w:spacing w:line="440" w:lineRule="exact"/>
        <w:ind w:firstLine="607" w:firstLineChars="250"/>
        <w:rPr>
          <w:rFonts w:ascii="宋体" w:cs="宋体"/>
          <w:color w:val="auto"/>
          <w:szCs w:val="21"/>
          <w:highlight w:val="none"/>
          <w:lang w:eastAsia="zh-CN"/>
        </w:rPr>
      </w:pPr>
      <w:r>
        <w:rPr>
          <w:rFonts w:hint="eastAsia" w:ascii="仿宋" w:hAnsi="仿宋" w:eastAsia="仿宋" w:cs="仿宋"/>
          <w:color w:val="auto"/>
          <w:highlight w:val="none"/>
          <w:lang w:eastAsia="zh-CN"/>
        </w:rPr>
        <w:t>本合同未尽事宜应按《中华人民共和国政府采购法》、《中华人民共和国</w:t>
      </w:r>
      <w:r>
        <w:rPr>
          <w:rFonts w:hint="eastAsia" w:ascii="仿宋" w:hAnsi="仿宋" w:eastAsia="仿宋" w:cs="仿宋"/>
          <w:color w:val="auto"/>
          <w:highlight w:val="none"/>
          <w:lang w:val="en-US" w:eastAsia="zh-CN"/>
        </w:rPr>
        <w:t>民法典</w:t>
      </w:r>
      <w:r>
        <w:rPr>
          <w:rFonts w:hint="eastAsia" w:ascii="仿宋" w:hAnsi="仿宋" w:eastAsia="仿宋" w:cs="仿宋"/>
          <w:color w:val="auto"/>
          <w:highlight w:val="none"/>
          <w:lang w:eastAsia="zh-CN"/>
        </w:rPr>
        <w:t>》、《中华人民共和国产品质量法》之规定解释。</w:t>
      </w:r>
    </w:p>
    <w:p w14:paraId="434A8DF3">
      <w:pPr>
        <w:pStyle w:val="7"/>
        <w:numPr>
          <w:ilvl w:val="0"/>
          <w:numId w:val="0"/>
        </w:numPr>
        <w:rPr>
          <w:rFonts w:ascii="仿宋" w:hAnsi="仿宋" w:eastAsia="仿宋" w:cs="仿宋"/>
          <w:color w:val="auto"/>
          <w:sz w:val="24"/>
          <w:highlight w:val="none"/>
          <w:lang w:eastAsia="zh-CN"/>
        </w:rPr>
      </w:pPr>
    </w:p>
    <w:p w14:paraId="155B9F01">
      <w:pPr>
        <w:rPr>
          <w:rFonts w:ascii="仿宋" w:hAnsi="仿宋" w:eastAsia="仿宋" w:cs="仿宋"/>
          <w:b/>
          <w:bCs/>
          <w:color w:val="auto"/>
          <w:highlight w:val="none"/>
          <w:lang w:eastAsia="zh-CN"/>
        </w:rPr>
      </w:pPr>
    </w:p>
    <w:p w14:paraId="3C5C6012">
      <w:pPr>
        <w:rPr>
          <w:rFonts w:ascii="仿宋" w:hAnsi="仿宋" w:eastAsia="仿宋" w:cs="仿宋"/>
          <w:color w:val="auto"/>
          <w:highlight w:val="none"/>
          <w:lang w:eastAsia="zh-CN"/>
        </w:rPr>
      </w:pPr>
    </w:p>
    <w:p w14:paraId="6D381BA7">
      <w:pPr>
        <w:pStyle w:val="35"/>
        <w:keepNext/>
        <w:keepLines/>
        <w:spacing w:before="0" w:after="1160"/>
        <w:rPr>
          <w:rFonts w:ascii="仿宋" w:hAnsi="仿宋" w:eastAsia="仿宋" w:cs="仿宋"/>
          <w:b/>
          <w:bCs/>
          <w:color w:val="auto"/>
          <w:highlight w:val="none"/>
        </w:rPr>
      </w:pPr>
      <w:r>
        <w:rPr>
          <w:rFonts w:hint="eastAsia" w:ascii="仿宋" w:hAnsi="仿宋" w:eastAsia="仿宋" w:cs="仿宋"/>
          <w:b/>
          <w:bCs/>
          <w:color w:val="auto"/>
          <w:highlight w:val="none"/>
        </w:rPr>
        <w:t>第</w:t>
      </w:r>
      <w:r>
        <w:rPr>
          <w:rFonts w:hint="eastAsia" w:ascii="仿宋" w:hAnsi="仿宋" w:eastAsia="仿宋" w:cs="仿宋"/>
          <w:b/>
          <w:bCs/>
          <w:color w:val="auto"/>
          <w:highlight w:val="none"/>
          <w:lang w:eastAsia="zh-CN"/>
        </w:rPr>
        <w:t>六</w:t>
      </w:r>
      <w:r>
        <w:rPr>
          <w:rFonts w:hint="eastAsia" w:ascii="仿宋" w:hAnsi="仿宋" w:eastAsia="仿宋" w:cs="仿宋"/>
          <w:b/>
          <w:bCs/>
          <w:color w:val="auto"/>
          <w:highlight w:val="none"/>
        </w:rPr>
        <w:t>部分</w:t>
      </w:r>
      <w:r>
        <w:rPr>
          <w:rFonts w:hint="eastAsia" w:ascii="仿宋" w:hAnsi="仿宋" w:eastAsia="仿宋" w:cs="仿宋"/>
          <w:b/>
          <w:bCs/>
          <w:color w:val="auto"/>
          <w:highlight w:val="none"/>
          <w:lang w:val="en-US" w:eastAsia="zh-CN"/>
        </w:rPr>
        <w:t xml:space="preserve">  </w:t>
      </w:r>
      <w:r>
        <w:rPr>
          <w:rFonts w:hint="eastAsia" w:ascii="仿宋" w:hAnsi="仿宋" w:eastAsia="仿宋" w:cs="仿宋"/>
          <w:b/>
          <w:bCs/>
          <w:color w:val="auto"/>
          <w:highlight w:val="none"/>
        </w:rPr>
        <w:t>投标文件格式</w:t>
      </w:r>
    </w:p>
    <w:p w14:paraId="1CA8FCCD">
      <w:pPr>
        <w:adjustRightInd w:val="0"/>
        <w:snapToGrid w:val="0"/>
        <w:spacing w:line="360" w:lineRule="auto"/>
        <w:ind w:left="602" w:right="70" w:hanging="602"/>
        <w:jc w:val="right"/>
        <w:rPr>
          <w:rFonts w:ascii="仿宋" w:hAnsi="仿宋" w:eastAsia="仿宋" w:cs="仿宋"/>
          <w:b/>
          <w:bCs/>
          <w:color w:val="auto"/>
          <w:sz w:val="28"/>
          <w:szCs w:val="28"/>
          <w:highlight w:val="none"/>
          <w:bdr w:val="single" w:color="auto" w:sz="4" w:space="0"/>
          <w:lang w:eastAsia="zh-CN"/>
        </w:rPr>
      </w:pPr>
      <w:bookmarkStart w:id="66" w:name="bookmark196"/>
      <w:r>
        <w:rPr>
          <w:rFonts w:hint="eastAsia" w:ascii="仿宋" w:hAnsi="仿宋" w:eastAsia="仿宋" w:cs="仿宋"/>
          <w:b/>
          <w:bCs/>
          <w:color w:val="auto"/>
          <w:sz w:val="28"/>
          <w:szCs w:val="28"/>
          <w:highlight w:val="none"/>
          <w:bdr w:val="single" w:color="auto" w:sz="4" w:space="0"/>
          <w:lang w:eastAsia="zh-CN"/>
        </w:rPr>
        <w:t>正/副 本</w:t>
      </w:r>
    </w:p>
    <w:p w14:paraId="48494DE4">
      <w:pPr>
        <w:adjustRightInd w:val="0"/>
        <w:snapToGrid w:val="0"/>
        <w:spacing w:line="360" w:lineRule="auto"/>
        <w:jc w:val="center"/>
        <w:rPr>
          <w:rFonts w:ascii="仿宋" w:hAnsi="仿宋" w:eastAsia="仿宋" w:cs="仿宋"/>
          <w:b/>
          <w:caps/>
          <w:color w:val="auto"/>
          <w:highlight w:val="none"/>
          <w:lang w:eastAsia="zh-CN"/>
        </w:rPr>
      </w:pPr>
    </w:p>
    <w:p w14:paraId="44CBC020">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caps/>
          <w:color w:val="auto"/>
          <w:sz w:val="32"/>
          <w:szCs w:val="32"/>
          <w:highlight w:val="none"/>
          <w:lang w:eastAsia="zh-CN"/>
        </w:rPr>
        <w:t>（项目名称）</w:t>
      </w:r>
    </w:p>
    <w:p w14:paraId="035320DF">
      <w:pPr>
        <w:adjustRightInd w:val="0"/>
        <w:snapToGrid w:val="0"/>
        <w:spacing w:line="360" w:lineRule="auto"/>
        <w:jc w:val="both"/>
        <w:rPr>
          <w:rFonts w:ascii="仿宋" w:hAnsi="仿宋" w:eastAsia="仿宋" w:cs="仿宋"/>
          <w:bCs/>
          <w:color w:val="auto"/>
          <w:sz w:val="32"/>
          <w:szCs w:val="32"/>
          <w:highlight w:val="none"/>
          <w:lang w:eastAsia="zh-CN"/>
        </w:rPr>
      </w:pPr>
    </w:p>
    <w:p w14:paraId="435220FD">
      <w:pPr>
        <w:adjustRightInd w:val="0"/>
        <w:snapToGrid w:val="0"/>
        <w:spacing w:line="360" w:lineRule="auto"/>
        <w:jc w:val="center"/>
        <w:rPr>
          <w:rFonts w:ascii="仿宋" w:hAnsi="仿宋" w:eastAsia="仿宋" w:cs="仿宋"/>
          <w:bCs/>
          <w:color w:val="auto"/>
          <w:sz w:val="32"/>
          <w:szCs w:val="32"/>
          <w:highlight w:val="none"/>
          <w:lang w:eastAsia="zh-CN"/>
        </w:rPr>
      </w:pPr>
    </w:p>
    <w:p w14:paraId="309A6F00">
      <w:pPr>
        <w:adjustRightInd w:val="0"/>
        <w:snapToGrid w:val="0"/>
        <w:spacing w:line="360" w:lineRule="auto"/>
        <w:jc w:val="center"/>
        <w:rPr>
          <w:rFonts w:ascii="仿宋" w:hAnsi="仿宋" w:eastAsia="仿宋" w:cs="仿宋"/>
          <w:bCs/>
          <w:color w:val="auto"/>
          <w:sz w:val="32"/>
          <w:szCs w:val="32"/>
          <w:highlight w:val="none"/>
          <w:lang w:eastAsia="zh-CN"/>
        </w:rPr>
      </w:pPr>
      <w:r>
        <w:rPr>
          <w:rFonts w:hint="eastAsia" w:ascii="仿宋" w:hAnsi="仿宋" w:eastAsia="仿宋" w:cs="仿宋"/>
          <w:b/>
          <w:bCs/>
          <w:color w:val="auto"/>
          <w:sz w:val="44"/>
          <w:szCs w:val="44"/>
          <w:highlight w:val="none"/>
          <w:lang w:eastAsia="zh-CN"/>
        </w:rPr>
        <w:t>投标文件</w:t>
      </w:r>
    </w:p>
    <w:p w14:paraId="248AAC70">
      <w:pPr>
        <w:adjustRightInd w:val="0"/>
        <w:snapToGrid w:val="0"/>
        <w:spacing w:line="360" w:lineRule="auto"/>
        <w:jc w:val="center"/>
        <w:rPr>
          <w:rFonts w:ascii="仿宋" w:hAnsi="仿宋" w:eastAsia="仿宋" w:cs="仿宋"/>
          <w:bCs/>
          <w:color w:val="auto"/>
          <w:sz w:val="32"/>
          <w:szCs w:val="32"/>
          <w:highlight w:val="none"/>
          <w:lang w:eastAsia="zh-CN"/>
        </w:rPr>
      </w:pPr>
    </w:p>
    <w:p w14:paraId="66698906">
      <w:pPr>
        <w:adjustRightInd w:val="0"/>
        <w:snapToGrid w:val="0"/>
        <w:spacing w:line="360" w:lineRule="auto"/>
        <w:jc w:val="both"/>
        <w:rPr>
          <w:rFonts w:ascii="仿宋" w:hAnsi="仿宋" w:eastAsia="仿宋" w:cs="仿宋"/>
          <w:bCs/>
          <w:color w:val="auto"/>
          <w:sz w:val="32"/>
          <w:szCs w:val="32"/>
          <w:highlight w:val="none"/>
          <w:lang w:eastAsia="zh-CN"/>
        </w:rPr>
      </w:pPr>
    </w:p>
    <w:p w14:paraId="108E1B9D">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kern w:val="0"/>
          <w:sz w:val="28"/>
          <w:szCs w:val="28"/>
          <w:highlight w:val="none"/>
          <w:fitText w:val="2810" w:id="1470909418"/>
          <w:lang w:eastAsia="zh-CN"/>
        </w:rPr>
        <w:t>供应商名称（公章）：</w:t>
      </w:r>
    </w:p>
    <w:p w14:paraId="6AAE9704">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8072040">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0"/>
          <w:w w:val="77"/>
          <w:kern w:val="0"/>
          <w:sz w:val="28"/>
          <w:szCs w:val="28"/>
          <w:highlight w:val="none"/>
          <w:fitText w:val="2810" w:id="1"/>
          <w:lang w:eastAsia="zh-CN"/>
        </w:rPr>
        <w:t>法定代表人（签章或盖章）</w:t>
      </w:r>
      <w:r>
        <w:rPr>
          <w:rFonts w:hint="eastAsia" w:ascii="仿宋" w:hAnsi="仿宋" w:eastAsia="仿宋" w:cs="仿宋"/>
          <w:b/>
          <w:caps/>
          <w:color w:val="auto"/>
          <w:spacing w:val="-1"/>
          <w:w w:val="77"/>
          <w:kern w:val="0"/>
          <w:sz w:val="28"/>
          <w:szCs w:val="28"/>
          <w:highlight w:val="none"/>
          <w:fitText w:val="2810" w:id="1"/>
          <w:lang w:eastAsia="zh-CN"/>
        </w:rPr>
        <w:t>：</w:t>
      </w:r>
    </w:p>
    <w:p w14:paraId="74675106">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141CD4E1">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13"/>
          <w:kern w:val="0"/>
          <w:sz w:val="28"/>
          <w:szCs w:val="28"/>
          <w:highlight w:val="none"/>
          <w:fitText w:val="2810" w:id="2"/>
          <w:lang w:eastAsia="zh-CN"/>
        </w:rPr>
        <w:t>供应商地址</w:t>
      </w:r>
      <w:r>
        <w:rPr>
          <w:rFonts w:hint="eastAsia" w:ascii="仿宋" w:hAnsi="仿宋" w:eastAsia="仿宋" w:cs="仿宋"/>
          <w:b/>
          <w:caps/>
          <w:color w:val="auto"/>
          <w:spacing w:val="0"/>
          <w:kern w:val="0"/>
          <w:sz w:val="28"/>
          <w:szCs w:val="28"/>
          <w:highlight w:val="none"/>
          <w:fitText w:val="2810" w:id="2"/>
          <w:lang w:eastAsia="zh-CN"/>
        </w:rPr>
        <w:t>：</w:t>
      </w:r>
    </w:p>
    <w:p w14:paraId="7A31FE0A">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008A7735">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281"/>
          <w:kern w:val="0"/>
          <w:sz w:val="28"/>
          <w:szCs w:val="28"/>
          <w:highlight w:val="none"/>
          <w:fitText w:val="2810" w:id="3"/>
          <w:lang w:eastAsia="zh-CN"/>
        </w:rPr>
        <w:t>联系人</w:t>
      </w:r>
      <w:r>
        <w:rPr>
          <w:rFonts w:hint="eastAsia" w:ascii="仿宋" w:hAnsi="仿宋" w:eastAsia="仿宋" w:cs="仿宋"/>
          <w:b/>
          <w:caps/>
          <w:color w:val="auto"/>
          <w:spacing w:val="2"/>
          <w:kern w:val="0"/>
          <w:sz w:val="28"/>
          <w:szCs w:val="28"/>
          <w:highlight w:val="none"/>
          <w:fitText w:val="2810" w:id="3"/>
          <w:lang w:eastAsia="zh-CN"/>
        </w:rPr>
        <w:t>：</w:t>
      </w:r>
    </w:p>
    <w:p w14:paraId="7225883A">
      <w:pPr>
        <w:adjustRightInd w:val="0"/>
        <w:snapToGrid w:val="0"/>
        <w:spacing w:line="360" w:lineRule="auto"/>
        <w:ind w:right="-155" w:rightChars="-64"/>
        <w:rPr>
          <w:rFonts w:ascii="仿宋" w:hAnsi="仿宋" w:eastAsia="仿宋" w:cs="仿宋"/>
          <w:b/>
          <w:caps/>
          <w:color w:val="auto"/>
          <w:sz w:val="28"/>
          <w:szCs w:val="28"/>
          <w:highlight w:val="none"/>
          <w:lang w:eastAsia="zh-CN"/>
        </w:rPr>
      </w:pPr>
    </w:p>
    <w:p w14:paraId="12603DDB">
      <w:pPr>
        <w:adjustRightInd w:val="0"/>
        <w:snapToGrid w:val="0"/>
        <w:spacing w:line="360" w:lineRule="auto"/>
        <w:ind w:right="-155" w:rightChars="-64"/>
        <w:rPr>
          <w:rFonts w:ascii="仿宋" w:hAnsi="仿宋" w:eastAsia="仿宋" w:cs="仿宋"/>
          <w:b/>
          <w:caps/>
          <w:color w:val="auto"/>
          <w:sz w:val="28"/>
          <w:szCs w:val="28"/>
          <w:highlight w:val="none"/>
          <w:lang w:eastAsia="zh-CN"/>
        </w:rPr>
      </w:pPr>
      <w:r>
        <w:rPr>
          <w:rFonts w:hint="eastAsia" w:ascii="仿宋" w:hAnsi="仿宋" w:eastAsia="仿宋" w:cs="仿宋"/>
          <w:b/>
          <w:caps/>
          <w:color w:val="auto"/>
          <w:spacing w:val="176"/>
          <w:kern w:val="0"/>
          <w:sz w:val="28"/>
          <w:szCs w:val="28"/>
          <w:highlight w:val="none"/>
          <w:fitText w:val="2810" w:id="4"/>
          <w:lang w:eastAsia="zh-CN"/>
        </w:rPr>
        <w:t>联系电话</w:t>
      </w:r>
      <w:r>
        <w:rPr>
          <w:rFonts w:hint="eastAsia" w:ascii="仿宋" w:hAnsi="仿宋" w:eastAsia="仿宋" w:cs="仿宋"/>
          <w:b/>
          <w:caps/>
          <w:color w:val="auto"/>
          <w:spacing w:val="1"/>
          <w:kern w:val="0"/>
          <w:sz w:val="28"/>
          <w:szCs w:val="28"/>
          <w:highlight w:val="none"/>
          <w:fitText w:val="2810" w:id="4"/>
          <w:lang w:eastAsia="zh-CN"/>
        </w:rPr>
        <w:t>：</w:t>
      </w:r>
    </w:p>
    <w:p w14:paraId="25EE2503">
      <w:pPr>
        <w:adjustRightInd w:val="0"/>
        <w:snapToGrid w:val="0"/>
        <w:spacing w:line="360" w:lineRule="auto"/>
        <w:jc w:val="center"/>
        <w:rPr>
          <w:rFonts w:ascii="仿宋" w:hAnsi="仿宋" w:eastAsia="仿宋" w:cs="仿宋"/>
          <w:b/>
          <w:caps/>
          <w:color w:val="auto"/>
          <w:sz w:val="28"/>
          <w:szCs w:val="28"/>
          <w:highlight w:val="none"/>
          <w:lang w:eastAsia="zh-CN"/>
        </w:rPr>
      </w:pPr>
    </w:p>
    <w:p w14:paraId="1E8BC446">
      <w:pPr>
        <w:adjustRightInd w:val="0"/>
        <w:snapToGrid w:val="0"/>
        <w:spacing w:line="360" w:lineRule="auto"/>
        <w:jc w:val="center"/>
        <w:rPr>
          <w:rFonts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lang w:eastAsia="zh-CN"/>
        </w:rPr>
        <w:t>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_年__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_月__</w:t>
      </w:r>
      <w:r>
        <w:rPr>
          <w:rFonts w:hint="eastAsia" w:ascii="仿宋" w:hAnsi="仿宋" w:eastAsia="仿宋" w:cs="仿宋"/>
          <w:b/>
          <w:color w:val="auto"/>
          <w:sz w:val="28"/>
          <w:szCs w:val="28"/>
          <w:highlight w:val="none"/>
          <w:u w:val="single"/>
          <w:lang w:eastAsia="zh-CN"/>
        </w:rPr>
        <w:t xml:space="preserve">   </w:t>
      </w:r>
      <w:r>
        <w:rPr>
          <w:rFonts w:hint="eastAsia" w:ascii="仿宋" w:hAnsi="仿宋" w:eastAsia="仿宋" w:cs="仿宋"/>
          <w:b/>
          <w:color w:val="auto"/>
          <w:sz w:val="28"/>
          <w:szCs w:val="28"/>
          <w:highlight w:val="none"/>
          <w:lang w:eastAsia="zh-CN"/>
        </w:rPr>
        <w:t>_日</w:t>
      </w:r>
    </w:p>
    <w:p w14:paraId="72A03979">
      <w:pPr>
        <w:pStyle w:val="37"/>
        <w:spacing w:after="340" w:line="240" w:lineRule="auto"/>
        <w:ind w:firstLine="0"/>
        <w:rPr>
          <w:rFonts w:ascii="仿宋" w:hAnsi="仿宋" w:eastAsia="仿宋" w:cs="仿宋"/>
          <w:color w:val="auto"/>
          <w:highlight w:val="none"/>
        </w:rPr>
      </w:pPr>
    </w:p>
    <w:bookmarkEnd w:id="66"/>
    <w:p w14:paraId="5DC13F40">
      <w:pPr>
        <w:pStyle w:val="3"/>
        <w:spacing w:line="240" w:lineRule="atLeast"/>
        <w:rPr>
          <w:rFonts w:ascii="仿宋" w:hAnsi="仿宋" w:eastAsia="仿宋" w:cs="仿宋"/>
          <w:bCs/>
          <w:color w:val="auto"/>
          <w:sz w:val="24"/>
          <w:highlight w:val="none"/>
          <w:lang w:eastAsia="zh-CN"/>
        </w:rPr>
      </w:pPr>
      <w:bookmarkStart w:id="67" w:name="_Toc18694"/>
      <w:bookmarkStart w:id="68" w:name="_Toc515647803"/>
      <w:bookmarkStart w:id="69" w:name="_Toc18974"/>
      <w:bookmarkStart w:id="70" w:name="_Toc8919"/>
    </w:p>
    <w:p w14:paraId="693FB3A1">
      <w:pPr>
        <w:pStyle w:val="3"/>
        <w:spacing w:line="240" w:lineRule="atLeast"/>
        <w:rPr>
          <w:rFonts w:ascii="仿宋" w:hAnsi="仿宋" w:eastAsia="仿宋" w:cs="仿宋"/>
          <w:color w:val="auto"/>
          <w:szCs w:val="21"/>
          <w:highlight w:val="none"/>
          <w:lang w:eastAsia="zh-CN"/>
        </w:rPr>
      </w:pPr>
      <w:r>
        <w:rPr>
          <w:rFonts w:hint="eastAsia" w:ascii="仿宋" w:hAnsi="仿宋" w:eastAsia="仿宋" w:cs="仿宋"/>
          <w:bCs/>
          <w:color w:val="auto"/>
          <w:szCs w:val="21"/>
          <w:highlight w:val="none"/>
          <w:lang w:eastAsia="zh-CN"/>
        </w:rPr>
        <w:t>第一部分 资格证明文件</w:t>
      </w:r>
      <w:bookmarkEnd w:id="67"/>
      <w:bookmarkEnd w:id="68"/>
      <w:bookmarkEnd w:id="69"/>
      <w:bookmarkEnd w:id="70"/>
    </w:p>
    <w:p w14:paraId="5B9C0144">
      <w:pPr>
        <w:spacing w:line="240" w:lineRule="atLeast"/>
        <w:ind w:left="717" w:hanging="716" w:hangingChars="295"/>
        <w:jc w:val="center"/>
        <w:rPr>
          <w:rFonts w:ascii="仿宋" w:hAnsi="仿宋" w:eastAsia="仿宋" w:cs="仿宋"/>
          <w:color w:val="auto"/>
          <w:highlight w:val="none"/>
          <w:lang w:eastAsia="zh-CN"/>
        </w:rPr>
      </w:pPr>
    </w:p>
    <w:p w14:paraId="4FA7A88B">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eastAsia="zh-CN"/>
        </w:rPr>
        <w:t>1、法人或者非法人组织的营业执照等证明文件复印件（须加盖本单位章）或自然人的身份证明复印件;</w:t>
      </w:r>
    </w:p>
    <w:p w14:paraId="16B2FD3C">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eastAsia="zh-CN"/>
        </w:rPr>
        <w:t>2、法定代表人资格证明书；</w:t>
      </w:r>
    </w:p>
    <w:p w14:paraId="78915440">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3、法定代表人授权书；</w:t>
      </w:r>
    </w:p>
    <w:p w14:paraId="3B6C67D0">
      <w:pPr>
        <w:tabs>
          <w:tab w:val="left" w:pos="5580"/>
        </w:tabs>
        <w:spacing w:line="500" w:lineRule="atLeast"/>
        <w:ind w:left="1" w:firstLine="571" w:firstLineChars="235"/>
        <w:rPr>
          <w:color w:val="auto"/>
          <w:highlight w:val="none"/>
          <w:lang w:eastAsia="zh-CN"/>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lang w:eastAsia="zh-CN"/>
        </w:rPr>
        <w:t>、参加政府采购活动前3年内在经营活动中没有重大违法记录的书面声明;</w:t>
      </w:r>
    </w:p>
    <w:p w14:paraId="57C3E390">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lang w:eastAsia="zh-CN"/>
        </w:rPr>
        <w:t>、投标保证金缴纳凭证或投标担保函；</w:t>
      </w:r>
    </w:p>
    <w:p w14:paraId="7443F481">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lang w:eastAsia="zh-CN"/>
        </w:rPr>
        <w:t>、投标企业须提供供应商（被授权本单位在职人员）近6个月内任意1个月的有效社保证明;</w:t>
      </w:r>
    </w:p>
    <w:p w14:paraId="1FBBD279">
      <w:pPr>
        <w:tabs>
          <w:tab w:val="left" w:pos="5580"/>
        </w:tabs>
        <w:spacing w:line="500" w:lineRule="atLeast"/>
        <w:ind w:left="1" w:firstLine="571" w:firstLineChars="235"/>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7、所投产品属于第二类医疗器械的，投标企业须提供有效的行政主管部门颁发的医疗器械经营备案凭证（或医疗器械生产许可证或医疗器械经营许可证）；所投产品属于第三类医疗器械的，须提供有效的行政主管部门颁发的医疗器械生产许可证（或医疗器械经营许可证）。</w:t>
      </w:r>
    </w:p>
    <w:p w14:paraId="032356C5">
      <w:pPr>
        <w:tabs>
          <w:tab w:val="left" w:pos="5580"/>
        </w:tabs>
        <w:spacing w:line="500" w:lineRule="atLeast"/>
        <w:ind w:left="1" w:firstLine="571" w:firstLineChars="235"/>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color w:val="auto"/>
          <w:highlight w:val="none"/>
          <w:lang w:eastAsia="zh-CN"/>
        </w:rPr>
        <w:t>。</w:t>
      </w:r>
    </w:p>
    <w:p w14:paraId="03330368">
      <w:pPr>
        <w:tabs>
          <w:tab w:val="left" w:pos="5580"/>
        </w:tabs>
        <w:spacing w:line="500" w:lineRule="atLeast"/>
        <w:ind w:left="1" w:firstLine="571" w:firstLineChars="235"/>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、供应商须知资料表要求的其他资格证明文件;</w:t>
      </w:r>
    </w:p>
    <w:p w14:paraId="2792424F">
      <w:pPr>
        <w:pStyle w:val="7"/>
        <w:numPr>
          <w:ilvl w:val="0"/>
          <w:numId w:val="0"/>
        </w:numPr>
        <w:kinsoku w:val="0"/>
        <w:overflowPunct w:val="0"/>
        <w:spacing w:before="130" w:line="355" w:lineRule="auto"/>
        <w:ind w:left="480" w:right="7"/>
        <w:jc w:val="center"/>
        <w:rPr>
          <w:rFonts w:ascii="仿宋" w:hAnsi="仿宋" w:eastAsia="仿宋" w:cs="仿宋"/>
          <w:b/>
          <w:bCs/>
          <w:color w:val="auto"/>
          <w:sz w:val="36"/>
          <w:szCs w:val="36"/>
          <w:highlight w:val="none"/>
          <w:lang w:eastAsia="zh-CN"/>
        </w:rPr>
      </w:pPr>
    </w:p>
    <w:p w14:paraId="00673B13">
      <w:pPr>
        <w:pStyle w:val="32"/>
        <w:rPr>
          <w:rFonts w:ascii="仿宋" w:hAnsi="仿宋" w:eastAsia="仿宋" w:cs="仿宋"/>
          <w:b/>
          <w:bCs/>
          <w:color w:val="auto"/>
          <w:sz w:val="36"/>
          <w:szCs w:val="36"/>
          <w:highlight w:val="none"/>
          <w:lang w:eastAsia="zh-CN"/>
        </w:rPr>
      </w:pPr>
    </w:p>
    <w:p w14:paraId="4BFE82CA">
      <w:pPr>
        <w:pStyle w:val="7"/>
        <w:numPr>
          <w:ilvl w:val="0"/>
          <w:numId w:val="0"/>
        </w:numPr>
        <w:kinsoku w:val="0"/>
        <w:overflowPunct w:val="0"/>
        <w:spacing w:before="34" w:line="440" w:lineRule="exact"/>
        <w:ind w:left="480" w:right="126"/>
        <w:jc w:val="center"/>
        <w:rPr>
          <w:rFonts w:hint="eastAsia" w:ascii="仿宋" w:hAnsi="仿宋" w:eastAsia="仿宋" w:cs="仿宋"/>
          <w:b/>
          <w:bCs/>
          <w:color w:val="auto"/>
          <w:sz w:val="36"/>
          <w:szCs w:val="36"/>
          <w:highlight w:val="none"/>
          <w:lang w:eastAsia="zh-CN"/>
        </w:rPr>
      </w:pPr>
      <w:bookmarkStart w:id="71" w:name="_Toc515647805"/>
      <w:bookmarkStart w:id="72" w:name="_Toc17577"/>
      <w:bookmarkStart w:id="73" w:name="_Toc4844"/>
      <w:bookmarkStart w:id="74" w:name="_Toc29899"/>
    </w:p>
    <w:p w14:paraId="6C16FEAF">
      <w:pPr>
        <w:rPr>
          <w:rFonts w:hint="eastAsia" w:ascii="仿宋" w:hAnsi="仿宋" w:eastAsia="仿宋" w:cs="仿宋"/>
          <w:b/>
          <w:bCs/>
          <w:color w:val="auto"/>
          <w:sz w:val="36"/>
          <w:szCs w:val="36"/>
          <w:highlight w:val="none"/>
          <w:lang w:eastAsia="zh-CN"/>
        </w:rPr>
      </w:pPr>
    </w:p>
    <w:p w14:paraId="6C6402F6">
      <w:pPr>
        <w:pStyle w:val="5"/>
        <w:rPr>
          <w:rFonts w:hint="eastAsia" w:ascii="仿宋" w:hAnsi="仿宋" w:eastAsia="仿宋" w:cs="仿宋"/>
          <w:b/>
          <w:bCs/>
          <w:color w:val="auto"/>
          <w:sz w:val="36"/>
          <w:szCs w:val="36"/>
          <w:highlight w:val="none"/>
          <w:lang w:eastAsia="zh-CN"/>
        </w:rPr>
      </w:pPr>
    </w:p>
    <w:p w14:paraId="4E77B7B4">
      <w:pPr>
        <w:pStyle w:val="6"/>
        <w:rPr>
          <w:rFonts w:hint="eastAsia" w:ascii="仿宋" w:hAnsi="仿宋" w:eastAsia="仿宋" w:cs="仿宋"/>
          <w:b/>
          <w:bCs/>
          <w:color w:val="auto"/>
          <w:sz w:val="36"/>
          <w:szCs w:val="36"/>
          <w:highlight w:val="none"/>
          <w:lang w:eastAsia="zh-CN"/>
        </w:rPr>
      </w:pPr>
    </w:p>
    <w:p w14:paraId="388AE047">
      <w:pPr>
        <w:rPr>
          <w:rFonts w:hint="eastAsia" w:ascii="仿宋" w:hAnsi="仿宋" w:eastAsia="仿宋" w:cs="仿宋"/>
          <w:b/>
          <w:bCs/>
          <w:color w:val="auto"/>
          <w:sz w:val="36"/>
          <w:szCs w:val="36"/>
          <w:highlight w:val="none"/>
          <w:lang w:eastAsia="zh-CN"/>
        </w:rPr>
      </w:pPr>
    </w:p>
    <w:p w14:paraId="6DFE083A">
      <w:pPr>
        <w:pStyle w:val="5"/>
        <w:rPr>
          <w:rFonts w:hint="eastAsia" w:ascii="仿宋" w:hAnsi="仿宋" w:eastAsia="仿宋" w:cs="仿宋"/>
          <w:b/>
          <w:bCs/>
          <w:color w:val="auto"/>
          <w:sz w:val="36"/>
          <w:szCs w:val="36"/>
          <w:highlight w:val="none"/>
          <w:lang w:eastAsia="zh-CN"/>
        </w:rPr>
      </w:pPr>
    </w:p>
    <w:p w14:paraId="2B32D1FD">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 法人或者非法人组织的营业执照等证明文件</w:t>
      </w:r>
      <w:bookmarkEnd w:id="71"/>
      <w:bookmarkStart w:id="75" w:name="_Toc515647806"/>
      <w:r>
        <w:rPr>
          <w:rFonts w:hint="eastAsia" w:ascii="仿宋" w:hAnsi="仿宋" w:eastAsia="仿宋" w:cs="仿宋"/>
          <w:b/>
          <w:bCs/>
          <w:color w:val="auto"/>
          <w:sz w:val="36"/>
          <w:szCs w:val="36"/>
          <w:highlight w:val="none"/>
          <w:lang w:eastAsia="zh-CN"/>
        </w:rPr>
        <w:t>或自然人的身份证明</w:t>
      </w:r>
      <w:bookmarkEnd w:id="72"/>
      <w:bookmarkEnd w:id="73"/>
      <w:bookmarkEnd w:id="74"/>
      <w:bookmarkEnd w:id="75"/>
    </w:p>
    <w:p w14:paraId="5A3C8F27">
      <w:pPr>
        <w:pStyle w:val="10"/>
        <w:tabs>
          <w:tab w:val="left" w:pos="5580"/>
        </w:tabs>
        <w:spacing w:line="400" w:lineRule="exact"/>
        <w:ind w:left="1164" w:leftChars="257" w:hanging="540"/>
        <w:jc w:val="center"/>
        <w:rPr>
          <w:rFonts w:ascii="仿宋" w:hAnsi="仿宋" w:eastAsia="仿宋" w:cs="仿宋"/>
          <w:b/>
          <w:color w:val="auto"/>
          <w:highlight w:val="none"/>
          <w:lang w:eastAsia="zh-CN"/>
        </w:rPr>
      </w:pPr>
    </w:p>
    <w:p w14:paraId="5B547EEF">
      <w:pPr>
        <w:pStyle w:val="10"/>
        <w:tabs>
          <w:tab w:val="left" w:pos="5580"/>
        </w:tabs>
        <w:spacing w:line="400" w:lineRule="exact"/>
        <w:ind w:left="1164" w:leftChars="257" w:hanging="540"/>
        <w:rPr>
          <w:rFonts w:ascii="仿宋" w:hAnsi="仿宋" w:eastAsia="仿宋" w:cs="仿宋"/>
          <w:b/>
          <w:color w:val="auto"/>
          <w:highlight w:val="none"/>
          <w:lang w:eastAsia="zh-CN"/>
        </w:rPr>
      </w:pPr>
    </w:p>
    <w:p w14:paraId="11B7B396">
      <w:pPr>
        <w:pStyle w:val="10"/>
        <w:tabs>
          <w:tab w:val="left" w:pos="5580"/>
        </w:tabs>
        <w:spacing w:line="400" w:lineRule="exact"/>
        <w:ind w:left="1164" w:leftChars="257" w:hanging="540"/>
        <w:rPr>
          <w:rFonts w:ascii="仿宋" w:hAnsi="仿宋" w:eastAsia="仿宋" w:cs="仿宋"/>
          <w:b/>
          <w:color w:val="auto"/>
          <w:highlight w:val="none"/>
          <w:lang w:eastAsia="zh-CN"/>
        </w:rPr>
      </w:pPr>
    </w:p>
    <w:p w14:paraId="57EBDAF6">
      <w:pPr>
        <w:pStyle w:val="10"/>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说明：1.提供有效的营业执照等证明文件复印件，复印件上应加盖本单位章。</w:t>
      </w:r>
    </w:p>
    <w:p w14:paraId="4D3DD073">
      <w:pPr>
        <w:pStyle w:val="10"/>
        <w:tabs>
          <w:tab w:val="left" w:pos="5580"/>
        </w:tabs>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2.供应商为自然人的，应提供身份证明的复印件。</w:t>
      </w:r>
    </w:p>
    <w:p w14:paraId="1B077434">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2F522C1E">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42F49894">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6809E5DD">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0CAF2240">
      <w:pPr>
        <w:pStyle w:val="7"/>
        <w:numPr>
          <w:ilvl w:val="0"/>
          <w:numId w:val="0"/>
        </w:numPr>
        <w:kinsoku w:val="0"/>
        <w:overflowPunct w:val="0"/>
        <w:spacing w:before="34" w:line="440" w:lineRule="exact"/>
        <w:ind w:left="480" w:right="126"/>
        <w:jc w:val="center"/>
        <w:rPr>
          <w:rFonts w:ascii="仿宋" w:hAnsi="仿宋" w:eastAsia="仿宋" w:cs="仿宋"/>
          <w:b/>
          <w:bCs/>
          <w:color w:val="auto"/>
          <w:sz w:val="36"/>
          <w:szCs w:val="36"/>
          <w:highlight w:val="none"/>
          <w:lang w:eastAsia="zh-CN"/>
        </w:rPr>
      </w:pPr>
    </w:p>
    <w:p w14:paraId="6EA42051">
      <w:pPr>
        <w:pStyle w:val="7"/>
        <w:numPr>
          <w:ilvl w:val="0"/>
          <w:numId w:val="0"/>
        </w:numPr>
        <w:kinsoku w:val="0"/>
        <w:overflowPunct w:val="0"/>
        <w:spacing w:before="34" w:line="440" w:lineRule="exact"/>
        <w:ind w:right="126"/>
        <w:jc w:val="both"/>
        <w:rPr>
          <w:rFonts w:ascii="仿宋" w:hAnsi="仿宋" w:eastAsia="仿宋" w:cs="仿宋"/>
          <w:b/>
          <w:bCs/>
          <w:color w:val="auto"/>
          <w:sz w:val="36"/>
          <w:szCs w:val="36"/>
          <w:highlight w:val="none"/>
          <w:lang w:eastAsia="zh-CN"/>
        </w:rPr>
      </w:pPr>
    </w:p>
    <w:p w14:paraId="741D678C">
      <w:pPr>
        <w:rPr>
          <w:rFonts w:ascii="仿宋" w:hAnsi="仿宋" w:eastAsia="仿宋" w:cs="仿宋"/>
          <w:b/>
          <w:bCs/>
          <w:color w:val="auto"/>
          <w:sz w:val="36"/>
          <w:szCs w:val="36"/>
          <w:highlight w:val="none"/>
          <w:lang w:eastAsia="zh-CN"/>
        </w:rPr>
      </w:pPr>
    </w:p>
    <w:p w14:paraId="62ABFE44">
      <w:pPr>
        <w:pStyle w:val="32"/>
        <w:rPr>
          <w:rFonts w:ascii="仿宋" w:hAnsi="仿宋" w:eastAsia="仿宋" w:cs="仿宋"/>
          <w:b/>
          <w:bCs/>
          <w:color w:val="auto"/>
          <w:sz w:val="36"/>
          <w:szCs w:val="36"/>
          <w:highlight w:val="none"/>
          <w:lang w:eastAsia="zh-CN"/>
        </w:rPr>
      </w:pPr>
    </w:p>
    <w:p w14:paraId="16B8493E">
      <w:pPr>
        <w:pStyle w:val="32"/>
        <w:rPr>
          <w:rFonts w:ascii="仿宋" w:hAnsi="仿宋" w:eastAsia="仿宋" w:cs="仿宋"/>
          <w:b/>
          <w:bCs/>
          <w:color w:val="auto"/>
          <w:sz w:val="36"/>
          <w:szCs w:val="36"/>
          <w:highlight w:val="none"/>
          <w:lang w:eastAsia="zh-CN"/>
        </w:rPr>
      </w:pPr>
    </w:p>
    <w:p w14:paraId="0FFABD77">
      <w:pPr>
        <w:pStyle w:val="32"/>
        <w:rPr>
          <w:rFonts w:ascii="仿宋" w:hAnsi="仿宋" w:eastAsia="仿宋" w:cs="仿宋"/>
          <w:b/>
          <w:bCs/>
          <w:color w:val="auto"/>
          <w:sz w:val="36"/>
          <w:szCs w:val="36"/>
          <w:highlight w:val="none"/>
          <w:lang w:eastAsia="zh-CN"/>
        </w:rPr>
      </w:pPr>
    </w:p>
    <w:p w14:paraId="6E9C53D0">
      <w:pPr>
        <w:pStyle w:val="32"/>
        <w:rPr>
          <w:rFonts w:ascii="仿宋" w:hAnsi="仿宋" w:eastAsia="仿宋" w:cs="仿宋"/>
          <w:b/>
          <w:bCs/>
          <w:color w:val="auto"/>
          <w:sz w:val="36"/>
          <w:szCs w:val="36"/>
          <w:highlight w:val="none"/>
          <w:lang w:eastAsia="zh-CN"/>
        </w:rPr>
      </w:pPr>
    </w:p>
    <w:p w14:paraId="1AA8A766">
      <w:pPr>
        <w:pStyle w:val="32"/>
        <w:rPr>
          <w:rFonts w:ascii="仿宋" w:hAnsi="仿宋" w:eastAsia="仿宋" w:cs="仿宋"/>
          <w:b/>
          <w:bCs/>
          <w:color w:val="auto"/>
          <w:sz w:val="36"/>
          <w:szCs w:val="36"/>
          <w:highlight w:val="none"/>
          <w:lang w:eastAsia="zh-CN"/>
        </w:rPr>
      </w:pPr>
    </w:p>
    <w:p w14:paraId="355398F9">
      <w:pPr>
        <w:pStyle w:val="32"/>
        <w:rPr>
          <w:rFonts w:ascii="仿宋" w:hAnsi="仿宋" w:eastAsia="仿宋" w:cs="仿宋"/>
          <w:b/>
          <w:bCs/>
          <w:color w:val="auto"/>
          <w:sz w:val="36"/>
          <w:szCs w:val="36"/>
          <w:highlight w:val="none"/>
          <w:lang w:eastAsia="zh-CN"/>
        </w:rPr>
      </w:pPr>
    </w:p>
    <w:p w14:paraId="7BC4142E">
      <w:pPr>
        <w:pStyle w:val="32"/>
        <w:rPr>
          <w:rFonts w:ascii="仿宋" w:hAnsi="仿宋" w:eastAsia="仿宋" w:cs="仿宋"/>
          <w:b/>
          <w:bCs/>
          <w:color w:val="auto"/>
          <w:sz w:val="36"/>
          <w:szCs w:val="36"/>
          <w:highlight w:val="none"/>
          <w:lang w:eastAsia="zh-CN"/>
        </w:rPr>
      </w:pPr>
    </w:p>
    <w:p w14:paraId="1E86FA42">
      <w:pPr>
        <w:pStyle w:val="32"/>
        <w:rPr>
          <w:rFonts w:ascii="仿宋" w:hAnsi="仿宋" w:eastAsia="仿宋" w:cs="仿宋"/>
          <w:b/>
          <w:bCs/>
          <w:color w:val="auto"/>
          <w:sz w:val="36"/>
          <w:szCs w:val="36"/>
          <w:highlight w:val="none"/>
          <w:lang w:eastAsia="zh-CN"/>
        </w:rPr>
      </w:pPr>
    </w:p>
    <w:p w14:paraId="1FF18C79">
      <w:pPr>
        <w:pStyle w:val="32"/>
        <w:rPr>
          <w:rFonts w:ascii="仿宋" w:hAnsi="仿宋" w:eastAsia="仿宋" w:cs="仿宋"/>
          <w:b/>
          <w:bCs/>
          <w:color w:val="auto"/>
          <w:sz w:val="36"/>
          <w:szCs w:val="36"/>
          <w:highlight w:val="none"/>
          <w:lang w:eastAsia="zh-CN"/>
        </w:rPr>
      </w:pPr>
    </w:p>
    <w:p w14:paraId="3443DEED">
      <w:pPr>
        <w:pStyle w:val="32"/>
        <w:rPr>
          <w:rFonts w:ascii="仿宋" w:hAnsi="仿宋" w:eastAsia="仿宋" w:cs="仿宋"/>
          <w:b/>
          <w:bCs/>
          <w:color w:val="auto"/>
          <w:sz w:val="36"/>
          <w:szCs w:val="36"/>
          <w:highlight w:val="none"/>
          <w:lang w:eastAsia="zh-CN"/>
        </w:rPr>
      </w:pPr>
    </w:p>
    <w:p w14:paraId="13A4D351">
      <w:pPr>
        <w:pStyle w:val="32"/>
        <w:rPr>
          <w:rFonts w:ascii="仿宋" w:hAnsi="仿宋" w:eastAsia="仿宋" w:cs="仿宋"/>
          <w:b/>
          <w:bCs/>
          <w:color w:val="auto"/>
          <w:sz w:val="36"/>
          <w:szCs w:val="36"/>
          <w:highlight w:val="none"/>
          <w:lang w:eastAsia="zh-CN"/>
        </w:rPr>
      </w:pPr>
    </w:p>
    <w:p w14:paraId="34741C76">
      <w:pPr>
        <w:pStyle w:val="32"/>
        <w:rPr>
          <w:rFonts w:ascii="仿宋" w:hAnsi="仿宋" w:eastAsia="仿宋" w:cs="仿宋"/>
          <w:b/>
          <w:bCs/>
          <w:color w:val="auto"/>
          <w:sz w:val="36"/>
          <w:szCs w:val="36"/>
          <w:highlight w:val="none"/>
          <w:lang w:eastAsia="zh-CN"/>
        </w:rPr>
      </w:pPr>
    </w:p>
    <w:p w14:paraId="5BBA45E3">
      <w:pPr>
        <w:pStyle w:val="32"/>
        <w:rPr>
          <w:rFonts w:ascii="仿宋" w:hAnsi="仿宋" w:eastAsia="仿宋" w:cs="仿宋"/>
          <w:b/>
          <w:bCs/>
          <w:color w:val="auto"/>
          <w:sz w:val="36"/>
          <w:szCs w:val="36"/>
          <w:highlight w:val="none"/>
          <w:lang w:eastAsia="zh-CN"/>
        </w:rPr>
      </w:pPr>
    </w:p>
    <w:p w14:paraId="20DDF815">
      <w:pPr>
        <w:pStyle w:val="32"/>
        <w:rPr>
          <w:rFonts w:ascii="仿宋" w:hAnsi="仿宋" w:eastAsia="仿宋" w:cs="仿宋"/>
          <w:b/>
          <w:bCs/>
          <w:color w:val="auto"/>
          <w:sz w:val="36"/>
          <w:szCs w:val="36"/>
          <w:highlight w:val="none"/>
          <w:lang w:eastAsia="zh-CN"/>
        </w:rPr>
      </w:pPr>
    </w:p>
    <w:p w14:paraId="0596AFA0">
      <w:pPr>
        <w:pStyle w:val="32"/>
        <w:rPr>
          <w:rFonts w:ascii="仿宋" w:hAnsi="仿宋" w:eastAsia="仿宋" w:cs="仿宋"/>
          <w:b/>
          <w:bCs/>
          <w:color w:val="auto"/>
          <w:sz w:val="36"/>
          <w:szCs w:val="36"/>
          <w:highlight w:val="none"/>
          <w:lang w:eastAsia="zh-CN"/>
        </w:rPr>
      </w:pPr>
    </w:p>
    <w:p w14:paraId="547105D3">
      <w:pPr>
        <w:pStyle w:val="32"/>
        <w:rPr>
          <w:rFonts w:ascii="仿宋" w:hAnsi="仿宋" w:eastAsia="仿宋" w:cs="仿宋"/>
          <w:b/>
          <w:bCs/>
          <w:color w:val="auto"/>
          <w:sz w:val="36"/>
          <w:szCs w:val="36"/>
          <w:highlight w:val="none"/>
          <w:lang w:eastAsia="zh-CN"/>
        </w:rPr>
      </w:pPr>
    </w:p>
    <w:p w14:paraId="1104B490">
      <w:pPr>
        <w:pStyle w:val="7"/>
        <w:numPr>
          <w:ilvl w:val="0"/>
          <w:numId w:val="0"/>
        </w:numPr>
        <w:kinsoku w:val="0"/>
        <w:overflowPunct w:val="0"/>
        <w:spacing w:before="34" w:line="440" w:lineRule="exact"/>
        <w:ind w:left="480" w:right="126"/>
        <w:jc w:val="center"/>
        <w:rPr>
          <w:rFonts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2、法定代表人资格证明书</w:t>
      </w:r>
    </w:p>
    <w:p w14:paraId="34F07731">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投标单位名称：</w:t>
      </w:r>
      <w:r>
        <w:rPr>
          <w:rFonts w:hint="eastAsia" w:ascii="仿宋" w:hAnsi="仿宋" w:eastAsia="仿宋" w:cs="仿宋"/>
          <w:color w:val="auto"/>
          <w:highlight w:val="none"/>
          <w:u w:val="single"/>
          <w:lang w:eastAsia="zh-CN"/>
        </w:rPr>
        <w:t xml:space="preserve">                       </w:t>
      </w:r>
    </w:p>
    <w:p w14:paraId="1F163F2D">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单位性质：</w:t>
      </w:r>
      <w:r>
        <w:rPr>
          <w:rFonts w:hint="eastAsia" w:ascii="仿宋" w:hAnsi="仿宋" w:eastAsia="仿宋" w:cs="仿宋"/>
          <w:color w:val="auto"/>
          <w:highlight w:val="none"/>
          <w:u w:val="single"/>
          <w:lang w:eastAsia="zh-CN"/>
        </w:rPr>
        <w:t xml:space="preserve">                           </w:t>
      </w:r>
    </w:p>
    <w:p w14:paraId="30C4681C">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地址：</w:t>
      </w:r>
      <w:r>
        <w:rPr>
          <w:rFonts w:hint="eastAsia" w:ascii="仿宋" w:hAnsi="仿宋" w:eastAsia="仿宋" w:cs="仿宋"/>
          <w:color w:val="auto"/>
          <w:highlight w:val="none"/>
          <w:u w:val="single"/>
          <w:lang w:eastAsia="zh-CN"/>
        </w:rPr>
        <w:t xml:space="preserve">                               </w:t>
      </w:r>
    </w:p>
    <w:p w14:paraId="3E93B973">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成立时间：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2E9C29C9">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经营期限：</w:t>
      </w:r>
      <w:r>
        <w:rPr>
          <w:rFonts w:hint="eastAsia" w:ascii="仿宋" w:hAnsi="仿宋" w:eastAsia="仿宋" w:cs="仿宋"/>
          <w:color w:val="auto"/>
          <w:highlight w:val="none"/>
          <w:u w:val="single"/>
          <w:lang w:eastAsia="zh-CN"/>
        </w:rPr>
        <w:t xml:space="preserve">             </w:t>
      </w:r>
    </w:p>
    <w:p w14:paraId="68054078">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性别：</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年龄：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职务：</w:t>
      </w:r>
      <w:r>
        <w:rPr>
          <w:rFonts w:hint="eastAsia" w:ascii="仿宋" w:hAnsi="仿宋" w:eastAsia="仿宋" w:cs="仿宋"/>
          <w:color w:val="auto"/>
          <w:highlight w:val="none"/>
          <w:u w:val="single"/>
          <w:lang w:eastAsia="zh-CN"/>
        </w:rPr>
        <w:t xml:space="preserve">           </w:t>
      </w:r>
    </w:p>
    <w:p w14:paraId="7D7AE426">
      <w:pPr>
        <w:spacing w:line="420" w:lineRule="exact"/>
        <w:ind w:firstLine="486" w:firstLineChars="20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身份证号码：</w:t>
      </w:r>
      <w:r>
        <w:rPr>
          <w:rFonts w:hint="eastAsia" w:ascii="仿宋" w:hAnsi="仿宋" w:eastAsia="仿宋" w:cs="仿宋"/>
          <w:color w:val="auto"/>
          <w:highlight w:val="none"/>
          <w:u w:val="single"/>
          <w:lang w:eastAsia="zh-CN"/>
        </w:rPr>
        <w:t xml:space="preserve">                                                     </w:t>
      </w:r>
    </w:p>
    <w:p w14:paraId="01362471">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系</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（投标单位名称）的法定代表人。</w:t>
      </w:r>
    </w:p>
    <w:p w14:paraId="79855901">
      <w:pPr>
        <w:spacing w:line="420" w:lineRule="exact"/>
        <w:ind w:firstLine="972" w:firstLineChars="400"/>
        <w:rPr>
          <w:rFonts w:ascii="仿宋" w:hAnsi="仿宋" w:eastAsia="仿宋" w:cs="仿宋"/>
          <w:color w:val="auto"/>
          <w:highlight w:val="none"/>
        </w:rPr>
      </w:pPr>
      <w:r>
        <w:rPr>
          <w:rFonts w:hint="eastAsia" w:ascii="仿宋" w:hAnsi="仿宋" w:eastAsia="仿宋" w:cs="仿宋"/>
          <w:color w:val="auto"/>
          <w:highlight w:val="none"/>
        </w:rPr>
        <w:t>特此证明。</w:t>
      </w:r>
    </w:p>
    <w:p w14:paraId="1D334F35">
      <w:pPr>
        <w:pStyle w:val="7"/>
        <w:numPr>
          <w:ilvl w:val="0"/>
          <w:numId w:val="0"/>
        </w:numPr>
        <w:kinsoku w:val="0"/>
        <w:overflowPunct w:val="0"/>
        <w:rPr>
          <w:rFonts w:ascii="仿宋" w:hAnsi="仿宋" w:eastAsia="仿宋" w:cs="仿宋"/>
          <w:color w:val="auto"/>
          <w:sz w:val="20"/>
          <w:szCs w:val="20"/>
          <w:highlight w:val="none"/>
        </w:rPr>
      </w:pPr>
      <w:r>
        <w:rPr>
          <w:color w:val="auto"/>
          <w:sz w:val="25"/>
          <w:highlight w:val="none"/>
        </w:rPr>
        <mc:AlternateContent>
          <mc:Choice Requires="wps">
            <w:drawing>
              <wp:anchor distT="0" distB="0" distL="114300" distR="114300" simplePos="0" relativeHeight="251660288" behindDoc="0" locked="0" layoutInCell="1" allowOverlap="1">
                <wp:simplePos x="0" y="0"/>
                <wp:positionH relativeFrom="column">
                  <wp:posOffset>2991485</wp:posOffset>
                </wp:positionH>
                <wp:positionV relativeFrom="paragraph">
                  <wp:posOffset>194945</wp:posOffset>
                </wp:positionV>
                <wp:extent cx="2363470" cy="1403350"/>
                <wp:effectExtent l="5080" t="4445" r="12700" b="20955"/>
                <wp:wrapSquare wrapText="bothSides"/>
                <wp:docPr id="1" name="自选图形 77"/>
                <wp:cNvGraphicFramePr/>
                <a:graphic xmlns:a="http://schemas.openxmlformats.org/drawingml/2006/main">
                  <a:graphicData uri="http://schemas.microsoft.com/office/word/2010/wordprocessingShape">
                    <wps:wsp>
                      <wps:cNvSpPr/>
                      <wps:spPr>
                        <a:xfrm>
                          <a:off x="0" y="0"/>
                          <a:ext cx="2363470"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A8EBE39">
                            <w:pPr>
                              <w:jc w:val="center"/>
                              <w:rPr>
                                <w:rFonts w:hint="eastAsia" w:ascii="仿宋" w:hAnsi="仿宋" w:eastAsia="仿宋" w:cs="仿宋"/>
                                <w:sz w:val="24"/>
                                <w:szCs w:val="24"/>
                              </w:rPr>
                            </w:pPr>
                          </w:p>
                          <w:p w14:paraId="0426CA3F">
                            <w:pPr>
                              <w:jc w:val="center"/>
                              <w:rPr>
                                <w:rFonts w:hint="eastAsia" w:ascii="仿宋" w:hAnsi="仿宋" w:eastAsia="仿宋" w:cs="仿宋"/>
                                <w:sz w:val="24"/>
                                <w:szCs w:val="24"/>
                              </w:rPr>
                            </w:pPr>
                          </w:p>
                          <w:p w14:paraId="1C065946">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4A7F9E89"/>
                        </w:txbxContent>
                      </wps:txbx>
                      <wps:bodyPr upright="1"/>
                    </wps:wsp>
                  </a:graphicData>
                </a:graphic>
              </wp:anchor>
            </w:drawing>
          </mc:Choice>
          <mc:Fallback>
            <w:pict>
              <v:roundrect id="自选图形 77" o:spid="_x0000_s1026" o:spt="2" style="position:absolute;left:0pt;margin-left:235.55pt;margin-top:15.35pt;height:110.5pt;width:186.1pt;mso-wrap-distance-bottom:0pt;mso-wrap-distance-left:9pt;mso-wrap-distance-right:9pt;mso-wrap-distance-top:0pt;z-index:251660288;mso-width-relative:page;mso-height-relative:page;" fillcolor="#FFFFFF" filled="t" stroked="t" coordsize="21600,21600" arcsize="0.166666666666667" o:gfxdata="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GPn&#10;fv/XAAAACgEAAA8AAAAAAAAAAQAgAAAAIgAAAGRycy9kb3ducmV2LnhtbFBLAQIUABQAAAAIAIdO&#10;4kCi5g+wJAIAAFgEAAAOAAAAAAAAAAEAIAAAACYBAABkcnMvZTJvRG9jLnhtbFBLBQYAAAAABgAG&#10;AFkBAAC8BQAAAAA=&#10;">
                <v:fill on="t" focussize="0,0"/>
                <v:stroke color="#000000" joinstyle="round"/>
                <v:imagedata o:title=""/>
                <o:lock v:ext="edit" aspectratio="f"/>
                <v:textbox>
                  <w:txbxContent>
                    <w:p w14:paraId="1A8EBE39">
                      <w:pPr>
                        <w:jc w:val="center"/>
                        <w:rPr>
                          <w:rFonts w:hint="eastAsia" w:ascii="仿宋" w:hAnsi="仿宋" w:eastAsia="仿宋" w:cs="仿宋"/>
                          <w:sz w:val="24"/>
                          <w:szCs w:val="24"/>
                        </w:rPr>
                      </w:pPr>
                    </w:p>
                    <w:p w14:paraId="0426CA3F">
                      <w:pPr>
                        <w:jc w:val="center"/>
                        <w:rPr>
                          <w:rFonts w:hint="eastAsia" w:ascii="仿宋" w:hAnsi="仿宋" w:eastAsia="仿宋" w:cs="仿宋"/>
                          <w:sz w:val="24"/>
                          <w:szCs w:val="24"/>
                        </w:rPr>
                      </w:pPr>
                    </w:p>
                    <w:p w14:paraId="1C065946">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w:t>
                      </w:r>
                      <w:r>
                        <w:rPr>
                          <w:rFonts w:hint="eastAsia" w:ascii="仿宋" w:hAnsi="仿宋" w:eastAsia="仿宋" w:cs="仿宋"/>
                          <w:sz w:val="24"/>
                          <w:szCs w:val="24"/>
                          <w:lang w:val="en-US" w:eastAsia="zh-CN"/>
                        </w:rPr>
                        <w:t>反</w:t>
                      </w:r>
                      <w:r>
                        <w:rPr>
                          <w:rFonts w:hint="eastAsia" w:ascii="仿宋" w:hAnsi="仿宋" w:eastAsia="仿宋" w:cs="仿宋"/>
                          <w:sz w:val="24"/>
                          <w:szCs w:val="24"/>
                        </w:rPr>
                        <w:t>面</w:t>
                      </w:r>
                    </w:p>
                    <w:p w14:paraId="4A7F9E89"/>
                  </w:txbxContent>
                </v:textbox>
                <w10:wrap type="square"/>
              </v:roundrect>
            </w:pict>
          </mc:Fallback>
        </mc:AlternateContent>
      </w:r>
    </w:p>
    <w:p w14:paraId="1CDC2C71">
      <w:pPr>
        <w:pStyle w:val="7"/>
        <w:numPr>
          <w:ilvl w:val="0"/>
          <w:numId w:val="0"/>
        </w:numPr>
        <w:kinsoku w:val="0"/>
        <w:overflowPunct w:val="0"/>
        <w:spacing w:before="7"/>
        <w:rPr>
          <w:rFonts w:ascii="仿宋" w:hAnsi="仿宋" w:eastAsia="仿宋" w:cs="仿宋"/>
          <w:color w:val="auto"/>
          <w:sz w:val="25"/>
          <w:szCs w:val="25"/>
          <w:highlight w:val="none"/>
        </w:rPr>
      </w:pPr>
      <w:r>
        <w:rPr>
          <w:color w:val="auto"/>
          <w:sz w:val="25"/>
          <w:highlight w:val="none"/>
        </w:rPr>
        <mc:AlternateContent>
          <mc:Choice Requires="wps">
            <w:drawing>
              <wp:anchor distT="0" distB="0" distL="114300" distR="114300" simplePos="0" relativeHeight="251666432" behindDoc="1" locked="0" layoutInCell="1" allowOverlap="1">
                <wp:simplePos x="0" y="0"/>
                <wp:positionH relativeFrom="column">
                  <wp:posOffset>336550</wp:posOffset>
                </wp:positionH>
                <wp:positionV relativeFrom="paragraph">
                  <wp:posOffset>17145</wp:posOffset>
                </wp:positionV>
                <wp:extent cx="2371725" cy="1403350"/>
                <wp:effectExtent l="5080" t="5080" r="4445" b="20320"/>
                <wp:wrapTight wrapText="bothSides">
                  <wp:wrapPolygon>
                    <wp:start x="20682" y="-2"/>
                    <wp:lineTo x="909" y="0"/>
                    <wp:lineTo x="0" y="1611"/>
                    <wp:lineTo x="0" y="3600"/>
                    <wp:lineTo x="0" y="18000"/>
                    <wp:lineTo x="0" y="19988"/>
                    <wp:lineTo x="909" y="21600"/>
                    <wp:lineTo x="20682" y="21602"/>
                    <wp:lineTo x="917" y="21602"/>
                    <wp:lineTo x="20690" y="21600"/>
                    <wp:lineTo x="21599" y="19988"/>
                    <wp:lineTo x="21599" y="18000"/>
                    <wp:lineTo x="21599" y="3600"/>
                    <wp:lineTo x="21599" y="1611"/>
                    <wp:lineTo x="20690" y="0"/>
                    <wp:lineTo x="917" y="-2"/>
                    <wp:lineTo x="20682" y="-2"/>
                  </wp:wrapPolygon>
                </wp:wrapTight>
                <wp:docPr id="5" name="自选图形 91"/>
                <wp:cNvGraphicFramePr/>
                <a:graphic xmlns:a="http://schemas.openxmlformats.org/drawingml/2006/main">
                  <a:graphicData uri="http://schemas.microsoft.com/office/word/2010/wordprocessingShape">
                    <wps:wsp>
                      <wps:cNvSpPr/>
                      <wps:spPr>
                        <a:xfrm>
                          <a:off x="0" y="0"/>
                          <a:ext cx="2371725" cy="1403350"/>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23CFB4A6">
                            <w:pPr>
                              <w:jc w:val="center"/>
                              <w:rPr>
                                <w:rFonts w:hint="eastAsia" w:ascii="仿宋" w:hAnsi="仿宋" w:eastAsia="仿宋" w:cs="仿宋"/>
                                <w:sz w:val="24"/>
                                <w:szCs w:val="24"/>
                              </w:rPr>
                            </w:pPr>
                          </w:p>
                          <w:p w14:paraId="6D6BDDD1">
                            <w:pPr>
                              <w:jc w:val="center"/>
                              <w:rPr>
                                <w:rFonts w:hint="eastAsia" w:ascii="仿宋" w:hAnsi="仿宋" w:eastAsia="仿宋" w:cs="仿宋"/>
                                <w:sz w:val="24"/>
                                <w:szCs w:val="24"/>
                              </w:rPr>
                            </w:pPr>
                          </w:p>
                          <w:p w14:paraId="5546D365">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429C8EFA"/>
                        </w:txbxContent>
                      </wps:txbx>
                      <wps:bodyPr upright="1"/>
                    </wps:wsp>
                  </a:graphicData>
                </a:graphic>
              </wp:anchor>
            </w:drawing>
          </mc:Choice>
          <mc:Fallback>
            <w:pict>
              <v:roundrect id="自选图形 91" o:spid="_x0000_s1026" o:spt="2" style="position:absolute;left:0pt;margin-left:26.5pt;margin-top:1.35pt;height:110.5pt;width:186.75pt;mso-wrap-distance-left:9pt;mso-wrap-distance-right:9pt;z-index:-251650048;mso-width-relative:page;mso-height-relative:page;" fillcolor="#FFFFFF" filled="t" stroked="t" coordsize="21600,21600" wrapcoords="20682 -2 909 0 0 1611 0 3600 0 18000 0 19988 909 21600 20682 21602 917 21602 20690 21600 21599 19988 21599 18000 21599 3600 21599 1611 20690 0 917 -2 20682 -2" arcsize="0.166666666666667" o:gfxdata="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R2rcKNUA&#10;AAAIAQAADwAAAAAAAAABACAAAAAiAAAAZHJzL2Rvd25yZXYueG1sUEsBAhQAFAAAAAgAh07iQM0g&#10;vGgiAgAAWAQAAA4AAAAAAAAAAQAgAAAAJAEAAGRycy9lMm9Eb2MueG1sUEsFBgAAAAAGAAYAWQEA&#10;ALgFAAAAAA==&#10;">
                <v:fill on="t" focussize="0,0"/>
                <v:stroke color="#000000" joinstyle="round"/>
                <v:imagedata o:title=""/>
                <o:lock v:ext="edit" aspectratio="f"/>
                <v:textbox>
                  <w:txbxContent>
                    <w:p w14:paraId="23CFB4A6">
                      <w:pPr>
                        <w:jc w:val="center"/>
                        <w:rPr>
                          <w:rFonts w:hint="eastAsia" w:ascii="仿宋" w:hAnsi="仿宋" w:eastAsia="仿宋" w:cs="仿宋"/>
                          <w:sz w:val="24"/>
                          <w:szCs w:val="24"/>
                        </w:rPr>
                      </w:pPr>
                    </w:p>
                    <w:p w14:paraId="6D6BDDD1">
                      <w:pPr>
                        <w:jc w:val="center"/>
                        <w:rPr>
                          <w:rFonts w:hint="eastAsia" w:ascii="仿宋" w:hAnsi="仿宋" w:eastAsia="仿宋" w:cs="仿宋"/>
                          <w:sz w:val="24"/>
                          <w:szCs w:val="24"/>
                        </w:rPr>
                      </w:pPr>
                    </w:p>
                    <w:p w14:paraId="5546D365">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429C8EFA"/>
                  </w:txbxContent>
                </v:textbox>
                <w10:wrap type="tight"/>
              </v:roundrect>
            </w:pict>
          </mc:Fallback>
        </mc:AlternateContent>
      </w:r>
    </w:p>
    <w:p w14:paraId="73210109">
      <w:pPr>
        <w:pStyle w:val="7"/>
        <w:numPr>
          <w:ilvl w:val="0"/>
          <w:numId w:val="0"/>
        </w:numPr>
        <w:kinsoku w:val="0"/>
        <w:overflowPunct w:val="0"/>
        <w:spacing w:line="200" w:lineRule="atLeast"/>
        <w:rPr>
          <w:rFonts w:ascii="仿宋" w:hAnsi="仿宋" w:eastAsia="仿宋" w:cs="仿宋"/>
          <w:color w:val="auto"/>
          <w:sz w:val="20"/>
          <w:szCs w:val="20"/>
          <w:highlight w:val="none"/>
        </w:rPr>
      </w:pPr>
    </w:p>
    <w:p w14:paraId="5BB43724">
      <w:pPr>
        <w:wordWrap w:val="0"/>
        <w:spacing w:line="420" w:lineRule="exact"/>
        <w:ind w:firstLine="486" w:firstLineChars="200"/>
        <w:jc w:val="right"/>
        <w:rPr>
          <w:rFonts w:ascii="仿宋" w:hAnsi="仿宋" w:eastAsia="仿宋" w:cs="仿宋"/>
          <w:color w:val="auto"/>
          <w:highlight w:val="none"/>
        </w:rPr>
      </w:pPr>
    </w:p>
    <w:p w14:paraId="37384DF9">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63D4F786">
      <w:pPr>
        <w:pStyle w:val="7"/>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693ECE43">
      <w:pPr>
        <w:pStyle w:val="7"/>
        <w:numPr>
          <w:ilvl w:val="0"/>
          <w:numId w:val="0"/>
        </w:numPr>
        <w:kinsoku w:val="0"/>
        <w:overflowPunct w:val="0"/>
        <w:spacing w:before="34" w:line="357" w:lineRule="auto"/>
        <w:ind w:right="126"/>
        <w:jc w:val="both"/>
        <w:rPr>
          <w:rFonts w:hint="eastAsia" w:ascii="仿宋" w:hAnsi="仿宋" w:eastAsia="仿宋" w:cs="仿宋"/>
          <w:color w:val="auto"/>
          <w:sz w:val="24"/>
          <w:highlight w:val="none"/>
          <w:lang w:eastAsia="zh-CN"/>
        </w:rPr>
      </w:pPr>
    </w:p>
    <w:p w14:paraId="4BB20391">
      <w:pPr>
        <w:pStyle w:val="7"/>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投标单位名称：                       （公章）</w:t>
      </w:r>
    </w:p>
    <w:p w14:paraId="54AB7A9E">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r>
        <w:rPr>
          <w:rFonts w:hint="eastAsia" w:ascii="仿宋" w:hAnsi="仿宋" w:eastAsia="仿宋" w:cs="仿宋"/>
          <w:color w:val="auto"/>
          <w:sz w:val="24"/>
          <w:highlight w:val="none"/>
          <w:lang w:eastAsia="zh-CN"/>
        </w:rPr>
        <w:t xml:space="preserve">法定代表人（签字或盖章）：           </w:t>
      </w:r>
      <w:r>
        <w:rPr>
          <w:rFonts w:hint="eastAsia" w:ascii="仿宋" w:hAnsi="仿宋" w:eastAsia="仿宋" w:cs="仿宋"/>
          <w:color w:val="auto"/>
          <w:highlight w:val="none"/>
          <w:lang w:eastAsia="zh-CN"/>
        </w:rPr>
        <w:t xml:space="preserve">      </w:t>
      </w:r>
    </w:p>
    <w:p w14:paraId="2C941DB2">
      <w:pPr>
        <w:pStyle w:val="7"/>
        <w:numPr>
          <w:ilvl w:val="0"/>
          <w:numId w:val="0"/>
        </w:numPr>
        <w:kinsoku w:val="0"/>
        <w:overflowPunct w:val="0"/>
        <w:spacing w:before="34" w:line="357" w:lineRule="auto"/>
        <w:ind w:right="126"/>
        <w:jc w:val="both"/>
        <w:rPr>
          <w:rFonts w:ascii="仿宋" w:hAnsi="仿宋" w:eastAsia="仿宋" w:cs="仿宋"/>
          <w:color w:val="auto"/>
          <w:highlight w:val="none"/>
          <w:lang w:eastAsia="zh-CN"/>
        </w:rPr>
      </w:pPr>
    </w:p>
    <w:p w14:paraId="1F2E4330">
      <w:pPr>
        <w:pStyle w:val="7"/>
        <w:numPr>
          <w:ilvl w:val="0"/>
          <w:numId w:val="0"/>
        </w:numPr>
        <w:kinsoku w:val="0"/>
        <w:overflowPunct w:val="0"/>
        <w:spacing w:before="34" w:line="357" w:lineRule="auto"/>
        <w:ind w:right="126"/>
        <w:jc w:val="both"/>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日  期：   年  月  日</w:t>
      </w:r>
    </w:p>
    <w:p w14:paraId="52C663AE">
      <w:pPr>
        <w:pStyle w:val="7"/>
        <w:numPr>
          <w:ilvl w:val="0"/>
          <w:numId w:val="0"/>
        </w:numPr>
        <w:kinsoku w:val="0"/>
        <w:overflowPunct w:val="0"/>
        <w:spacing w:before="34" w:line="357" w:lineRule="auto"/>
        <w:ind w:left="480" w:right="126"/>
        <w:jc w:val="center"/>
        <w:rPr>
          <w:rFonts w:hint="eastAsia" w:ascii="仿宋" w:hAnsi="仿宋" w:eastAsia="仿宋" w:cs="仿宋"/>
          <w:b/>
          <w:bCs/>
          <w:color w:val="auto"/>
          <w:sz w:val="36"/>
          <w:szCs w:val="36"/>
          <w:highlight w:val="none"/>
          <w:lang w:eastAsia="zh-CN"/>
        </w:rPr>
      </w:pPr>
      <w:r>
        <w:rPr>
          <w:rFonts w:hint="eastAsia" w:ascii="仿宋" w:hAnsi="仿宋" w:eastAsia="仿宋" w:cs="仿宋"/>
          <w:color w:val="auto"/>
          <w:highlight w:val="none"/>
          <w:lang w:eastAsia="zh-CN"/>
        </w:rPr>
        <w:br w:type="page"/>
      </w:r>
      <w:r>
        <w:rPr>
          <w:rFonts w:hint="eastAsia" w:ascii="仿宋" w:hAnsi="仿宋" w:eastAsia="仿宋" w:cs="仿宋"/>
          <w:b/>
          <w:bCs/>
          <w:color w:val="auto"/>
          <w:sz w:val="36"/>
          <w:szCs w:val="36"/>
          <w:highlight w:val="none"/>
          <w:lang w:eastAsia="zh-CN"/>
        </w:rPr>
        <w:t>3、法定代表人授权书</w:t>
      </w:r>
    </w:p>
    <w:p w14:paraId="6D373EAA">
      <w:pPr>
        <w:spacing w:line="42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eastAsia="zh-CN"/>
        </w:rPr>
        <w:t xml:space="preserve">采购人名称） </w:t>
      </w:r>
    </w:p>
    <w:p w14:paraId="59FDFF85">
      <w:pPr>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本授权书声明：注册于</w:t>
      </w:r>
      <w:r>
        <w:rPr>
          <w:rFonts w:hint="eastAsia" w:ascii="仿宋" w:hAnsi="仿宋" w:eastAsia="仿宋" w:cs="仿宋"/>
          <w:color w:val="auto"/>
          <w:highlight w:val="none"/>
          <w:u w:val="single"/>
          <w:lang w:eastAsia="zh-CN"/>
        </w:rPr>
        <w:t>（供应商地址）</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（供应商名称）</w:t>
      </w:r>
      <w:r>
        <w:rPr>
          <w:rFonts w:hint="eastAsia" w:ascii="仿宋" w:hAnsi="仿宋" w:eastAsia="仿宋" w:cs="仿宋"/>
          <w:color w:val="auto"/>
          <w:highlight w:val="none"/>
          <w:lang w:eastAsia="zh-CN"/>
        </w:rPr>
        <w:t>法定代表人（负责人）</w:t>
      </w:r>
      <w:r>
        <w:rPr>
          <w:rFonts w:hint="eastAsia" w:ascii="仿宋" w:hAnsi="仿宋" w:eastAsia="仿宋" w:cs="仿宋"/>
          <w:color w:val="auto"/>
          <w:highlight w:val="none"/>
          <w:u w:val="single"/>
          <w:lang w:eastAsia="zh-CN"/>
        </w:rPr>
        <w:t>姓名、职务或职称）</w:t>
      </w:r>
      <w:r>
        <w:rPr>
          <w:rFonts w:hint="eastAsia" w:ascii="仿宋" w:hAnsi="仿宋" w:eastAsia="仿宋" w:cs="仿宋"/>
          <w:color w:val="auto"/>
          <w:highlight w:val="none"/>
          <w:lang w:eastAsia="zh-CN"/>
        </w:rPr>
        <w:t>代表本公司授权</w:t>
      </w:r>
      <w:r>
        <w:rPr>
          <w:rFonts w:hint="eastAsia" w:ascii="仿宋" w:hAnsi="仿宋" w:eastAsia="仿宋" w:cs="仿宋"/>
          <w:color w:val="auto"/>
          <w:highlight w:val="none"/>
          <w:u w:val="single"/>
          <w:lang w:eastAsia="zh-CN"/>
        </w:rPr>
        <w:t>（姓名）</w:t>
      </w:r>
      <w:r>
        <w:rPr>
          <w:rFonts w:hint="eastAsia" w:ascii="仿宋" w:hAnsi="仿宋" w:eastAsia="仿宋" w:cs="仿宋"/>
          <w:color w:val="auto"/>
          <w:highlight w:val="none"/>
          <w:lang w:eastAsia="zh-CN"/>
        </w:rPr>
        <w:t>为本单位的合法代理人，参与贵方组织的</w:t>
      </w:r>
      <w:r>
        <w:rPr>
          <w:rFonts w:hint="eastAsia" w:ascii="仿宋" w:hAnsi="仿宋" w:eastAsia="仿宋" w:cs="仿宋"/>
          <w:color w:val="auto"/>
          <w:highlight w:val="none"/>
          <w:u w:val="single"/>
          <w:lang w:eastAsia="zh-CN"/>
        </w:rPr>
        <w:t>（项目名称及项目编号）</w:t>
      </w:r>
      <w:r>
        <w:rPr>
          <w:rFonts w:hint="eastAsia" w:ascii="仿宋" w:hAnsi="仿宋" w:eastAsia="仿宋" w:cs="仿宋"/>
          <w:color w:val="auto"/>
          <w:highlight w:val="none"/>
          <w:lang w:eastAsia="zh-CN"/>
        </w:rPr>
        <w:t xml:space="preserve"> 的投标、谈判、签约等具体工作，并签署全部有关文件、协议及合同。</w:t>
      </w:r>
    </w:p>
    <w:p w14:paraId="1DE231C6">
      <w:pPr>
        <w:adjustRightInd w:val="0"/>
        <w:snapToGrid w:val="0"/>
        <w:spacing w:line="42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我单位对被授权人的上述经济活动负全部责任。在撤销授权的书面通知前，本授权书一直有效。被授权人在授权书有效期内签署的所有文件不因授权的撤</w:t>
      </w:r>
      <w:r>
        <w:rPr>
          <w:rFonts w:hint="eastAsia" w:ascii="仿宋" w:hAnsi="仿宋" w:eastAsia="仿宋" w:cs="仿宋"/>
          <w:color w:val="auto"/>
          <w:highlight w:val="none"/>
          <w:lang w:val="en-US" w:eastAsia="zh-CN"/>
        </w:rPr>
        <w:t>销</w:t>
      </w:r>
      <w:r>
        <w:rPr>
          <w:rFonts w:hint="eastAsia" w:ascii="仿宋" w:hAnsi="仿宋" w:eastAsia="仿宋" w:cs="仿宋"/>
          <w:color w:val="auto"/>
          <w:highlight w:val="none"/>
          <w:lang w:eastAsia="zh-CN"/>
        </w:rPr>
        <w:t>而失效。</w:t>
      </w:r>
    </w:p>
    <w:p w14:paraId="49214686">
      <w:pPr>
        <w:pStyle w:val="7"/>
        <w:tabs>
          <w:tab w:val="left" w:pos="780"/>
        </w:tabs>
        <w:kinsoku w:val="0"/>
        <w:overflowPunct w:val="0"/>
        <w:adjustRightInd w:val="0"/>
        <w:snapToGrid w:val="0"/>
        <w:spacing w:before="12"/>
        <w:rPr>
          <w:rFonts w:ascii="仿宋" w:hAnsi="仿宋" w:eastAsia="仿宋" w:cs="仿宋"/>
          <w:color w:val="auto"/>
          <w:sz w:val="4"/>
          <w:szCs w:val="4"/>
          <w:highlight w:val="none"/>
          <w:lang w:eastAsia="zh-CN"/>
        </w:rPr>
      </w:pPr>
    </w:p>
    <w:p w14:paraId="0A36FA78">
      <w:pPr>
        <w:pStyle w:val="7"/>
        <w:numPr>
          <w:ilvl w:val="0"/>
          <w:numId w:val="0"/>
        </w:numPr>
        <w:kinsoku w:val="0"/>
        <w:overflowPunct w:val="0"/>
        <w:adjustRightInd w:val="0"/>
        <w:snapToGrid w:val="0"/>
        <w:spacing w:line="200" w:lineRule="atLeast"/>
        <w:ind w:right="1931" w:rightChars="795"/>
        <w:jc w:val="both"/>
        <w:rPr>
          <w:rFonts w:ascii="仿宋" w:hAnsi="仿宋" w:eastAsia="仿宋" w:cs="仿宋"/>
          <w:color w:val="auto"/>
          <w:sz w:val="18"/>
          <w:szCs w:val="20"/>
          <w:highlight w:val="none"/>
        </w:rPr>
      </w:pPr>
      <w:r>
        <w:rPr>
          <w:color w:val="auto"/>
          <w:sz w:val="18"/>
          <w:highlight w:val="none"/>
        </w:rPr>
        <mc:AlternateContent>
          <mc:Choice Requires="wps">
            <w:drawing>
              <wp:anchor distT="0" distB="0" distL="114300" distR="114300" simplePos="0" relativeHeight="251665408" behindDoc="0" locked="0" layoutInCell="1" allowOverlap="1">
                <wp:simplePos x="0" y="0"/>
                <wp:positionH relativeFrom="column">
                  <wp:posOffset>252730</wp:posOffset>
                </wp:positionH>
                <wp:positionV relativeFrom="paragraph">
                  <wp:posOffset>1524635</wp:posOffset>
                </wp:positionV>
                <wp:extent cx="2348230" cy="1367155"/>
                <wp:effectExtent l="4445" t="4445" r="9525" b="19050"/>
                <wp:wrapSquare wrapText="bothSides"/>
                <wp:docPr id="4" name="自选图形 62"/>
                <wp:cNvGraphicFramePr/>
                <a:graphic xmlns:a="http://schemas.openxmlformats.org/drawingml/2006/main">
                  <a:graphicData uri="http://schemas.microsoft.com/office/word/2010/wordprocessingShape">
                    <wps:wsp>
                      <wps:cNvSpPr/>
                      <wps:spPr>
                        <a:xfrm>
                          <a:off x="0" y="0"/>
                          <a:ext cx="2348230"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3F857594">
                            <w:pPr>
                              <w:jc w:val="center"/>
                              <w:rPr>
                                <w:rFonts w:hint="eastAsia" w:ascii="仿宋" w:hAnsi="仿宋" w:eastAsia="仿宋" w:cs="仿宋"/>
                                <w:sz w:val="24"/>
                                <w:szCs w:val="24"/>
                              </w:rPr>
                            </w:pPr>
                          </w:p>
                          <w:p w14:paraId="3EA5FDFB">
                            <w:pPr>
                              <w:jc w:val="center"/>
                              <w:rPr>
                                <w:rFonts w:hint="eastAsia" w:ascii="仿宋" w:hAnsi="仿宋" w:eastAsia="仿宋" w:cs="仿宋"/>
                                <w:sz w:val="24"/>
                                <w:szCs w:val="24"/>
                              </w:rPr>
                            </w:pPr>
                          </w:p>
                          <w:p w14:paraId="2DD42DB9">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B6A0973"/>
                        </w:txbxContent>
                      </wps:txbx>
                      <wps:bodyPr upright="1"/>
                    </wps:wsp>
                  </a:graphicData>
                </a:graphic>
              </wp:anchor>
            </w:drawing>
          </mc:Choice>
          <mc:Fallback>
            <w:pict>
              <v:roundrect id="自选图形 62" o:spid="_x0000_s1026" o:spt="2" style="position:absolute;left:0pt;margin-left:19.9pt;margin-top:120.05pt;height:107.65pt;width:184.9pt;mso-wrap-distance-bottom:0pt;mso-wrap-distance-left:9pt;mso-wrap-distance-right:9pt;mso-wrap-distance-top:0pt;z-index:251665408;mso-width-relative:page;mso-height-relative:page;" fillcolor="#FFFFFF" filled="t" stroked="t" coordsize="21600,21600" arcsize="0.166666666666667" o:gfxdata="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qJ&#10;84rXAAAACgEAAA8AAAAAAAAAAQAgAAAAIgAAAGRycy9kb3ducmV2LnhtbFBLAQIUABQAAAAIAIdO&#10;4kByItc7JAIAAFgEAAAOAAAAAAAAAAEAIAAAACYBAABkcnMvZTJvRG9jLnhtbFBLBQYAAAAABgAG&#10;AFkBAAC8BQAAAAA=&#10;">
                <v:fill on="t" focussize="0,0"/>
                <v:stroke color="#000000" joinstyle="round"/>
                <v:imagedata o:title=""/>
                <o:lock v:ext="edit" aspectratio="f"/>
                <v:textbox>
                  <w:txbxContent>
                    <w:p w14:paraId="3F857594">
                      <w:pPr>
                        <w:jc w:val="center"/>
                        <w:rPr>
                          <w:rFonts w:hint="eastAsia" w:ascii="仿宋" w:hAnsi="仿宋" w:eastAsia="仿宋" w:cs="仿宋"/>
                          <w:sz w:val="24"/>
                          <w:szCs w:val="24"/>
                        </w:rPr>
                      </w:pPr>
                    </w:p>
                    <w:p w14:paraId="3EA5FDFB">
                      <w:pPr>
                        <w:jc w:val="center"/>
                        <w:rPr>
                          <w:rFonts w:hint="eastAsia" w:ascii="仿宋" w:hAnsi="仿宋" w:eastAsia="仿宋" w:cs="仿宋"/>
                          <w:sz w:val="24"/>
                          <w:szCs w:val="24"/>
                        </w:rPr>
                      </w:pPr>
                    </w:p>
                    <w:p w14:paraId="2DD42DB9">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5B6A0973"/>
                  </w:txbxContent>
                </v:textbox>
                <w10:wrap type="square"/>
              </v:roundrect>
            </w:pict>
          </mc:Fallback>
        </mc:AlternateContent>
      </w:r>
      <w:r>
        <w:rPr>
          <w:rFonts w:hint="default"/>
          <w:color w:val="auto"/>
          <w:sz w:val="18"/>
          <w:highlight w:val="none"/>
          <w:lang w:val="en-US"/>
        </w:rPr>
        <mc:AlternateContent>
          <mc:Choice Requires="wps">
            <w:drawing>
              <wp:anchor distT="0" distB="0" distL="114300" distR="114300" simplePos="0" relativeHeight="251661312" behindDoc="1" locked="0" layoutInCell="1" allowOverlap="1">
                <wp:simplePos x="0" y="0"/>
                <wp:positionH relativeFrom="column">
                  <wp:posOffset>214630</wp:posOffset>
                </wp:positionH>
                <wp:positionV relativeFrom="paragraph">
                  <wp:posOffset>62865</wp:posOffset>
                </wp:positionV>
                <wp:extent cx="2378075" cy="1367155"/>
                <wp:effectExtent l="4445" t="4445" r="17780" b="19050"/>
                <wp:wrapTight wrapText="bothSides">
                  <wp:wrapPolygon>
                    <wp:start x="20605" y="-2"/>
                    <wp:lineTo x="986" y="0"/>
                    <wp:lineTo x="0" y="1611"/>
                    <wp:lineTo x="0" y="3600"/>
                    <wp:lineTo x="0" y="18000"/>
                    <wp:lineTo x="0" y="19988"/>
                    <wp:lineTo x="986" y="21600"/>
                    <wp:lineTo x="20605" y="21602"/>
                    <wp:lineTo x="994" y="21602"/>
                    <wp:lineTo x="20613" y="21600"/>
                    <wp:lineTo x="21599" y="19988"/>
                    <wp:lineTo x="21599" y="18000"/>
                    <wp:lineTo x="21599" y="3600"/>
                    <wp:lineTo x="21599" y="1611"/>
                    <wp:lineTo x="20613" y="0"/>
                    <wp:lineTo x="994" y="-2"/>
                    <wp:lineTo x="20605" y="-2"/>
                  </wp:wrapPolygon>
                </wp:wrapTight>
                <wp:docPr id="2" name="自选图形 60"/>
                <wp:cNvGraphicFramePr/>
                <a:graphic xmlns:a="http://schemas.openxmlformats.org/drawingml/2006/main">
                  <a:graphicData uri="http://schemas.microsoft.com/office/word/2010/wordprocessingShape">
                    <wps:wsp>
                      <wps:cNvSpPr/>
                      <wps:spPr>
                        <a:xfrm>
                          <a:off x="0" y="0"/>
                          <a:ext cx="23780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1CB73DAE">
                            <w:pPr>
                              <w:jc w:val="center"/>
                              <w:rPr>
                                <w:rFonts w:hint="eastAsia" w:ascii="仿宋" w:hAnsi="仿宋" w:eastAsia="仿宋" w:cs="仿宋"/>
                                <w:sz w:val="24"/>
                                <w:szCs w:val="24"/>
                              </w:rPr>
                            </w:pPr>
                          </w:p>
                          <w:p w14:paraId="50004CB9">
                            <w:pPr>
                              <w:jc w:val="center"/>
                              <w:rPr>
                                <w:rFonts w:hint="eastAsia" w:ascii="仿宋" w:hAnsi="仿宋" w:eastAsia="仿宋" w:cs="仿宋"/>
                                <w:sz w:val="24"/>
                                <w:szCs w:val="24"/>
                              </w:rPr>
                            </w:pPr>
                          </w:p>
                          <w:p w14:paraId="3A8F78E5">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42B6BC54">
                            <w:pPr>
                              <w:rPr>
                                <w:rFonts w:hint="eastAsia"/>
                                <w:lang w:val="en-US" w:eastAsia="zh-CN"/>
                              </w:rPr>
                            </w:pPr>
                          </w:p>
                        </w:txbxContent>
                      </wps:txbx>
                      <wps:bodyPr upright="1"/>
                    </wps:wsp>
                  </a:graphicData>
                </a:graphic>
              </wp:anchor>
            </w:drawing>
          </mc:Choice>
          <mc:Fallback>
            <w:pict>
              <v:roundrect id="自选图形 60" o:spid="_x0000_s1026" o:spt="2" style="position:absolute;left:0pt;margin-left:16.9pt;margin-top:4.95pt;height:107.65pt;width:187.25pt;mso-wrap-distance-left:9pt;mso-wrap-distance-right:9pt;z-index:-251655168;mso-width-relative:page;mso-height-relative:page;" fillcolor="#FFFFFF" filled="t" stroked="t" coordsize="21600,21600" wrapcoords="20605 -2 986 0 0 1611 0 3600 0 18000 0 19988 986 21600 20605 21602 994 21602 20613 21600 21599 19988 21599 18000 21599 3600 21599 1611 20613 0 994 -2 20605 -2" arcsize="0.166666666666667" o:gfxdata="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HgUrBPV&#10;AAAACAEAAA8AAAAAAAAAAQAgAAAAIgAAAGRycy9kb3ducmV2LnhtbFBLAQIUABQAAAAIAIdO4kBA&#10;QakHIwIAAFgEAAAOAAAAAAAAAAEAIAAAACQBAABkcnMvZTJvRG9jLnhtbFBLBQYAAAAABgAGAFkB&#10;AAC5BQAAAAA=&#10;">
                <v:fill on="t" focussize="0,0"/>
                <v:stroke color="#000000" joinstyle="round"/>
                <v:imagedata o:title=""/>
                <o:lock v:ext="edit" aspectratio="f"/>
                <v:textbox>
                  <w:txbxContent>
                    <w:p w14:paraId="1CB73DAE">
                      <w:pPr>
                        <w:jc w:val="center"/>
                        <w:rPr>
                          <w:rFonts w:hint="eastAsia" w:ascii="仿宋" w:hAnsi="仿宋" w:eastAsia="仿宋" w:cs="仿宋"/>
                          <w:sz w:val="24"/>
                          <w:szCs w:val="24"/>
                        </w:rPr>
                      </w:pPr>
                    </w:p>
                    <w:p w14:paraId="50004CB9">
                      <w:pPr>
                        <w:jc w:val="center"/>
                        <w:rPr>
                          <w:rFonts w:hint="eastAsia" w:ascii="仿宋" w:hAnsi="仿宋" w:eastAsia="仿宋" w:cs="仿宋"/>
                          <w:sz w:val="24"/>
                          <w:szCs w:val="24"/>
                        </w:rPr>
                      </w:pPr>
                    </w:p>
                    <w:p w14:paraId="3A8F78E5">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正面</w:t>
                      </w:r>
                    </w:p>
                    <w:p w14:paraId="42B6BC54">
                      <w:pPr>
                        <w:rPr>
                          <w:rFonts w:hint="eastAsia"/>
                          <w:lang w:val="en-US" w:eastAsia="zh-CN"/>
                        </w:rPr>
                      </w:pPr>
                    </w:p>
                  </w:txbxContent>
                </v:textbox>
                <w10:wrap type="tight"/>
              </v:roundrect>
            </w:pict>
          </mc:Fallback>
        </mc:AlternateContent>
      </w:r>
      <w:r>
        <w:rPr>
          <w:color w:val="auto"/>
          <w:sz w:val="18"/>
          <w:highlight w:val="none"/>
        </w:rPr>
        <mc:AlternateContent>
          <mc:Choice Requires="wps">
            <w:drawing>
              <wp:anchor distT="0" distB="0" distL="114300" distR="114300" simplePos="0" relativeHeight="251666432" behindDoc="0" locked="0" layoutInCell="1" allowOverlap="1">
                <wp:simplePos x="0" y="0"/>
                <wp:positionH relativeFrom="column">
                  <wp:posOffset>2920365</wp:posOffset>
                </wp:positionH>
                <wp:positionV relativeFrom="paragraph">
                  <wp:posOffset>1524635</wp:posOffset>
                </wp:positionV>
                <wp:extent cx="2341245" cy="1367155"/>
                <wp:effectExtent l="4445" t="4445" r="16510" b="19050"/>
                <wp:wrapSquare wrapText="bothSides"/>
                <wp:docPr id="6" name="自选图形 63"/>
                <wp:cNvGraphicFramePr/>
                <a:graphic xmlns:a="http://schemas.openxmlformats.org/drawingml/2006/main">
                  <a:graphicData uri="http://schemas.microsoft.com/office/word/2010/wordprocessingShape">
                    <wps:wsp>
                      <wps:cNvSpPr/>
                      <wps:spPr>
                        <a:xfrm>
                          <a:off x="0" y="0"/>
                          <a:ext cx="234124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7EC6DC41">
                            <w:pPr>
                              <w:jc w:val="center"/>
                              <w:rPr>
                                <w:rFonts w:hint="eastAsia" w:ascii="仿宋" w:hAnsi="仿宋" w:eastAsia="仿宋" w:cs="仿宋"/>
                                <w:sz w:val="24"/>
                                <w:szCs w:val="24"/>
                              </w:rPr>
                            </w:pPr>
                          </w:p>
                          <w:p w14:paraId="0BC64B05">
                            <w:pPr>
                              <w:jc w:val="center"/>
                              <w:rPr>
                                <w:rFonts w:hint="eastAsia" w:ascii="仿宋" w:hAnsi="仿宋" w:eastAsia="仿宋" w:cs="仿宋"/>
                                <w:sz w:val="24"/>
                                <w:szCs w:val="24"/>
                              </w:rPr>
                            </w:pPr>
                          </w:p>
                          <w:p w14:paraId="10DC0912">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79A7D8BF"/>
                        </w:txbxContent>
                      </wps:txbx>
                      <wps:bodyPr upright="1"/>
                    </wps:wsp>
                  </a:graphicData>
                </a:graphic>
              </wp:anchor>
            </w:drawing>
          </mc:Choice>
          <mc:Fallback>
            <w:pict>
              <v:roundrect id="自选图形 63" o:spid="_x0000_s1026" o:spt="2" style="position:absolute;left:0pt;margin-left:229.95pt;margin-top:120.05pt;height:107.65pt;width:184.35pt;mso-wrap-distance-bottom:0pt;mso-wrap-distance-left:9pt;mso-wrap-distance-right:9pt;mso-wrap-distance-top:0pt;z-index:251666432;mso-width-relative:page;mso-height-relative:page;" fillcolor="#FFFFFF" filled="t" stroked="t" coordsize="21600,21600" arcsize="0.166666666666667" o:gfxdata="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gxxbJ&#10;1gAAAAsBAAAPAAAAAAAAAAEAIAAAACIAAABkcnMvZG93bnJldi54bWxQSwECFAAUAAAACACHTuJA&#10;uewFBiMCAABYBAAADgAAAAAAAAABACAAAAAlAQAAZHJzL2Uyb0RvYy54bWxQSwUGAAAAAAYABgBZ&#10;AQAAugUAAAAA&#10;">
                <v:fill on="t" focussize="0,0"/>
                <v:stroke color="#000000" joinstyle="round"/>
                <v:imagedata o:title=""/>
                <o:lock v:ext="edit" aspectratio="f"/>
                <v:textbox>
                  <w:txbxContent>
                    <w:p w14:paraId="7EC6DC41">
                      <w:pPr>
                        <w:jc w:val="center"/>
                        <w:rPr>
                          <w:rFonts w:hint="eastAsia" w:ascii="仿宋" w:hAnsi="仿宋" w:eastAsia="仿宋" w:cs="仿宋"/>
                          <w:sz w:val="24"/>
                          <w:szCs w:val="24"/>
                        </w:rPr>
                      </w:pPr>
                    </w:p>
                    <w:p w14:paraId="0BC64B05">
                      <w:pPr>
                        <w:jc w:val="center"/>
                        <w:rPr>
                          <w:rFonts w:hint="eastAsia" w:ascii="仿宋" w:hAnsi="仿宋" w:eastAsia="仿宋" w:cs="仿宋"/>
                          <w:sz w:val="24"/>
                          <w:szCs w:val="24"/>
                        </w:rPr>
                      </w:pPr>
                    </w:p>
                    <w:p w14:paraId="10DC0912">
                      <w:pPr>
                        <w:jc w:val="center"/>
                        <w:rPr>
                          <w:rFonts w:hint="eastAsia" w:ascii="仿宋" w:hAnsi="仿宋" w:eastAsia="仿宋" w:cs="仿宋"/>
                          <w:sz w:val="24"/>
                          <w:szCs w:val="24"/>
                        </w:rPr>
                      </w:pPr>
                      <w:r>
                        <w:rPr>
                          <w:rFonts w:hint="eastAsia" w:ascii="仿宋" w:hAnsi="仿宋" w:eastAsia="仿宋" w:cs="仿宋"/>
                          <w:sz w:val="24"/>
                          <w:szCs w:val="24"/>
                        </w:rPr>
                        <w:t>法定代表人身份证复印件正面</w:t>
                      </w:r>
                    </w:p>
                    <w:p w14:paraId="79A7D8BF"/>
                  </w:txbxContent>
                </v:textbox>
                <w10:wrap type="square"/>
              </v:roundrect>
            </w:pict>
          </mc:Fallback>
        </mc:AlternateContent>
      </w:r>
      <w:r>
        <w:rPr>
          <w:color w:val="auto"/>
          <w:sz w:val="18"/>
          <w:highlight w:val="none"/>
        </w:rPr>
        <mc:AlternateContent>
          <mc:Choice Requires="wps">
            <w:drawing>
              <wp:anchor distT="0" distB="0" distL="114300" distR="114300" simplePos="0" relativeHeight="251664384" behindDoc="0" locked="0" layoutInCell="1" allowOverlap="1">
                <wp:simplePos x="0" y="0"/>
                <wp:positionH relativeFrom="column">
                  <wp:posOffset>2902585</wp:posOffset>
                </wp:positionH>
                <wp:positionV relativeFrom="paragraph">
                  <wp:posOffset>41275</wp:posOffset>
                </wp:positionV>
                <wp:extent cx="2327275" cy="1367155"/>
                <wp:effectExtent l="4445" t="4445" r="11430" b="19050"/>
                <wp:wrapSquare wrapText="bothSides"/>
                <wp:docPr id="3" name="自选图形 61"/>
                <wp:cNvGraphicFramePr/>
                <a:graphic xmlns:a="http://schemas.openxmlformats.org/drawingml/2006/main">
                  <a:graphicData uri="http://schemas.microsoft.com/office/word/2010/wordprocessingShape">
                    <wps:wsp>
                      <wps:cNvSpPr/>
                      <wps:spPr>
                        <a:xfrm>
                          <a:off x="0" y="0"/>
                          <a:ext cx="2327275" cy="1367155"/>
                        </a:xfrm>
                        <a:prstGeom prst="roundRect">
                          <a:avLst>
                            <a:gd name="adj" fmla="val 16667"/>
                          </a:avLst>
                        </a:prstGeom>
                        <a:solidFill>
                          <a:srgbClr val="FFFFFF"/>
                        </a:solidFill>
                        <a:ln w="9525" cap="flat" cmpd="sng">
                          <a:solidFill>
                            <a:srgbClr val="000000"/>
                          </a:solidFill>
                          <a:prstDash val="solid"/>
                          <a:headEnd type="none" w="med" len="med"/>
                          <a:tailEnd type="none" w="med" len="med"/>
                        </a:ln>
                      </wps:spPr>
                      <wps:txbx>
                        <w:txbxContent>
                          <w:p w14:paraId="245D0502">
                            <w:pPr>
                              <w:jc w:val="center"/>
                              <w:rPr>
                                <w:rFonts w:hint="eastAsia" w:ascii="仿宋" w:hAnsi="仿宋" w:eastAsia="仿宋" w:cs="仿宋"/>
                                <w:sz w:val="24"/>
                                <w:szCs w:val="24"/>
                              </w:rPr>
                            </w:pPr>
                          </w:p>
                          <w:p w14:paraId="50ADF14E">
                            <w:pPr>
                              <w:jc w:val="center"/>
                              <w:rPr>
                                <w:rFonts w:hint="eastAsia" w:ascii="仿宋" w:hAnsi="仿宋" w:eastAsia="仿宋" w:cs="仿宋"/>
                                <w:sz w:val="24"/>
                                <w:szCs w:val="24"/>
                              </w:rPr>
                            </w:pPr>
                          </w:p>
                          <w:p w14:paraId="5A6ED7F1">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46DE3006"/>
                        </w:txbxContent>
                      </wps:txbx>
                      <wps:bodyPr upright="1"/>
                    </wps:wsp>
                  </a:graphicData>
                </a:graphic>
              </wp:anchor>
            </w:drawing>
          </mc:Choice>
          <mc:Fallback>
            <w:pict>
              <v:roundrect id="自选图形 61" o:spid="_x0000_s1026" o:spt="2" style="position:absolute;left:0pt;margin-left:228.55pt;margin-top:3.25pt;height:107.65pt;width:183.25pt;mso-wrap-distance-bottom:0pt;mso-wrap-distance-left:9pt;mso-wrap-distance-right:9pt;mso-wrap-distance-top:0pt;z-index:251664384;mso-width-relative:page;mso-height-relative:page;" fillcolor="#FFFFFF" filled="t" stroked="t" coordsize="21600,21600" arcsize="0.166666666666667" o:gfxdata="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KEvrYLV&#10;AAAACQEAAA8AAAAAAAAAAQAgAAAAIgAAAGRycy9kb3ducmV2LnhtbFBLAQIUABQAAAAIAIdO4kAp&#10;Gsm9IwIAAFgEAAAOAAAAAAAAAAEAIAAAACQBAABkcnMvZTJvRG9jLnhtbFBLBQYAAAAABgAGAFkB&#10;AAC5BQAAAAA=&#10;">
                <v:fill on="t" focussize="0,0"/>
                <v:stroke color="#000000" joinstyle="round"/>
                <v:imagedata o:title=""/>
                <o:lock v:ext="edit" aspectratio="f"/>
                <v:textbox>
                  <w:txbxContent>
                    <w:p w14:paraId="245D0502">
                      <w:pPr>
                        <w:jc w:val="center"/>
                        <w:rPr>
                          <w:rFonts w:hint="eastAsia" w:ascii="仿宋" w:hAnsi="仿宋" w:eastAsia="仿宋" w:cs="仿宋"/>
                          <w:sz w:val="24"/>
                          <w:szCs w:val="24"/>
                        </w:rPr>
                      </w:pPr>
                    </w:p>
                    <w:p w14:paraId="50ADF14E">
                      <w:pPr>
                        <w:jc w:val="center"/>
                        <w:rPr>
                          <w:rFonts w:hint="eastAsia" w:ascii="仿宋" w:hAnsi="仿宋" w:eastAsia="仿宋" w:cs="仿宋"/>
                          <w:sz w:val="24"/>
                          <w:szCs w:val="24"/>
                        </w:rPr>
                      </w:pPr>
                    </w:p>
                    <w:p w14:paraId="5A6ED7F1">
                      <w:pPr>
                        <w:jc w:val="center"/>
                        <w:rPr>
                          <w:rFonts w:hint="eastAsia" w:ascii="仿宋" w:hAnsi="仿宋" w:eastAsia="仿宋" w:cs="仿宋"/>
                          <w:sz w:val="24"/>
                          <w:szCs w:val="24"/>
                          <w:lang w:eastAsia="zh-CN"/>
                        </w:rPr>
                      </w:pPr>
                      <w:r>
                        <w:rPr>
                          <w:rFonts w:hint="eastAsia" w:ascii="仿宋" w:hAnsi="仿宋" w:eastAsia="仿宋" w:cs="仿宋"/>
                          <w:sz w:val="24"/>
                          <w:szCs w:val="24"/>
                        </w:rPr>
                        <w:t>授权委托人身份证复印件</w:t>
                      </w:r>
                      <w:r>
                        <w:rPr>
                          <w:rFonts w:hint="eastAsia" w:ascii="仿宋" w:hAnsi="仿宋" w:eastAsia="仿宋" w:cs="仿宋"/>
                          <w:sz w:val="24"/>
                          <w:szCs w:val="24"/>
                          <w:lang w:eastAsia="zh-CN"/>
                        </w:rPr>
                        <w:t>反面</w:t>
                      </w:r>
                    </w:p>
                    <w:p w14:paraId="46DE3006"/>
                  </w:txbxContent>
                </v:textbox>
                <w10:wrap type="square"/>
              </v:roundrect>
            </w:pict>
          </mc:Fallback>
        </mc:AlternateContent>
      </w:r>
    </w:p>
    <w:p w14:paraId="2A33CFEA">
      <w:pPr>
        <w:pStyle w:val="7"/>
        <w:numPr>
          <w:ilvl w:val="0"/>
          <w:numId w:val="0"/>
        </w:numPr>
        <w:kinsoku w:val="0"/>
        <w:overflowPunct w:val="0"/>
        <w:adjustRightInd w:val="0"/>
        <w:snapToGrid w:val="0"/>
        <w:spacing w:line="200" w:lineRule="atLeast"/>
        <w:rPr>
          <w:rFonts w:ascii="仿宋" w:hAnsi="仿宋" w:eastAsia="仿宋" w:cs="仿宋"/>
          <w:color w:val="auto"/>
          <w:sz w:val="18"/>
          <w:szCs w:val="20"/>
          <w:highlight w:val="none"/>
        </w:rPr>
      </w:pPr>
    </w:p>
    <w:p w14:paraId="0B1480C5">
      <w:pPr>
        <w:rPr>
          <w:rFonts w:ascii="仿宋" w:hAnsi="仿宋" w:eastAsia="仿宋" w:cs="仿宋"/>
          <w:color w:val="auto"/>
          <w:sz w:val="18"/>
          <w:szCs w:val="20"/>
          <w:highlight w:val="none"/>
        </w:rPr>
      </w:pPr>
    </w:p>
    <w:p w14:paraId="299F2E2B">
      <w:pPr>
        <w:pStyle w:val="32"/>
        <w:rPr>
          <w:rFonts w:ascii="仿宋" w:hAnsi="仿宋" w:eastAsia="仿宋" w:cs="仿宋"/>
          <w:color w:val="auto"/>
          <w:sz w:val="18"/>
          <w:szCs w:val="20"/>
          <w:highlight w:val="none"/>
        </w:rPr>
      </w:pPr>
    </w:p>
    <w:p w14:paraId="46A602A3">
      <w:pPr>
        <w:pStyle w:val="32"/>
        <w:rPr>
          <w:rFonts w:ascii="仿宋" w:hAnsi="仿宋" w:eastAsia="仿宋" w:cs="仿宋"/>
          <w:color w:val="auto"/>
          <w:sz w:val="18"/>
          <w:szCs w:val="20"/>
          <w:highlight w:val="none"/>
        </w:rPr>
      </w:pPr>
    </w:p>
    <w:p w14:paraId="07DBC214">
      <w:pPr>
        <w:pStyle w:val="32"/>
        <w:rPr>
          <w:rFonts w:ascii="仿宋" w:hAnsi="仿宋" w:eastAsia="仿宋" w:cs="仿宋"/>
          <w:color w:val="auto"/>
          <w:sz w:val="18"/>
          <w:szCs w:val="20"/>
          <w:highlight w:val="none"/>
        </w:rPr>
      </w:pPr>
    </w:p>
    <w:p w14:paraId="25DEF211">
      <w:pPr>
        <w:pStyle w:val="32"/>
        <w:rPr>
          <w:rFonts w:ascii="仿宋" w:hAnsi="仿宋" w:eastAsia="仿宋" w:cs="仿宋"/>
          <w:color w:val="auto"/>
          <w:sz w:val="18"/>
          <w:szCs w:val="20"/>
          <w:highlight w:val="none"/>
        </w:rPr>
      </w:pPr>
    </w:p>
    <w:p w14:paraId="562CA75C">
      <w:pPr>
        <w:pStyle w:val="7"/>
        <w:numPr>
          <w:ilvl w:val="0"/>
          <w:numId w:val="0"/>
        </w:numPr>
        <w:tabs>
          <w:tab w:val="left" w:pos="5295"/>
        </w:tabs>
        <w:kinsoku w:val="0"/>
        <w:overflowPunct w:val="0"/>
        <w:adjustRightInd w:val="0"/>
        <w:snapToGrid w:val="0"/>
        <w:spacing w:line="360" w:lineRule="auto"/>
        <w:ind w:left="709"/>
        <w:rPr>
          <w:rFonts w:hint="eastAsia" w:ascii="仿宋" w:hAnsi="仿宋" w:eastAsia="仿宋" w:cs="仿宋"/>
          <w:color w:val="auto"/>
          <w:sz w:val="24"/>
          <w:highlight w:val="none"/>
          <w:lang w:eastAsia="zh-CN"/>
        </w:rPr>
      </w:pPr>
    </w:p>
    <w:p w14:paraId="68B84A0D">
      <w:pPr>
        <w:pStyle w:val="7"/>
        <w:numPr>
          <w:ilvl w:val="0"/>
          <w:numId w:val="0"/>
        </w:numPr>
        <w:tabs>
          <w:tab w:val="left" w:pos="5295"/>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被授权代表（签章）：          供应商法定代表人（签章）：</w:t>
      </w:r>
    </w:p>
    <w:p w14:paraId="72128D30">
      <w:pPr>
        <w:pStyle w:val="7"/>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职</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务：</w:t>
      </w:r>
    </w:p>
    <w:p w14:paraId="04604AB4">
      <w:pPr>
        <w:pStyle w:val="7"/>
        <w:numPr>
          <w:ilvl w:val="0"/>
          <w:numId w:val="0"/>
        </w:numPr>
        <w:tabs>
          <w:tab w:val="left" w:pos="1098"/>
          <w:tab w:val="left" w:pos="5298"/>
          <w:tab w:val="left" w:pos="5778"/>
        </w:tabs>
        <w:kinsoku w:val="0"/>
        <w:overflowPunct w:val="0"/>
        <w:adjustRightInd w:val="0"/>
        <w:snapToGrid w:val="0"/>
        <w:spacing w:line="360" w:lineRule="auto"/>
        <w:ind w:left="709"/>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电</w:t>
      </w:r>
      <w:r>
        <w:rPr>
          <w:rFonts w:hint="eastAsia" w:ascii="仿宋" w:hAnsi="仿宋" w:eastAsia="仿宋" w:cs="仿宋"/>
          <w:color w:val="auto"/>
          <w:sz w:val="24"/>
          <w:highlight w:val="none"/>
          <w:lang w:eastAsia="zh-CN"/>
        </w:rPr>
        <w:tab/>
      </w:r>
      <w:r>
        <w:rPr>
          <w:rFonts w:hint="eastAsia" w:ascii="仿宋" w:hAnsi="仿宋" w:eastAsia="仿宋" w:cs="仿宋"/>
          <w:color w:val="auto"/>
          <w:sz w:val="24"/>
          <w:highlight w:val="none"/>
          <w:lang w:eastAsia="zh-CN"/>
        </w:rPr>
        <w:t>话：</w:t>
      </w:r>
    </w:p>
    <w:p w14:paraId="2AEDF9CB">
      <w:pPr>
        <w:pStyle w:val="7"/>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right="23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（盖章）</w:t>
      </w:r>
    </w:p>
    <w:p w14:paraId="15C2AAED">
      <w:pPr>
        <w:pStyle w:val="7"/>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121" w:leftChars="50" w:right="238" w:firstLine="2916" w:firstLineChars="1200"/>
        <w:jc w:val="both"/>
        <w:rPr>
          <w:rFonts w:ascii="仿宋" w:hAnsi="仿宋" w:eastAsia="仿宋" w:cs="仿宋"/>
          <w:color w:val="auto"/>
          <w:sz w:val="20"/>
          <w:highlight w:val="none"/>
          <w:lang w:eastAsia="zh-CN"/>
        </w:rPr>
      </w:pPr>
      <w:r>
        <w:rPr>
          <w:rFonts w:hint="eastAsia" w:ascii="仿宋" w:hAnsi="仿宋" w:eastAsia="仿宋" w:cs="仿宋"/>
          <w:color w:val="auto"/>
          <w:sz w:val="24"/>
          <w:highlight w:val="none"/>
          <w:lang w:eastAsia="zh-CN"/>
        </w:rPr>
        <w:t xml:space="preserve"> 日期：</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 xml:space="preserve">   </w:t>
      </w:r>
      <w:r>
        <w:rPr>
          <w:rFonts w:hint="eastAsia" w:ascii="仿宋" w:hAnsi="仿宋" w:eastAsia="仿宋" w:cs="仿宋"/>
          <w:color w:val="auto"/>
          <w:sz w:val="24"/>
          <w:highlight w:val="none"/>
          <w:lang w:eastAsia="zh-CN"/>
        </w:rPr>
        <w:t xml:space="preserve">日 </w:t>
      </w:r>
      <w:r>
        <w:rPr>
          <w:rFonts w:hint="eastAsia" w:ascii="仿宋" w:hAnsi="仿宋" w:eastAsia="仿宋" w:cs="仿宋"/>
          <w:color w:val="auto"/>
          <w:sz w:val="20"/>
          <w:highlight w:val="none"/>
          <w:lang w:eastAsia="zh-CN"/>
        </w:rPr>
        <w:t xml:space="preserve">               </w:t>
      </w:r>
    </w:p>
    <w:p w14:paraId="7329517A">
      <w:pPr>
        <w:pStyle w:val="32"/>
        <w:rPr>
          <w:rFonts w:ascii="仿宋" w:hAnsi="仿宋" w:eastAsia="仿宋" w:cs="仿宋"/>
          <w:b/>
          <w:bCs/>
          <w:color w:val="auto"/>
          <w:sz w:val="36"/>
          <w:szCs w:val="36"/>
          <w:highlight w:val="none"/>
          <w:lang w:eastAsia="zh-CN"/>
        </w:rPr>
      </w:pPr>
      <w:r>
        <w:rPr>
          <w:rFonts w:hint="eastAsia" w:ascii="仿宋" w:hAnsi="仿宋" w:eastAsia="仿宋" w:cs="仿宋"/>
          <w:color w:val="auto"/>
          <w:highlight w:val="none"/>
          <w:lang w:eastAsia="zh-CN"/>
        </w:rPr>
        <w:br w:type="page"/>
      </w:r>
    </w:p>
    <w:p w14:paraId="31825E77">
      <w:pPr>
        <w:pStyle w:val="3"/>
        <w:spacing w:line="240" w:lineRule="atLeast"/>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4、参加政府采购活动前3年内</w:t>
      </w:r>
      <w:bookmarkStart w:id="76" w:name="_Toc6008"/>
      <w:bookmarkStart w:id="77" w:name="_Toc1137"/>
      <w:bookmarkStart w:id="78" w:name="_Toc515647812"/>
      <w:r>
        <w:rPr>
          <w:rFonts w:hint="eastAsia" w:ascii="仿宋" w:hAnsi="仿宋" w:eastAsia="仿宋" w:cs="仿宋"/>
          <w:color w:val="auto"/>
          <w:sz w:val="24"/>
          <w:highlight w:val="none"/>
          <w:lang w:eastAsia="zh-CN"/>
        </w:rPr>
        <w:t>在经营活动中没有重大违法记录的书面声明</w:t>
      </w:r>
      <w:bookmarkEnd w:id="76"/>
      <w:bookmarkEnd w:id="77"/>
      <w:bookmarkEnd w:id="78"/>
    </w:p>
    <w:p w14:paraId="2E9DE8B2">
      <w:pPr>
        <w:pStyle w:val="10"/>
        <w:tabs>
          <w:tab w:val="left" w:pos="5580"/>
        </w:tabs>
        <w:spacing w:line="240" w:lineRule="atLeast"/>
        <w:ind w:left="1164" w:leftChars="257" w:hanging="540"/>
        <w:jc w:val="center"/>
        <w:rPr>
          <w:rFonts w:ascii="仿宋" w:hAnsi="仿宋" w:eastAsia="仿宋" w:cs="仿宋"/>
          <w:b/>
          <w:color w:val="auto"/>
          <w:highlight w:val="none"/>
          <w:lang w:eastAsia="zh-CN"/>
        </w:rPr>
      </w:pPr>
    </w:p>
    <w:p w14:paraId="7D8B5951">
      <w:pPr>
        <w:pStyle w:val="10"/>
        <w:tabs>
          <w:tab w:val="left" w:pos="5580"/>
        </w:tabs>
        <w:spacing w:line="240" w:lineRule="atLeast"/>
        <w:ind w:left="1164" w:leftChars="257" w:hanging="540"/>
        <w:rPr>
          <w:rFonts w:ascii="仿宋" w:hAnsi="仿宋" w:eastAsia="仿宋" w:cs="仿宋"/>
          <w:color w:val="auto"/>
          <w:highlight w:val="none"/>
          <w:lang w:eastAsia="zh-CN"/>
        </w:rPr>
      </w:pPr>
    </w:p>
    <w:p w14:paraId="594EBAFF">
      <w:pPr>
        <w:pStyle w:val="10"/>
        <w:tabs>
          <w:tab w:val="left" w:pos="5580"/>
        </w:tabs>
        <w:spacing w:line="240" w:lineRule="atLeast"/>
        <w:ind w:left="1164" w:leftChars="257" w:hanging="540"/>
        <w:rPr>
          <w:rFonts w:ascii="仿宋" w:hAnsi="仿宋" w:eastAsia="仿宋" w:cs="仿宋"/>
          <w:color w:val="auto"/>
          <w:highlight w:val="none"/>
          <w:lang w:eastAsia="zh-CN"/>
        </w:rPr>
      </w:pPr>
    </w:p>
    <w:p w14:paraId="25C9EBD0">
      <w:pPr>
        <w:pStyle w:val="10"/>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说明：1.供应商应按照相关法规规定如实作出说明。</w:t>
      </w:r>
    </w:p>
    <w:p w14:paraId="7AF65789">
      <w:pPr>
        <w:pStyle w:val="10"/>
        <w:tabs>
          <w:tab w:val="left" w:pos="5580"/>
        </w:tabs>
        <w:spacing w:line="360" w:lineRule="auto"/>
        <w:ind w:left="746" w:leftChars="307" w:firstLine="607" w:firstLineChars="25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2．按照招标文件的规定加盖单位章（自然人投标的无需盖章，需要签字）。</w:t>
      </w:r>
    </w:p>
    <w:p w14:paraId="644F3A9E">
      <w:pPr>
        <w:pStyle w:val="10"/>
        <w:tabs>
          <w:tab w:val="left" w:pos="5580"/>
        </w:tabs>
        <w:spacing w:line="360" w:lineRule="auto"/>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02A48867">
      <w:pPr>
        <w:pStyle w:val="4"/>
        <w:rPr>
          <w:rFonts w:ascii="仿宋" w:hAnsi="仿宋" w:eastAsia="仿宋" w:cs="仿宋"/>
          <w:color w:val="auto"/>
          <w:sz w:val="36"/>
          <w:szCs w:val="36"/>
          <w:highlight w:val="none"/>
          <w:lang w:eastAsia="zh-CN"/>
        </w:rPr>
      </w:pPr>
    </w:p>
    <w:p w14:paraId="37C6330B">
      <w:pPr>
        <w:rPr>
          <w:rFonts w:ascii="仿宋" w:hAnsi="仿宋" w:eastAsia="仿宋" w:cs="仿宋"/>
          <w:b/>
          <w:bCs/>
          <w:color w:val="auto"/>
          <w:sz w:val="36"/>
          <w:szCs w:val="36"/>
          <w:highlight w:val="none"/>
          <w:lang w:eastAsia="zh-CN"/>
        </w:rPr>
      </w:pPr>
    </w:p>
    <w:p w14:paraId="769311EC">
      <w:pPr>
        <w:pStyle w:val="4"/>
        <w:rPr>
          <w:rFonts w:ascii="仿宋" w:hAnsi="仿宋" w:eastAsia="仿宋" w:cs="仿宋"/>
          <w:color w:val="auto"/>
          <w:sz w:val="36"/>
          <w:szCs w:val="36"/>
          <w:highlight w:val="none"/>
          <w:lang w:eastAsia="zh-CN"/>
        </w:rPr>
      </w:pPr>
    </w:p>
    <w:p w14:paraId="52B43624">
      <w:pPr>
        <w:rPr>
          <w:rFonts w:ascii="仿宋" w:hAnsi="仿宋" w:eastAsia="仿宋" w:cs="仿宋"/>
          <w:b/>
          <w:bCs/>
          <w:color w:val="auto"/>
          <w:sz w:val="36"/>
          <w:szCs w:val="36"/>
          <w:highlight w:val="none"/>
          <w:lang w:eastAsia="zh-CN"/>
        </w:rPr>
      </w:pPr>
    </w:p>
    <w:p w14:paraId="7AB5101E">
      <w:pPr>
        <w:pStyle w:val="4"/>
        <w:rPr>
          <w:rFonts w:ascii="仿宋" w:hAnsi="仿宋" w:eastAsia="仿宋" w:cs="仿宋"/>
          <w:color w:val="auto"/>
          <w:sz w:val="36"/>
          <w:szCs w:val="36"/>
          <w:highlight w:val="none"/>
          <w:lang w:eastAsia="zh-CN"/>
        </w:rPr>
      </w:pPr>
    </w:p>
    <w:p w14:paraId="18A78024">
      <w:pPr>
        <w:rPr>
          <w:rFonts w:ascii="仿宋" w:hAnsi="仿宋" w:eastAsia="仿宋" w:cs="仿宋"/>
          <w:b/>
          <w:bCs/>
          <w:color w:val="auto"/>
          <w:sz w:val="36"/>
          <w:szCs w:val="36"/>
          <w:highlight w:val="none"/>
          <w:lang w:eastAsia="zh-CN"/>
        </w:rPr>
      </w:pPr>
    </w:p>
    <w:p w14:paraId="41FDC9B4">
      <w:pPr>
        <w:pStyle w:val="4"/>
        <w:rPr>
          <w:rFonts w:ascii="仿宋" w:hAnsi="仿宋" w:eastAsia="仿宋" w:cs="仿宋"/>
          <w:color w:val="auto"/>
          <w:sz w:val="36"/>
          <w:szCs w:val="36"/>
          <w:highlight w:val="none"/>
          <w:lang w:eastAsia="zh-CN"/>
        </w:rPr>
      </w:pPr>
    </w:p>
    <w:p w14:paraId="2B5CBD3F">
      <w:pPr>
        <w:rPr>
          <w:rFonts w:ascii="仿宋" w:hAnsi="仿宋" w:eastAsia="仿宋" w:cs="仿宋"/>
          <w:b/>
          <w:bCs/>
          <w:color w:val="auto"/>
          <w:sz w:val="36"/>
          <w:szCs w:val="36"/>
          <w:highlight w:val="none"/>
          <w:lang w:eastAsia="zh-CN"/>
        </w:rPr>
      </w:pPr>
    </w:p>
    <w:p w14:paraId="342DB163">
      <w:pPr>
        <w:pStyle w:val="4"/>
        <w:rPr>
          <w:rFonts w:ascii="仿宋" w:hAnsi="仿宋" w:eastAsia="仿宋" w:cs="仿宋"/>
          <w:color w:val="auto"/>
          <w:sz w:val="36"/>
          <w:szCs w:val="36"/>
          <w:highlight w:val="none"/>
          <w:lang w:eastAsia="zh-CN"/>
        </w:rPr>
      </w:pPr>
    </w:p>
    <w:p w14:paraId="17B3F1E4">
      <w:pPr>
        <w:rPr>
          <w:rFonts w:ascii="仿宋" w:hAnsi="仿宋" w:eastAsia="仿宋" w:cs="仿宋"/>
          <w:b/>
          <w:bCs/>
          <w:color w:val="auto"/>
          <w:sz w:val="36"/>
          <w:szCs w:val="36"/>
          <w:highlight w:val="none"/>
          <w:lang w:eastAsia="zh-CN"/>
        </w:rPr>
      </w:pPr>
    </w:p>
    <w:p w14:paraId="342D9550">
      <w:pPr>
        <w:pStyle w:val="4"/>
        <w:rPr>
          <w:rFonts w:ascii="仿宋" w:hAnsi="仿宋" w:eastAsia="仿宋" w:cs="仿宋"/>
          <w:color w:val="auto"/>
          <w:sz w:val="36"/>
          <w:szCs w:val="36"/>
          <w:highlight w:val="none"/>
          <w:lang w:eastAsia="zh-CN"/>
        </w:rPr>
      </w:pPr>
    </w:p>
    <w:p w14:paraId="143A511A">
      <w:pPr>
        <w:rPr>
          <w:rFonts w:ascii="仿宋" w:hAnsi="仿宋" w:eastAsia="仿宋" w:cs="仿宋"/>
          <w:b/>
          <w:bCs/>
          <w:color w:val="auto"/>
          <w:sz w:val="36"/>
          <w:szCs w:val="36"/>
          <w:highlight w:val="none"/>
          <w:lang w:eastAsia="zh-CN"/>
        </w:rPr>
      </w:pPr>
    </w:p>
    <w:p w14:paraId="14E2357F">
      <w:pPr>
        <w:pStyle w:val="3"/>
        <w:spacing w:line="240" w:lineRule="atLeast"/>
        <w:rPr>
          <w:rFonts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lang w:eastAsia="zh-CN"/>
        </w:rPr>
        <w:t>5、投标保证金缴纳凭证或投标担保函</w:t>
      </w:r>
    </w:p>
    <w:p w14:paraId="45F573E5">
      <w:pPr>
        <w:ind w:firstLine="486" w:firstLineChars="200"/>
        <w:rPr>
          <w:rFonts w:ascii="仿宋" w:hAnsi="仿宋" w:eastAsia="仿宋" w:cs="仿宋"/>
          <w:color w:val="auto"/>
          <w:highlight w:val="none"/>
          <w:lang w:eastAsia="zh-CN"/>
        </w:rPr>
      </w:pPr>
      <w:bookmarkStart w:id="79" w:name="_Toc494296665"/>
      <w:bookmarkStart w:id="80" w:name="_Toc494296991"/>
    </w:p>
    <w:bookmarkEnd w:id="79"/>
    <w:bookmarkEnd w:id="80"/>
    <w:p w14:paraId="1CF584AB">
      <w:pPr>
        <w:pStyle w:val="5"/>
        <w:rPr>
          <w:rFonts w:ascii="仿宋" w:hAnsi="仿宋" w:eastAsia="仿宋" w:cs="仿宋"/>
          <w:color w:val="auto"/>
          <w:highlight w:val="none"/>
          <w:lang w:eastAsia="zh-CN"/>
        </w:rPr>
      </w:pPr>
    </w:p>
    <w:p w14:paraId="143D13EA">
      <w:pPr>
        <w:pStyle w:val="5"/>
        <w:rPr>
          <w:rFonts w:ascii="仿宋" w:hAnsi="仿宋" w:eastAsia="仿宋" w:cs="仿宋"/>
          <w:color w:val="auto"/>
          <w:highlight w:val="none"/>
        </w:rPr>
      </w:pPr>
    </w:p>
    <w:p w14:paraId="2B05E11A">
      <w:pPr>
        <w:spacing w:line="240" w:lineRule="atLeast"/>
        <w:ind w:left="1164" w:leftChars="257" w:hanging="540"/>
        <w:jc w:val="center"/>
        <w:rPr>
          <w:rFonts w:ascii="仿宋" w:hAnsi="仿宋" w:eastAsia="仿宋" w:cs="仿宋"/>
          <w:color w:val="auto"/>
          <w:highlight w:val="none"/>
        </w:rPr>
      </w:pPr>
    </w:p>
    <w:p w14:paraId="36810BFA">
      <w:pPr>
        <w:rPr>
          <w:rFonts w:ascii="仿宋" w:hAnsi="仿宋" w:eastAsia="仿宋" w:cs="仿宋"/>
          <w:color w:val="auto"/>
          <w:sz w:val="28"/>
          <w:szCs w:val="28"/>
          <w:highlight w:val="none"/>
        </w:rPr>
      </w:pPr>
    </w:p>
    <w:tbl>
      <w:tblPr>
        <w:tblStyle w:val="22"/>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5AAFF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0A1DE970">
            <w:pPr>
              <w:rPr>
                <w:rFonts w:ascii="仿宋" w:hAnsi="仿宋" w:eastAsia="仿宋" w:cs="仿宋"/>
                <w:b/>
                <w:bCs/>
                <w:color w:val="auto"/>
                <w:sz w:val="30"/>
                <w:szCs w:val="30"/>
                <w:highlight w:val="none"/>
              </w:rPr>
            </w:pPr>
          </w:p>
          <w:p w14:paraId="2F623500">
            <w:pPr>
              <w:jc w:val="center"/>
              <w:rPr>
                <w:rFonts w:ascii="仿宋" w:hAnsi="仿宋" w:eastAsia="仿宋" w:cs="仿宋"/>
                <w:b/>
                <w:bCs/>
                <w:color w:val="auto"/>
                <w:sz w:val="30"/>
                <w:szCs w:val="30"/>
                <w:highlight w:val="none"/>
              </w:rPr>
            </w:pPr>
          </w:p>
          <w:p w14:paraId="02B05996">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打款凭证</w:t>
            </w:r>
          </w:p>
        </w:tc>
      </w:tr>
    </w:tbl>
    <w:p w14:paraId="69D63D30">
      <w:pPr>
        <w:pStyle w:val="5"/>
        <w:rPr>
          <w:rFonts w:ascii="仿宋" w:hAnsi="仿宋" w:eastAsia="仿宋" w:cs="仿宋"/>
          <w:color w:val="auto"/>
          <w:highlight w:val="none"/>
        </w:rPr>
      </w:pPr>
    </w:p>
    <w:p w14:paraId="7CBD192C">
      <w:pPr>
        <w:pStyle w:val="5"/>
        <w:rPr>
          <w:rFonts w:ascii="仿宋" w:hAnsi="仿宋" w:eastAsia="仿宋" w:cs="仿宋"/>
          <w:color w:val="auto"/>
          <w:highlight w:val="none"/>
        </w:rPr>
      </w:pPr>
    </w:p>
    <w:p w14:paraId="66AEC2F8">
      <w:pPr>
        <w:pStyle w:val="5"/>
        <w:rPr>
          <w:rFonts w:ascii="仿宋" w:hAnsi="仿宋" w:eastAsia="仿宋" w:cs="仿宋"/>
          <w:color w:val="auto"/>
          <w:highlight w:val="none"/>
        </w:rPr>
      </w:pPr>
    </w:p>
    <w:p w14:paraId="7B458EA8">
      <w:pPr>
        <w:pStyle w:val="5"/>
        <w:rPr>
          <w:rFonts w:ascii="仿宋" w:hAnsi="仿宋" w:eastAsia="仿宋" w:cs="仿宋"/>
          <w:color w:val="auto"/>
          <w:highlight w:val="none"/>
        </w:rPr>
      </w:pPr>
    </w:p>
    <w:p w14:paraId="6EDD0FE8">
      <w:pPr>
        <w:pStyle w:val="5"/>
        <w:rPr>
          <w:rFonts w:ascii="仿宋" w:hAnsi="仿宋" w:eastAsia="仿宋" w:cs="仿宋"/>
          <w:color w:val="auto"/>
          <w:highlight w:val="none"/>
        </w:rPr>
      </w:pPr>
    </w:p>
    <w:p w14:paraId="29836063">
      <w:pPr>
        <w:pStyle w:val="5"/>
        <w:rPr>
          <w:rFonts w:ascii="仿宋" w:hAnsi="仿宋" w:eastAsia="仿宋" w:cs="仿宋"/>
          <w:color w:val="auto"/>
          <w:highlight w:val="none"/>
        </w:rPr>
      </w:pPr>
    </w:p>
    <w:p w14:paraId="6BE88EF8">
      <w:pPr>
        <w:rPr>
          <w:rFonts w:ascii="仿宋" w:hAnsi="仿宋" w:eastAsia="仿宋" w:cs="仿宋"/>
          <w:color w:val="auto"/>
          <w:highlight w:val="none"/>
        </w:rPr>
      </w:pPr>
    </w:p>
    <w:p w14:paraId="2B68FAD4">
      <w:pPr>
        <w:pStyle w:val="4"/>
        <w:rPr>
          <w:rFonts w:ascii="仿宋" w:hAnsi="仿宋" w:eastAsia="仿宋" w:cs="仿宋"/>
          <w:color w:val="auto"/>
          <w:highlight w:val="none"/>
        </w:rPr>
      </w:pPr>
    </w:p>
    <w:p w14:paraId="74F0E658">
      <w:pPr>
        <w:rPr>
          <w:rFonts w:ascii="仿宋" w:hAnsi="仿宋" w:eastAsia="仿宋" w:cs="仿宋"/>
          <w:color w:val="auto"/>
          <w:highlight w:val="none"/>
        </w:rPr>
      </w:pPr>
    </w:p>
    <w:p w14:paraId="23DC0B18">
      <w:pPr>
        <w:rPr>
          <w:rFonts w:ascii="仿宋" w:hAnsi="仿宋" w:eastAsia="仿宋" w:cs="仿宋"/>
          <w:color w:val="auto"/>
          <w:highlight w:val="none"/>
        </w:rPr>
      </w:pPr>
    </w:p>
    <w:p w14:paraId="482D98BA">
      <w:pPr>
        <w:rPr>
          <w:rFonts w:ascii="仿宋" w:hAnsi="仿宋" w:eastAsia="仿宋" w:cs="仿宋"/>
          <w:color w:val="auto"/>
          <w:highlight w:val="none"/>
        </w:rPr>
      </w:pPr>
    </w:p>
    <w:p w14:paraId="0271CD2F">
      <w:pPr>
        <w:jc w:val="center"/>
        <w:rPr>
          <w:rFonts w:ascii="仿宋" w:hAnsi="仿宋" w:eastAsia="仿宋" w:cs="仿宋"/>
          <w:color w:val="auto"/>
          <w:sz w:val="28"/>
          <w:szCs w:val="28"/>
          <w:highlight w:val="none"/>
        </w:rPr>
      </w:pPr>
    </w:p>
    <w:p w14:paraId="2F3287FF">
      <w:pPr>
        <w:jc w:val="center"/>
        <w:rPr>
          <w:rFonts w:ascii="仿宋" w:hAnsi="仿宋" w:eastAsia="仿宋" w:cs="仿宋"/>
          <w:color w:val="auto"/>
          <w:sz w:val="28"/>
          <w:szCs w:val="28"/>
          <w:highlight w:val="none"/>
        </w:rPr>
      </w:pPr>
    </w:p>
    <w:p w14:paraId="2FE84A8B">
      <w:pPr>
        <w:jc w:val="center"/>
        <w:rPr>
          <w:rFonts w:ascii="仿宋" w:hAnsi="仿宋" w:eastAsia="仿宋" w:cs="仿宋"/>
          <w:color w:val="auto"/>
          <w:sz w:val="28"/>
          <w:szCs w:val="28"/>
          <w:highlight w:val="none"/>
        </w:rPr>
      </w:pPr>
    </w:p>
    <w:p w14:paraId="7913F04A">
      <w:pPr>
        <w:jc w:val="center"/>
        <w:rPr>
          <w:rFonts w:ascii="仿宋" w:hAnsi="仿宋" w:eastAsia="仿宋" w:cs="仿宋"/>
          <w:color w:val="auto"/>
          <w:sz w:val="28"/>
          <w:szCs w:val="28"/>
          <w:highlight w:val="none"/>
        </w:rPr>
      </w:pPr>
    </w:p>
    <w:p w14:paraId="16A3A5F5">
      <w:pPr>
        <w:jc w:val="center"/>
        <w:rPr>
          <w:rFonts w:ascii="仿宋" w:hAnsi="仿宋" w:eastAsia="仿宋" w:cs="仿宋"/>
          <w:color w:val="auto"/>
          <w:sz w:val="28"/>
          <w:szCs w:val="28"/>
          <w:highlight w:val="none"/>
        </w:rPr>
      </w:pPr>
    </w:p>
    <w:p w14:paraId="02F622EB">
      <w:pPr>
        <w:jc w:val="center"/>
        <w:rPr>
          <w:rFonts w:ascii="仿宋" w:hAnsi="仿宋" w:eastAsia="仿宋" w:cs="仿宋"/>
          <w:color w:val="auto"/>
          <w:sz w:val="28"/>
          <w:szCs w:val="28"/>
          <w:highlight w:val="none"/>
        </w:rPr>
      </w:pPr>
    </w:p>
    <w:p w14:paraId="5EE3F876">
      <w:pPr>
        <w:jc w:val="center"/>
        <w:rPr>
          <w:rFonts w:ascii="仿宋" w:hAnsi="仿宋" w:eastAsia="仿宋" w:cs="仿宋"/>
          <w:color w:val="auto"/>
          <w:sz w:val="28"/>
          <w:szCs w:val="28"/>
          <w:highlight w:val="none"/>
        </w:rPr>
      </w:pPr>
    </w:p>
    <w:p w14:paraId="4A6BC33C">
      <w:pPr>
        <w:jc w:val="center"/>
        <w:rPr>
          <w:rFonts w:ascii="仿宋" w:hAnsi="仿宋" w:eastAsia="仿宋" w:cs="仿宋"/>
          <w:color w:val="auto"/>
          <w:sz w:val="28"/>
          <w:szCs w:val="28"/>
          <w:highlight w:val="none"/>
        </w:rPr>
      </w:pPr>
    </w:p>
    <w:p w14:paraId="5C8C2891">
      <w:pPr>
        <w:pStyle w:val="28"/>
        <w:rPr>
          <w:color w:val="auto"/>
        </w:rPr>
      </w:pPr>
    </w:p>
    <w:p w14:paraId="0582B2DE">
      <w:pPr>
        <w:spacing w:line="360" w:lineRule="auto"/>
        <w:jc w:val="both"/>
        <w:rPr>
          <w:rFonts w:ascii="仿宋" w:hAnsi="仿宋" w:eastAsia="仿宋" w:cs="仿宋"/>
          <w:b/>
          <w:bCs/>
          <w:color w:val="auto"/>
          <w:sz w:val="28"/>
          <w:szCs w:val="28"/>
          <w:highlight w:val="none"/>
          <w:lang w:eastAsia="zh-CN"/>
        </w:rPr>
      </w:pPr>
    </w:p>
    <w:p w14:paraId="405DD722">
      <w:pPr>
        <w:spacing w:line="360" w:lineRule="auto"/>
        <w:jc w:val="center"/>
        <w:rPr>
          <w:rFonts w:hint="eastAsia" w:ascii="仿宋" w:hAnsi="仿宋" w:eastAsia="仿宋" w:cs="仿宋"/>
          <w:b/>
          <w:bCs/>
          <w:color w:val="auto"/>
          <w:sz w:val="28"/>
          <w:szCs w:val="28"/>
          <w:highlight w:val="none"/>
          <w:lang w:eastAsia="zh-CN"/>
        </w:rPr>
      </w:pPr>
    </w:p>
    <w:p w14:paraId="4E3D1775">
      <w:pPr>
        <w:spacing w:line="360" w:lineRule="auto"/>
        <w:jc w:val="center"/>
        <w:rPr>
          <w:rFonts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eastAsia="zh-CN"/>
        </w:rPr>
        <w:t>政府采购投标担保函 （项目用）</w:t>
      </w:r>
    </w:p>
    <w:p w14:paraId="6DD0137D">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编号：</w:t>
      </w:r>
    </w:p>
    <w:p w14:paraId="33706263">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（采购人或采购代理机构）：</w:t>
      </w:r>
    </w:p>
    <w:p w14:paraId="247CB61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鉴于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（以下简称“供应商”）拟参加编号为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E7424CB">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项目（以下简称“本项目”）投标，根据本项目询价通知书，供应商参加投标时应向你方缴纳投标保证金，且可以投标担保函的形式缴纳投标保证金。应供应商的申请，我方以保证的方式向你方提供如下投标保证金担保：</w:t>
      </w:r>
    </w:p>
    <w:p w14:paraId="3EC7EA33">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一、保证责任的情形及保证金额</w:t>
      </w:r>
    </w:p>
    <w:p w14:paraId="14F32582">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（一）在供应商出现下列情形之一时，我方承担保证责任：</w:t>
      </w:r>
    </w:p>
    <w:p w14:paraId="733B0FC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1．中标后供应商无正当理由不与采购人或者采购代理机构签订《政府采购合同》；</w:t>
      </w:r>
    </w:p>
    <w:p w14:paraId="21D4862E">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2．询价通知书规定的供应商应当缴纳保证金的其他情形。</w:t>
      </w:r>
    </w:p>
    <w:p w14:paraId="108BED76">
      <w:pPr>
        <w:spacing w:line="360" w:lineRule="auto"/>
        <w:ind w:firstLine="243" w:firstLineChars="1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（二）我方承担保证责任的最高金额为人民币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元（大写</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），即本项目的投标保证金金额。</w:t>
      </w:r>
    </w:p>
    <w:p w14:paraId="3004F03E">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二、保证的方式及保证期间</w:t>
      </w:r>
    </w:p>
    <w:p w14:paraId="7EA82A21">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我方保证的方式为：连带责任保证。</w:t>
      </w:r>
    </w:p>
    <w:p w14:paraId="53828A1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我方的保证期间为：自本保函生效之日起</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个月止。</w:t>
      </w:r>
    </w:p>
    <w:p w14:paraId="2A1B4C2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三、承担保证责任的程序</w:t>
      </w:r>
    </w:p>
    <w:p w14:paraId="266B6FC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61A9E2F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2．我方在收到索赔通知及相关证明材料后，在</w:t>
      </w:r>
      <w:r>
        <w:rPr>
          <w:rFonts w:hint="eastAsia" w:ascii="仿宋" w:hAnsi="仿宋" w:eastAsia="仿宋" w:cs="仿宋"/>
          <w:color w:val="auto"/>
          <w:highlight w:val="none"/>
          <w:u w:val="single"/>
          <w:lang w:eastAsia="zh-CN"/>
        </w:rPr>
        <w:t>　　　</w:t>
      </w:r>
      <w:r>
        <w:rPr>
          <w:rFonts w:hint="eastAsia" w:ascii="仿宋" w:hAnsi="仿宋" w:eastAsia="仿宋" w:cs="仿宋"/>
          <w:color w:val="auto"/>
          <w:highlight w:val="none"/>
          <w:lang w:eastAsia="zh-CN"/>
        </w:rPr>
        <w:t>个工作日内进行审查，符合应承担保证责任情形的，我方应按照你方的要求代供应商向你方支付投标保证金。</w:t>
      </w:r>
    </w:p>
    <w:p w14:paraId="5DC8192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四、保证责任的终止</w:t>
      </w:r>
    </w:p>
    <w:p w14:paraId="70E0F202">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1．保证期间届满你方未向我方书面主张保证责任的，自保证期间届满次日起，我方保证责任自动终止。</w:t>
      </w:r>
    </w:p>
    <w:p w14:paraId="0D4F0059">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2．我方按照本保函向你贵方履行了保证责任后，自我方向你贵方支付款项（支付款项从我方账户划出）之日起，保证责任终止。</w:t>
      </w:r>
    </w:p>
    <w:p w14:paraId="38EDA27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3．按照法律法规的规定或出现我方保证责任终止的其它情形的，我方在本保函项下的保证责任亦终止。</w:t>
      </w:r>
    </w:p>
    <w:p w14:paraId="49C0E310">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五、免责条款</w:t>
      </w:r>
    </w:p>
    <w:p w14:paraId="3BD7BD7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1．依照法律规定或你方与供应商的另行约定，全部或者部分免除供应商投标保证金义务时，我方亦免除相应的保证责任。</w:t>
      </w:r>
    </w:p>
    <w:p w14:paraId="2BF85EE5">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2．因你方原因致使供应商发生本保函第一条第（一）款约定情形的，我方不承担保证责任。</w:t>
      </w:r>
    </w:p>
    <w:p w14:paraId="2D3D2EF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3．因不可抗力造成供应商发生本保函第一条约定情形的，我方不承担保证责任。</w:t>
      </w:r>
    </w:p>
    <w:p w14:paraId="7BEF9828">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4．你方或其他有权机关对询价通知书进行任何澄清或修改，加重我方保证责任的，我方对加重部分不承担保证责任，但该澄清或修改经我方事先书面同意的除外。</w:t>
      </w:r>
    </w:p>
    <w:p w14:paraId="5A7446FF">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六、争议的解决</w:t>
      </w:r>
    </w:p>
    <w:p w14:paraId="7AB396A7">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因本保函发生的纠纷，由你我双方协商解决，协商不成的，通过诉讼程序解决，诉讼管辖地法院为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法院。</w:t>
      </w:r>
    </w:p>
    <w:p w14:paraId="6E1983B6">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七、保函的生效</w:t>
      </w:r>
    </w:p>
    <w:p w14:paraId="26EEF483">
      <w:pPr>
        <w:spacing w:line="360" w:lineRule="auto"/>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本保函自我方加盖公章之日起生效。</w:t>
      </w:r>
    </w:p>
    <w:p w14:paraId="75012BC5">
      <w:pPr>
        <w:spacing w:line="360" w:lineRule="auto"/>
        <w:ind w:firstLine="6439" w:firstLineChars="2650"/>
        <w:rPr>
          <w:rFonts w:ascii="仿宋" w:hAnsi="仿宋" w:eastAsia="仿宋" w:cs="仿宋"/>
          <w:color w:val="auto"/>
          <w:highlight w:val="none"/>
          <w:lang w:eastAsia="zh-CN"/>
        </w:rPr>
      </w:pPr>
    </w:p>
    <w:p w14:paraId="4E226EC2">
      <w:pPr>
        <w:spacing w:line="360" w:lineRule="auto"/>
        <w:ind w:firstLine="6439" w:firstLineChars="2650"/>
        <w:rPr>
          <w:rFonts w:ascii="仿宋" w:hAnsi="仿宋" w:eastAsia="仿宋" w:cs="仿宋"/>
          <w:color w:val="auto"/>
          <w:highlight w:val="none"/>
          <w:lang w:eastAsia="zh-CN"/>
        </w:rPr>
      </w:pPr>
    </w:p>
    <w:p w14:paraId="4508B737">
      <w:pPr>
        <w:spacing w:line="360" w:lineRule="auto"/>
        <w:ind w:firstLine="6439" w:firstLineChars="2650"/>
        <w:rPr>
          <w:rFonts w:ascii="仿宋" w:hAnsi="仿宋" w:eastAsia="仿宋" w:cs="仿宋"/>
          <w:color w:val="auto"/>
          <w:highlight w:val="none"/>
          <w:lang w:eastAsia="zh-CN"/>
        </w:rPr>
      </w:pPr>
      <w:r>
        <w:rPr>
          <w:rFonts w:hint="eastAsia" w:ascii="仿宋" w:hAnsi="仿宋" w:eastAsia="仿宋" w:cs="仿宋"/>
          <w:color w:val="auto"/>
          <w:highlight w:val="none"/>
          <w:lang w:eastAsia="zh-CN"/>
        </w:rPr>
        <w:t>保证人：（公章）</w:t>
      </w:r>
    </w:p>
    <w:p w14:paraId="48DE3547">
      <w:pPr>
        <w:spacing w:line="360" w:lineRule="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14A3B133">
      <w:pPr>
        <w:spacing w:line="360" w:lineRule="auto"/>
        <w:ind w:firstLine="6318" w:firstLineChars="2600"/>
        <w:rPr>
          <w:rFonts w:ascii="仿宋" w:hAnsi="仿宋" w:eastAsia="仿宋" w:cs="仿宋"/>
          <w:color w:val="auto"/>
          <w:highlight w:val="none"/>
          <w:lang w:eastAsia="zh-CN"/>
        </w:rPr>
        <w:sectPr>
          <w:pgSz w:w="11905" w:h="16838"/>
          <w:pgMar w:top="1440" w:right="1417" w:bottom="1440" w:left="1417" w:header="850" w:footer="992" w:gutter="0"/>
          <w:pgNumType w:fmt="decimal"/>
          <w:cols w:space="0" w:num="1"/>
          <w:docGrid w:type="linesAndChars" w:linePitch="325" w:charSpace="635"/>
        </w:sectPr>
      </w:pPr>
      <w:r>
        <w:rPr>
          <w:rFonts w:hint="eastAsia" w:ascii="仿宋" w:hAnsi="仿宋" w:eastAsia="仿宋" w:cs="仿宋"/>
          <w:color w:val="auto"/>
          <w:highlight w:val="none"/>
          <w:lang w:eastAsia="zh-CN"/>
        </w:rPr>
        <w:t>年     月      日</w:t>
      </w:r>
    </w:p>
    <w:p w14:paraId="1D76A158">
      <w:pPr>
        <w:spacing w:line="400" w:lineRule="exact"/>
        <w:ind w:firstLine="486" w:firstLineChars="200"/>
        <w:rPr>
          <w:rFonts w:ascii="仿宋" w:hAnsi="仿宋" w:eastAsia="仿宋" w:cs="仿宋"/>
          <w:b/>
          <w:bCs/>
          <w:color w:val="auto"/>
          <w:highlight w:val="none"/>
          <w:lang w:eastAsia="zh-CN"/>
        </w:rPr>
      </w:pPr>
    </w:p>
    <w:p w14:paraId="63748837">
      <w:pPr>
        <w:spacing w:line="400" w:lineRule="exact"/>
        <w:ind w:firstLine="486" w:firstLineChars="200"/>
        <w:rPr>
          <w:rFonts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6</w:t>
      </w:r>
      <w:r>
        <w:rPr>
          <w:rFonts w:hint="eastAsia" w:ascii="仿宋" w:hAnsi="仿宋" w:eastAsia="仿宋" w:cs="仿宋"/>
          <w:b/>
          <w:bCs/>
          <w:color w:val="auto"/>
          <w:highlight w:val="none"/>
          <w:lang w:eastAsia="zh-CN"/>
        </w:rPr>
        <w:t>、投标企业须提供供应商（被授权本单位在职人员）近6个月内任意1个月的有效社保证明</w:t>
      </w:r>
    </w:p>
    <w:p w14:paraId="5B1A7450">
      <w:pPr>
        <w:spacing w:line="400" w:lineRule="exact"/>
        <w:ind w:firstLine="486" w:firstLineChars="200"/>
        <w:rPr>
          <w:rFonts w:ascii="仿宋" w:hAnsi="仿宋" w:eastAsia="仿宋" w:cs="仿宋"/>
          <w:b/>
          <w:bCs/>
          <w:color w:val="auto"/>
          <w:highlight w:val="none"/>
          <w:lang w:eastAsia="zh-CN"/>
        </w:rPr>
      </w:pPr>
    </w:p>
    <w:p w14:paraId="3A611D1F">
      <w:pPr>
        <w:spacing w:line="400" w:lineRule="exact"/>
        <w:ind w:firstLine="486" w:firstLineChars="20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说明：复印件上应加盖本单位章</w:t>
      </w:r>
    </w:p>
    <w:p w14:paraId="7CD92931">
      <w:pPr>
        <w:pStyle w:val="30"/>
        <w:rPr>
          <w:rFonts w:hint="eastAsia" w:ascii="仿宋" w:hAnsi="仿宋" w:eastAsia="仿宋" w:cs="仿宋"/>
          <w:b/>
          <w:bCs/>
          <w:color w:val="auto"/>
          <w:highlight w:val="none"/>
          <w:lang w:eastAsia="zh-CN"/>
        </w:rPr>
      </w:pPr>
    </w:p>
    <w:p w14:paraId="43171EF6">
      <w:pPr>
        <w:pStyle w:val="30"/>
        <w:rPr>
          <w:rFonts w:hint="eastAsia" w:ascii="仿宋" w:hAnsi="仿宋" w:eastAsia="仿宋" w:cs="仿宋"/>
          <w:b/>
          <w:bCs/>
          <w:color w:val="auto"/>
          <w:highlight w:val="none"/>
          <w:lang w:eastAsia="zh-CN"/>
        </w:rPr>
      </w:pPr>
    </w:p>
    <w:p w14:paraId="4150C2ED">
      <w:pPr>
        <w:pStyle w:val="30"/>
        <w:rPr>
          <w:rFonts w:hint="eastAsia" w:ascii="仿宋" w:hAnsi="仿宋" w:eastAsia="仿宋" w:cs="仿宋"/>
          <w:b/>
          <w:bCs/>
          <w:color w:val="auto"/>
          <w:highlight w:val="none"/>
          <w:lang w:eastAsia="zh-CN"/>
        </w:rPr>
      </w:pPr>
    </w:p>
    <w:p w14:paraId="38241179">
      <w:pPr>
        <w:spacing w:line="400" w:lineRule="exact"/>
        <w:ind w:firstLine="486" w:firstLineChars="200"/>
        <w:rPr>
          <w:rFonts w:hint="eastAsia" w:ascii="仿宋" w:hAnsi="仿宋" w:eastAsia="仿宋" w:cs="仿宋"/>
          <w:b/>
          <w:bCs/>
          <w:color w:val="auto"/>
          <w:highlight w:val="none"/>
          <w:lang w:val="en-US" w:eastAsia="zh-CN"/>
        </w:rPr>
      </w:pPr>
      <w:r>
        <w:rPr>
          <w:rFonts w:hint="eastAsia" w:ascii="仿宋" w:hAnsi="仿宋" w:eastAsia="仿宋" w:cs="仿宋"/>
          <w:b/>
          <w:bCs/>
          <w:color w:val="auto"/>
          <w:highlight w:val="none"/>
          <w:lang w:val="en-US" w:eastAsia="zh-CN"/>
        </w:rPr>
        <w:t>7、所投产品属于第二类医疗器械的，投标企业须提供有效的行政主管部门颁发的医疗器械经营备案凭证（或医疗器械生产许可证或医疗器械经营许可证）；所投产品属于第三类医疗器械的，须提供有效的行政主管部门颁发的医疗器械生产许可证（或医疗器械经营许可证）。</w:t>
      </w:r>
    </w:p>
    <w:p w14:paraId="259A328C">
      <w:pPr>
        <w:spacing w:line="400" w:lineRule="exact"/>
        <w:ind w:firstLine="486" w:firstLineChars="200"/>
        <w:rPr>
          <w:rFonts w:hint="eastAsia" w:ascii="仿宋" w:hAnsi="仿宋" w:eastAsia="仿宋" w:cs="仿宋"/>
          <w:b/>
          <w:bCs/>
          <w:color w:val="auto"/>
          <w:highlight w:val="none"/>
          <w:lang w:val="en-US" w:eastAsia="zh-CN"/>
        </w:rPr>
      </w:pPr>
    </w:p>
    <w:p w14:paraId="2EBAD38F">
      <w:pPr>
        <w:pStyle w:val="32"/>
        <w:ind w:firstLine="0"/>
        <w:rPr>
          <w:rFonts w:ascii="仿宋" w:hAnsi="仿宋" w:eastAsia="仿宋" w:cs="仿宋"/>
          <w:color w:val="auto"/>
          <w:highlight w:val="none"/>
          <w:lang w:eastAsia="zh-CN"/>
        </w:rPr>
      </w:pPr>
    </w:p>
    <w:p w14:paraId="76CFE0FD">
      <w:pPr>
        <w:pStyle w:val="32"/>
        <w:rPr>
          <w:rFonts w:ascii="仿宋" w:hAnsi="仿宋" w:eastAsia="仿宋" w:cs="仿宋"/>
          <w:color w:val="auto"/>
          <w:highlight w:val="none"/>
          <w:lang w:eastAsia="zh-CN"/>
        </w:rPr>
      </w:pPr>
    </w:p>
    <w:p w14:paraId="1FCF5BCC">
      <w:pPr>
        <w:pStyle w:val="32"/>
        <w:rPr>
          <w:rFonts w:ascii="仿宋" w:hAnsi="仿宋" w:eastAsia="仿宋" w:cs="仿宋"/>
          <w:color w:val="auto"/>
          <w:highlight w:val="none"/>
          <w:lang w:eastAsia="zh-CN"/>
        </w:rPr>
      </w:pPr>
    </w:p>
    <w:p w14:paraId="12281476">
      <w:pPr>
        <w:pStyle w:val="32"/>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8</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lang w:val="en-US" w:eastAsia="zh-CN"/>
        </w:rPr>
        <w:t>参加政府采购活动前三年内，在经营活动中没有重大违法记录；未被“信用中国”（www.creditchina.gov.cn）、中国政府采购网（www.ccgp.gov.cn）列入失信被执行人、税收违法黑名单、政府采购严重违法失信行为记录名单</w:t>
      </w:r>
      <w:r>
        <w:rPr>
          <w:rFonts w:hint="eastAsia" w:ascii="仿宋" w:hAnsi="仿宋" w:eastAsia="仿宋" w:cs="仿宋"/>
          <w:b/>
          <w:bCs/>
          <w:color w:val="auto"/>
          <w:highlight w:val="none"/>
          <w:lang w:eastAsia="zh-CN"/>
        </w:rPr>
        <w:t>。</w:t>
      </w:r>
    </w:p>
    <w:p w14:paraId="04B59F64">
      <w:pPr>
        <w:pStyle w:val="32"/>
        <w:rPr>
          <w:rFonts w:ascii="仿宋" w:hAnsi="仿宋" w:eastAsia="仿宋" w:cs="仿宋"/>
          <w:b/>
          <w:bCs/>
          <w:color w:val="auto"/>
          <w:highlight w:val="none"/>
          <w:lang w:eastAsia="zh-CN"/>
        </w:rPr>
      </w:pPr>
    </w:p>
    <w:p w14:paraId="7CD06A30">
      <w:pPr>
        <w:rPr>
          <w:rFonts w:ascii="仿宋" w:hAnsi="仿宋" w:eastAsia="仿宋" w:cs="仿宋"/>
          <w:color w:val="auto"/>
          <w:highlight w:val="none"/>
          <w:lang w:eastAsia="zh-CN"/>
        </w:rPr>
      </w:pPr>
    </w:p>
    <w:p w14:paraId="0A49D4A5">
      <w:pPr>
        <w:spacing w:line="400" w:lineRule="exact"/>
        <w:ind w:firstLine="486" w:firstLineChars="200"/>
        <w:rPr>
          <w:rFonts w:ascii="仿宋" w:hAnsi="仿宋" w:eastAsia="仿宋" w:cs="仿宋"/>
          <w:b/>
          <w:bCs/>
          <w:color w:val="auto"/>
          <w:highlight w:val="none"/>
          <w:lang w:eastAsia="zh-CN"/>
        </w:rPr>
      </w:pPr>
    </w:p>
    <w:p w14:paraId="1FD777FB">
      <w:pPr>
        <w:spacing w:line="400" w:lineRule="exact"/>
        <w:ind w:firstLine="486" w:firstLineChars="200"/>
        <w:rPr>
          <w:rFonts w:hint="eastAsia" w:ascii="仿宋" w:hAnsi="仿宋" w:eastAsia="仿宋" w:cs="仿宋"/>
          <w:b/>
          <w:bCs/>
          <w:color w:val="auto"/>
          <w:highlight w:val="none"/>
          <w:lang w:eastAsia="zh-CN"/>
        </w:rPr>
      </w:pPr>
      <w:r>
        <w:rPr>
          <w:rFonts w:hint="eastAsia" w:ascii="仿宋" w:hAnsi="仿宋" w:eastAsia="仿宋" w:cs="仿宋"/>
          <w:b/>
          <w:bCs/>
          <w:color w:val="auto"/>
          <w:highlight w:val="none"/>
          <w:lang w:val="en-US" w:eastAsia="zh-CN"/>
        </w:rPr>
        <w:t>9</w:t>
      </w:r>
      <w:r>
        <w:rPr>
          <w:rFonts w:hint="eastAsia" w:ascii="仿宋" w:hAnsi="仿宋" w:eastAsia="仿宋" w:cs="仿宋"/>
          <w:b/>
          <w:bCs/>
          <w:color w:val="auto"/>
          <w:highlight w:val="none"/>
          <w:lang w:eastAsia="zh-CN"/>
        </w:rPr>
        <w:t>、供应商须知资料表要求的其他资格证明文件</w:t>
      </w:r>
    </w:p>
    <w:p w14:paraId="5AEFF18E">
      <w:pPr>
        <w:pStyle w:val="2"/>
        <w:spacing w:before="40" w:after="40" w:line="579" w:lineRule="auto"/>
        <w:jc w:val="both"/>
        <w:rPr>
          <w:rFonts w:hint="eastAsia" w:ascii="仿宋" w:hAnsi="仿宋" w:eastAsia="仿宋" w:cs="仿宋"/>
          <w:color w:val="auto"/>
          <w:sz w:val="32"/>
          <w:szCs w:val="32"/>
          <w:highlight w:val="none"/>
          <w:lang w:eastAsia="zh-CN"/>
        </w:rPr>
      </w:pPr>
      <w:bookmarkStart w:id="81" w:name="_Toc515647816"/>
      <w:bookmarkStart w:id="82" w:name="_Toc11180"/>
      <w:bookmarkStart w:id="83" w:name="_Toc22967"/>
      <w:bookmarkStart w:id="84" w:name="_Toc5695"/>
    </w:p>
    <w:p w14:paraId="35FCEE77">
      <w:pPr>
        <w:rPr>
          <w:rFonts w:hint="eastAsia" w:ascii="仿宋" w:hAnsi="仿宋" w:eastAsia="仿宋" w:cs="仿宋"/>
          <w:color w:val="auto"/>
          <w:sz w:val="32"/>
          <w:szCs w:val="32"/>
          <w:highlight w:val="none"/>
          <w:lang w:eastAsia="zh-CN"/>
        </w:rPr>
      </w:pPr>
    </w:p>
    <w:p w14:paraId="432D3169">
      <w:pPr>
        <w:pStyle w:val="4"/>
        <w:rPr>
          <w:rFonts w:hint="eastAsia" w:ascii="仿宋" w:hAnsi="仿宋" w:eastAsia="仿宋" w:cs="仿宋"/>
          <w:color w:val="auto"/>
          <w:sz w:val="32"/>
          <w:szCs w:val="32"/>
          <w:highlight w:val="none"/>
          <w:lang w:eastAsia="zh-CN"/>
        </w:rPr>
      </w:pPr>
    </w:p>
    <w:p w14:paraId="402545DC">
      <w:pPr>
        <w:rPr>
          <w:rFonts w:hint="eastAsia"/>
          <w:color w:val="auto"/>
          <w:highlight w:val="none"/>
          <w:lang w:eastAsia="zh-CN"/>
        </w:rPr>
      </w:pPr>
    </w:p>
    <w:p w14:paraId="7A9E5F39">
      <w:pPr>
        <w:pStyle w:val="2"/>
        <w:spacing w:before="40" w:after="40" w:line="579" w:lineRule="auto"/>
        <w:jc w:val="center"/>
        <w:rPr>
          <w:rFonts w:hint="eastAsia" w:ascii="仿宋" w:hAnsi="仿宋" w:eastAsia="仿宋" w:cs="仿宋"/>
          <w:color w:val="auto"/>
          <w:sz w:val="32"/>
          <w:szCs w:val="32"/>
          <w:highlight w:val="none"/>
          <w:lang w:eastAsia="zh-CN"/>
        </w:rPr>
      </w:pPr>
    </w:p>
    <w:p w14:paraId="3E95763D">
      <w:pPr>
        <w:rPr>
          <w:rFonts w:hint="eastAsia"/>
          <w:color w:val="auto"/>
          <w:lang w:eastAsia="zh-CN"/>
        </w:rPr>
      </w:pPr>
    </w:p>
    <w:p w14:paraId="162F65AD">
      <w:pPr>
        <w:pStyle w:val="6"/>
        <w:rPr>
          <w:rFonts w:hint="eastAsia"/>
          <w:color w:val="auto"/>
          <w:highlight w:val="none"/>
          <w:lang w:eastAsia="zh-CN"/>
        </w:rPr>
      </w:pPr>
    </w:p>
    <w:p w14:paraId="67B83301">
      <w:pPr>
        <w:pStyle w:val="2"/>
        <w:spacing w:before="40" w:after="40" w:line="579" w:lineRule="auto"/>
        <w:jc w:val="center"/>
        <w:rPr>
          <w:rFonts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lang w:eastAsia="zh-CN"/>
        </w:rPr>
        <w:t>第二部分  商务及技术文件</w:t>
      </w:r>
      <w:bookmarkEnd w:id="81"/>
      <w:bookmarkEnd w:id="82"/>
      <w:bookmarkEnd w:id="83"/>
      <w:bookmarkEnd w:id="84"/>
    </w:p>
    <w:p w14:paraId="18CA8374">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1、投标函</w:t>
      </w:r>
    </w:p>
    <w:p w14:paraId="211FCAF8">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2、开标一览表</w:t>
      </w:r>
    </w:p>
    <w:p w14:paraId="4706D5F0">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3、货物说明一览表</w:t>
      </w:r>
    </w:p>
    <w:p w14:paraId="23AD5412">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4、投标分项报价表</w:t>
      </w:r>
    </w:p>
    <w:p w14:paraId="1D383E70">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5、技术</w:t>
      </w:r>
      <w:r>
        <w:rPr>
          <w:rFonts w:hint="eastAsia" w:ascii="仿宋" w:hAnsi="仿宋" w:eastAsia="仿宋" w:cs="仿宋"/>
          <w:color w:val="auto"/>
          <w:highlight w:val="none"/>
          <w:lang w:val="en-US" w:eastAsia="zh-CN"/>
        </w:rPr>
        <w:t>条款</w:t>
      </w:r>
      <w:r>
        <w:rPr>
          <w:rFonts w:hint="eastAsia" w:ascii="仿宋" w:hAnsi="仿宋" w:eastAsia="仿宋" w:cs="仿宋"/>
          <w:color w:val="auto"/>
          <w:highlight w:val="none"/>
          <w:lang w:eastAsia="zh-CN"/>
        </w:rPr>
        <w:t>偏离表</w:t>
      </w:r>
    </w:p>
    <w:p w14:paraId="0D14C0BA">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6、商务条款偏离表</w:t>
      </w:r>
    </w:p>
    <w:p w14:paraId="59DCDD4F">
      <w:pPr>
        <w:pStyle w:val="10"/>
        <w:spacing w:line="400" w:lineRule="exac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7、供应商基本情况表</w:t>
      </w:r>
    </w:p>
    <w:p w14:paraId="2711B043">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8</w:t>
      </w:r>
      <w:r>
        <w:rPr>
          <w:rFonts w:hint="eastAsia" w:ascii="仿宋" w:hAnsi="仿宋" w:eastAsia="仿宋" w:cs="仿宋"/>
          <w:color w:val="auto"/>
          <w:highlight w:val="none"/>
          <w:lang w:eastAsia="zh-CN"/>
        </w:rPr>
        <w:t>、中小企业声明函(货物)</w:t>
      </w:r>
    </w:p>
    <w:p w14:paraId="4C12E877">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9</w:t>
      </w:r>
      <w:r>
        <w:rPr>
          <w:rFonts w:hint="eastAsia" w:ascii="仿宋" w:hAnsi="仿宋" w:eastAsia="仿宋" w:cs="仿宋"/>
          <w:color w:val="auto"/>
          <w:highlight w:val="none"/>
          <w:lang w:eastAsia="zh-CN"/>
        </w:rPr>
        <w:t>、《残疾人福利性单位声明函》</w:t>
      </w:r>
    </w:p>
    <w:p w14:paraId="706E4F77">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10</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商务</w:t>
      </w:r>
      <w:r>
        <w:rPr>
          <w:rFonts w:hint="eastAsia" w:ascii="仿宋" w:hAnsi="仿宋" w:eastAsia="仿宋" w:cs="仿宋"/>
          <w:color w:val="auto"/>
          <w:highlight w:val="none"/>
          <w:lang w:eastAsia="zh-CN"/>
        </w:rPr>
        <w:t>标准和细则中技术部分证明材料</w:t>
      </w:r>
    </w:p>
    <w:p w14:paraId="442E696F">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eastAsia="zh-CN"/>
        </w:rPr>
        <w:t>1</w:t>
      </w: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lang w:eastAsia="zh-CN"/>
        </w:rPr>
        <w:t>、评分标准和细则中技术部分证明材料（格式自拟）</w:t>
      </w:r>
    </w:p>
    <w:p w14:paraId="746F2164">
      <w:pPr>
        <w:pStyle w:val="10"/>
        <w:spacing w:line="400" w:lineRule="exact"/>
        <w:ind w:left="359" w:leftChars="148" w:firstLine="228"/>
        <w:rPr>
          <w:rFonts w:ascii="仿宋" w:hAnsi="仿宋" w:eastAsia="仿宋" w:cs="仿宋"/>
          <w:color w:val="auto"/>
          <w:highlight w:val="none"/>
          <w:lang w:eastAsia="zh-CN"/>
        </w:rPr>
      </w:pPr>
      <w:r>
        <w:rPr>
          <w:rFonts w:hint="eastAsia" w:ascii="仿宋" w:hAnsi="仿宋" w:eastAsia="仿宋" w:cs="仿宋"/>
          <w:color w:val="auto"/>
          <w:highlight w:val="none"/>
          <w:lang w:val="en-US" w:eastAsia="zh-CN"/>
        </w:rPr>
        <w:t>12</w:t>
      </w:r>
      <w:r>
        <w:rPr>
          <w:rFonts w:hint="eastAsia" w:ascii="仿宋" w:hAnsi="仿宋" w:eastAsia="仿宋" w:cs="仿宋"/>
          <w:color w:val="auto"/>
          <w:highlight w:val="none"/>
          <w:lang w:eastAsia="zh-CN"/>
        </w:rPr>
        <w:t>、供应商认为有必要提供的其他证明材料（格式自拟）</w:t>
      </w:r>
    </w:p>
    <w:p w14:paraId="57EA14C3">
      <w:pPr>
        <w:pStyle w:val="10"/>
        <w:tabs>
          <w:tab w:val="left" w:pos="5580"/>
        </w:tabs>
        <w:spacing w:line="400" w:lineRule="exact"/>
        <w:ind w:left="648" w:leftChars="267"/>
        <w:rPr>
          <w:rFonts w:ascii="仿宋" w:hAnsi="仿宋" w:eastAsia="仿宋" w:cs="仿宋"/>
          <w:color w:val="auto"/>
          <w:sz w:val="21"/>
          <w:szCs w:val="21"/>
          <w:highlight w:val="none"/>
          <w:lang w:eastAsia="zh-CN"/>
        </w:rPr>
      </w:pPr>
      <w:r>
        <w:rPr>
          <w:rFonts w:hint="eastAsia" w:ascii="仿宋" w:hAnsi="仿宋" w:eastAsia="仿宋" w:cs="仿宋"/>
          <w:color w:val="auto"/>
          <w:highlight w:val="none"/>
          <w:lang w:eastAsia="zh-CN"/>
        </w:rPr>
        <w:br w:type="page"/>
      </w:r>
    </w:p>
    <w:p w14:paraId="6DB4F8FB">
      <w:pPr>
        <w:pStyle w:val="7"/>
        <w:numPr>
          <w:ilvl w:val="0"/>
          <w:numId w:val="0"/>
        </w:numPr>
        <w:kinsoku w:val="0"/>
        <w:overflowPunct w:val="0"/>
        <w:spacing w:before="130" w:line="355" w:lineRule="auto"/>
        <w:ind w:left="480" w:right="7"/>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1、投标函</w:t>
      </w:r>
    </w:p>
    <w:p w14:paraId="2C436132">
      <w:pPr>
        <w:spacing w:line="440" w:lineRule="exact"/>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致：</w:t>
      </w:r>
      <w:r>
        <w:rPr>
          <w:rFonts w:hint="eastAsia" w:ascii="仿宋" w:hAnsi="仿宋" w:eastAsia="仿宋" w:cs="仿宋"/>
          <w:color w:val="auto"/>
          <w:highlight w:val="none"/>
          <w:u w:val="single"/>
          <w:lang w:eastAsia="zh-CN"/>
        </w:rPr>
        <w:t xml:space="preserve">                     </w:t>
      </w:r>
    </w:p>
    <w:p w14:paraId="005E7701">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为响应你方组织的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项目的招标[项目编号为：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，我方愿参与投标。</w:t>
      </w:r>
    </w:p>
    <w:p w14:paraId="2F8C639F">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我方确认收到贵方提供的</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招标文件的全部内容。</w:t>
      </w:r>
    </w:p>
    <w:p w14:paraId="129F87C3">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在参与投标前已详细研究了招标文件的所有内容，包括澄清、修改文件（如果有）和所有已提供的参考资料以及有关附件，我方完全明白并认为此招标文件没有倾向性，也不存在排斥潜在报价供应商的内容，我方同意招标文件的相关条款，放弃对招标文件提出误解和质疑的一切权力。</w:t>
      </w:r>
    </w:p>
    <w:p w14:paraId="6B7F2B91">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(供应商名称)      </w:t>
      </w:r>
      <w:r>
        <w:rPr>
          <w:rFonts w:hint="eastAsia" w:ascii="仿宋" w:hAnsi="仿宋" w:eastAsia="仿宋" w:cs="仿宋"/>
          <w:color w:val="auto"/>
          <w:highlight w:val="none"/>
          <w:lang w:eastAsia="zh-CN"/>
        </w:rPr>
        <w:t>作为供应商正式授权</w:t>
      </w:r>
      <w:r>
        <w:rPr>
          <w:rFonts w:hint="eastAsia" w:ascii="仿宋" w:hAnsi="仿宋" w:eastAsia="仿宋" w:cs="仿宋"/>
          <w:color w:val="auto"/>
          <w:highlight w:val="none"/>
          <w:u w:val="single"/>
          <w:lang w:eastAsia="zh-CN"/>
        </w:rPr>
        <w:t xml:space="preserve">  (授权代表全名, 职务)  </w:t>
      </w:r>
      <w:r>
        <w:rPr>
          <w:rFonts w:hint="eastAsia" w:ascii="仿宋" w:hAnsi="仿宋" w:eastAsia="仿宋" w:cs="仿宋"/>
          <w:color w:val="auto"/>
          <w:highlight w:val="none"/>
          <w:lang w:eastAsia="zh-CN"/>
        </w:rPr>
        <w:t>代表我方全权处理有关本报价的一切事宜。</w:t>
      </w:r>
    </w:p>
    <w:p w14:paraId="7EDEF98A">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我方已完全明白招标文件的所有条款要求，并申明如下：</w:t>
      </w:r>
    </w:p>
    <w:p w14:paraId="60009BF3">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（一）按招标文件提供的全部货物与相关服务的投标总价详见《报价一览表》。</w:t>
      </w:r>
    </w:p>
    <w:p w14:paraId="57FF4CF3">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（二）本投标文件的有效期为投标截止时间起</w:t>
      </w:r>
      <w:r>
        <w:rPr>
          <w:rFonts w:hint="eastAsia" w:ascii="仿宋" w:hAnsi="仿宋" w:eastAsia="仿宋" w:cs="仿宋"/>
          <w:color w:val="auto"/>
          <w:highlight w:val="none"/>
          <w:u w:val="single"/>
          <w:lang w:eastAsia="zh-CN"/>
        </w:rPr>
        <w:t>60</w:t>
      </w:r>
      <w:r>
        <w:rPr>
          <w:rFonts w:hint="eastAsia" w:ascii="仿宋" w:hAnsi="仿宋" w:eastAsia="仿宋" w:cs="仿宋"/>
          <w:color w:val="auto"/>
          <w:highlight w:val="none"/>
          <w:lang w:eastAsia="zh-CN"/>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14:paraId="2035A648">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（三）我方同意按照贵方可能提出的要求而提供与投标有关的任何其它数据、信息或资料。</w:t>
      </w:r>
    </w:p>
    <w:p w14:paraId="2524257B">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（四）我方理解贵方不一定接受最低投标价或任何贵方可能收到的投标。</w:t>
      </w:r>
    </w:p>
    <w:p w14:paraId="518E8862">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（五）我方如果中标，将保证履行招标文件及其澄清、修改文件（如果有）中的全部责任和义务，按质、按量、按期完成《招标内容》及《合同书》中的全部任务。</w:t>
      </w:r>
    </w:p>
    <w:p w14:paraId="0DB1FA54">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（六）如我方被授予合同，我方承诺支付就本次招标应支付或将支付的中标服务费（详见按招标文件要求格式填写的《中标服务费支付承诺书》）。</w:t>
      </w:r>
    </w:p>
    <w:p w14:paraId="34162FCD">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（七）我方作为在法律、财务和运作上独立于采购人、招标代理机构的供应商，在此保证所提交的所有文件和全部说明是真实的和正确的。</w:t>
      </w:r>
    </w:p>
    <w:p w14:paraId="402D775E">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（八）我方投标报价已包含应向知识产权所有权人支付的所有相关税费，并保证采购人在中国使用我方提供的货物时，如有第三方提出侵犯其知识产权主张的，责任由我方承担。</w:t>
      </w:r>
    </w:p>
    <w:p w14:paraId="784FCFB8">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（九）我方与其他供应商不存在单位负责人为同一人或者存在直接控股、管理关系。</w:t>
      </w:r>
    </w:p>
    <w:p w14:paraId="10451027">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（十）我方承诺未为本项目提供整体设计、规范编制或者项目管理、监理、检测等服务。</w:t>
      </w:r>
    </w:p>
    <w:p w14:paraId="069D5A7B">
      <w:pPr>
        <w:spacing w:line="48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（十一）我方具备《政府采购法》第二十二条规定的条件，承诺如下：</w:t>
      </w:r>
    </w:p>
    <w:p w14:paraId="07F4BCC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（1）我方已依法缴纳了各项税费及社会保险费用，如有需要，可随时向采购人提供近三个月内的相关缴费证明，以便核查。</w:t>
      </w:r>
    </w:p>
    <w:p w14:paraId="1959960E">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（2）我方已依法建立健全的财务会计制度，如有需要，可随时向采购人提供相关的证明材料，以便核查。</w:t>
      </w:r>
    </w:p>
    <w:p w14:paraId="701ADAAD">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（3）我方参加本项目政府采购活动前3年内在经营活动中没有重大违法记录。</w:t>
      </w:r>
    </w:p>
    <w:p w14:paraId="215B920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（4）我方具备履行合同所必需的设备和专业技术能力。</w:t>
      </w:r>
    </w:p>
    <w:p w14:paraId="76834A6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（5）我方符合法律、行政法规规定的其他条件。</w:t>
      </w:r>
    </w:p>
    <w:p w14:paraId="69FD95B2">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以上内容如有虚假或与事实不符的，评审委员会可将我方</w:t>
      </w:r>
      <w:r>
        <w:rPr>
          <w:rFonts w:hint="eastAsia" w:ascii="仿宋" w:hAnsi="仿宋" w:eastAsia="仿宋" w:cs="仿宋"/>
          <w:color w:val="auto"/>
          <w:highlight w:val="none"/>
          <w:lang w:val="en-US" w:eastAsia="zh-CN"/>
        </w:rPr>
        <w:t>作</w:t>
      </w:r>
      <w:r>
        <w:rPr>
          <w:rFonts w:hint="eastAsia" w:ascii="仿宋" w:hAnsi="仿宋" w:eastAsia="仿宋" w:cs="仿宋"/>
          <w:color w:val="auto"/>
          <w:highlight w:val="none"/>
          <w:lang w:eastAsia="zh-CN"/>
        </w:rPr>
        <w:t>无效投标处理，我方愿意承担相应的法律责任。</w:t>
      </w:r>
    </w:p>
    <w:p w14:paraId="6453780C">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w:t>
      </w:r>
      <w:r>
        <w:rPr>
          <w:rFonts w:hint="eastAsia" w:ascii="仿宋" w:hAnsi="仿宋" w:eastAsia="仿宋" w:cs="仿宋"/>
          <w:color w:val="auto"/>
          <w:highlight w:val="none"/>
          <w:lang w:val="en-US" w:eastAsia="zh-CN"/>
        </w:rPr>
        <w:t>二</w:t>
      </w:r>
      <w:r>
        <w:rPr>
          <w:rFonts w:hint="eastAsia" w:ascii="仿宋" w:hAnsi="仿宋" w:eastAsia="仿宋" w:cs="仿宋"/>
          <w:color w:val="auto"/>
          <w:highlight w:val="none"/>
          <w:lang w:eastAsia="zh-CN"/>
        </w:rPr>
        <w:t>）我方对在本函及投标文件中所作的所有承诺承担法律责任。</w:t>
      </w:r>
    </w:p>
    <w:p w14:paraId="3EDAB820">
      <w:pPr>
        <w:spacing w:line="440" w:lineRule="exact"/>
        <w:ind w:firstLine="486"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（十</w:t>
      </w:r>
      <w:r>
        <w:rPr>
          <w:rFonts w:hint="eastAsia" w:ascii="仿宋" w:hAnsi="仿宋" w:eastAsia="仿宋" w:cs="仿宋"/>
          <w:color w:val="auto"/>
          <w:highlight w:val="none"/>
          <w:lang w:val="en-US" w:eastAsia="zh-CN"/>
        </w:rPr>
        <w:t>三</w:t>
      </w:r>
      <w:r>
        <w:rPr>
          <w:rFonts w:hint="eastAsia" w:ascii="仿宋" w:hAnsi="仿宋" w:eastAsia="仿宋" w:cs="仿宋"/>
          <w:color w:val="auto"/>
          <w:highlight w:val="none"/>
          <w:lang w:eastAsia="zh-CN"/>
        </w:rPr>
        <w:t>）所有与本招标有关的函件请发往下列地址：</w:t>
      </w:r>
    </w:p>
    <w:p w14:paraId="413BC9EC">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地    址：</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.邮政编码：</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6AC022C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电    话：</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6FB0B2F">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传    真：</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D6F95A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代表姓名：</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.职    务：</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w:t>
      </w:r>
    </w:p>
    <w:p w14:paraId="54828220">
      <w:pPr>
        <w:spacing w:line="440" w:lineRule="exact"/>
        <w:ind w:right="48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（公章） </w:t>
      </w:r>
    </w:p>
    <w:p w14:paraId="013F9F5D">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法定代表人或委托人：</w:t>
      </w:r>
      <w:r>
        <w:rPr>
          <w:rFonts w:hint="eastAsia" w:ascii="仿宋" w:hAnsi="仿宋" w:eastAsia="仿宋" w:cs="仿宋"/>
          <w:color w:val="auto"/>
          <w:highlight w:val="non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（签章）  </w:t>
      </w:r>
    </w:p>
    <w:p w14:paraId="25A6DD2A">
      <w:pPr>
        <w:wordWrap w:val="0"/>
        <w:spacing w:line="440" w:lineRule="exact"/>
        <w:ind w:firstLine="486" w:firstLineChars="200"/>
        <w:jc w:val="right"/>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lang w:eastAsia="zh-CN"/>
        </w:rPr>
        <w:t>年</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月</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日</w:t>
      </w:r>
    </w:p>
    <w:p w14:paraId="2203BC1E">
      <w:pPr>
        <w:pStyle w:val="32"/>
        <w:rPr>
          <w:rFonts w:ascii="仿宋" w:hAnsi="仿宋" w:eastAsia="仿宋" w:cs="仿宋"/>
          <w:color w:val="auto"/>
          <w:highlight w:val="none"/>
          <w:lang w:eastAsia="zh-CN"/>
        </w:rPr>
      </w:pPr>
      <w:r>
        <w:rPr>
          <w:rFonts w:hint="eastAsia" w:ascii="仿宋" w:hAnsi="仿宋" w:eastAsia="仿宋" w:cs="仿宋"/>
          <w:color w:val="auto"/>
          <w:highlight w:val="none"/>
          <w:lang w:eastAsia="zh-CN"/>
        </w:rPr>
        <w:br w:type="page"/>
      </w:r>
    </w:p>
    <w:p w14:paraId="1CCC975C">
      <w:pPr>
        <w:pStyle w:val="5"/>
        <w:tabs>
          <w:tab w:val="left" w:pos="5580"/>
        </w:tabs>
        <w:spacing w:line="240" w:lineRule="atLeast"/>
        <w:ind w:firstLine="3364" w:firstLineChars="927"/>
        <w:jc w:val="both"/>
        <w:rPr>
          <w:rFonts w:ascii="仿宋" w:hAnsi="仿宋" w:eastAsia="仿宋" w:cs="仿宋"/>
          <w:color w:val="auto"/>
          <w:highlight w:val="none"/>
          <w:lang w:eastAsia="zh-CN"/>
        </w:rPr>
      </w:pPr>
      <w:r>
        <w:rPr>
          <w:rFonts w:hint="eastAsia" w:ascii="仿宋" w:hAnsi="仿宋" w:eastAsia="仿宋" w:cs="仿宋"/>
          <w:b/>
          <w:color w:val="auto"/>
          <w:sz w:val="36"/>
          <w:szCs w:val="24"/>
          <w:highlight w:val="none"/>
          <w:lang w:eastAsia="zh-CN"/>
        </w:rPr>
        <w:t>2、开标一览表</w:t>
      </w:r>
      <w:r>
        <w:rPr>
          <w:rFonts w:hint="eastAsia" w:ascii="仿宋" w:hAnsi="仿宋" w:eastAsia="仿宋" w:cs="仿宋"/>
          <w:b/>
          <w:color w:val="auto"/>
          <w:sz w:val="36"/>
          <w:szCs w:val="24"/>
          <w:highlight w:val="none"/>
          <w:lang w:eastAsia="zh-CN"/>
        </w:rPr>
        <w:cr/>
      </w:r>
    </w:p>
    <w:p w14:paraId="2608CBAB">
      <w:pPr>
        <w:adjustRightInd w:val="0"/>
        <w:snapToGrid w:val="0"/>
        <w:spacing w:line="500" w:lineRule="exact"/>
        <w:rPr>
          <w:rFonts w:ascii="仿宋" w:hAnsi="仿宋" w:eastAsia="仿宋" w:cs="仿宋"/>
          <w:color w:val="auto"/>
          <w:szCs w:val="21"/>
          <w:highlight w:val="none"/>
          <w:u w:val="single"/>
          <w:lang w:eastAsia="zh-CN"/>
        </w:rPr>
      </w:pPr>
      <w:r>
        <w:rPr>
          <w:rFonts w:hint="eastAsia" w:ascii="仿宋" w:hAnsi="仿宋" w:eastAsia="仿宋" w:cs="仿宋"/>
          <w:color w:val="auto"/>
          <w:szCs w:val="21"/>
          <w:highlight w:val="none"/>
          <w:lang w:eastAsia="zh-CN"/>
        </w:rPr>
        <w:t xml:space="preserve">招标项目名称： </w:t>
      </w:r>
      <w:r>
        <w:rPr>
          <w:rFonts w:hint="eastAsia" w:ascii="仿宋" w:hAnsi="仿宋" w:eastAsia="仿宋" w:cs="仿宋"/>
          <w:color w:val="auto"/>
          <w:szCs w:val="21"/>
          <w:highlight w:val="none"/>
          <w:u w:val="single"/>
          <w:lang w:eastAsia="zh-CN"/>
        </w:rPr>
        <w:t xml:space="preserve">                         </w:t>
      </w:r>
    </w:p>
    <w:p w14:paraId="15A6E5F9">
      <w:pPr>
        <w:adjustRightInd w:val="0"/>
        <w:snapToGrid w:val="0"/>
        <w:spacing w:line="500" w:lineRule="exact"/>
        <w:rPr>
          <w:rFonts w:ascii="仿宋" w:hAnsi="仿宋" w:eastAsia="仿宋" w:cs="仿宋"/>
          <w:i/>
          <w:iCs/>
          <w:color w:val="auto"/>
          <w:szCs w:val="21"/>
          <w:highlight w:val="none"/>
          <w:lang w:eastAsia="zh-CN"/>
        </w:rPr>
      </w:pPr>
      <w:r>
        <w:rPr>
          <w:rFonts w:hint="eastAsia" w:ascii="仿宋" w:hAnsi="仿宋" w:eastAsia="仿宋" w:cs="仿宋"/>
          <w:color w:val="auto"/>
          <w:szCs w:val="21"/>
          <w:highlight w:val="none"/>
          <w:lang w:eastAsia="zh-CN"/>
        </w:rPr>
        <w:t>招标项目编号：</w:t>
      </w:r>
      <w:r>
        <w:rPr>
          <w:rFonts w:hint="eastAsia" w:ascii="仿宋" w:hAnsi="仿宋" w:eastAsia="仿宋" w:cs="仿宋"/>
          <w:i/>
          <w:iCs/>
          <w:color w:val="auto"/>
          <w:szCs w:val="21"/>
          <w:highlight w:val="none"/>
          <w:lang w:eastAsia="zh-CN"/>
        </w:rPr>
        <w:t xml:space="preserve"> </w:t>
      </w:r>
      <w:r>
        <w:rPr>
          <w:rFonts w:hint="eastAsia" w:ascii="仿宋" w:hAnsi="仿宋" w:eastAsia="仿宋" w:cs="仿宋"/>
          <w:color w:val="auto"/>
          <w:szCs w:val="21"/>
          <w:highlight w:val="none"/>
          <w:u w:val="single"/>
          <w:lang w:eastAsia="zh-CN"/>
        </w:rPr>
        <w:t xml:space="preserve">                         </w:t>
      </w:r>
    </w:p>
    <w:p w14:paraId="0099FF1A">
      <w:pPr>
        <w:spacing w:line="500" w:lineRule="exact"/>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 xml:space="preserve">                                                 单位：元（人民币）</w:t>
      </w:r>
    </w:p>
    <w:tbl>
      <w:tblPr>
        <w:tblStyle w:val="22"/>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14:paraId="4D78A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vAlign w:val="center"/>
          </w:tcPr>
          <w:p w14:paraId="1AD27CCF">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项目名称</w:t>
            </w:r>
          </w:p>
        </w:tc>
        <w:tc>
          <w:tcPr>
            <w:tcW w:w="6185" w:type="dxa"/>
            <w:vAlign w:val="center"/>
          </w:tcPr>
          <w:p w14:paraId="10BC4066">
            <w:pPr>
              <w:rPr>
                <w:rFonts w:ascii="仿宋" w:hAnsi="仿宋" w:eastAsia="仿宋" w:cs="仿宋"/>
                <w:color w:val="auto"/>
                <w:szCs w:val="21"/>
                <w:highlight w:val="none"/>
              </w:rPr>
            </w:pPr>
          </w:p>
        </w:tc>
      </w:tr>
      <w:tr w14:paraId="03B1B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vAlign w:val="center"/>
          </w:tcPr>
          <w:p w14:paraId="18762911">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供货期</w:t>
            </w:r>
          </w:p>
        </w:tc>
        <w:tc>
          <w:tcPr>
            <w:tcW w:w="6185" w:type="dxa"/>
            <w:vAlign w:val="center"/>
          </w:tcPr>
          <w:p w14:paraId="0201A67F">
            <w:pPr>
              <w:jc w:val="center"/>
              <w:rPr>
                <w:rFonts w:ascii="仿宋" w:hAnsi="仿宋" w:eastAsia="仿宋" w:cs="仿宋"/>
                <w:color w:val="auto"/>
                <w:szCs w:val="21"/>
                <w:highlight w:val="none"/>
                <w:lang w:eastAsia="zh-CN"/>
              </w:rPr>
            </w:pPr>
          </w:p>
        </w:tc>
      </w:tr>
      <w:tr w14:paraId="02A09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vAlign w:val="center"/>
          </w:tcPr>
          <w:p w14:paraId="7D784629">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185" w:type="dxa"/>
            <w:vAlign w:val="center"/>
          </w:tcPr>
          <w:p w14:paraId="0029C9F5">
            <w:pPr>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60天</w:t>
            </w:r>
          </w:p>
        </w:tc>
      </w:tr>
      <w:tr w14:paraId="13F87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vAlign w:val="center"/>
          </w:tcPr>
          <w:p w14:paraId="5D378244">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投标报价</w:t>
            </w:r>
          </w:p>
          <w:p w14:paraId="2810F1E7">
            <w:pPr>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（人民币）</w:t>
            </w:r>
          </w:p>
        </w:tc>
        <w:tc>
          <w:tcPr>
            <w:tcW w:w="974" w:type="dxa"/>
            <w:tcBorders>
              <w:top w:val="single" w:color="auto" w:sz="4" w:space="0"/>
              <w:bottom w:val="single" w:color="auto" w:sz="4" w:space="0"/>
            </w:tcBorders>
            <w:vAlign w:val="center"/>
          </w:tcPr>
          <w:p w14:paraId="2DD0CE36">
            <w:pPr>
              <w:widowControl/>
              <w:jc w:val="center"/>
              <w:rPr>
                <w:rFonts w:ascii="仿宋" w:hAnsi="仿宋" w:eastAsia="仿宋" w:cs="仿宋"/>
                <w:color w:val="auto"/>
                <w:szCs w:val="21"/>
                <w:highlight w:val="none"/>
              </w:rPr>
            </w:pPr>
            <w:r>
              <w:rPr>
                <w:rFonts w:hint="eastAsia" w:ascii="仿宋" w:hAnsi="仿宋" w:eastAsia="仿宋" w:cs="仿宋"/>
                <w:color w:val="auto"/>
                <w:szCs w:val="21"/>
                <w:highlight w:val="none"/>
              </w:rPr>
              <w:t>小写</w:t>
            </w:r>
          </w:p>
        </w:tc>
        <w:tc>
          <w:tcPr>
            <w:tcW w:w="6185" w:type="dxa"/>
            <w:vAlign w:val="center"/>
          </w:tcPr>
          <w:p w14:paraId="3FACBC33">
            <w:pPr>
              <w:jc w:val="center"/>
              <w:rPr>
                <w:rFonts w:ascii="仿宋" w:hAnsi="仿宋" w:eastAsia="仿宋" w:cs="仿宋"/>
                <w:color w:val="auto"/>
                <w:szCs w:val="21"/>
                <w:highlight w:val="none"/>
              </w:rPr>
            </w:pPr>
          </w:p>
        </w:tc>
      </w:tr>
      <w:tr w14:paraId="6CB5A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vAlign w:val="center"/>
          </w:tcPr>
          <w:p w14:paraId="51888F1E">
            <w:pPr>
              <w:jc w:val="center"/>
              <w:rPr>
                <w:rFonts w:ascii="仿宋" w:hAnsi="仿宋" w:eastAsia="仿宋" w:cs="仿宋"/>
                <w:color w:val="auto"/>
                <w:szCs w:val="21"/>
                <w:highlight w:val="none"/>
              </w:rPr>
            </w:pPr>
          </w:p>
        </w:tc>
        <w:tc>
          <w:tcPr>
            <w:tcW w:w="974" w:type="dxa"/>
            <w:tcBorders>
              <w:top w:val="single" w:color="auto" w:sz="4" w:space="0"/>
              <w:bottom w:val="single" w:color="auto" w:sz="4" w:space="0"/>
            </w:tcBorders>
            <w:vAlign w:val="center"/>
          </w:tcPr>
          <w:p w14:paraId="49EC6D07">
            <w:pPr>
              <w:widowControl/>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大写</w:t>
            </w:r>
          </w:p>
        </w:tc>
        <w:tc>
          <w:tcPr>
            <w:tcW w:w="6185" w:type="dxa"/>
            <w:vAlign w:val="center"/>
          </w:tcPr>
          <w:p w14:paraId="5D9D1CED">
            <w:pPr>
              <w:jc w:val="center"/>
              <w:rPr>
                <w:rFonts w:ascii="仿宋" w:hAnsi="仿宋" w:eastAsia="仿宋" w:cs="仿宋"/>
                <w:color w:val="auto"/>
                <w:szCs w:val="21"/>
                <w:highlight w:val="none"/>
              </w:rPr>
            </w:pPr>
          </w:p>
        </w:tc>
      </w:tr>
    </w:tbl>
    <w:p w14:paraId="320F37F2">
      <w:pPr>
        <w:spacing w:line="500" w:lineRule="exact"/>
        <w:ind w:firstLine="475" w:firstLineChars="196"/>
        <w:rPr>
          <w:rFonts w:ascii="仿宋" w:hAnsi="仿宋" w:eastAsia="仿宋" w:cs="仿宋"/>
          <w:color w:val="auto"/>
          <w:szCs w:val="21"/>
          <w:highlight w:val="none"/>
        </w:rPr>
      </w:pPr>
      <w:r>
        <w:rPr>
          <w:rFonts w:hint="eastAsia" w:ascii="仿宋" w:hAnsi="仿宋" w:eastAsia="仿宋" w:cs="仿宋"/>
          <w:color w:val="auto"/>
          <w:szCs w:val="21"/>
          <w:highlight w:val="none"/>
        </w:rPr>
        <w:t>填写说明：</w:t>
      </w:r>
    </w:p>
    <w:p w14:paraId="4EDF028D">
      <w:pPr>
        <w:spacing w:line="500" w:lineRule="exact"/>
        <w:ind w:firstLine="475" w:firstLineChars="196"/>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1.为方便开标唱标，供应商应将开标一览表单独密封，并在信封上标明“开标一览表”字样，然后在递交投标文件时单独递交</w:t>
      </w:r>
      <w:r>
        <w:rPr>
          <w:rFonts w:hint="eastAsia" w:ascii="仿宋" w:hAnsi="仿宋" w:eastAsia="仿宋" w:cs="仿宋"/>
          <w:b/>
          <w:bCs/>
          <w:color w:val="auto"/>
          <w:highlight w:val="none"/>
          <w:lang w:eastAsia="zh-CN"/>
        </w:rPr>
        <w:t>。</w:t>
      </w:r>
    </w:p>
    <w:p w14:paraId="1956CCE6">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2.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14:paraId="10B3C213">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3.投标总价为招标范围所列全部招标项目的报价总和，并应与投标报价明细表及分项价格表保持一致。</w:t>
      </w:r>
    </w:p>
    <w:p w14:paraId="55BDD4EC">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4.必须在投标文件中装订。</w:t>
      </w:r>
    </w:p>
    <w:p w14:paraId="22C3612A">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5.投标报价不得填报选择性报价。</w:t>
      </w:r>
    </w:p>
    <w:p w14:paraId="32C9E20A">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供应商名称：</w:t>
      </w:r>
      <w:r>
        <w:rPr>
          <w:rFonts w:hint="eastAsia" w:ascii="仿宋" w:hAnsi="仿宋" w:eastAsia="仿宋" w:cs="仿宋"/>
          <w:color w:val="auto"/>
          <w:szCs w:val="21"/>
          <w:highlight w:val="none"/>
          <w:u w:val="single"/>
          <w:lang w:eastAsia="zh-CN"/>
        </w:rPr>
        <w:t xml:space="preserve">    （加盖公章）     </w:t>
      </w:r>
      <w:r>
        <w:rPr>
          <w:rFonts w:hint="eastAsia" w:ascii="仿宋" w:hAnsi="仿宋" w:eastAsia="仿宋" w:cs="仿宋"/>
          <w:color w:val="auto"/>
          <w:szCs w:val="21"/>
          <w:highlight w:val="none"/>
          <w:lang w:eastAsia="zh-CN"/>
        </w:rPr>
        <w:t xml:space="preserve">       </w:t>
      </w:r>
    </w:p>
    <w:p w14:paraId="016770F2">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法定代表人签字或盖章：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30AD11C2">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授权代表签字或盖章：</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w:t>
      </w:r>
    </w:p>
    <w:p w14:paraId="3FC8A3EE">
      <w:pPr>
        <w:spacing w:line="500" w:lineRule="exact"/>
        <w:ind w:firstLine="486" w:firstLineChars="200"/>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签署日期：</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 年</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 xml:space="preserve">月 </w:t>
      </w:r>
      <w:r>
        <w:rPr>
          <w:rFonts w:hint="eastAsia" w:ascii="仿宋" w:hAnsi="仿宋" w:eastAsia="仿宋" w:cs="仿宋"/>
          <w:color w:val="auto"/>
          <w:szCs w:val="21"/>
          <w:highlight w:val="none"/>
          <w:u w:val="single"/>
          <w:lang w:eastAsia="zh-CN"/>
        </w:rPr>
        <w:t xml:space="preserve">    </w:t>
      </w:r>
      <w:r>
        <w:rPr>
          <w:rFonts w:hint="eastAsia" w:ascii="仿宋" w:hAnsi="仿宋" w:eastAsia="仿宋" w:cs="仿宋"/>
          <w:color w:val="auto"/>
          <w:szCs w:val="21"/>
          <w:highlight w:val="none"/>
          <w:lang w:eastAsia="zh-CN"/>
        </w:rPr>
        <w:t>日</w:t>
      </w:r>
    </w:p>
    <w:p w14:paraId="4CE61608">
      <w:pPr>
        <w:pStyle w:val="3"/>
        <w:spacing w:line="240" w:lineRule="atLeast"/>
        <w:rPr>
          <w:rFonts w:ascii="宋体" w:hAnsi="宋体" w:eastAsia="宋体" w:cs="宋体"/>
          <w:bCs/>
          <w:color w:val="auto"/>
          <w:sz w:val="24"/>
          <w:highlight w:val="none"/>
          <w:lang w:eastAsia="zh-CN"/>
        </w:rPr>
      </w:pPr>
    </w:p>
    <w:p w14:paraId="0073A92E">
      <w:pPr>
        <w:pStyle w:val="3"/>
        <w:spacing w:line="240" w:lineRule="atLeast"/>
        <w:rPr>
          <w:rFonts w:ascii="宋体" w:hAnsi="宋体" w:eastAsia="宋体" w:cs="宋体"/>
          <w:bCs/>
          <w:color w:val="auto"/>
          <w:sz w:val="24"/>
          <w:highlight w:val="none"/>
          <w:lang w:eastAsia="zh-CN"/>
        </w:rPr>
      </w:pPr>
    </w:p>
    <w:p w14:paraId="3DE0C93F">
      <w:pPr>
        <w:pStyle w:val="35"/>
        <w:keepNext/>
        <w:keepLines/>
        <w:spacing w:before="0" w:after="220"/>
        <w:rPr>
          <w:rFonts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3、货物说明一览表</w:t>
      </w:r>
    </w:p>
    <w:p w14:paraId="09D2AA32">
      <w:pPr>
        <w:pStyle w:val="10"/>
        <w:spacing w:line="240" w:lineRule="atLeast"/>
        <w:ind w:left="1164" w:leftChars="257" w:hanging="540"/>
        <w:rPr>
          <w:rFonts w:ascii="仿宋" w:hAnsi="仿宋" w:eastAsia="仿宋" w:cs="仿宋"/>
          <w:color w:val="auto"/>
          <w:highlight w:val="none"/>
          <w:lang w:eastAsia="zh-CN"/>
        </w:rPr>
      </w:pPr>
    </w:p>
    <w:p w14:paraId="626EBE9D">
      <w:pPr>
        <w:pStyle w:val="10"/>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项目名称：                          </w:t>
      </w:r>
    </w:p>
    <w:p w14:paraId="62EC9FB1">
      <w:pPr>
        <w:pStyle w:val="10"/>
        <w:spacing w:line="240" w:lineRule="atLeast"/>
        <w:ind w:left="1164" w:leftChars="257" w:hanging="54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招标编号：                      包号：                     </w:t>
      </w:r>
    </w:p>
    <w:p w14:paraId="3C8EF5A9">
      <w:pPr>
        <w:pStyle w:val="10"/>
        <w:spacing w:line="240" w:lineRule="atLeast"/>
        <w:ind w:left="1164" w:leftChars="257" w:hanging="540"/>
        <w:rPr>
          <w:rFonts w:ascii="仿宋" w:hAnsi="仿宋" w:eastAsia="仿宋" w:cs="仿宋"/>
          <w:color w:val="auto"/>
          <w:highlight w:val="none"/>
          <w:lang w:eastAsia="zh-CN"/>
        </w:rPr>
      </w:pPr>
    </w:p>
    <w:tbl>
      <w:tblPr>
        <w:tblStyle w:val="22"/>
        <w:tblW w:w="87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1"/>
        <w:gridCol w:w="1400"/>
        <w:gridCol w:w="1410"/>
        <w:gridCol w:w="1040"/>
        <w:gridCol w:w="1370"/>
        <w:gridCol w:w="1420"/>
        <w:gridCol w:w="1101"/>
      </w:tblGrid>
      <w:tr w14:paraId="5C45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961" w:type="dxa"/>
            <w:vAlign w:val="center"/>
          </w:tcPr>
          <w:p w14:paraId="541BBFD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序号</w:t>
            </w:r>
          </w:p>
        </w:tc>
        <w:tc>
          <w:tcPr>
            <w:tcW w:w="1400" w:type="dxa"/>
            <w:vAlign w:val="center"/>
          </w:tcPr>
          <w:p w14:paraId="60E71AB0">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货物名称</w:t>
            </w:r>
          </w:p>
        </w:tc>
        <w:tc>
          <w:tcPr>
            <w:tcW w:w="1410" w:type="dxa"/>
            <w:vAlign w:val="center"/>
          </w:tcPr>
          <w:p w14:paraId="67C51CE7">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主要规格</w:t>
            </w:r>
          </w:p>
        </w:tc>
        <w:tc>
          <w:tcPr>
            <w:tcW w:w="1040" w:type="dxa"/>
            <w:vAlign w:val="center"/>
          </w:tcPr>
          <w:p w14:paraId="41EAC76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数量</w:t>
            </w:r>
          </w:p>
        </w:tc>
        <w:tc>
          <w:tcPr>
            <w:tcW w:w="1370" w:type="dxa"/>
            <w:vAlign w:val="center"/>
          </w:tcPr>
          <w:p w14:paraId="395C029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供货期</w:t>
            </w:r>
          </w:p>
        </w:tc>
        <w:tc>
          <w:tcPr>
            <w:tcW w:w="1420" w:type="dxa"/>
            <w:vAlign w:val="center"/>
          </w:tcPr>
          <w:p w14:paraId="204A99B8">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交货地点</w:t>
            </w:r>
          </w:p>
        </w:tc>
        <w:tc>
          <w:tcPr>
            <w:tcW w:w="1101" w:type="dxa"/>
            <w:vAlign w:val="center"/>
          </w:tcPr>
          <w:p w14:paraId="2A2C2DC2">
            <w:pPr>
              <w:jc w:val="center"/>
              <w:rPr>
                <w:rFonts w:ascii="仿宋" w:hAnsi="仿宋" w:eastAsia="仿宋" w:cs="仿宋"/>
                <w:color w:val="auto"/>
                <w:kern w:val="2"/>
                <w:szCs w:val="20"/>
                <w:highlight w:val="none"/>
                <w:u w:color="000000"/>
                <w:lang w:eastAsia="zh-CN" w:bidi="ar-SA"/>
              </w:rPr>
            </w:pPr>
            <w:r>
              <w:rPr>
                <w:rFonts w:hint="eastAsia" w:ascii="仿宋" w:hAnsi="仿宋" w:eastAsia="仿宋" w:cs="仿宋"/>
                <w:color w:val="auto"/>
                <w:kern w:val="2"/>
                <w:szCs w:val="20"/>
                <w:highlight w:val="none"/>
                <w:u w:color="000000"/>
                <w:lang w:eastAsia="zh-CN" w:bidi="ar-SA"/>
              </w:rPr>
              <w:t>其它</w:t>
            </w:r>
          </w:p>
        </w:tc>
      </w:tr>
      <w:tr w14:paraId="196FB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5F237F48">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17AFCB63">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E2B4324">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68B01C5D">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ED82103">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E3003C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66ACA8E">
            <w:pPr>
              <w:pStyle w:val="10"/>
              <w:spacing w:line="240" w:lineRule="atLeast"/>
              <w:ind w:left="1164" w:leftChars="257" w:hanging="540"/>
              <w:rPr>
                <w:rFonts w:ascii="仿宋" w:hAnsi="仿宋" w:eastAsia="仿宋" w:cs="仿宋"/>
                <w:color w:val="auto"/>
                <w:highlight w:val="none"/>
                <w:lang w:eastAsia="zh-CN"/>
              </w:rPr>
            </w:pPr>
          </w:p>
        </w:tc>
      </w:tr>
      <w:tr w14:paraId="2A3DD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1C0255CE">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0AD4433C">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2F800A6E">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621ECA16">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3231D76">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7C985B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5748BF58">
            <w:pPr>
              <w:pStyle w:val="10"/>
              <w:spacing w:line="240" w:lineRule="atLeast"/>
              <w:ind w:left="1164" w:leftChars="257" w:hanging="540"/>
              <w:rPr>
                <w:rFonts w:ascii="仿宋" w:hAnsi="仿宋" w:eastAsia="仿宋" w:cs="仿宋"/>
                <w:color w:val="auto"/>
                <w:highlight w:val="none"/>
                <w:lang w:eastAsia="zh-CN"/>
              </w:rPr>
            </w:pPr>
          </w:p>
        </w:tc>
      </w:tr>
      <w:tr w14:paraId="78B2F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61" w:type="dxa"/>
          </w:tcPr>
          <w:p w14:paraId="7035B398">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25CF2980">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7E65BFDA">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169934C4">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19B57C9">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77CA581">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1D39020F">
            <w:pPr>
              <w:pStyle w:val="10"/>
              <w:spacing w:line="240" w:lineRule="atLeast"/>
              <w:ind w:left="1164" w:leftChars="257" w:hanging="540"/>
              <w:rPr>
                <w:rFonts w:ascii="仿宋" w:hAnsi="仿宋" w:eastAsia="仿宋" w:cs="仿宋"/>
                <w:color w:val="auto"/>
                <w:highlight w:val="none"/>
                <w:lang w:eastAsia="zh-CN"/>
              </w:rPr>
            </w:pPr>
          </w:p>
        </w:tc>
      </w:tr>
      <w:tr w14:paraId="41EAB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961" w:type="dxa"/>
          </w:tcPr>
          <w:p w14:paraId="00F98A44">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376EF676">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395B809">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3D4B0C3A">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98CCB55">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4F69A65">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3AD69E1">
            <w:pPr>
              <w:pStyle w:val="10"/>
              <w:spacing w:line="240" w:lineRule="atLeast"/>
              <w:ind w:left="1164" w:leftChars="257" w:hanging="540"/>
              <w:rPr>
                <w:rFonts w:ascii="仿宋" w:hAnsi="仿宋" w:eastAsia="仿宋" w:cs="仿宋"/>
                <w:color w:val="auto"/>
                <w:highlight w:val="none"/>
                <w:lang w:eastAsia="zh-CN"/>
              </w:rPr>
            </w:pPr>
          </w:p>
        </w:tc>
      </w:tr>
      <w:tr w14:paraId="769A2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961" w:type="dxa"/>
          </w:tcPr>
          <w:p w14:paraId="7C7F5DD5">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202EE101">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1626A89F">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2284BF05">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6CD05F14">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65E9BC6">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36A75283">
            <w:pPr>
              <w:pStyle w:val="10"/>
              <w:spacing w:line="240" w:lineRule="atLeast"/>
              <w:ind w:left="1164" w:leftChars="257" w:hanging="540"/>
              <w:rPr>
                <w:rFonts w:ascii="仿宋" w:hAnsi="仿宋" w:eastAsia="仿宋" w:cs="仿宋"/>
                <w:color w:val="auto"/>
                <w:highlight w:val="none"/>
                <w:lang w:eastAsia="zh-CN"/>
              </w:rPr>
            </w:pPr>
          </w:p>
        </w:tc>
      </w:tr>
      <w:tr w14:paraId="7D5D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961" w:type="dxa"/>
          </w:tcPr>
          <w:p w14:paraId="2074DCD9">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508924BC">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65AED8FA">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55F97576">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1272E004">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4CEBC4F9">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6FC8C52C">
            <w:pPr>
              <w:pStyle w:val="10"/>
              <w:spacing w:line="240" w:lineRule="atLeast"/>
              <w:ind w:left="1164" w:leftChars="257" w:hanging="540"/>
              <w:rPr>
                <w:rFonts w:ascii="仿宋" w:hAnsi="仿宋" w:eastAsia="仿宋" w:cs="仿宋"/>
                <w:color w:val="auto"/>
                <w:highlight w:val="none"/>
                <w:lang w:eastAsia="zh-CN"/>
              </w:rPr>
            </w:pPr>
          </w:p>
        </w:tc>
      </w:tr>
      <w:tr w14:paraId="37D2D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961" w:type="dxa"/>
          </w:tcPr>
          <w:p w14:paraId="65B23867">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3F532841">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649E94E4">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1BB3B8A5">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5CC149D2">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761BC8D4">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761AC1B8">
            <w:pPr>
              <w:pStyle w:val="10"/>
              <w:spacing w:line="240" w:lineRule="atLeast"/>
              <w:ind w:left="1164" w:leftChars="257" w:hanging="540"/>
              <w:rPr>
                <w:rFonts w:ascii="仿宋" w:hAnsi="仿宋" w:eastAsia="仿宋" w:cs="仿宋"/>
                <w:color w:val="auto"/>
                <w:highlight w:val="none"/>
                <w:lang w:eastAsia="zh-CN"/>
              </w:rPr>
            </w:pPr>
          </w:p>
        </w:tc>
      </w:tr>
      <w:tr w14:paraId="3407A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61" w:type="dxa"/>
          </w:tcPr>
          <w:p w14:paraId="6126B44D">
            <w:pPr>
              <w:pStyle w:val="10"/>
              <w:spacing w:line="240" w:lineRule="atLeast"/>
              <w:ind w:left="1164" w:leftChars="257" w:hanging="540"/>
              <w:rPr>
                <w:rFonts w:ascii="仿宋" w:hAnsi="仿宋" w:eastAsia="仿宋" w:cs="仿宋"/>
                <w:color w:val="auto"/>
                <w:highlight w:val="none"/>
                <w:lang w:eastAsia="zh-CN"/>
              </w:rPr>
            </w:pPr>
          </w:p>
        </w:tc>
        <w:tc>
          <w:tcPr>
            <w:tcW w:w="1400" w:type="dxa"/>
          </w:tcPr>
          <w:p w14:paraId="4E44E21A">
            <w:pPr>
              <w:pStyle w:val="10"/>
              <w:spacing w:line="240" w:lineRule="atLeast"/>
              <w:ind w:left="1164" w:leftChars="257" w:hanging="540"/>
              <w:rPr>
                <w:rFonts w:ascii="仿宋" w:hAnsi="仿宋" w:eastAsia="仿宋" w:cs="仿宋"/>
                <w:color w:val="auto"/>
                <w:highlight w:val="none"/>
                <w:lang w:eastAsia="zh-CN"/>
              </w:rPr>
            </w:pPr>
          </w:p>
        </w:tc>
        <w:tc>
          <w:tcPr>
            <w:tcW w:w="1410" w:type="dxa"/>
          </w:tcPr>
          <w:p w14:paraId="09CB6DB1">
            <w:pPr>
              <w:pStyle w:val="10"/>
              <w:spacing w:line="240" w:lineRule="atLeast"/>
              <w:ind w:left="1164" w:leftChars="257" w:hanging="540"/>
              <w:rPr>
                <w:rFonts w:ascii="仿宋" w:hAnsi="仿宋" w:eastAsia="仿宋" w:cs="仿宋"/>
                <w:color w:val="auto"/>
                <w:highlight w:val="none"/>
                <w:lang w:eastAsia="zh-CN"/>
              </w:rPr>
            </w:pPr>
          </w:p>
        </w:tc>
        <w:tc>
          <w:tcPr>
            <w:tcW w:w="1040" w:type="dxa"/>
          </w:tcPr>
          <w:p w14:paraId="26CE77ED">
            <w:pPr>
              <w:pStyle w:val="10"/>
              <w:spacing w:line="240" w:lineRule="atLeast"/>
              <w:ind w:left="1164" w:leftChars="257" w:hanging="540"/>
              <w:rPr>
                <w:rFonts w:ascii="仿宋" w:hAnsi="仿宋" w:eastAsia="仿宋" w:cs="仿宋"/>
                <w:color w:val="auto"/>
                <w:highlight w:val="none"/>
                <w:lang w:eastAsia="zh-CN"/>
              </w:rPr>
            </w:pPr>
          </w:p>
        </w:tc>
        <w:tc>
          <w:tcPr>
            <w:tcW w:w="1370" w:type="dxa"/>
          </w:tcPr>
          <w:p w14:paraId="06D5F6C8">
            <w:pPr>
              <w:pStyle w:val="10"/>
              <w:spacing w:line="240" w:lineRule="atLeast"/>
              <w:ind w:left="1164" w:leftChars="257" w:hanging="540"/>
              <w:rPr>
                <w:rFonts w:ascii="仿宋" w:hAnsi="仿宋" w:eastAsia="仿宋" w:cs="仿宋"/>
                <w:color w:val="auto"/>
                <w:highlight w:val="none"/>
                <w:lang w:eastAsia="zh-CN"/>
              </w:rPr>
            </w:pPr>
          </w:p>
        </w:tc>
        <w:tc>
          <w:tcPr>
            <w:tcW w:w="1420" w:type="dxa"/>
          </w:tcPr>
          <w:p w14:paraId="69CCDB45">
            <w:pPr>
              <w:pStyle w:val="10"/>
              <w:spacing w:line="240" w:lineRule="atLeast"/>
              <w:ind w:left="1164" w:leftChars="257" w:hanging="540"/>
              <w:rPr>
                <w:rFonts w:ascii="仿宋" w:hAnsi="仿宋" w:eastAsia="仿宋" w:cs="仿宋"/>
                <w:color w:val="auto"/>
                <w:highlight w:val="none"/>
                <w:lang w:eastAsia="zh-CN"/>
              </w:rPr>
            </w:pPr>
          </w:p>
        </w:tc>
        <w:tc>
          <w:tcPr>
            <w:tcW w:w="1101" w:type="dxa"/>
          </w:tcPr>
          <w:p w14:paraId="0C60F2D7">
            <w:pPr>
              <w:pStyle w:val="10"/>
              <w:spacing w:line="240" w:lineRule="atLeast"/>
              <w:ind w:left="1164" w:leftChars="257" w:hanging="540"/>
              <w:rPr>
                <w:rFonts w:ascii="仿宋" w:hAnsi="仿宋" w:eastAsia="仿宋" w:cs="仿宋"/>
                <w:color w:val="auto"/>
                <w:highlight w:val="none"/>
                <w:lang w:eastAsia="zh-CN"/>
              </w:rPr>
            </w:pPr>
          </w:p>
        </w:tc>
      </w:tr>
    </w:tbl>
    <w:p w14:paraId="1E323597">
      <w:pPr>
        <w:pStyle w:val="10"/>
        <w:spacing w:line="240" w:lineRule="atLeast"/>
        <w:ind w:left="1164" w:leftChars="257" w:hanging="540"/>
        <w:rPr>
          <w:rFonts w:ascii="仿宋" w:hAnsi="仿宋" w:eastAsia="仿宋" w:cs="仿宋"/>
          <w:color w:val="auto"/>
          <w:highlight w:val="none"/>
        </w:rPr>
      </w:pPr>
    </w:p>
    <w:p w14:paraId="6F964242">
      <w:pPr>
        <w:pStyle w:val="10"/>
        <w:spacing w:line="240" w:lineRule="atLeast"/>
        <w:ind w:left="1164" w:leftChars="257" w:hanging="540"/>
        <w:rPr>
          <w:rFonts w:hAnsi="宋体" w:eastAsia="宋体" w:cs="宋体"/>
          <w:color w:val="auto"/>
          <w:highlight w:val="none"/>
          <w:lang w:eastAsia="zh-CN"/>
        </w:rPr>
      </w:pPr>
      <w:r>
        <w:rPr>
          <w:rFonts w:hint="eastAsia" w:ascii="仿宋" w:hAnsi="仿宋" w:eastAsia="仿宋" w:cs="仿宋"/>
          <w:color w:val="auto"/>
          <w:highlight w:val="none"/>
          <w:lang w:eastAsia="zh-CN"/>
        </w:rPr>
        <w:t>法定代表人或其委托代理人签字：</w:t>
      </w:r>
      <w:r>
        <w:rPr>
          <w:rFonts w:hint="eastAsia" w:ascii="仿宋" w:hAnsi="仿宋" w:eastAsia="仿宋" w:cs="仿宋"/>
          <w:color w:val="auto"/>
          <w:highlight w:val="none"/>
          <w:u w:val="single"/>
          <w:lang w:eastAsia="zh-CN"/>
        </w:rPr>
        <w:tab/>
      </w:r>
      <w:r>
        <w:rPr>
          <w:rFonts w:hint="eastAsia" w:ascii="仿宋" w:hAnsi="仿宋" w:eastAsia="仿宋" w:cs="仿宋"/>
          <w:color w:val="auto"/>
          <w:highlight w:val="none"/>
          <w:u w:val="single"/>
          <w:lang w:eastAsia="zh-CN"/>
        </w:rPr>
        <w:t xml:space="preserve">        </w:t>
      </w:r>
      <w:r>
        <w:rPr>
          <w:rFonts w:hint="eastAsia" w:hAnsi="宋体" w:eastAsia="宋体" w:cs="宋体"/>
          <w:color w:val="auto"/>
          <w:highlight w:val="none"/>
          <w:u w:val="single"/>
          <w:lang w:eastAsia="zh-CN"/>
        </w:rPr>
        <w:t xml:space="preserve">         </w:t>
      </w:r>
    </w:p>
    <w:p w14:paraId="25847C7D">
      <w:pPr>
        <w:pStyle w:val="10"/>
        <w:tabs>
          <w:tab w:val="left" w:pos="5370"/>
        </w:tabs>
        <w:spacing w:line="240" w:lineRule="atLeast"/>
        <w:ind w:left="1164" w:leftChars="257" w:hanging="540"/>
        <w:rPr>
          <w:rFonts w:ascii="仿宋" w:hAnsi="仿宋" w:eastAsia="仿宋" w:cs="仿宋"/>
          <w:color w:val="auto"/>
          <w:highlight w:val="none"/>
          <w:lang w:eastAsia="zh-CN"/>
        </w:rPr>
      </w:pPr>
    </w:p>
    <w:p w14:paraId="3BF24995">
      <w:pPr>
        <w:pStyle w:val="10"/>
        <w:tabs>
          <w:tab w:val="left" w:pos="5370"/>
        </w:tabs>
        <w:spacing w:line="240" w:lineRule="atLeast"/>
        <w:ind w:left="1164" w:leftChars="257" w:hanging="540"/>
        <w:rPr>
          <w:rFonts w:ascii="仿宋" w:hAnsi="仿宋" w:eastAsia="仿宋" w:cs="仿宋"/>
          <w:color w:val="auto"/>
          <w:highlight w:val="none"/>
          <w:u w:val="single"/>
          <w:lang w:eastAsia="zh-CN"/>
        </w:rPr>
      </w:pPr>
      <w:r>
        <w:rPr>
          <w:rFonts w:hint="eastAsia" w:ascii="仿宋" w:hAnsi="仿宋" w:eastAsia="仿宋" w:cs="仿宋"/>
          <w:color w:val="auto"/>
          <w:highlight w:val="none"/>
          <w:lang w:eastAsia="zh-CN"/>
        </w:rPr>
        <w:t>供应商(盖单位章):</w:t>
      </w:r>
      <w:r>
        <w:rPr>
          <w:rFonts w:hint="eastAsia" w:ascii="仿宋" w:hAnsi="仿宋" w:eastAsia="仿宋" w:cs="仿宋"/>
          <w:color w:val="auto"/>
          <w:highlight w:val="none"/>
          <w:u w:val="single"/>
          <w:lang w:eastAsia="zh-CN"/>
        </w:rPr>
        <w:tab/>
      </w:r>
    </w:p>
    <w:p w14:paraId="55F6CDEF">
      <w:pPr>
        <w:pStyle w:val="10"/>
        <w:spacing w:line="240" w:lineRule="atLeast"/>
        <w:ind w:left="1164" w:leftChars="257" w:hanging="540"/>
        <w:rPr>
          <w:rFonts w:ascii="仿宋" w:hAnsi="仿宋" w:eastAsia="仿宋" w:cs="仿宋"/>
          <w:color w:val="auto"/>
          <w:highlight w:val="none"/>
          <w:lang w:eastAsia="zh-CN"/>
        </w:rPr>
      </w:pPr>
    </w:p>
    <w:p w14:paraId="21B8D165">
      <w:pPr>
        <w:pStyle w:val="10"/>
        <w:spacing w:line="240" w:lineRule="atLeast"/>
        <w:ind w:left="1164" w:leftChars="257" w:hanging="540"/>
        <w:rPr>
          <w:rFonts w:hAnsi="宋体" w:eastAsia="宋体" w:cs="宋体"/>
          <w:color w:val="auto"/>
          <w:highlight w:val="none"/>
          <w:lang w:eastAsia="zh-CN"/>
        </w:rPr>
      </w:pPr>
      <w:r>
        <w:rPr>
          <w:rFonts w:hint="eastAsia" w:ascii="仿宋" w:hAnsi="仿宋" w:eastAsia="仿宋" w:cs="仿宋"/>
          <w:color w:val="auto"/>
          <w:highlight w:val="none"/>
          <w:lang w:eastAsia="zh-CN"/>
        </w:rPr>
        <w:t>注：各项货物详细技术性能应另页描述</w:t>
      </w:r>
      <w:r>
        <w:rPr>
          <w:rFonts w:hint="eastAsia" w:hAnsi="宋体" w:eastAsia="宋体" w:cs="宋体"/>
          <w:color w:val="auto"/>
          <w:highlight w:val="none"/>
          <w:lang w:eastAsia="zh-CN"/>
        </w:rPr>
        <w:t>。</w:t>
      </w:r>
    </w:p>
    <w:p w14:paraId="504D5440">
      <w:pPr>
        <w:pStyle w:val="10"/>
        <w:spacing w:line="240" w:lineRule="atLeast"/>
        <w:ind w:left="1164" w:leftChars="257" w:hanging="540"/>
        <w:jc w:val="center"/>
        <w:rPr>
          <w:rFonts w:hAnsi="宋体" w:eastAsia="宋体" w:cs="宋体"/>
          <w:color w:val="auto"/>
          <w:highlight w:val="none"/>
          <w:lang w:eastAsia="zh-CN"/>
        </w:rPr>
      </w:pPr>
    </w:p>
    <w:p w14:paraId="7A70AB38">
      <w:pPr>
        <w:pStyle w:val="10"/>
        <w:spacing w:line="240" w:lineRule="atLeast"/>
        <w:ind w:left="1164" w:leftChars="257" w:hanging="540"/>
        <w:jc w:val="center"/>
        <w:rPr>
          <w:rFonts w:hAnsi="宋体" w:eastAsia="宋体" w:cs="宋体"/>
          <w:color w:val="auto"/>
          <w:highlight w:val="none"/>
          <w:lang w:eastAsia="zh-CN"/>
        </w:rPr>
        <w:sectPr>
          <w:footerReference r:id="rId8" w:type="default"/>
          <w:pgSz w:w="11905" w:h="16838"/>
          <w:pgMar w:top="1440" w:right="1797" w:bottom="1440" w:left="1797" w:header="850" w:footer="992" w:gutter="0"/>
          <w:pgNumType w:fmt="decimal"/>
          <w:cols w:space="720" w:num="1"/>
          <w:docGrid w:type="linesAndChars" w:linePitch="325" w:charSpace="635"/>
        </w:sectPr>
      </w:pPr>
    </w:p>
    <w:p w14:paraId="31553EB5">
      <w:pPr>
        <w:pStyle w:val="35"/>
        <w:keepNext/>
        <w:keepLines/>
        <w:spacing w:before="0" w:after="220"/>
        <w:rPr>
          <w:rFonts w:ascii="仿宋" w:hAnsi="仿宋" w:eastAsia="仿宋" w:cs="仿宋"/>
          <w:b/>
          <w:bCs/>
          <w:color w:val="auto"/>
          <w:highlight w:val="none"/>
        </w:rPr>
      </w:pPr>
      <w:r>
        <w:rPr>
          <w:rFonts w:hint="eastAsia" w:ascii="仿宋" w:hAnsi="仿宋" w:eastAsia="仿宋" w:cs="仿宋"/>
          <w:b/>
          <w:bCs/>
          <w:color w:val="auto"/>
          <w:highlight w:val="none"/>
          <w:lang w:val="en-US" w:eastAsia="zh-CN"/>
        </w:rPr>
        <w:t>4</w:t>
      </w:r>
      <w:r>
        <w:rPr>
          <w:rFonts w:hint="eastAsia" w:ascii="仿宋" w:hAnsi="仿宋" w:eastAsia="仿宋" w:cs="仿宋"/>
          <w:b/>
          <w:bCs/>
          <w:color w:val="auto"/>
          <w:highlight w:val="none"/>
          <w:lang w:eastAsia="zh-CN"/>
        </w:rPr>
        <w:t>、</w:t>
      </w:r>
      <w:r>
        <w:rPr>
          <w:rFonts w:hint="eastAsia" w:ascii="仿宋" w:hAnsi="仿宋" w:eastAsia="仿宋" w:cs="仿宋"/>
          <w:b/>
          <w:bCs/>
          <w:color w:val="auto"/>
          <w:highlight w:val="none"/>
        </w:rPr>
        <w:t>投标报价明细表</w:t>
      </w:r>
    </w:p>
    <w:p w14:paraId="3E723189">
      <w:pPr>
        <w:pStyle w:val="35"/>
        <w:keepNext/>
        <w:keepLines/>
        <w:spacing w:before="0" w:after="220"/>
        <w:jc w:val="both"/>
        <w:rPr>
          <w:rFonts w:ascii="仿宋" w:hAnsi="仿宋" w:eastAsia="仿宋" w:cs="仿宋"/>
          <w:color w:val="auto"/>
          <w:sz w:val="24"/>
          <w:highlight w:val="none"/>
        </w:rPr>
      </w:pP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1A9A3C0C">
      <w:pPr>
        <w:pStyle w:val="35"/>
        <w:keepNext/>
        <w:keepLines/>
        <w:spacing w:before="0" w:after="220"/>
        <w:jc w:val="both"/>
        <w:rPr>
          <w:rFonts w:ascii="仿宋" w:hAnsi="仿宋" w:eastAsia="仿宋" w:cs="仿宋"/>
          <w:color w:val="auto"/>
          <w:sz w:val="24"/>
          <w:highlight w:val="none"/>
        </w:rPr>
      </w:pPr>
      <w:r>
        <w:rPr>
          <w:rFonts w:hint="eastAsia" w:ascii="仿宋" w:hAnsi="仿宋" w:eastAsia="仿宋" w:cs="仿宋"/>
          <w:color w:val="auto"/>
          <w:sz w:val="24"/>
          <w:highlight w:val="none"/>
        </w:rPr>
        <w:t>招标编号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包号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 xml:space="preserve">　 </w:t>
      </w:r>
    </w:p>
    <w:p w14:paraId="76BB1698">
      <w:pPr>
        <w:pStyle w:val="10"/>
        <w:spacing w:line="240" w:lineRule="atLeast"/>
        <w:ind w:left="1157" w:leftChars="257" w:hanging="540"/>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单位：</w:t>
      </w:r>
      <w:r>
        <w:rPr>
          <w:rFonts w:hint="eastAsia" w:ascii="仿宋" w:hAnsi="仿宋" w:eastAsia="仿宋" w:cs="仿宋"/>
          <w:color w:val="auto"/>
          <w:szCs w:val="21"/>
          <w:highlight w:val="none"/>
          <w:lang w:eastAsia="zh-CN"/>
        </w:rPr>
        <w:t>元（人民币）</w:t>
      </w:r>
    </w:p>
    <w:tbl>
      <w:tblPr>
        <w:tblStyle w:val="22"/>
        <w:tblW w:w="8312"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01"/>
        <w:gridCol w:w="1680"/>
        <w:gridCol w:w="1719"/>
        <w:gridCol w:w="1070"/>
        <w:gridCol w:w="709"/>
        <w:gridCol w:w="708"/>
        <w:gridCol w:w="709"/>
        <w:gridCol w:w="816"/>
      </w:tblGrid>
      <w:tr w14:paraId="5DA6C9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5B392611">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序号</w:t>
            </w:r>
          </w:p>
        </w:tc>
        <w:tc>
          <w:tcPr>
            <w:tcW w:w="1680" w:type="dxa"/>
            <w:tcBorders>
              <w:top w:val="single" w:color="auto" w:sz="4" w:space="0"/>
              <w:left w:val="single" w:color="auto" w:sz="4" w:space="0"/>
              <w:bottom w:val="single" w:color="auto" w:sz="4" w:space="0"/>
              <w:right w:val="single" w:color="auto" w:sz="4" w:space="0"/>
            </w:tcBorders>
            <w:vAlign w:val="center"/>
          </w:tcPr>
          <w:p w14:paraId="4B619C7F">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rPr>
              <w:t>产品名称</w:t>
            </w:r>
          </w:p>
        </w:tc>
        <w:tc>
          <w:tcPr>
            <w:tcW w:w="1719" w:type="dxa"/>
            <w:tcBorders>
              <w:top w:val="single" w:color="auto" w:sz="4" w:space="0"/>
              <w:left w:val="single" w:color="auto" w:sz="4" w:space="0"/>
              <w:bottom w:val="single" w:color="auto" w:sz="4" w:space="0"/>
              <w:right w:val="single" w:color="auto" w:sz="4" w:space="0"/>
            </w:tcBorders>
            <w:vAlign w:val="center"/>
          </w:tcPr>
          <w:p w14:paraId="549E805A">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品牌/型号</w:t>
            </w:r>
          </w:p>
        </w:tc>
        <w:tc>
          <w:tcPr>
            <w:tcW w:w="1070" w:type="dxa"/>
            <w:tcBorders>
              <w:top w:val="single" w:color="auto" w:sz="4" w:space="0"/>
              <w:left w:val="single" w:color="auto" w:sz="4" w:space="0"/>
              <w:bottom w:val="single" w:color="auto" w:sz="4" w:space="0"/>
              <w:right w:val="single" w:color="auto" w:sz="4" w:space="0"/>
            </w:tcBorders>
            <w:vAlign w:val="center"/>
          </w:tcPr>
          <w:p w14:paraId="416BF23A">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数量</w:t>
            </w:r>
          </w:p>
        </w:tc>
        <w:tc>
          <w:tcPr>
            <w:tcW w:w="709" w:type="dxa"/>
            <w:tcBorders>
              <w:top w:val="single" w:color="auto" w:sz="4" w:space="0"/>
              <w:left w:val="single" w:color="auto" w:sz="4" w:space="0"/>
              <w:bottom w:val="single" w:color="auto" w:sz="4" w:space="0"/>
              <w:right w:val="single" w:color="auto" w:sz="4" w:space="0"/>
            </w:tcBorders>
            <w:vAlign w:val="center"/>
          </w:tcPr>
          <w:p w14:paraId="5973203C">
            <w:pPr>
              <w:spacing w:line="500" w:lineRule="exact"/>
              <w:jc w:val="center"/>
              <w:rPr>
                <w:rFonts w:ascii="仿宋" w:hAnsi="仿宋" w:eastAsia="仿宋" w:cs="仿宋"/>
                <w:color w:val="auto"/>
                <w:szCs w:val="21"/>
                <w:highlight w:val="none"/>
              </w:rPr>
            </w:pPr>
            <w:r>
              <w:rPr>
                <w:rFonts w:hint="eastAsia" w:ascii="仿宋" w:hAnsi="仿宋" w:eastAsia="仿宋" w:cs="仿宋"/>
                <w:color w:val="auto"/>
                <w:szCs w:val="21"/>
                <w:highlight w:val="none"/>
                <w:lang w:eastAsia="zh-CN"/>
              </w:rPr>
              <w:t>单位</w:t>
            </w:r>
          </w:p>
        </w:tc>
        <w:tc>
          <w:tcPr>
            <w:tcW w:w="708" w:type="dxa"/>
            <w:tcBorders>
              <w:top w:val="single" w:color="auto" w:sz="4" w:space="0"/>
              <w:left w:val="single" w:color="auto" w:sz="4" w:space="0"/>
              <w:bottom w:val="single" w:color="auto" w:sz="4" w:space="0"/>
              <w:right w:val="single" w:color="auto" w:sz="4" w:space="0"/>
            </w:tcBorders>
            <w:vAlign w:val="center"/>
          </w:tcPr>
          <w:p w14:paraId="7FD9E2D5">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单价</w:t>
            </w:r>
          </w:p>
        </w:tc>
        <w:tc>
          <w:tcPr>
            <w:tcW w:w="709" w:type="dxa"/>
            <w:tcBorders>
              <w:top w:val="single" w:color="auto" w:sz="4" w:space="0"/>
              <w:left w:val="single" w:color="auto" w:sz="4" w:space="0"/>
              <w:bottom w:val="single" w:color="auto" w:sz="4" w:space="0"/>
              <w:right w:val="single" w:color="auto" w:sz="4" w:space="0"/>
            </w:tcBorders>
            <w:vAlign w:val="center"/>
          </w:tcPr>
          <w:p w14:paraId="6D33FA7C">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rPr>
              <w:t>总价</w:t>
            </w:r>
          </w:p>
        </w:tc>
        <w:tc>
          <w:tcPr>
            <w:tcW w:w="816" w:type="dxa"/>
            <w:tcBorders>
              <w:top w:val="single" w:color="auto" w:sz="4" w:space="0"/>
              <w:left w:val="single" w:color="auto" w:sz="4" w:space="0"/>
              <w:bottom w:val="single" w:color="auto" w:sz="4" w:space="0"/>
              <w:right w:val="single" w:color="auto" w:sz="4" w:space="0"/>
            </w:tcBorders>
            <w:vAlign w:val="center"/>
          </w:tcPr>
          <w:p w14:paraId="79441858">
            <w:pPr>
              <w:spacing w:line="500" w:lineRule="exact"/>
              <w:jc w:val="center"/>
              <w:rPr>
                <w:rFonts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备注</w:t>
            </w:r>
          </w:p>
        </w:tc>
      </w:tr>
      <w:tr w14:paraId="77ECCF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05A6595A">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3BAB8E0C">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3CDB6EB5">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0AB0EB99">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3A572CE3">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3CF68CDE">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8442712">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F23E3BE">
            <w:pPr>
              <w:spacing w:line="500" w:lineRule="exact"/>
              <w:jc w:val="center"/>
              <w:rPr>
                <w:rFonts w:ascii="仿宋" w:hAnsi="仿宋" w:eastAsia="仿宋" w:cs="仿宋"/>
                <w:color w:val="auto"/>
                <w:szCs w:val="21"/>
                <w:highlight w:val="none"/>
              </w:rPr>
            </w:pPr>
          </w:p>
        </w:tc>
      </w:tr>
      <w:tr w14:paraId="169D3B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27E717C9">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48CC75DB">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06378499">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0F16B33A">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E6EE4FA">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47EC44E9">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31911A7">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522A6AA">
            <w:pPr>
              <w:spacing w:line="500" w:lineRule="exact"/>
              <w:jc w:val="center"/>
              <w:rPr>
                <w:rFonts w:ascii="仿宋" w:hAnsi="仿宋" w:eastAsia="仿宋" w:cs="仿宋"/>
                <w:color w:val="auto"/>
                <w:szCs w:val="21"/>
                <w:highlight w:val="none"/>
              </w:rPr>
            </w:pPr>
          </w:p>
        </w:tc>
      </w:tr>
      <w:tr w14:paraId="7F988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4481CBD1">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5B838479">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04A16ADA">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57103CC0">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F9B82FC">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486E6936">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CAE89C7">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987F7F6">
            <w:pPr>
              <w:spacing w:line="500" w:lineRule="exact"/>
              <w:jc w:val="center"/>
              <w:rPr>
                <w:rFonts w:ascii="仿宋" w:hAnsi="仿宋" w:eastAsia="仿宋" w:cs="仿宋"/>
                <w:color w:val="auto"/>
                <w:szCs w:val="21"/>
                <w:highlight w:val="none"/>
              </w:rPr>
            </w:pPr>
          </w:p>
        </w:tc>
      </w:tr>
      <w:tr w14:paraId="7D8206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1F5C9A2F">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7F55E5E9">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52B5B42D">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582B4926">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35E88F41">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43A35E51">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BE75BD8">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41AC5D95">
            <w:pPr>
              <w:spacing w:line="500" w:lineRule="exact"/>
              <w:jc w:val="center"/>
              <w:rPr>
                <w:rFonts w:ascii="仿宋" w:hAnsi="仿宋" w:eastAsia="仿宋" w:cs="仿宋"/>
                <w:color w:val="auto"/>
                <w:szCs w:val="21"/>
                <w:highlight w:val="none"/>
              </w:rPr>
            </w:pPr>
          </w:p>
        </w:tc>
      </w:tr>
      <w:tr w14:paraId="6DB433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6B5E03DF">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4FB60237">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4D81F277">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61D90C0F">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54C8CB70">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4EF1DA4E">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741EBDD2">
            <w:pPr>
              <w:spacing w:line="500" w:lineRule="exact"/>
              <w:jc w:val="both"/>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4287FDC">
            <w:pPr>
              <w:spacing w:line="500" w:lineRule="exact"/>
              <w:jc w:val="center"/>
              <w:rPr>
                <w:rFonts w:ascii="仿宋" w:hAnsi="仿宋" w:eastAsia="仿宋" w:cs="仿宋"/>
                <w:color w:val="auto"/>
                <w:szCs w:val="21"/>
                <w:highlight w:val="none"/>
              </w:rPr>
            </w:pPr>
          </w:p>
        </w:tc>
      </w:tr>
      <w:tr w14:paraId="3F3634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2796896D">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4DABBFFC">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5C37201C">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3CFA82B2">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0D9AFE1E">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02AC0C41">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3A1A74A1">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531DD1B">
            <w:pPr>
              <w:spacing w:line="500" w:lineRule="exact"/>
              <w:jc w:val="center"/>
              <w:rPr>
                <w:rFonts w:ascii="仿宋" w:hAnsi="仿宋" w:eastAsia="仿宋" w:cs="仿宋"/>
                <w:color w:val="auto"/>
                <w:szCs w:val="21"/>
                <w:highlight w:val="none"/>
              </w:rPr>
            </w:pPr>
          </w:p>
        </w:tc>
      </w:tr>
      <w:tr w14:paraId="74CDCE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01" w:type="dxa"/>
            <w:tcBorders>
              <w:top w:val="single" w:color="auto" w:sz="4" w:space="0"/>
              <w:left w:val="single" w:color="auto" w:sz="4" w:space="0"/>
              <w:bottom w:val="single" w:color="auto" w:sz="4" w:space="0"/>
              <w:right w:val="single" w:color="auto" w:sz="4" w:space="0"/>
            </w:tcBorders>
            <w:vAlign w:val="center"/>
          </w:tcPr>
          <w:p w14:paraId="0B596C2D">
            <w:pPr>
              <w:spacing w:line="500" w:lineRule="exact"/>
              <w:jc w:val="center"/>
              <w:rPr>
                <w:rFonts w:ascii="仿宋" w:hAnsi="仿宋" w:eastAsia="仿宋" w:cs="仿宋"/>
                <w:color w:val="auto"/>
                <w:szCs w:val="21"/>
                <w:highlight w:val="none"/>
              </w:rPr>
            </w:pPr>
          </w:p>
        </w:tc>
        <w:tc>
          <w:tcPr>
            <w:tcW w:w="1680" w:type="dxa"/>
            <w:tcBorders>
              <w:top w:val="single" w:color="auto" w:sz="4" w:space="0"/>
              <w:left w:val="single" w:color="auto" w:sz="4" w:space="0"/>
              <w:bottom w:val="single" w:color="auto" w:sz="4" w:space="0"/>
              <w:right w:val="single" w:color="auto" w:sz="4" w:space="0"/>
            </w:tcBorders>
            <w:vAlign w:val="center"/>
          </w:tcPr>
          <w:p w14:paraId="3E37C05F">
            <w:pPr>
              <w:spacing w:line="500" w:lineRule="exact"/>
              <w:jc w:val="center"/>
              <w:rPr>
                <w:rFonts w:ascii="仿宋" w:hAnsi="仿宋" w:eastAsia="仿宋" w:cs="仿宋"/>
                <w:color w:val="auto"/>
                <w:szCs w:val="21"/>
                <w:highlight w:val="none"/>
              </w:rPr>
            </w:pPr>
          </w:p>
        </w:tc>
        <w:tc>
          <w:tcPr>
            <w:tcW w:w="1719" w:type="dxa"/>
            <w:tcBorders>
              <w:top w:val="single" w:color="auto" w:sz="4" w:space="0"/>
              <w:left w:val="single" w:color="auto" w:sz="4" w:space="0"/>
              <w:bottom w:val="single" w:color="auto" w:sz="4" w:space="0"/>
              <w:right w:val="single" w:color="auto" w:sz="4" w:space="0"/>
            </w:tcBorders>
            <w:vAlign w:val="center"/>
          </w:tcPr>
          <w:p w14:paraId="7F857FBA">
            <w:pPr>
              <w:spacing w:line="500" w:lineRule="exact"/>
              <w:jc w:val="center"/>
              <w:rPr>
                <w:rFonts w:ascii="仿宋" w:hAnsi="仿宋" w:eastAsia="仿宋" w:cs="仿宋"/>
                <w:color w:val="auto"/>
                <w:szCs w:val="21"/>
                <w:highlight w:val="none"/>
              </w:rPr>
            </w:pPr>
          </w:p>
        </w:tc>
        <w:tc>
          <w:tcPr>
            <w:tcW w:w="1070" w:type="dxa"/>
            <w:tcBorders>
              <w:top w:val="single" w:color="auto" w:sz="4" w:space="0"/>
              <w:left w:val="single" w:color="auto" w:sz="4" w:space="0"/>
              <w:bottom w:val="single" w:color="auto" w:sz="4" w:space="0"/>
              <w:right w:val="single" w:color="auto" w:sz="4" w:space="0"/>
            </w:tcBorders>
            <w:vAlign w:val="center"/>
          </w:tcPr>
          <w:p w14:paraId="35980DD7">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67DABE06">
            <w:pPr>
              <w:spacing w:line="500" w:lineRule="exact"/>
              <w:jc w:val="center"/>
              <w:rPr>
                <w:rFonts w:ascii="仿宋" w:hAnsi="仿宋" w:eastAsia="仿宋" w:cs="仿宋"/>
                <w:color w:val="auto"/>
                <w:szCs w:val="21"/>
                <w:highlight w:val="none"/>
              </w:rPr>
            </w:pPr>
          </w:p>
        </w:tc>
        <w:tc>
          <w:tcPr>
            <w:tcW w:w="708" w:type="dxa"/>
            <w:tcBorders>
              <w:top w:val="single" w:color="auto" w:sz="4" w:space="0"/>
              <w:left w:val="single" w:color="auto" w:sz="4" w:space="0"/>
              <w:bottom w:val="single" w:color="auto" w:sz="4" w:space="0"/>
              <w:right w:val="single" w:color="auto" w:sz="4" w:space="0"/>
            </w:tcBorders>
            <w:vAlign w:val="center"/>
          </w:tcPr>
          <w:p w14:paraId="6763DBEB">
            <w:pPr>
              <w:spacing w:line="500" w:lineRule="exact"/>
              <w:jc w:val="center"/>
              <w:rPr>
                <w:rFonts w:ascii="仿宋" w:hAnsi="仿宋" w:eastAsia="仿宋" w:cs="仿宋"/>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A656AD3">
            <w:pPr>
              <w:spacing w:line="500" w:lineRule="exact"/>
              <w:jc w:val="center"/>
              <w:rPr>
                <w:rFonts w:ascii="仿宋" w:hAnsi="仿宋" w:eastAsia="仿宋" w:cs="仿宋"/>
                <w:color w:val="auto"/>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49712B7F">
            <w:pPr>
              <w:spacing w:line="500" w:lineRule="exact"/>
              <w:jc w:val="center"/>
              <w:rPr>
                <w:rFonts w:ascii="仿宋" w:hAnsi="仿宋" w:eastAsia="仿宋" w:cs="仿宋"/>
                <w:color w:val="auto"/>
                <w:szCs w:val="21"/>
                <w:highlight w:val="none"/>
              </w:rPr>
            </w:pPr>
          </w:p>
        </w:tc>
      </w:tr>
    </w:tbl>
    <w:p w14:paraId="556D7EDC">
      <w:pPr>
        <w:pStyle w:val="39"/>
        <w:spacing w:line="317"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所有价格均用人民币表示，单位为元。</w:t>
      </w:r>
    </w:p>
    <w:p w14:paraId="469D4BA3">
      <w:pPr>
        <w:pStyle w:val="39"/>
        <w:tabs>
          <w:tab w:val="left" w:pos="378"/>
        </w:tabs>
        <w:spacing w:line="317"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报价总计价格必须与《</w:t>
      </w:r>
      <w:r>
        <w:rPr>
          <w:rFonts w:hint="eastAsia" w:ascii="仿宋" w:hAnsi="仿宋" w:eastAsia="仿宋" w:cs="仿宋"/>
          <w:color w:val="auto"/>
          <w:sz w:val="24"/>
          <w:szCs w:val="24"/>
          <w:highlight w:val="none"/>
          <w:lang w:eastAsia="zh-CN"/>
        </w:rPr>
        <w:t>投标报价单</w:t>
      </w:r>
      <w:r>
        <w:rPr>
          <w:rFonts w:hint="eastAsia" w:ascii="仿宋" w:hAnsi="仿宋" w:eastAsia="仿宋" w:cs="仿宋"/>
          <w:color w:val="auto"/>
          <w:sz w:val="24"/>
          <w:szCs w:val="24"/>
          <w:highlight w:val="none"/>
        </w:rPr>
        <w:t>》报价一致。</w:t>
      </w:r>
    </w:p>
    <w:p w14:paraId="66CB82AF">
      <w:pPr>
        <w:pStyle w:val="39"/>
        <w:tabs>
          <w:tab w:val="left" w:pos="490"/>
        </w:tabs>
        <w:spacing w:line="317"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如果不提供详细的分项报价表将被视为没有实质性</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w:t>
      </w:r>
    </w:p>
    <w:p w14:paraId="707948B4">
      <w:pPr>
        <w:pStyle w:val="39"/>
        <w:tabs>
          <w:tab w:val="left" w:pos="493"/>
        </w:tabs>
        <w:spacing w:line="317" w:lineRule="exact"/>
        <w:ind w:left="240" w:leftChars="100"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供应商必须按此表格式中的对应栏目内容填写，若需增加栏目，请在栏目</w:t>
      </w:r>
      <w:r>
        <w:rPr>
          <w:rFonts w:hint="eastAsia" w:ascii="仿宋" w:hAnsi="仿宋" w:eastAsia="仿宋" w:cs="仿宋"/>
          <w:color w:val="auto"/>
          <w:sz w:val="24"/>
          <w:szCs w:val="24"/>
          <w:highlight w:val="none"/>
          <w:lang w:val="zh-CN" w:eastAsia="zh-CN" w:bidi="zh-CN"/>
        </w:rPr>
        <w:t>“其</w:t>
      </w:r>
      <w:r>
        <w:rPr>
          <w:rFonts w:hint="eastAsia" w:ascii="仿宋" w:hAnsi="仿宋" w:eastAsia="仿宋" w:cs="仿宋"/>
          <w:color w:val="auto"/>
          <w:sz w:val="24"/>
          <w:szCs w:val="24"/>
          <w:highlight w:val="none"/>
        </w:rPr>
        <w:t>它”中填写，并作详细说明。</w:t>
      </w:r>
    </w:p>
    <w:p w14:paraId="63828EA8">
      <w:pPr>
        <w:pStyle w:val="39"/>
        <w:tabs>
          <w:tab w:val="left" w:pos="493"/>
        </w:tabs>
        <w:spacing w:line="317" w:lineRule="exact"/>
        <w:ind w:left="176"/>
        <w:rPr>
          <w:rFonts w:ascii="仿宋" w:hAnsi="仿宋" w:eastAsia="仿宋" w:cs="仿宋"/>
          <w:color w:val="auto"/>
          <w:sz w:val="20"/>
          <w:szCs w:val="20"/>
          <w:highlight w:val="none"/>
        </w:rPr>
      </w:pPr>
    </w:p>
    <w:p w14:paraId="5FBA8BB7">
      <w:pPr>
        <w:pStyle w:val="39"/>
        <w:tabs>
          <w:tab w:val="left" w:pos="493"/>
        </w:tabs>
        <w:spacing w:line="317" w:lineRule="exact"/>
        <w:ind w:left="176"/>
        <w:rPr>
          <w:rFonts w:ascii="仿宋" w:hAnsi="仿宋" w:eastAsia="仿宋" w:cs="仿宋"/>
          <w:color w:val="auto"/>
          <w:sz w:val="20"/>
          <w:szCs w:val="20"/>
          <w:highlight w:val="none"/>
        </w:rPr>
      </w:pPr>
    </w:p>
    <w:p w14:paraId="5C6012FD">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51BA0333">
      <w:pPr>
        <w:pStyle w:val="7"/>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7F11F25D">
      <w:pPr>
        <w:pStyle w:val="7"/>
        <w:numPr>
          <w:ilvl w:val="0"/>
          <w:numId w:val="0"/>
        </w:numPr>
        <w:tabs>
          <w:tab w:val="left" w:pos="5551"/>
          <w:tab w:val="left" w:pos="6511"/>
          <w:tab w:val="left" w:pos="7111"/>
          <w:tab w:val="left" w:pos="7711"/>
        </w:tabs>
        <w:kinsoku w:val="0"/>
        <w:overflowPunct w:val="0"/>
        <w:spacing w:before="46"/>
        <w:ind w:left="392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日期：</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sz w:val="24"/>
          <w:highlight w:val="none"/>
          <w:lang w:eastAsia="zh-CN"/>
        </w:rPr>
        <w:t>日</w:t>
      </w:r>
    </w:p>
    <w:p w14:paraId="43574CCD">
      <w:pPr>
        <w:pStyle w:val="7"/>
        <w:numPr>
          <w:ilvl w:val="0"/>
          <w:numId w:val="0"/>
        </w:numPr>
        <w:kinsoku w:val="0"/>
        <w:overflowPunct w:val="0"/>
        <w:spacing w:before="34" w:line="357" w:lineRule="auto"/>
        <w:ind w:left="480" w:right="126"/>
        <w:jc w:val="center"/>
        <w:rPr>
          <w:rFonts w:ascii="仿宋" w:hAnsi="仿宋" w:eastAsia="仿宋" w:cs="仿宋"/>
          <w:b/>
          <w:bCs/>
          <w:color w:val="auto"/>
          <w:sz w:val="36"/>
          <w:szCs w:val="36"/>
          <w:highlight w:val="none"/>
          <w:lang w:eastAsia="zh-CN"/>
        </w:rPr>
      </w:pPr>
    </w:p>
    <w:p w14:paraId="43A41DA4">
      <w:pPr>
        <w:spacing w:line="360" w:lineRule="auto"/>
        <w:jc w:val="center"/>
        <w:rPr>
          <w:rFonts w:ascii="仿宋" w:hAnsi="仿宋" w:eastAsia="仿宋" w:cs="仿宋"/>
          <w:b/>
          <w:color w:val="auto"/>
          <w:sz w:val="36"/>
          <w:szCs w:val="36"/>
          <w:highlight w:val="none"/>
          <w:lang w:eastAsia="zh-CN"/>
        </w:rPr>
      </w:pPr>
    </w:p>
    <w:p w14:paraId="42222156">
      <w:pPr>
        <w:spacing w:line="360" w:lineRule="auto"/>
        <w:jc w:val="center"/>
        <w:rPr>
          <w:rFonts w:ascii="仿宋" w:hAnsi="仿宋" w:eastAsia="仿宋" w:cs="仿宋"/>
          <w:b/>
          <w:bCs/>
          <w:color w:val="auto"/>
          <w:sz w:val="32"/>
          <w:szCs w:val="32"/>
          <w:highlight w:val="none"/>
          <w:lang w:eastAsia="zh-CN"/>
        </w:rPr>
      </w:pPr>
      <w:r>
        <w:rPr>
          <w:rFonts w:hint="eastAsia" w:ascii="仿宋" w:hAnsi="仿宋" w:eastAsia="仿宋" w:cs="仿宋"/>
          <w:b/>
          <w:color w:val="auto"/>
          <w:sz w:val="36"/>
          <w:szCs w:val="36"/>
          <w:highlight w:val="none"/>
          <w:lang w:eastAsia="zh-CN"/>
        </w:rPr>
        <w:t>5、</w:t>
      </w:r>
      <w:r>
        <w:rPr>
          <w:rFonts w:hint="eastAsia" w:ascii="仿宋" w:hAnsi="仿宋" w:eastAsia="仿宋" w:cs="仿宋"/>
          <w:b/>
          <w:bCs/>
          <w:color w:val="auto"/>
          <w:sz w:val="32"/>
          <w:szCs w:val="32"/>
          <w:highlight w:val="none"/>
          <w:lang w:eastAsia="zh-CN"/>
        </w:rPr>
        <w:t>技术条款偏离表</w:t>
      </w:r>
    </w:p>
    <w:tbl>
      <w:tblPr>
        <w:tblStyle w:val="22"/>
        <w:tblW w:w="83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75"/>
        <w:gridCol w:w="1617"/>
        <w:gridCol w:w="1326"/>
        <w:gridCol w:w="1326"/>
        <w:gridCol w:w="1327"/>
        <w:gridCol w:w="1848"/>
      </w:tblGrid>
      <w:tr w14:paraId="4E7D40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vAlign w:val="center"/>
          </w:tcPr>
          <w:p w14:paraId="06CF8C52">
            <w:pPr>
              <w:jc w:val="center"/>
              <w:rPr>
                <w:rFonts w:ascii="仿宋" w:hAnsi="仿宋" w:eastAsia="仿宋" w:cs="仿宋"/>
                <w:bCs/>
                <w:color w:val="auto"/>
                <w:highlight w:val="none"/>
              </w:rPr>
            </w:pPr>
            <w:r>
              <w:rPr>
                <w:rFonts w:hint="eastAsia" w:ascii="仿宋" w:hAnsi="仿宋" w:eastAsia="仿宋" w:cs="仿宋"/>
                <w:bCs/>
                <w:color w:val="auto"/>
                <w:highlight w:val="none"/>
              </w:rPr>
              <w:t>序号</w:t>
            </w:r>
          </w:p>
        </w:tc>
        <w:tc>
          <w:tcPr>
            <w:tcW w:w="1617" w:type="dxa"/>
            <w:vAlign w:val="center"/>
          </w:tcPr>
          <w:p w14:paraId="4332BCED">
            <w:pPr>
              <w:jc w:val="center"/>
              <w:rPr>
                <w:rFonts w:ascii="仿宋" w:hAnsi="仿宋" w:eastAsia="仿宋" w:cs="仿宋"/>
                <w:bCs/>
                <w:color w:val="auto"/>
                <w:highlight w:val="none"/>
              </w:rPr>
            </w:pPr>
            <w:r>
              <w:rPr>
                <w:rFonts w:hint="eastAsia" w:ascii="仿宋" w:hAnsi="仿宋" w:eastAsia="仿宋" w:cs="仿宋"/>
                <w:bCs/>
                <w:color w:val="auto"/>
                <w:highlight w:val="none"/>
              </w:rPr>
              <w:t>货物名称</w:t>
            </w:r>
          </w:p>
        </w:tc>
        <w:tc>
          <w:tcPr>
            <w:tcW w:w="1326" w:type="dxa"/>
            <w:vAlign w:val="center"/>
          </w:tcPr>
          <w:p w14:paraId="366D0EA8">
            <w:pPr>
              <w:jc w:val="center"/>
              <w:rPr>
                <w:rFonts w:ascii="仿宋" w:hAnsi="仿宋" w:eastAsia="仿宋" w:cs="仿宋"/>
                <w:bCs/>
                <w:color w:val="auto"/>
                <w:highlight w:val="none"/>
              </w:rPr>
            </w:pPr>
            <w:r>
              <w:rPr>
                <w:rFonts w:hint="eastAsia" w:ascii="仿宋" w:hAnsi="仿宋" w:eastAsia="仿宋" w:cs="仿宋"/>
                <w:bCs/>
                <w:color w:val="auto"/>
                <w:highlight w:val="none"/>
              </w:rPr>
              <w:t>招标文件要求规格</w:t>
            </w:r>
          </w:p>
        </w:tc>
        <w:tc>
          <w:tcPr>
            <w:tcW w:w="1326" w:type="dxa"/>
            <w:vAlign w:val="center"/>
          </w:tcPr>
          <w:p w14:paraId="01998027">
            <w:pPr>
              <w:jc w:val="center"/>
              <w:rPr>
                <w:rFonts w:ascii="仿宋" w:hAnsi="仿宋" w:eastAsia="仿宋" w:cs="仿宋"/>
                <w:bCs/>
                <w:color w:val="auto"/>
                <w:highlight w:val="none"/>
              </w:rPr>
            </w:pPr>
            <w:r>
              <w:rPr>
                <w:rFonts w:hint="eastAsia" w:ascii="仿宋" w:hAnsi="仿宋" w:eastAsia="仿宋" w:cs="仿宋"/>
                <w:bCs/>
                <w:color w:val="auto"/>
                <w:highlight w:val="none"/>
              </w:rPr>
              <w:t>投标规格</w:t>
            </w:r>
          </w:p>
        </w:tc>
        <w:tc>
          <w:tcPr>
            <w:tcW w:w="1327" w:type="dxa"/>
            <w:vAlign w:val="center"/>
          </w:tcPr>
          <w:p w14:paraId="5716CD98">
            <w:pPr>
              <w:jc w:val="center"/>
              <w:rPr>
                <w:rFonts w:ascii="仿宋" w:hAnsi="仿宋" w:eastAsia="仿宋" w:cs="仿宋"/>
                <w:bCs/>
                <w:color w:val="auto"/>
                <w:highlight w:val="none"/>
              </w:rPr>
            </w:pPr>
            <w:r>
              <w:rPr>
                <w:rFonts w:hint="eastAsia" w:ascii="仿宋" w:hAnsi="仿宋" w:eastAsia="仿宋" w:cs="仿宋"/>
                <w:bCs/>
                <w:color w:val="auto"/>
                <w:highlight w:val="none"/>
              </w:rPr>
              <w:t>偏离</w:t>
            </w:r>
          </w:p>
        </w:tc>
        <w:tc>
          <w:tcPr>
            <w:tcW w:w="1848" w:type="dxa"/>
            <w:vAlign w:val="center"/>
          </w:tcPr>
          <w:p w14:paraId="62A6EBD1">
            <w:pPr>
              <w:jc w:val="center"/>
              <w:rPr>
                <w:rFonts w:ascii="仿宋" w:hAnsi="仿宋" w:eastAsia="仿宋" w:cs="仿宋"/>
                <w:bCs/>
                <w:color w:val="auto"/>
                <w:highlight w:val="none"/>
              </w:rPr>
            </w:pPr>
            <w:r>
              <w:rPr>
                <w:rFonts w:hint="eastAsia" w:ascii="仿宋" w:hAnsi="仿宋" w:eastAsia="仿宋" w:cs="仿宋"/>
                <w:bCs/>
                <w:color w:val="auto"/>
                <w:highlight w:val="none"/>
              </w:rPr>
              <w:t>说明</w:t>
            </w:r>
          </w:p>
        </w:tc>
      </w:tr>
      <w:tr w14:paraId="50231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08FAEE85">
            <w:pPr>
              <w:jc w:val="center"/>
              <w:rPr>
                <w:rFonts w:ascii="仿宋" w:hAnsi="仿宋" w:eastAsia="仿宋" w:cs="仿宋"/>
                <w:b/>
                <w:bCs/>
                <w:color w:val="auto"/>
                <w:highlight w:val="none"/>
              </w:rPr>
            </w:pPr>
          </w:p>
        </w:tc>
        <w:tc>
          <w:tcPr>
            <w:tcW w:w="1617" w:type="dxa"/>
          </w:tcPr>
          <w:p w14:paraId="065CE525">
            <w:pPr>
              <w:jc w:val="center"/>
              <w:rPr>
                <w:rFonts w:ascii="仿宋" w:hAnsi="仿宋" w:eastAsia="仿宋" w:cs="仿宋"/>
                <w:b/>
                <w:bCs/>
                <w:color w:val="auto"/>
                <w:highlight w:val="none"/>
              </w:rPr>
            </w:pPr>
          </w:p>
        </w:tc>
        <w:tc>
          <w:tcPr>
            <w:tcW w:w="1326" w:type="dxa"/>
          </w:tcPr>
          <w:p w14:paraId="3EA396C3">
            <w:pPr>
              <w:jc w:val="center"/>
              <w:rPr>
                <w:rFonts w:ascii="仿宋" w:hAnsi="仿宋" w:eastAsia="仿宋" w:cs="仿宋"/>
                <w:b/>
                <w:bCs/>
                <w:color w:val="auto"/>
                <w:highlight w:val="none"/>
              </w:rPr>
            </w:pPr>
          </w:p>
        </w:tc>
        <w:tc>
          <w:tcPr>
            <w:tcW w:w="1326" w:type="dxa"/>
          </w:tcPr>
          <w:p w14:paraId="5DBDEA09">
            <w:pPr>
              <w:jc w:val="center"/>
              <w:rPr>
                <w:rFonts w:ascii="仿宋" w:hAnsi="仿宋" w:eastAsia="仿宋" w:cs="仿宋"/>
                <w:b/>
                <w:bCs/>
                <w:color w:val="auto"/>
                <w:highlight w:val="none"/>
              </w:rPr>
            </w:pPr>
          </w:p>
        </w:tc>
        <w:tc>
          <w:tcPr>
            <w:tcW w:w="1327" w:type="dxa"/>
          </w:tcPr>
          <w:p w14:paraId="29AC922C">
            <w:pPr>
              <w:jc w:val="center"/>
              <w:rPr>
                <w:rFonts w:ascii="仿宋" w:hAnsi="仿宋" w:eastAsia="仿宋" w:cs="仿宋"/>
                <w:b/>
                <w:bCs/>
                <w:color w:val="auto"/>
                <w:highlight w:val="none"/>
                <w:lang w:eastAsia="zh-CN"/>
              </w:rPr>
            </w:pPr>
            <w:r>
              <w:rPr>
                <w:rFonts w:hint="eastAsia" w:ascii="仿宋" w:hAnsi="仿宋" w:eastAsia="仿宋" w:cs="仿宋"/>
                <w:bCs/>
                <w:color w:val="auto"/>
                <w:highlight w:val="none"/>
                <w:lang w:eastAsia="zh-CN"/>
              </w:rPr>
              <w:t>如有正偏离需提供证明材料，证明材料附后(并注明页码)</w:t>
            </w:r>
          </w:p>
        </w:tc>
        <w:tc>
          <w:tcPr>
            <w:tcW w:w="1848" w:type="dxa"/>
          </w:tcPr>
          <w:p w14:paraId="0A0A3F91">
            <w:pPr>
              <w:jc w:val="center"/>
              <w:rPr>
                <w:rFonts w:ascii="仿宋" w:hAnsi="仿宋" w:eastAsia="仿宋" w:cs="仿宋"/>
                <w:b/>
                <w:bCs/>
                <w:color w:val="auto"/>
                <w:highlight w:val="none"/>
                <w:lang w:eastAsia="zh-CN"/>
              </w:rPr>
            </w:pPr>
          </w:p>
        </w:tc>
      </w:tr>
      <w:tr w14:paraId="7313BB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383A358E">
            <w:pPr>
              <w:jc w:val="center"/>
              <w:rPr>
                <w:rFonts w:ascii="仿宋" w:hAnsi="仿宋" w:eastAsia="仿宋" w:cs="仿宋"/>
                <w:b/>
                <w:bCs/>
                <w:color w:val="auto"/>
                <w:highlight w:val="none"/>
                <w:lang w:eastAsia="zh-CN"/>
              </w:rPr>
            </w:pPr>
          </w:p>
        </w:tc>
        <w:tc>
          <w:tcPr>
            <w:tcW w:w="1617" w:type="dxa"/>
          </w:tcPr>
          <w:p w14:paraId="6BBBCEB5">
            <w:pPr>
              <w:jc w:val="center"/>
              <w:rPr>
                <w:rFonts w:ascii="仿宋" w:hAnsi="仿宋" w:eastAsia="仿宋" w:cs="仿宋"/>
                <w:b/>
                <w:bCs/>
                <w:color w:val="auto"/>
                <w:highlight w:val="none"/>
                <w:lang w:eastAsia="zh-CN"/>
              </w:rPr>
            </w:pPr>
          </w:p>
        </w:tc>
        <w:tc>
          <w:tcPr>
            <w:tcW w:w="1326" w:type="dxa"/>
          </w:tcPr>
          <w:p w14:paraId="0A324300">
            <w:pPr>
              <w:jc w:val="center"/>
              <w:rPr>
                <w:rFonts w:ascii="仿宋" w:hAnsi="仿宋" w:eastAsia="仿宋" w:cs="仿宋"/>
                <w:b/>
                <w:bCs/>
                <w:color w:val="auto"/>
                <w:highlight w:val="none"/>
                <w:lang w:eastAsia="zh-CN"/>
              </w:rPr>
            </w:pPr>
          </w:p>
        </w:tc>
        <w:tc>
          <w:tcPr>
            <w:tcW w:w="1326" w:type="dxa"/>
          </w:tcPr>
          <w:p w14:paraId="41D56BC1">
            <w:pPr>
              <w:jc w:val="center"/>
              <w:rPr>
                <w:rFonts w:ascii="仿宋" w:hAnsi="仿宋" w:eastAsia="仿宋" w:cs="仿宋"/>
                <w:b/>
                <w:bCs/>
                <w:color w:val="auto"/>
                <w:highlight w:val="none"/>
                <w:lang w:eastAsia="zh-CN"/>
              </w:rPr>
            </w:pPr>
          </w:p>
        </w:tc>
        <w:tc>
          <w:tcPr>
            <w:tcW w:w="1327" w:type="dxa"/>
          </w:tcPr>
          <w:p w14:paraId="68B14B1D">
            <w:pPr>
              <w:jc w:val="center"/>
              <w:rPr>
                <w:rFonts w:ascii="仿宋" w:hAnsi="仿宋" w:eastAsia="仿宋" w:cs="仿宋"/>
                <w:b/>
                <w:bCs/>
                <w:color w:val="auto"/>
                <w:highlight w:val="none"/>
                <w:lang w:eastAsia="zh-CN"/>
              </w:rPr>
            </w:pPr>
          </w:p>
        </w:tc>
        <w:tc>
          <w:tcPr>
            <w:tcW w:w="1848" w:type="dxa"/>
          </w:tcPr>
          <w:p w14:paraId="05011FA1">
            <w:pPr>
              <w:jc w:val="center"/>
              <w:rPr>
                <w:rFonts w:ascii="仿宋" w:hAnsi="仿宋" w:eastAsia="仿宋" w:cs="仿宋"/>
                <w:b/>
                <w:bCs/>
                <w:color w:val="auto"/>
                <w:highlight w:val="none"/>
                <w:lang w:eastAsia="zh-CN"/>
              </w:rPr>
            </w:pPr>
          </w:p>
        </w:tc>
      </w:tr>
      <w:tr w14:paraId="59D6BD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055378C9">
            <w:pPr>
              <w:jc w:val="center"/>
              <w:rPr>
                <w:rFonts w:ascii="仿宋" w:hAnsi="仿宋" w:eastAsia="仿宋" w:cs="仿宋"/>
                <w:b/>
                <w:bCs/>
                <w:color w:val="auto"/>
                <w:highlight w:val="none"/>
                <w:lang w:eastAsia="zh-CN"/>
              </w:rPr>
            </w:pPr>
          </w:p>
        </w:tc>
        <w:tc>
          <w:tcPr>
            <w:tcW w:w="1617" w:type="dxa"/>
          </w:tcPr>
          <w:p w14:paraId="46B8AEF7">
            <w:pPr>
              <w:jc w:val="center"/>
              <w:rPr>
                <w:rFonts w:ascii="仿宋" w:hAnsi="仿宋" w:eastAsia="仿宋" w:cs="仿宋"/>
                <w:b/>
                <w:bCs/>
                <w:color w:val="auto"/>
                <w:highlight w:val="none"/>
                <w:lang w:eastAsia="zh-CN"/>
              </w:rPr>
            </w:pPr>
          </w:p>
        </w:tc>
        <w:tc>
          <w:tcPr>
            <w:tcW w:w="1326" w:type="dxa"/>
          </w:tcPr>
          <w:p w14:paraId="4BFB6B0B">
            <w:pPr>
              <w:jc w:val="center"/>
              <w:rPr>
                <w:rFonts w:ascii="仿宋" w:hAnsi="仿宋" w:eastAsia="仿宋" w:cs="仿宋"/>
                <w:b/>
                <w:bCs/>
                <w:color w:val="auto"/>
                <w:highlight w:val="none"/>
                <w:lang w:eastAsia="zh-CN"/>
              </w:rPr>
            </w:pPr>
          </w:p>
        </w:tc>
        <w:tc>
          <w:tcPr>
            <w:tcW w:w="1326" w:type="dxa"/>
          </w:tcPr>
          <w:p w14:paraId="68AB70D0">
            <w:pPr>
              <w:jc w:val="center"/>
              <w:rPr>
                <w:rFonts w:ascii="仿宋" w:hAnsi="仿宋" w:eastAsia="仿宋" w:cs="仿宋"/>
                <w:b/>
                <w:bCs/>
                <w:color w:val="auto"/>
                <w:highlight w:val="none"/>
                <w:lang w:eastAsia="zh-CN"/>
              </w:rPr>
            </w:pPr>
          </w:p>
        </w:tc>
        <w:tc>
          <w:tcPr>
            <w:tcW w:w="1327" w:type="dxa"/>
          </w:tcPr>
          <w:p w14:paraId="489C6CEB">
            <w:pPr>
              <w:jc w:val="center"/>
              <w:rPr>
                <w:rFonts w:ascii="仿宋" w:hAnsi="仿宋" w:eastAsia="仿宋" w:cs="仿宋"/>
                <w:b/>
                <w:bCs/>
                <w:color w:val="auto"/>
                <w:highlight w:val="none"/>
                <w:lang w:eastAsia="zh-CN"/>
              </w:rPr>
            </w:pPr>
          </w:p>
        </w:tc>
        <w:tc>
          <w:tcPr>
            <w:tcW w:w="1848" w:type="dxa"/>
          </w:tcPr>
          <w:p w14:paraId="0BC4B5D9">
            <w:pPr>
              <w:jc w:val="center"/>
              <w:rPr>
                <w:rFonts w:ascii="仿宋" w:hAnsi="仿宋" w:eastAsia="仿宋" w:cs="仿宋"/>
                <w:b/>
                <w:bCs/>
                <w:color w:val="auto"/>
                <w:highlight w:val="none"/>
                <w:lang w:eastAsia="zh-CN"/>
              </w:rPr>
            </w:pPr>
          </w:p>
        </w:tc>
      </w:tr>
      <w:tr w14:paraId="056F07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384C68AB">
            <w:pPr>
              <w:jc w:val="center"/>
              <w:rPr>
                <w:rFonts w:ascii="仿宋" w:hAnsi="仿宋" w:eastAsia="仿宋" w:cs="仿宋"/>
                <w:b/>
                <w:bCs/>
                <w:color w:val="auto"/>
                <w:highlight w:val="none"/>
                <w:lang w:eastAsia="zh-CN"/>
              </w:rPr>
            </w:pPr>
          </w:p>
        </w:tc>
        <w:tc>
          <w:tcPr>
            <w:tcW w:w="1617" w:type="dxa"/>
          </w:tcPr>
          <w:p w14:paraId="65DF292B">
            <w:pPr>
              <w:jc w:val="center"/>
              <w:rPr>
                <w:rFonts w:ascii="仿宋" w:hAnsi="仿宋" w:eastAsia="仿宋" w:cs="仿宋"/>
                <w:b/>
                <w:bCs/>
                <w:color w:val="auto"/>
                <w:highlight w:val="none"/>
                <w:lang w:eastAsia="zh-CN"/>
              </w:rPr>
            </w:pPr>
          </w:p>
        </w:tc>
        <w:tc>
          <w:tcPr>
            <w:tcW w:w="1326" w:type="dxa"/>
          </w:tcPr>
          <w:p w14:paraId="57BB6150">
            <w:pPr>
              <w:jc w:val="center"/>
              <w:rPr>
                <w:rFonts w:ascii="仿宋" w:hAnsi="仿宋" w:eastAsia="仿宋" w:cs="仿宋"/>
                <w:b/>
                <w:bCs/>
                <w:color w:val="auto"/>
                <w:highlight w:val="none"/>
                <w:lang w:eastAsia="zh-CN"/>
              </w:rPr>
            </w:pPr>
          </w:p>
        </w:tc>
        <w:tc>
          <w:tcPr>
            <w:tcW w:w="1326" w:type="dxa"/>
          </w:tcPr>
          <w:p w14:paraId="04AC0DEF">
            <w:pPr>
              <w:jc w:val="center"/>
              <w:rPr>
                <w:rFonts w:ascii="仿宋" w:hAnsi="仿宋" w:eastAsia="仿宋" w:cs="仿宋"/>
                <w:b/>
                <w:bCs/>
                <w:color w:val="auto"/>
                <w:highlight w:val="none"/>
                <w:lang w:eastAsia="zh-CN"/>
              </w:rPr>
            </w:pPr>
          </w:p>
        </w:tc>
        <w:tc>
          <w:tcPr>
            <w:tcW w:w="1327" w:type="dxa"/>
          </w:tcPr>
          <w:p w14:paraId="07CA01E8">
            <w:pPr>
              <w:jc w:val="center"/>
              <w:rPr>
                <w:rFonts w:ascii="仿宋" w:hAnsi="仿宋" w:eastAsia="仿宋" w:cs="仿宋"/>
                <w:b/>
                <w:bCs/>
                <w:color w:val="auto"/>
                <w:highlight w:val="none"/>
                <w:lang w:eastAsia="zh-CN"/>
              </w:rPr>
            </w:pPr>
          </w:p>
        </w:tc>
        <w:tc>
          <w:tcPr>
            <w:tcW w:w="1848" w:type="dxa"/>
          </w:tcPr>
          <w:p w14:paraId="7F30AED8">
            <w:pPr>
              <w:jc w:val="center"/>
              <w:rPr>
                <w:rFonts w:ascii="仿宋" w:hAnsi="仿宋" w:eastAsia="仿宋" w:cs="仿宋"/>
                <w:b/>
                <w:bCs/>
                <w:color w:val="auto"/>
                <w:highlight w:val="none"/>
                <w:lang w:eastAsia="zh-CN"/>
              </w:rPr>
            </w:pPr>
          </w:p>
        </w:tc>
      </w:tr>
      <w:tr w14:paraId="15509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75" w:type="dxa"/>
          </w:tcPr>
          <w:p w14:paraId="4935E1A8">
            <w:pPr>
              <w:jc w:val="center"/>
              <w:rPr>
                <w:rFonts w:ascii="仿宋" w:hAnsi="仿宋" w:eastAsia="仿宋" w:cs="仿宋"/>
                <w:b/>
                <w:bCs/>
                <w:color w:val="auto"/>
                <w:highlight w:val="none"/>
                <w:lang w:eastAsia="zh-CN"/>
              </w:rPr>
            </w:pPr>
          </w:p>
        </w:tc>
        <w:tc>
          <w:tcPr>
            <w:tcW w:w="1617" w:type="dxa"/>
          </w:tcPr>
          <w:p w14:paraId="66CB55D9">
            <w:pPr>
              <w:jc w:val="center"/>
              <w:rPr>
                <w:rFonts w:ascii="仿宋" w:hAnsi="仿宋" w:eastAsia="仿宋" w:cs="仿宋"/>
                <w:b/>
                <w:bCs/>
                <w:color w:val="auto"/>
                <w:highlight w:val="none"/>
                <w:lang w:eastAsia="zh-CN"/>
              </w:rPr>
            </w:pPr>
          </w:p>
        </w:tc>
        <w:tc>
          <w:tcPr>
            <w:tcW w:w="1326" w:type="dxa"/>
          </w:tcPr>
          <w:p w14:paraId="680A3972">
            <w:pPr>
              <w:jc w:val="center"/>
              <w:rPr>
                <w:rFonts w:ascii="仿宋" w:hAnsi="仿宋" w:eastAsia="仿宋" w:cs="仿宋"/>
                <w:b/>
                <w:bCs/>
                <w:color w:val="auto"/>
                <w:highlight w:val="none"/>
                <w:lang w:eastAsia="zh-CN"/>
              </w:rPr>
            </w:pPr>
          </w:p>
        </w:tc>
        <w:tc>
          <w:tcPr>
            <w:tcW w:w="1326" w:type="dxa"/>
          </w:tcPr>
          <w:p w14:paraId="4CD78DCC">
            <w:pPr>
              <w:jc w:val="center"/>
              <w:rPr>
                <w:rFonts w:ascii="仿宋" w:hAnsi="仿宋" w:eastAsia="仿宋" w:cs="仿宋"/>
                <w:b/>
                <w:bCs/>
                <w:color w:val="auto"/>
                <w:highlight w:val="none"/>
                <w:lang w:eastAsia="zh-CN"/>
              </w:rPr>
            </w:pPr>
          </w:p>
        </w:tc>
        <w:tc>
          <w:tcPr>
            <w:tcW w:w="1327" w:type="dxa"/>
          </w:tcPr>
          <w:p w14:paraId="731614ED">
            <w:pPr>
              <w:jc w:val="center"/>
              <w:rPr>
                <w:rFonts w:ascii="仿宋" w:hAnsi="仿宋" w:eastAsia="仿宋" w:cs="仿宋"/>
                <w:b/>
                <w:bCs/>
                <w:color w:val="auto"/>
                <w:highlight w:val="none"/>
                <w:lang w:eastAsia="zh-CN"/>
              </w:rPr>
            </w:pPr>
          </w:p>
        </w:tc>
        <w:tc>
          <w:tcPr>
            <w:tcW w:w="1848" w:type="dxa"/>
          </w:tcPr>
          <w:p w14:paraId="192686BA">
            <w:pPr>
              <w:jc w:val="center"/>
              <w:rPr>
                <w:rFonts w:ascii="仿宋" w:hAnsi="仿宋" w:eastAsia="仿宋" w:cs="仿宋"/>
                <w:b/>
                <w:bCs/>
                <w:color w:val="auto"/>
                <w:highlight w:val="none"/>
                <w:lang w:eastAsia="zh-CN"/>
              </w:rPr>
            </w:pPr>
          </w:p>
        </w:tc>
      </w:tr>
    </w:tbl>
    <w:p w14:paraId="74E893CC">
      <w:pPr>
        <w:spacing w:line="360" w:lineRule="auto"/>
        <w:ind w:firstLine="475" w:firstLineChars="198"/>
        <w:rPr>
          <w:rFonts w:ascii="仿宋" w:hAnsi="仿宋" w:eastAsia="仿宋" w:cs="仿宋"/>
          <w:color w:val="auto"/>
          <w:highlight w:val="none"/>
          <w:lang w:eastAsia="zh-CN"/>
        </w:rPr>
      </w:pPr>
      <w:r>
        <w:rPr>
          <w:rFonts w:hint="eastAsia" w:ascii="仿宋" w:hAnsi="仿宋" w:eastAsia="仿宋" w:cs="仿宋"/>
          <w:color w:val="auto"/>
          <w:highlight w:val="none"/>
          <w:lang w:eastAsia="zh-CN"/>
        </w:rPr>
        <w:t>备注：供应商应根据其提供的货物，对照招标文件第四章“技术标准和要求”中的要求，有差异的，则在此表中列明实际响应的内容提要并加以说明，以便查对。本表包括所有的技术响应及差异。无差异说明表示完全响应。</w:t>
      </w:r>
    </w:p>
    <w:p w14:paraId="3AD64571">
      <w:pPr>
        <w:pStyle w:val="10"/>
        <w:tabs>
          <w:tab w:val="left" w:pos="5580"/>
        </w:tabs>
        <w:spacing w:line="360" w:lineRule="auto"/>
        <w:ind w:firstLine="3120" w:firstLineChars="1300"/>
        <w:rPr>
          <w:rFonts w:ascii="仿宋" w:hAnsi="仿宋" w:eastAsia="仿宋" w:cs="仿宋"/>
          <w:color w:val="auto"/>
          <w:highlight w:val="none"/>
          <w:lang w:eastAsia="zh-CN"/>
        </w:rPr>
      </w:pPr>
    </w:p>
    <w:p w14:paraId="54D6C760">
      <w:pPr>
        <w:pStyle w:val="10"/>
        <w:tabs>
          <w:tab w:val="left" w:pos="5580"/>
        </w:tabs>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供应商（盖章）：</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 xml:space="preserve">                    </w:t>
      </w:r>
    </w:p>
    <w:p w14:paraId="55409616">
      <w:pPr>
        <w:pStyle w:val="10"/>
        <w:tabs>
          <w:tab w:val="left" w:pos="5580"/>
        </w:tabs>
        <w:spacing w:line="360" w:lineRule="auto"/>
        <w:ind w:firstLine="3120" w:firstLineChars="1300"/>
        <w:rPr>
          <w:rFonts w:ascii="仿宋" w:hAnsi="仿宋" w:eastAsia="仿宋" w:cs="仿宋"/>
          <w:color w:val="auto"/>
          <w:szCs w:val="24"/>
          <w:highlight w:val="none"/>
          <w:u w:val="single"/>
          <w:lang w:eastAsia="zh-CN"/>
        </w:rPr>
      </w:pPr>
      <w:r>
        <w:rPr>
          <w:rFonts w:hint="eastAsia" w:ascii="仿宋" w:hAnsi="仿宋" w:eastAsia="仿宋" w:cs="仿宋"/>
          <w:color w:val="auto"/>
          <w:highlight w:val="none"/>
          <w:lang w:eastAsia="zh-CN"/>
        </w:rPr>
        <w:t>法定代表人或</w:t>
      </w:r>
      <w:r>
        <w:rPr>
          <w:rFonts w:hint="eastAsia" w:ascii="仿宋" w:hAnsi="仿宋" w:eastAsia="仿宋" w:cs="仿宋"/>
          <w:color w:val="auto"/>
          <w:szCs w:val="24"/>
          <w:highlight w:val="none"/>
          <w:lang w:eastAsia="zh-CN"/>
        </w:rPr>
        <w:t>委托代理人</w:t>
      </w:r>
      <w:r>
        <w:rPr>
          <w:rFonts w:hint="eastAsia" w:ascii="仿宋" w:hAnsi="仿宋" w:eastAsia="仿宋" w:cs="仿宋"/>
          <w:color w:val="auto"/>
          <w:highlight w:val="none"/>
          <w:lang w:eastAsia="zh-CN"/>
        </w:rPr>
        <w:t>（签章）</w:t>
      </w:r>
      <w:r>
        <w:rPr>
          <w:rFonts w:hint="eastAsia" w:ascii="仿宋" w:hAnsi="仿宋" w:eastAsia="仿宋" w:cs="仿宋"/>
          <w:color w:val="auto"/>
          <w:szCs w:val="24"/>
          <w:highlight w:val="none"/>
          <w:lang w:eastAsia="zh-CN"/>
        </w:rPr>
        <w:t>：</w:t>
      </w:r>
      <w:r>
        <w:rPr>
          <w:rFonts w:hint="eastAsia" w:ascii="仿宋" w:hAnsi="仿宋" w:eastAsia="仿宋" w:cs="仿宋"/>
          <w:color w:val="auto"/>
          <w:szCs w:val="24"/>
          <w:highlight w:val="none"/>
          <w:u w:val="single"/>
          <w:lang w:eastAsia="zh-CN"/>
        </w:rPr>
        <w:t xml:space="preserve">             </w:t>
      </w:r>
    </w:p>
    <w:p w14:paraId="38AEB5AF">
      <w:pPr>
        <w:spacing w:line="360" w:lineRule="auto"/>
        <w:ind w:firstLine="3120" w:firstLineChars="1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日期：       年   月   日</w:t>
      </w:r>
    </w:p>
    <w:p w14:paraId="731723B4">
      <w:pPr>
        <w:pStyle w:val="4"/>
        <w:rPr>
          <w:rFonts w:ascii="仿宋" w:hAnsi="仿宋" w:eastAsia="仿宋" w:cs="仿宋"/>
          <w:color w:val="auto"/>
          <w:sz w:val="36"/>
          <w:szCs w:val="36"/>
          <w:highlight w:val="none"/>
          <w:lang w:eastAsia="zh-CN"/>
        </w:rPr>
      </w:pPr>
    </w:p>
    <w:p w14:paraId="50A5E500">
      <w:pPr>
        <w:rPr>
          <w:rFonts w:ascii="仿宋" w:hAnsi="仿宋" w:eastAsia="仿宋" w:cs="仿宋"/>
          <w:color w:val="auto"/>
          <w:highlight w:val="none"/>
          <w:lang w:eastAsia="zh-CN"/>
        </w:rPr>
      </w:pPr>
    </w:p>
    <w:p w14:paraId="4845E976">
      <w:pPr>
        <w:pStyle w:val="36"/>
        <w:spacing w:after="0"/>
        <w:ind w:firstLine="420"/>
        <w:jc w:val="center"/>
        <w:rPr>
          <w:rFonts w:ascii="仿宋" w:hAnsi="仿宋" w:eastAsia="仿宋" w:cs="仿宋"/>
          <w:color w:val="auto"/>
          <w:sz w:val="36"/>
          <w:szCs w:val="36"/>
          <w:highlight w:val="none"/>
          <w:lang w:eastAsia="zh-CN"/>
        </w:rPr>
      </w:pPr>
    </w:p>
    <w:p w14:paraId="4F94DF08">
      <w:pPr>
        <w:pStyle w:val="36"/>
        <w:spacing w:after="0"/>
        <w:ind w:firstLine="420"/>
        <w:jc w:val="center"/>
        <w:rPr>
          <w:rFonts w:ascii="仿宋" w:hAnsi="仿宋" w:eastAsia="仿宋" w:cs="仿宋"/>
          <w:color w:val="auto"/>
          <w:sz w:val="36"/>
          <w:szCs w:val="36"/>
          <w:highlight w:val="none"/>
          <w:lang w:eastAsia="zh-CN"/>
        </w:rPr>
      </w:pPr>
    </w:p>
    <w:p w14:paraId="3526F4AE">
      <w:pPr>
        <w:pStyle w:val="36"/>
        <w:spacing w:after="0"/>
        <w:ind w:firstLine="420"/>
        <w:jc w:val="center"/>
        <w:rPr>
          <w:rFonts w:ascii="仿宋" w:hAnsi="仿宋" w:eastAsia="仿宋" w:cs="仿宋"/>
          <w:color w:val="auto"/>
          <w:sz w:val="36"/>
          <w:szCs w:val="36"/>
          <w:highlight w:val="none"/>
          <w:lang w:eastAsia="zh-CN"/>
        </w:rPr>
      </w:pPr>
    </w:p>
    <w:p w14:paraId="456A24E6">
      <w:pPr>
        <w:pStyle w:val="36"/>
        <w:spacing w:after="0"/>
        <w:ind w:firstLine="420"/>
        <w:jc w:val="center"/>
        <w:rPr>
          <w:rFonts w:ascii="仿宋" w:hAnsi="仿宋" w:eastAsia="仿宋" w:cs="仿宋"/>
          <w:color w:val="auto"/>
          <w:sz w:val="36"/>
          <w:szCs w:val="36"/>
          <w:highlight w:val="none"/>
          <w:lang w:eastAsia="zh-CN"/>
        </w:rPr>
      </w:pPr>
    </w:p>
    <w:p w14:paraId="755E32DC">
      <w:pPr>
        <w:pStyle w:val="36"/>
        <w:spacing w:after="0"/>
        <w:ind w:firstLine="420"/>
        <w:jc w:val="center"/>
        <w:rPr>
          <w:rFonts w:ascii="仿宋" w:hAnsi="仿宋" w:eastAsia="仿宋" w:cs="仿宋"/>
          <w:color w:val="auto"/>
          <w:sz w:val="36"/>
          <w:szCs w:val="36"/>
          <w:highlight w:val="none"/>
          <w:lang w:eastAsia="zh-CN"/>
        </w:rPr>
      </w:pPr>
    </w:p>
    <w:p w14:paraId="58D5A992">
      <w:pPr>
        <w:pStyle w:val="36"/>
        <w:spacing w:after="0"/>
        <w:ind w:firstLine="420"/>
        <w:jc w:val="center"/>
        <w:rPr>
          <w:rFonts w:ascii="仿宋" w:hAnsi="仿宋" w:eastAsia="仿宋" w:cs="仿宋"/>
          <w:color w:val="auto"/>
          <w:sz w:val="36"/>
          <w:szCs w:val="36"/>
          <w:highlight w:val="none"/>
          <w:lang w:eastAsia="zh-CN"/>
        </w:rPr>
      </w:pPr>
    </w:p>
    <w:p w14:paraId="61953AEA">
      <w:pPr>
        <w:pStyle w:val="36"/>
        <w:spacing w:after="0"/>
        <w:ind w:firstLine="420"/>
        <w:jc w:val="center"/>
        <w:rPr>
          <w:rFonts w:ascii="仿宋" w:hAnsi="仿宋" w:eastAsia="仿宋" w:cs="仿宋"/>
          <w:color w:val="auto"/>
          <w:sz w:val="36"/>
          <w:szCs w:val="36"/>
          <w:highlight w:val="none"/>
          <w:lang w:eastAsia="zh-CN"/>
        </w:rPr>
      </w:pPr>
    </w:p>
    <w:p w14:paraId="72FD4CDE">
      <w:pPr>
        <w:jc w:val="center"/>
        <w:rPr>
          <w:rFonts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6、商务条款偏离表</w:t>
      </w:r>
    </w:p>
    <w:tbl>
      <w:tblPr>
        <w:tblStyle w:val="22"/>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14:paraId="246C2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4F77841">
            <w:pPr>
              <w:rPr>
                <w:rFonts w:ascii="仿宋" w:hAnsi="仿宋" w:eastAsia="仿宋" w:cs="仿宋"/>
                <w:color w:val="auto"/>
                <w:spacing w:val="-1"/>
                <w:highlight w:val="none"/>
              </w:rPr>
            </w:pPr>
            <w:r>
              <w:rPr>
                <w:rFonts w:hint="eastAsia" w:ascii="仿宋" w:hAnsi="仿宋" w:eastAsia="仿宋" w:cs="仿宋"/>
                <w:color w:val="auto"/>
                <w:spacing w:val="-1"/>
                <w:highlight w:val="none"/>
              </w:rPr>
              <w:t>序号</w:t>
            </w:r>
          </w:p>
        </w:tc>
        <w:tc>
          <w:tcPr>
            <w:tcW w:w="2154" w:type="dxa"/>
          </w:tcPr>
          <w:p w14:paraId="1A2EE010">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招标文件条款号</w:t>
            </w:r>
          </w:p>
        </w:tc>
        <w:tc>
          <w:tcPr>
            <w:tcW w:w="2477" w:type="dxa"/>
          </w:tcPr>
          <w:p w14:paraId="6D040945">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招标文件的商务条款</w:t>
            </w:r>
          </w:p>
        </w:tc>
        <w:tc>
          <w:tcPr>
            <w:tcW w:w="2454" w:type="dxa"/>
          </w:tcPr>
          <w:p w14:paraId="4058F020">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投标文件的商务条款</w:t>
            </w:r>
          </w:p>
        </w:tc>
        <w:tc>
          <w:tcPr>
            <w:tcW w:w="1130" w:type="dxa"/>
          </w:tcPr>
          <w:p w14:paraId="3221D341">
            <w:pPr>
              <w:pStyle w:val="10"/>
              <w:spacing w:line="240" w:lineRule="atLeast"/>
              <w:jc w:val="center"/>
              <w:rPr>
                <w:rFonts w:ascii="仿宋" w:hAnsi="仿宋" w:eastAsia="仿宋" w:cs="仿宋"/>
                <w:color w:val="auto"/>
                <w:spacing w:val="-1"/>
                <w:highlight w:val="none"/>
              </w:rPr>
            </w:pPr>
            <w:r>
              <w:rPr>
                <w:rFonts w:hint="eastAsia" w:ascii="仿宋" w:hAnsi="仿宋" w:eastAsia="仿宋" w:cs="仿宋"/>
                <w:color w:val="auto"/>
                <w:highlight w:val="none"/>
                <w:lang w:eastAsia="zh-CN"/>
              </w:rPr>
              <w:t>说明</w:t>
            </w:r>
          </w:p>
        </w:tc>
      </w:tr>
      <w:tr w14:paraId="69002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BB37060">
            <w:pPr>
              <w:rPr>
                <w:rFonts w:ascii="仿宋" w:hAnsi="仿宋" w:eastAsia="仿宋" w:cs="仿宋"/>
                <w:color w:val="auto"/>
                <w:spacing w:val="-1"/>
                <w:highlight w:val="none"/>
              </w:rPr>
            </w:pPr>
            <w:r>
              <w:rPr>
                <w:rFonts w:hint="eastAsia" w:ascii="仿宋" w:hAnsi="仿宋" w:eastAsia="仿宋" w:cs="仿宋"/>
                <w:color w:val="auto"/>
                <w:spacing w:val="-1"/>
                <w:highlight w:val="none"/>
              </w:rPr>
              <w:t>1</w:t>
            </w:r>
          </w:p>
        </w:tc>
        <w:tc>
          <w:tcPr>
            <w:tcW w:w="2154" w:type="dxa"/>
            <w:vAlign w:val="center"/>
          </w:tcPr>
          <w:p w14:paraId="6979FD44">
            <w:pPr>
              <w:rPr>
                <w:rFonts w:ascii="仿宋" w:hAnsi="仿宋" w:eastAsia="仿宋" w:cs="仿宋"/>
                <w:color w:val="auto"/>
                <w:spacing w:val="-1"/>
                <w:highlight w:val="none"/>
              </w:rPr>
            </w:pPr>
          </w:p>
        </w:tc>
        <w:tc>
          <w:tcPr>
            <w:tcW w:w="2477" w:type="dxa"/>
            <w:vAlign w:val="center"/>
          </w:tcPr>
          <w:p w14:paraId="1C79FDB2">
            <w:pPr>
              <w:rPr>
                <w:rFonts w:ascii="仿宋" w:hAnsi="仿宋" w:eastAsia="仿宋" w:cs="仿宋"/>
                <w:color w:val="auto"/>
                <w:spacing w:val="-1"/>
                <w:highlight w:val="none"/>
              </w:rPr>
            </w:pPr>
          </w:p>
        </w:tc>
        <w:tc>
          <w:tcPr>
            <w:tcW w:w="2454" w:type="dxa"/>
            <w:vAlign w:val="center"/>
          </w:tcPr>
          <w:p w14:paraId="0E66A7FD">
            <w:pPr>
              <w:rPr>
                <w:rFonts w:ascii="仿宋" w:hAnsi="仿宋" w:eastAsia="仿宋" w:cs="仿宋"/>
                <w:color w:val="auto"/>
                <w:spacing w:val="-1"/>
                <w:highlight w:val="none"/>
              </w:rPr>
            </w:pPr>
          </w:p>
        </w:tc>
        <w:tc>
          <w:tcPr>
            <w:tcW w:w="1130" w:type="dxa"/>
            <w:vAlign w:val="center"/>
          </w:tcPr>
          <w:p w14:paraId="67783258">
            <w:pPr>
              <w:rPr>
                <w:rFonts w:ascii="仿宋" w:hAnsi="仿宋" w:eastAsia="仿宋" w:cs="仿宋"/>
                <w:color w:val="auto"/>
                <w:spacing w:val="-1"/>
                <w:highlight w:val="none"/>
              </w:rPr>
            </w:pPr>
          </w:p>
        </w:tc>
      </w:tr>
      <w:tr w14:paraId="56D13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A828AF9">
            <w:pPr>
              <w:rPr>
                <w:rFonts w:ascii="仿宋" w:hAnsi="仿宋" w:eastAsia="仿宋" w:cs="仿宋"/>
                <w:color w:val="auto"/>
                <w:spacing w:val="-1"/>
                <w:highlight w:val="none"/>
              </w:rPr>
            </w:pPr>
            <w:r>
              <w:rPr>
                <w:rFonts w:hint="eastAsia" w:ascii="仿宋" w:hAnsi="仿宋" w:eastAsia="仿宋" w:cs="仿宋"/>
                <w:color w:val="auto"/>
                <w:spacing w:val="-1"/>
                <w:highlight w:val="none"/>
              </w:rPr>
              <w:t>2</w:t>
            </w:r>
          </w:p>
        </w:tc>
        <w:tc>
          <w:tcPr>
            <w:tcW w:w="2154" w:type="dxa"/>
            <w:vAlign w:val="center"/>
          </w:tcPr>
          <w:p w14:paraId="546C6628">
            <w:pPr>
              <w:rPr>
                <w:rFonts w:ascii="仿宋" w:hAnsi="仿宋" w:eastAsia="仿宋" w:cs="仿宋"/>
                <w:color w:val="auto"/>
                <w:spacing w:val="-1"/>
                <w:highlight w:val="none"/>
              </w:rPr>
            </w:pPr>
          </w:p>
        </w:tc>
        <w:tc>
          <w:tcPr>
            <w:tcW w:w="2477" w:type="dxa"/>
            <w:vAlign w:val="center"/>
          </w:tcPr>
          <w:p w14:paraId="3D3DF641">
            <w:pPr>
              <w:rPr>
                <w:rFonts w:ascii="仿宋" w:hAnsi="仿宋" w:eastAsia="仿宋" w:cs="仿宋"/>
                <w:color w:val="auto"/>
                <w:spacing w:val="-1"/>
                <w:highlight w:val="none"/>
              </w:rPr>
            </w:pPr>
          </w:p>
        </w:tc>
        <w:tc>
          <w:tcPr>
            <w:tcW w:w="2454" w:type="dxa"/>
            <w:vAlign w:val="center"/>
          </w:tcPr>
          <w:p w14:paraId="45C49ED7">
            <w:pPr>
              <w:rPr>
                <w:rFonts w:ascii="仿宋" w:hAnsi="仿宋" w:eastAsia="仿宋" w:cs="仿宋"/>
                <w:color w:val="auto"/>
                <w:spacing w:val="-1"/>
                <w:highlight w:val="none"/>
              </w:rPr>
            </w:pPr>
          </w:p>
        </w:tc>
        <w:tc>
          <w:tcPr>
            <w:tcW w:w="1130" w:type="dxa"/>
            <w:vAlign w:val="center"/>
          </w:tcPr>
          <w:p w14:paraId="77322A36">
            <w:pPr>
              <w:rPr>
                <w:rFonts w:ascii="仿宋" w:hAnsi="仿宋" w:eastAsia="仿宋" w:cs="仿宋"/>
                <w:color w:val="auto"/>
                <w:spacing w:val="-1"/>
                <w:highlight w:val="none"/>
              </w:rPr>
            </w:pPr>
          </w:p>
        </w:tc>
      </w:tr>
      <w:tr w14:paraId="40770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0DD9AED1">
            <w:pPr>
              <w:rPr>
                <w:rFonts w:ascii="仿宋" w:hAnsi="仿宋" w:eastAsia="仿宋" w:cs="仿宋"/>
                <w:color w:val="auto"/>
                <w:spacing w:val="-1"/>
                <w:highlight w:val="none"/>
              </w:rPr>
            </w:pPr>
            <w:r>
              <w:rPr>
                <w:rFonts w:hint="eastAsia" w:ascii="仿宋" w:hAnsi="仿宋" w:eastAsia="仿宋" w:cs="仿宋"/>
                <w:color w:val="auto"/>
                <w:spacing w:val="-1"/>
                <w:highlight w:val="none"/>
              </w:rPr>
              <w:t>3</w:t>
            </w:r>
          </w:p>
        </w:tc>
        <w:tc>
          <w:tcPr>
            <w:tcW w:w="2154" w:type="dxa"/>
            <w:vAlign w:val="center"/>
          </w:tcPr>
          <w:p w14:paraId="58260C00">
            <w:pPr>
              <w:rPr>
                <w:rFonts w:ascii="仿宋" w:hAnsi="仿宋" w:eastAsia="仿宋" w:cs="仿宋"/>
                <w:color w:val="auto"/>
                <w:spacing w:val="-1"/>
                <w:highlight w:val="none"/>
              </w:rPr>
            </w:pPr>
          </w:p>
        </w:tc>
        <w:tc>
          <w:tcPr>
            <w:tcW w:w="2477" w:type="dxa"/>
            <w:vAlign w:val="center"/>
          </w:tcPr>
          <w:p w14:paraId="3324BD52">
            <w:pPr>
              <w:rPr>
                <w:rFonts w:ascii="仿宋" w:hAnsi="仿宋" w:eastAsia="仿宋" w:cs="仿宋"/>
                <w:color w:val="auto"/>
                <w:spacing w:val="-1"/>
                <w:highlight w:val="none"/>
              </w:rPr>
            </w:pPr>
          </w:p>
        </w:tc>
        <w:tc>
          <w:tcPr>
            <w:tcW w:w="2454" w:type="dxa"/>
            <w:vAlign w:val="center"/>
          </w:tcPr>
          <w:p w14:paraId="72F2E260">
            <w:pPr>
              <w:rPr>
                <w:rFonts w:ascii="仿宋" w:hAnsi="仿宋" w:eastAsia="仿宋" w:cs="仿宋"/>
                <w:color w:val="auto"/>
                <w:spacing w:val="-1"/>
                <w:highlight w:val="none"/>
              </w:rPr>
            </w:pPr>
          </w:p>
        </w:tc>
        <w:tc>
          <w:tcPr>
            <w:tcW w:w="1130" w:type="dxa"/>
            <w:vAlign w:val="center"/>
          </w:tcPr>
          <w:p w14:paraId="7B656B32">
            <w:pPr>
              <w:rPr>
                <w:rFonts w:ascii="仿宋" w:hAnsi="仿宋" w:eastAsia="仿宋" w:cs="仿宋"/>
                <w:color w:val="auto"/>
                <w:spacing w:val="-1"/>
                <w:highlight w:val="none"/>
              </w:rPr>
            </w:pPr>
          </w:p>
        </w:tc>
      </w:tr>
      <w:tr w14:paraId="3D1B5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518A640">
            <w:pPr>
              <w:rPr>
                <w:rFonts w:ascii="仿宋" w:hAnsi="仿宋" w:eastAsia="仿宋" w:cs="仿宋"/>
                <w:color w:val="auto"/>
                <w:spacing w:val="-1"/>
                <w:highlight w:val="none"/>
              </w:rPr>
            </w:pPr>
            <w:r>
              <w:rPr>
                <w:rFonts w:hint="eastAsia" w:ascii="仿宋" w:hAnsi="仿宋" w:eastAsia="仿宋" w:cs="仿宋"/>
                <w:color w:val="auto"/>
                <w:spacing w:val="-1"/>
                <w:highlight w:val="none"/>
              </w:rPr>
              <w:t>4</w:t>
            </w:r>
          </w:p>
        </w:tc>
        <w:tc>
          <w:tcPr>
            <w:tcW w:w="2154" w:type="dxa"/>
            <w:vAlign w:val="center"/>
          </w:tcPr>
          <w:p w14:paraId="155C70C8">
            <w:pPr>
              <w:rPr>
                <w:rFonts w:ascii="仿宋" w:hAnsi="仿宋" w:eastAsia="仿宋" w:cs="仿宋"/>
                <w:color w:val="auto"/>
                <w:spacing w:val="-1"/>
                <w:highlight w:val="none"/>
              </w:rPr>
            </w:pPr>
          </w:p>
        </w:tc>
        <w:tc>
          <w:tcPr>
            <w:tcW w:w="2477" w:type="dxa"/>
            <w:vAlign w:val="center"/>
          </w:tcPr>
          <w:p w14:paraId="282F81FF">
            <w:pPr>
              <w:rPr>
                <w:rFonts w:ascii="仿宋" w:hAnsi="仿宋" w:eastAsia="仿宋" w:cs="仿宋"/>
                <w:color w:val="auto"/>
                <w:spacing w:val="-1"/>
                <w:highlight w:val="none"/>
              </w:rPr>
            </w:pPr>
          </w:p>
        </w:tc>
        <w:tc>
          <w:tcPr>
            <w:tcW w:w="2454" w:type="dxa"/>
            <w:vAlign w:val="center"/>
          </w:tcPr>
          <w:p w14:paraId="6536F931">
            <w:pPr>
              <w:rPr>
                <w:rFonts w:ascii="仿宋" w:hAnsi="仿宋" w:eastAsia="仿宋" w:cs="仿宋"/>
                <w:color w:val="auto"/>
                <w:spacing w:val="-1"/>
                <w:highlight w:val="none"/>
              </w:rPr>
            </w:pPr>
          </w:p>
        </w:tc>
        <w:tc>
          <w:tcPr>
            <w:tcW w:w="1130" w:type="dxa"/>
            <w:vAlign w:val="center"/>
          </w:tcPr>
          <w:p w14:paraId="6BC06CEE">
            <w:pPr>
              <w:rPr>
                <w:rFonts w:ascii="仿宋" w:hAnsi="仿宋" w:eastAsia="仿宋" w:cs="仿宋"/>
                <w:color w:val="auto"/>
                <w:spacing w:val="-1"/>
                <w:highlight w:val="none"/>
              </w:rPr>
            </w:pPr>
          </w:p>
        </w:tc>
      </w:tr>
      <w:tr w14:paraId="4CCE8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B4BCB23">
            <w:pPr>
              <w:rPr>
                <w:rFonts w:ascii="仿宋" w:hAnsi="仿宋" w:eastAsia="仿宋" w:cs="仿宋"/>
                <w:color w:val="auto"/>
                <w:spacing w:val="-1"/>
                <w:highlight w:val="none"/>
              </w:rPr>
            </w:pPr>
            <w:r>
              <w:rPr>
                <w:rFonts w:hint="eastAsia" w:ascii="仿宋" w:hAnsi="仿宋" w:eastAsia="仿宋" w:cs="仿宋"/>
                <w:color w:val="auto"/>
                <w:spacing w:val="-1"/>
                <w:highlight w:val="none"/>
              </w:rPr>
              <w:t>5</w:t>
            </w:r>
          </w:p>
        </w:tc>
        <w:tc>
          <w:tcPr>
            <w:tcW w:w="2154" w:type="dxa"/>
            <w:vAlign w:val="center"/>
          </w:tcPr>
          <w:p w14:paraId="689AA27A">
            <w:pPr>
              <w:rPr>
                <w:rFonts w:ascii="仿宋" w:hAnsi="仿宋" w:eastAsia="仿宋" w:cs="仿宋"/>
                <w:color w:val="auto"/>
                <w:spacing w:val="-1"/>
                <w:highlight w:val="none"/>
              </w:rPr>
            </w:pPr>
          </w:p>
        </w:tc>
        <w:tc>
          <w:tcPr>
            <w:tcW w:w="2477" w:type="dxa"/>
            <w:vAlign w:val="center"/>
          </w:tcPr>
          <w:p w14:paraId="485DE8CA">
            <w:pPr>
              <w:rPr>
                <w:rFonts w:ascii="仿宋" w:hAnsi="仿宋" w:eastAsia="仿宋" w:cs="仿宋"/>
                <w:color w:val="auto"/>
                <w:spacing w:val="-1"/>
                <w:highlight w:val="none"/>
              </w:rPr>
            </w:pPr>
          </w:p>
        </w:tc>
        <w:tc>
          <w:tcPr>
            <w:tcW w:w="2454" w:type="dxa"/>
            <w:vAlign w:val="center"/>
          </w:tcPr>
          <w:p w14:paraId="75E1B9AA">
            <w:pPr>
              <w:rPr>
                <w:rFonts w:ascii="仿宋" w:hAnsi="仿宋" w:eastAsia="仿宋" w:cs="仿宋"/>
                <w:color w:val="auto"/>
                <w:spacing w:val="-1"/>
                <w:highlight w:val="none"/>
              </w:rPr>
            </w:pPr>
          </w:p>
        </w:tc>
        <w:tc>
          <w:tcPr>
            <w:tcW w:w="1130" w:type="dxa"/>
            <w:vAlign w:val="center"/>
          </w:tcPr>
          <w:p w14:paraId="5F794DCC">
            <w:pPr>
              <w:rPr>
                <w:rFonts w:ascii="仿宋" w:hAnsi="仿宋" w:eastAsia="仿宋" w:cs="仿宋"/>
                <w:color w:val="auto"/>
                <w:spacing w:val="-1"/>
                <w:highlight w:val="none"/>
              </w:rPr>
            </w:pPr>
          </w:p>
        </w:tc>
      </w:tr>
      <w:tr w14:paraId="5E408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C9E8835">
            <w:pPr>
              <w:rPr>
                <w:rFonts w:ascii="仿宋" w:hAnsi="仿宋" w:eastAsia="仿宋" w:cs="仿宋"/>
                <w:color w:val="auto"/>
                <w:spacing w:val="-1"/>
                <w:highlight w:val="none"/>
              </w:rPr>
            </w:pPr>
            <w:r>
              <w:rPr>
                <w:rFonts w:hint="eastAsia" w:ascii="仿宋" w:hAnsi="仿宋" w:eastAsia="仿宋" w:cs="仿宋"/>
                <w:color w:val="auto"/>
                <w:spacing w:val="-1"/>
                <w:highlight w:val="none"/>
              </w:rPr>
              <w:t>6</w:t>
            </w:r>
          </w:p>
        </w:tc>
        <w:tc>
          <w:tcPr>
            <w:tcW w:w="2154" w:type="dxa"/>
            <w:vAlign w:val="center"/>
          </w:tcPr>
          <w:p w14:paraId="55845D8D">
            <w:pPr>
              <w:rPr>
                <w:rFonts w:ascii="仿宋" w:hAnsi="仿宋" w:eastAsia="仿宋" w:cs="仿宋"/>
                <w:color w:val="auto"/>
                <w:spacing w:val="-1"/>
                <w:highlight w:val="none"/>
              </w:rPr>
            </w:pPr>
          </w:p>
        </w:tc>
        <w:tc>
          <w:tcPr>
            <w:tcW w:w="2477" w:type="dxa"/>
            <w:vAlign w:val="center"/>
          </w:tcPr>
          <w:p w14:paraId="34B13950">
            <w:pPr>
              <w:rPr>
                <w:rFonts w:ascii="仿宋" w:hAnsi="仿宋" w:eastAsia="仿宋" w:cs="仿宋"/>
                <w:color w:val="auto"/>
                <w:spacing w:val="-1"/>
                <w:highlight w:val="none"/>
              </w:rPr>
            </w:pPr>
          </w:p>
        </w:tc>
        <w:tc>
          <w:tcPr>
            <w:tcW w:w="2454" w:type="dxa"/>
            <w:vAlign w:val="center"/>
          </w:tcPr>
          <w:p w14:paraId="6757295C">
            <w:pPr>
              <w:rPr>
                <w:rFonts w:ascii="仿宋" w:hAnsi="仿宋" w:eastAsia="仿宋" w:cs="仿宋"/>
                <w:color w:val="auto"/>
                <w:spacing w:val="-1"/>
                <w:highlight w:val="none"/>
              </w:rPr>
            </w:pPr>
          </w:p>
        </w:tc>
        <w:tc>
          <w:tcPr>
            <w:tcW w:w="1130" w:type="dxa"/>
            <w:vAlign w:val="center"/>
          </w:tcPr>
          <w:p w14:paraId="286618C6">
            <w:pPr>
              <w:rPr>
                <w:rFonts w:ascii="仿宋" w:hAnsi="仿宋" w:eastAsia="仿宋" w:cs="仿宋"/>
                <w:color w:val="auto"/>
                <w:spacing w:val="-1"/>
                <w:highlight w:val="none"/>
              </w:rPr>
            </w:pPr>
          </w:p>
        </w:tc>
      </w:tr>
      <w:tr w14:paraId="31D00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49388567">
            <w:pPr>
              <w:rPr>
                <w:rFonts w:ascii="仿宋" w:hAnsi="仿宋" w:eastAsia="仿宋" w:cs="仿宋"/>
                <w:color w:val="auto"/>
                <w:spacing w:val="-1"/>
                <w:highlight w:val="none"/>
              </w:rPr>
            </w:pPr>
            <w:r>
              <w:rPr>
                <w:rFonts w:hint="eastAsia" w:ascii="仿宋" w:hAnsi="仿宋" w:eastAsia="仿宋" w:cs="仿宋"/>
                <w:color w:val="auto"/>
                <w:spacing w:val="-1"/>
                <w:highlight w:val="none"/>
              </w:rPr>
              <w:t>7</w:t>
            </w:r>
          </w:p>
        </w:tc>
        <w:tc>
          <w:tcPr>
            <w:tcW w:w="2154" w:type="dxa"/>
            <w:vAlign w:val="center"/>
          </w:tcPr>
          <w:p w14:paraId="089DA85D">
            <w:pPr>
              <w:rPr>
                <w:rFonts w:ascii="仿宋" w:hAnsi="仿宋" w:eastAsia="仿宋" w:cs="仿宋"/>
                <w:color w:val="auto"/>
                <w:spacing w:val="-1"/>
                <w:highlight w:val="none"/>
              </w:rPr>
            </w:pPr>
          </w:p>
        </w:tc>
        <w:tc>
          <w:tcPr>
            <w:tcW w:w="2477" w:type="dxa"/>
            <w:vAlign w:val="center"/>
          </w:tcPr>
          <w:p w14:paraId="6E279936">
            <w:pPr>
              <w:rPr>
                <w:rFonts w:ascii="仿宋" w:hAnsi="仿宋" w:eastAsia="仿宋" w:cs="仿宋"/>
                <w:color w:val="auto"/>
                <w:spacing w:val="-1"/>
                <w:highlight w:val="none"/>
              </w:rPr>
            </w:pPr>
          </w:p>
        </w:tc>
        <w:tc>
          <w:tcPr>
            <w:tcW w:w="2454" w:type="dxa"/>
            <w:vAlign w:val="center"/>
          </w:tcPr>
          <w:p w14:paraId="009B1CA2">
            <w:pPr>
              <w:rPr>
                <w:rFonts w:ascii="仿宋" w:hAnsi="仿宋" w:eastAsia="仿宋" w:cs="仿宋"/>
                <w:color w:val="auto"/>
                <w:spacing w:val="-1"/>
                <w:highlight w:val="none"/>
              </w:rPr>
            </w:pPr>
          </w:p>
        </w:tc>
        <w:tc>
          <w:tcPr>
            <w:tcW w:w="1130" w:type="dxa"/>
            <w:vAlign w:val="center"/>
          </w:tcPr>
          <w:p w14:paraId="4E8EB755">
            <w:pPr>
              <w:rPr>
                <w:rFonts w:ascii="仿宋" w:hAnsi="仿宋" w:eastAsia="仿宋" w:cs="仿宋"/>
                <w:color w:val="auto"/>
                <w:spacing w:val="-1"/>
                <w:highlight w:val="none"/>
              </w:rPr>
            </w:pPr>
          </w:p>
        </w:tc>
      </w:tr>
      <w:tr w14:paraId="18506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1033A66">
            <w:pPr>
              <w:rPr>
                <w:rFonts w:ascii="仿宋" w:hAnsi="仿宋" w:eastAsia="仿宋" w:cs="仿宋"/>
                <w:color w:val="auto"/>
                <w:spacing w:val="-1"/>
                <w:highlight w:val="none"/>
              </w:rPr>
            </w:pPr>
            <w:r>
              <w:rPr>
                <w:rFonts w:hint="eastAsia" w:ascii="仿宋" w:hAnsi="仿宋" w:eastAsia="仿宋" w:cs="仿宋"/>
                <w:color w:val="auto"/>
                <w:spacing w:val="-1"/>
                <w:highlight w:val="none"/>
              </w:rPr>
              <w:t>8</w:t>
            </w:r>
          </w:p>
        </w:tc>
        <w:tc>
          <w:tcPr>
            <w:tcW w:w="2154" w:type="dxa"/>
            <w:vAlign w:val="center"/>
          </w:tcPr>
          <w:p w14:paraId="47FC065C">
            <w:pPr>
              <w:rPr>
                <w:rFonts w:ascii="仿宋" w:hAnsi="仿宋" w:eastAsia="仿宋" w:cs="仿宋"/>
                <w:color w:val="auto"/>
                <w:spacing w:val="-1"/>
                <w:highlight w:val="none"/>
              </w:rPr>
            </w:pPr>
          </w:p>
        </w:tc>
        <w:tc>
          <w:tcPr>
            <w:tcW w:w="2477" w:type="dxa"/>
            <w:vAlign w:val="center"/>
          </w:tcPr>
          <w:p w14:paraId="6CE1972C">
            <w:pPr>
              <w:rPr>
                <w:rFonts w:ascii="仿宋" w:hAnsi="仿宋" w:eastAsia="仿宋" w:cs="仿宋"/>
                <w:color w:val="auto"/>
                <w:spacing w:val="-1"/>
                <w:highlight w:val="none"/>
              </w:rPr>
            </w:pPr>
          </w:p>
        </w:tc>
        <w:tc>
          <w:tcPr>
            <w:tcW w:w="2454" w:type="dxa"/>
            <w:vAlign w:val="center"/>
          </w:tcPr>
          <w:p w14:paraId="271973A8">
            <w:pPr>
              <w:rPr>
                <w:rFonts w:ascii="仿宋" w:hAnsi="仿宋" w:eastAsia="仿宋" w:cs="仿宋"/>
                <w:color w:val="auto"/>
                <w:spacing w:val="-1"/>
                <w:highlight w:val="none"/>
              </w:rPr>
            </w:pPr>
          </w:p>
        </w:tc>
        <w:tc>
          <w:tcPr>
            <w:tcW w:w="1130" w:type="dxa"/>
            <w:vAlign w:val="center"/>
          </w:tcPr>
          <w:p w14:paraId="020C9D94">
            <w:pPr>
              <w:rPr>
                <w:rFonts w:ascii="仿宋" w:hAnsi="仿宋" w:eastAsia="仿宋" w:cs="仿宋"/>
                <w:color w:val="auto"/>
                <w:spacing w:val="-1"/>
                <w:highlight w:val="none"/>
              </w:rPr>
            </w:pPr>
          </w:p>
        </w:tc>
      </w:tr>
      <w:tr w14:paraId="4767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793F4E4A">
            <w:pPr>
              <w:rPr>
                <w:rFonts w:ascii="仿宋" w:hAnsi="仿宋" w:eastAsia="仿宋" w:cs="仿宋"/>
                <w:color w:val="auto"/>
                <w:spacing w:val="-1"/>
                <w:highlight w:val="none"/>
              </w:rPr>
            </w:pPr>
            <w:r>
              <w:rPr>
                <w:rFonts w:hint="eastAsia" w:ascii="仿宋" w:hAnsi="仿宋" w:eastAsia="仿宋" w:cs="仿宋"/>
                <w:color w:val="auto"/>
                <w:spacing w:val="-1"/>
                <w:highlight w:val="none"/>
              </w:rPr>
              <w:t>9</w:t>
            </w:r>
          </w:p>
        </w:tc>
        <w:tc>
          <w:tcPr>
            <w:tcW w:w="2154" w:type="dxa"/>
            <w:vAlign w:val="center"/>
          </w:tcPr>
          <w:p w14:paraId="7F0F744A">
            <w:pPr>
              <w:rPr>
                <w:rFonts w:ascii="仿宋" w:hAnsi="仿宋" w:eastAsia="仿宋" w:cs="仿宋"/>
                <w:color w:val="auto"/>
                <w:spacing w:val="-1"/>
                <w:highlight w:val="none"/>
              </w:rPr>
            </w:pPr>
          </w:p>
        </w:tc>
        <w:tc>
          <w:tcPr>
            <w:tcW w:w="2477" w:type="dxa"/>
            <w:vAlign w:val="center"/>
          </w:tcPr>
          <w:p w14:paraId="0CB8DB10">
            <w:pPr>
              <w:rPr>
                <w:rFonts w:ascii="仿宋" w:hAnsi="仿宋" w:eastAsia="仿宋" w:cs="仿宋"/>
                <w:color w:val="auto"/>
                <w:spacing w:val="-1"/>
                <w:highlight w:val="none"/>
              </w:rPr>
            </w:pPr>
          </w:p>
        </w:tc>
        <w:tc>
          <w:tcPr>
            <w:tcW w:w="2454" w:type="dxa"/>
            <w:vAlign w:val="center"/>
          </w:tcPr>
          <w:p w14:paraId="28D423C4">
            <w:pPr>
              <w:rPr>
                <w:rFonts w:ascii="仿宋" w:hAnsi="仿宋" w:eastAsia="仿宋" w:cs="仿宋"/>
                <w:color w:val="auto"/>
                <w:spacing w:val="-1"/>
                <w:highlight w:val="none"/>
              </w:rPr>
            </w:pPr>
          </w:p>
        </w:tc>
        <w:tc>
          <w:tcPr>
            <w:tcW w:w="1130" w:type="dxa"/>
            <w:vAlign w:val="center"/>
          </w:tcPr>
          <w:p w14:paraId="7ECA90A5">
            <w:pPr>
              <w:rPr>
                <w:rFonts w:ascii="仿宋" w:hAnsi="仿宋" w:eastAsia="仿宋" w:cs="仿宋"/>
                <w:color w:val="auto"/>
                <w:spacing w:val="-1"/>
                <w:highlight w:val="none"/>
              </w:rPr>
            </w:pPr>
          </w:p>
        </w:tc>
      </w:tr>
      <w:tr w14:paraId="5AFB9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5FF2F944">
            <w:pPr>
              <w:rPr>
                <w:rFonts w:ascii="仿宋" w:hAnsi="仿宋" w:eastAsia="仿宋" w:cs="仿宋"/>
                <w:color w:val="auto"/>
                <w:spacing w:val="-1"/>
                <w:highlight w:val="none"/>
              </w:rPr>
            </w:pPr>
            <w:r>
              <w:rPr>
                <w:rFonts w:hint="eastAsia" w:ascii="仿宋" w:hAnsi="仿宋" w:eastAsia="仿宋" w:cs="仿宋"/>
                <w:color w:val="auto"/>
                <w:spacing w:val="-1"/>
                <w:highlight w:val="none"/>
              </w:rPr>
              <w:t>10</w:t>
            </w:r>
          </w:p>
        </w:tc>
        <w:tc>
          <w:tcPr>
            <w:tcW w:w="2154" w:type="dxa"/>
            <w:vAlign w:val="center"/>
          </w:tcPr>
          <w:p w14:paraId="66ECFBF2">
            <w:pPr>
              <w:rPr>
                <w:rFonts w:ascii="仿宋" w:hAnsi="仿宋" w:eastAsia="仿宋" w:cs="仿宋"/>
                <w:color w:val="auto"/>
                <w:spacing w:val="-1"/>
                <w:highlight w:val="none"/>
              </w:rPr>
            </w:pPr>
          </w:p>
        </w:tc>
        <w:tc>
          <w:tcPr>
            <w:tcW w:w="2477" w:type="dxa"/>
            <w:vAlign w:val="center"/>
          </w:tcPr>
          <w:p w14:paraId="4F5E8B17">
            <w:pPr>
              <w:rPr>
                <w:rFonts w:ascii="仿宋" w:hAnsi="仿宋" w:eastAsia="仿宋" w:cs="仿宋"/>
                <w:color w:val="auto"/>
                <w:spacing w:val="-1"/>
                <w:highlight w:val="none"/>
              </w:rPr>
            </w:pPr>
          </w:p>
        </w:tc>
        <w:tc>
          <w:tcPr>
            <w:tcW w:w="2454" w:type="dxa"/>
            <w:vAlign w:val="center"/>
          </w:tcPr>
          <w:p w14:paraId="5F14B2DC">
            <w:pPr>
              <w:rPr>
                <w:rFonts w:ascii="仿宋" w:hAnsi="仿宋" w:eastAsia="仿宋" w:cs="仿宋"/>
                <w:color w:val="auto"/>
                <w:spacing w:val="-1"/>
                <w:highlight w:val="none"/>
              </w:rPr>
            </w:pPr>
          </w:p>
        </w:tc>
        <w:tc>
          <w:tcPr>
            <w:tcW w:w="1130" w:type="dxa"/>
            <w:vAlign w:val="center"/>
          </w:tcPr>
          <w:p w14:paraId="64BD4385">
            <w:pPr>
              <w:rPr>
                <w:rFonts w:ascii="仿宋" w:hAnsi="仿宋" w:eastAsia="仿宋" w:cs="仿宋"/>
                <w:color w:val="auto"/>
                <w:spacing w:val="-1"/>
                <w:highlight w:val="none"/>
              </w:rPr>
            </w:pPr>
          </w:p>
        </w:tc>
      </w:tr>
      <w:tr w14:paraId="05886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939B120">
            <w:pPr>
              <w:rPr>
                <w:rFonts w:ascii="仿宋" w:hAnsi="仿宋" w:eastAsia="仿宋" w:cs="仿宋"/>
                <w:color w:val="auto"/>
                <w:spacing w:val="-1"/>
                <w:highlight w:val="none"/>
              </w:rPr>
            </w:pPr>
            <w:r>
              <w:rPr>
                <w:rFonts w:hint="eastAsia" w:ascii="仿宋" w:hAnsi="仿宋" w:eastAsia="仿宋" w:cs="仿宋"/>
                <w:color w:val="auto"/>
                <w:spacing w:val="-1"/>
                <w:highlight w:val="none"/>
              </w:rPr>
              <w:t>11</w:t>
            </w:r>
          </w:p>
        </w:tc>
        <w:tc>
          <w:tcPr>
            <w:tcW w:w="2154" w:type="dxa"/>
            <w:vAlign w:val="center"/>
          </w:tcPr>
          <w:p w14:paraId="51E25955">
            <w:pPr>
              <w:rPr>
                <w:rFonts w:ascii="仿宋" w:hAnsi="仿宋" w:eastAsia="仿宋" w:cs="仿宋"/>
                <w:color w:val="auto"/>
                <w:spacing w:val="-1"/>
                <w:highlight w:val="none"/>
              </w:rPr>
            </w:pPr>
          </w:p>
        </w:tc>
        <w:tc>
          <w:tcPr>
            <w:tcW w:w="2477" w:type="dxa"/>
            <w:vAlign w:val="center"/>
          </w:tcPr>
          <w:p w14:paraId="4589D816">
            <w:pPr>
              <w:rPr>
                <w:rFonts w:ascii="仿宋" w:hAnsi="仿宋" w:eastAsia="仿宋" w:cs="仿宋"/>
                <w:color w:val="auto"/>
                <w:spacing w:val="-1"/>
                <w:highlight w:val="none"/>
              </w:rPr>
            </w:pPr>
          </w:p>
        </w:tc>
        <w:tc>
          <w:tcPr>
            <w:tcW w:w="2454" w:type="dxa"/>
            <w:vAlign w:val="center"/>
          </w:tcPr>
          <w:p w14:paraId="14A05335">
            <w:pPr>
              <w:rPr>
                <w:rFonts w:ascii="仿宋" w:hAnsi="仿宋" w:eastAsia="仿宋" w:cs="仿宋"/>
                <w:color w:val="auto"/>
                <w:spacing w:val="-1"/>
                <w:highlight w:val="none"/>
              </w:rPr>
            </w:pPr>
          </w:p>
        </w:tc>
        <w:tc>
          <w:tcPr>
            <w:tcW w:w="1130" w:type="dxa"/>
            <w:vAlign w:val="center"/>
          </w:tcPr>
          <w:p w14:paraId="2EAABB7E">
            <w:pPr>
              <w:rPr>
                <w:rFonts w:ascii="仿宋" w:hAnsi="仿宋" w:eastAsia="仿宋" w:cs="仿宋"/>
                <w:color w:val="auto"/>
                <w:spacing w:val="-1"/>
                <w:highlight w:val="none"/>
              </w:rPr>
            </w:pPr>
          </w:p>
        </w:tc>
      </w:tr>
      <w:tr w14:paraId="60335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6C335223">
            <w:pPr>
              <w:rPr>
                <w:rFonts w:ascii="仿宋" w:hAnsi="仿宋" w:eastAsia="仿宋" w:cs="仿宋"/>
                <w:color w:val="auto"/>
                <w:spacing w:val="-1"/>
                <w:highlight w:val="none"/>
              </w:rPr>
            </w:pPr>
            <w:r>
              <w:rPr>
                <w:rFonts w:hint="eastAsia" w:ascii="仿宋" w:hAnsi="仿宋" w:eastAsia="仿宋" w:cs="仿宋"/>
                <w:color w:val="auto"/>
                <w:spacing w:val="-1"/>
                <w:highlight w:val="none"/>
              </w:rPr>
              <w:t>12</w:t>
            </w:r>
          </w:p>
        </w:tc>
        <w:tc>
          <w:tcPr>
            <w:tcW w:w="2154" w:type="dxa"/>
            <w:vAlign w:val="center"/>
          </w:tcPr>
          <w:p w14:paraId="0CB78C17">
            <w:pPr>
              <w:rPr>
                <w:rFonts w:ascii="仿宋" w:hAnsi="仿宋" w:eastAsia="仿宋" w:cs="仿宋"/>
                <w:color w:val="auto"/>
                <w:spacing w:val="-1"/>
                <w:highlight w:val="none"/>
              </w:rPr>
            </w:pPr>
          </w:p>
        </w:tc>
        <w:tc>
          <w:tcPr>
            <w:tcW w:w="2477" w:type="dxa"/>
            <w:vAlign w:val="center"/>
          </w:tcPr>
          <w:p w14:paraId="367D6A6F">
            <w:pPr>
              <w:rPr>
                <w:rFonts w:ascii="仿宋" w:hAnsi="仿宋" w:eastAsia="仿宋" w:cs="仿宋"/>
                <w:color w:val="auto"/>
                <w:spacing w:val="-1"/>
                <w:highlight w:val="none"/>
              </w:rPr>
            </w:pPr>
          </w:p>
        </w:tc>
        <w:tc>
          <w:tcPr>
            <w:tcW w:w="2454" w:type="dxa"/>
            <w:vAlign w:val="center"/>
          </w:tcPr>
          <w:p w14:paraId="365F8C09">
            <w:pPr>
              <w:rPr>
                <w:rFonts w:ascii="仿宋" w:hAnsi="仿宋" w:eastAsia="仿宋" w:cs="仿宋"/>
                <w:color w:val="auto"/>
                <w:spacing w:val="-1"/>
                <w:highlight w:val="none"/>
              </w:rPr>
            </w:pPr>
          </w:p>
        </w:tc>
        <w:tc>
          <w:tcPr>
            <w:tcW w:w="1130" w:type="dxa"/>
            <w:vAlign w:val="center"/>
          </w:tcPr>
          <w:p w14:paraId="053413C8">
            <w:pPr>
              <w:rPr>
                <w:rFonts w:ascii="仿宋" w:hAnsi="仿宋" w:eastAsia="仿宋" w:cs="仿宋"/>
                <w:color w:val="auto"/>
                <w:spacing w:val="-1"/>
                <w:highlight w:val="none"/>
              </w:rPr>
            </w:pPr>
          </w:p>
        </w:tc>
      </w:tr>
      <w:tr w14:paraId="4B9E4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200E9DBB">
            <w:pPr>
              <w:rPr>
                <w:rFonts w:ascii="仿宋" w:hAnsi="仿宋" w:eastAsia="仿宋" w:cs="仿宋"/>
                <w:color w:val="auto"/>
                <w:spacing w:val="-1"/>
                <w:highlight w:val="none"/>
              </w:rPr>
            </w:pPr>
            <w:r>
              <w:rPr>
                <w:rFonts w:hint="eastAsia" w:ascii="仿宋" w:hAnsi="仿宋" w:eastAsia="仿宋" w:cs="仿宋"/>
                <w:color w:val="auto"/>
                <w:spacing w:val="-1"/>
                <w:highlight w:val="none"/>
              </w:rPr>
              <w:t>13</w:t>
            </w:r>
          </w:p>
        </w:tc>
        <w:tc>
          <w:tcPr>
            <w:tcW w:w="2154" w:type="dxa"/>
            <w:vAlign w:val="center"/>
          </w:tcPr>
          <w:p w14:paraId="54C32F5B">
            <w:pPr>
              <w:rPr>
                <w:rFonts w:ascii="仿宋" w:hAnsi="仿宋" w:eastAsia="仿宋" w:cs="仿宋"/>
                <w:color w:val="auto"/>
                <w:spacing w:val="-1"/>
                <w:highlight w:val="none"/>
              </w:rPr>
            </w:pPr>
          </w:p>
        </w:tc>
        <w:tc>
          <w:tcPr>
            <w:tcW w:w="2477" w:type="dxa"/>
            <w:vAlign w:val="center"/>
          </w:tcPr>
          <w:p w14:paraId="690EEF69">
            <w:pPr>
              <w:rPr>
                <w:rFonts w:ascii="仿宋" w:hAnsi="仿宋" w:eastAsia="仿宋" w:cs="仿宋"/>
                <w:color w:val="auto"/>
                <w:spacing w:val="-1"/>
                <w:highlight w:val="none"/>
              </w:rPr>
            </w:pPr>
          </w:p>
        </w:tc>
        <w:tc>
          <w:tcPr>
            <w:tcW w:w="2454" w:type="dxa"/>
            <w:vAlign w:val="center"/>
          </w:tcPr>
          <w:p w14:paraId="3AD41C3E">
            <w:pPr>
              <w:rPr>
                <w:rFonts w:ascii="仿宋" w:hAnsi="仿宋" w:eastAsia="仿宋" w:cs="仿宋"/>
                <w:color w:val="auto"/>
                <w:spacing w:val="-1"/>
                <w:highlight w:val="none"/>
              </w:rPr>
            </w:pPr>
          </w:p>
        </w:tc>
        <w:tc>
          <w:tcPr>
            <w:tcW w:w="1130" w:type="dxa"/>
            <w:vAlign w:val="center"/>
          </w:tcPr>
          <w:p w14:paraId="4C5D990F">
            <w:pPr>
              <w:rPr>
                <w:rFonts w:ascii="仿宋" w:hAnsi="仿宋" w:eastAsia="仿宋" w:cs="仿宋"/>
                <w:color w:val="auto"/>
                <w:spacing w:val="-1"/>
                <w:highlight w:val="none"/>
              </w:rPr>
            </w:pPr>
          </w:p>
        </w:tc>
      </w:tr>
      <w:tr w14:paraId="5A603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3D55D376">
            <w:pPr>
              <w:rPr>
                <w:rFonts w:ascii="仿宋" w:hAnsi="仿宋" w:eastAsia="仿宋" w:cs="仿宋"/>
                <w:color w:val="auto"/>
                <w:spacing w:val="-1"/>
                <w:highlight w:val="none"/>
              </w:rPr>
            </w:pPr>
            <w:r>
              <w:rPr>
                <w:rFonts w:hint="eastAsia" w:ascii="仿宋" w:hAnsi="仿宋" w:eastAsia="仿宋" w:cs="仿宋"/>
                <w:color w:val="auto"/>
                <w:spacing w:val="-1"/>
                <w:highlight w:val="none"/>
              </w:rPr>
              <w:t>14</w:t>
            </w:r>
          </w:p>
        </w:tc>
        <w:tc>
          <w:tcPr>
            <w:tcW w:w="2154" w:type="dxa"/>
            <w:vAlign w:val="center"/>
          </w:tcPr>
          <w:p w14:paraId="4437C753">
            <w:pPr>
              <w:rPr>
                <w:rFonts w:ascii="仿宋" w:hAnsi="仿宋" w:eastAsia="仿宋" w:cs="仿宋"/>
                <w:color w:val="auto"/>
                <w:spacing w:val="-1"/>
                <w:highlight w:val="none"/>
              </w:rPr>
            </w:pPr>
          </w:p>
        </w:tc>
        <w:tc>
          <w:tcPr>
            <w:tcW w:w="2477" w:type="dxa"/>
            <w:vAlign w:val="center"/>
          </w:tcPr>
          <w:p w14:paraId="63826E97">
            <w:pPr>
              <w:rPr>
                <w:rFonts w:ascii="仿宋" w:hAnsi="仿宋" w:eastAsia="仿宋" w:cs="仿宋"/>
                <w:color w:val="auto"/>
                <w:spacing w:val="-1"/>
                <w:highlight w:val="none"/>
              </w:rPr>
            </w:pPr>
          </w:p>
        </w:tc>
        <w:tc>
          <w:tcPr>
            <w:tcW w:w="2454" w:type="dxa"/>
            <w:vAlign w:val="center"/>
          </w:tcPr>
          <w:p w14:paraId="0FE090CB">
            <w:pPr>
              <w:rPr>
                <w:rFonts w:ascii="仿宋" w:hAnsi="仿宋" w:eastAsia="仿宋" w:cs="仿宋"/>
                <w:color w:val="auto"/>
                <w:spacing w:val="-1"/>
                <w:highlight w:val="none"/>
              </w:rPr>
            </w:pPr>
          </w:p>
        </w:tc>
        <w:tc>
          <w:tcPr>
            <w:tcW w:w="1130" w:type="dxa"/>
            <w:vAlign w:val="center"/>
          </w:tcPr>
          <w:p w14:paraId="0C6DF34D">
            <w:pPr>
              <w:rPr>
                <w:rFonts w:ascii="仿宋" w:hAnsi="仿宋" w:eastAsia="仿宋" w:cs="仿宋"/>
                <w:color w:val="auto"/>
                <w:spacing w:val="-1"/>
                <w:highlight w:val="none"/>
              </w:rPr>
            </w:pPr>
          </w:p>
        </w:tc>
      </w:tr>
      <w:tr w14:paraId="138BF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vAlign w:val="center"/>
          </w:tcPr>
          <w:p w14:paraId="1AB87F6C">
            <w:pPr>
              <w:rPr>
                <w:rFonts w:ascii="仿宋" w:hAnsi="仿宋" w:eastAsia="仿宋" w:cs="仿宋"/>
                <w:color w:val="auto"/>
                <w:spacing w:val="-1"/>
                <w:highlight w:val="none"/>
              </w:rPr>
            </w:pPr>
            <w:r>
              <w:rPr>
                <w:rFonts w:hint="eastAsia" w:ascii="仿宋" w:hAnsi="仿宋" w:eastAsia="仿宋" w:cs="仿宋"/>
                <w:color w:val="auto"/>
                <w:spacing w:val="-1"/>
                <w:highlight w:val="none"/>
              </w:rPr>
              <w:t>15</w:t>
            </w:r>
          </w:p>
        </w:tc>
        <w:tc>
          <w:tcPr>
            <w:tcW w:w="2154" w:type="dxa"/>
            <w:vAlign w:val="center"/>
          </w:tcPr>
          <w:p w14:paraId="3B4F6A51">
            <w:pPr>
              <w:rPr>
                <w:rFonts w:ascii="仿宋" w:hAnsi="仿宋" w:eastAsia="仿宋" w:cs="仿宋"/>
                <w:color w:val="auto"/>
                <w:spacing w:val="-1"/>
                <w:highlight w:val="none"/>
              </w:rPr>
            </w:pPr>
          </w:p>
        </w:tc>
        <w:tc>
          <w:tcPr>
            <w:tcW w:w="2477" w:type="dxa"/>
            <w:vAlign w:val="center"/>
          </w:tcPr>
          <w:p w14:paraId="0271FC6B">
            <w:pPr>
              <w:rPr>
                <w:rFonts w:ascii="仿宋" w:hAnsi="仿宋" w:eastAsia="仿宋" w:cs="仿宋"/>
                <w:color w:val="auto"/>
                <w:spacing w:val="-1"/>
                <w:highlight w:val="none"/>
              </w:rPr>
            </w:pPr>
          </w:p>
        </w:tc>
        <w:tc>
          <w:tcPr>
            <w:tcW w:w="2454" w:type="dxa"/>
            <w:vAlign w:val="center"/>
          </w:tcPr>
          <w:p w14:paraId="7B9C3FA9">
            <w:pPr>
              <w:rPr>
                <w:rFonts w:ascii="仿宋" w:hAnsi="仿宋" w:eastAsia="仿宋" w:cs="仿宋"/>
                <w:color w:val="auto"/>
                <w:spacing w:val="-1"/>
                <w:highlight w:val="none"/>
              </w:rPr>
            </w:pPr>
          </w:p>
        </w:tc>
        <w:tc>
          <w:tcPr>
            <w:tcW w:w="1130" w:type="dxa"/>
            <w:vAlign w:val="center"/>
          </w:tcPr>
          <w:p w14:paraId="459572BE">
            <w:pPr>
              <w:rPr>
                <w:rFonts w:ascii="仿宋" w:hAnsi="仿宋" w:eastAsia="仿宋" w:cs="仿宋"/>
                <w:color w:val="auto"/>
                <w:spacing w:val="-1"/>
                <w:highlight w:val="none"/>
              </w:rPr>
            </w:pPr>
          </w:p>
        </w:tc>
      </w:tr>
    </w:tbl>
    <w:p w14:paraId="3FC562C8">
      <w:pPr>
        <w:rPr>
          <w:rFonts w:ascii="仿宋" w:hAnsi="仿宋" w:eastAsia="仿宋" w:cs="仿宋"/>
          <w:color w:val="auto"/>
          <w:spacing w:val="-1"/>
          <w:highlight w:val="none"/>
          <w:lang w:eastAsia="zh-CN"/>
        </w:rPr>
      </w:pPr>
      <w:r>
        <w:rPr>
          <w:rFonts w:hint="eastAsia" w:ascii="仿宋" w:hAnsi="仿宋" w:eastAsia="仿宋" w:cs="仿宋"/>
          <w:color w:val="auto"/>
          <w:spacing w:val="-1"/>
          <w:highlight w:val="none"/>
          <w:lang w:eastAsia="zh-CN"/>
        </w:rPr>
        <w:t>注：请在“偏离说明”栏内扼要说明偏离情况，如无偏离则不需列明。</w:t>
      </w:r>
    </w:p>
    <w:p w14:paraId="3C98903B">
      <w:pPr>
        <w:pStyle w:val="7"/>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6A66477D">
      <w:pPr>
        <w:pStyle w:val="7"/>
        <w:numPr>
          <w:ilvl w:val="0"/>
          <w:numId w:val="0"/>
        </w:numPr>
        <w:tabs>
          <w:tab w:val="left" w:pos="8227"/>
        </w:tabs>
        <w:kinsoku w:val="0"/>
        <w:overflowPunct w:val="0"/>
        <w:spacing w:line="381" w:lineRule="auto"/>
        <w:ind w:left="1680" w:right="118"/>
        <w:rPr>
          <w:rFonts w:ascii="仿宋" w:hAnsi="仿宋" w:eastAsia="仿宋" w:cs="仿宋"/>
          <w:color w:val="auto"/>
          <w:highlight w:val="none"/>
          <w:lang w:eastAsia="zh-CN"/>
        </w:rPr>
      </w:pPr>
    </w:p>
    <w:p w14:paraId="352F3239">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p>
    <w:p w14:paraId="5EC18587">
      <w:pPr>
        <w:pStyle w:val="7"/>
        <w:numPr>
          <w:ilvl w:val="0"/>
          <w:numId w:val="0"/>
        </w:numPr>
        <w:tabs>
          <w:tab w:val="left" w:pos="8227"/>
        </w:tabs>
        <w:kinsoku w:val="0"/>
        <w:overflowPunct w:val="0"/>
        <w:spacing w:line="381" w:lineRule="auto"/>
        <w:ind w:left="1680" w:right="118"/>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（盖章）</w:t>
      </w:r>
      <w:r>
        <w:rPr>
          <w:rFonts w:hint="eastAsia" w:ascii="仿宋" w:hAnsi="仿宋" w:eastAsia="仿宋" w:cs="仿宋"/>
          <w:color w:val="auto"/>
          <w:sz w:val="24"/>
          <w:highlight w:val="none"/>
          <w:lang w:eastAsia="zh-CN"/>
        </w:rPr>
        <w:t xml:space="preserve"> </w:t>
      </w:r>
    </w:p>
    <w:p w14:paraId="381ECE1C">
      <w:pPr>
        <w:pStyle w:val="7"/>
        <w:numPr>
          <w:ilvl w:val="0"/>
          <w:numId w:val="0"/>
        </w:numPr>
        <w:tabs>
          <w:tab w:val="left" w:pos="8227"/>
        </w:tabs>
        <w:kinsoku w:val="0"/>
        <w:overflowPunct w:val="0"/>
        <w:spacing w:line="381" w:lineRule="auto"/>
        <w:ind w:left="1680" w:right="118"/>
        <w:rPr>
          <w:rFonts w:ascii="仿宋" w:hAnsi="仿宋" w:eastAsia="仿宋" w:cs="仿宋"/>
          <w:color w:val="auto"/>
          <w:w w:val="95"/>
          <w:sz w:val="24"/>
          <w:highlight w:val="none"/>
          <w:lang w:eastAsia="zh-CN"/>
        </w:rPr>
      </w:pPr>
      <w:r>
        <w:rPr>
          <w:rFonts w:hint="eastAsia" w:ascii="仿宋" w:hAnsi="仿宋" w:eastAsia="仿宋" w:cs="仿宋"/>
          <w:color w:val="auto"/>
          <w:sz w:val="24"/>
          <w:highlight w:val="none"/>
          <w:lang w:eastAsia="zh-CN"/>
        </w:rPr>
        <w:t>法定代表人或被授权人：</w:t>
      </w:r>
      <w:r>
        <w:rPr>
          <w:rFonts w:hint="eastAsia" w:ascii="仿宋" w:hAnsi="仿宋" w:eastAsia="仿宋" w:cs="仿宋"/>
          <w:color w:val="auto"/>
          <w:sz w:val="24"/>
          <w:highlight w:val="none"/>
          <w:u w:val="single"/>
          <w:lang w:eastAsia="zh-CN"/>
        </w:rPr>
        <w:tab/>
      </w:r>
      <w:r>
        <w:rPr>
          <w:rFonts w:hint="eastAsia" w:ascii="仿宋" w:hAnsi="仿宋" w:eastAsia="仿宋" w:cs="仿宋"/>
          <w:color w:val="auto"/>
          <w:w w:val="95"/>
          <w:sz w:val="24"/>
          <w:highlight w:val="none"/>
          <w:lang w:eastAsia="zh-CN"/>
        </w:rPr>
        <w:t>（签章）</w:t>
      </w:r>
    </w:p>
    <w:p w14:paraId="3A239DBB">
      <w:pPr>
        <w:pStyle w:val="36"/>
        <w:spacing w:after="0"/>
        <w:ind w:firstLine="420"/>
        <w:jc w:val="center"/>
        <w:rPr>
          <w:rFonts w:ascii="仿宋" w:hAnsi="仿宋" w:eastAsia="仿宋" w:cs="仿宋"/>
          <w:color w:val="auto"/>
          <w:sz w:val="36"/>
          <w:szCs w:val="36"/>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ab/>
      </w:r>
      <w:r>
        <w:rPr>
          <w:rFonts w:hint="eastAsia" w:ascii="仿宋" w:hAnsi="仿宋" w:eastAsia="仿宋" w:cs="仿宋"/>
          <w:color w:val="auto"/>
          <w:sz w:val="24"/>
          <w:szCs w:val="24"/>
          <w:highlight w:val="none"/>
        </w:rPr>
        <w:t>日</w:t>
      </w:r>
    </w:p>
    <w:p w14:paraId="0BBD7A02">
      <w:pPr>
        <w:pStyle w:val="36"/>
        <w:spacing w:after="0"/>
        <w:ind w:firstLine="420"/>
        <w:jc w:val="center"/>
        <w:rPr>
          <w:rFonts w:ascii="仿宋" w:hAnsi="仿宋" w:eastAsia="仿宋" w:cs="仿宋"/>
          <w:color w:val="auto"/>
          <w:sz w:val="36"/>
          <w:szCs w:val="36"/>
          <w:highlight w:val="none"/>
        </w:rPr>
      </w:pPr>
    </w:p>
    <w:p w14:paraId="6D8E13C0">
      <w:pPr>
        <w:pStyle w:val="37"/>
        <w:tabs>
          <w:tab w:val="left" w:pos="826"/>
        </w:tabs>
        <w:spacing w:line="470" w:lineRule="exact"/>
        <w:ind w:firstLine="0"/>
        <w:jc w:val="center"/>
        <w:rPr>
          <w:rFonts w:ascii="仿宋" w:hAnsi="仿宋" w:eastAsia="仿宋" w:cs="仿宋"/>
          <w:color w:val="auto"/>
          <w:sz w:val="21"/>
          <w:szCs w:val="21"/>
          <w:highlight w:val="none"/>
        </w:rPr>
      </w:pPr>
    </w:p>
    <w:p w14:paraId="5E46B287">
      <w:pPr>
        <w:pStyle w:val="37"/>
        <w:tabs>
          <w:tab w:val="left" w:pos="826"/>
        </w:tabs>
        <w:spacing w:line="470" w:lineRule="exact"/>
        <w:ind w:firstLine="0"/>
        <w:jc w:val="center"/>
        <w:rPr>
          <w:rFonts w:ascii="仿宋" w:hAnsi="仿宋" w:eastAsia="仿宋" w:cs="仿宋"/>
          <w:color w:val="auto"/>
          <w:sz w:val="21"/>
          <w:szCs w:val="21"/>
          <w:highlight w:val="none"/>
        </w:rPr>
      </w:pPr>
    </w:p>
    <w:p w14:paraId="6A922E02">
      <w:pPr>
        <w:pStyle w:val="37"/>
        <w:tabs>
          <w:tab w:val="left" w:pos="826"/>
        </w:tabs>
        <w:spacing w:line="470" w:lineRule="exact"/>
        <w:ind w:firstLine="0"/>
        <w:jc w:val="center"/>
        <w:rPr>
          <w:rFonts w:ascii="仿宋" w:hAnsi="仿宋" w:eastAsia="仿宋" w:cs="仿宋"/>
          <w:color w:val="auto"/>
          <w:sz w:val="21"/>
          <w:szCs w:val="21"/>
          <w:highlight w:val="none"/>
        </w:rPr>
      </w:pPr>
    </w:p>
    <w:p w14:paraId="09880E60">
      <w:pPr>
        <w:pStyle w:val="37"/>
        <w:tabs>
          <w:tab w:val="left" w:pos="826"/>
        </w:tabs>
        <w:spacing w:line="470" w:lineRule="exact"/>
        <w:ind w:firstLine="0"/>
        <w:jc w:val="center"/>
        <w:rPr>
          <w:rFonts w:ascii="仿宋" w:hAnsi="仿宋" w:eastAsia="仿宋" w:cs="仿宋"/>
          <w:color w:val="auto"/>
          <w:sz w:val="21"/>
          <w:szCs w:val="21"/>
          <w:highlight w:val="none"/>
        </w:rPr>
      </w:pPr>
    </w:p>
    <w:p w14:paraId="29F2290E">
      <w:pPr>
        <w:pStyle w:val="37"/>
        <w:tabs>
          <w:tab w:val="left" w:pos="826"/>
        </w:tabs>
        <w:spacing w:line="470" w:lineRule="exact"/>
        <w:ind w:firstLine="0"/>
        <w:jc w:val="center"/>
        <w:rPr>
          <w:rFonts w:ascii="仿宋" w:hAnsi="仿宋" w:eastAsia="仿宋" w:cs="仿宋"/>
          <w:color w:val="auto"/>
          <w:sz w:val="21"/>
          <w:szCs w:val="21"/>
          <w:highlight w:val="none"/>
        </w:rPr>
      </w:pPr>
    </w:p>
    <w:p w14:paraId="07E6163B">
      <w:pPr>
        <w:pStyle w:val="37"/>
        <w:tabs>
          <w:tab w:val="left" w:pos="826"/>
        </w:tabs>
        <w:spacing w:line="470" w:lineRule="exact"/>
        <w:ind w:firstLine="0"/>
        <w:jc w:val="center"/>
        <w:rPr>
          <w:rFonts w:ascii="仿宋" w:hAnsi="仿宋" w:eastAsia="仿宋" w:cs="仿宋"/>
          <w:color w:val="auto"/>
          <w:sz w:val="21"/>
          <w:szCs w:val="21"/>
          <w:highlight w:val="none"/>
        </w:rPr>
      </w:pPr>
    </w:p>
    <w:p w14:paraId="7B087FC4">
      <w:pPr>
        <w:jc w:val="center"/>
        <w:rPr>
          <w:rFonts w:ascii="仿宋" w:hAnsi="仿宋" w:eastAsia="仿宋" w:cs="仿宋"/>
          <w:color w:val="auto"/>
          <w:sz w:val="30"/>
          <w:szCs w:val="30"/>
          <w:highlight w:val="none"/>
          <w:lang w:eastAsia="zh-CN"/>
        </w:rPr>
      </w:pPr>
      <w:r>
        <w:rPr>
          <w:rFonts w:hint="eastAsia" w:ascii="仿宋" w:hAnsi="仿宋" w:eastAsia="仿宋" w:cs="仿宋"/>
          <w:b/>
          <w:bCs/>
          <w:color w:val="auto"/>
          <w:sz w:val="30"/>
          <w:szCs w:val="30"/>
          <w:highlight w:val="none"/>
          <w:lang w:eastAsia="zh-CN"/>
        </w:rPr>
        <w:t>7、供应商基本情况表</w:t>
      </w:r>
    </w:p>
    <w:p w14:paraId="3CC32A67">
      <w:pPr>
        <w:pStyle w:val="7"/>
        <w:numPr>
          <w:ilvl w:val="0"/>
          <w:numId w:val="0"/>
        </w:numPr>
        <w:kinsoku w:val="0"/>
        <w:overflowPunct w:val="0"/>
        <w:spacing w:before="5"/>
        <w:rPr>
          <w:rFonts w:ascii="仿宋" w:hAnsi="仿宋" w:eastAsia="仿宋" w:cs="仿宋"/>
          <w:b/>
          <w:bCs/>
          <w:color w:val="auto"/>
          <w:sz w:val="6"/>
          <w:szCs w:val="6"/>
          <w:highlight w:val="none"/>
          <w:lang w:eastAsia="zh-CN"/>
        </w:rPr>
      </w:pPr>
    </w:p>
    <w:tbl>
      <w:tblPr>
        <w:tblStyle w:val="22"/>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14:paraId="7C7FC01D">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05AB543">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单位名称</w:t>
            </w:r>
          </w:p>
        </w:tc>
        <w:tc>
          <w:tcPr>
            <w:tcW w:w="7472" w:type="dxa"/>
            <w:gridSpan w:val="9"/>
            <w:tcBorders>
              <w:top w:val="single" w:color="000000" w:sz="4" w:space="0"/>
              <w:left w:val="single" w:color="000000" w:sz="4" w:space="0"/>
              <w:bottom w:val="single" w:color="000000" w:sz="4" w:space="0"/>
              <w:right w:val="single" w:color="000000" w:sz="4" w:space="0"/>
            </w:tcBorders>
          </w:tcPr>
          <w:p w14:paraId="4B921B8A">
            <w:pPr>
              <w:rPr>
                <w:rFonts w:ascii="仿宋" w:hAnsi="仿宋" w:eastAsia="仿宋" w:cs="仿宋"/>
                <w:color w:val="auto"/>
                <w:highlight w:val="none"/>
              </w:rPr>
            </w:pPr>
          </w:p>
        </w:tc>
      </w:tr>
      <w:tr w14:paraId="335CAD5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3DFA6F2E">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单位地址</w:t>
            </w:r>
          </w:p>
        </w:tc>
        <w:tc>
          <w:tcPr>
            <w:tcW w:w="7472" w:type="dxa"/>
            <w:gridSpan w:val="9"/>
            <w:tcBorders>
              <w:top w:val="single" w:color="000000" w:sz="4" w:space="0"/>
              <w:left w:val="single" w:color="000000" w:sz="4" w:space="0"/>
              <w:bottom w:val="single" w:color="000000" w:sz="4" w:space="0"/>
              <w:right w:val="single" w:color="000000" w:sz="4" w:space="0"/>
            </w:tcBorders>
          </w:tcPr>
          <w:p w14:paraId="7E9B3BBA">
            <w:pPr>
              <w:rPr>
                <w:rFonts w:ascii="仿宋" w:hAnsi="仿宋" w:eastAsia="仿宋" w:cs="仿宋"/>
                <w:color w:val="auto"/>
                <w:highlight w:val="none"/>
              </w:rPr>
            </w:pPr>
          </w:p>
        </w:tc>
      </w:tr>
      <w:tr w14:paraId="3A5EA01E">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0D824D2E">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主管部门</w:t>
            </w:r>
          </w:p>
        </w:tc>
        <w:tc>
          <w:tcPr>
            <w:tcW w:w="7472" w:type="dxa"/>
            <w:gridSpan w:val="9"/>
            <w:tcBorders>
              <w:top w:val="single" w:color="000000" w:sz="4" w:space="0"/>
              <w:left w:val="single" w:color="000000" w:sz="4" w:space="0"/>
              <w:bottom w:val="single" w:color="000000" w:sz="4" w:space="0"/>
              <w:right w:val="single" w:color="000000" w:sz="4" w:space="0"/>
            </w:tcBorders>
          </w:tcPr>
          <w:p w14:paraId="40D6B360">
            <w:pPr>
              <w:rPr>
                <w:rFonts w:ascii="仿宋" w:hAnsi="仿宋" w:eastAsia="仿宋" w:cs="仿宋"/>
                <w:color w:val="auto"/>
                <w:highlight w:val="none"/>
              </w:rPr>
            </w:pPr>
          </w:p>
        </w:tc>
      </w:tr>
      <w:tr w14:paraId="5B6CF738">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4DD6D270">
            <w:pPr>
              <w:pStyle w:val="40"/>
              <w:kinsoku w:val="0"/>
              <w:overflowPunct w:val="0"/>
              <w:spacing w:before="145"/>
              <w:ind w:left="137"/>
              <w:rPr>
                <w:rFonts w:ascii="仿宋" w:hAnsi="仿宋" w:eastAsia="仿宋" w:cs="仿宋"/>
                <w:color w:val="auto"/>
                <w:highlight w:val="none"/>
              </w:rPr>
            </w:pPr>
            <w:r>
              <w:rPr>
                <w:rFonts w:hint="eastAsia" w:ascii="仿宋" w:hAnsi="仿宋" w:eastAsia="仿宋" w:cs="仿宋"/>
                <w:color w:val="auto"/>
                <w:highlight w:val="none"/>
              </w:rPr>
              <w:t>成立时间</w:t>
            </w:r>
          </w:p>
        </w:tc>
        <w:tc>
          <w:tcPr>
            <w:tcW w:w="2294" w:type="dxa"/>
            <w:gridSpan w:val="2"/>
            <w:tcBorders>
              <w:top w:val="single" w:color="000000" w:sz="4" w:space="0"/>
              <w:left w:val="single" w:color="000000" w:sz="4" w:space="0"/>
              <w:bottom w:val="single" w:color="000000" w:sz="4" w:space="0"/>
              <w:right w:val="single" w:color="000000" w:sz="4" w:space="0"/>
            </w:tcBorders>
          </w:tcPr>
          <w:p w14:paraId="02F84B3F">
            <w:pPr>
              <w:rPr>
                <w:rFonts w:ascii="仿宋" w:hAnsi="仿宋" w:eastAsia="仿宋" w:cs="仿宋"/>
                <w:color w:val="auto"/>
                <w:highlight w:val="none"/>
              </w:rPr>
            </w:pPr>
          </w:p>
        </w:tc>
        <w:tc>
          <w:tcPr>
            <w:tcW w:w="2294" w:type="dxa"/>
            <w:gridSpan w:val="4"/>
            <w:tcBorders>
              <w:top w:val="single" w:color="000000" w:sz="4" w:space="0"/>
              <w:left w:val="single" w:color="000000" w:sz="4" w:space="0"/>
              <w:bottom w:val="single" w:color="000000" w:sz="4" w:space="0"/>
              <w:right w:val="single" w:color="000000" w:sz="4" w:space="0"/>
            </w:tcBorders>
          </w:tcPr>
          <w:p w14:paraId="76598328">
            <w:pPr>
              <w:pStyle w:val="40"/>
              <w:kinsoku w:val="0"/>
              <w:overflowPunct w:val="0"/>
              <w:spacing w:before="145"/>
              <w:ind w:left="181"/>
              <w:rPr>
                <w:rFonts w:ascii="仿宋" w:hAnsi="仿宋" w:eastAsia="仿宋" w:cs="仿宋"/>
                <w:color w:val="auto"/>
                <w:highlight w:val="none"/>
              </w:rPr>
            </w:pPr>
            <w:r>
              <w:rPr>
                <w:rFonts w:hint="eastAsia" w:ascii="仿宋" w:hAnsi="仿宋" w:eastAsia="仿宋" w:cs="仿宋"/>
                <w:color w:val="auto"/>
                <w:highlight w:val="none"/>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tcPr>
          <w:p w14:paraId="203FF4B2">
            <w:pPr>
              <w:rPr>
                <w:rFonts w:ascii="仿宋" w:hAnsi="仿宋" w:eastAsia="仿宋" w:cs="仿宋"/>
                <w:color w:val="auto"/>
                <w:highlight w:val="none"/>
              </w:rPr>
            </w:pPr>
          </w:p>
        </w:tc>
      </w:tr>
      <w:tr w14:paraId="48E1B8A1">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tcPr>
          <w:p w14:paraId="23BB11B3">
            <w:pPr>
              <w:pStyle w:val="40"/>
              <w:kinsoku w:val="0"/>
              <w:overflowPunct w:val="0"/>
              <w:spacing w:before="146"/>
              <w:ind w:left="137"/>
              <w:rPr>
                <w:rFonts w:ascii="仿宋" w:hAnsi="仿宋" w:eastAsia="仿宋" w:cs="仿宋"/>
                <w:color w:val="auto"/>
                <w:highlight w:val="none"/>
              </w:rPr>
            </w:pPr>
            <w:r>
              <w:rPr>
                <w:rFonts w:hint="eastAsia" w:ascii="仿宋" w:hAnsi="仿宋" w:eastAsia="仿宋" w:cs="仿宋"/>
                <w:color w:val="auto"/>
                <w:highlight w:val="none"/>
              </w:rPr>
              <w:t>单位性质</w:t>
            </w:r>
          </w:p>
        </w:tc>
        <w:tc>
          <w:tcPr>
            <w:tcW w:w="7472" w:type="dxa"/>
            <w:gridSpan w:val="9"/>
            <w:tcBorders>
              <w:top w:val="single" w:color="000000" w:sz="4" w:space="0"/>
              <w:left w:val="single" w:color="000000" w:sz="4" w:space="0"/>
              <w:bottom w:val="single" w:color="000000" w:sz="4" w:space="0"/>
              <w:right w:val="single" w:color="000000" w:sz="4" w:space="0"/>
            </w:tcBorders>
          </w:tcPr>
          <w:p w14:paraId="4A0FB856">
            <w:pPr>
              <w:rPr>
                <w:rFonts w:ascii="仿宋" w:hAnsi="仿宋" w:eastAsia="仿宋" w:cs="仿宋"/>
                <w:color w:val="auto"/>
                <w:highlight w:val="none"/>
              </w:rPr>
            </w:pPr>
          </w:p>
        </w:tc>
      </w:tr>
      <w:tr w14:paraId="6CB0271F">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tcPr>
          <w:p w14:paraId="52F8A416">
            <w:pPr>
              <w:pStyle w:val="40"/>
              <w:kinsoku w:val="0"/>
              <w:overflowPunct w:val="0"/>
              <w:spacing w:before="141" w:line="312" w:lineRule="exact"/>
              <w:ind w:left="257" w:right="133" w:hanging="120"/>
              <w:rPr>
                <w:rFonts w:ascii="仿宋" w:hAnsi="仿宋" w:eastAsia="仿宋" w:cs="仿宋"/>
                <w:color w:val="auto"/>
                <w:highlight w:val="none"/>
              </w:rPr>
            </w:pPr>
            <w:r>
              <w:rPr>
                <w:rFonts w:hint="eastAsia" w:ascii="仿宋" w:hAnsi="仿宋" w:eastAsia="仿宋" w:cs="仿宋"/>
                <w:color w:val="auto"/>
                <w:highlight w:val="none"/>
              </w:rPr>
              <w:t>投标期间 联系人</w:t>
            </w:r>
          </w:p>
        </w:tc>
        <w:tc>
          <w:tcPr>
            <w:tcW w:w="1445" w:type="dxa"/>
            <w:tcBorders>
              <w:top w:val="single" w:color="000000" w:sz="4" w:space="0"/>
              <w:left w:val="single" w:color="000000" w:sz="4" w:space="0"/>
              <w:bottom w:val="single" w:color="000000" w:sz="4" w:space="0"/>
              <w:right w:val="single" w:color="000000" w:sz="4" w:space="0"/>
            </w:tcBorders>
          </w:tcPr>
          <w:p w14:paraId="0959C404">
            <w:pPr>
              <w:rPr>
                <w:rFonts w:ascii="仿宋" w:hAnsi="仿宋" w:eastAsia="仿宋" w:cs="仿宋"/>
                <w:color w:val="auto"/>
                <w:highlight w:val="none"/>
              </w:rPr>
            </w:pPr>
          </w:p>
        </w:tc>
        <w:tc>
          <w:tcPr>
            <w:tcW w:w="1342" w:type="dxa"/>
            <w:gridSpan w:val="2"/>
            <w:tcBorders>
              <w:top w:val="single" w:color="000000" w:sz="4" w:space="0"/>
              <w:left w:val="single" w:color="000000" w:sz="4" w:space="0"/>
              <w:bottom w:val="single" w:color="000000" w:sz="4" w:space="0"/>
              <w:right w:val="single" w:color="000000" w:sz="4" w:space="0"/>
            </w:tcBorders>
          </w:tcPr>
          <w:p w14:paraId="3B75A288">
            <w:pPr>
              <w:pStyle w:val="40"/>
              <w:kinsoku w:val="0"/>
              <w:overflowPunct w:val="0"/>
              <w:spacing w:before="4"/>
              <w:rPr>
                <w:rFonts w:ascii="仿宋" w:hAnsi="仿宋" w:eastAsia="仿宋" w:cs="仿宋"/>
                <w:b/>
                <w:bCs/>
                <w:color w:val="auto"/>
                <w:sz w:val="20"/>
                <w:szCs w:val="20"/>
                <w:highlight w:val="none"/>
              </w:rPr>
            </w:pPr>
          </w:p>
          <w:p w14:paraId="7D5348D9">
            <w:pPr>
              <w:pStyle w:val="40"/>
              <w:kinsoku w:val="0"/>
              <w:overflowPunct w:val="0"/>
              <w:ind w:left="366"/>
              <w:rPr>
                <w:rFonts w:ascii="仿宋" w:hAnsi="仿宋" w:eastAsia="仿宋" w:cs="仿宋"/>
                <w:color w:val="auto"/>
                <w:highlight w:val="none"/>
              </w:rPr>
            </w:pPr>
            <w:r>
              <w:rPr>
                <w:rFonts w:hint="eastAsia" w:ascii="仿宋" w:hAnsi="仿宋" w:eastAsia="仿宋" w:cs="仿宋"/>
                <w:color w:val="auto"/>
                <w:highlight w:val="none"/>
              </w:rPr>
              <w:t>电 话</w:t>
            </w:r>
          </w:p>
        </w:tc>
        <w:tc>
          <w:tcPr>
            <w:tcW w:w="1343" w:type="dxa"/>
            <w:gridSpan w:val="2"/>
            <w:tcBorders>
              <w:top w:val="single" w:color="000000" w:sz="4" w:space="0"/>
              <w:left w:val="single" w:color="000000" w:sz="4" w:space="0"/>
              <w:bottom w:val="single" w:color="000000" w:sz="4" w:space="0"/>
              <w:right w:val="single" w:color="000000" w:sz="4" w:space="0"/>
            </w:tcBorders>
          </w:tcPr>
          <w:p w14:paraId="5575F1A8">
            <w:pPr>
              <w:rPr>
                <w:rFonts w:ascii="仿宋" w:hAnsi="仿宋" w:eastAsia="仿宋" w:cs="仿宋"/>
                <w:color w:val="auto"/>
                <w:highlight w:val="none"/>
              </w:rPr>
            </w:pPr>
          </w:p>
        </w:tc>
        <w:tc>
          <w:tcPr>
            <w:tcW w:w="1377" w:type="dxa"/>
            <w:gridSpan w:val="3"/>
            <w:tcBorders>
              <w:top w:val="single" w:color="000000" w:sz="4" w:space="0"/>
              <w:left w:val="single" w:color="000000" w:sz="4" w:space="0"/>
              <w:bottom w:val="single" w:color="000000" w:sz="4" w:space="0"/>
              <w:right w:val="single" w:color="000000" w:sz="4" w:space="0"/>
            </w:tcBorders>
          </w:tcPr>
          <w:p w14:paraId="1B93D8AD">
            <w:pPr>
              <w:pStyle w:val="40"/>
              <w:kinsoku w:val="0"/>
              <w:overflowPunct w:val="0"/>
              <w:spacing w:before="4"/>
              <w:rPr>
                <w:rFonts w:ascii="仿宋" w:hAnsi="仿宋" w:eastAsia="仿宋" w:cs="仿宋"/>
                <w:b/>
                <w:bCs/>
                <w:color w:val="auto"/>
                <w:sz w:val="20"/>
                <w:szCs w:val="20"/>
                <w:highlight w:val="none"/>
              </w:rPr>
            </w:pPr>
          </w:p>
          <w:p w14:paraId="10C73AE7">
            <w:pPr>
              <w:pStyle w:val="40"/>
              <w:kinsoku w:val="0"/>
              <w:overflowPunct w:val="0"/>
              <w:ind w:left="383"/>
              <w:rPr>
                <w:rFonts w:ascii="仿宋" w:hAnsi="仿宋" w:eastAsia="仿宋" w:cs="仿宋"/>
                <w:color w:val="auto"/>
                <w:highlight w:val="none"/>
              </w:rPr>
            </w:pPr>
            <w:r>
              <w:rPr>
                <w:rFonts w:hint="eastAsia" w:ascii="仿宋" w:hAnsi="仿宋" w:eastAsia="仿宋" w:cs="仿宋"/>
                <w:color w:val="auto"/>
                <w:highlight w:val="none"/>
              </w:rPr>
              <w:t>传 真</w:t>
            </w:r>
          </w:p>
        </w:tc>
        <w:tc>
          <w:tcPr>
            <w:tcW w:w="1965" w:type="dxa"/>
            <w:tcBorders>
              <w:top w:val="single" w:color="000000" w:sz="4" w:space="0"/>
              <w:left w:val="single" w:color="000000" w:sz="4" w:space="0"/>
              <w:bottom w:val="single" w:color="000000" w:sz="4" w:space="0"/>
              <w:right w:val="single" w:color="000000" w:sz="4" w:space="0"/>
            </w:tcBorders>
          </w:tcPr>
          <w:p w14:paraId="4E98DA31">
            <w:pPr>
              <w:rPr>
                <w:rFonts w:ascii="仿宋" w:hAnsi="仿宋" w:eastAsia="仿宋" w:cs="仿宋"/>
                <w:color w:val="auto"/>
                <w:highlight w:val="none"/>
              </w:rPr>
            </w:pPr>
          </w:p>
        </w:tc>
      </w:tr>
      <w:tr w14:paraId="5BAD1F8D">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tcPr>
          <w:p w14:paraId="16979370">
            <w:pPr>
              <w:pStyle w:val="40"/>
              <w:kinsoku w:val="0"/>
              <w:overflowPunct w:val="0"/>
              <w:rPr>
                <w:rFonts w:ascii="仿宋" w:hAnsi="仿宋" w:eastAsia="仿宋" w:cs="仿宋"/>
                <w:b/>
                <w:bCs/>
                <w:color w:val="auto"/>
                <w:highlight w:val="none"/>
              </w:rPr>
            </w:pPr>
          </w:p>
          <w:p w14:paraId="2E44DE87">
            <w:pPr>
              <w:pStyle w:val="40"/>
              <w:kinsoku w:val="0"/>
              <w:overflowPunct w:val="0"/>
              <w:rPr>
                <w:rFonts w:ascii="仿宋" w:hAnsi="仿宋" w:eastAsia="仿宋" w:cs="仿宋"/>
                <w:b/>
                <w:bCs/>
                <w:color w:val="auto"/>
                <w:highlight w:val="none"/>
              </w:rPr>
            </w:pPr>
          </w:p>
          <w:p w14:paraId="546219C4">
            <w:pPr>
              <w:pStyle w:val="40"/>
              <w:kinsoku w:val="0"/>
              <w:overflowPunct w:val="0"/>
              <w:rPr>
                <w:rFonts w:ascii="仿宋" w:hAnsi="仿宋" w:eastAsia="仿宋" w:cs="仿宋"/>
                <w:b/>
                <w:bCs/>
                <w:color w:val="auto"/>
                <w:highlight w:val="none"/>
              </w:rPr>
            </w:pPr>
          </w:p>
          <w:p w14:paraId="2FC85AAA">
            <w:pPr>
              <w:pStyle w:val="40"/>
              <w:kinsoku w:val="0"/>
              <w:overflowPunct w:val="0"/>
              <w:spacing w:line="475"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职 工 概 况</w:t>
            </w:r>
          </w:p>
        </w:tc>
        <w:tc>
          <w:tcPr>
            <w:tcW w:w="1445" w:type="dxa"/>
            <w:tcBorders>
              <w:top w:val="single" w:color="000000" w:sz="4" w:space="0"/>
              <w:left w:val="single" w:color="000000" w:sz="4" w:space="0"/>
              <w:bottom w:val="single" w:color="000000" w:sz="4" w:space="0"/>
              <w:right w:val="single" w:color="000000" w:sz="4" w:space="0"/>
            </w:tcBorders>
          </w:tcPr>
          <w:p w14:paraId="56EC2CD4">
            <w:pPr>
              <w:pStyle w:val="40"/>
              <w:kinsoku w:val="0"/>
              <w:overflowPunct w:val="0"/>
              <w:spacing w:before="144"/>
              <w:ind w:left="236"/>
              <w:rPr>
                <w:rFonts w:ascii="仿宋" w:hAnsi="仿宋" w:eastAsia="仿宋" w:cs="仿宋"/>
                <w:color w:val="auto"/>
                <w:highlight w:val="none"/>
              </w:rPr>
            </w:pPr>
            <w:r>
              <w:rPr>
                <w:rFonts w:hint="eastAsia" w:ascii="仿宋" w:hAnsi="仿宋" w:eastAsia="仿宋" w:cs="仿宋"/>
                <w:color w:val="auto"/>
                <w:highlight w:val="none"/>
              </w:rPr>
              <w:t>职工总数</w:t>
            </w:r>
          </w:p>
        </w:tc>
        <w:tc>
          <w:tcPr>
            <w:tcW w:w="1342" w:type="dxa"/>
            <w:gridSpan w:val="2"/>
            <w:tcBorders>
              <w:top w:val="single" w:color="000000" w:sz="4" w:space="0"/>
              <w:left w:val="single" w:color="000000" w:sz="4" w:space="0"/>
              <w:bottom w:val="single" w:color="000000" w:sz="4" w:space="0"/>
              <w:right w:val="single" w:color="000000" w:sz="4" w:space="0"/>
            </w:tcBorders>
          </w:tcPr>
          <w:p w14:paraId="32E22EF8">
            <w:pPr>
              <w:rPr>
                <w:rFonts w:ascii="仿宋" w:hAnsi="仿宋" w:eastAsia="仿宋" w:cs="仿宋"/>
                <w:color w:val="auto"/>
                <w:highlight w:val="none"/>
              </w:rPr>
            </w:pPr>
          </w:p>
        </w:tc>
        <w:tc>
          <w:tcPr>
            <w:tcW w:w="2168" w:type="dxa"/>
            <w:gridSpan w:val="4"/>
            <w:tcBorders>
              <w:top w:val="single" w:color="000000" w:sz="4" w:space="0"/>
              <w:left w:val="single" w:color="000000" w:sz="4" w:space="0"/>
              <w:bottom w:val="single" w:color="000000" w:sz="4" w:space="0"/>
              <w:right w:val="single" w:color="000000" w:sz="4" w:space="0"/>
            </w:tcBorders>
          </w:tcPr>
          <w:p w14:paraId="1564481E">
            <w:pPr>
              <w:pStyle w:val="40"/>
              <w:kinsoku w:val="0"/>
              <w:overflowPunct w:val="0"/>
              <w:spacing w:before="144"/>
              <w:ind w:left="118"/>
              <w:rPr>
                <w:rFonts w:ascii="仿宋" w:hAnsi="仿宋" w:eastAsia="仿宋" w:cs="仿宋"/>
                <w:color w:val="auto"/>
                <w:highlight w:val="none"/>
              </w:rPr>
            </w:pPr>
            <w:r>
              <w:rPr>
                <w:rFonts w:hint="eastAsia" w:ascii="仿宋" w:hAnsi="仿宋" w:eastAsia="仿宋" w:cs="仿宋"/>
                <w:color w:val="auto"/>
                <w:highlight w:val="none"/>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tcPr>
          <w:p w14:paraId="322AF5A3">
            <w:pPr>
              <w:rPr>
                <w:rFonts w:ascii="仿宋" w:hAnsi="仿宋" w:eastAsia="仿宋" w:cs="仿宋"/>
                <w:color w:val="auto"/>
                <w:highlight w:val="none"/>
              </w:rPr>
            </w:pPr>
          </w:p>
        </w:tc>
      </w:tr>
      <w:tr w14:paraId="00169D49">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3287D5D9">
            <w:pPr>
              <w:rPr>
                <w:rFonts w:ascii="仿宋" w:hAnsi="仿宋" w:eastAsia="仿宋" w:cs="仿宋"/>
                <w:color w:val="auto"/>
                <w:highlight w:val="none"/>
              </w:rPr>
            </w:pPr>
          </w:p>
        </w:tc>
        <w:tc>
          <w:tcPr>
            <w:tcW w:w="7472" w:type="dxa"/>
            <w:gridSpan w:val="9"/>
            <w:tcBorders>
              <w:top w:val="single" w:color="000000" w:sz="4" w:space="0"/>
              <w:left w:val="single" w:color="000000" w:sz="4" w:space="0"/>
              <w:bottom w:val="single" w:color="000000" w:sz="4" w:space="0"/>
              <w:right w:val="single" w:color="000000" w:sz="4" w:space="0"/>
            </w:tcBorders>
          </w:tcPr>
          <w:p w14:paraId="17CF3DD0">
            <w:pPr>
              <w:pStyle w:val="40"/>
              <w:kinsoku w:val="0"/>
              <w:overflowPunct w:val="0"/>
              <w:spacing w:before="145"/>
              <w:jc w:val="center"/>
              <w:rPr>
                <w:rFonts w:ascii="仿宋" w:hAnsi="仿宋" w:eastAsia="仿宋" w:cs="仿宋"/>
                <w:color w:val="auto"/>
                <w:highlight w:val="none"/>
                <w:lang w:eastAsia="zh-CN"/>
              </w:rPr>
            </w:pPr>
            <w:r>
              <w:rPr>
                <w:rFonts w:hint="eastAsia" w:ascii="仿宋" w:hAnsi="仿宋" w:eastAsia="仿宋" w:cs="仿宋"/>
                <w:color w:val="auto"/>
                <w:highlight w:val="none"/>
                <w:lang w:eastAsia="zh-CN"/>
              </w:rPr>
              <w:t>单位行政和技术负责人</w:t>
            </w:r>
          </w:p>
        </w:tc>
      </w:tr>
      <w:tr w14:paraId="59145DAE">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70A4A5FB">
            <w:pPr>
              <w:pStyle w:val="40"/>
              <w:kinsoku w:val="0"/>
              <w:overflowPunct w:val="0"/>
              <w:spacing w:before="145"/>
              <w:jc w:val="center"/>
              <w:rPr>
                <w:rFonts w:ascii="仿宋" w:hAnsi="仿宋" w:eastAsia="仿宋" w:cs="仿宋"/>
                <w:color w:val="auto"/>
                <w:highlight w:val="none"/>
                <w:lang w:eastAsia="zh-CN"/>
              </w:rPr>
            </w:pPr>
          </w:p>
        </w:tc>
        <w:tc>
          <w:tcPr>
            <w:tcW w:w="1445" w:type="dxa"/>
            <w:tcBorders>
              <w:top w:val="single" w:color="000000" w:sz="4" w:space="0"/>
              <w:left w:val="single" w:color="000000" w:sz="4" w:space="0"/>
              <w:bottom w:val="single" w:color="000000" w:sz="4" w:space="0"/>
              <w:right w:val="single" w:color="000000" w:sz="4" w:space="0"/>
            </w:tcBorders>
          </w:tcPr>
          <w:p w14:paraId="57881106">
            <w:pPr>
              <w:pStyle w:val="40"/>
              <w:kinsoku w:val="0"/>
              <w:overflowPunct w:val="0"/>
              <w:spacing w:before="145"/>
              <w:ind w:left="416"/>
              <w:rPr>
                <w:rFonts w:ascii="仿宋" w:hAnsi="仿宋" w:eastAsia="仿宋" w:cs="仿宋"/>
                <w:color w:val="auto"/>
                <w:highlight w:val="none"/>
              </w:rPr>
            </w:pPr>
            <w:r>
              <w:rPr>
                <w:rFonts w:hint="eastAsia" w:ascii="仿宋" w:hAnsi="仿宋" w:eastAsia="仿宋" w:cs="仿宋"/>
                <w:color w:val="auto"/>
                <w:highlight w:val="none"/>
              </w:rPr>
              <w:t>姓 名</w:t>
            </w:r>
          </w:p>
        </w:tc>
        <w:tc>
          <w:tcPr>
            <w:tcW w:w="1997" w:type="dxa"/>
            <w:gridSpan w:val="3"/>
            <w:tcBorders>
              <w:top w:val="single" w:color="000000" w:sz="4" w:space="0"/>
              <w:left w:val="single" w:color="000000" w:sz="4" w:space="0"/>
              <w:bottom w:val="single" w:color="000000" w:sz="4" w:space="0"/>
              <w:right w:val="single" w:color="000000" w:sz="4" w:space="0"/>
            </w:tcBorders>
          </w:tcPr>
          <w:p w14:paraId="52262B36">
            <w:pPr>
              <w:pStyle w:val="40"/>
              <w:kinsoku w:val="0"/>
              <w:overflowPunct w:val="0"/>
              <w:spacing w:before="145"/>
              <w:ind w:left="452"/>
              <w:rPr>
                <w:rFonts w:ascii="仿宋" w:hAnsi="仿宋" w:eastAsia="仿宋" w:cs="仿宋"/>
                <w:color w:val="auto"/>
                <w:highlight w:val="none"/>
              </w:rPr>
            </w:pPr>
            <w:r>
              <w:rPr>
                <w:rFonts w:hint="eastAsia" w:ascii="仿宋" w:hAnsi="仿宋" w:eastAsia="仿宋" w:cs="仿宋"/>
                <w:color w:val="auto"/>
                <w:highlight w:val="none"/>
              </w:rPr>
              <w:t>职务/职称</w:t>
            </w:r>
          </w:p>
        </w:tc>
        <w:tc>
          <w:tcPr>
            <w:tcW w:w="1513" w:type="dxa"/>
            <w:gridSpan w:val="3"/>
            <w:tcBorders>
              <w:top w:val="single" w:color="000000" w:sz="4" w:space="0"/>
              <w:left w:val="single" w:color="000000" w:sz="4" w:space="0"/>
              <w:bottom w:val="single" w:color="000000" w:sz="4" w:space="0"/>
              <w:right w:val="single" w:color="000000" w:sz="4" w:space="0"/>
            </w:tcBorders>
          </w:tcPr>
          <w:p w14:paraId="382D9239">
            <w:pPr>
              <w:pStyle w:val="40"/>
              <w:kinsoku w:val="0"/>
              <w:overflowPunct w:val="0"/>
              <w:spacing w:before="145"/>
              <w:ind w:left="450"/>
              <w:rPr>
                <w:rFonts w:ascii="仿宋" w:hAnsi="仿宋" w:eastAsia="仿宋" w:cs="仿宋"/>
                <w:color w:val="auto"/>
                <w:highlight w:val="none"/>
              </w:rPr>
            </w:pPr>
            <w:r>
              <w:rPr>
                <w:rFonts w:hint="eastAsia" w:ascii="仿宋" w:hAnsi="仿宋" w:eastAsia="仿宋" w:cs="仿宋"/>
                <w:color w:val="auto"/>
                <w:highlight w:val="none"/>
              </w:rPr>
              <w:t>年 龄</w:t>
            </w:r>
          </w:p>
        </w:tc>
        <w:tc>
          <w:tcPr>
            <w:tcW w:w="2517" w:type="dxa"/>
            <w:gridSpan w:val="2"/>
            <w:tcBorders>
              <w:top w:val="single" w:color="000000" w:sz="4" w:space="0"/>
              <w:left w:val="single" w:color="000000" w:sz="4" w:space="0"/>
              <w:bottom w:val="single" w:color="000000" w:sz="4" w:space="0"/>
              <w:right w:val="single" w:color="000000" w:sz="4" w:space="0"/>
            </w:tcBorders>
          </w:tcPr>
          <w:p w14:paraId="20F2423A">
            <w:pPr>
              <w:pStyle w:val="40"/>
              <w:tabs>
                <w:tab w:val="left" w:pos="479"/>
              </w:tabs>
              <w:kinsoku w:val="0"/>
              <w:overflowPunct w:val="0"/>
              <w:spacing w:before="145"/>
              <w:ind w:right="1"/>
              <w:jc w:val="center"/>
              <w:rPr>
                <w:rFonts w:ascii="仿宋" w:hAnsi="仿宋" w:eastAsia="仿宋" w:cs="仿宋"/>
                <w:color w:val="auto"/>
                <w:highlight w:val="none"/>
              </w:rPr>
            </w:pPr>
            <w:r>
              <w:rPr>
                <w:rFonts w:hint="eastAsia" w:ascii="仿宋" w:hAnsi="仿宋" w:eastAsia="仿宋" w:cs="仿宋"/>
                <w:color w:val="auto"/>
                <w:highlight w:val="none"/>
              </w:rPr>
              <w:t>专</w:t>
            </w:r>
            <w:r>
              <w:rPr>
                <w:rFonts w:hint="eastAsia" w:ascii="仿宋" w:hAnsi="仿宋" w:eastAsia="仿宋" w:cs="仿宋"/>
                <w:color w:val="auto"/>
                <w:highlight w:val="none"/>
              </w:rPr>
              <w:tab/>
            </w:r>
            <w:r>
              <w:rPr>
                <w:rFonts w:hint="eastAsia" w:ascii="仿宋" w:hAnsi="仿宋" w:eastAsia="仿宋" w:cs="仿宋"/>
                <w:color w:val="auto"/>
                <w:highlight w:val="none"/>
              </w:rPr>
              <w:t>业</w:t>
            </w:r>
          </w:p>
        </w:tc>
      </w:tr>
      <w:tr w14:paraId="3BB3FEBF">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12E16F3">
            <w:pPr>
              <w:pStyle w:val="40"/>
              <w:tabs>
                <w:tab w:val="left" w:pos="479"/>
              </w:tabs>
              <w:kinsoku w:val="0"/>
              <w:overflowPunct w:val="0"/>
              <w:spacing w:before="145"/>
              <w:ind w:right="1"/>
              <w:jc w:val="cente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268BF05C">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562B116F">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69BDD0A6">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CEDE8F4">
            <w:pPr>
              <w:rPr>
                <w:rFonts w:ascii="仿宋" w:hAnsi="仿宋" w:eastAsia="仿宋" w:cs="仿宋"/>
                <w:color w:val="auto"/>
                <w:highlight w:val="none"/>
              </w:rPr>
            </w:pPr>
          </w:p>
        </w:tc>
      </w:tr>
      <w:tr w14:paraId="70A85A85">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235F43C2">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64689059">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2A50F656">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03F44891">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24E6D128">
            <w:pPr>
              <w:rPr>
                <w:rFonts w:ascii="仿宋" w:hAnsi="仿宋" w:eastAsia="仿宋" w:cs="仿宋"/>
                <w:color w:val="auto"/>
                <w:highlight w:val="none"/>
              </w:rPr>
            </w:pPr>
          </w:p>
        </w:tc>
      </w:tr>
      <w:tr w14:paraId="70D96C76">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tcPr>
          <w:p w14:paraId="6D5903B5">
            <w:pPr>
              <w:rPr>
                <w:rFonts w:ascii="仿宋" w:hAnsi="仿宋" w:eastAsia="仿宋" w:cs="仿宋"/>
                <w:color w:val="auto"/>
                <w:highlight w:val="none"/>
              </w:rPr>
            </w:pPr>
          </w:p>
        </w:tc>
        <w:tc>
          <w:tcPr>
            <w:tcW w:w="1445" w:type="dxa"/>
            <w:tcBorders>
              <w:top w:val="single" w:color="000000" w:sz="4" w:space="0"/>
              <w:left w:val="single" w:color="000000" w:sz="4" w:space="0"/>
              <w:bottom w:val="single" w:color="000000" w:sz="4" w:space="0"/>
              <w:right w:val="single" w:color="000000" w:sz="4" w:space="0"/>
            </w:tcBorders>
          </w:tcPr>
          <w:p w14:paraId="7E7C521B">
            <w:pPr>
              <w:rPr>
                <w:rFonts w:ascii="仿宋" w:hAnsi="仿宋" w:eastAsia="仿宋" w:cs="仿宋"/>
                <w:color w:val="auto"/>
                <w:highlight w:val="none"/>
              </w:rPr>
            </w:pPr>
          </w:p>
        </w:tc>
        <w:tc>
          <w:tcPr>
            <w:tcW w:w="1997" w:type="dxa"/>
            <w:gridSpan w:val="3"/>
            <w:tcBorders>
              <w:top w:val="single" w:color="000000" w:sz="4" w:space="0"/>
              <w:left w:val="single" w:color="000000" w:sz="4" w:space="0"/>
              <w:bottom w:val="single" w:color="000000" w:sz="4" w:space="0"/>
              <w:right w:val="single" w:color="000000" w:sz="4" w:space="0"/>
            </w:tcBorders>
          </w:tcPr>
          <w:p w14:paraId="187EF597">
            <w:pPr>
              <w:rPr>
                <w:rFonts w:ascii="仿宋" w:hAnsi="仿宋" w:eastAsia="仿宋" w:cs="仿宋"/>
                <w:color w:val="auto"/>
                <w:highlight w:val="none"/>
              </w:rPr>
            </w:pPr>
          </w:p>
        </w:tc>
        <w:tc>
          <w:tcPr>
            <w:tcW w:w="1513" w:type="dxa"/>
            <w:gridSpan w:val="3"/>
            <w:tcBorders>
              <w:top w:val="single" w:color="000000" w:sz="4" w:space="0"/>
              <w:left w:val="single" w:color="000000" w:sz="4" w:space="0"/>
              <w:bottom w:val="single" w:color="000000" w:sz="4" w:space="0"/>
              <w:right w:val="single" w:color="000000" w:sz="4" w:space="0"/>
            </w:tcBorders>
          </w:tcPr>
          <w:p w14:paraId="1255E61E">
            <w:pPr>
              <w:rPr>
                <w:rFonts w:ascii="仿宋" w:hAnsi="仿宋" w:eastAsia="仿宋" w:cs="仿宋"/>
                <w:color w:val="auto"/>
                <w:highlight w:val="none"/>
              </w:rPr>
            </w:pPr>
          </w:p>
        </w:tc>
        <w:tc>
          <w:tcPr>
            <w:tcW w:w="2517" w:type="dxa"/>
            <w:gridSpan w:val="2"/>
            <w:tcBorders>
              <w:top w:val="single" w:color="000000" w:sz="4" w:space="0"/>
              <w:left w:val="single" w:color="000000" w:sz="4" w:space="0"/>
              <w:bottom w:val="single" w:color="000000" w:sz="4" w:space="0"/>
              <w:right w:val="single" w:color="000000" w:sz="4" w:space="0"/>
            </w:tcBorders>
          </w:tcPr>
          <w:p w14:paraId="40918DC9">
            <w:pPr>
              <w:rPr>
                <w:rFonts w:ascii="仿宋" w:hAnsi="仿宋" w:eastAsia="仿宋" w:cs="仿宋"/>
                <w:color w:val="auto"/>
                <w:highlight w:val="none"/>
              </w:rPr>
            </w:pPr>
          </w:p>
        </w:tc>
      </w:tr>
      <w:tr w14:paraId="3CA93A43">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tcPr>
          <w:p w14:paraId="759D65E3">
            <w:pPr>
              <w:pStyle w:val="40"/>
              <w:kinsoku w:val="0"/>
              <w:overflowPunct w:val="0"/>
              <w:spacing w:before="1"/>
              <w:rPr>
                <w:rFonts w:ascii="仿宋" w:hAnsi="仿宋" w:eastAsia="仿宋" w:cs="仿宋"/>
                <w:b/>
                <w:bCs/>
                <w:color w:val="auto"/>
                <w:sz w:val="23"/>
                <w:szCs w:val="23"/>
                <w:highlight w:val="none"/>
              </w:rPr>
            </w:pPr>
          </w:p>
          <w:p w14:paraId="4B24F994">
            <w:pPr>
              <w:pStyle w:val="40"/>
              <w:kinsoku w:val="0"/>
              <w:overflowPunct w:val="0"/>
              <w:spacing w:line="237" w:lineRule="auto"/>
              <w:ind w:left="497" w:right="493"/>
              <w:jc w:val="both"/>
              <w:rPr>
                <w:rFonts w:ascii="仿宋" w:hAnsi="仿宋" w:eastAsia="仿宋" w:cs="仿宋"/>
                <w:color w:val="auto"/>
                <w:highlight w:val="none"/>
              </w:rPr>
            </w:pPr>
            <w:r>
              <w:rPr>
                <w:rFonts w:hint="eastAsia" w:ascii="仿宋" w:hAnsi="仿宋" w:eastAsia="仿宋" w:cs="仿宋"/>
                <w:color w:val="auto"/>
                <w:highlight w:val="none"/>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tcPr>
          <w:p w14:paraId="1695BF02">
            <w:pPr>
              <w:rPr>
                <w:rFonts w:ascii="仿宋" w:hAnsi="仿宋" w:eastAsia="仿宋" w:cs="仿宋"/>
                <w:color w:val="auto"/>
                <w:highlight w:val="none"/>
              </w:rPr>
            </w:pPr>
          </w:p>
        </w:tc>
      </w:tr>
    </w:tbl>
    <w:p w14:paraId="598162DA">
      <w:pPr>
        <w:pStyle w:val="37"/>
        <w:spacing w:line="440" w:lineRule="exact"/>
        <w:ind w:firstLine="0"/>
        <w:jc w:val="both"/>
        <w:rPr>
          <w:rFonts w:ascii="仿宋" w:hAnsi="仿宋" w:eastAsia="仿宋" w:cs="仿宋"/>
          <w:b/>
          <w:color w:val="auto"/>
          <w:sz w:val="30"/>
          <w:szCs w:val="30"/>
          <w:highlight w:val="none"/>
        </w:rPr>
      </w:pPr>
    </w:p>
    <w:p w14:paraId="4BCFA1DC">
      <w:pPr>
        <w:pStyle w:val="37"/>
        <w:spacing w:line="440" w:lineRule="exact"/>
        <w:ind w:firstLine="0"/>
        <w:jc w:val="both"/>
        <w:rPr>
          <w:rFonts w:ascii="仿宋" w:hAnsi="仿宋" w:eastAsia="仿宋" w:cs="仿宋"/>
          <w:b/>
          <w:color w:val="auto"/>
          <w:sz w:val="30"/>
          <w:szCs w:val="30"/>
          <w:highlight w:val="none"/>
        </w:rPr>
      </w:pPr>
    </w:p>
    <w:p w14:paraId="1612C261">
      <w:pPr>
        <w:pStyle w:val="37"/>
        <w:spacing w:line="440" w:lineRule="exact"/>
        <w:ind w:firstLine="0"/>
        <w:jc w:val="both"/>
        <w:rPr>
          <w:rFonts w:ascii="仿宋" w:hAnsi="仿宋" w:eastAsia="仿宋" w:cs="仿宋"/>
          <w:b/>
          <w:color w:val="auto"/>
          <w:sz w:val="30"/>
          <w:szCs w:val="30"/>
          <w:highlight w:val="none"/>
        </w:rPr>
      </w:pPr>
    </w:p>
    <w:p w14:paraId="6E32986C">
      <w:pPr>
        <w:pStyle w:val="37"/>
        <w:spacing w:line="440" w:lineRule="exact"/>
        <w:ind w:firstLine="0"/>
        <w:jc w:val="both"/>
        <w:rPr>
          <w:rFonts w:ascii="仿宋" w:hAnsi="仿宋" w:eastAsia="仿宋" w:cs="仿宋"/>
          <w:b/>
          <w:color w:val="auto"/>
          <w:sz w:val="30"/>
          <w:szCs w:val="30"/>
          <w:highlight w:val="none"/>
        </w:rPr>
      </w:pPr>
    </w:p>
    <w:p w14:paraId="3BC5DE7D">
      <w:pPr>
        <w:pStyle w:val="37"/>
        <w:spacing w:line="440" w:lineRule="exact"/>
        <w:ind w:firstLine="0"/>
        <w:jc w:val="both"/>
        <w:rPr>
          <w:rFonts w:ascii="仿宋" w:hAnsi="仿宋" w:eastAsia="仿宋" w:cs="仿宋"/>
          <w:b/>
          <w:color w:val="auto"/>
          <w:sz w:val="30"/>
          <w:szCs w:val="30"/>
          <w:highlight w:val="none"/>
        </w:rPr>
      </w:pPr>
    </w:p>
    <w:p w14:paraId="7883829E">
      <w:pPr>
        <w:pStyle w:val="37"/>
        <w:spacing w:line="440" w:lineRule="exact"/>
        <w:ind w:firstLine="0"/>
        <w:jc w:val="both"/>
        <w:rPr>
          <w:rFonts w:ascii="仿宋" w:hAnsi="仿宋" w:eastAsia="仿宋" w:cs="仿宋"/>
          <w:b/>
          <w:color w:val="auto"/>
          <w:sz w:val="30"/>
          <w:szCs w:val="30"/>
          <w:highlight w:val="none"/>
        </w:rPr>
      </w:pPr>
    </w:p>
    <w:p w14:paraId="648DD8D8">
      <w:pPr>
        <w:pStyle w:val="7"/>
        <w:numPr>
          <w:ilvl w:val="0"/>
          <w:numId w:val="0"/>
        </w:numPr>
        <w:kinsoku w:val="0"/>
        <w:overflowPunct w:val="0"/>
        <w:spacing w:before="34" w:line="357" w:lineRule="auto"/>
        <w:ind w:left="480" w:right="126"/>
        <w:jc w:val="center"/>
        <w:rPr>
          <w:rFonts w:ascii="仿宋" w:hAnsi="仿宋" w:eastAsia="仿宋" w:cs="仿宋"/>
          <w:bCs/>
          <w:color w:val="auto"/>
          <w:sz w:val="36"/>
          <w:szCs w:val="36"/>
          <w:highlight w:val="none"/>
          <w:lang w:eastAsia="zh-CN"/>
        </w:rPr>
      </w:pPr>
    </w:p>
    <w:p w14:paraId="127F6382">
      <w:pPr>
        <w:pStyle w:val="16"/>
        <w:rPr>
          <w:color w:val="auto"/>
          <w:lang w:eastAsia="zh-CN"/>
        </w:rPr>
      </w:pPr>
    </w:p>
    <w:p w14:paraId="07CCA3FF">
      <w:pPr>
        <w:spacing w:line="360" w:lineRule="auto"/>
        <w:jc w:val="center"/>
        <w:rPr>
          <w:rFonts w:ascii="仿宋" w:hAnsi="仿宋" w:eastAsia="仿宋" w:cs="仿宋"/>
          <w:b/>
          <w:color w:val="auto"/>
          <w:sz w:val="32"/>
          <w:szCs w:val="32"/>
          <w:highlight w:val="none"/>
          <w:lang w:eastAsia="zh-CN"/>
        </w:rPr>
      </w:pPr>
      <w:r>
        <w:rPr>
          <w:rFonts w:hint="eastAsia" w:ascii="仿宋" w:hAnsi="仿宋" w:eastAsia="仿宋" w:cs="仿宋"/>
          <w:b/>
          <w:color w:val="auto"/>
          <w:sz w:val="36"/>
          <w:szCs w:val="36"/>
          <w:highlight w:val="none"/>
          <w:lang w:val="en-US" w:eastAsia="zh-CN"/>
        </w:rPr>
        <w:t>8</w:t>
      </w:r>
      <w:r>
        <w:rPr>
          <w:rFonts w:hint="eastAsia" w:ascii="仿宋" w:hAnsi="仿宋" w:eastAsia="仿宋" w:cs="仿宋"/>
          <w:b/>
          <w:color w:val="auto"/>
          <w:sz w:val="36"/>
          <w:szCs w:val="36"/>
          <w:highlight w:val="none"/>
          <w:lang w:eastAsia="zh-CN"/>
        </w:rPr>
        <w:t>、中小企业声明函(货物)</w:t>
      </w:r>
    </w:p>
    <w:p w14:paraId="63A3FCB3">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公司（联合体）郑重声明，根据《政府采购促进中小企业发展管理办法》（财库[2020]46号）的规定，本公司（联合体）参加（单位名称）的（项目名称）采购活动，提供的货物全部由符合政策要求的中小企业制造。相关企业（含联合体中的中小企业、签订分包意向协议的中小企业）的具体情况如下：</w:t>
      </w:r>
    </w:p>
    <w:p w14:paraId="19B58C38">
      <w:pPr>
        <w:numPr>
          <w:ilvl w:val="0"/>
          <w:numId w:val="9"/>
        </w:num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 xml:space="preserve"> （采购文件中明确的所属行业）</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38D4A9EB">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2. </w:t>
      </w:r>
      <w:r>
        <w:rPr>
          <w:rFonts w:hint="eastAsia" w:ascii="仿宋" w:hAnsi="仿宋" w:eastAsia="仿宋" w:cs="仿宋"/>
          <w:color w:val="auto"/>
          <w:highlight w:val="none"/>
          <w:u w:val="single"/>
          <w:lang w:eastAsia="zh-CN"/>
        </w:rPr>
        <w:t xml:space="preserve">     （标的名称）</w:t>
      </w:r>
      <w:r>
        <w:rPr>
          <w:rFonts w:hint="eastAsia" w:ascii="仿宋" w:hAnsi="仿宋" w:eastAsia="仿宋" w:cs="仿宋"/>
          <w:color w:val="auto"/>
          <w:highlight w:val="none"/>
          <w:lang w:eastAsia="zh-CN"/>
        </w:rPr>
        <w:t>，属于</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（采购文件</w:t>
      </w:r>
      <w:r>
        <w:rPr>
          <w:rFonts w:hint="eastAsia" w:ascii="仿宋" w:hAnsi="仿宋" w:eastAsia="仿宋" w:cs="仿宋"/>
          <w:color w:val="auto"/>
          <w:highlight w:val="none"/>
          <w:u w:val="single"/>
          <w:lang w:val="en-US" w:eastAsia="zh-CN"/>
        </w:rPr>
        <w:t>中</w:t>
      </w:r>
      <w:r>
        <w:rPr>
          <w:rFonts w:hint="eastAsia" w:ascii="仿宋" w:hAnsi="仿宋" w:eastAsia="仿宋" w:cs="仿宋"/>
          <w:color w:val="auto"/>
          <w:highlight w:val="none"/>
          <w:u w:val="single"/>
          <w:lang w:eastAsia="zh-CN"/>
        </w:rPr>
        <w:t xml:space="preserve">明确的所属行业） </w:t>
      </w:r>
      <w:r>
        <w:rPr>
          <w:rFonts w:hint="eastAsia" w:ascii="仿宋" w:hAnsi="仿宋" w:eastAsia="仿宋" w:cs="仿宋"/>
          <w:color w:val="auto"/>
          <w:highlight w:val="none"/>
          <w:lang w:eastAsia="zh-CN"/>
        </w:rPr>
        <w:t>；制造商为</w:t>
      </w:r>
      <w:r>
        <w:rPr>
          <w:rFonts w:hint="eastAsia" w:ascii="仿宋" w:hAnsi="仿宋" w:eastAsia="仿宋" w:cs="仿宋"/>
          <w:color w:val="auto"/>
          <w:highlight w:val="none"/>
          <w:u w:val="single"/>
          <w:lang w:eastAsia="zh-CN"/>
        </w:rPr>
        <w:t xml:space="preserve">    （企业名称）</w:t>
      </w:r>
      <w:r>
        <w:rPr>
          <w:rFonts w:hint="eastAsia" w:ascii="仿宋" w:hAnsi="仿宋" w:eastAsia="仿宋" w:cs="仿宋"/>
          <w:color w:val="auto"/>
          <w:highlight w:val="none"/>
          <w:lang w:eastAsia="zh-CN"/>
        </w:rPr>
        <w:t>，从业人员</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人，营业收入为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万元，资产总额为</w:t>
      </w:r>
      <w:r>
        <w:rPr>
          <w:rFonts w:hint="eastAsia" w:ascii="仿宋" w:hAnsi="仿宋" w:eastAsia="仿宋" w:cs="仿宋"/>
          <w:color w:val="auto"/>
          <w:highlight w:val="none"/>
          <w:u w:val="single"/>
          <w:lang w:eastAsia="zh-CN"/>
        </w:rPr>
        <w:t xml:space="preserve">    </w:t>
      </w:r>
      <w:r>
        <w:rPr>
          <w:rFonts w:hint="eastAsia" w:ascii="仿宋" w:hAnsi="仿宋" w:eastAsia="仿宋" w:cs="仿宋"/>
          <w:color w:val="auto"/>
          <w:highlight w:val="none"/>
          <w:lang w:eastAsia="zh-CN"/>
        </w:rPr>
        <w:t>万元，属于</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u w:val="single"/>
          <w:lang w:eastAsia="zh-CN"/>
        </w:rPr>
        <w:t>（中型企业、小型企业、微型企业）</w:t>
      </w:r>
      <w:r>
        <w:rPr>
          <w:rFonts w:hint="eastAsia" w:ascii="仿宋" w:hAnsi="仿宋" w:eastAsia="仿宋" w:cs="仿宋"/>
          <w:color w:val="auto"/>
          <w:highlight w:val="none"/>
          <w:lang w:eastAsia="zh-CN"/>
        </w:rPr>
        <w:t>；</w:t>
      </w:r>
    </w:p>
    <w:p w14:paraId="57D0B724">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w:t>
      </w:r>
    </w:p>
    <w:p w14:paraId="2C97B708">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以上企业，不属于大企业的分支机构，不存在控股股东为大企业的情形，也不存在与大企业的负责人为同一人的情形。</w:t>
      </w:r>
    </w:p>
    <w:p w14:paraId="246E9977">
      <w:pPr>
        <w:spacing w:line="360" w:lineRule="auto"/>
        <w:ind w:firstLine="480" w:firstLineChars="200"/>
        <w:rPr>
          <w:rFonts w:ascii="仿宋" w:hAnsi="仿宋" w:eastAsia="仿宋" w:cs="仿宋"/>
          <w:color w:val="auto"/>
          <w:highlight w:val="none"/>
          <w:lang w:eastAsia="zh-CN"/>
        </w:rPr>
      </w:pPr>
    </w:p>
    <w:p w14:paraId="08807D39">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本企业对上述声明内容的真实性负责。如有虚假，将依法承担相应责任。</w:t>
      </w:r>
    </w:p>
    <w:p w14:paraId="217CF875">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w:t>
      </w:r>
    </w:p>
    <w:p w14:paraId="0455C415">
      <w:pPr>
        <w:spacing w:line="360" w:lineRule="auto"/>
        <w:ind w:firstLine="480" w:firstLineChars="200"/>
        <w:rPr>
          <w:rFonts w:ascii="仿宋" w:hAnsi="仿宋" w:eastAsia="仿宋" w:cs="仿宋"/>
          <w:color w:val="auto"/>
          <w:highlight w:val="none"/>
          <w:lang w:eastAsia="zh-CN"/>
        </w:rPr>
      </w:pPr>
    </w:p>
    <w:p w14:paraId="42EB659D">
      <w:pPr>
        <w:spacing w:line="360" w:lineRule="auto"/>
        <w:ind w:firstLine="4560" w:firstLineChars="19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企业名称（盖章）：</w:t>
      </w:r>
    </w:p>
    <w:p w14:paraId="34521CDD">
      <w:pPr>
        <w:spacing w:line="360" w:lineRule="auto"/>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 xml:space="preserve">                                               日期：</w:t>
      </w:r>
    </w:p>
    <w:p w14:paraId="39EC87FB">
      <w:pPr>
        <w:pStyle w:val="17"/>
        <w:rPr>
          <w:rFonts w:ascii="仿宋" w:hAnsi="仿宋" w:eastAsia="仿宋" w:cs="仿宋"/>
          <w:color w:val="auto"/>
          <w:highlight w:val="none"/>
          <w:lang w:eastAsia="zh-CN"/>
        </w:rPr>
      </w:pPr>
    </w:p>
    <w:p w14:paraId="0774A46A">
      <w:pPr>
        <w:pStyle w:val="17"/>
        <w:rPr>
          <w:rFonts w:ascii="仿宋" w:hAnsi="仿宋" w:eastAsia="仿宋" w:cs="仿宋"/>
          <w:color w:val="auto"/>
          <w:highlight w:val="none"/>
          <w:lang w:eastAsia="zh-CN"/>
        </w:rPr>
      </w:pPr>
    </w:p>
    <w:p w14:paraId="6B8B17F5">
      <w:pPr>
        <w:pStyle w:val="17"/>
        <w:rPr>
          <w:rFonts w:ascii="仿宋" w:hAnsi="仿宋" w:eastAsia="仿宋" w:cs="仿宋"/>
          <w:color w:val="auto"/>
          <w:highlight w:val="none"/>
          <w:lang w:eastAsia="zh-CN"/>
        </w:rPr>
      </w:pPr>
    </w:p>
    <w:p w14:paraId="02CAA72F">
      <w:pPr>
        <w:pStyle w:val="17"/>
        <w:rPr>
          <w:rFonts w:ascii="仿宋" w:hAnsi="仿宋" w:eastAsia="仿宋" w:cs="仿宋"/>
          <w:color w:val="auto"/>
          <w:highlight w:val="none"/>
          <w:lang w:eastAsia="zh-CN"/>
        </w:rPr>
      </w:pPr>
    </w:p>
    <w:p w14:paraId="35582750">
      <w:pPr>
        <w:pStyle w:val="17"/>
        <w:rPr>
          <w:rFonts w:ascii="仿宋" w:hAnsi="仿宋" w:eastAsia="仿宋" w:cs="仿宋"/>
          <w:color w:val="auto"/>
          <w:highlight w:val="none"/>
          <w:lang w:eastAsia="zh-CN"/>
        </w:rPr>
      </w:pPr>
    </w:p>
    <w:p w14:paraId="48794713">
      <w:pPr>
        <w:pStyle w:val="17"/>
        <w:rPr>
          <w:rFonts w:ascii="仿宋" w:hAnsi="仿宋" w:eastAsia="仿宋" w:cs="仿宋"/>
          <w:color w:val="auto"/>
          <w:highlight w:val="none"/>
          <w:lang w:eastAsia="zh-CN"/>
        </w:rPr>
      </w:pPr>
    </w:p>
    <w:p w14:paraId="1ABE6B27">
      <w:pPr>
        <w:pStyle w:val="17"/>
        <w:rPr>
          <w:rFonts w:ascii="仿宋" w:hAnsi="仿宋" w:eastAsia="仿宋" w:cs="仿宋"/>
          <w:color w:val="auto"/>
          <w:highlight w:val="none"/>
          <w:lang w:eastAsia="zh-CN"/>
        </w:rPr>
      </w:pPr>
    </w:p>
    <w:p w14:paraId="743AC28E">
      <w:pPr>
        <w:pStyle w:val="17"/>
        <w:rPr>
          <w:rFonts w:ascii="仿宋" w:hAnsi="仿宋" w:eastAsia="仿宋" w:cs="仿宋"/>
          <w:color w:val="auto"/>
          <w:highlight w:val="none"/>
          <w:lang w:eastAsia="zh-CN"/>
        </w:rPr>
      </w:pPr>
    </w:p>
    <w:p w14:paraId="774A7013">
      <w:pPr>
        <w:pStyle w:val="17"/>
        <w:rPr>
          <w:rFonts w:ascii="仿宋" w:hAnsi="仿宋" w:eastAsia="仿宋" w:cs="仿宋"/>
          <w:color w:val="auto"/>
          <w:highlight w:val="none"/>
          <w:lang w:eastAsia="zh-CN"/>
        </w:rPr>
      </w:pPr>
    </w:p>
    <w:p w14:paraId="1CE56C03">
      <w:pPr>
        <w:pStyle w:val="17"/>
        <w:rPr>
          <w:rFonts w:ascii="仿宋" w:hAnsi="仿宋" w:eastAsia="仿宋" w:cs="仿宋"/>
          <w:color w:val="auto"/>
          <w:highlight w:val="none"/>
          <w:lang w:eastAsia="zh-CN"/>
        </w:rPr>
      </w:pPr>
    </w:p>
    <w:p w14:paraId="53D47D62">
      <w:pPr>
        <w:pStyle w:val="17"/>
        <w:rPr>
          <w:rFonts w:ascii="仿宋" w:hAnsi="仿宋" w:eastAsia="仿宋" w:cs="仿宋"/>
          <w:color w:val="auto"/>
          <w:highlight w:val="none"/>
          <w:lang w:eastAsia="zh-CN"/>
        </w:rPr>
      </w:pPr>
    </w:p>
    <w:p w14:paraId="711F2500">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p>
    <w:p w14:paraId="17089A3B">
      <w:pPr>
        <w:pStyle w:val="32"/>
        <w:rPr>
          <w:color w:val="auto"/>
          <w:highlight w:val="none"/>
          <w:lang w:eastAsia="zh-CN"/>
        </w:rPr>
      </w:pPr>
    </w:p>
    <w:p w14:paraId="27C9227F">
      <w:pPr>
        <w:pStyle w:val="32"/>
        <w:rPr>
          <w:color w:val="auto"/>
          <w:highlight w:val="none"/>
          <w:lang w:eastAsia="zh-CN"/>
        </w:rPr>
      </w:pPr>
    </w:p>
    <w:p w14:paraId="6FCF0EC8">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p>
    <w:p w14:paraId="5734F294">
      <w:pPr>
        <w:tabs>
          <w:tab w:val="left" w:pos="3600"/>
        </w:tabs>
        <w:adjustRightInd w:val="0"/>
        <w:snapToGrid w:val="0"/>
        <w:spacing w:line="440" w:lineRule="exact"/>
        <w:jc w:val="center"/>
        <w:rPr>
          <w:rFonts w:ascii="仿宋" w:hAnsi="仿宋" w:eastAsia="仿宋" w:cs="仿宋"/>
          <w:b/>
          <w:bCs/>
          <w:color w:val="auto"/>
          <w:spacing w:val="6"/>
          <w:sz w:val="36"/>
          <w:szCs w:val="36"/>
          <w:highlight w:val="none"/>
          <w:lang w:eastAsia="zh-CN"/>
        </w:rPr>
      </w:pPr>
      <w:r>
        <w:rPr>
          <w:rFonts w:hint="eastAsia" w:ascii="仿宋" w:hAnsi="仿宋" w:eastAsia="仿宋" w:cs="仿宋"/>
          <w:color w:val="auto"/>
          <w:sz w:val="36"/>
          <w:szCs w:val="36"/>
          <w:highlight w:val="none"/>
          <w:lang w:val="en-US" w:eastAsia="zh-CN"/>
        </w:rPr>
        <w:t>9</w:t>
      </w:r>
      <w:r>
        <w:rPr>
          <w:rFonts w:hint="eastAsia" w:ascii="仿宋" w:hAnsi="仿宋" w:eastAsia="仿宋" w:cs="仿宋"/>
          <w:color w:val="auto"/>
          <w:sz w:val="36"/>
          <w:szCs w:val="36"/>
          <w:highlight w:val="none"/>
          <w:lang w:eastAsia="zh-CN"/>
        </w:rPr>
        <w:t>、</w:t>
      </w:r>
      <w:r>
        <w:rPr>
          <w:rFonts w:hint="eastAsia" w:ascii="仿宋" w:hAnsi="仿宋" w:eastAsia="仿宋" w:cs="仿宋"/>
          <w:b/>
          <w:bCs/>
          <w:color w:val="auto"/>
          <w:spacing w:val="6"/>
          <w:sz w:val="36"/>
          <w:szCs w:val="36"/>
          <w:highlight w:val="none"/>
          <w:lang w:eastAsia="zh-CN"/>
        </w:rPr>
        <w:t>残疾人福利性单位声明函</w:t>
      </w:r>
    </w:p>
    <w:p w14:paraId="4F3CD024">
      <w:pPr>
        <w:widowControl/>
        <w:adjustRightInd w:val="0"/>
        <w:snapToGrid w:val="0"/>
        <w:spacing w:line="440" w:lineRule="exact"/>
        <w:ind w:firstLine="504" w:firstLineChars="200"/>
        <w:rPr>
          <w:rFonts w:ascii="仿宋" w:hAnsi="仿宋" w:eastAsia="仿宋" w:cs="仿宋"/>
          <w:color w:val="auto"/>
          <w:spacing w:val="6"/>
          <w:highlight w:val="none"/>
          <w:lang w:eastAsia="zh-CN"/>
        </w:rPr>
      </w:pPr>
    </w:p>
    <w:p w14:paraId="5ABA7773">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单位的</w:t>
      </w:r>
      <w:r>
        <w:rPr>
          <w:rFonts w:hint="eastAsia" w:ascii="仿宋" w:hAnsi="仿宋" w:eastAsia="仿宋" w:cs="仿宋"/>
          <w:color w:val="auto"/>
          <w:spacing w:val="6"/>
          <w:highlight w:val="none"/>
          <w:u w:val="single"/>
          <w:lang w:eastAsia="zh-CN"/>
        </w:rPr>
        <w:t xml:space="preserve">     </w:t>
      </w:r>
      <w:r>
        <w:rPr>
          <w:rFonts w:hint="eastAsia" w:ascii="仿宋" w:hAnsi="仿宋" w:eastAsia="仿宋" w:cs="仿宋"/>
          <w:color w:val="auto"/>
          <w:spacing w:val="6"/>
          <w:highlight w:val="none"/>
          <w:lang w:eastAsia="zh-CN"/>
        </w:rPr>
        <w:t>项目采购活动提供本单位制造的货物（由本单位承担工程/提供服务），或者提供其他残疾人福利性单位制造的货物（不包括使用非残疾人福利性单位注册商标的货物）。</w:t>
      </w:r>
    </w:p>
    <w:p w14:paraId="453B3910">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本单位对上述声明的真实性负责。如有虚假，将依法承担相应责任。</w:t>
      </w:r>
    </w:p>
    <w:p w14:paraId="10828E15">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w:t>
      </w:r>
    </w:p>
    <w:p w14:paraId="4F520F2F">
      <w:pPr>
        <w:widowControl/>
        <w:adjustRightInd w:val="0"/>
        <w:snapToGrid w:val="0"/>
        <w:spacing w:line="440" w:lineRule="exact"/>
        <w:ind w:firstLine="5544" w:firstLineChars="2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单位名称（盖章）：</w:t>
      </w:r>
    </w:p>
    <w:p w14:paraId="0DEDFD95">
      <w:pPr>
        <w:widowControl/>
        <w:adjustRightInd w:val="0"/>
        <w:snapToGrid w:val="0"/>
        <w:spacing w:line="440" w:lineRule="exact"/>
        <w:ind w:firstLine="504" w:firstLineChars="200"/>
        <w:rPr>
          <w:rFonts w:ascii="仿宋" w:hAnsi="仿宋" w:eastAsia="仿宋" w:cs="仿宋"/>
          <w:color w:val="auto"/>
          <w:spacing w:val="6"/>
          <w:highlight w:val="none"/>
          <w:lang w:eastAsia="zh-CN"/>
        </w:rPr>
      </w:pPr>
      <w:r>
        <w:rPr>
          <w:rFonts w:hint="eastAsia" w:ascii="仿宋" w:hAnsi="仿宋" w:eastAsia="仿宋" w:cs="仿宋"/>
          <w:color w:val="auto"/>
          <w:spacing w:val="6"/>
          <w:highlight w:val="none"/>
          <w:lang w:eastAsia="zh-CN"/>
        </w:rPr>
        <w:t xml:space="preserve">                                      日  期：</w:t>
      </w:r>
    </w:p>
    <w:p w14:paraId="0A66ADD0">
      <w:pPr>
        <w:pStyle w:val="3"/>
        <w:numPr>
          <w:ilvl w:val="1"/>
          <w:numId w:val="0"/>
        </w:numPr>
        <w:spacing w:line="240" w:lineRule="atLeast"/>
        <w:jc w:val="left"/>
        <w:rPr>
          <w:rFonts w:ascii="仿宋" w:hAnsi="仿宋" w:eastAsia="仿宋" w:cs="仿宋"/>
          <w:bCs/>
          <w:color w:val="auto"/>
          <w:sz w:val="24"/>
          <w:highlight w:val="none"/>
          <w:lang w:eastAsia="zh-CN"/>
        </w:rPr>
      </w:pPr>
    </w:p>
    <w:p w14:paraId="7C4682D1">
      <w:pPr>
        <w:pStyle w:val="3"/>
        <w:numPr>
          <w:ilvl w:val="1"/>
          <w:numId w:val="0"/>
        </w:numPr>
        <w:spacing w:line="240" w:lineRule="atLeast"/>
        <w:jc w:val="left"/>
        <w:rPr>
          <w:rFonts w:ascii="仿宋" w:hAnsi="仿宋" w:eastAsia="仿宋" w:cs="仿宋"/>
          <w:bCs/>
          <w:color w:val="auto"/>
          <w:sz w:val="24"/>
          <w:highlight w:val="none"/>
          <w:lang w:eastAsia="zh-CN"/>
        </w:rPr>
      </w:pPr>
    </w:p>
    <w:p w14:paraId="24A1D3FB">
      <w:pPr>
        <w:pStyle w:val="3"/>
        <w:numPr>
          <w:ilvl w:val="1"/>
          <w:numId w:val="0"/>
        </w:numPr>
        <w:spacing w:line="240" w:lineRule="atLeast"/>
        <w:jc w:val="left"/>
        <w:rPr>
          <w:rFonts w:ascii="仿宋" w:hAnsi="仿宋" w:eastAsia="仿宋" w:cs="仿宋"/>
          <w:bCs/>
          <w:color w:val="auto"/>
          <w:sz w:val="24"/>
          <w:highlight w:val="none"/>
          <w:lang w:eastAsia="zh-CN"/>
        </w:rPr>
      </w:pPr>
    </w:p>
    <w:p w14:paraId="61CA10D1">
      <w:pPr>
        <w:rPr>
          <w:rFonts w:ascii="仿宋" w:hAnsi="仿宋" w:eastAsia="仿宋" w:cs="仿宋"/>
          <w:b/>
          <w:bCs/>
          <w:color w:val="auto"/>
          <w:highlight w:val="none"/>
          <w:lang w:eastAsia="zh-CN"/>
        </w:rPr>
      </w:pPr>
    </w:p>
    <w:p w14:paraId="1BE97646">
      <w:pPr>
        <w:pStyle w:val="32"/>
        <w:rPr>
          <w:rFonts w:ascii="仿宋" w:hAnsi="仿宋" w:eastAsia="仿宋" w:cs="仿宋"/>
          <w:b/>
          <w:bCs/>
          <w:color w:val="auto"/>
          <w:highlight w:val="none"/>
          <w:lang w:eastAsia="zh-CN"/>
        </w:rPr>
      </w:pPr>
    </w:p>
    <w:p w14:paraId="1D839C39">
      <w:pPr>
        <w:pStyle w:val="32"/>
        <w:rPr>
          <w:rFonts w:ascii="仿宋" w:hAnsi="仿宋" w:eastAsia="仿宋" w:cs="仿宋"/>
          <w:b/>
          <w:bCs/>
          <w:color w:val="auto"/>
          <w:highlight w:val="none"/>
          <w:lang w:eastAsia="zh-CN"/>
        </w:rPr>
      </w:pPr>
    </w:p>
    <w:p w14:paraId="5D7ECAFF">
      <w:pPr>
        <w:pStyle w:val="32"/>
        <w:rPr>
          <w:rFonts w:ascii="仿宋" w:hAnsi="仿宋" w:eastAsia="仿宋" w:cs="仿宋"/>
          <w:b/>
          <w:bCs/>
          <w:color w:val="auto"/>
          <w:highlight w:val="none"/>
          <w:lang w:eastAsia="zh-CN"/>
        </w:rPr>
      </w:pPr>
    </w:p>
    <w:p w14:paraId="128BFBCD">
      <w:pPr>
        <w:pStyle w:val="32"/>
        <w:rPr>
          <w:rFonts w:ascii="仿宋" w:hAnsi="仿宋" w:eastAsia="仿宋" w:cs="仿宋"/>
          <w:b/>
          <w:bCs/>
          <w:color w:val="auto"/>
          <w:highlight w:val="none"/>
          <w:lang w:eastAsia="zh-CN"/>
        </w:rPr>
      </w:pPr>
    </w:p>
    <w:p w14:paraId="35A0DB57">
      <w:pPr>
        <w:pStyle w:val="32"/>
        <w:rPr>
          <w:rFonts w:ascii="仿宋" w:hAnsi="仿宋" w:eastAsia="仿宋" w:cs="仿宋"/>
          <w:b/>
          <w:bCs/>
          <w:color w:val="auto"/>
          <w:highlight w:val="none"/>
          <w:lang w:eastAsia="zh-CN"/>
        </w:rPr>
      </w:pPr>
    </w:p>
    <w:p w14:paraId="4AC0B8D1">
      <w:pPr>
        <w:pStyle w:val="32"/>
        <w:rPr>
          <w:rFonts w:ascii="仿宋" w:hAnsi="仿宋" w:eastAsia="仿宋" w:cs="仿宋"/>
          <w:b/>
          <w:bCs/>
          <w:color w:val="auto"/>
          <w:highlight w:val="none"/>
          <w:lang w:eastAsia="zh-CN"/>
        </w:rPr>
      </w:pPr>
    </w:p>
    <w:p w14:paraId="30EB2FA3">
      <w:pPr>
        <w:pStyle w:val="32"/>
        <w:rPr>
          <w:rFonts w:ascii="仿宋" w:hAnsi="仿宋" w:eastAsia="仿宋" w:cs="仿宋"/>
          <w:b/>
          <w:bCs/>
          <w:color w:val="auto"/>
          <w:highlight w:val="none"/>
          <w:lang w:eastAsia="zh-CN"/>
        </w:rPr>
      </w:pPr>
    </w:p>
    <w:p w14:paraId="04D0AB30">
      <w:pPr>
        <w:pStyle w:val="32"/>
        <w:rPr>
          <w:rFonts w:ascii="仿宋" w:hAnsi="仿宋" w:eastAsia="仿宋" w:cs="仿宋"/>
          <w:b/>
          <w:bCs/>
          <w:color w:val="auto"/>
          <w:highlight w:val="none"/>
          <w:lang w:eastAsia="zh-CN"/>
        </w:rPr>
      </w:pPr>
    </w:p>
    <w:p w14:paraId="4CD71B49">
      <w:pPr>
        <w:pStyle w:val="32"/>
        <w:rPr>
          <w:rFonts w:ascii="仿宋" w:hAnsi="仿宋" w:eastAsia="仿宋" w:cs="仿宋"/>
          <w:b/>
          <w:bCs/>
          <w:color w:val="auto"/>
          <w:highlight w:val="none"/>
          <w:lang w:eastAsia="zh-CN"/>
        </w:rPr>
      </w:pPr>
    </w:p>
    <w:p w14:paraId="34A33B31">
      <w:pPr>
        <w:pStyle w:val="32"/>
        <w:rPr>
          <w:rFonts w:ascii="仿宋" w:hAnsi="仿宋" w:eastAsia="仿宋" w:cs="仿宋"/>
          <w:b/>
          <w:bCs/>
          <w:color w:val="auto"/>
          <w:highlight w:val="none"/>
          <w:lang w:eastAsia="zh-CN"/>
        </w:rPr>
      </w:pPr>
    </w:p>
    <w:p w14:paraId="6C82F784">
      <w:pPr>
        <w:pStyle w:val="32"/>
        <w:rPr>
          <w:rFonts w:ascii="仿宋" w:hAnsi="仿宋" w:eastAsia="仿宋" w:cs="仿宋"/>
          <w:b/>
          <w:bCs/>
          <w:color w:val="auto"/>
          <w:highlight w:val="none"/>
          <w:lang w:eastAsia="zh-CN"/>
        </w:rPr>
      </w:pPr>
    </w:p>
    <w:p w14:paraId="208E54B9">
      <w:pPr>
        <w:pStyle w:val="32"/>
        <w:rPr>
          <w:rFonts w:ascii="仿宋" w:hAnsi="仿宋" w:eastAsia="仿宋" w:cs="仿宋"/>
          <w:b/>
          <w:bCs/>
          <w:color w:val="auto"/>
          <w:highlight w:val="none"/>
          <w:lang w:eastAsia="zh-CN"/>
        </w:rPr>
      </w:pPr>
    </w:p>
    <w:p w14:paraId="5254919B">
      <w:pPr>
        <w:pStyle w:val="32"/>
        <w:rPr>
          <w:rFonts w:ascii="仿宋" w:hAnsi="仿宋" w:eastAsia="仿宋" w:cs="仿宋"/>
          <w:b/>
          <w:bCs/>
          <w:color w:val="auto"/>
          <w:highlight w:val="none"/>
          <w:lang w:eastAsia="zh-CN"/>
        </w:rPr>
      </w:pPr>
    </w:p>
    <w:p w14:paraId="481E9D6A">
      <w:pPr>
        <w:pStyle w:val="32"/>
        <w:rPr>
          <w:rFonts w:ascii="仿宋" w:hAnsi="仿宋" w:eastAsia="仿宋" w:cs="仿宋"/>
          <w:b/>
          <w:bCs/>
          <w:color w:val="auto"/>
          <w:highlight w:val="none"/>
          <w:lang w:eastAsia="zh-CN"/>
        </w:rPr>
      </w:pPr>
    </w:p>
    <w:p w14:paraId="5D1E6649">
      <w:pPr>
        <w:pStyle w:val="32"/>
        <w:rPr>
          <w:rFonts w:ascii="仿宋" w:hAnsi="仿宋" w:eastAsia="仿宋" w:cs="仿宋"/>
          <w:b/>
          <w:bCs/>
          <w:color w:val="auto"/>
          <w:highlight w:val="none"/>
          <w:lang w:eastAsia="zh-CN"/>
        </w:rPr>
      </w:pPr>
    </w:p>
    <w:p w14:paraId="0B318A08">
      <w:pPr>
        <w:pStyle w:val="32"/>
        <w:rPr>
          <w:rFonts w:ascii="仿宋" w:hAnsi="仿宋" w:eastAsia="仿宋" w:cs="仿宋"/>
          <w:b/>
          <w:bCs/>
          <w:color w:val="auto"/>
          <w:highlight w:val="none"/>
          <w:lang w:eastAsia="zh-CN"/>
        </w:rPr>
      </w:pPr>
    </w:p>
    <w:p w14:paraId="6345532E">
      <w:pPr>
        <w:pStyle w:val="32"/>
        <w:rPr>
          <w:rFonts w:ascii="仿宋" w:hAnsi="仿宋" w:eastAsia="仿宋" w:cs="仿宋"/>
          <w:b/>
          <w:bCs/>
          <w:color w:val="auto"/>
          <w:highlight w:val="none"/>
          <w:lang w:eastAsia="zh-CN"/>
        </w:rPr>
      </w:pPr>
    </w:p>
    <w:p w14:paraId="4121DADD">
      <w:pPr>
        <w:pStyle w:val="3"/>
        <w:numPr>
          <w:ilvl w:val="1"/>
          <w:numId w:val="0"/>
        </w:numPr>
        <w:spacing w:line="240" w:lineRule="atLeast"/>
        <w:jc w:val="left"/>
        <w:rPr>
          <w:rFonts w:ascii="仿宋" w:hAnsi="仿宋" w:eastAsia="仿宋" w:cs="仿宋"/>
          <w:bCs/>
          <w:color w:val="auto"/>
          <w:sz w:val="24"/>
          <w:highlight w:val="none"/>
          <w:lang w:eastAsia="zh-CN"/>
        </w:rPr>
      </w:pPr>
    </w:p>
    <w:p w14:paraId="6382B3D8">
      <w:pPr>
        <w:tabs>
          <w:tab w:val="left" w:pos="3600"/>
        </w:tabs>
        <w:adjustRightInd w:val="0"/>
        <w:snapToGrid w:val="0"/>
        <w:spacing w:line="440" w:lineRule="exact"/>
        <w:jc w:val="center"/>
        <w:rPr>
          <w:rFonts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val="en-US" w:eastAsia="zh-CN"/>
        </w:rPr>
        <w:t>10</w:t>
      </w:r>
      <w:r>
        <w:rPr>
          <w:rFonts w:hint="eastAsia" w:ascii="仿宋" w:hAnsi="仿宋" w:eastAsia="仿宋" w:cs="仿宋"/>
          <w:b/>
          <w:bCs/>
          <w:color w:val="auto"/>
          <w:sz w:val="36"/>
          <w:szCs w:val="36"/>
          <w:highlight w:val="none"/>
          <w:lang w:eastAsia="zh-CN"/>
        </w:rPr>
        <w:t>、评分标准和细则中技术部分证明材料（格式自拟</w:t>
      </w:r>
      <w:r>
        <w:rPr>
          <w:rFonts w:hint="eastAsia" w:ascii="仿宋" w:hAnsi="仿宋" w:eastAsia="仿宋" w:cs="仿宋"/>
          <w:color w:val="auto"/>
          <w:sz w:val="36"/>
          <w:szCs w:val="36"/>
          <w:highlight w:val="none"/>
          <w:lang w:eastAsia="zh-CN"/>
        </w:rPr>
        <w:t>）</w:t>
      </w:r>
    </w:p>
    <w:p w14:paraId="33FDB516">
      <w:pPr>
        <w:pStyle w:val="3"/>
        <w:numPr>
          <w:ilvl w:val="1"/>
          <w:numId w:val="0"/>
        </w:numPr>
        <w:spacing w:line="240" w:lineRule="atLeast"/>
        <w:ind w:left="617" w:leftChars="257"/>
        <w:rPr>
          <w:rFonts w:ascii="仿宋" w:hAnsi="仿宋" w:eastAsia="仿宋" w:cs="仿宋"/>
          <w:color w:val="auto"/>
          <w:sz w:val="24"/>
          <w:highlight w:val="none"/>
          <w:lang w:eastAsia="zh-CN"/>
        </w:rPr>
      </w:pPr>
    </w:p>
    <w:p w14:paraId="1C38E600">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val="en-US" w:eastAsia="zh-CN"/>
        </w:rPr>
        <w:t>商务</w:t>
      </w:r>
      <w:r>
        <w:rPr>
          <w:rFonts w:hint="eastAsia" w:ascii="仿宋" w:hAnsi="仿宋" w:eastAsia="仿宋" w:cs="仿宋"/>
          <w:color w:val="auto"/>
          <w:highlight w:val="none"/>
          <w:u w:val="single"/>
          <w:lang w:eastAsia="zh-CN"/>
        </w:rPr>
        <w:t>标准和细则中技术部分</w:t>
      </w:r>
      <w:r>
        <w:rPr>
          <w:rFonts w:hint="eastAsia" w:ascii="仿宋" w:hAnsi="仿宋" w:eastAsia="仿宋" w:cs="仿宋"/>
          <w:color w:val="auto"/>
          <w:highlight w:val="none"/>
          <w:lang w:eastAsia="zh-CN"/>
        </w:rPr>
        <w:t>要求的其他资格证明文件（主要包括：技术指标参数</w:t>
      </w:r>
      <w:r>
        <w:rPr>
          <w:rFonts w:hint="eastAsia" w:ascii="仿宋" w:hAnsi="仿宋" w:eastAsia="仿宋" w:cs="仿宋"/>
          <w:color w:val="auto"/>
          <w:highlight w:val="none"/>
          <w:lang w:val="en-US" w:eastAsia="zh-CN"/>
        </w:rPr>
        <w:t>响应情况</w:t>
      </w:r>
      <w:r>
        <w:rPr>
          <w:rFonts w:hint="eastAsia" w:ascii="仿宋" w:hAnsi="仿宋" w:eastAsia="仿宋" w:cs="仿宋"/>
          <w:color w:val="auto"/>
          <w:szCs w:val="21"/>
          <w:highlight w:val="none"/>
          <w:lang w:eastAsia="zh-CN" w:bidi="ar-SA"/>
        </w:rPr>
        <w:t>等</w:t>
      </w:r>
      <w:r>
        <w:rPr>
          <w:rFonts w:hint="eastAsia" w:ascii="仿宋" w:hAnsi="仿宋" w:eastAsia="仿宋" w:cs="仿宋"/>
          <w:color w:val="auto"/>
          <w:highlight w:val="none"/>
          <w:lang w:eastAsia="zh-CN"/>
        </w:rPr>
        <w:t>）。</w:t>
      </w:r>
    </w:p>
    <w:p w14:paraId="1087EF46">
      <w:pPr>
        <w:pStyle w:val="10"/>
        <w:tabs>
          <w:tab w:val="left" w:pos="5580"/>
        </w:tabs>
        <w:spacing w:line="240" w:lineRule="atLeas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553E7CA5">
      <w:pPr>
        <w:pStyle w:val="4"/>
        <w:rPr>
          <w:rFonts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 xml:space="preserve">   </w:t>
      </w:r>
    </w:p>
    <w:p w14:paraId="4F6A24C3">
      <w:pPr>
        <w:rPr>
          <w:rFonts w:ascii="仿宋" w:hAnsi="仿宋" w:eastAsia="仿宋" w:cs="仿宋"/>
          <w:color w:val="auto"/>
          <w:highlight w:val="none"/>
          <w:lang w:eastAsia="zh-CN"/>
        </w:rPr>
      </w:pPr>
    </w:p>
    <w:p w14:paraId="45F3D38E">
      <w:pPr>
        <w:pStyle w:val="3"/>
        <w:numPr>
          <w:ilvl w:val="1"/>
          <w:numId w:val="0"/>
        </w:numPr>
        <w:spacing w:line="240" w:lineRule="atLeast"/>
        <w:ind w:left="617" w:leftChars="257"/>
        <w:rPr>
          <w:rFonts w:ascii="仿宋" w:hAnsi="仿宋" w:eastAsia="仿宋" w:cs="仿宋"/>
          <w:color w:val="auto"/>
          <w:sz w:val="24"/>
          <w:highlight w:val="none"/>
          <w:lang w:eastAsia="zh-CN"/>
        </w:rPr>
      </w:pPr>
    </w:p>
    <w:p w14:paraId="7BAA31FF">
      <w:pPr>
        <w:tabs>
          <w:tab w:val="left" w:pos="3600"/>
        </w:tabs>
        <w:adjustRightInd w:val="0"/>
        <w:snapToGrid w:val="0"/>
        <w:spacing w:line="440" w:lineRule="exact"/>
        <w:jc w:val="center"/>
        <w:rPr>
          <w:rFonts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1</w:t>
      </w:r>
      <w:r>
        <w:rPr>
          <w:rFonts w:hint="eastAsia" w:ascii="仿宋" w:hAnsi="仿宋" w:eastAsia="仿宋" w:cs="仿宋"/>
          <w:b/>
          <w:bCs/>
          <w:color w:val="auto"/>
          <w:sz w:val="36"/>
          <w:szCs w:val="36"/>
          <w:highlight w:val="none"/>
          <w:lang w:val="en-US" w:eastAsia="zh-CN"/>
        </w:rPr>
        <w:t>1</w:t>
      </w:r>
      <w:r>
        <w:rPr>
          <w:rFonts w:hint="eastAsia" w:ascii="仿宋" w:hAnsi="仿宋" w:eastAsia="仿宋" w:cs="仿宋"/>
          <w:b/>
          <w:bCs/>
          <w:color w:val="auto"/>
          <w:sz w:val="36"/>
          <w:szCs w:val="36"/>
          <w:highlight w:val="none"/>
          <w:lang w:eastAsia="zh-CN"/>
        </w:rPr>
        <w:t>、评分标准和细则中商务部分证明材料（格式自拟）</w:t>
      </w:r>
    </w:p>
    <w:p w14:paraId="09FCDB5A">
      <w:pPr>
        <w:pStyle w:val="10"/>
        <w:tabs>
          <w:tab w:val="left" w:pos="5580"/>
        </w:tabs>
        <w:spacing w:line="240" w:lineRule="atLeast"/>
        <w:rPr>
          <w:rFonts w:ascii="仿宋" w:hAnsi="仿宋" w:eastAsia="仿宋" w:cs="仿宋"/>
          <w:color w:val="auto"/>
          <w:highlight w:val="none"/>
          <w:lang w:eastAsia="zh-CN"/>
        </w:rPr>
      </w:pPr>
    </w:p>
    <w:p w14:paraId="778B14D1">
      <w:pPr>
        <w:spacing w:line="440" w:lineRule="exact"/>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说明：1.应提供</w:t>
      </w:r>
      <w:r>
        <w:rPr>
          <w:rFonts w:hint="eastAsia" w:ascii="仿宋" w:hAnsi="仿宋" w:eastAsia="仿宋" w:cs="仿宋"/>
          <w:color w:val="auto"/>
          <w:highlight w:val="none"/>
          <w:u w:val="single"/>
          <w:lang w:eastAsia="zh-CN"/>
        </w:rPr>
        <w:t>评分标准和细则中商务部分</w:t>
      </w:r>
      <w:r>
        <w:rPr>
          <w:rFonts w:hint="eastAsia" w:ascii="仿宋" w:hAnsi="仿宋" w:eastAsia="仿宋" w:cs="仿宋"/>
          <w:color w:val="auto"/>
          <w:highlight w:val="none"/>
          <w:lang w:eastAsia="zh-CN"/>
        </w:rPr>
        <w:t>要求的其他资格证明文件（主要包括：重要技术响应、</w:t>
      </w:r>
      <w:r>
        <w:rPr>
          <w:rFonts w:hint="eastAsia" w:ascii="仿宋" w:hAnsi="仿宋" w:eastAsia="仿宋" w:cs="仿宋"/>
          <w:color w:val="auto"/>
          <w:highlight w:val="none"/>
          <w:lang w:val="en-US" w:eastAsia="zh-CN"/>
        </w:rPr>
        <w:t>企业实力</w:t>
      </w:r>
      <w:r>
        <w:rPr>
          <w:rFonts w:hint="eastAsia" w:ascii="仿宋" w:hAnsi="仿宋" w:eastAsia="仿宋" w:cs="仿宋"/>
          <w:color w:val="auto"/>
          <w:highlight w:val="none"/>
          <w:lang w:eastAsia="zh-CN"/>
        </w:rPr>
        <w:t>、质保期、</w:t>
      </w:r>
      <w:r>
        <w:rPr>
          <w:rFonts w:hint="eastAsia" w:ascii="仿宋" w:hAnsi="仿宋" w:eastAsia="仿宋" w:cs="仿宋"/>
          <w:color w:val="auto"/>
          <w:highlight w:val="none"/>
          <w:lang w:val="en-US" w:eastAsia="zh-CN"/>
        </w:rPr>
        <w:t>售后服务及培训方案</w:t>
      </w:r>
      <w:r>
        <w:rPr>
          <w:rFonts w:hint="eastAsia" w:ascii="仿宋" w:hAnsi="仿宋" w:eastAsia="仿宋" w:cs="仿宋"/>
          <w:color w:val="auto"/>
          <w:highlight w:val="none"/>
          <w:lang w:eastAsia="zh-CN"/>
        </w:rPr>
        <w:t>等）。</w:t>
      </w:r>
    </w:p>
    <w:p w14:paraId="12DB317E">
      <w:pPr>
        <w:pStyle w:val="10"/>
        <w:tabs>
          <w:tab w:val="left" w:pos="5580"/>
        </w:tabs>
        <w:spacing w:line="240" w:lineRule="atLeast"/>
        <w:ind w:firstLine="720" w:firstLineChars="300"/>
        <w:rPr>
          <w:rFonts w:ascii="仿宋" w:hAnsi="仿宋" w:eastAsia="仿宋" w:cs="仿宋"/>
          <w:color w:val="auto"/>
          <w:highlight w:val="none"/>
          <w:lang w:eastAsia="zh-CN"/>
        </w:rPr>
      </w:pPr>
      <w:r>
        <w:rPr>
          <w:rFonts w:hint="eastAsia" w:ascii="仿宋" w:hAnsi="仿宋" w:eastAsia="仿宋" w:cs="仿宋"/>
          <w:color w:val="auto"/>
          <w:highlight w:val="none"/>
          <w:lang w:eastAsia="zh-CN"/>
        </w:rPr>
        <w:t>2.复印件上应加盖本单位章（自然人投标的无需盖章，需要签字）。</w:t>
      </w:r>
    </w:p>
    <w:p w14:paraId="14C7A7E6">
      <w:pPr>
        <w:pStyle w:val="3"/>
        <w:numPr>
          <w:ilvl w:val="1"/>
          <w:numId w:val="0"/>
        </w:numPr>
        <w:spacing w:line="240" w:lineRule="atLeast"/>
        <w:jc w:val="left"/>
        <w:rPr>
          <w:rFonts w:ascii="仿宋" w:hAnsi="仿宋" w:eastAsia="仿宋" w:cs="仿宋"/>
          <w:bCs/>
          <w:color w:val="auto"/>
          <w:sz w:val="24"/>
          <w:highlight w:val="none"/>
          <w:lang w:eastAsia="zh-CN"/>
        </w:rPr>
      </w:pPr>
      <w:r>
        <w:rPr>
          <w:rFonts w:hint="eastAsia" w:ascii="仿宋" w:hAnsi="仿宋" w:eastAsia="仿宋" w:cs="仿宋"/>
          <w:color w:val="auto"/>
          <w:sz w:val="24"/>
          <w:highlight w:val="none"/>
          <w:lang w:eastAsia="zh-CN"/>
        </w:rPr>
        <w:t xml:space="preserve">    </w:t>
      </w:r>
    </w:p>
    <w:p w14:paraId="2D30FD6F">
      <w:pPr>
        <w:pStyle w:val="3"/>
        <w:numPr>
          <w:ilvl w:val="1"/>
          <w:numId w:val="0"/>
        </w:numPr>
        <w:spacing w:line="240" w:lineRule="atLeast"/>
        <w:jc w:val="left"/>
        <w:rPr>
          <w:rFonts w:ascii="仿宋" w:hAnsi="仿宋" w:eastAsia="仿宋" w:cs="仿宋"/>
          <w:bCs/>
          <w:color w:val="auto"/>
          <w:sz w:val="24"/>
          <w:highlight w:val="none"/>
          <w:lang w:eastAsia="zh-CN"/>
        </w:rPr>
      </w:pPr>
    </w:p>
    <w:p w14:paraId="02D9329A">
      <w:pPr>
        <w:pStyle w:val="3"/>
        <w:numPr>
          <w:ilvl w:val="1"/>
          <w:numId w:val="0"/>
        </w:numPr>
        <w:spacing w:line="240" w:lineRule="atLeast"/>
        <w:jc w:val="left"/>
        <w:rPr>
          <w:rFonts w:ascii="仿宋" w:hAnsi="仿宋" w:eastAsia="仿宋" w:cs="仿宋"/>
          <w:bCs/>
          <w:color w:val="auto"/>
          <w:sz w:val="24"/>
          <w:highlight w:val="none"/>
          <w:lang w:eastAsia="zh-CN"/>
        </w:rPr>
      </w:pPr>
    </w:p>
    <w:p w14:paraId="46DA9860">
      <w:pPr>
        <w:rPr>
          <w:rFonts w:ascii="仿宋" w:hAnsi="仿宋" w:eastAsia="仿宋" w:cs="仿宋"/>
          <w:color w:val="auto"/>
          <w:highlight w:val="none"/>
          <w:lang w:eastAsia="zh-CN"/>
        </w:rPr>
      </w:pPr>
    </w:p>
    <w:p w14:paraId="00B0094A">
      <w:pPr>
        <w:pStyle w:val="3"/>
        <w:numPr>
          <w:ilvl w:val="1"/>
          <w:numId w:val="0"/>
        </w:numPr>
        <w:spacing w:line="240" w:lineRule="atLeast"/>
        <w:jc w:val="left"/>
        <w:rPr>
          <w:rFonts w:ascii="仿宋" w:hAnsi="仿宋" w:eastAsia="仿宋" w:cs="仿宋"/>
          <w:bCs/>
          <w:color w:val="auto"/>
          <w:sz w:val="24"/>
          <w:highlight w:val="none"/>
          <w:lang w:eastAsia="zh-CN"/>
        </w:rPr>
      </w:pPr>
    </w:p>
    <w:p w14:paraId="26C1E7DA">
      <w:pPr>
        <w:pStyle w:val="3"/>
        <w:numPr>
          <w:ilvl w:val="1"/>
          <w:numId w:val="0"/>
        </w:numPr>
        <w:spacing w:line="240" w:lineRule="atLeast"/>
        <w:jc w:val="left"/>
        <w:rPr>
          <w:rFonts w:ascii="仿宋" w:hAnsi="仿宋" w:eastAsia="仿宋" w:cs="仿宋"/>
          <w:bCs/>
          <w:color w:val="auto"/>
          <w:sz w:val="24"/>
          <w:highlight w:val="none"/>
          <w:lang w:eastAsia="zh-CN"/>
        </w:rPr>
      </w:pPr>
    </w:p>
    <w:p w14:paraId="2A6CFB38">
      <w:pPr>
        <w:tabs>
          <w:tab w:val="left" w:pos="3600"/>
        </w:tabs>
        <w:adjustRightInd w:val="0"/>
        <w:snapToGrid w:val="0"/>
        <w:spacing w:line="440" w:lineRule="exact"/>
        <w:jc w:val="center"/>
        <w:rPr>
          <w:rFonts w:ascii="仿宋" w:hAnsi="仿宋" w:eastAsia="仿宋" w:cs="仿宋"/>
          <w:b/>
          <w:bCs/>
          <w:color w:val="auto"/>
          <w:w w:val="90"/>
          <w:sz w:val="36"/>
          <w:szCs w:val="36"/>
          <w:highlight w:val="none"/>
          <w:lang w:eastAsia="zh-CN"/>
        </w:rPr>
      </w:pPr>
      <w:r>
        <w:rPr>
          <w:rFonts w:hint="eastAsia" w:ascii="仿宋" w:hAnsi="仿宋" w:eastAsia="仿宋" w:cs="仿宋"/>
          <w:b/>
          <w:bCs/>
          <w:color w:val="auto"/>
          <w:sz w:val="36"/>
          <w:szCs w:val="36"/>
          <w:highlight w:val="none"/>
          <w:lang w:eastAsia="zh-CN"/>
        </w:rPr>
        <w:t>1</w:t>
      </w:r>
      <w:r>
        <w:rPr>
          <w:rFonts w:hint="eastAsia" w:ascii="仿宋" w:hAnsi="仿宋" w:eastAsia="仿宋" w:cs="仿宋"/>
          <w:b/>
          <w:bCs/>
          <w:color w:val="auto"/>
          <w:sz w:val="36"/>
          <w:szCs w:val="36"/>
          <w:highlight w:val="none"/>
          <w:lang w:val="en-US" w:eastAsia="zh-CN"/>
        </w:rPr>
        <w:t>2</w:t>
      </w:r>
      <w:r>
        <w:rPr>
          <w:rFonts w:hint="eastAsia" w:ascii="仿宋" w:hAnsi="仿宋" w:eastAsia="仿宋" w:cs="仿宋"/>
          <w:b/>
          <w:bCs/>
          <w:color w:val="auto"/>
          <w:sz w:val="36"/>
          <w:szCs w:val="36"/>
          <w:highlight w:val="none"/>
          <w:lang w:eastAsia="zh-CN"/>
        </w:rPr>
        <w:t>、</w:t>
      </w:r>
      <w:r>
        <w:rPr>
          <w:rFonts w:hint="eastAsia" w:ascii="仿宋" w:hAnsi="仿宋" w:eastAsia="仿宋" w:cs="仿宋"/>
          <w:b/>
          <w:bCs/>
          <w:color w:val="auto"/>
          <w:w w:val="90"/>
          <w:sz w:val="36"/>
          <w:szCs w:val="36"/>
          <w:highlight w:val="none"/>
          <w:lang w:eastAsia="zh-CN"/>
        </w:rPr>
        <w:t>供应商认为有必要提供的其他证明材料（格式自拟）</w:t>
      </w:r>
    </w:p>
    <w:p w14:paraId="3E2586E9">
      <w:pPr>
        <w:pStyle w:val="10"/>
        <w:tabs>
          <w:tab w:val="left" w:pos="5580"/>
        </w:tabs>
        <w:spacing w:line="240" w:lineRule="atLeast"/>
        <w:ind w:firstLine="480" w:firstLineChars="200"/>
        <w:rPr>
          <w:rFonts w:ascii="仿宋" w:hAnsi="仿宋" w:eastAsia="仿宋" w:cs="仿宋"/>
          <w:color w:val="auto"/>
          <w:highlight w:val="none"/>
          <w:lang w:eastAsia="zh-CN"/>
        </w:rPr>
      </w:pPr>
    </w:p>
    <w:p w14:paraId="4C118080">
      <w:pPr>
        <w:pStyle w:val="10"/>
        <w:tabs>
          <w:tab w:val="left" w:pos="5580"/>
        </w:tabs>
        <w:spacing w:line="240" w:lineRule="atLeast"/>
        <w:ind w:firstLine="480" w:firstLineChars="200"/>
        <w:rPr>
          <w:rFonts w:ascii="仿宋" w:hAnsi="仿宋" w:eastAsia="仿宋" w:cs="仿宋"/>
          <w:color w:val="auto"/>
          <w:highlight w:val="none"/>
          <w:lang w:eastAsia="zh-CN"/>
        </w:rPr>
      </w:pPr>
      <w:r>
        <w:rPr>
          <w:rFonts w:hint="eastAsia" w:ascii="仿宋" w:hAnsi="仿宋" w:eastAsia="仿宋" w:cs="仿宋"/>
          <w:color w:val="auto"/>
          <w:highlight w:val="none"/>
          <w:lang w:eastAsia="zh-CN"/>
        </w:rPr>
        <w:t>说明：复印件上应加盖本单位章（自然人投标的无需盖章，需要签字）。</w:t>
      </w:r>
    </w:p>
    <w:p w14:paraId="56D68F84">
      <w:pPr>
        <w:pStyle w:val="11"/>
        <w:ind w:left="2880"/>
        <w:rPr>
          <w:color w:val="auto"/>
          <w:highlight w:val="none"/>
          <w:lang w:eastAsia="zh-CN"/>
        </w:rPr>
      </w:pPr>
    </w:p>
    <w:bookmarkEnd w:id="85"/>
    <w:sectPr>
      <w:headerReference r:id="rId9" w:type="default"/>
      <w:footerReference r:id="rId10"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_x000B__x000C_">
    <w:altName w:val="Courier New"/>
    <w:panose1 w:val="00000000000000000000"/>
    <w:charset w:val="00"/>
    <w:family w:val="roman"/>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MingLiU">
    <w:altName w:val="PMingLiU-ExtB"/>
    <w:panose1 w:val="02020509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方正仿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C515CC">
    <w:pPr>
      <w:pStyle w:val="14"/>
      <w:ind w:right="360"/>
      <w:jc w:val="both"/>
    </w:pPr>
    <w:r>
      <w:rPr>
        <w:sz w:val="16"/>
        <w:lang w:eastAsia="zh-CN" w:bidi="ar-SA"/>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F22B0B7"/>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OUHjVccBAACdAwAADgAAAAAAAAABACAAAAAeAQAAZHJzL2Uyb0RvYy54&#10;bWxQSwUGAAAAAAYABgBZAQAAVwUAAAAA&#10;">
              <v:fill on="f" focussize="0,0"/>
              <v:stroke on="f"/>
              <v:imagedata o:title=""/>
              <o:lock v:ext="edit" aspectratio="f"/>
              <v:textbox inset="0mm,0mm,0mm,0mm" style="mso-fit-shape-to-text:t;">
                <w:txbxContent>
                  <w:p w14:paraId="5F22B0B7"/>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DC198A">
    <w:pPr>
      <w:pStyle w:val="14"/>
      <w:ind w:right="360"/>
      <w:jc w:val="both"/>
    </w:pPr>
    <w:r>
      <w:rPr>
        <w:sz w:val="16"/>
        <w:lang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80400FA">
                          <w:pPr>
                            <w:pStyle w:val="14"/>
                          </w:pP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HbBNzHIAQAAnQMAAA4AAAAAAAAAAQAgAAAAHgEAAGRycy9lMm9Eb2Mu&#10;eG1sUEsFBgAAAAAGAAYAWQEAAFgFAAAAAA==&#10;">
              <v:fill on="f" focussize="0,0"/>
              <v:stroke on="f"/>
              <v:imagedata o:title=""/>
              <o:lock v:ext="edit" aspectratio="f"/>
              <v:textbox inset="0mm,0mm,0mm,0mm" style="mso-fit-shape-to-text:t;">
                <w:txbxContent>
                  <w:p w14:paraId="480400FA">
                    <w:pPr>
                      <w:pStyle w:val="14"/>
                    </w:pPr>
                  </w:p>
                </w:txbxContent>
              </v:textbox>
            </v:shape>
          </w:pict>
        </mc:Fallback>
      </mc:AlternateContent>
    </w:r>
    <w:r>
      <w:rPr>
        <w:rFonts w:hint="eastAsia"/>
        <w:sz w:val="16"/>
        <w:szCs w:val="16"/>
      </w:rPr>
      <w:t xml:space="preserve"> </w:t>
    </w:r>
    <w:r>
      <w:rPr>
        <w:rFonts w:hint="eastAsia"/>
        <w:color w:val="800000"/>
        <w:sz w:val="16"/>
        <w:szCs w:val="20"/>
        <w:lang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13AB03">
    <w:pPr>
      <w:pStyle w:val="14"/>
      <w:ind w:right="360"/>
      <w:jc w:val="both"/>
    </w:pPr>
    <w:r>
      <w:rPr>
        <w:sz w:val="13"/>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CB0760">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5CB0760">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p>
                </w:txbxContent>
              </v:textbox>
            </v:shape>
          </w:pict>
        </mc:Fallback>
      </mc:AlternateContent>
    </w:r>
    <w:r>
      <w:rPr>
        <w:rFonts w:hint="eastAsia"/>
        <w:sz w:val="13"/>
        <w:szCs w:val="13"/>
      </w:rPr>
      <w:t xml:space="preserve"> </w:t>
    </w:r>
    <w:r>
      <w:rPr>
        <w:rFonts w:hint="eastAsia"/>
      </w:rPr>
      <w:t xml:space="preserve">  </w:t>
    </w:r>
  </w:p>
  <w:p w14:paraId="2A4DC11B">
    <w:pPr>
      <w:pStyle w:val="14"/>
      <w:tabs>
        <w:tab w:val="center" w:pos="4320"/>
        <w:tab w:val="right" w:pos="8640"/>
        <w:tab w:val="clear" w:pos="4153"/>
        <w:tab w:val="clear" w:pos="8306"/>
      </w:tabs>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2BC3A">
    <w:pPr>
      <w:pStyle w:val="14"/>
      <w:ind w:right="360"/>
      <w:jc w:val="both"/>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F2CD52">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97</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EF2CD52">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97</w:t>
                    </w:r>
                    <w:r>
                      <w:rPr>
                        <w:rFonts w:hint="eastAsia" w:eastAsia="宋体"/>
                        <w:lang w:eastAsia="zh-CN"/>
                      </w:rPr>
                      <w:fldChar w:fldCharType="end"/>
                    </w:r>
                  </w:p>
                </w:txbxContent>
              </v:textbox>
            </v:shape>
          </w:pict>
        </mc:Fallback>
      </mc:AlternateContent>
    </w:r>
    <w:r>
      <w:rPr>
        <w:rFonts w:hint="eastAsia" w:ascii="宋体" w:hAnsi="宋体" w:eastAsia="宋体" w:cs="宋体"/>
        <w:color w:val="auto"/>
        <w:sz w:val="24"/>
        <w:lang w:eastAsia="zh-CN"/>
      </w:rPr>
      <w:t xml:space="preserve">  </w:t>
    </w:r>
    <w:r>
      <w:rPr>
        <w:rFonts w:hint="eastAsia"/>
        <w:sz w:val="13"/>
        <w:szCs w:val="13"/>
      </w:rPr>
      <w:t xml:space="preserve"> </w:t>
    </w:r>
    <w:r>
      <w:rPr>
        <w:rFonts w:hint="eastAsia"/>
      </w:rPr>
      <w:t xml:space="preserve"> </w:t>
    </w:r>
    <w:r>
      <w:rPr>
        <w:rFonts w:hint="eastAsia"/>
        <w:color w:val="800000"/>
        <w:sz w:val="16"/>
        <w:szCs w:val="20"/>
        <w:lang w:eastAsia="zh-CN"/>
      </w:rPr>
      <w:t xml:space="preserve">      </w:t>
    </w:r>
  </w:p>
  <w:p w14:paraId="4B19D9DB">
    <w:pPr>
      <w:pStyle w:val="14"/>
      <w:autoSpaceDE w:val="0"/>
      <w:autoSpaceDN w:val="0"/>
      <w:adjustRightInd w:val="0"/>
      <w:ind w:left="7200" w:hanging="7200" w:hangingChars="4000"/>
      <w:jc w:val="both"/>
    </w:pPr>
  </w:p>
  <w:p w14:paraId="1489D60C">
    <w:pPr>
      <w:pStyle w:val="14"/>
      <w:ind w:right="360"/>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C5D387">
    <w:pPr>
      <w:pStyle w:val="1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074E3A">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102</w:t>
                          </w:r>
                          <w:r>
                            <w:rPr>
                              <w:rFonts w:hint="eastAsia" w:eastAsia="宋体"/>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16074E3A">
                    <w:pPr>
                      <w:pStyle w:val="14"/>
                      <w:rPr>
                        <w:rFonts w:hint="eastAsia" w:eastAsia="宋体"/>
                        <w:lang w:eastAsia="zh-CN"/>
                      </w:rPr>
                    </w:pP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102</w:t>
                    </w:r>
                    <w:r>
                      <w:rPr>
                        <w:rFonts w:hint="eastAsia" w:eastAsia="宋体"/>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C3FBA">
    <w:pPr>
      <w:pStyle w:val="15"/>
      <w:pBdr>
        <w:bottom w:val="none" w:color="auto" w:sz="0" w:space="0"/>
      </w:pBdr>
      <w:tabs>
        <w:tab w:val="clear" w:pos="4153"/>
        <w:tab w:val="clear" w:pos="8306"/>
      </w:tabs>
      <w:rPr>
        <w:rFonts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8E05D">
    <w:pPr>
      <w:pStyle w:val="15"/>
      <w:rPr>
        <w:rFonts w:ascii="宋体" w:hAnsi="宋体" w:eastAsia="宋体" w:cs="宋体"/>
        <w:sz w:val="20"/>
        <w:szCs w:val="20"/>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667E1">
    <w:pPr>
      <w:pStyle w:val="15"/>
      <w:rPr>
        <w:rFonts w:ascii="宋体" w:hAnsi="宋体" w:eastAsia="宋体" w:cs="宋体"/>
        <w:sz w:val="20"/>
        <w:szCs w:val="20"/>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A1DAE7"/>
    <w:multiLevelType w:val="singleLevel"/>
    <w:tmpl w:val="91A1DAE7"/>
    <w:lvl w:ilvl="0" w:tentative="0">
      <w:start w:val="1"/>
      <w:numFmt w:val="chineseCounting"/>
      <w:suff w:val="space"/>
      <w:lvlText w:val="第%1部分"/>
      <w:lvlJc w:val="left"/>
      <w:rPr>
        <w:rFonts w:hint="eastAsia"/>
      </w:rPr>
    </w:lvl>
  </w:abstractNum>
  <w:abstractNum w:abstractNumId="1">
    <w:nsid w:val="CF0DAD01"/>
    <w:multiLevelType w:val="singleLevel"/>
    <w:tmpl w:val="CF0DAD01"/>
    <w:lvl w:ilvl="0" w:tentative="0">
      <w:start w:val="1"/>
      <w:numFmt w:val="decimal"/>
      <w:suff w:val="space"/>
      <w:lvlText w:val="%1."/>
      <w:lvlJc w:val="left"/>
    </w:lvl>
  </w:abstractNum>
  <w:abstractNum w:abstractNumId="2">
    <w:nsid w:val="0000000D"/>
    <w:multiLevelType w:val="multilevel"/>
    <w:tmpl w:val="0000000D"/>
    <w:lvl w:ilvl="0" w:tentative="0">
      <w:start w:val="1"/>
      <w:numFmt w:val="decimal"/>
      <w:pStyle w:val="7"/>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3">
    <w:nsid w:val="0053208E"/>
    <w:multiLevelType w:val="multilevel"/>
    <w:tmpl w:val="0053208E"/>
    <w:lvl w:ilvl="0" w:tentative="0">
      <w:start w:val="1"/>
      <w:numFmt w:val="japaneseCounting"/>
      <w:lvlText w:val="%1"/>
      <w:lvlJc w:val="left"/>
      <w:pPr>
        <w:tabs>
          <w:tab w:val="left" w:pos="0"/>
        </w:tabs>
        <w:ind w:left="360" w:hanging="360"/>
      </w:pPr>
      <w:rPr>
        <w:rFonts w:hint="default" w:ascii="宋体" w:hAnsi="宋体" w:eastAsia="宋体"/>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4">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5">
    <w:nsid w:val="169FF5D2"/>
    <w:multiLevelType w:val="singleLevel"/>
    <w:tmpl w:val="169FF5D2"/>
    <w:lvl w:ilvl="0" w:tentative="0">
      <w:start w:val="1"/>
      <w:numFmt w:val="decimal"/>
      <w:suff w:val="nothing"/>
      <w:lvlText w:val="%1、"/>
      <w:lvlJc w:val="left"/>
    </w:lvl>
  </w:abstractNum>
  <w:abstractNum w:abstractNumId="6">
    <w:nsid w:val="21BC14CE"/>
    <w:multiLevelType w:val="singleLevel"/>
    <w:tmpl w:val="21BC14CE"/>
    <w:lvl w:ilvl="0" w:tentative="0">
      <w:start w:val="6"/>
      <w:numFmt w:val="chineseCounting"/>
      <w:suff w:val="nothing"/>
      <w:lvlText w:val="%1、"/>
      <w:lvlJc w:val="left"/>
      <w:rPr>
        <w:rFonts w:hint="eastAsia"/>
      </w:rPr>
    </w:lvl>
  </w:abstractNum>
  <w:abstractNum w:abstractNumId="7">
    <w:nsid w:val="55CD4C99"/>
    <w:multiLevelType w:val="singleLevel"/>
    <w:tmpl w:val="55CD4C99"/>
    <w:lvl w:ilvl="0" w:tentative="0">
      <w:start w:val="1"/>
      <w:numFmt w:val="chineseCounting"/>
      <w:suff w:val="nothing"/>
      <w:lvlText w:val="%1、"/>
      <w:lvlJc w:val="left"/>
    </w:lvl>
  </w:abstractNum>
  <w:abstractNum w:abstractNumId="8">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num w:numId="1">
    <w:abstractNumId w:val="2"/>
  </w:num>
  <w:num w:numId="2">
    <w:abstractNumId w:val="0"/>
  </w:num>
  <w:num w:numId="3">
    <w:abstractNumId w:val="6"/>
  </w:num>
  <w:num w:numId="4">
    <w:abstractNumId w:val="7"/>
  </w:num>
  <w:num w:numId="5">
    <w:abstractNumId w:val="4"/>
  </w:num>
  <w:num w:numId="6">
    <w:abstractNumId w:val="8"/>
  </w:num>
  <w:num w:numId="7">
    <w:abstractNumId w:val="5"/>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U2NGJkMjkxZDQzMGFhNzBiMDk4ODQyOWJmZDE3YzIifQ=="/>
  </w:docVars>
  <w:rsids>
    <w:rsidRoot w:val="430832B2"/>
    <w:rsid w:val="00036274"/>
    <w:rsid w:val="000E7277"/>
    <w:rsid w:val="00153D08"/>
    <w:rsid w:val="001909B2"/>
    <w:rsid w:val="00232484"/>
    <w:rsid w:val="004259D8"/>
    <w:rsid w:val="00461E17"/>
    <w:rsid w:val="00464AB6"/>
    <w:rsid w:val="00471CA4"/>
    <w:rsid w:val="00562077"/>
    <w:rsid w:val="00597163"/>
    <w:rsid w:val="005D4E0B"/>
    <w:rsid w:val="005E0AA6"/>
    <w:rsid w:val="00643BE3"/>
    <w:rsid w:val="006761BB"/>
    <w:rsid w:val="006D00E3"/>
    <w:rsid w:val="0076445C"/>
    <w:rsid w:val="008276FA"/>
    <w:rsid w:val="008849F7"/>
    <w:rsid w:val="008D1783"/>
    <w:rsid w:val="008D4A14"/>
    <w:rsid w:val="009143D6"/>
    <w:rsid w:val="00A329DF"/>
    <w:rsid w:val="00A75CA8"/>
    <w:rsid w:val="00AA277B"/>
    <w:rsid w:val="00AB0B74"/>
    <w:rsid w:val="00AF420A"/>
    <w:rsid w:val="00BA4013"/>
    <w:rsid w:val="00C26A7F"/>
    <w:rsid w:val="00C377E4"/>
    <w:rsid w:val="00C57AF5"/>
    <w:rsid w:val="00C74FD6"/>
    <w:rsid w:val="00D00791"/>
    <w:rsid w:val="00D00D67"/>
    <w:rsid w:val="00D03DFD"/>
    <w:rsid w:val="00D84377"/>
    <w:rsid w:val="00DE0124"/>
    <w:rsid w:val="00E56748"/>
    <w:rsid w:val="00EB29FB"/>
    <w:rsid w:val="00ED05CA"/>
    <w:rsid w:val="00F050C2"/>
    <w:rsid w:val="00F70359"/>
    <w:rsid w:val="00FB6C7A"/>
    <w:rsid w:val="0123584C"/>
    <w:rsid w:val="014631E4"/>
    <w:rsid w:val="014F6266"/>
    <w:rsid w:val="01577813"/>
    <w:rsid w:val="016C709F"/>
    <w:rsid w:val="019F0F2F"/>
    <w:rsid w:val="01BA3FA8"/>
    <w:rsid w:val="01E44B68"/>
    <w:rsid w:val="01EF3980"/>
    <w:rsid w:val="02113BC2"/>
    <w:rsid w:val="021A6F6E"/>
    <w:rsid w:val="02614ACA"/>
    <w:rsid w:val="027D687D"/>
    <w:rsid w:val="0298074F"/>
    <w:rsid w:val="029B6DF8"/>
    <w:rsid w:val="02E7054D"/>
    <w:rsid w:val="03120DC1"/>
    <w:rsid w:val="03152839"/>
    <w:rsid w:val="03531E23"/>
    <w:rsid w:val="035508BA"/>
    <w:rsid w:val="03D270B5"/>
    <w:rsid w:val="03DF7ECE"/>
    <w:rsid w:val="042A106A"/>
    <w:rsid w:val="04700DA8"/>
    <w:rsid w:val="04770389"/>
    <w:rsid w:val="04A5170B"/>
    <w:rsid w:val="04C64537"/>
    <w:rsid w:val="04E11CA6"/>
    <w:rsid w:val="050F221F"/>
    <w:rsid w:val="051E7B81"/>
    <w:rsid w:val="052B11CF"/>
    <w:rsid w:val="0591547A"/>
    <w:rsid w:val="05B43558"/>
    <w:rsid w:val="05BD6F2F"/>
    <w:rsid w:val="05CE725F"/>
    <w:rsid w:val="05D26519"/>
    <w:rsid w:val="05E43238"/>
    <w:rsid w:val="06141E47"/>
    <w:rsid w:val="062E44A1"/>
    <w:rsid w:val="06385AA9"/>
    <w:rsid w:val="063B7194"/>
    <w:rsid w:val="067376C2"/>
    <w:rsid w:val="068F23C3"/>
    <w:rsid w:val="06A20D46"/>
    <w:rsid w:val="06C96786"/>
    <w:rsid w:val="072C60C0"/>
    <w:rsid w:val="073826E5"/>
    <w:rsid w:val="074F6B51"/>
    <w:rsid w:val="076242BA"/>
    <w:rsid w:val="07E54CE8"/>
    <w:rsid w:val="08253C96"/>
    <w:rsid w:val="08323FEC"/>
    <w:rsid w:val="085D5AE7"/>
    <w:rsid w:val="086504F8"/>
    <w:rsid w:val="088C7521"/>
    <w:rsid w:val="091D420B"/>
    <w:rsid w:val="09231976"/>
    <w:rsid w:val="093F2ABC"/>
    <w:rsid w:val="095073FA"/>
    <w:rsid w:val="098032F7"/>
    <w:rsid w:val="099723FA"/>
    <w:rsid w:val="099B238B"/>
    <w:rsid w:val="09B17236"/>
    <w:rsid w:val="09BB7723"/>
    <w:rsid w:val="09E92566"/>
    <w:rsid w:val="0A007485"/>
    <w:rsid w:val="0A226110"/>
    <w:rsid w:val="0A271261"/>
    <w:rsid w:val="0A495E4D"/>
    <w:rsid w:val="0A622E54"/>
    <w:rsid w:val="0A982D0F"/>
    <w:rsid w:val="0AA82B31"/>
    <w:rsid w:val="0AEC1713"/>
    <w:rsid w:val="0AFE7394"/>
    <w:rsid w:val="0B213EE8"/>
    <w:rsid w:val="0B2F3756"/>
    <w:rsid w:val="0B3D750A"/>
    <w:rsid w:val="0B440899"/>
    <w:rsid w:val="0B472137"/>
    <w:rsid w:val="0B641CFB"/>
    <w:rsid w:val="0B81389B"/>
    <w:rsid w:val="0B941400"/>
    <w:rsid w:val="0B9E39F1"/>
    <w:rsid w:val="0BB54396"/>
    <w:rsid w:val="0BF26C44"/>
    <w:rsid w:val="0C1429D4"/>
    <w:rsid w:val="0C844FE0"/>
    <w:rsid w:val="0CC0289C"/>
    <w:rsid w:val="0CF364CE"/>
    <w:rsid w:val="0D533015"/>
    <w:rsid w:val="0D625AD8"/>
    <w:rsid w:val="0D9030DE"/>
    <w:rsid w:val="0D9378B6"/>
    <w:rsid w:val="0DC43F13"/>
    <w:rsid w:val="0DF71E4A"/>
    <w:rsid w:val="0E3E1813"/>
    <w:rsid w:val="0E58693D"/>
    <w:rsid w:val="0E8C1181"/>
    <w:rsid w:val="0EBE2D47"/>
    <w:rsid w:val="0F152C78"/>
    <w:rsid w:val="0F356E0A"/>
    <w:rsid w:val="0F5025E4"/>
    <w:rsid w:val="0F8110A9"/>
    <w:rsid w:val="0FA22205"/>
    <w:rsid w:val="0FDC276E"/>
    <w:rsid w:val="0FFE0D46"/>
    <w:rsid w:val="10015291"/>
    <w:rsid w:val="10685029"/>
    <w:rsid w:val="1084479B"/>
    <w:rsid w:val="10DF6D44"/>
    <w:rsid w:val="111821AF"/>
    <w:rsid w:val="11352510"/>
    <w:rsid w:val="114227C7"/>
    <w:rsid w:val="114535BD"/>
    <w:rsid w:val="116457F1"/>
    <w:rsid w:val="11790B97"/>
    <w:rsid w:val="11A43746"/>
    <w:rsid w:val="11E12A09"/>
    <w:rsid w:val="12326DC2"/>
    <w:rsid w:val="127D570A"/>
    <w:rsid w:val="12891287"/>
    <w:rsid w:val="1291653A"/>
    <w:rsid w:val="129526FC"/>
    <w:rsid w:val="12E23A01"/>
    <w:rsid w:val="13015F66"/>
    <w:rsid w:val="130308CA"/>
    <w:rsid w:val="1312560D"/>
    <w:rsid w:val="1326612C"/>
    <w:rsid w:val="132C218A"/>
    <w:rsid w:val="13651CF4"/>
    <w:rsid w:val="13A60FAF"/>
    <w:rsid w:val="13D55805"/>
    <w:rsid w:val="13F84D28"/>
    <w:rsid w:val="142B46CE"/>
    <w:rsid w:val="14602089"/>
    <w:rsid w:val="14841E5F"/>
    <w:rsid w:val="14953EB8"/>
    <w:rsid w:val="14B46A8F"/>
    <w:rsid w:val="14CD6092"/>
    <w:rsid w:val="14DD6D28"/>
    <w:rsid w:val="15200D24"/>
    <w:rsid w:val="1525173B"/>
    <w:rsid w:val="153C6A85"/>
    <w:rsid w:val="156D1711"/>
    <w:rsid w:val="159F732A"/>
    <w:rsid w:val="15A00DC2"/>
    <w:rsid w:val="15C31338"/>
    <w:rsid w:val="15DE4373"/>
    <w:rsid w:val="15E839EB"/>
    <w:rsid w:val="16010E59"/>
    <w:rsid w:val="16105F47"/>
    <w:rsid w:val="16250E07"/>
    <w:rsid w:val="16533BFB"/>
    <w:rsid w:val="167B61DA"/>
    <w:rsid w:val="169D2B08"/>
    <w:rsid w:val="16C61301"/>
    <w:rsid w:val="16DD57C1"/>
    <w:rsid w:val="16EA2C3C"/>
    <w:rsid w:val="170E4BCF"/>
    <w:rsid w:val="17150407"/>
    <w:rsid w:val="171F0B4E"/>
    <w:rsid w:val="172577D0"/>
    <w:rsid w:val="173C4B1A"/>
    <w:rsid w:val="174A3FF4"/>
    <w:rsid w:val="1756362C"/>
    <w:rsid w:val="177D34DC"/>
    <w:rsid w:val="178644DD"/>
    <w:rsid w:val="17881C02"/>
    <w:rsid w:val="178E694D"/>
    <w:rsid w:val="17A34B99"/>
    <w:rsid w:val="17E9335B"/>
    <w:rsid w:val="17EB3771"/>
    <w:rsid w:val="17F24A94"/>
    <w:rsid w:val="1890511D"/>
    <w:rsid w:val="18BD5FDF"/>
    <w:rsid w:val="18CC2463"/>
    <w:rsid w:val="18DF7E53"/>
    <w:rsid w:val="18FE29CF"/>
    <w:rsid w:val="1910625E"/>
    <w:rsid w:val="19445F08"/>
    <w:rsid w:val="19791440"/>
    <w:rsid w:val="198D3D53"/>
    <w:rsid w:val="19D24BCD"/>
    <w:rsid w:val="19EC2827"/>
    <w:rsid w:val="1A6A7BF0"/>
    <w:rsid w:val="1A6C043C"/>
    <w:rsid w:val="1AA14F3E"/>
    <w:rsid w:val="1ABB2559"/>
    <w:rsid w:val="1ACD57BB"/>
    <w:rsid w:val="1B2938B4"/>
    <w:rsid w:val="1B3867B7"/>
    <w:rsid w:val="1B3917D2"/>
    <w:rsid w:val="1B526E30"/>
    <w:rsid w:val="1B5A42F2"/>
    <w:rsid w:val="1B8F4956"/>
    <w:rsid w:val="1B9F4C44"/>
    <w:rsid w:val="1BA46EB4"/>
    <w:rsid w:val="1BE65325"/>
    <w:rsid w:val="1BF54431"/>
    <w:rsid w:val="1C770BAC"/>
    <w:rsid w:val="1C8812E8"/>
    <w:rsid w:val="1CAB78D6"/>
    <w:rsid w:val="1CBF4223"/>
    <w:rsid w:val="1CC048D1"/>
    <w:rsid w:val="1CFF3DC8"/>
    <w:rsid w:val="1D28001A"/>
    <w:rsid w:val="1D6F5759"/>
    <w:rsid w:val="1DDE4B7D"/>
    <w:rsid w:val="1E122A78"/>
    <w:rsid w:val="1E435DE1"/>
    <w:rsid w:val="1E4F61D8"/>
    <w:rsid w:val="1E6813A9"/>
    <w:rsid w:val="1E6D1634"/>
    <w:rsid w:val="1E812ED1"/>
    <w:rsid w:val="1ECE4F82"/>
    <w:rsid w:val="1EE5064C"/>
    <w:rsid w:val="1F0321C6"/>
    <w:rsid w:val="1F0664F1"/>
    <w:rsid w:val="1F0E3240"/>
    <w:rsid w:val="1F5B26D6"/>
    <w:rsid w:val="1F6007D8"/>
    <w:rsid w:val="1F6C3F34"/>
    <w:rsid w:val="1FA922C3"/>
    <w:rsid w:val="1FB748C5"/>
    <w:rsid w:val="202A6722"/>
    <w:rsid w:val="203828DD"/>
    <w:rsid w:val="20497A92"/>
    <w:rsid w:val="205D4216"/>
    <w:rsid w:val="20746CEC"/>
    <w:rsid w:val="209D4381"/>
    <w:rsid w:val="20A33CCB"/>
    <w:rsid w:val="20BE129F"/>
    <w:rsid w:val="20E00C0C"/>
    <w:rsid w:val="211A31D2"/>
    <w:rsid w:val="218454A5"/>
    <w:rsid w:val="21903D8A"/>
    <w:rsid w:val="21F7470F"/>
    <w:rsid w:val="22086693"/>
    <w:rsid w:val="22561186"/>
    <w:rsid w:val="22965E6B"/>
    <w:rsid w:val="22AE28BF"/>
    <w:rsid w:val="22D64075"/>
    <w:rsid w:val="22D700DE"/>
    <w:rsid w:val="22F917C9"/>
    <w:rsid w:val="23226B91"/>
    <w:rsid w:val="23463622"/>
    <w:rsid w:val="235B1AD6"/>
    <w:rsid w:val="235B27CC"/>
    <w:rsid w:val="23866C6B"/>
    <w:rsid w:val="23874BA3"/>
    <w:rsid w:val="238D7E59"/>
    <w:rsid w:val="23A52724"/>
    <w:rsid w:val="23E07E45"/>
    <w:rsid w:val="2426737F"/>
    <w:rsid w:val="242C7FB7"/>
    <w:rsid w:val="245B2E54"/>
    <w:rsid w:val="24F24E35"/>
    <w:rsid w:val="25002F8D"/>
    <w:rsid w:val="250A091E"/>
    <w:rsid w:val="25546BA5"/>
    <w:rsid w:val="25550156"/>
    <w:rsid w:val="255F6E8A"/>
    <w:rsid w:val="256D43FD"/>
    <w:rsid w:val="258D4BC1"/>
    <w:rsid w:val="258E522C"/>
    <w:rsid w:val="25FB512C"/>
    <w:rsid w:val="262B2929"/>
    <w:rsid w:val="266B40F4"/>
    <w:rsid w:val="267D2FA7"/>
    <w:rsid w:val="268B6833"/>
    <w:rsid w:val="26B733C2"/>
    <w:rsid w:val="26D37563"/>
    <w:rsid w:val="26DC54DA"/>
    <w:rsid w:val="274B4345"/>
    <w:rsid w:val="2759752E"/>
    <w:rsid w:val="27641FEC"/>
    <w:rsid w:val="27870033"/>
    <w:rsid w:val="280B656E"/>
    <w:rsid w:val="28195D94"/>
    <w:rsid w:val="283D072F"/>
    <w:rsid w:val="286536CA"/>
    <w:rsid w:val="286B44D3"/>
    <w:rsid w:val="290F6532"/>
    <w:rsid w:val="291C049E"/>
    <w:rsid w:val="291F0973"/>
    <w:rsid w:val="29384AB9"/>
    <w:rsid w:val="293A037F"/>
    <w:rsid w:val="293D4896"/>
    <w:rsid w:val="294E1863"/>
    <w:rsid w:val="29556C6B"/>
    <w:rsid w:val="299249BD"/>
    <w:rsid w:val="29DB685D"/>
    <w:rsid w:val="29EC3DAC"/>
    <w:rsid w:val="29F20F87"/>
    <w:rsid w:val="2A015314"/>
    <w:rsid w:val="2A2644A5"/>
    <w:rsid w:val="2A2953D2"/>
    <w:rsid w:val="2A5E151F"/>
    <w:rsid w:val="2A6F2C28"/>
    <w:rsid w:val="2AB303AA"/>
    <w:rsid w:val="2ACD0275"/>
    <w:rsid w:val="2ADC5AFD"/>
    <w:rsid w:val="2AE56C24"/>
    <w:rsid w:val="2AF23A16"/>
    <w:rsid w:val="2AF552B4"/>
    <w:rsid w:val="2AF9470D"/>
    <w:rsid w:val="2B2A724C"/>
    <w:rsid w:val="2B3330A0"/>
    <w:rsid w:val="2B396545"/>
    <w:rsid w:val="2B762634"/>
    <w:rsid w:val="2B973B3C"/>
    <w:rsid w:val="2B97636B"/>
    <w:rsid w:val="2BC74505"/>
    <w:rsid w:val="2C302A48"/>
    <w:rsid w:val="2C6A7F5A"/>
    <w:rsid w:val="2CD70408"/>
    <w:rsid w:val="2CFB5024"/>
    <w:rsid w:val="2D1B0C53"/>
    <w:rsid w:val="2D261D28"/>
    <w:rsid w:val="2D380A40"/>
    <w:rsid w:val="2D7E66F1"/>
    <w:rsid w:val="2D95546D"/>
    <w:rsid w:val="2DA570F4"/>
    <w:rsid w:val="2DB43A1E"/>
    <w:rsid w:val="2DB85DC1"/>
    <w:rsid w:val="2DDB2F86"/>
    <w:rsid w:val="2DF1140A"/>
    <w:rsid w:val="2E1B0C2F"/>
    <w:rsid w:val="2E2D19AE"/>
    <w:rsid w:val="2E3662A3"/>
    <w:rsid w:val="2E4F43FC"/>
    <w:rsid w:val="2E764B34"/>
    <w:rsid w:val="2EB85F02"/>
    <w:rsid w:val="2ECB148D"/>
    <w:rsid w:val="2ED0014B"/>
    <w:rsid w:val="2ED161A3"/>
    <w:rsid w:val="2F265E4E"/>
    <w:rsid w:val="2F2820FC"/>
    <w:rsid w:val="2FA50B1C"/>
    <w:rsid w:val="2FAD33C2"/>
    <w:rsid w:val="2FB86C3C"/>
    <w:rsid w:val="2FD815CC"/>
    <w:rsid w:val="301A16BC"/>
    <w:rsid w:val="301B400C"/>
    <w:rsid w:val="30486A4B"/>
    <w:rsid w:val="309E3029"/>
    <w:rsid w:val="30B013AF"/>
    <w:rsid w:val="310E0297"/>
    <w:rsid w:val="313A1B8F"/>
    <w:rsid w:val="31AF60BD"/>
    <w:rsid w:val="31C54436"/>
    <w:rsid w:val="31DE4CF4"/>
    <w:rsid w:val="32140CAC"/>
    <w:rsid w:val="32387E25"/>
    <w:rsid w:val="325141C6"/>
    <w:rsid w:val="32792DB7"/>
    <w:rsid w:val="32AD108D"/>
    <w:rsid w:val="32B435BE"/>
    <w:rsid w:val="32F67E2E"/>
    <w:rsid w:val="32F819B1"/>
    <w:rsid w:val="335B1D88"/>
    <w:rsid w:val="335C76C1"/>
    <w:rsid w:val="33711F29"/>
    <w:rsid w:val="337B3536"/>
    <w:rsid w:val="3464452F"/>
    <w:rsid w:val="3469771D"/>
    <w:rsid w:val="34755008"/>
    <w:rsid w:val="34976726"/>
    <w:rsid w:val="34AC63E7"/>
    <w:rsid w:val="34F903B8"/>
    <w:rsid w:val="351A6043"/>
    <w:rsid w:val="35414648"/>
    <w:rsid w:val="35427B0F"/>
    <w:rsid w:val="356B5D1D"/>
    <w:rsid w:val="357F49FA"/>
    <w:rsid w:val="36394B26"/>
    <w:rsid w:val="36A4475E"/>
    <w:rsid w:val="36A56C68"/>
    <w:rsid w:val="36AA5E0A"/>
    <w:rsid w:val="36CA0C5E"/>
    <w:rsid w:val="36D05553"/>
    <w:rsid w:val="36E45212"/>
    <w:rsid w:val="36F91182"/>
    <w:rsid w:val="37066C5A"/>
    <w:rsid w:val="371C74DF"/>
    <w:rsid w:val="37217B5C"/>
    <w:rsid w:val="372E04CB"/>
    <w:rsid w:val="374E6478"/>
    <w:rsid w:val="37520F41"/>
    <w:rsid w:val="3762161D"/>
    <w:rsid w:val="378679C0"/>
    <w:rsid w:val="378F65A8"/>
    <w:rsid w:val="37A05DB8"/>
    <w:rsid w:val="37A12630"/>
    <w:rsid w:val="37AC319E"/>
    <w:rsid w:val="37D44BCF"/>
    <w:rsid w:val="37DE58F5"/>
    <w:rsid w:val="38083993"/>
    <w:rsid w:val="38715716"/>
    <w:rsid w:val="38895400"/>
    <w:rsid w:val="38BD4DB8"/>
    <w:rsid w:val="38C13A06"/>
    <w:rsid w:val="38C56C0D"/>
    <w:rsid w:val="38DE52AC"/>
    <w:rsid w:val="38E3090A"/>
    <w:rsid w:val="38E53BA7"/>
    <w:rsid w:val="390C7ED6"/>
    <w:rsid w:val="393042D6"/>
    <w:rsid w:val="39A77BA6"/>
    <w:rsid w:val="39C07B4A"/>
    <w:rsid w:val="3A0473C9"/>
    <w:rsid w:val="3A1273C6"/>
    <w:rsid w:val="3A5E2E76"/>
    <w:rsid w:val="3A6D6A80"/>
    <w:rsid w:val="3AE06945"/>
    <w:rsid w:val="3AFA401D"/>
    <w:rsid w:val="3AFF2602"/>
    <w:rsid w:val="3B1339F6"/>
    <w:rsid w:val="3B2A146C"/>
    <w:rsid w:val="3B3E1CA2"/>
    <w:rsid w:val="3B7F7C46"/>
    <w:rsid w:val="3B805D44"/>
    <w:rsid w:val="3B941E1F"/>
    <w:rsid w:val="3BA119E0"/>
    <w:rsid w:val="3BB05953"/>
    <w:rsid w:val="3BCC2061"/>
    <w:rsid w:val="3BDE19D1"/>
    <w:rsid w:val="3C5950AB"/>
    <w:rsid w:val="3C851CFB"/>
    <w:rsid w:val="3C893FAF"/>
    <w:rsid w:val="3C946E63"/>
    <w:rsid w:val="3CA827C1"/>
    <w:rsid w:val="3CAD59EE"/>
    <w:rsid w:val="3CC5567F"/>
    <w:rsid w:val="3CDA4418"/>
    <w:rsid w:val="3D38095E"/>
    <w:rsid w:val="3D643600"/>
    <w:rsid w:val="3D723DD3"/>
    <w:rsid w:val="3D751F42"/>
    <w:rsid w:val="3D820B0E"/>
    <w:rsid w:val="3D992E0C"/>
    <w:rsid w:val="3DA87F4F"/>
    <w:rsid w:val="3DC2196D"/>
    <w:rsid w:val="3E3300C3"/>
    <w:rsid w:val="3E7C7D6E"/>
    <w:rsid w:val="3E80503E"/>
    <w:rsid w:val="3F385E8A"/>
    <w:rsid w:val="3F6A3151"/>
    <w:rsid w:val="3F874C1D"/>
    <w:rsid w:val="3F973103"/>
    <w:rsid w:val="3FD64258"/>
    <w:rsid w:val="403F2E01"/>
    <w:rsid w:val="405B3EA5"/>
    <w:rsid w:val="40814B23"/>
    <w:rsid w:val="408E72C3"/>
    <w:rsid w:val="408E7BCF"/>
    <w:rsid w:val="40AB15B8"/>
    <w:rsid w:val="40B26236"/>
    <w:rsid w:val="40C14C05"/>
    <w:rsid w:val="40C764D4"/>
    <w:rsid w:val="40D95381"/>
    <w:rsid w:val="41042A54"/>
    <w:rsid w:val="413B181B"/>
    <w:rsid w:val="416359C8"/>
    <w:rsid w:val="41681350"/>
    <w:rsid w:val="416F668A"/>
    <w:rsid w:val="41713E9C"/>
    <w:rsid w:val="419378A9"/>
    <w:rsid w:val="419F6662"/>
    <w:rsid w:val="41A72D03"/>
    <w:rsid w:val="41B63597"/>
    <w:rsid w:val="41BC55E0"/>
    <w:rsid w:val="41BF069E"/>
    <w:rsid w:val="420B7389"/>
    <w:rsid w:val="423563C7"/>
    <w:rsid w:val="42C57370"/>
    <w:rsid w:val="42DD6902"/>
    <w:rsid w:val="42FF450A"/>
    <w:rsid w:val="430832B2"/>
    <w:rsid w:val="43144276"/>
    <w:rsid w:val="43264088"/>
    <w:rsid w:val="43333AFF"/>
    <w:rsid w:val="434966C0"/>
    <w:rsid w:val="43603D96"/>
    <w:rsid w:val="437C4518"/>
    <w:rsid w:val="43900453"/>
    <w:rsid w:val="43AA4B1B"/>
    <w:rsid w:val="43AD25D6"/>
    <w:rsid w:val="43C42B78"/>
    <w:rsid w:val="43CB7C06"/>
    <w:rsid w:val="43CE514A"/>
    <w:rsid w:val="43D2785E"/>
    <w:rsid w:val="43EB0B8A"/>
    <w:rsid w:val="43F26816"/>
    <w:rsid w:val="441E0010"/>
    <w:rsid w:val="44352E99"/>
    <w:rsid w:val="445769C9"/>
    <w:rsid w:val="44637696"/>
    <w:rsid w:val="44740DA7"/>
    <w:rsid w:val="44881E95"/>
    <w:rsid w:val="44C7578F"/>
    <w:rsid w:val="44D31AB8"/>
    <w:rsid w:val="44D33BE7"/>
    <w:rsid w:val="45111167"/>
    <w:rsid w:val="4517597F"/>
    <w:rsid w:val="45442C68"/>
    <w:rsid w:val="454815E5"/>
    <w:rsid w:val="455D72FE"/>
    <w:rsid w:val="457C2033"/>
    <w:rsid w:val="45CF47E4"/>
    <w:rsid w:val="45F70027"/>
    <w:rsid w:val="46084EB5"/>
    <w:rsid w:val="4609638B"/>
    <w:rsid w:val="466A125B"/>
    <w:rsid w:val="46994235"/>
    <w:rsid w:val="46A2549B"/>
    <w:rsid w:val="46A95479"/>
    <w:rsid w:val="46B856BC"/>
    <w:rsid w:val="46F77B89"/>
    <w:rsid w:val="4743767B"/>
    <w:rsid w:val="4757256C"/>
    <w:rsid w:val="478A4765"/>
    <w:rsid w:val="47BD4669"/>
    <w:rsid w:val="47E90CDF"/>
    <w:rsid w:val="47F15329"/>
    <w:rsid w:val="481728B6"/>
    <w:rsid w:val="482657E1"/>
    <w:rsid w:val="486A0BB4"/>
    <w:rsid w:val="487B3318"/>
    <w:rsid w:val="48A3643A"/>
    <w:rsid w:val="48B93029"/>
    <w:rsid w:val="48DA45E2"/>
    <w:rsid w:val="48DB1915"/>
    <w:rsid w:val="496D1745"/>
    <w:rsid w:val="49726A4B"/>
    <w:rsid w:val="498868D5"/>
    <w:rsid w:val="49984EFD"/>
    <w:rsid w:val="49B0569C"/>
    <w:rsid w:val="49C469F4"/>
    <w:rsid w:val="4A076C56"/>
    <w:rsid w:val="4A431F7F"/>
    <w:rsid w:val="4A711501"/>
    <w:rsid w:val="4AA659FB"/>
    <w:rsid w:val="4AAF0341"/>
    <w:rsid w:val="4ADB07DF"/>
    <w:rsid w:val="4ADE5F63"/>
    <w:rsid w:val="4AE253FD"/>
    <w:rsid w:val="4B097E96"/>
    <w:rsid w:val="4B105AC6"/>
    <w:rsid w:val="4B140ACE"/>
    <w:rsid w:val="4B54430C"/>
    <w:rsid w:val="4B7B64DF"/>
    <w:rsid w:val="4BA10E14"/>
    <w:rsid w:val="4BB73B85"/>
    <w:rsid w:val="4BF478AD"/>
    <w:rsid w:val="4C17384D"/>
    <w:rsid w:val="4C257A37"/>
    <w:rsid w:val="4C552A37"/>
    <w:rsid w:val="4C64712B"/>
    <w:rsid w:val="4C700EF1"/>
    <w:rsid w:val="4C760354"/>
    <w:rsid w:val="4C891B35"/>
    <w:rsid w:val="4CD4494E"/>
    <w:rsid w:val="4CE216E4"/>
    <w:rsid w:val="4D20222E"/>
    <w:rsid w:val="4D48432B"/>
    <w:rsid w:val="4D7F6F33"/>
    <w:rsid w:val="4DA62A1D"/>
    <w:rsid w:val="4DDE31B9"/>
    <w:rsid w:val="4DF50B78"/>
    <w:rsid w:val="4E11030D"/>
    <w:rsid w:val="4E6938E7"/>
    <w:rsid w:val="4E6A5759"/>
    <w:rsid w:val="4E6F0D56"/>
    <w:rsid w:val="4E701DC0"/>
    <w:rsid w:val="4E7E543D"/>
    <w:rsid w:val="4E93713A"/>
    <w:rsid w:val="4EA26BC8"/>
    <w:rsid w:val="4EBB21ED"/>
    <w:rsid w:val="4ECA741E"/>
    <w:rsid w:val="4EFE07F8"/>
    <w:rsid w:val="4F006719"/>
    <w:rsid w:val="4F2E489B"/>
    <w:rsid w:val="4F4C72E9"/>
    <w:rsid w:val="4F5166AD"/>
    <w:rsid w:val="4F5D25FD"/>
    <w:rsid w:val="4F643265"/>
    <w:rsid w:val="4F741231"/>
    <w:rsid w:val="4FB41D44"/>
    <w:rsid w:val="4FB93303"/>
    <w:rsid w:val="4FBC32D6"/>
    <w:rsid w:val="4FCE7CFE"/>
    <w:rsid w:val="50101C63"/>
    <w:rsid w:val="50105D76"/>
    <w:rsid w:val="502B5E6D"/>
    <w:rsid w:val="50A576C5"/>
    <w:rsid w:val="50BB3EFC"/>
    <w:rsid w:val="50BF6E81"/>
    <w:rsid w:val="50FF0870"/>
    <w:rsid w:val="511C3DE5"/>
    <w:rsid w:val="51312C3A"/>
    <w:rsid w:val="513D513B"/>
    <w:rsid w:val="513F080C"/>
    <w:rsid w:val="5142015D"/>
    <w:rsid w:val="518E2B89"/>
    <w:rsid w:val="51A206CC"/>
    <w:rsid w:val="51A86022"/>
    <w:rsid w:val="51FE3FDB"/>
    <w:rsid w:val="52654DCD"/>
    <w:rsid w:val="52D719EE"/>
    <w:rsid w:val="52DA541F"/>
    <w:rsid w:val="52E23E17"/>
    <w:rsid w:val="5306542C"/>
    <w:rsid w:val="530A15C8"/>
    <w:rsid w:val="533662E6"/>
    <w:rsid w:val="53390376"/>
    <w:rsid w:val="533C1C56"/>
    <w:rsid w:val="534A52A6"/>
    <w:rsid w:val="53796D79"/>
    <w:rsid w:val="53842532"/>
    <w:rsid w:val="53914B2C"/>
    <w:rsid w:val="53DC38BE"/>
    <w:rsid w:val="540A24A6"/>
    <w:rsid w:val="541D6439"/>
    <w:rsid w:val="546A09A4"/>
    <w:rsid w:val="549E4143"/>
    <w:rsid w:val="54A77BD0"/>
    <w:rsid w:val="54DE52B7"/>
    <w:rsid w:val="54E87AB4"/>
    <w:rsid w:val="552535BC"/>
    <w:rsid w:val="553813F1"/>
    <w:rsid w:val="557E3F74"/>
    <w:rsid w:val="55821076"/>
    <w:rsid w:val="55A25EB5"/>
    <w:rsid w:val="55EB6513"/>
    <w:rsid w:val="56020031"/>
    <w:rsid w:val="56292132"/>
    <w:rsid w:val="56493792"/>
    <w:rsid w:val="56562A21"/>
    <w:rsid w:val="56777341"/>
    <w:rsid w:val="56D402F0"/>
    <w:rsid w:val="572F4B71"/>
    <w:rsid w:val="575329D5"/>
    <w:rsid w:val="576959DB"/>
    <w:rsid w:val="57790E97"/>
    <w:rsid w:val="57B4461F"/>
    <w:rsid w:val="583F5C3D"/>
    <w:rsid w:val="5849381E"/>
    <w:rsid w:val="589A5311"/>
    <w:rsid w:val="589F66DB"/>
    <w:rsid w:val="590E0796"/>
    <w:rsid w:val="5918680C"/>
    <w:rsid w:val="594015B1"/>
    <w:rsid w:val="59554FEC"/>
    <w:rsid w:val="595A0DC1"/>
    <w:rsid w:val="596D4A2C"/>
    <w:rsid w:val="599B0EFC"/>
    <w:rsid w:val="599C2C1B"/>
    <w:rsid w:val="599C7120"/>
    <w:rsid w:val="59BD150F"/>
    <w:rsid w:val="59BD511F"/>
    <w:rsid w:val="59F2174F"/>
    <w:rsid w:val="5A130C2C"/>
    <w:rsid w:val="5A392A01"/>
    <w:rsid w:val="5A39563D"/>
    <w:rsid w:val="5ADF2A17"/>
    <w:rsid w:val="5AE0581C"/>
    <w:rsid w:val="5AE96334"/>
    <w:rsid w:val="5AF13737"/>
    <w:rsid w:val="5B073D10"/>
    <w:rsid w:val="5B2F3729"/>
    <w:rsid w:val="5B31213F"/>
    <w:rsid w:val="5B5F738D"/>
    <w:rsid w:val="5B735943"/>
    <w:rsid w:val="5BA54009"/>
    <w:rsid w:val="5BC11E3D"/>
    <w:rsid w:val="5BC27B41"/>
    <w:rsid w:val="5BE43388"/>
    <w:rsid w:val="5C142F3C"/>
    <w:rsid w:val="5C167E2B"/>
    <w:rsid w:val="5C313040"/>
    <w:rsid w:val="5C643EC4"/>
    <w:rsid w:val="5C857737"/>
    <w:rsid w:val="5CCF1148"/>
    <w:rsid w:val="5CD53D28"/>
    <w:rsid w:val="5CE9389A"/>
    <w:rsid w:val="5CF718B7"/>
    <w:rsid w:val="5D0460DC"/>
    <w:rsid w:val="5D2366CB"/>
    <w:rsid w:val="5D3331A6"/>
    <w:rsid w:val="5D8A153C"/>
    <w:rsid w:val="5DDC1EC7"/>
    <w:rsid w:val="5DE1497B"/>
    <w:rsid w:val="5E135BA1"/>
    <w:rsid w:val="5E1D1079"/>
    <w:rsid w:val="5E211941"/>
    <w:rsid w:val="5E6D59C3"/>
    <w:rsid w:val="5E8537C2"/>
    <w:rsid w:val="5E9341CF"/>
    <w:rsid w:val="5E9C0CBE"/>
    <w:rsid w:val="5EDA6373"/>
    <w:rsid w:val="5EF46D8B"/>
    <w:rsid w:val="5F182D44"/>
    <w:rsid w:val="5F1A6ABC"/>
    <w:rsid w:val="5F5A15AE"/>
    <w:rsid w:val="5F9C1BC7"/>
    <w:rsid w:val="5FC4513D"/>
    <w:rsid w:val="5FFB68ED"/>
    <w:rsid w:val="601F4136"/>
    <w:rsid w:val="6022031E"/>
    <w:rsid w:val="60AA69DE"/>
    <w:rsid w:val="60DC7024"/>
    <w:rsid w:val="61183C2B"/>
    <w:rsid w:val="614150DB"/>
    <w:rsid w:val="6151078F"/>
    <w:rsid w:val="61695AD8"/>
    <w:rsid w:val="617D1400"/>
    <w:rsid w:val="61903A3C"/>
    <w:rsid w:val="61C24BFD"/>
    <w:rsid w:val="61E3018A"/>
    <w:rsid w:val="620D46B6"/>
    <w:rsid w:val="62145A44"/>
    <w:rsid w:val="623770E9"/>
    <w:rsid w:val="626004E0"/>
    <w:rsid w:val="634A483E"/>
    <w:rsid w:val="637A3FCD"/>
    <w:rsid w:val="6386335A"/>
    <w:rsid w:val="63A236A6"/>
    <w:rsid w:val="63BB0870"/>
    <w:rsid w:val="63C51B85"/>
    <w:rsid w:val="642B45E0"/>
    <w:rsid w:val="64366989"/>
    <w:rsid w:val="64604EAC"/>
    <w:rsid w:val="64740A1C"/>
    <w:rsid w:val="64805FF8"/>
    <w:rsid w:val="64D7429C"/>
    <w:rsid w:val="650F3891"/>
    <w:rsid w:val="652E63B1"/>
    <w:rsid w:val="653D443F"/>
    <w:rsid w:val="65434447"/>
    <w:rsid w:val="65677A9C"/>
    <w:rsid w:val="656F7113"/>
    <w:rsid w:val="65D200F0"/>
    <w:rsid w:val="65F73581"/>
    <w:rsid w:val="65FA31A3"/>
    <w:rsid w:val="6604604E"/>
    <w:rsid w:val="66457796"/>
    <w:rsid w:val="66A5387A"/>
    <w:rsid w:val="66C25C39"/>
    <w:rsid w:val="66C2621A"/>
    <w:rsid w:val="66FE060F"/>
    <w:rsid w:val="67573E7B"/>
    <w:rsid w:val="6764746E"/>
    <w:rsid w:val="67656B1B"/>
    <w:rsid w:val="679542C8"/>
    <w:rsid w:val="67AE419D"/>
    <w:rsid w:val="67AF209E"/>
    <w:rsid w:val="67B22635"/>
    <w:rsid w:val="67B60664"/>
    <w:rsid w:val="67BE74C9"/>
    <w:rsid w:val="68227E19"/>
    <w:rsid w:val="683769EB"/>
    <w:rsid w:val="683C6122"/>
    <w:rsid w:val="684F37DE"/>
    <w:rsid w:val="686D1E60"/>
    <w:rsid w:val="6870620A"/>
    <w:rsid w:val="688A1EA1"/>
    <w:rsid w:val="68AE714D"/>
    <w:rsid w:val="68B2669E"/>
    <w:rsid w:val="68CB6160"/>
    <w:rsid w:val="68E22B52"/>
    <w:rsid w:val="68E415E7"/>
    <w:rsid w:val="68EB131E"/>
    <w:rsid w:val="68F3373D"/>
    <w:rsid w:val="69182A19"/>
    <w:rsid w:val="69277887"/>
    <w:rsid w:val="69764EE6"/>
    <w:rsid w:val="698C50B9"/>
    <w:rsid w:val="698E1753"/>
    <w:rsid w:val="69B642C0"/>
    <w:rsid w:val="69D47128"/>
    <w:rsid w:val="69E55F18"/>
    <w:rsid w:val="69F07ED0"/>
    <w:rsid w:val="69FE3890"/>
    <w:rsid w:val="6A10379F"/>
    <w:rsid w:val="6A4F72AA"/>
    <w:rsid w:val="6A636242"/>
    <w:rsid w:val="6A7A0A2B"/>
    <w:rsid w:val="6A7F636D"/>
    <w:rsid w:val="6AB161D5"/>
    <w:rsid w:val="6AC67AF8"/>
    <w:rsid w:val="6ADE7537"/>
    <w:rsid w:val="6AF26B3F"/>
    <w:rsid w:val="6B0A0356"/>
    <w:rsid w:val="6B133F99"/>
    <w:rsid w:val="6B171379"/>
    <w:rsid w:val="6B221B0E"/>
    <w:rsid w:val="6B426B13"/>
    <w:rsid w:val="6B9419A4"/>
    <w:rsid w:val="6BC4672D"/>
    <w:rsid w:val="6C122EBF"/>
    <w:rsid w:val="6C364F34"/>
    <w:rsid w:val="6C3A4520"/>
    <w:rsid w:val="6C6204DD"/>
    <w:rsid w:val="6C6B60B5"/>
    <w:rsid w:val="6C7543E1"/>
    <w:rsid w:val="6C7D42B4"/>
    <w:rsid w:val="6C8A3E98"/>
    <w:rsid w:val="6C963B87"/>
    <w:rsid w:val="6CA96079"/>
    <w:rsid w:val="6CAC1F8A"/>
    <w:rsid w:val="6CAD0F6F"/>
    <w:rsid w:val="6CC81EA4"/>
    <w:rsid w:val="6CE17B08"/>
    <w:rsid w:val="6CEB1759"/>
    <w:rsid w:val="6D171F4F"/>
    <w:rsid w:val="6D37776E"/>
    <w:rsid w:val="6D69517B"/>
    <w:rsid w:val="6D895E36"/>
    <w:rsid w:val="6DD644F6"/>
    <w:rsid w:val="6E030F65"/>
    <w:rsid w:val="6EC8214A"/>
    <w:rsid w:val="6F1976C8"/>
    <w:rsid w:val="6F1D055D"/>
    <w:rsid w:val="6F4A0A27"/>
    <w:rsid w:val="6F634051"/>
    <w:rsid w:val="6F926779"/>
    <w:rsid w:val="6FFC5967"/>
    <w:rsid w:val="70021CEB"/>
    <w:rsid w:val="703412AA"/>
    <w:rsid w:val="704838FD"/>
    <w:rsid w:val="7066454C"/>
    <w:rsid w:val="707F6878"/>
    <w:rsid w:val="709119F6"/>
    <w:rsid w:val="70AF7F0C"/>
    <w:rsid w:val="70BC644D"/>
    <w:rsid w:val="70D16063"/>
    <w:rsid w:val="70F562D7"/>
    <w:rsid w:val="713D64DC"/>
    <w:rsid w:val="714A1292"/>
    <w:rsid w:val="718720E0"/>
    <w:rsid w:val="71941D4C"/>
    <w:rsid w:val="71F7318A"/>
    <w:rsid w:val="720634E7"/>
    <w:rsid w:val="72094B9E"/>
    <w:rsid w:val="721A3870"/>
    <w:rsid w:val="722B3B02"/>
    <w:rsid w:val="724A31D9"/>
    <w:rsid w:val="724F3AC4"/>
    <w:rsid w:val="72567E7E"/>
    <w:rsid w:val="72873F22"/>
    <w:rsid w:val="728E35F1"/>
    <w:rsid w:val="72DB435C"/>
    <w:rsid w:val="731750C1"/>
    <w:rsid w:val="737C6513"/>
    <w:rsid w:val="739641CD"/>
    <w:rsid w:val="73F76C73"/>
    <w:rsid w:val="740C0054"/>
    <w:rsid w:val="746135D3"/>
    <w:rsid w:val="74825670"/>
    <w:rsid w:val="7493410F"/>
    <w:rsid w:val="74C104FD"/>
    <w:rsid w:val="74CC297A"/>
    <w:rsid w:val="753541F8"/>
    <w:rsid w:val="7544268D"/>
    <w:rsid w:val="755B467D"/>
    <w:rsid w:val="75781DD0"/>
    <w:rsid w:val="757C3A15"/>
    <w:rsid w:val="75824D9D"/>
    <w:rsid w:val="75AB1C93"/>
    <w:rsid w:val="75B258B6"/>
    <w:rsid w:val="761B163F"/>
    <w:rsid w:val="761F3505"/>
    <w:rsid w:val="76486327"/>
    <w:rsid w:val="76695DFA"/>
    <w:rsid w:val="76766876"/>
    <w:rsid w:val="76810114"/>
    <w:rsid w:val="76C23869"/>
    <w:rsid w:val="76E41762"/>
    <w:rsid w:val="76E46ECE"/>
    <w:rsid w:val="7717316E"/>
    <w:rsid w:val="77603777"/>
    <w:rsid w:val="77786406"/>
    <w:rsid w:val="77901BB9"/>
    <w:rsid w:val="779B3C6B"/>
    <w:rsid w:val="77AB5706"/>
    <w:rsid w:val="77BD3D54"/>
    <w:rsid w:val="77C7479C"/>
    <w:rsid w:val="786D6438"/>
    <w:rsid w:val="787B3EF7"/>
    <w:rsid w:val="787D26D8"/>
    <w:rsid w:val="788E3223"/>
    <w:rsid w:val="789569D7"/>
    <w:rsid w:val="78E06AB0"/>
    <w:rsid w:val="798E0318"/>
    <w:rsid w:val="79AF62F8"/>
    <w:rsid w:val="7A0D2DBC"/>
    <w:rsid w:val="7A1F0FD2"/>
    <w:rsid w:val="7A326EC1"/>
    <w:rsid w:val="7A721678"/>
    <w:rsid w:val="7A752F65"/>
    <w:rsid w:val="7AC415A1"/>
    <w:rsid w:val="7AD93877"/>
    <w:rsid w:val="7ADB3C24"/>
    <w:rsid w:val="7B192E57"/>
    <w:rsid w:val="7B7D62B0"/>
    <w:rsid w:val="7BF53DED"/>
    <w:rsid w:val="7BFC0690"/>
    <w:rsid w:val="7C042B76"/>
    <w:rsid w:val="7C10112E"/>
    <w:rsid w:val="7C1D50F5"/>
    <w:rsid w:val="7C4756F7"/>
    <w:rsid w:val="7C6070F8"/>
    <w:rsid w:val="7C6106D5"/>
    <w:rsid w:val="7C6151AF"/>
    <w:rsid w:val="7C867CD4"/>
    <w:rsid w:val="7CBD556F"/>
    <w:rsid w:val="7CC540BD"/>
    <w:rsid w:val="7D1E37C3"/>
    <w:rsid w:val="7D3B0F76"/>
    <w:rsid w:val="7D423759"/>
    <w:rsid w:val="7D5E4872"/>
    <w:rsid w:val="7D695F1A"/>
    <w:rsid w:val="7D712C70"/>
    <w:rsid w:val="7D816BD7"/>
    <w:rsid w:val="7D925508"/>
    <w:rsid w:val="7DD956AA"/>
    <w:rsid w:val="7E214310"/>
    <w:rsid w:val="7E224C88"/>
    <w:rsid w:val="7E2D5B39"/>
    <w:rsid w:val="7E42351F"/>
    <w:rsid w:val="7E7E6C0F"/>
    <w:rsid w:val="7ED160D1"/>
    <w:rsid w:val="7EDB5E10"/>
    <w:rsid w:val="7EEE3521"/>
    <w:rsid w:val="7F1A34C9"/>
    <w:rsid w:val="7F2B4D67"/>
    <w:rsid w:val="7F9F5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pPr>
    <w:rPr>
      <w:rFonts w:ascii="Times New Roman" w:hAnsi="Times New Roman" w:eastAsia="Times New Roman" w:cs="Times New Roman"/>
      <w:color w:val="000000"/>
      <w:sz w:val="24"/>
      <w:szCs w:val="24"/>
      <w:lang w:val="en-US" w:eastAsia="en-US" w:bidi="en-US"/>
    </w:rPr>
  </w:style>
  <w:style w:type="paragraph" w:styleId="2">
    <w:name w:val="heading 1"/>
    <w:basedOn w:val="1"/>
    <w:next w:val="1"/>
    <w:qFormat/>
    <w:uiPriority w:val="0"/>
    <w:pPr>
      <w:keepNext/>
      <w:keepLines/>
      <w:spacing w:line="360" w:lineRule="auto"/>
      <w:jc w:val="center"/>
      <w:outlineLvl w:val="0"/>
    </w:pPr>
    <w:rPr>
      <w:b/>
      <w:bCs/>
      <w:kern w:val="44"/>
      <w:sz w:val="44"/>
      <w:szCs w:val="44"/>
    </w:rPr>
  </w:style>
  <w:style w:type="paragraph" w:styleId="3">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4">
    <w:name w:val="heading 3"/>
    <w:basedOn w:val="1"/>
    <w:next w:val="1"/>
    <w:qFormat/>
    <w:uiPriority w:val="9"/>
    <w:pPr>
      <w:keepNext/>
      <w:keepLines/>
      <w:spacing w:before="260" w:after="260" w:line="416" w:lineRule="auto"/>
      <w:outlineLvl w:val="2"/>
    </w:pPr>
    <w:rPr>
      <w:b/>
      <w:bCs/>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6"/>
    <w:qFormat/>
    <w:uiPriority w:val="0"/>
    <w:pPr>
      <w:autoSpaceDE w:val="0"/>
      <w:autoSpaceDN w:val="0"/>
      <w:adjustRightInd w:val="0"/>
      <w:ind w:firstLine="420"/>
    </w:pPr>
    <w:rPr>
      <w:rFonts w:ascii="宋体"/>
      <w:szCs w:val="20"/>
    </w:rPr>
  </w:style>
  <w:style w:type="paragraph" w:styleId="6">
    <w:name w:val="toa heading"/>
    <w:basedOn w:val="1"/>
    <w:next w:val="1"/>
    <w:qFormat/>
    <w:uiPriority w:val="0"/>
    <w:pPr>
      <w:spacing w:before="120"/>
    </w:pPr>
    <w:rPr>
      <w:rFonts w:ascii="Cambria" w:hAnsi="Cambria"/>
      <w:szCs w:val="20"/>
    </w:rPr>
  </w:style>
  <w:style w:type="paragraph" w:styleId="7">
    <w:name w:val="Body Text"/>
    <w:basedOn w:val="1"/>
    <w:next w:val="1"/>
    <w:qFormat/>
    <w:uiPriority w:val="99"/>
    <w:pPr>
      <w:numPr>
        <w:ilvl w:val="0"/>
        <w:numId w:val="1"/>
      </w:numPr>
      <w:tabs>
        <w:tab w:val="clear" w:pos="780"/>
      </w:tabs>
      <w:ind w:left="0" w:firstLine="0"/>
    </w:pPr>
    <w:rPr>
      <w:rFonts w:ascii="黑体" w:eastAsia="黑体"/>
      <w:sz w:val="22"/>
    </w:rPr>
  </w:style>
  <w:style w:type="paragraph" w:styleId="8">
    <w:name w:val="Body Text Indent"/>
    <w:basedOn w:val="1"/>
    <w:next w:val="9"/>
    <w:qFormat/>
    <w:uiPriority w:val="0"/>
    <w:pPr>
      <w:spacing w:after="120"/>
      <w:ind w:left="200" w:leftChars="200"/>
    </w:pPr>
  </w:style>
  <w:style w:type="paragraph" w:styleId="9">
    <w:name w:val="Body Text First Indent 2"/>
    <w:basedOn w:val="8"/>
    <w:next w:val="1"/>
    <w:qFormat/>
    <w:uiPriority w:val="0"/>
    <w:pPr>
      <w:ind w:firstLine="420" w:firstLineChars="200"/>
    </w:pPr>
  </w:style>
  <w:style w:type="paragraph" w:styleId="10">
    <w:name w:val="Plain Text"/>
    <w:basedOn w:val="1"/>
    <w:next w:val="11"/>
    <w:qFormat/>
    <w:uiPriority w:val="0"/>
    <w:rPr>
      <w:rFonts w:ascii="宋体"/>
      <w:szCs w:val="20"/>
      <w:u w:color="000000"/>
    </w:rPr>
  </w:style>
  <w:style w:type="paragraph" w:styleId="11">
    <w:name w:val="index 7"/>
    <w:basedOn w:val="1"/>
    <w:next w:val="1"/>
    <w:qFormat/>
    <w:uiPriority w:val="0"/>
    <w:pPr>
      <w:ind w:left="1200" w:leftChars="1200"/>
    </w:pPr>
    <w:rPr>
      <w:color w:val="auto"/>
      <w:kern w:val="2"/>
    </w:rPr>
  </w:style>
  <w:style w:type="paragraph" w:styleId="12">
    <w:name w:val="Date"/>
    <w:basedOn w:val="1"/>
    <w:next w:val="1"/>
    <w:qFormat/>
    <w:uiPriority w:val="0"/>
    <w:rPr>
      <w:rFonts w:ascii="Arial" w:hAnsi="Arial" w:eastAsia="仿宋_GB2312"/>
      <w:sz w:val="32"/>
      <w:szCs w:val="20"/>
      <w:u w:color="000000"/>
    </w:rPr>
  </w:style>
  <w:style w:type="paragraph" w:styleId="13">
    <w:name w:val="Balloon Text"/>
    <w:basedOn w:val="1"/>
    <w:qFormat/>
    <w:uiPriority w:val="0"/>
    <w:rPr>
      <w:sz w:val="18"/>
      <w:szCs w:val="18"/>
    </w:rPr>
  </w:style>
  <w:style w:type="paragraph" w:styleId="14">
    <w:name w:val="footer"/>
    <w:basedOn w:val="1"/>
    <w:qFormat/>
    <w:uiPriority w:val="0"/>
    <w:pPr>
      <w:tabs>
        <w:tab w:val="center" w:pos="4153"/>
        <w:tab w:val="right" w:pos="8306"/>
      </w:tabs>
      <w:snapToGrid w:val="0"/>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6">
    <w:name w:val="toc 1"/>
    <w:basedOn w:val="1"/>
    <w:next w:val="1"/>
    <w:qFormat/>
    <w:uiPriority w:val="0"/>
    <w:pPr>
      <w:widowControl/>
      <w:spacing w:after="100" w:line="276" w:lineRule="auto"/>
      <w:jc w:val="left"/>
    </w:pPr>
    <w:rPr>
      <w:kern w:val="0"/>
      <w:sz w:val="22"/>
    </w:rPr>
  </w:style>
  <w:style w:type="paragraph" w:styleId="17">
    <w:name w:val="footnote text"/>
    <w:basedOn w:val="1"/>
    <w:semiHidden/>
    <w:unhideWhenUsed/>
    <w:qFormat/>
    <w:uiPriority w:val="99"/>
    <w:pPr>
      <w:snapToGrid w:val="0"/>
    </w:pPr>
    <w:rPr>
      <w:sz w:val="18"/>
      <w:szCs w:val="18"/>
    </w:rPr>
  </w:style>
  <w:style w:type="paragraph" w:styleId="18">
    <w:name w:val="Body Text 2"/>
    <w:basedOn w:val="1"/>
    <w:qFormat/>
    <w:uiPriority w:val="0"/>
    <w:pPr>
      <w:tabs>
        <w:tab w:val="left" w:pos="0"/>
      </w:tabs>
      <w:spacing w:line="400" w:lineRule="atLeast"/>
    </w:pPr>
    <w:rPr>
      <w:rFonts w:ascii="Arial" w:hAnsi="Arial"/>
    </w:rPr>
  </w:style>
  <w:style w:type="paragraph" w:styleId="19">
    <w:name w:val="Normal (Web)"/>
    <w:basedOn w:val="1"/>
    <w:qFormat/>
    <w:uiPriority w:val="99"/>
    <w:pPr>
      <w:widowControl/>
    </w:pPr>
    <w:rPr>
      <w:rFonts w:ascii="宋体" w:hAnsi="宋体" w:eastAsia="宋体" w:cs="宋体"/>
    </w:rPr>
  </w:style>
  <w:style w:type="paragraph" w:styleId="20">
    <w:name w:val="Title"/>
    <w:basedOn w:val="1"/>
    <w:next w:val="1"/>
    <w:qFormat/>
    <w:uiPriority w:val="0"/>
    <w:pPr>
      <w:spacing w:before="240" w:after="60"/>
      <w:jc w:val="center"/>
      <w:outlineLvl w:val="0"/>
    </w:pPr>
    <w:rPr>
      <w:rFonts w:ascii="Cambria" w:hAnsi="Cambria"/>
      <w:b/>
      <w:bCs/>
      <w:sz w:val="32"/>
      <w:szCs w:val="32"/>
    </w:rPr>
  </w:style>
  <w:style w:type="paragraph" w:styleId="21">
    <w:name w:val="Body Text First Indent"/>
    <w:basedOn w:val="7"/>
    <w:qFormat/>
    <w:uiPriority w:val="0"/>
    <w:pPr>
      <w:tabs>
        <w:tab w:val="left" w:pos="780"/>
      </w:tabs>
      <w:spacing w:after="220" w:afterLines="0" w:line="220" w:lineRule="atLeast"/>
      <w:ind w:firstLine="420"/>
    </w:pPr>
    <w:rPr>
      <w:rFonts w:ascii="Times New Roman" w:hAnsi="Times New Roman" w:eastAsia="宋体" w:cs="Times New Roman"/>
      <w:sz w:val="21"/>
      <w:szCs w:val="20"/>
    </w:r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0"/>
    <w:rPr>
      <w:b/>
      <w:bCs/>
    </w:rPr>
  </w:style>
  <w:style w:type="character" w:styleId="26">
    <w:name w:val="Hyperlink"/>
    <w:qFormat/>
    <w:uiPriority w:val="99"/>
    <w:rPr>
      <w:color w:val="0000FF"/>
      <w:u w:val="single"/>
    </w:rPr>
  </w:style>
  <w:style w:type="character" w:styleId="27">
    <w:name w:val="footnote reference"/>
    <w:basedOn w:val="24"/>
    <w:semiHidden/>
    <w:unhideWhenUsed/>
    <w:qFormat/>
    <w:uiPriority w:val="99"/>
    <w:rPr>
      <w:vertAlign w:val="superscript"/>
    </w:rPr>
  </w:style>
  <w:style w:type="paragraph" w:customStyle="1" w:styleId="28">
    <w:name w:val="Default"/>
    <w:next w:val="2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
    <w:name w:val="大标题"/>
    <w:basedOn w:val="1"/>
    <w:next w:val="9"/>
    <w:qFormat/>
    <w:uiPriority w:val="0"/>
    <w:pPr>
      <w:jc w:val="center"/>
    </w:pPr>
    <w:rPr>
      <w:rFonts w:ascii="Arial" w:hAnsi="Arial" w:eastAsia="宋体" w:cs="Times New Roman"/>
      <w:b/>
      <w:sz w:val="28"/>
      <w:szCs w:val="24"/>
    </w:rPr>
  </w:style>
  <w:style w:type="paragraph" w:customStyle="1" w:styleId="30">
    <w:name w:val="样式 样式 左侧:  2 字符 + 左侧:  0.85 厘米 首行缩进:  2 字符1"/>
    <w:basedOn w:val="1"/>
    <w:qFormat/>
    <w:uiPriority w:val="0"/>
    <w:pPr>
      <w:ind w:left="482" w:firstLine="200" w:firstLineChars="200"/>
    </w:pPr>
    <w:rPr>
      <w:rFonts w:cs="宋体"/>
      <w:szCs w:val="20"/>
    </w:rPr>
  </w:style>
  <w:style w:type="paragraph" w:customStyle="1" w:styleId="31">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32">
    <w:name w:val="正文格式"/>
    <w:basedOn w:val="1"/>
    <w:qFormat/>
    <w:uiPriority w:val="99"/>
    <w:pPr>
      <w:widowControl/>
      <w:adjustRightInd w:val="0"/>
      <w:snapToGrid w:val="0"/>
      <w:spacing w:line="400" w:lineRule="atLeast"/>
      <w:ind w:firstLine="482"/>
      <w:textAlignment w:val="baseline"/>
    </w:pPr>
  </w:style>
  <w:style w:type="paragraph" w:customStyle="1" w:styleId="33">
    <w:name w:val="文档正文"/>
    <w:basedOn w:val="5"/>
    <w:qFormat/>
    <w:uiPriority w:val="0"/>
    <w:pPr>
      <w:spacing w:line="360" w:lineRule="auto"/>
    </w:pPr>
    <w:rPr>
      <w:rFonts w:hAnsi="宋体"/>
      <w:b/>
      <w:bCs/>
    </w:rPr>
  </w:style>
  <w:style w:type="paragraph" w:customStyle="1" w:styleId="34">
    <w:name w:val="_Style 2"/>
    <w:basedOn w:val="2"/>
    <w:next w:val="1"/>
    <w:qFormat/>
    <w:uiPriority w:val="39"/>
    <w:pPr>
      <w:widowControl/>
      <w:tabs>
        <w:tab w:val="left" w:pos="715"/>
      </w:tabs>
      <w:spacing w:before="480" w:line="276" w:lineRule="auto"/>
      <w:jc w:val="left"/>
      <w:outlineLvl w:val="9"/>
    </w:pPr>
    <w:rPr>
      <w:rFonts w:ascii="Cambria" w:hAnsi="Cambria" w:eastAsia="宋体"/>
      <w:color w:val="365F91"/>
      <w:kern w:val="0"/>
      <w:sz w:val="28"/>
      <w:szCs w:val="28"/>
    </w:rPr>
  </w:style>
  <w:style w:type="paragraph" w:customStyle="1" w:styleId="35">
    <w:name w:val="Heading #2|1"/>
    <w:basedOn w:val="1"/>
    <w:qFormat/>
    <w:uiPriority w:val="0"/>
    <w:pPr>
      <w:spacing w:before="60" w:after="270"/>
      <w:jc w:val="center"/>
      <w:outlineLvl w:val="1"/>
    </w:pPr>
    <w:rPr>
      <w:rFonts w:ascii="宋体" w:hAnsi="宋体" w:eastAsia="宋体" w:cs="宋体"/>
      <w:sz w:val="36"/>
      <w:szCs w:val="36"/>
      <w:lang w:val="zh-TW" w:eastAsia="zh-TW" w:bidi="zh-TW"/>
    </w:rPr>
  </w:style>
  <w:style w:type="paragraph" w:customStyle="1" w:styleId="36">
    <w:name w:val="Body text|2"/>
    <w:basedOn w:val="1"/>
    <w:qFormat/>
    <w:uiPriority w:val="0"/>
    <w:pPr>
      <w:spacing w:after="260"/>
      <w:ind w:firstLine="140"/>
    </w:pPr>
    <w:rPr>
      <w:rFonts w:ascii="宋体" w:hAnsi="宋体" w:eastAsia="宋体" w:cs="宋体"/>
      <w:sz w:val="30"/>
      <w:szCs w:val="30"/>
      <w:lang w:val="zh-TW" w:eastAsia="zh-TW" w:bidi="zh-TW"/>
    </w:rPr>
  </w:style>
  <w:style w:type="paragraph" w:customStyle="1" w:styleId="37">
    <w:name w:val="Body text|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8">
    <w:name w:val="Other|1"/>
    <w:basedOn w:val="1"/>
    <w:qFormat/>
    <w:uiPriority w:val="0"/>
    <w:pPr>
      <w:spacing w:line="454" w:lineRule="auto"/>
      <w:ind w:firstLine="140"/>
    </w:pPr>
    <w:rPr>
      <w:rFonts w:ascii="宋体" w:hAnsi="宋体" w:eastAsia="宋体" w:cs="宋体"/>
      <w:sz w:val="22"/>
      <w:szCs w:val="22"/>
      <w:lang w:val="zh-TW" w:eastAsia="zh-TW" w:bidi="zh-TW"/>
    </w:rPr>
  </w:style>
  <w:style w:type="paragraph" w:customStyle="1" w:styleId="39">
    <w:name w:val="Table caption|1"/>
    <w:basedOn w:val="1"/>
    <w:qFormat/>
    <w:uiPriority w:val="0"/>
    <w:rPr>
      <w:rFonts w:ascii="宋体" w:hAnsi="宋体" w:eastAsia="宋体" w:cs="宋体"/>
      <w:sz w:val="22"/>
      <w:szCs w:val="22"/>
      <w:lang w:val="zh-TW" w:eastAsia="zh-TW" w:bidi="zh-TW"/>
    </w:rPr>
  </w:style>
  <w:style w:type="paragraph" w:customStyle="1" w:styleId="40">
    <w:name w:val="Table Paragraph"/>
    <w:basedOn w:val="1"/>
    <w:qFormat/>
    <w:uiPriority w:val="1"/>
    <w:pPr>
      <w:autoSpaceDE w:val="0"/>
      <w:autoSpaceDN w:val="0"/>
      <w:adjustRightInd w:val="0"/>
    </w:pPr>
    <w:rPr>
      <w:rFonts w:eastAsia="宋体"/>
    </w:rPr>
  </w:style>
  <w:style w:type="paragraph" w:customStyle="1" w:styleId="41">
    <w:name w:val="black1"/>
    <w:basedOn w:val="1"/>
    <w:qFormat/>
    <w:uiPriority w:val="0"/>
    <w:pPr>
      <w:widowControl/>
      <w:spacing w:before="100" w:beforeAutospacing="1" w:after="100" w:afterAutospacing="1" w:line="280" w:lineRule="atLeast"/>
    </w:pPr>
    <w:rPr>
      <w:rFonts w:ascii="_x000B__x000C_" w:hAnsi="_x000B__x000C_"/>
      <w:sz w:val="18"/>
      <w:szCs w:val="18"/>
    </w:rPr>
  </w:style>
  <w:style w:type="paragraph" w:customStyle="1" w:styleId="42">
    <w:name w:val="图例"/>
    <w:basedOn w:val="1"/>
    <w:qFormat/>
    <w:uiPriority w:val="0"/>
    <w:pPr>
      <w:spacing w:before="120" w:after="120" w:line="360" w:lineRule="auto"/>
      <w:jc w:val="center"/>
    </w:pPr>
    <w:rPr>
      <w:rFonts w:eastAsia="仿宋_GB2312"/>
      <w:b/>
    </w:rPr>
  </w:style>
  <w:style w:type="paragraph" w:customStyle="1" w:styleId="43">
    <w:name w:val="WPS Plain"/>
    <w:qFormat/>
    <w:uiPriority w:val="0"/>
    <w:rPr>
      <w:rFonts w:ascii="Times New Roman" w:hAnsi="Times New Roman" w:eastAsia="宋体" w:cs="Times New Roman"/>
      <w:lang w:val="en-US" w:eastAsia="zh-CN" w:bidi="ar-SA"/>
    </w:rPr>
  </w:style>
  <w:style w:type="paragraph" w:customStyle="1" w:styleId="44">
    <w:name w:val="样式 左侧:  0 厘米 悬挂缩进: 2.5 字符"/>
    <w:basedOn w:val="1"/>
    <w:qFormat/>
    <w:uiPriority w:val="0"/>
    <w:pPr>
      <w:ind w:left="525" w:hanging="525" w:hangingChars="250"/>
    </w:pPr>
    <w:rPr>
      <w:szCs w:val="20"/>
    </w:rPr>
  </w:style>
  <w:style w:type="character" w:customStyle="1" w:styleId="45">
    <w:name w:val="font11"/>
    <w:basedOn w:val="24"/>
    <w:qFormat/>
    <w:uiPriority w:val="0"/>
    <w:rPr>
      <w:rFonts w:ascii="Calibri" w:hAnsi="Calibri" w:cs="Calibri"/>
      <w:color w:val="000000"/>
      <w:sz w:val="20"/>
      <w:szCs w:val="20"/>
      <w:u w:val="none"/>
    </w:rPr>
  </w:style>
  <w:style w:type="paragraph" w:styleId="46">
    <w:name w:val="List Paragraph"/>
    <w:basedOn w:val="1"/>
    <w:qFormat/>
    <w:uiPriority w:val="0"/>
    <w:pPr>
      <w:widowControl/>
      <w:ind w:firstLine="420" w:firstLineChars="200"/>
    </w:pPr>
  </w:style>
  <w:style w:type="paragraph" w:customStyle="1" w:styleId="47">
    <w:name w:val="列出段落1"/>
    <w:basedOn w:val="1"/>
    <w:qFormat/>
    <w:uiPriority w:val="34"/>
    <w:pPr>
      <w:ind w:firstLine="420" w:firstLineChars="200"/>
    </w:pPr>
  </w:style>
  <w:style w:type="table" w:customStyle="1" w:styleId="48">
    <w:name w:val="Table Normal"/>
    <w:semiHidden/>
    <w:unhideWhenUsed/>
    <w:qFormat/>
    <w:uiPriority w:val="0"/>
    <w:tblPr>
      <w:tblCellMar>
        <w:top w:w="0" w:type="dxa"/>
        <w:left w:w="0" w:type="dxa"/>
        <w:bottom w:w="0" w:type="dxa"/>
        <w:right w:w="0" w:type="dxa"/>
      </w:tblCellMar>
    </w:tblPr>
  </w:style>
  <w:style w:type="paragraph" w:customStyle="1" w:styleId="49">
    <w:name w:val="p15"/>
    <w:basedOn w:val="1"/>
    <w:qFormat/>
    <w:uiPriority w:val="0"/>
    <w:pPr>
      <w:snapToGrid/>
      <w:spacing w:after="0"/>
    </w:pPr>
    <w:rPr>
      <w:rFonts w:ascii="Arial Unicode MS" w:hAnsi="Arial Unicode MS" w:eastAsia="宋体" w:cs="宋体"/>
      <w:color w:val="000000"/>
      <w:sz w:val="24"/>
      <w:szCs w:val="24"/>
    </w:rPr>
  </w:style>
  <w:style w:type="paragraph" w:customStyle="1" w:styleId="50">
    <w:name w:val="Body text|4"/>
    <w:basedOn w:val="1"/>
    <w:qFormat/>
    <w:uiPriority w:val="0"/>
    <w:pPr>
      <w:spacing w:after="580"/>
    </w:pPr>
    <w:rPr>
      <w:rFonts w:ascii="MingLiU" w:hAnsi="MingLiU" w:eastAsia="MingLiU" w:cs="MingLiU"/>
      <w:color w:val="00005D"/>
      <w:sz w:val="56"/>
      <w:szCs w:val="56"/>
      <w:lang w:val="zh-TW" w:eastAsia="zh-TW" w:bidi="zh-TW"/>
    </w:rPr>
  </w:style>
  <w:style w:type="character" w:customStyle="1" w:styleId="51">
    <w:name w:val="font61"/>
    <w:basedOn w:val="24"/>
    <w:qFormat/>
    <w:uiPriority w:val="0"/>
    <w:rPr>
      <w:rFonts w:hint="default" w:ascii="方正仿宋_GBK" w:hAnsi="方正仿宋_GBK" w:eastAsia="方正仿宋_GBK" w:cs="方正仿宋_GBK"/>
      <w:color w:val="000000"/>
      <w:sz w:val="18"/>
      <w:szCs w:val="18"/>
      <w:u w:val="none"/>
    </w:rPr>
  </w:style>
  <w:style w:type="character" w:customStyle="1" w:styleId="52">
    <w:name w:val="font121"/>
    <w:basedOn w:val="24"/>
    <w:qFormat/>
    <w:uiPriority w:val="0"/>
    <w:rPr>
      <w:rFonts w:hint="eastAsia" w:ascii="宋体" w:hAnsi="宋体" w:eastAsia="宋体" w:cs="宋体"/>
      <w:color w:val="000000"/>
      <w:sz w:val="18"/>
      <w:szCs w:val="18"/>
      <w:u w:val="none"/>
    </w:rPr>
  </w:style>
  <w:style w:type="character" w:customStyle="1" w:styleId="53">
    <w:name w:val="font51"/>
    <w:basedOn w:val="24"/>
    <w:qFormat/>
    <w:uiPriority w:val="0"/>
    <w:rPr>
      <w:rFonts w:hint="default" w:ascii="Arial" w:hAnsi="Arial" w:cs="Arial"/>
      <w:color w:val="000000"/>
      <w:sz w:val="18"/>
      <w:szCs w:val="18"/>
      <w:u w:val="none"/>
    </w:rPr>
  </w:style>
  <w:style w:type="character" w:customStyle="1" w:styleId="54">
    <w:name w:val="font31"/>
    <w:basedOn w:val="24"/>
    <w:qFormat/>
    <w:uiPriority w:val="0"/>
    <w:rPr>
      <w:rFonts w:hint="eastAsia" w:ascii="宋体" w:hAnsi="宋体" w:eastAsia="宋体" w:cs="宋体"/>
      <w:color w:val="000000"/>
      <w:sz w:val="22"/>
      <w:szCs w:val="22"/>
      <w:u w:val="none"/>
    </w:rPr>
  </w:style>
  <w:style w:type="character" w:customStyle="1" w:styleId="55">
    <w:name w:val="font41"/>
    <w:basedOn w:val="24"/>
    <w:qFormat/>
    <w:uiPriority w:val="0"/>
    <w:rPr>
      <w:rFonts w:hint="eastAsia" w:ascii="宋体" w:hAnsi="宋体" w:eastAsia="宋体" w:cs="宋体"/>
      <w:color w:val="000000"/>
      <w:sz w:val="18"/>
      <w:szCs w:val="18"/>
      <w:u w:val="none"/>
    </w:rPr>
  </w:style>
  <w:style w:type="character" w:customStyle="1" w:styleId="56">
    <w:name w:val="font01"/>
    <w:basedOn w:val="24"/>
    <w:qFormat/>
    <w:uiPriority w:val="0"/>
    <w:rPr>
      <w:rFonts w:hint="eastAsia" w:ascii="宋体" w:hAnsi="宋体" w:eastAsia="宋体" w:cs="宋体"/>
      <w:color w:val="000000"/>
      <w:sz w:val="22"/>
      <w:szCs w:val="22"/>
      <w:u w:val="none"/>
    </w:rPr>
  </w:style>
  <w:style w:type="character" w:customStyle="1" w:styleId="57">
    <w:name w:val="font21"/>
    <w:basedOn w:val="24"/>
    <w:qFormat/>
    <w:uiPriority w:val="0"/>
    <w:rPr>
      <w:rFonts w:hint="eastAsia" w:ascii="宋体" w:hAnsi="宋体" w:eastAsia="宋体" w:cs="宋体"/>
      <w:color w:val="00B050"/>
      <w:sz w:val="20"/>
      <w:szCs w:val="20"/>
      <w:u w:val="none"/>
    </w:rPr>
  </w:style>
  <w:style w:type="paragraph" w:customStyle="1" w:styleId="58">
    <w:name w:val="首行缩进"/>
    <w:basedOn w:val="1"/>
    <w:qFormat/>
    <w:uiPriority w:val="0"/>
    <w:pPr>
      <w:ind w:firstLine="480" w:firstLineChars="200"/>
    </w:pPr>
    <w:rPr>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DoubleOX</Company>
  <Pages>110</Pages>
  <Words>3976</Words>
  <Characters>4618</Characters>
  <Lines>389</Lines>
  <Paragraphs>109</Paragraphs>
  <TotalTime>13</TotalTime>
  <ScaleCrop>false</ScaleCrop>
  <LinksUpToDate>false</LinksUpToDate>
  <CharactersWithSpaces>4885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宝贝虫虫</cp:lastModifiedBy>
  <cp:lastPrinted>2024-03-15T04:02:00Z</cp:lastPrinted>
  <dcterms:modified xsi:type="dcterms:W3CDTF">2025-04-01T09:46:52Z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8B9488B8A0BE486EB0EF035435A74AF9_13</vt:lpwstr>
  </property>
  <property fmtid="{D5CDD505-2E9C-101B-9397-08002B2CF9AE}" pid="4" name="KSOTemplateDocerSaveRecord">
    <vt:lpwstr>eyJoZGlkIjoiM2RjZTkxMGY0NGU0ZDEwZjBiZjQ3NjVlZWRhOTQ1YWUiLCJ1c2VySWQiOiI0MDIxNzY0MTUifQ==</vt:lpwstr>
  </property>
</Properties>
</file>