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D33CC">
      <w:pPr>
        <w:pageBreakBefore w:val="0"/>
        <w:kinsoku/>
        <w:topLinePunct w:val="0"/>
        <w:bidi w:val="0"/>
        <w:spacing w:before="152" w:line="223" w:lineRule="auto"/>
        <w:ind w:right="73"/>
        <w:jc w:val="center"/>
        <w:rPr>
          <w:rFonts w:hint="eastAsia" w:ascii="宋体" w:hAnsi="宋体" w:eastAsia="宋体" w:cs="宋体"/>
          <w:spacing w:val="9"/>
          <w:sz w:val="47"/>
          <w:szCs w:val="47"/>
          <w:lang w:eastAsia="zh-CN"/>
          <w14:textOutline w14:w="8717" w14:cap="sq" w14:cmpd="sng">
            <w14:solidFill>
              <w14:srgbClr w14:val="000000"/>
            </w14:solidFill>
            <w14:prstDash w14:val="solid"/>
            <w14:bevel/>
          </w14:textOutline>
        </w:rPr>
      </w:pPr>
      <w:r>
        <w:rPr>
          <w:rFonts w:hint="eastAsia" w:ascii="宋体" w:hAnsi="宋体" w:eastAsia="宋体" w:cs="宋体"/>
          <w:spacing w:val="9"/>
          <w:sz w:val="47"/>
          <w:szCs w:val="47"/>
          <w:lang w:eastAsia="zh-CN"/>
          <w14:textOutline w14:w="8717" w14:cap="sq" w14:cmpd="sng">
            <w14:solidFill>
              <w14:srgbClr w14:val="000000"/>
            </w14:solidFill>
            <w14:prstDash w14:val="solid"/>
            <w14:bevel/>
          </w14:textOutline>
        </w:rPr>
        <w:t>柯坪县“十五五”自然资源规划修编</w:t>
      </w:r>
    </w:p>
    <w:p w14:paraId="0757E2ED">
      <w:pPr>
        <w:pageBreakBefore w:val="0"/>
        <w:kinsoku/>
        <w:topLinePunct w:val="0"/>
        <w:bidi w:val="0"/>
        <w:spacing w:before="152" w:line="223" w:lineRule="auto"/>
        <w:ind w:right="73"/>
        <w:jc w:val="center"/>
        <w:rPr>
          <w:rFonts w:hint="eastAsia" w:ascii="宋体" w:hAnsi="宋体" w:eastAsia="宋体" w:cs="宋体"/>
          <w:sz w:val="47"/>
          <w:szCs w:val="47"/>
          <w:lang w:eastAsia="zh-CN"/>
        </w:rPr>
      </w:pPr>
      <w:r>
        <w:rPr>
          <w:rFonts w:hint="eastAsia" w:ascii="宋体" w:hAnsi="宋体" w:eastAsia="宋体" w:cs="宋体"/>
          <w:spacing w:val="9"/>
          <w:sz w:val="47"/>
          <w:szCs w:val="47"/>
          <w:lang w:eastAsia="zh-CN"/>
          <w14:textOutline w14:w="8717" w14:cap="sq" w14:cmpd="sng">
            <w14:solidFill>
              <w14:srgbClr w14:val="000000"/>
            </w14:solidFill>
            <w14:prstDash w14:val="solid"/>
            <w14:bevel/>
          </w14:textOutline>
        </w:rPr>
        <w:t>项目（二次）</w:t>
      </w:r>
    </w:p>
    <w:p w14:paraId="3FA90322">
      <w:pPr>
        <w:pStyle w:val="5"/>
        <w:pageBreakBefore w:val="0"/>
        <w:kinsoku/>
        <w:topLinePunct w:val="0"/>
        <w:bidi w:val="0"/>
        <w:spacing w:line="265" w:lineRule="auto"/>
      </w:pPr>
    </w:p>
    <w:p w14:paraId="61B1AEE7">
      <w:pPr>
        <w:pStyle w:val="5"/>
        <w:pageBreakBefore w:val="0"/>
        <w:kinsoku/>
        <w:topLinePunct w:val="0"/>
        <w:bidi w:val="0"/>
        <w:spacing w:line="265" w:lineRule="auto"/>
      </w:pPr>
    </w:p>
    <w:p w14:paraId="5D9E7672">
      <w:pPr>
        <w:pStyle w:val="5"/>
        <w:pageBreakBefore w:val="0"/>
        <w:kinsoku/>
        <w:topLinePunct w:val="0"/>
        <w:bidi w:val="0"/>
        <w:spacing w:line="265" w:lineRule="auto"/>
      </w:pPr>
    </w:p>
    <w:p w14:paraId="511A19FB">
      <w:pPr>
        <w:pStyle w:val="5"/>
        <w:pageBreakBefore w:val="0"/>
        <w:kinsoku/>
        <w:topLinePunct w:val="0"/>
        <w:bidi w:val="0"/>
        <w:spacing w:line="265" w:lineRule="auto"/>
      </w:pPr>
    </w:p>
    <w:p w14:paraId="6BBB8255">
      <w:pPr>
        <w:pStyle w:val="5"/>
        <w:pageBreakBefore w:val="0"/>
        <w:kinsoku/>
        <w:topLinePunct w:val="0"/>
        <w:bidi w:val="0"/>
        <w:spacing w:line="265" w:lineRule="auto"/>
      </w:pPr>
    </w:p>
    <w:p w14:paraId="3C101398">
      <w:pPr>
        <w:pStyle w:val="5"/>
        <w:pageBreakBefore w:val="0"/>
        <w:kinsoku/>
        <w:topLinePunct w:val="0"/>
        <w:bidi w:val="0"/>
        <w:spacing w:line="265" w:lineRule="auto"/>
      </w:pPr>
    </w:p>
    <w:p w14:paraId="6DF51E8D">
      <w:pPr>
        <w:pStyle w:val="5"/>
        <w:pageBreakBefore w:val="0"/>
        <w:kinsoku/>
        <w:topLinePunct w:val="0"/>
        <w:bidi w:val="0"/>
        <w:spacing w:line="265" w:lineRule="auto"/>
      </w:pPr>
    </w:p>
    <w:p w14:paraId="326322D0">
      <w:pPr>
        <w:pStyle w:val="5"/>
        <w:pageBreakBefore w:val="0"/>
        <w:kinsoku/>
        <w:topLinePunct w:val="0"/>
        <w:bidi w:val="0"/>
        <w:spacing w:line="265" w:lineRule="auto"/>
      </w:pPr>
    </w:p>
    <w:p w14:paraId="7DE3109F">
      <w:pPr>
        <w:pStyle w:val="5"/>
        <w:pageBreakBefore w:val="0"/>
        <w:kinsoku/>
        <w:topLinePunct w:val="0"/>
        <w:bidi w:val="0"/>
        <w:spacing w:line="265" w:lineRule="auto"/>
      </w:pPr>
    </w:p>
    <w:p w14:paraId="75696930">
      <w:pPr>
        <w:pageBreakBefore w:val="0"/>
        <w:kinsoku/>
        <w:topLinePunct w:val="0"/>
        <w:bidi w:val="0"/>
        <w:spacing w:before="179" w:line="222" w:lineRule="auto"/>
        <w:jc w:val="center"/>
        <w:outlineLvl w:val="0"/>
        <w:rPr>
          <w:rFonts w:ascii="宋体" w:hAnsi="宋体" w:eastAsia="宋体" w:cs="宋体"/>
          <w:sz w:val="55"/>
          <w:szCs w:val="55"/>
        </w:rPr>
      </w:pPr>
      <w:r>
        <w:rPr>
          <w:rFonts w:ascii="宋体" w:hAnsi="宋体" w:eastAsia="宋体" w:cs="宋体"/>
          <w:spacing w:val="7"/>
          <w:sz w:val="55"/>
          <w:szCs w:val="55"/>
          <w14:textOutline w14:w="10151" w14:cap="sq" w14:cmpd="sng">
            <w14:solidFill>
              <w14:srgbClr w14:val="000000"/>
            </w14:solidFill>
            <w14:prstDash w14:val="solid"/>
            <w14:bevel/>
          </w14:textOutline>
        </w:rPr>
        <w:t>竞争性磋商文件</w:t>
      </w:r>
    </w:p>
    <w:p w14:paraId="6C3DE7BD">
      <w:pPr>
        <w:pStyle w:val="5"/>
        <w:pageBreakBefore w:val="0"/>
        <w:kinsoku/>
        <w:topLinePunct w:val="0"/>
        <w:bidi w:val="0"/>
        <w:spacing w:line="266" w:lineRule="auto"/>
      </w:pPr>
    </w:p>
    <w:p w14:paraId="65B3D340">
      <w:pPr>
        <w:pStyle w:val="5"/>
        <w:pageBreakBefore w:val="0"/>
        <w:kinsoku/>
        <w:topLinePunct w:val="0"/>
        <w:bidi w:val="0"/>
        <w:spacing w:line="267" w:lineRule="auto"/>
      </w:pPr>
    </w:p>
    <w:p w14:paraId="3F6211D5">
      <w:pPr>
        <w:pStyle w:val="5"/>
        <w:pageBreakBefore w:val="0"/>
        <w:kinsoku/>
        <w:topLinePunct w:val="0"/>
        <w:bidi w:val="0"/>
        <w:spacing w:line="267" w:lineRule="auto"/>
      </w:pPr>
    </w:p>
    <w:p w14:paraId="1BFDA386">
      <w:pPr>
        <w:pStyle w:val="5"/>
        <w:pageBreakBefore w:val="0"/>
        <w:kinsoku/>
        <w:topLinePunct w:val="0"/>
        <w:bidi w:val="0"/>
        <w:spacing w:line="267" w:lineRule="auto"/>
      </w:pPr>
    </w:p>
    <w:p w14:paraId="2CC57593">
      <w:pPr>
        <w:pStyle w:val="5"/>
        <w:pageBreakBefore w:val="0"/>
        <w:kinsoku/>
        <w:topLinePunct w:val="0"/>
        <w:bidi w:val="0"/>
        <w:spacing w:line="267" w:lineRule="auto"/>
      </w:pPr>
    </w:p>
    <w:p w14:paraId="4453615F">
      <w:pPr>
        <w:pageBreakBefore w:val="0"/>
        <w:kinsoku/>
        <w:topLinePunct w:val="0"/>
        <w:bidi w:val="0"/>
        <w:spacing w:line="2592" w:lineRule="exact"/>
        <w:ind w:firstLine="2642"/>
      </w:pPr>
    </w:p>
    <w:p w14:paraId="737BB8D4">
      <w:pPr>
        <w:pStyle w:val="5"/>
        <w:pageBreakBefore w:val="0"/>
        <w:kinsoku/>
        <w:topLinePunct w:val="0"/>
        <w:bidi w:val="0"/>
        <w:spacing w:line="261" w:lineRule="auto"/>
      </w:pPr>
    </w:p>
    <w:p w14:paraId="7A19C9B8">
      <w:pPr>
        <w:pStyle w:val="5"/>
        <w:pageBreakBefore w:val="0"/>
        <w:kinsoku/>
        <w:topLinePunct w:val="0"/>
        <w:bidi w:val="0"/>
        <w:spacing w:line="261" w:lineRule="auto"/>
      </w:pPr>
    </w:p>
    <w:p w14:paraId="1A799511">
      <w:pPr>
        <w:pStyle w:val="5"/>
        <w:pageBreakBefore w:val="0"/>
        <w:kinsoku/>
        <w:topLinePunct w:val="0"/>
        <w:bidi w:val="0"/>
        <w:spacing w:line="261" w:lineRule="auto"/>
      </w:pPr>
    </w:p>
    <w:p w14:paraId="7CBDD5AA">
      <w:pPr>
        <w:pStyle w:val="5"/>
        <w:pageBreakBefore w:val="0"/>
        <w:kinsoku/>
        <w:topLinePunct w:val="0"/>
        <w:bidi w:val="0"/>
        <w:spacing w:line="262" w:lineRule="auto"/>
      </w:pPr>
    </w:p>
    <w:p w14:paraId="72C90D76">
      <w:pPr>
        <w:pageBreakBefore w:val="0"/>
        <w:kinsoku/>
        <w:topLinePunct w:val="0"/>
        <w:bidi w:val="0"/>
        <w:spacing w:before="114" w:line="226" w:lineRule="auto"/>
        <w:ind w:left="1482"/>
        <w:rPr>
          <w:rFonts w:hint="eastAsia" w:ascii="黑体" w:hAnsi="黑体" w:eastAsia="黑体" w:cs="黑体"/>
          <w:sz w:val="35"/>
          <w:szCs w:val="35"/>
          <w:lang w:eastAsia="zh-CN"/>
        </w:rPr>
      </w:pPr>
      <w:r>
        <w:rPr>
          <w:rFonts w:ascii="黑体" w:hAnsi="黑体" w:eastAsia="黑体" w:cs="黑体"/>
          <w:spacing w:val="5"/>
          <w:sz w:val="35"/>
          <w:szCs w:val="35"/>
        </w:rPr>
        <w:t>项目编号</w:t>
      </w:r>
      <w:r>
        <w:rPr>
          <w:rFonts w:hint="eastAsia" w:ascii="黑体" w:hAnsi="黑体" w:eastAsia="黑体" w:cs="黑体"/>
          <w:spacing w:val="5"/>
          <w:sz w:val="35"/>
          <w:szCs w:val="35"/>
          <w:lang w:eastAsia="zh-CN"/>
        </w:rPr>
        <w:t>：</w:t>
      </w:r>
      <w:r>
        <w:rPr>
          <w:rFonts w:hint="eastAsia" w:ascii="黑体" w:hAnsi="黑体" w:eastAsia="黑体" w:cs="黑体"/>
          <w:spacing w:val="8"/>
          <w:sz w:val="35"/>
          <w:szCs w:val="35"/>
          <w:lang w:eastAsia="zh-CN"/>
        </w:rPr>
        <w:t>KPXZCY2025- 004</w:t>
      </w:r>
    </w:p>
    <w:p w14:paraId="036838A5">
      <w:pPr>
        <w:pStyle w:val="5"/>
        <w:pageBreakBefore w:val="0"/>
        <w:kinsoku/>
        <w:topLinePunct w:val="0"/>
        <w:bidi w:val="0"/>
        <w:spacing w:line="390" w:lineRule="auto"/>
      </w:pPr>
    </w:p>
    <w:p w14:paraId="385C9721">
      <w:pPr>
        <w:pageBreakBefore w:val="0"/>
        <w:kinsoku/>
        <w:topLinePunct w:val="0"/>
        <w:bidi w:val="0"/>
        <w:spacing w:before="115" w:line="227" w:lineRule="auto"/>
        <w:ind w:left="1479"/>
        <w:rPr>
          <w:rFonts w:hint="eastAsia" w:ascii="黑体" w:hAnsi="黑体" w:eastAsia="黑体" w:cs="黑体"/>
          <w:sz w:val="35"/>
          <w:szCs w:val="35"/>
          <w:lang w:eastAsia="zh-CN"/>
        </w:rPr>
      </w:pPr>
      <w:r>
        <w:rPr>
          <w:rFonts w:ascii="黑体" w:hAnsi="黑体" w:eastAsia="黑体" w:cs="黑体"/>
          <w:spacing w:val="8"/>
          <w:sz w:val="35"/>
          <w:szCs w:val="35"/>
        </w:rPr>
        <w:t>采 购 人：</w:t>
      </w:r>
      <w:r>
        <w:rPr>
          <w:rFonts w:hint="eastAsia" w:ascii="黑体" w:hAnsi="黑体" w:eastAsia="黑体" w:cs="黑体"/>
          <w:spacing w:val="8"/>
          <w:sz w:val="35"/>
          <w:szCs w:val="35"/>
          <w:lang w:eastAsia="zh-CN"/>
        </w:rPr>
        <w:t>柯坪县自然资源局</w:t>
      </w:r>
    </w:p>
    <w:p w14:paraId="0F707F41">
      <w:pPr>
        <w:pStyle w:val="5"/>
        <w:pageBreakBefore w:val="0"/>
        <w:kinsoku/>
        <w:topLinePunct w:val="0"/>
        <w:bidi w:val="0"/>
        <w:spacing w:line="390" w:lineRule="auto"/>
      </w:pPr>
    </w:p>
    <w:p w14:paraId="17F5798A">
      <w:pPr>
        <w:pageBreakBefore w:val="0"/>
        <w:kinsoku/>
        <w:topLinePunct w:val="0"/>
        <w:bidi w:val="0"/>
        <w:spacing w:before="114" w:line="226" w:lineRule="auto"/>
        <w:ind w:left="1481"/>
        <w:rPr>
          <w:rFonts w:hint="eastAsia" w:ascii="黑体" w:hAnsi="黑体" w:eastAsia="黑体" w:cs="黑体"/>
          <w:sz w:val="35"/>
          <w:szCs w:val="35"/>
          <w:lang w:eastAsia="zh-CN"/>
        </w:rPr>
      </w:pPr>
      <w:r>
        <w:rPr>
          <w:rFonts w:ascii="黑体" w:hAnsi="黑体" w:eastAsia="黑体" w:cs="黑体"/>
          <w:spacing w:val="9"/>
          <w:sz w:val="35"/>
          <w:szCs w:val="35"/>
        </w:rPr>
        <w:t>代理机构：</w:t>
      </w:r>
      <w:r>
        <w:rPr>
          <w:rFonts w:hint="eastAsia" w:ascii="黑体" w:hAnsi="黑体" w:eastAsia="黑体" w:cs="黑体"/>
          <w:spacing w:val="9"/>
          <w:sz w:val="35"/>
          <w:szCs w:val="35"/>
          <w:lang w:eastAsia="zh-CN"/>
        </w:rPr>
        <w:t>阿克苏疆山项目管理有限公司</w:t>
      </w:r>
    </w:p>
    <w:p w14:paraId="66CD5DC3">
      <w:pPr>
        <w:pStyle w:val="5"/>
        <w:pageBreakBefore w:val="0"/>
        <w:kinsoku/>
        <w:topLinePunct w:val="0"/>
        <w:bidi w:val="0"/>
        <w:spacing w:line="391" w:lineRule="auto"/>
      </w:pPr>
    </w:p>
    <w:p w14:paraId="3C5F0898">
      <w:pPr>
        <w:pageBreakBefore w:val="0"/>
        <w:kinsoku/>
        <w:topLinePunct w:val="0"/>
        <w:bidi w:val="0"/>
        <w:spacing w:before="114" w:line="228" w:lineRule="auto"/>
        <w:ind w:left="1538"/>
        <w:rPr>
          <w:rFonts w:ascii="黑体" w:hAnsi="黑体" w:eastAsia="黑体" w:cs="黑体"/>
          <w:sz w:val="35"/>
          <w:szCs w:val="35"/>
        </w:rPr>
      </w:pPr>
      <w:r>
        <w:rPr>
          <w:rFonts w:ascii="黑体" w:hAnsi="黑体" w:eastAsia="黑体" w:cs="黑体"/>
          <w:spacing w:val="-5"/>
          <w:sz w:val="35"/>
          <w:szCs w:val="35"/>
        </w:rPr>
        <w:t>日</w:t>
      </w:r>
      <w:r>
        <w:rPr>
          <w:rFonts w:ascii="黑体" w:hAnsi="黑体" w:eastAsia="黑体" w:cs="黑体"/>
          <w:spacing w:val="8"/>
          <w:sz w:val="35"/>
          <w:szCs w:val="35"/>
        </w:rPr>
        <w:t xml:space="preserve">    </w:t>
      </w:r>
      <w:r>
        <w:rPr>
          <w:rFonts w:ascii="黑体" w:hAnsi="黑体" w:eastAsia="黑体" w:cs="黑体"/>
          <w:spacing w:val="-5"/>
          <w:sz w:val="35"/>
          <w:szCs w:val="35"/>
        </w:rPr>
        <w:t>期：202</w:t>
      </w:r>
      <w:r>
        <w:rPr>
          <w:rFonts w:hint="eastAsia" w:ascii="黑体" w:hAnsi="黑体" w:eastAsia="黑体" w:cs="黑体"/>
          <w:spacing w:val="-5"/>
          <w:sz w:val="35"/>
          <w:szCs w:val="35"/>
          <w:lang w:val="en-US" w:eastAsia="zh-CN"/>
        </w:rPr>
        <w:t>5</w:t>
      </w:r>
      <w:r>
        <w:rPr>
          <w:rFonts w:ascii="黑体" w:hAnsi="黑体" w:eastAsia="黑体" w:cs="黑体"/>
          <w:spacing w:val="-69"/>
          <w:sz w:val="35"/>
          <w:szCs w:val="35"/>
        </w:rPr>
        <w:t xml:space="preserve"> </w:t>
      </w:r>
      <w:r>
        <w:rPr>
          <w:rFonts w:ascii="黑体" w:hAnsi="黑体" w:eastAsia="黑体" w:cs="黑体"/>
          <w:spacing w:val="-5"/>
          <w:sz w:val="35"/>
          <w:szCs w:val="35"/>
        </w:rPr>
        <w:t>年</w:t>
      </w:r>
      <w:r>
        <w:rPr>
          <w:rFonts w:hint="eastAsia" w:ascii="黑体" w:hAnsi="黑体" w:eastAsia="黑体" w:cs="黑体"/>
          <w:spacing w:val="-70"/>
          <w:sz w:val="35"/>
          <w:szCs w:val="35"/>
          <w:lang w:val="en-US" w:eastAsia="zh-CN"/>
        </w:rPr>
        <w:t xml:space="preserve">3 </w:t>
      </w:r>
      <w:r>
        <w:rPr>
          <w:rFonts w:ascii="黑体" w:hAnsi="黑体" w:eastAsia="黑体" w:cs="黑体"/>
          <w:spacing w:val="-5"/>
          <w:sz w:val="35"/>
          <w:szCs w:val="35"/>
        </w:rPr>
        <w:t>月</w:t>
      </w:r>
    </w:p>
    <w:p w14:paraId="409BAC6B">
      <w:pPr>
        <w:pageBreakBefore w:val="0"/>
        <w:kinsoku/>
        <w:topLinePunct w:val="0"/>
        <w:bidi w:val="0"/>
        <w:spacing w:line="228" w:lineRule="auto"/>
        <w:rPr>
          <w:rFonts w:ascii="黑体" w:hAnsi="黑体" w:eastAsia="黑体" w:cs="黑体"/>
          <w:sz w:val="35"/>
          <w:szCs w:val="35"/>
        </w:rPr>
        <w:sectPr>
          <w:headerReference r:id="rId5" w:type="default"/>
          <w:pgSz w:w="11905" w:h="16838"/>
          <w:pgMar w:top="1276" w:right="1814" w:bottom="1276" w:left="1814" w:header="567" w:footer="567" w:gutter="0"/>
          <w:cols w:space="0" w:num="1"/>
          <w:rtlGutter w:val="0"/>
          <w:docGrid w:linePitch="0" w:charSpace="0"/>
        </w:sectPr>
      </w:pPr>
    </w:p>
    <w:p w14:paraId="36964B36">
      <w:pPr>
        <w:pageBreakBefore w:val="0"/>
        <w:kinsoku/>
        <w:topLinePunct w:val="0"/>
        <w:bidi w:val="0"/>
        <w:spacing w:before="171" w:line="1253" w:lineRule="exact"/>
        <w:ind w:left="209"/>
        <w:jc w:val="center"/>
        <w:rPr>
          <w:rFonts w:ascii="宋体" w:hAnsi="宋体" w:eastAsia="宋体" w:cs="宋体"/>
          <w:sz w:val="30"/>
          <w:szCs w:val="30"/>
        </w:rPr>
      </w:pPr>
      <w:r>
        <w:rPr>
          <w:rFonts w:ascii="宋体" w:hAnsi="宋体" w:eastAsia="宋体" w:cs="宋体"/>
          <w:spacing w:val="-35"/>
          <w:position w:val="-18"/>
          <w:sz w:val="30"/>
          <w:szCs w:val="30"/>
        </w:rPr>
        <w:t>目</w:t>
      </w:r>
      <w:r>
        <w:rPr>
          <w:rFonts w:ascii="宋体" w:hAnsi="宋体" w:eastAsia="宋体" w:cs="宋体"/>
          <w:spacing w:val="26"/>
          <w:position w:val="-18"/>
          <w:sz w:val="30"/>
          <w:szCs w:val="30"/>
        </w:rPr>
        <w:t xml:space="preserve"> </w:t>
      </w:r>
      <w:r>
        <w:rPr>
          <w:rFonts w:ascii="宋体" w:hAnsi="宋体" w:eastAsia="宋体" w:cs="宋体"/>
          <w:spacing w:val="-35"/>
          <w:position w:val="-18"/>
          <w:sz w:val="30"/>
          <w:szCs w:val="30"/>
        </w:rPr>
        <w:t>录</w:t>
      </w:r>
    </w:p>
    <w:p w14:paraId="245BBB85">
      <w:pPr>
        <w:pStyle w:val="5"/>
        <w:pageBreakBefore w:val="0"/>
        <w:kinsoku/>
        <w:topLinePunct w:val="0"/>
        <w:bidi w:val="0"/>
        <w:spacing w:line="291" w:lineRule="auto"/>
      </w:pPr>
    </w:p>
    <w:sdt>
      <w:sdtPr>
        <w:rPr>
          <w:rFonts w:ascii="黑体" w:hAnsi="黑体" w:eastAsia="黑体" w:cs="黑体"/>
          <w:sz w:val="24"/>
          <w:szCs w:val="24"/>
        </w:rPr>
        <w:id w:val="1"/>
        <w:docPartObj>
          <w:docPartGallery w:val="Table of Contents"/>
          <w:docPartUnique/>
        </w:docPartObj>
      </w:sdtPr>
      <w:sdtEndPr>
        <w:rPr>
          <w:rFonts w:ascii="黑体" w:hAnsi="黑体" w:eastAsia="黑体" w:cs="黑体"/>
          <w:sz w:val="24"/>
          <w:szCs w:val="24"/>
        </w:rPr>
      </w:sdtEndPr>
      <w:sdtContent>
        <w:p w14:paraId="496ABBF3">
          <w:pPr>
            <w:pageBreakBefore w:val="0"/>
            <w:tabs>
              <w:tab w:val="right" w:leader="dot" w:pos="9512"/>
            </w:tabs>
            <w:kinsoku/>
            <w:topLinePunct w:val="0"/>
            <w:bidi w:val="0"/>
            <w:spacing w:before="78" w:line="187" w:lineRule="auto"/>
            <w:rPr>
              <w:rFonts w:ascii="黑体" w:hAnsi="黑体" w:eastAsia="黑体" w:cs="黑体"/>
              <w:sz w:val="24"/>
              <w:szCs w:val="24"/>
            </w:rPr>
          </w:pPr>
          <w:r>
            <w:fldChar w:fldCharType="begin"/>
          </w:r>
          <w:r>
            <w:instrText xml:space="preserve"> HYPERLINK \l "bookmark1" </w:instrText>
          </w:r>
          <w:r>
            <w:fldChar w:fldCharType="separate"/>
          </w:r>
          <w:r>
            <w:rPr>
              <w:rFonts w:ascii="黑体" w:hAnsi="黑体" w:eastAsia="黑体" w:cs="黑体"/>
              <w:spacing w:val="-1"/>
              <w:sz w:val="24"/>
              <w:szCs w:val="24"/>
            </w:rPr>
            <w:t>第一章  竞争性磋商公告</w:t>
          </w:r>
          <w:r>
            <w:rPr>
              <w:rFonts w:ascii="黑体" w:hAnsi="黑体" w:eastAsia="黑体" w:cs="黑体"/>
              <w:spacing w:val="-40"/>
              <w:sz w:val="24"/>
              <w:szCs w:val="24"/>
            </w:rPr>
            <w:t xml:space="preserve"> </w:t>
          </w:r>
          <w:r>
            <w:rPr>
              <w:rFonts w:ascii="黑体" w:hAnsi="黑体" w:eastAsia="黑体" w:cs="黑体"/>
              <w:spacing w:val="24"/>
              <w:sz w:val="24"/>
              <w:szCs w:val="24"/>
            </w:rPr>
            <w:fldChar w:fldCharType="end"/>
          </w:r>
        </w:p>
        <w:p w14:paraId="2E0AD3A3">
          <w:pPr>
            <w:pageBreakBefore w:val="0"/>
            <w:tabs>
              <w:tab w:val="right" w:leader="dot" w:pos="9512"/>
            </w:tabs>
            <w:kinsoku/>
            <w:topLinePunct w:val="0"/>
            <w:bidi w:val="0"/>
            <w:spacing w:before="258" w:line="187" w:lineRule="auto"/>
            <w:rPr>
              <w:rFonts w:ascii="黑体" w:hAnsi="黑体" w:eastAsia="黑体" w:cs="黑体"/>
              <w:sz w:val="24"/>
              <w:szCs w:val="24"/>
            </w:rPr>
          </w:pPr>
          <w:r>
            <w:fldChar w:fldCharType="begin"/>
          </w:r>
          <w:r>
            <w:instrText xml:space="preserve"> HYPERLINK \l "bookmark2" </w:instrText>
          </w:r>
          <w:r>
            <w:fldChar w:fldCharType="separate"/>
          </w:r>
          <w:r>
            <w:rPr>
              <w:rFonts w:ascii="黑体" w:hAnsi="黑体" w:eastAsia="黑体" w:cs="黑体"/>
              <w:spacing w:val="-1"/>
              <w:sz w:val="24"/>
              <w:szCs w:val="24"/>
            </w:rPr>
            <w:t>第二章  供应商须知及前附表</w:t>
          </w:r>
          <w:r>
            <w:rPr>
              <w:rFonts w:ascii="黑体" w:hAnsi="黑体" w:eastAsia="黑体" w:cs="黑体"/>
              <w:spacing w:val="-38"/>
              <w:sz w:val="24"/>
              <w:szCs w:val="24"/>
            </w:rPr>
            <w:t xml:space="preserve"> </w:t>
          </w:r>
          <w:r>
            <w:rPr>
              <w:rFonts w:ascii="黑体" w:hAnsi="黑体" w:eastAsia="黑体" w:cs="黑体"/>
              <w:spacing w:val="8"/>
              <w:w w:val="120"/>
              <w:sz w:val="24"/>
              <w:szCs w:val="24"/>
            </w:rPr>
            <w:fldChar w:fldCharType="end"/>
          </w:r>
        </w:p>
        <w:p w14:paraId="5BAD2E19">
          <w:pPr>
            <w:pageBreakBefore w:val="0"/>
            <w:tabs>
              <w:tab w:val="right" w:leader="dot" w:pos="9512"/>
            </w:tabs>
            <w:kinsoku/>
            <w:topLinePunct w:val="0"/>
            <w:bidi w:val="0"/>
            <w:spacing w:before="256" w:line="187" w:lineRule="auto"/>
            <w:rPr>
              <w:rFonts w:ascii="黑体" w:hAnsi="黑体" w:eastAsia="黑体" w:cs="黑体"/>
              <w:sz w:val="24"/>
              <w:szCs w:val="24"/>
            </w:rPr>
          </w:pPr>
          <w:r>
            <w:fldChar w:fldCharType="begin"/>
          </w:r>
          <w:r>
            <w:instrText xml:space="preserve"> HYPERLINK \l "bookmark3" </w:instrText>
          </w:r>
          <w:r>
            <w:fldChar w:fldCharType="separate"/>
          </w:r>
          <w:r>
            <w:rPr>
              <w:rFonts w:ascii="黑体" w:hAnsi="黑体" w:eastAsia="黑体" w:cs="黑体"/>
              <w:spacing w:val="-2"/>
              <w:sz w:val="24"/>
              <w:szCs w:val="24"/>
            </w:rPr>
            <w:t xml:space="preserve">第三章  </w:t>
          </w:r>
          <w:r>
            <w:rPr>
              <w:rFonts w:hint="eastAsia" w:ascii="黑体" w:hAnsi="黑体" w:eastAsia="黑体" w:cs="黑体"/>
              <w:spacing w:val="-2"/>
              <w:sz w:val="24"/>
              <w:szCs w:val="24"/>
              <w:lang w:eastAsia="zh-CN"/>
            </w:rPr>
            <w:t>评审</w:t>
          </w:r>
          <w:r>
            <w:rPr>
              <w:rFonts w:ascii="黑体" w:hAnsi="黑体" w:eastAsia="黑体" w:cs="黑体"/>
              <w:spacing w:val="-2"/>
              <w:sz w:val="24"/>
              <w:szCs w:val="24"/>
            </w:rPr>
            <w:t>办法</w:t>
          </w:r>
          <w:r>
            <w:rPr>
              <w:rFonts w:ascii="黑体" w:hAnsi="黑体" w:eastAsia="黑体" w:cs="黑体"/>
              <w:spacing w:val="-34"/>
              <w:sz w:val="24"/>
              <w:szCs w:val="24"/>
            </w:rPr>
            <w:t xml:space="preserve"> </w:t>
          </w:r>
          <w:r>
            <w:rPr>
              <w:rFonts w:ascii="黑体" w:hAnsi="黑体" w:eastAsia="黑体" w:cs="黑体"/>
              <w:spacing w:val="22"/>
              <w:sz w:val="24"/>
              <w:szCs w:val="24"/>
            </w:rPr>
            <w:fldChar w:fldCharType="end"/>
          </w:r>
        </w:p>
        <w:p w14:paraId="2B2D81DA">
          <w:pPr>
            <w:pageBreakBefore w:val="0"/>
            <w:tabs>
              <w:tab w:val="right" w:leader="dot" w:pos="9512"/>
            </w:tabs>
            <w:kinsoku/>
            <w:topLinePunct w:val="0"/>
            <w:bidi w:val="0"/>
            <w:spacing w:before="256" w:line="187" w:lineRule="auto"/>
            <w:rPr>
              <w:rFonts w:ascii="黑体" w:hAnsi="黑体" w:eastAsia="黑体" w:cs="黑体"/>
              <w:sz w:val="24"/>
              <w:szCs w:val="24"/>
            </w:rPr>
          </w:pPr>
          <w:r>
            <w:fldChar w:fldCharType="begin"/>
          </w:r>
          <w:r>
            <w:instrText xml:space="preserve"> HYPERLINK \l "bookmark4" </w:instrText>
          </w:r>
          <w:r>
            <w:fldChar w:fldCharType="separate"/>
          </w:r>
          <w:r>
            <w:rPr>
              <w:rFonts w:ascii="黑体" w:hAnsi="黑体" w:eastAsia="黑体" w:cs="黑体"/>
              <w:spacing w:val="-1"/>
              <w:sz w:val="24"/>
              <w:szCs w:val="24"/>
            </w:rPr>
            <w:t xml:space="preserve">第四章  </w:t>
          </w:r>
          <w:r>
            <w:rPr>
              <w:rFonts w:hint="eastAsia" w:ascii="黑体" w:hAnsi="黑体" w:eastAsia="黑体" w:cs="黑体"/>
              <w:spacing w:val="-1"/>
              <w:sz w:val="24"/>
              <w:szCs w:val="24"/>
              <w:lang w:eastAsia="zh-CN"/>
            </w:rPr>
            <w:t>采购</w:t>
          </w:r>
          <w:r>
            <w:rPr>
              <w:rFonts w:ascii="黑体" w:hAnsi="黑体" w:eastAsia="黑体" w:cs="黑体"/>
              <w:spacing w:val="-1"/>
              <w:sz w:val="24"/>
              <w:szCs w:val="24"/>
            </w:rPr>
            <w:t>内容及需求</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14:paraId="597D1668">
          <w:pPr>
            <w:pageBreakBefore w:val="0"/>
            <w:tabs>
              <w:tab w:val="right" w:leader="dot" w:pos="9512"/>
            </w:tabs>
            <w:kinsoku/>
            <w:topLinePunct w:val="0"/>
            <w:bidi w:val="0"/>
            <w:spacing w:before="258" w:line="187" w:lineRule="auto"/>
            <w:rPr>
              <w:rFonts w:ascii="黑体" w:hAnsi="黑体" w:eastAsia="黑体" w:cs="黑体"/>
              <w:sz w:val="24"/>
              <w:szCs w:val="24"/>
            </w:rPr>
          </w:pPr>
          <w:r>
            <w:fldChar w:fldCharType="begin"/>
          </w:r>
          <w:r>
            <w:instrText xml:space="preserve"> HYPERLINK \l "bookmark5" </w:instrText>
          </w:r>
          <w:r>
            <w:fldChar w:fldCharType="separate"/>
          </w:r>
          <w:r>
            <w:rPr>
              <w:rFonts w:ascii="黑体" w:hAnsi="黑体" w:eastAsia="黑体" w:cs="黑体"/>
              <w:spacing w:val="-1"/>
              <w:sz w:val="24"/>
              <w:szCs w:val="24"/>
            </w:rPr>
            <w:t>第五章 磋商响应文件格式</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14:paraId="3CB9CD91">
          <w:pPr>
            <w:pageBreakBefore w:val="0"/>
            <w:tabs>
              <w:tab w:val="right" w:leader="dot" w:pos="9512"/>
            </w:tabs>
            <w:kinsoku/>
            <w:topLinePunct w:val="0"/>
            <w:bidi w:val="0"/>
            <w:spacing w:before="255" w:line="222" w:lineRule="auto"/>
            <w:rPr>
              <w:rFonts w:ascii="黑体" w:hAnsi="黑体" w:eastAsia="黑体" w:cs="黑体"/>
              <w:sz w:val="24"/>
              <w:szCs w:val="24"/>
            </w:rPr>
          </w:pPr>
          <w:r>
            <w:fldChar w:fldCharType="begin"/>
          </w:r>
          <w:r>
            <w:instrText xml:space="preserve"> HYPERLINK \l "bookmark6" </w:instrText>
          </w:r>
          <w:r>
            <w:fldChar w:fldCharType="separate"/>
          </w:r>
          <w:r>
            <w:rPr>
              <w:rFonts w:ascii="黑体" w:hAnsi="黑体" w:eastAsia="黑体" w:cs="黑体"/>
              <w:spacing w:val="-2"/>
              <w:sz w:val="24"/>
              <w:szCs w:val="24"/>
            </w:rPr>
            <w:t>第六章  合同条款</w:t>
          </w:r>
          <w:r>
            <w:rPr>
              <w:rFonts w:ascii="黑体" w:hAnsi="黑体" w:eastAsia="黑体" w:cs="黑体"/>
              <w:spacing w:val="-34"/>
              <w:sz w:val="24"/>
              <w:szCs w:val="24"/>
            </w:rPr>
            <w:t xml:space="preserve"> </w:t>
          </w:r>
          <w:r>
            <w:rPr>
              <w:rFonts w:ascii="黑体" w:hAnsi="黑体" w:eastAsia="黑体" w:cs="黑体"/>
              <w:spacing w:val="23"/>
              <w:sz w:val="24"/>
              <w:szCs w:val="24"/>
            </w:rPr>
            <w:fldChar w:fldCharType="end"/>
          </w:r>
        </w:p>
      </w:sdtContent>
    </w:sdt>
    <w:p w14:paraId="3CFCC391">
      <w:pPr>
        <w:pageBreakBefore w:val="0"/>
        <w:kinsoku/>
        <w:topLinePunct w:val="0"/>
        <w:bidi w:val="0"/>
        <w:spacing w:line="222" w:lineRule="auto"/>
        <w:rPr>
          <w:rFonts w:ascii="黑体" w:hAnsi="黑体" w:eastAsia="黑体" w:cs="黑体"/>
          <w:sz w:val="24"/>
          <w:szCs w:val="24"/>
        </w:rPr>
      </w:pPr>
    </w:p>
    <w:p w14:paraId="1E260A42">
      <w:pPr>
        <w:pageBreakBefore w:val="0"/>
        <w:kinsoku/>
        <w:topLinePunct w:val="0"/>
        <w:bidi w:val="0"/>
        <w:rPr>
          <w:rFonts w:ascii="Arial" w:hAnsi="Arial" w:eastAsia="Arial" w:cs="Arial"/>
          <w:snapToGrid w:val="0"/>
          <w:color w:val="000000"/>
          <w:kern w:val="0"/>
          <w:sz w:val="21"/>
          <w:szCs w:val="21"/>
          <w:lang w:val="en-US" w:eastAsia="en-US" w:bidi="ar-SA"/>
        </w:rPr>
      </w:pPr>
    </w:p>
    <w:p w14:paraId="1D6D1334">
      <w:pPr>
        <w:pageBreakBefore w:val="0"/>
        <w:kinsoku/>
        <w:topLinePunct w:val="0"/>
        <w:bidi w:val="0"/>
        <w:rPr>
          <w:lang w:val="en-US" w:eastAsia="en-US"/>
        </w:rPr>
      </w:pPr>
    </w:p>
    <w:p w14:paraId="286329D5">
      <w:pPr>
        <w:pageBreakBefore w:val="0"/>
        <w:kinsoku/>
        <w:topLinePunct w:val="0"/>
        <w:bidi w:val="0"/>
        <w:rPr>
          <w:lang w:val="en-US" w:eastAsia="en-US"/>
        </w:rPr>
      </w:pPr>
    </w:p>
    <w:p w14:paraId="0D494DEF">
      <w:pPr>
        <w:pageBreakBefore w:val="0"/>
        <w:kinsoku/>
        <w:topLinePunct w:val="0"/>
        <w:bidi w:val="0"/>
        <w:rPr>
          <w:lang w:val="en-US" w:eastAsia="en-US"/>
        </w:rPr>
      </w:pPr>
    </w:p>
    <w:p w14:paraId="07BE150B">
      <w:pPr>
        <w:pageBreakBefore w:val="0"/>
        <w:kinsoku/>
        <w:topLinePunct w:val="0"/>
        <w:bidi w:val="0"/>
        <w:rPr>
          <w:lang w:val="en-US" w:eastAsia="en-US"/>
        </w:rPr>
      </w:pPr>
    </w:p>
    <w:p w14:paraId="7B071965">
      <w:pPr>
        <w:pageBreakBefore w:val="0"/>
        <w:kinsoku/>
        <w:topLinePunct w:val="0"/>
        <w:bidi w:val="0"/>
        <w:rPr>
          <w:lang w:val="en-US" w:eastAsia="en-US"/>
        </w:rPr>
      </w:pPr>
    </w:p>
    <w:p w14:paraId="56F8D988">
      <w:pPr>
        <w:pageBreakBefore w:val="0"/>
        <w:kinsoku/>
        <w:topLinePunct w:val="0"/>
        <w:bidi w:val="0"/>
        <w:rPr>
          <w:lang w:val="en-US" w:eastAsia="en-US"/>
        </w:rPr>
      </w:pPr>
    </w:p>
    <w:p w14:paraId="2A9FC0EE">
      <w:pPr>
        <w:pageBreakBefore w:val="0"/>
        <w:kinsoku/>
        <w:topLinePunct w:val="0"/>
        <w:bidi w:val="0"/>
        <w:rPr>
          <w:lang w:val="en-US" w:eastAsia="en-US"/>
        </w:rPr>
      </w:pPr>
    </w:p>
    <w:p w14:paraId="69AD3B9F">
      <w:pPr>
        <w:pageBreakBefore w:val="0"/>
        <w:kinsoku/>
        <w:topLinePunct w:val="0"/>
        <w:bidi w:val="0"/>
        <w:rPr>
          <w:lang w:val="en-US" w:eastAsia="en-US"/>
        </w:rPr>
      </w:pPr>
    </w:p>
    <w:p w14:paraId="40EDC8F2">
      <w:pPr>
        <w:pageBreakBefore w:val="0"/>
        <w:kinsoku/>
        <w:topLinePunct w:val="0"/>
        <w:bidi w:val="0"/>
        <w:rPr>
          <w:lang w:val="en-US" w:eastAsia="en-US"/>
        </w:rPr>
      </w:pPr>
    </w:p>
    <w:p w14:paraId="380444EC">
      <w:pPr>
        <w:pageBreakBefore w:val="0"/>
        <w:kinsoku/>
        <w:topLinePunct w:val="0"/>
        <w:bidi w:val="0"/>
        <w:rPr>
          <w:lang w:val="en-US" w:eastAsia="en-US"/>
        </w:rPr>
      </w:pPr>
    </w:p>
    <w:p w14:paraId="689F8C15">
      <w:pPr>
        <w:pageBreakBefore w:val="0"/>
        <w:kinsoku/>
        <w:topLinePunct w:val="0"/>
        <w:bidi w:val="0"/>
        <w:rPr>
          <w:lang w:val="en-US" w:eastAsia="en-US"/>
        </w:rPr>
      </w:pPr>
    </w:p>
    <w:p w14:paraId="09C98E5A">
      <w:pPr>
        <w:pageBreakBefore w:val="0"/>
        <w:kinsoku/>
        <w:topLinePunct w:val="0"/>
        <w:bidi w:val="0"/>
        <w:rPr>
          <w:lang w:val="en-US" w:eastAsia="en-US"/>
        </w:rPr>
      </w:pPr>
    </w:p>
    <w:p w14:paraId="13176496">
      <w:pPr>
        <w:pageBreakBefore w:val="0"/>
        <w:kinsoku/>
        <w:topLinePunct w:val="0"/>
        <w:bidi w:val="0"/>
        <w:rPr>
          <w:lang w:val="en-US" w:eastAsia="en-US"/>
        </w:rPr>
      </w:pPr>
    </w:p>
    <w:p w14:paraId="563DD156">
      <w:pPr>
        <w:pageBreakBefore w:val="0"/>
        <w:kinsoku/>
        <w:topLinePunct w:val="0"/>
        <w:bidi w:val="0"/>
        <w:rPr>
          <w:lang w:val="en-US" w:eastAsia="en-US"/>
        </w:rPr>
      </w:pPr>
    </w:p>
    <w:p w14:paraId="6EC26C55">
      <w:pPr>
        <w:pageBreakBefore w:val="0"/>
        <w:kinsoku/>
        <w:topLinePunct w:val="0"/>
        <w:bidi w:val="0"/>
        <w:rPr>
          <w:lang w:val="en-US" w:eastAsia="en-US"/>
        </w:rPr>
      </w:pPr>
    </w:p>
    <w:p w14:paraId="0939E547">
      <w:pPr>
        <w:pageBreakBefore w:val="0"/>
        <w:kinsoku/>
        <w:topLinePunct w:val="0"/>
        <w:bidi w:val="0"/>
        <w:rPr>
          <w:lang w:val="en-US" w:eastAsia="en-US"/>
        </w:rPr>
      </w:pPr>
    </w:p>
    <w:p w14:paraId="21EA4F37">
      <w:pPr>
        <w:pageBreakBefore w:val="0"/>
        <w:kinsoku/>
        <w:topLinePunct w:val="0"/>
        <w:bidi w:val="0"/>
        <w:rPr>
          <w:lang w:val="en-US" w:eastAsia="en-US"/>
        </w:rPr>
      </w:pPr>
    </w:p>
    <w:p w14:paraId="75965393">
      <w:pPr>
        <w:pageBreakBefore w:val="0"/>
        <w:kinsoku/>
        <w:topLinePunct w:val="0"/>
        <w:bidi w:val="0"/>
        <w:rPr>
          <w:lang w:val="en-US" w:eastAsia="en-US"/>
        </w:rPr>
      </w:pPr>
    </w:p>
    <w:p w14:paraId="0853E069">
      <w:pPr>
        <w:pageBreakBefore w:val="0"/>
        <w:kinsoku/>
        <w:topLinePunct w:val="0"/>
        <w:bidi w:val="0"/>
        <w:rPr>
          <w:lang w:val="en-US" w:eastAsia="en-US"/>
        </w:rPr>
      </w:pPr>
    </w:p>
    <w:p w14:paraId="4D4CCF2B">
      <w:pPr>
        <w:pageBreakBefore w:val="0"/>
        <w:kinsoku/>
        <w:topLinePunct w:val="0"/>
        <w:bidi w:val="0"/>
        <w:rPr>
          <w:lang w:val="en-US" w:eastAsia="en-US"/>
        </w:rPr>
      </w:pPr>
    </w:p>
    <w:p w14:paraId="6B7EC689">
      <w:pPr>
        <w:pageBreakBefore w:val="0"/>
        <w:kinsoku/>
        <w:topLinePunct w:val="0"/>
        <w:bidi w:val="0"/>
        <w:rPr>
          <w:lang w:val="en-US" w:eastAsia="en-US"/>
        </w:rPr>
      </w:pPr>
    </w:p>
    <w:p w14:paraId="337C318C">
      <w:pPr>
        <w:pageBreakBefore w:val="0"/>
        <w:kinsoku/>
        <w:topLinePunct w:val="0"/>
        <w:bidi w:val="0"/>
        <w:rPr>
          <w:lang w:val="en-US" w:eastAsia="en-US"/>
        </w:rPr>
      </w:pPr>
    </w:p>
    <w:p w14:paraId="01CE4BEB">
      <w:pPr>
        <w:pageBreakBefore w:val="0"/>
        <w:kinsoku/>
        <w:topLinePunct w:val="0"/>
        <w:bidi w:val="0"/>
        <w:rPr>
          <w:lang w:val="en-US" w:eastAsia="en-US"/>
        </w:rPr>
      </w:pPr>
    </w:p>
    <w:p w14:paraId="5A2604E1">
      <w:pPr>
        <w:pageBreakBefore w:val="0"/>
        <w:kinsoku/>
        <w:topLinePunct w:val="0"/>
        <w:bidi w:val="0"/>
        <w:rPr>
          <w:lang w:val="en-US" w:eastAsia="en-US"/>
        </w:rPr>
      </w:pPr>
    </w:p>
    <w:p w14:paraId="7F6BB7DE">
      <w:pPr>
        <w:pageBreakBefore w:val="0"/>
        <w:kinsoku/>
        <w:topLinePunct w:val="0"/>
        <w:bidi w:val="0"/>
        <w:rPr>
          <w:lang w:val="en-US" w:eastAsia="en-US"/>
        </w:rPr>
      </w:pPr>
    </w:p>
    <w:p w14:paraId="7BF24145">
      <w:pPr>
        <w:pageBreakBefore w:val="0"/>
        <w:kinsoku/>
        <w:topLinePunct w:val="0"/>
        <w:bidi w:val="0"/>
        <w:rPr>
          <w:lang w:val="en-US" w:eastAsia="en-US"/>
        </w:rPr>
      </w:pPr>
    </w:p>
    <w:p w14:paraId="01BA4920">
      <w:pPr>
        <w:pageBreakBefore w:val="0"/>
        <w:kinsoku/>
        <w:topLinePunct w:val="0"/>
        <w:bidi w:val="0"/>
        <w:rPr>
          <w:lang w:val="en-US" w:eastAsia="en-US"/>
        </w:rPr>
      </w:pPr>
    </w:p>
    <w:p w14:paraId="632F8453">
      <w:pPr>
        <w:pageBreakBefore w:val="0"/>
        <w:kinsoku/>
        <w:topLinePunct w:val="0"/>
        <w:bidi w:val="0"/>
        <w:rPr>
          <w:lang w:val="en-US" w:eastAsia="en-US"/>
        </w:rPr>
      </w:pPr>
    </w:p>
    <w:p w14:paraId="1DB6E215">
      <w:pPr>
        <w:pageBreakBefore w:val="0"/>
        <w:kinsoku/>
        <w:topLinePunct w:val="0"/>
        <w:bidi w:val="0"/>
        <w:rPr>
          <w:lang w:val="en-US" w:eastAsia="en-US"/>
        </w:rPr>
      </w:pPr>
    </w:p>
    <w:p w14:paraId="49A0EF67">
      <w:pPr>
        <w:pageBreakBefore w:val="0"/>
        <w:kinsoku/>
        <w:topLinePunct w:val="0"/>
        <w:bidi w:val="0"/>
        <w:rPr>
          <w:lang w:val="en-US" w:eastAsia="en-US"/>
        </w:rPr>
      </w:pPr>
    </w:p>
    <w:p w14:paraId="25E21AAB">
      <w:pPr>
        <w:pageBreakBefore w:val="0"/>
        <w:kinsoku/>
        <w:topLinePunct w:val="0"/>
        <w:bidi w:val="0"/>
        <w:rPr>
          <w:lang w:val="en-US" w:eastAsia="en-US"/>
        </w:rPr>
      </w:pPr>
    </w:p>
    <w:p w14:paraId="405970D2">
      <w:pPr>
        <w:pageBreakBefore w:val="0"/>
        <w:kinsoku/>
        <w:topLinePunct w:val="0"/>
        <w:bidi w:val="0"/>
        <w:rPr>
          <w:lang w:val="en-US" w:eastAsia="en-US"/>
        </w:rPr>
      </w:pPr>
    </w:p>
    <w:p w14:paraId="4A6755C1">
      <w:pPr>
        <w:pageBreakBefore w:val="0"/>
        <w:kinsoku/>
        <w:topLinePunct w:val="0"/>
        <w:bidi w:val="0"/>
        <w:rPr>
          <w:lang w:val="en-US" w:eastAsia="en-US"/>
        </w:rPr>
      </w:pPr>
    </w:p>
    <w:p w14:paraId="76476F7C">
      <w:pPr>
        <w:pageBreakBefore w:val="0"/>
        <w:kinsoku/>
        <w:topLinePunct w:val="0"/>
        <w:bidi w:val="0"/>
        <w:rPr>
          <w:lang w:val="en-US" w:eastAsia="en-US"/>
        </w:rPr>
      </w:pPr>
    </w:p>
    <w:p w14:paraId="18DA8AF7">
      <w:pPr>
        <w:pageBreakBefore w:val="0"/>
        <w:kinsoku/>
        <w:topLinePunct w:val="0"/>
        <w:bidi w:val="0"/>
        <w:rPr>
          <w:lang w:val="en-US" w:eastAsia="en-US"/>
        </w:rPr>
      </w:pPr>
    </w:p>
    <w:p w14:paraId="2DC5421A">
      <w:pPr>
        <w:pageBreakBefore w:val="0"/>
        <w:kinsoku/>
        <w:topLinePunct w:val="0"/>
        <w:bidi w:val="0"/>
        <w:rPr>
          <w:lang w:val="en-US" w:eastAsia="en-US"/>
        </w:rPr>
      </w:pPr>
    </w:p>
    <w:p w14:paraId="41B41978">
      <w:pPr>
        <w:pageBreakBefore w:val="0"/>
        <w:kinsoku/>
        <w:topLinePunct w:val="0"/>
        <w:bidi w:val="0"/>
        <w:rPr>
          <w:lang w:val="en-US" w:eastAsia="en-US"/>
        </w:rPr>
      </w:pPr>
    </w:p>
    <w:p w14:paraId="250DD3A1">
      <w:pPr>
        <w:pageBreakBefore w:val="0"/>
        <w:kinsoku/>
        <w:topLinePunct w:val="0"/>
        <w:bidi w:val="0"/>
        <w:rPr>
          <w:lang w:val="en-US" w:eastAsia="en-US"/>
        </w:rPr>
      </w:pPr>
    </w:p>
    <w:p w14:paraId="64CF14BF">
      <w:pPr>
        <w:pageBreakBefore w:val="0"/>
        <w:numPr>
          <w:ilvl w:val="0"/>
          <w:numId w:val="1"/>
        </w:numPr>
        <w:kinsoku/>
        <w:topLinePunct w:val="0"/>
        <w:bidi w:val="0"/>
        <w:spacing w:before="1" w:line="203" w:lineRule="auto"/>
        <w:ind w:left="2799"/>
        <w:outlineLvl w:val="0"/>
        <w:rPr>
          <w:rFonts w:ascii="黑体" w:hAnsi="黑体" w:eastAsia="黑体" w:cs="黑体"/>
          <w:spacing w:val="9"/>
          <w:sz w:val="35"/>
          <w:szCs w:val="35"/>
          <w14:textOutline w14:w="6537" w14:cap="sq" w14:cmpd="sng">
            <w14:solidFill>
              <w14:srgbClr w14:val="000000"/>
            </w14:solidFill>
            <w14:prstDash w14:val="solid"/>
            <w14:bevel/>
          </w14:textOutline>
        </w:rPr>
      </w:pPr>
      <w:bookmarkStart w:id="0" w:name="bookmark1"/>
      <w:bookmarkEnd w:id="0"/>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竞争性磋商公告</w:t>
      </w:r>
    </w:p>
    <w:p w14:paraId="7EE49088">
      <w:pPr>
        <w:widowControl/>
        <w:kinsoku w:val="0"/>
        <w:autoSpaceDE w:val="0"/>
        <w:autoSpaceDN w:val="0"/>
        <w:adjustRightInd w:val="0"/>
        <w:snapToGrid w:val="0"/>
        <w:spacing w:before="97" w:line="222" w:lineRule="auto"/>
        <w:jc w:val="center"/>
        <w:textAlignment w:val="baseline"/>
        <w:rPr>
          <w:rFonts w:hint="eastAsia" w:ascii="仿宋" w:hAnsi="仿宋" w:eastAsia="仿宋" w:cs="仿宋"/>
          <w:b/>
          <w:bCs/>
          <w:snapToGrid w:val="0"/>
          <w:color w:val="000000"/>
          <w:kern w:val="0"/>
          <w:sz w:val="36"/>
          <w:szCs w:val="36"/>
          <w:lang w:val="en-US" w:eastAsia="zh-CN"/>
        </w:rPr>
      </w:pPr>
      <w:r>
        <w:rPr>
          <w:rFonts w:hint="eastAsia" w:ascii="仿宋" w:hAnsi="仿宋" w:eastAsia="仿宋" w:cs="仿宋"/>
          <w:b/>
          <w:bCs/>
          <w:snapToGrid w:val="0"/>
          <w:color w:val="000000"/>
          <w:kern w:val="0"/>
          <w:sz w:val="36"/>
          <w:szCs w:val="36"/>
          <w:lang w:val="en-US" w:eastAsia="zh-CN"/>
        </w:rPr>
        <w:t>柯坪县“十五五”自然资源规划修编项目（二次）</w:t>
      </w:r>
    </w:p>
    <w:p w14:paraId="3394A63C">
      <w:pPr>
        <w:widowControl/>
        <w:kinsoku w:val="0"/>
        <w:autoSpaceDE w:val="0"/>
        <w:autoSpaceDN w:val="0"/>
        <w:adjustRightInd w:val="0"/>
        <w:snapToGrid w:val="0"/>
        <w:spacing w:before="97" w:line="222" w:lineRule="auto"/>
        <w:jc w:val="center"/>
        <w:textAlignment w:val="baseline"/>
        <w:rPr>
          <w:rFonts w:ascii="仿宋" w:hAnsi="仿宋" w:eastAsia="仿宋" w:cs="仿宋"/>
          <w:sz w:val="27"/>
          <w:szCs w:val="27"/>
        </w:rPr>
      </w:pPr>
      <w:r>
        <w:rPr>
          <w:rFonts w:hint="eastAsia" w:ascii="仿宋" w:hAnsi="仿宋" w:eastAsia="仿宋" w:cs="仿宋"/>
          <w:b/>
          <w:bCs/>
          <w:snapToGrid w:val="0"/>
          <w:color w:val="000000"/>
          <w:kern w:val="0"/>
          <w:sz w:val="36"/>
          <w:szCs w:val="36"/>
          <w:lang w:val="en-US" w:eastAsia="zh-CN"/>
        </w:rPr>
        <w:t>竞争性磋商公告</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F74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5899A88">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ascii="仿宋" w:hAnsi="仿宋" w:eastAsia="仿宋" w:cs="仿宋"/>
                <w:sz w:val="27"/>
                <w:szCs w:val="27"/>
              </w:rPr>
              <w:t xml:space="preserve"> </w:t>
            </w:r>
            <w:r>
              <w:rPr>
                <w:rFonts w:hint="eastAsia" w:ascii="仿宋" w:hAnsi="仿宋" w:eastAsia="仿宋" w:cs="仿宋"/>
                <w:snapToGrid w:val="0"/>
                <w:color w:val="000000"/>
                <w:kern w:val="0"/>
                <w:sz w:val="27"/>
                <w:szCs w:val="27"/>
                <w:lang w:eastAsia="zh-CN" w:bidi="ar-SA"/>
              </w:rPr>
              <w:t>项目概况                                                    </w:t>
            </w:r>
          </w:p>
          <w:p w14:paraId="3C0E9C4A">
            <w:pPr>
              <w:pStyle w:val="7"/>
              <w:widowControl/>
              <w:kinsoku w:val="0"/>
              <w:autoSpaceDE w:val="0"/>
              <w:autoSpaceDN w:val="0"/>
              <w:adjustRightInd w:val="0"/>
              <w:snapToGrid w:val="0"/>
              <w:spacing w:before="75" w:beforeAutospacing="0" w:after="75" w:afterAutospacing="0"/>
              <w:ind w:left="0" w:right="0"/>
              <w:jc w:val="left"/>
              <w:textAlignment w:val="baseline"/>
              <w:rPr>
                <w:rFonts w:ascii="仿宋" w:hAnsi="仿宋" w:eastAsia="仿宋" w:cs="仿宋"/>
                <w:sz w:val="27"/>
                <w:szCs w:val="27"/>
                <w:vertAlign w:val="baseline"/>
              </w:rPr>
            </w:pPr>
            <w:r>
              <w:rPr>
                <w:rFonts w:hint="eastAsia" w:ascii="仿宋" w:hAnsi="仿宋" w:eastAsia="仿宋" w:cs="仿宋"/>
                <w:snapToGrid w:val="0"/>
                <w:color w:val="000000"/>
                <w:kern w:val="0"/>
                <w:sz w:val="27"/>
                <w:szCs w:val="27"/>
                <w:lang w:eastAsia="zh-CN" w:bidi="ar-SA"/>
              </w:rPr>
              <w:t xml:space="preserve">    柯坪县“十五五”自然资源规划修编项目（二次）采购项目的潜在供应商应在政采云平台线上获取采购文件，并于2025年03月25日 12:00（北京时间）前提交响应文件。          </w:t>
            </w:r>
          </w:p>
        </w:tc>
      </w:tr>
    </w:tbl>
    <w:p w14:paraId="32CF93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黑体" w:hAnsi="宋体" w:eastAsia="黑体" w:cs="黑体"/>
          <w:sz w:val="31"/>
          <w:szCs w:val="31"/>
        </w:rPr>
      </w:pPr>
      <w:r>
        <w:rPr>
          <w:rStyle w:val="15"/>
          <w:rFonts w:ascii="黑体" w:hAnsi="宋体" w:eastAsia="黑体" w:cs="黑体"/>
          <w:sz w:val="27"/>
          <w:szCs w:val="27"/>
        </w:rPr>
        <w:t>一、项目基本情况</w:t>
      </w:r>
    </w:p>
    <w:p w14:paraId="511ADBE3">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z w:val="27"/>
          <w:szCs w:val="27"/>
        </w:rPr>
        <w:t>   </w:t>
      </w:r>
      <w:r>
        <w:rPr>
          <w:rFonts w:hint="eastAsia" w:ascii="仿宋" w:hAnsi="仿宋" w:eastAsia="仿宋" w:cs="仿宋"/>
          <w:snapToGrid w:val="0"/>
          <w:color w:val="000000"/>
          <w:kern w:val="0"/>
          <w:sz w:val="27"/>
          <w:szCs w:val="27"/>
          <w:lang w:eastAsia="zh-CN" w:bidi="ar-SA"/>
        </w:rPr>
        <w:t xml:space="preserve"> 项目编号：KPXZCY2025- 004 </w:t>
      </w:r>
    </w:p>
    <w:p w14:paraId="7B6C708A">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项目名称：柯坪县“十五五”自然资源规划修编项目（二次） </w:t>
      </w:r>
    </w:p>
    <w:p w14:paraId="752CA0B1">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采购方式：竞争性磋商 </w:t>
      </w:r>
    </w:p>
    <w:p w14:paraId="4E02CDD4">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预算金额（元）：</w:t>
      </w:r>
      <w:r>
        <w:rPr>
          <w:rFonts w:hint="eastAsia" w:ascii="仿宋" w:hAnsi="仿宋" w:eastAsia="仿宋" w:cs="仿宋"/>
          <w:snapToGrid w:val="0"/>
          <w:color w:val="000000"/>
          <w:kern w:val="0"/>
          <w:sz w:val="27"/>
          <w:szCs w:val="27"/>
          <w:lang w:val="en-US" w:eastAsia="zh-CN" w:bidi="ar-SA"/>
        </w:rPr>
        <w:t>1400000.00</w:t>
      </w:r>
      <w:r>
        <w:rPr>
          <w:rFonts w:hint="eastAsia" w:ascii="仿宋" w:hAnsi="仿宋" w:eastAsia="仿宋" w:cs="仿宋"/>
          <w:snapToGrid w:val="0"/>
          <w:color w:val="000000"/>
          <w:kern w:val="0"/>
          <w:sz w:val="27"/>
          <w:szCs w:val="27"/>
          <w:lang w:eastAsia="zh-CN" w:bidi="ar-SA"/>
        </w:rPr>
        <w:t> </w:t>
      </w:r>
    </w:p>
    <w:p w14:paraId="7F4418B3">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最高限价（元）：</w:t>
      </w:r>
      <w:r>
        <w:rPr>
          <w:rFonts w:hint="eastAsia" w:ascii="仿宋" w:hAnsi="仿宋" w:eastAsia="仿宋" w:cs="仿宋"/>
          <w:snapToGrid w:val="0"/>
          <w:color w:val="000000"/>
          <w:kern w:val="0"/>
          <w:sz w:val="27"/>
          <w:szCs w:val="27"/>
          <w:lang w:val="en-US" w:eastAsia="zh-CN" w:bidi="ar-SA"/>
        </w:rPr>
        <w:t>1400000.00</w:t>
      </w:r>
      <w:r>
        <w:rPr>
          <w:rFonts w:hint="eastAsia" w:ascii="仿宋" w:hAnsi="仿宋" w:eastAsia="仿宋" w:cs="仿宋"/>
          <w:snapToGrid w:val="0"/>
          <w:color w:val="000000"/>
          <w:kern w:val="0"/>
          <w:sz w:val="27"/>
          <w:szCs w:val="27"/>
          <w:lang w:eastAsia="zh-CN" w:bidi="ar-SA"/>
        </w:rPr>
        <w:t>  </w:t>
      </w:r>
    </w:p>
    <w:p w14:paraId="0EF51614">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采购需求：</w:t>
      </w:r>
    </w:p>
    <w:p w14:paraId="7409CA97">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val="en-US" w:eastAsia="zh-CN" w:bidi="ar-SA"/>
        </w:rPr>
        <w:t xml:space="preserve">  </w:t>
      </w:r>
      <w:r>
        <w:rPr>
          <w:rFonts w:hint="eastAsia" w:ascii="仿宋" w:hAnsi="仿宋" w:eastAsia="仿宋" w:cs="仿宋"/>
          <w:snapToGrid w:val="0"/>
          <w:color w:val="000000"/>
          <w:kern w:val="0"/>
          <w:sz w:val="27"/>
          <w:szCs w:val="27"/>
          <w:lang w:eastAsia="zh-CN" w:bidi="ar-SA"/>
        </w:rPr>
        <w:t>   标项名称： 柯坪县“十五五”自然资源规划修编项目（二次） </w:t>
      </w:r>
    </w:p>
    <w:p w14:paraId="594AA5E6">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val="en-US" w:eastAsia="zh-CN" w:bidi="ar-SA"/>
        </w:rPr>
        <w:t>   数量：1     </w:t>
      </w:r>
    </w:p>
    <w:p w14:paraId="127F28FC">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预算金额（元）：</w:t>
      </w:r>
      <w:r>
        <w:rPr>
          <w:rFonts w:hint="eastAsia" w:ascii="仿宋" w:hAnsi="仿宋" w:eastAsia="仿宋" w:cs="仿宋"/>
          <w:snapToGrid w:val="0"/>
          <w:color w:val="000000"/>
          <w:kern w:val="0"/>
          <w:sz w:val="27"/>
          <w:szCs w:val="27"/>
          <w:lang w:val="en-US" w:eastAsia="zh-CN" w:bidi="ar-SA"/>
        </w:rPr>
        <w:t>1400000.00</w:t>
      </w:r>
      <w:r>
        <w:rPr>
          <w:rFonts w:hint="eastAsia" w:ascii="仿宋" w:hAnsi="仿宋" w:eastAsia="仿宋" w:cs="仿宋"/>
          <w:snapToGrid w:val="0"/>
          <w:color w:val="000000"/>
          <w:kern w:val="0"/>
          <w:sz w:val="27"/>
          <w:szCs w:val="27"/>
          <w:lang w:eastAsia="zh-CN" w:bidi="ar-SA"/>
        </w:rPr>
        <w:t> </w:t>
      </w:r>
    </w:p>
    <w:p w14:paraId="3AED070E">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单位：项 </w:t>
      </w:r>
    </w:p>
    <w:p w14:paraId="4E80C957">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简要规格描述：1.根据国家、自治区、地区等相关文件精神和技术规范，结合柯坪城镇发展实际需求，对已定城镇开发边界进行适当优化调整，完善城镇功能，提升人居环境品质，优化空间的区域边界。</w:t>
      </w:r>
    </w:p>
    <w:p w14:paraId="63425743">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xml:space="preserve"> 2.开展柯坪县控制性详细规划修编，优化城镇整体空间布局，推动柯坪县城市和产业集中高质量发展。（具体参数详见磋商文件） </w:t>
      </w:r>
    </w:p>
    <w:p w14:paraId="4B08C525">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备注： </w:t>
      </w:r>
    </w:p>
    <w:p w14:paraId="1C8A08BC">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FF"/>
          <w:kern w:val="0"/>
          <w:sz w:val="27"/>
          <w:szCs w:val="27"/>
          <w:lang w:eastAsia="zh-CN" w:bidi="ar-SA"/>
        </w:rPr>
      </w:pPr>
      <w:r>
        <w:rPr>
          <w:rFonts w:hint="eastAsia" w:ascii="仿宋" w:hAnsi="仿宋" w:eastAsia="仿宋" w:cs="仿宋"/>
          <w:snapToGrid w:val="0"/>
          <w:color w:val="000000"/>
          <w:kern w:val="0"/>
          <w:sz w:val="27"/>
          <w:szCs w:val="27"/>
          <w:lang w:eastAsia="zh-CN" w:bidi="ar-SA"/>
        </w:rPr>
        <w:t>    合同履约期限：标项 1，自合同签订之日起至2025年10月31日止  </w:t>
      </w:r>
    </w:p>
    <w:p w14:paraId="588FC9CF">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本项目（否）接受联合体投标。  </w:t>
      </w:r>
    </w:p>
    <w:p w14:paraId="4F979FD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15"/>
          <w:rFonts w:ascii="黑体" w:hAnsi="宋体" w:eastAsia="黑体" w:cs="黑体"/>
          <w:sz w:val="27"/>
          <w:szCs w:val="27"/>
        </w:rPr>
      </w:pPr>
      <w:r>
        <w:rPr>
          <w:rStyle w:val="15"/>
          <w:rFonts w:ascii="黑体" w:hAnsi="宋体" w:eastAsia="黑体" w:cs="黑体"/>
          <w:sz w:val="27"/>
          <w:szCs w:val="27"/>
        </w:rPr>
        <w:t>二、申请人的资格要求：</w:t>
      </w:r>
    </w:p>
    <w:p w14:paraId="4913BC7D">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z w:val="27"/>
          <w:szCs w:val="27"/>
        </w:rPr>
        <w:t xml:space="preserve">  </w:t>
      </w:r>
      <w:r>
        <w:rPr>
          <w:rFonts w:hint="eastAsia" w:ascii="仿宋" w:hAnsi="仿宋" w:eastAsia="仿宋" w:cs="仿宋"/>
          <w:snapToGrid w:val="0"/>
          <w:color w:val="000000"/>
          <w:kern w:val="0"/>
          <w:sz w:val="27"/>
          <w:szCs w:val="27"/>
          <w:lang w:eastAsia="zh-CN" w:bidi="ar-SA"/>
        </w:rPr>
        <w:t>  1.满足《中华人民共和国政府采购法》第二十二条规定；</w:t>
      </w:r>
    </w:p>
    <w:p w14:paraId="07DB954B">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2.落实政府采购政策需满足的资格要求：标项1：（1）《政府采购促进中小企业发展管理办法》（财库〔2020〕46号；</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（2）《财政部、司法部关于政府采购支持财库〔2014〕68号文件的通知》；</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（3）财政部生态环境部关于印发环境标志产品政府采购品目清单的通知（财库〔2019〕18号）；</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（4）《财政部民政部中国残疾人联合会关于促进残疾人就业政府采购政策的通知》财库〔2017〕141号；</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5）《财政部发展改革委生态环境部市场监管总局关于调整优化节能产品环境标志产品政府采购执行机制的通知》（财库〔2019〕9号），投标产品遵照《关于印发节能产品政府采购品目清单的通知》（财库〔2019〕19号）相关规定执行。 </w:t>
      </w:r>
    </w:p>
    <w:p w14:paraId="5916E73C">
      <w:pPr>
        <w:pStyle w:val="7"/>
        <w:widowControl/>
        <w:shd w:val="clear"/>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auto"/>
          <w:kern w:val="0"/>
          <w:sz w:val="27"/>
          <w:szCs w:val="27"/>
          <w:lang w:eastAsia="zh-CN" w:bidi="ar-SA"/>
        </w:rPr>
      </w:pPr>
      <w:r>
        <w:rPr>
          <w:rFonts w:hint="eastAsia" w:ascii="仿宋" w:hAnsi="仿宋" w:eastAsia="仿宋" w:cs="仿宋"/>
          <w:snapToGrid w:val="0"/>
          <w:color w:val="auto"/>
          <w:kern w:val="0"/>
          <w:sz w:val="27"/>
          <w:szCs w:val="27"/>
          <w:lang w:eastAsia="zh-CN" w:bidi="ar-SA"/>
        </w:rPr>
        <w:t>    3.本项目的特定资格要求：</w:t>
      </w:r>
      <w:r>
        <w:rPr>
          <w:rFonts w:hint="eastAsia" w:ascii="仿宋" w:hAnsi="仿宋" w:eastAsia="仿宋" w:cs="仿宋"/>
          <w:snapToGrid w:val="0"/>
          <w:color w:val="auto"/>
          <w:kern w:val="0"/>
          <w:sz w:val="27"/>
          <w:szCs w:val="27"/>
          <w:lang w:eastAsia="zh-CN" w:bidi="ar-SA"/>
        </w:rPr>
        <w:br w:type="textWrapping"/>
      </w:r>
      <w:r>
        <w:rPr>
          <w:rFonts w:hint="eastAsia" w:ascii="仿宋" w:hAnsi="仿宋" w:eastAsia="仿宋" w:cs="仿宋"/>
          <w:snapToGrid w:val="0"/>
          <w:color w:val="auto"/>
          <w:kern w:val="0"/>
          <w:sz w:val="27"/>
          <w:szCs w:val="27"/>
          <w:lang w:eastAsia="zh-CN" w:bidi="ar-SA"/>
        </w:rPr>
        <w:t>【标</w:t>
      </w:r>
      <w:r>
        <w:rPr>
          <w:rFonts w:hint="eastAsia" w:ascii="仿宋" w:hAnsi="仿宋" w:eastAsia="仿宋" w:cs="仿宋"/>
          <w:snapToGrid w:val="0"/>
          <w:color w:val="auto"/>
          <w:kern w:val="0"/>
          <w:sz w:val="27"/>
          <w:szCs w:val="27"/>
          <w:highlight w:val="none"/>
          <w:lang w:eastAsia="zh-CN" w:bidi="ar-SA"/>
        </w:rPr>
        <w:t>项1】供应商具备有效的城乡规划编制乙级及以上资质证书； </w:t>
      </w:r>
    </w:p>
    <w:p w14:paraId="5C132C6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15"/>
          <w:rFonts w:ascii="黑体" w:hAnsi="宋体" w:eastAsia="黑体" w:cs="黑体"/>
          <w:sz w:val="27"/>
          <w:szCs w:val="27"/>
        </w:rPr>
      </w:pPr>
      <w:r>
        <w:rPr>
          <w:rStyle w:val="15"/>
          <w:rFonts w:ascii="黑体" w:hAnsi="宋体" w:eastAsia="黑体" w:cs="黑体"/>
          <w:sz w:val="27"/>
          <w:szCs w:val="27"/>
        </w:rPr>
        <w:t>三、获取采购文件</w:t>
      </w:r>
    </w:p>
    <w:p w14:paraId="25ED2C67">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z w:val="27"/>
          <w:szCs w:val="27"/>
        </w:rPr>
        <w:t>   </w:t>
      </w:r>
      <w:r>
        <w:rPr>
          <w:rFonts w:hint="eastAsia" w:ascii="仿宋" w:hAnsi="仿宋" w:eastAsia="仿宋" w:cs="仿宋"/>
          <w:snapToGrid w:val="0"/>
          <w:color w:val="000000"/>
          <w:kern w:val="0"/>
          <w:sz w:val="27"/>
          <w:szCs w:val="27"/>
          <w:lang w:eastAsia="zh-CN" w:bidi="ar-SA"/>
        </w:rPr>
        <w:t> 时间：202</w:t>
      </w:r>
      <w:r>
        <w:rPr>
          <w:rFonts w:hint="eastAsia" w:ascii="仿宋" w:hAnsi="仿宋" w:eastAsia="仿宋" w:cs="仿宋"/>
          <w:snapToGrid w:val="0"/>
          <w:color w:val="000000"/>
          <w:kern w:val="0"/>
          <w:sz w:val="27"/>
          <w:szCs w:val="27"/>
          <w:lang w:val="en-US" w:eastAsia="zh-CN" w:bidi="ar-SA"/>
        </w:rPr>
        <w:t>5</w:t>
      </w:r>
      <w:r>
        <w:rPr>
          <w:rFonts w:hint="eastAsia" w:ascii="仿宋" w:hAnsi="仿宋" w:eastAsia="仿宋" w:cs="仿宋"/>
          <w:snapToGrid w:val="0"/>
          <w:color w:val="000000"/>
          <w:kern w:val="0"/>
          <w:sz w:val="27"/>
          <w:szCs w:val="27"/>
          <w:lang w:eastAsia="zh-CN" w:bidi="ar-SA"/>
        </w:rPr>
        <w:t>年</w:t>
      </w:r>
      <w:r>
        <w:rPr>
          <w:rFonts w:hint="eastAsia" w:ascii="仿宋" w:hAnsi="仿宋" w:eastAsia="仿宋" w:cs="仿宋"/>
          <w:snapToGrid w:val="0"/>
          <w:color w:val="000000"/>
          <w:kern w:val="0"/>
          <w:sz w:val="27"/>
          <w:szCs w:val="27"/>
          <w:lang w:val="en-US" w:eastAsia="zh-CN" w:bidi="ar-SA"/>
        </w:rPr>
        <w:t>03</w:t>
      </w:r>
      <w:r>
        <w:rPr>
          <w:rFonts w:hint="eastAsia" w:ascii="仿宋" w:hAnsi="仿宋" w:eastAsia="仿宋" w:cs="仿宋"/>
          <w:snapToGrid w:val="0"/>
          <w:color w:val="000000"/>
          <w:kern w:val="0"/>
          <w:sz w:val="27"/>
          <w:szCs w:val="27"/>
          <w:lang w:eastAsia="zh-CN" w:bidi="ar-SA"/>
        </w:rPr>
        <w:t>月</w:t>
      </w:r>
      <w:r>
        <w:rPr>
          <w:rFonts w:hint="eastAsia" w:ascii="仿宋" w:hAnsi="仿宋" w:eastAsia="仿宋" w:cs="仿宋"/>
          <w:snapToGrid w:val="0"/>
          <w:color w:val="000000"/>
          <w:kern w:val="0"/>
          <w:sz w:val="27"/>
          <w:szCs w:val="27"/>
          <w:lang w:val="en-US" w:eastAsia="zh-CN" w:bidi="ar-SA"/>
        </w:rPr>
        <w:t>12</w:t>
      </w:r>
      <w:r>
        <w:rPr>
          <w:rFonts w:hint="eastAsia" w:ascii="仿宋" w:hAnsi="仿宋" w:eastAsia="仿宋" w:cs="仿宋"/>
          <w:snapToGrid w:val="0"/>
          <w:color w:val="000000"/>
          <w:kern w:val="0"/>
          <w:sz w:val="27"/>
          <w:szCs w:val="27"/>
          <w:lang w:eastAsia="zh-CN" w:bidi="ar-SA"/>
        </w:rPr>
        <w:t>日至2025年03月</w:t>
      </w:r>
      <w:r>
        <w:rPr>
          <w:rFonts w:hint="eastAsia" w:ascii="仿宋" w:hAnsi="仿宋" w:eastAsia="仿宋" w:cs="仿宋"/>
          <w:snapToGrid w:val="0"/>
          <w:color w:val="000000"/>
          <w:kern w:val="0"/>
          <w:sz w:val="27"/>
          <w:szCs w:val="27"/>
          <w:lang w:val="en-US" w:eastAsia="zh-CN" w:bidi="ar-SA"/>
        </w:rPr>
        <w:t>19</w:t>
      </w:r>
      <w:r>
        <w:rPr>
          <w:rFonts w:hint="eastAsia" w:ascii="仿宋" w:hAnsi="仿宋" w:eastAsia="仿宋" w:cs="仿宋"/>
          <w:snapToGrid w:val="0"/>
          <w:color w:val="000000"/>
          <w:kern w:val="0"/>
          <w:sz w:val="27"/>
          <w:szCs w:val="27"/>
          <w:lang w:eastAsia="zh-CN" w:bidi="ar-SA"/>
        </w:rPr>
        <w:t>日，每天上午10:00至14:00，下午</w:t>
      </w:r>
      <w:r>
        <w:rPr>
          <w:rFonts w:hint="eastAsia" w:ascii="仿宋" w:hAnsi="仿宋" w:eastAsia="仿宋" w:cs="仿宋"/>
          <w:snapToGrid w:val="0"/>
          <w:color w:val="000000"/>
          <w:kern w:val="0"/>
          <w:sz w:val="27"/>
          <w:szCs w:val="27"/>
          <w:lang w:val="en-US" w:eastAsia="zh-CN" w:bidi="ar-SA"/>
        </w:rPr>
        <w:t>15</w:t>
      </w:r>
      <w:r>
        <w:rPr>
          <w:rFonts w:hint="eastAsia" w:ascii="仿宋" w:hAnsi="仿宋" w:eastAsia="仿宋" w:cs="仿宋"/>
          <w:snapToGrid w:val="0"/>
          <w:color w:val="000000"/>
          <w:kern w:val="0"/>
          <w:sz w:val="27"/>
          <w:szCs w:val="27"/>
          <w:lang w:eastAsia="zh-CN" w:bidi="ar-SA"/>
        </w:rPr>
        <w:t>:30至19:30（北京时间，法定节假日除外）</w:t>
      </w:r>
    </w:p>
    <w:p w14:paraId="186A39C8">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地点：政采云平台线上 </w:t>
      </w:r>
    </w:p>
    <w:p w14:paraId="38332E9B">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方式：供应商登录政采云平台https://www.zcygov.cn/在线申请获取采购文件（进入“项目采购”应用，在获取采购文件菜单中选择项目，申请获取采购文件），或者点击采购公告底部潜在供应商“获取采购文件”，页面跳转后登录，直接获取采购文件。 </w:t>
      </w:r>
    </w:p>
    <w:p w14:paraId="6C8092FB">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售价（元）： 0 </w:t>
      </w:r>
    </w:p>
    <w:p w14:paraId="6AD1C5E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15"/>
          <w:rFonts w:ascii="黑体" w:hAnsi="宋体" w:eastAsia="黑体" w:cs="黑体"/>
          <w:sz w:val="27"/>
          <w:szCs w:val="27"/>
        </w:rPr>
      </w:pPr>
      <w:r>
        <w:rPr>
          <w:rStyle w:val="15"/>
          <w:rFonts w:ascii="黑体" w:hAnsi="宋体" w:eastAsia="黑体" w:cs="黑体"/>
          <w:sz w:val="27"/>
          <w:szCs w:val="27"/>
        </w:rPr>
        <w:t>四、响应文件提交 </w:t>
      </w:r>
    </w:p>
    <w:p w14:paraId="76EC7615">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z w:val="27"/>
          <w:szCs w:val="27"/>
        </w:rPr>
        <w:t>   </w:t>
      </w:r>
      <w:r>
        <w:rPr>
          <w:rFonts w:hint="eastAsia" w:ascii="仿宋" w:hAnsi="仿宋" w:eastAsia="仿宋" w:cs="仿宋"/>
          <w:snapToGrid w:val="0"/>
          <w:color w:val="000000"/>
          <w:kern w:val="0"/>
          <w:sz w:val="27"/>
          <w:szCs w:val="27"/>
          <w:lang w:eastAsia="zh-CN" w:bidi="ar-SA"/>
        </w:rPr>
        <w:t xml:space="preserve"> 截止时间：2025年03月25日 12:00（北京时间）</w:t>
      </w:r>
    </w:p>
    <w:p w14:paraId="0ED9A5EF">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地点：请登录政采云投标客户端投标 </w:t>
      </w:r>
    </w:p>
    <w:p w14:paraId="7888E86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15"/>
          <w:rFonts w:ascii="黑体" w:hAnsi="宋体" w:eastAsia="黑体" w:cs="黑体"/>
          <w:sz w:val="27"/>
          <w:szCs w:val="27"/>
        </w:rPr>
      </w:pPr>
      <w:r>
        <w:rPr>
          <w:rStyle w:val="15"/>
          <w:rFonts w:ascii="黑体" w:hAnsi="宋体" w:eastAsia="黑体" w:cs="黑体"/>
          <w:sz w:val="27"/>
          <w:szCs w:val="27"/>
        </w:rPr>
        <w:t>五、响应文件开启 </w:t>
      </w:r>
    </w:p>
    <w:p w14:paraId="7818C55A">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z w:val="27"/>
          <w:szCs w:val="27"/>
        </w:rPr>
        <w:t>   </w:t>
      </w:r>
      <w:r>
        <w:rPr>
          <w:rFonts w:hint="eastAsia" w:ascii="仿宋" w:hAnsi="仿宋" w:eastAsia="仿宋" w:cs="仿宋"/>
          <w:snapToGrid w:val="0"/>
          <w:color w:val="000000"/>
          <w:kern w:val="0"/>
          <w:sz w:val="27"/>
          <w:szCs w:val="27"/>
          <w:lang w:eastAsia="zh-CN" w:bidi="ar-SA"/>
        </w:rPr>
        <w:t xml:space="preserve"> 开启时间：2025年03月25日 12:00 （北京时间）</w:t>
      </w:r>
    </w:p>
    <w:p w14:paraId="6BCE109E">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地点：投标人登录政采云平台https://www.zcygov.cn/进入“项目采购－开标评标－右边选择对应项目点击“进入项目”进入开标大厅。</w:t>
      </w:r>
    </w:p>
    <w:p w14:paraId="5B37766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15"/>
          <w:rFonts w:ascii="黑体" w:hAnsi="宋体" w:eastAsia="黑体" w:cs="黑体"/>
          <w:sz w:val="27"/>
          <w:szCs w:val="27"/>
        </w:rPr>
      </w:pPr>
      <w:r>
        <w:rPr>
          <w:rStyle w:val="15"/>
          <w:rFonts w:ascii="黑体" w:hAnsi="宋体" w:eastAsia="黑体" w:cs="黑体"/>
          <w:sz w:val="27"/>
          <w:szCs w:val="27"/>
        </w:rPr>
        <w:t>六、公告期限</w:t>
      </w:r>
    </w:p>
    <w:p w14:paraId="3C42E23D">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自本公告发布之日起3个工作日。</w:t>
      </w:r>
    </w:p>
    <w:p w14:paraId="1154602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15"/>
          <w:rFonts w:ascii="黑体" w:hAnsi="宋体" w:eastAsia="黑体" w:cs="黑体"/>
          <w:sz w:val="27"/>
          <w:szCs w:val="27"/>
        </w:rPr>
      </w:pPr>
      <w:r>
        <w:rPr>
          <w:rStyle w:val="15"/>
          <w:rFonts w:ascii="黑体" w:hAnsi="宋体" w:eastAsia="黑体" w:cs="黑体"/>
          <w:sz w:val="27"/>
          <w:szCs w:val="27"/>
        </w:rPr>
        <w:t>七、其他补充事宜 </w:t>
      </w:r>
    </w:p>
    <w:p w14:paraId="04C1F3A5">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1、本次公告在新疆政府采购网、柯坪县人民政府网同时发布；</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2、请投标单位随时关注本项目的变更、答疑、澄清文件。</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3、本项目实行电子招投标，供应商须登录政采云平台申请获取磋商文件，并通过政采云电子投标客户端制作响应文件，同时自行承担与投标有关的一切费用。</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仿宋" w:hAnsi="仿宋" w:eastAsia="仿宋" w:cs="仿宋"/>
          <w:snapToGrid w:val="0"/>
          <w:color w:val="000000"/>
          <w:kern w:val="0"/>
          <w:sz w:val="27"/>
          <w:szCs w:val="27"/>
          <w:lang w:eastAsia="zh-CN" w:bidi="ar-SA"/>
        </w:rPr>
        <w:br w:type="textWrapping"/>
      </w:r>
      <w:r>
        <w:rPr>
          <w:rFonts w:hint="eastAsia" w:ascii="仿宋" w:hAnsi="仿宋" w:eastAsia="仿宋" w:cs="仿宋"/>
          <w:snapToGrid w:val="0"/>
          <w:color w:val="000000"/>
          <w:kern w:val="0"/>
          <w:sz w:val="27"/>
          <w:szCs w:val="27"/>
          <w:lang w:eastAsia="zh-CN" w:bidi="ar-SA"/>
        </w:rPr>
        <w:t>8、其他内容详见采购文件。  </w:t>
      </w:r>
    </w:p>
    <w:p w14:paraId="5CD222B5">
      <w:pPr>
        <w:pStyle w:val="7"/>
        <w:keepNext w:val="0"/>
        <w:keepLines w:val="0"/>
        <w:widowControl/>
        <w:suppressLineNumbers w:val="0"/>
        <w:spacing w:before="75" w:beforeAutospacing="0" w:after="75" w:afterAutospacing="0"/>
        <w:ind w:left="0" w:right="0"/>
      </w:pPr>
      <w:r>
        <w:t>特别提示：</w:t>
      </w:r>
    </w:p>
    <w:p w14:paraId="5FCF50FC">
      <w:pPr>
        <w:pStyle w:val="7"/>
        <w:keepNext w:val="0"/>
        <w:keepLines w:val="0"/>
        <w:widowControl/>
        <w:suppressLineNumbers w:val="0"/>
        <w:spacing w:before="75" w:beforeAutospacing="0" w:after="75" w:afterAutospacing="0"/>
        <w:ind w:left="0" w:right="0"/>
      </w:pPr>
      <w:r>
        <w:rPr>
          <w:rFonts w:hint="eastAsia" w:eastAsia="宋体"/>
          <w:lang w:eastAsia="zh-CN"/>
        </w:rPr>
        <w:t>1.</w:t>
      </w:r>
      <w:r>
        <w:t>采购限额标准以上，200万元以下的货物和服务采购项目、400万元以下的工程采购项目，适宜由中小企业提供的，采购人应当专门面向中小企业采购。</w:t>
      </w:r>
    </w:p>
    <w:p w14:paraId="76666028">
      <w:pPr>
        <w:pStyle w:val="7"/>
        <w:keepNext w:val="0"/>
        <w:keepLines w:val="0"/>
        <w:widowControl/>
        <w:suppressLineNumbers w:val="0"/>
        <w:spacing w:before="75" w:beforeAutospacing="0" w:after="75" w:afterAutospacing="0"/>
        <w:ind w:left="0" w:right="0"/>
      </w:pPr>
      <w:r>
        <w:t>2、超过200万元的货物和服务采购项目，预留该部分采购项目预算总额的30%以上专门面向中小企业采购，其中预留给小微企业的比例不低于60%。</w:t>
      </w:r>
    </w:p>
    <w:p w14:paraId="3E321CB4">
      <w:pPr>
        <w:pStyle w:val="7"/>
        <w:keepNext w:val="0"/>
        <w:keepLines w:val="0"/>
        <w:widowControl/>
        <w:suppressLineNumbers w:val="0"/>
        <w:spacing w:before="75" w:beforeAutospacing="0" w:after="75" w:afterAutospacing="0"/>
        <w:ind w:left="0" w:right="0"/>
      </w:pPr>
      <w:r>
        <w:t>3、超过400万元的工程采购项目中适宜由中小企业提供的，预留该部分采购项目预算总额的40%以上专门面向中小企业采购，其中预留给小微企业的比例不低于60%。</w:t>
      </w:r>
    </w:p>
    <w:p w14:paraId="6A35E3A3">
      <w:pPr>
        <w:pStyle w:val="7"/>
        <w:keepNext w:val="0"/>
        <w:keepLines w:val="0"/>
        <w:widowControl/>
        <w:suppressLineNumbers w:val="0"/>
        <w:spacing w:before="75" w:beforeAutospacing="0" w:after="75" w:afterAutospacing="0"/>
        <w:ind w:left="0" w:right="0"/>
      </w:pPr>
      <w:r>
        <w:rPr>
          <w:rFonts w:hint="eastAsia" w:eastAsia="宋体"/>
          <w:lang w:eastAsia="zh-CN"/>
        </w:rPr>
        <w:t>4.</w:t>
      </w:r>
      <w:r>
        <w:t>对于未预留份额专门面向中小企业的采购项目，以及预留份额项目中的非预留部分采购包，采购人、采购代理机构应当对符合规定的小微企业报价给予10%</w:t>
      </w:r>
      <w:r>
        <w:rPr>
          <w:rFonts w:hint="eastAsia" w:eastAsia="宋体"/>
          <w:lang w:eastAsia="zh-CN"/>
        </w:rPr>
        <w:t>～</w:t>
      </w:r>
      <w:r>
        <w:t>20%（工程项目为3%</w:t>
      </w:r>
      <w:r>
        <w:rPr>
          <w:rFonts w:hint="eastAsia" w:eastAsia="宋体"/>
          <w:lang w:eastAsia="zh-CN"/>
        </w:rPr>
        <w:t>～</w:t>
      </w:r>
      <w: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eastAsia="宋体"/>
          <w:lang w:eastAsia="zh-CN"/>
        </w:rPr>
        <w:t>～</w:t>
      </w:r>
      <w:r>
        <w:t>5%作为其价格分。</w:t>
      </w:r>
    </w:p>
    <w:p w14:paraId="3FEB0569">
      <w:pPr>
        <w:pStyle w:val="7"/>
        <w:keepNext w:val="0"/>
        <w:keepLines w:val="0"/>
        <w:widowControl/>
        <w:suppressLineNumbers w:val="0"/>
        <w:spacing w:before="75" w:beforeAutospacing="0" w:after="75" w:afterAutospacing="0"/>
        <w:ind w:left="0" w:right="0"/>
      </w:pPr>
      <w:r>
        <w:rPr>
          <w:rFonts w:hint="eastAsia" w:eastAsia="宋体"/>
          <w:lang w:eastAsia="zh-CN"/>
        </w:rPr>
        <w:t>5.</w:t>
      </w:r>
      <w: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eastAsia="宋体"/>
          <w:lang w:eastAsia="zh-CN"/>
        </w:rPr>
        <w:t>～</w:t>
      </w:r>
      <w:r>
        <w:t>6%（工程项目为1%</w:t>
      </w:r>
      <w:r>
        <w:rPr>
          <w:rFonts w:hint="eastAsia" w:eastAsia="宋体"/>
          <w:lang w:eastAsia="zh-CN"/>
        </w:rPr>
        <w:t>～</w:t>
      </w:r>
      <w: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eastAsia="宋体"/>
          <w:lang w:eastAsia="zh-CN"/>
        </w:rPr>
        <w:t>～</w:t>
      </w:r>
      <w:r>
        <w:t>2%作为其价格分。</w:t>
      </w:r>
    </w:p>
    <w:p w14:paraId="372F8FA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15"/>
          <w:rFonts w:ascii="黑体" w:hAnsi="宋体" w:eastAsia="黑体" w:cs="黑体"/>
          <w:sz w:val="27"/>
          <w:szCs w:val="27"/>
        </w:rPr>
      </w:pPr>
      <w:r>
        <w:rPr>
          <w:rStyle w:val="15"/>
          <w:rFonts w:ascii="黑体" w:hAnsi="宋体" w:eastAsia="黑体" w:cs="黑体"/>
          <w:sz w:val="27"/>
          <w:szCs w:val="27"/>
        </w:rPr>
        <w:t>八、凡对本次招标提出询问，请按以下方式联系</w:t>
      </w:r>
    </w:p>
    <w:p w14:paraId="40DCE60A">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1.采购人信息</w:t>
      </w:r>
    </w:p>
    <w:p w14:paraId="149DCF11">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xml:space="preserve">名 称：柯坪县自然资源局 </w:t>
      </w:r>
    </w:p>
    <w:p w14:paraId="3835E149">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 xml:space="preserve">地 址：柯坪县解放路24号 </w:t>
      </w:r>
    </w:p>
    <w:p w14:paraId="3F7D0880">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联系方式：13779809414</w:t>
      </w:r>
    </w:p>
    <w:p w14:paraId="3A5615C2">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2.采购代理机构信息</w:t>
      </w:r>
    </w:p>
    <w:p w14:paraId="4BC3523E">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名 称：阿克苏疆山项目管理有限公司</w:t>
      </w:r>
    </w:p>
    <w:p w14:paraId="0E1C4F2C">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地 址：阿克苏市采荷路1号云山悦府12号楼2单元202室</w:t>
      </w:r>
    </w:p>
    <w:p w14:paraId="19F7456C">
      <w:pPr>
        <w:pStyle w:val="7"/>
        <w:widowControl/>
        <w:kinsoku w:val="0"/>
        <w:autoSpaceDE w:val="0"/>
        <w:autoSpaceDN w:val="0"/>
        <w:adjustRightInd w:val="0"/>
        <w:snapToGrid w:val="0"/>
        <w:spacing w:before="75" w:beforeAutospacing="0" w:after="75" w:afterAutospacing="0"/>
        <w:ind w:left="0" w:right="0"/>
        <w:jc w:val="left"/>
        <w:textAlignment w:val="baseline"/>
        <w:rPr>
          <w:rFonts w:hint="default" w:ascii="仿宋" w:hAnsi="仿宋" w:eastAsia="仿宋" w:cs="仿宋"/>
          <w:snapToGrid w:val="0"/>
          <w:color w:val="000000"/>
          <w:kern w:val="0"/>
          <w:sz w:val="27"/>
          <w:szCs w:val="27"/>
          <w:lang w:val="en-US" w:eastAsia="zh-CN" w:bidi="ar-SA"/>
        </w:rPr>
      </w:pPr>
      <w:r>
        <w:rPr>
          <w:rFonts w:hint="eastAsia" w:ascii="仿宋" w:hAnsi="仿宋" w:eastAsia="仿宋" w:cs="仿宋"/>
          <w:snapToGrid w:val="0"/>
          <w:color w:val="000000"/>
          <w:kern w:val="0"/>
          <w:sz w:val="27"/>
          <w:szCs w:val="27"/>
          <w:lang w:eastAsia="zh-CN" w:bidi="ar-SA"/>
        </w:rPr>
        <w:t>联系方式：</w:t>
      </w:r>
      <w:r>
        <w:rPr>
          <w:rFonts w:hint="eastAsia" w:ascii="仿宋" w:hAnsi="仿宋" w:eastAsia="仿宋" w:cs="仿宋"/>
          <w:snapToGrid w:val="0"/>
          <w:color w:val="000000"/>
          <w:kern w:val="0"/>
          <w:sz w:val="27"/>
          <w:szCs w:val="27"/>
          <w:lang w:val="en-US" w:eastAsia="zh-CN" w:bidi="ar-SA"/>
        </w:rPr>
        <w:t>13369873111</w:t>
      </w:r>
    </w:p>
    <w:p w14:paraId="621C1DA3">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3.项目联系方式</w:t>
      </w:r>
    </w:p>
    <w:p w14:paraId="4195923B">
      <w:pPr>
        <w:pStyle w:val="7"/>
        <w:widowControl/>
        <w:kinsoku w:val="0"/>
        <w:autoSpaceDE w:val="0"/>
        <w:autoSpaceDN w:val="0"/>
        <w:adjustRightInd w:val="0"/>
        <w:snapToGrid w:val="0"/>
        <w:spacing w:before="75" w:beforeAutospacing="0" w:after="75" w:afterAutospacing="0"/>
        <w:ind w:left="0" w:right="0"/>
        <w:jc w:val="left"/>
        <w:textAlignment w:val="baseline"/>
        <w:rPr>
          <w:rFonts w:hint="eastAsia" w:ascii="仿宋" w:hAnsi="仿宋" w:eastAsia="仿宋" w:cs="仿宋"/>
          <w:snapToGrid w:val="0"/>
          <w:color w:val="000000"/>
          <w:kern w:val="0"/>
          <w:sz w:val="27"/>
          <w:szCs w:val="27"/>
          <w:lang w:eastAsia="zh-CN" w:bidi="ar-SA"/>
        </w:rPr>
      </w:pPr>
      <w:r>
        <w:rPr>
          <w:rFonts w:hint="eastAsia" w:ascii="仿宋" w:hAnsi="仿宋" w:eastAsia="仿宋" w:cs="仿宋"/>
          <w:snapToGrid w:val="0"/>
          <w:color w:val="000000"/>
          <w:kern w:val="0"/>
          <w:sz w:val="27"/>
          <w:szCs w:val="27"/>
          <w:lang w:eastAsia="zh-CN" w:bidi="ar-SA"/>
        </w:rPr>
        <w:t>项目联系人：刘润利</w:t>
      </w:r>
    </w:p>
    <w:p w14:paraId="4CC764BC">
      <w:pPr>
        <w:pStyle w:val="7"/>
        <w:widowControl/>
        <w:kinsoku w:val="0"/>
        <w:autoSpaceDE w:val="0"/>
        <w:autoSpaceDN w:val="0"/>
        <w:adjustRightInd w:val="0"/>
        <w:snapToGrid w:val="0"/>
        <w:spacing w:before="75" w:beforeAutospacing="0" w:after="75" w:afterAutospacing="0"/>
        <w:ind w:left="0" w:right="0"/>
        <w:jc w:val="left"/>
        <w:textAlignment w:val="baseline"/>
        <w:rPr>
          <w:rFonts w:hint="default" w:ascii="仿宋" w:hAnsi="仿宋" w:eastAsia="仿宋" w:cs="仿宋"/>
          <w:snapToGrid w:val="0"/>
          <w:color w:val="000000"/>
          <w:kern w:val="0"/>
          <w:sz w:val="27"/>
          <w:szCs w:val="27"/>
          <w:lang w:val="en-US" w:eastAsia="zh-CN" w:bidi="ar-SA"/>
        </w:rPr>
      </w:pPr>
      <w:r>
        <w:rPr>
          <w:rFonts w:hint="eastAsia" w:ascii="仿宋" w:hAnsi="仿宋" w:eastAsia="仿宋" w:cs="仿宋"/>
          <w:snapToGrid w:val="0"/>
          <w:color w:val="000000"/>
          <w:kern w:val="0"/>
          <w:sz w:val="27"/>
          <w:szCs w:val="27"/>
          <w:lang w:eastAsia="zh-CN" w:bidi="ar-SA"/>
        </w:rPr>
        <w:t>电 话：</w:t>
      </w:r>
      <w:r>
        <w:rPr>
          <w:rFonts w:hint="eastAsia" w:ascii="仿宋" w:hAnsi="仿宋" w:eastAsia="仿宋" w:cs="仿宋"/>
          <w:snapToGrid w:val="0"/>
          <w:color w:val="000000"/>
          <w:kern w:val="0"/>
          <w:sz w:val="27"/>
          <w:szCs w:val="27"/>
          <w:lang w:val="en-US" w:eastAsia="zh-CN" w:bidi="ar-SA"/>
        </w:rPr>
        <w:t>13369873111</w:t>
      </w:r>
    </w:p>
    <w:p w14:paraId="60F5A1AF">
      <w:pPr>
        <w:pStyle w:val="7"/>
        <w:keepNext w:val="0"/>
        <w:keepLines w:val="0"/>
        <w:widowControl/>
        <w:suppressLineNumbers w:val="0"/>
        <w:spacing w:before="75" w:beforeAutospacing="0" w:after="75" w:afterAutospacing="0"/>
        <w:ind w:left="0" w:right="0"/>
      </w:pPr>
    </w:p>
    <w:p w14:paraId="69691E6D">
      <w:r>
        <w:br w:type="page"/>
      </w:r>
    </w:p>
    <w:p w14:paraId="3E38291C"/>
    <w:p w14:paraId="41C24139">
      <w:pPr>
        <w:pageBreakBefore w:val="0"/>
        <w:kinsoku/>
        <w:topLinePunct w:val="0"/>
        <w:bidi w:val="0"/>
        <w:spacing w:before="1" w:line="213" w:lineRule="auto"/>
        <w:ind w:left="2437"/>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第二章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供应商须知及前附表</w:t>
      </w:r>
    </w:p>
    <w:p w14:paraId="47978B4B">
      <w:pPr>
        <w:pageBreakBefore w:val="0"/>
        <w:kinsoku/>
        <w:topLinePunct w:val="0"/>
        <w:bidi w:val="0"/>
        <w:spacing w:before="23" w:line="219" w:lineRule="auto"/>
        <w:ind w:left="324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（一）供应商须知前附表</w:t>
      </w:r>
    </w:p>
    <w:p w14:paraId="63251467">
      <w:pPr>
        <w:pageBreakBefore w:val="0"/>
        <w:kinsoku/>
        <w:topLinePunct w:val="0"/>
        <w:bidi w:val="0"/>
        <w:spacing w:line="170" w:lineRule="exact"/>
        <w:jc w:val="center"/>
      </w:pPr>
    </w:p>
    <w:tbl>
      <w:tblPr>
        <w:tblStyle w:val="19"/>
        <w:tblW w:w="931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70"/>
        <w:gridCol w:w="6700"/>
      </w:tblGrid>
      <w:tr w14:paraId="1E1B5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42" w:type="dxa"/>
            <w:tcBorders>
              <w:top w:val="single" w:color="000000" w:sz="4" w:space="0"/>
              <w:left w:val="single" w:color="000000" w:sz="4" w:space="0"/>
            </w:tcBorders>
            <w:vAlign w:val="center"/>
          </w:tcPr>
          <w:p w14:paraId="55DC657A">
            <w:pPr>
              <w:pageBreakBefore w:val="0"/>
              <w:kinsoku/>
              <w:topLinePunct w:val="0"/>
              <w:bidi w:val="0"/>
              <w:spacing w:before="78" w:line="221" w:lineRule="auto"/>
              <w:jc w:val="center"/>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序号</w:t>
            </w:r>
          </w:p>
        </w:tc>
        <w:tc>
          <w:tcPr>
            <w:tcW w:w="1870" w:type="dxa"/>
            <w:tcBorders>
              <w:top w:val="single" w:color="000000" w:sz="4" w:space="0"/>
            </w:tcBorders>
            <w:vAlign w:val="center"/>
          </w:tcPr>
          <w:p w14:paraId="0F53864D">
            <w:pPr>
              <w:pageBreakBefore w:val="0"/>
              <w:kinsoku/>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条款名称</w:t>
            </w:r>
          </w:p>
        </w:tc>
        <w:tc>
          <w:tcPr>
            <w:tcW w:w="6700" w:type="dxa"/>
            <w:tcBorders>
              <w:top w:val="single" w:color="000000" w:sz="4" w:space="0"/>
              <w:right w:val="single" w:color="000000" w:sz="4" w:space="0"/>
            </w:tcBorders>
            <w:vAlign w:val="center"/>
          </w:tcPr>
          <w:p w14:paraId="37B20E26">
            <w:pPr>
              <w:pageBreakBefore w:val="0"/>
              <w:kinsoku/>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16"/>
                <w:sz w:val="24"/>
                <w:szCs w:val="24"/>
                <w14:textOutline w14:w="4358" w14:cap="sq" w14:cmpd="sng">
                  <w14:solidFill>
                    <w14:srgbClr w14:val="000000"/>
                  </w14:solidFill>
                  <w14:prstDash w14:val="solid"/>
                  <w14:bevel/>
                </w14:textOutline>
              </w:rPr>
              <w:t>内</w:t>
            </w:r>
            <w:r>
              <w:rPr>
                <w:rFonts w:ascii="宋体" w:hAnsi="宋体" w:eastAsia="宋体" w:cs="宋体"/>
                <w:color w:val="auto"/>
                <w:spacing w:val="5"/>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容</w:t>
            </w:r>
            <w:r>
              <w:rPr>
                <w:rFonts w:ascii="宋体" w:hAnsi="宋体" w:eastAsia="宋体" w:cs="宋体"/>
                <w:color w:val="auto"/>
                <w:spacing w:val="4"/>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规</w:t>
            </w:r>
            <w:r>
              <w:rPr>
                <w:rFonts w:ascii="宋体" w:hAnsi="宋体" w:eastAsia="宋体" w:cs="宋体"/>
                <w:color w:val="auto"/>
                <w:spacing w:val="6"/>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定</w:t>
            </w:r>
          </w:p>
        </w:tc>
      </w:tr>
      <w:tr w14:paraId="25C21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42" w:type="dxa"/>
            <w:tcBorders>
              <w:left w:val="single" w:color="000000" w:sz="4" w:space="0"/>
            </w:tcBorders>
            <w:vAlign w:val="top"/>
          </w:tcPr>
          <w:p w14:paraId="22416B30">
            <w:pPr>
              <w:pageBreakBefore w:val="0"/>
              <w:kinsoku/>
              <w:topLinePunct w:val="0"/>
              <w:bidi w:val="0"/>
              <w:spacing w:before="207" w:line="184" w:lineRule="auto"/>
              <w:ind w:left="338"/>
              <w:rPr>
                <w:rFonts w:ascii="宋体" w:hAnsi="宋体" w:eastAsia="宋体" w:cs="宋体"/>
                <w:color w:val="auto"/>
                <w:sz w:val="24"/>
                <w:szCs w:val="24"/>
              </w:rPr>
            </w:pPr>
            <w:r>
              <w:rPr>
                <w:rFonts w:ascii="宋体" w:hAnsi="宋体" w:eastAsia="宋体" w:cs="宋体"/>
                <w:color w:val="auto"/>
                <w:sz w:val="24"/>
                <w:szCs w:val="24"/>
              </w:rPr>
              <w:t>1</w:t>
            </w:r>
          </w:p>
        </w:tc>
        <w:tc>
          <w:tcPr>
            <w:tcW w:w="1870" w:type="dxa"/>
            <w:vAlign w:val="top"/>
          </w:tcPr>
          <w:p w14:paraId="130D910E">
            <w:pPr>
              <w:pageBreakBefore w:val="0"/>
              <w:kinsoku/>
              <w:topLinePunct w:val="0"/>
              <w:bidi w:val="0"/>
              <w:spacing w:before="170" w:line="220" w:lineRule="auto"/>
              <w:ind w:left="559"/>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项目名称</w:t>
            </w:r>
          </w:p>
        </w:tc>
        <w:tc>
          <w:tcPr>
            <w:tcW w:w="6700" w:type="dxa"/>
            <w:tcBorders>
              <w:right w:val="single" w:color="000000" w:sz="4" w:space="0"/>
            </w:tcBorders>
            <w:vAlign w:val="top"/>
          </w:tcPr>
          <w:p w14:paraId="0F399C8B">
            <w:pPr>
              <w:pageBreakBefore w:val="0"/>
              <w:kinsoku/>
              <w:topLinePunct w:val="0"/>
              <w:bidi w:val="0"/>
              <w:spacing w:before="171" w:line="219" w:lineRule="auto"/>
              <w:ind w:left="1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柯坪县“十五五”自然资源规划修编项目（二次）</w:t>
            </w:r>
          </w:p>
        </w:tc>
      </w:tr>
      <w:tr w14:paraId="722F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42" w:type="dxa"/>
            <w:tcBorders>
              <w:left w:val="single" w:color="000000" w:sz="4" w:space="0"/>
            </w:tcBorders>
            <w:vAlign w:val="top"/>
          </w:tcPr>
          <w:p w14:paraId="2EB9BB53">
            <w:pPr>
              <w:pageBreakBefore w:val="0"/>
              <w:kinsoku/>
              <w:topLinePunct w:val="0"/>
              <w:bidi w:val="0"/>
              <w:spacing w:before="242" w:line="183" w:lineRule="auto"/>
              <w:ind w:left="323"/>
              <w:rPr>
                <w:rFonts w:ascii="宋体" w:hAnsi="宋体" w:eastAsia="宋体" w:cs="宋体"/>
                <w:color w:val="auto"/>
                <w:sz w:val="24"/>
                <w:szCs w:val="24"/>
              </w:rPr>
            </w:pPr>
            <w:r>
              <w:rPr>
                <w:rFonts w:ascii="宋体" w:hAnsi="宋体" w:eastAsia="宋体" w:cs="宋体"/>
                <w:color w:val="auto"/>
                <w:sz w:val="24"/>
                <w:szCs w:val="24"/>
              </w:rPr>
              <w:t>2</w:t>
            </w:r>
          </w:p>
        </w:tc>
        <w:tc>
          <w:tcPr>
            <w:tcW w:w="1870" w:type="dxa"/>
            <w:vAlign w:val="top"/>
          </w:tcPr>
          <w:p w14:paraId="6E8033FF">
            <w:pPr>
              <w:pageBreakBefore w:val="0"/>
              <w:kinsoku/>
              <w:topLinePunct w:val="0"/>
              <w:bidi w:val="0"/>
              <w:spacing w:before="205" w:line="219" w:lineRule="auto"/>
              <w:ind w:left="559"/>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项目编号</w:t>
            </w:r>
          </w:p>
        </w:tc>
        <w:tc>
          <w:tcPr>
            <w:tcW w:w="6700" w:type="dxa"/>
            <w:tcBorders>
              <w:right w:val="single" w:color="000000" w:sz="4" w:space="0"/>
            </w:tcBorders>
            <w:vAlign w:val="top"/>
          </w:tcPr>
          <w:p w14:paraId="3A601A26">
            <w:pPr>
              <w:pageBreakBefore w:val="0"/>
              <w:kinsoku/>
              <w:topLinePunct w:val="0"/>
              <w:bidi w:val="0"/>
              <w:spacing w:before="226" w:line="220" w:lineRule="auto"/>
              <w:ind w:left="11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分KPXZCY2025- 004</w:t>
            </w:r>
          </w:p>
        </w:tc>
      </w:tr>
      <w:tr w14:paraId="31B6A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742" w:type="dxa"/>
            <w:tcBorders>
              <w:left w:val="single" w:color="000000" w:sz="4" w:space="0"/>
            </w:tcBorders>
            <w:vAlign w:val="top"/>
          </w:tcPr>
          <w:p w14:paraId="4E9EDD1F">
            <w:pPr>
              <w:pageBreakBefore w:val="0"/>
              <w:kinsoku/>
              <w:topLinePunct w:val="0"/>
              <w:bidi w:val="0"/>
              <w:spacing w:line="303" w:lineRule="auto"/>
              <w:rPr>
                <w:rFonts w:ascii="Arial"/>
                <w:color w:val="auto"/>
                <w:sz w:val="21"/>
              </w:rPr>
            </w:pPr>
          </w:p>
          <w:p w14:paraId="06C53579">
            <w:pPr>
              <w:pageBreakBefore w:val="0"/>
              <w:kinsoku/>
              <w:topLinePunct w:val="0"/>
              <w:bidi w:val="0"/>
              <w:spacing w:line="304" w:lineRule="auto"/>
              <w:rPr>
                <w:rFonts w:ascii="Arial"/>
                <w:color w:val="auto"/>
                <w:sz w:val="21"/>
              </w:rPr>
            </w:pPr>
          </w:p>
          <w:p w14:paraId="384BDBF9">
            <w:pPr>
              <w:pageBreakBefore w:val="0"/>
              <w:kinsoku/>
              <w:topLinePunct w:val="0"/>
              <w:bidi w:val="0"/>
              <w:spacing w:before="78" w:line="183" w:lineRule="auto"/>
              <w:ind w:left="325"/>
              <w:rPr>
                <w:rFonts w:ascii="宋体" w:hAnsi="宋体" w:eastAsia="宋体" w:cs="宋体"/>
                <w:color w:val="auto"/>
                <w:sz w:val="24"/>
                <w:szCs w:val="24"/>
              </w:rPr>
            </w:pPr>
            <w:r>
              <w:rPr>
                <w:rFonts w:ascii="宋体" w:hAnsi="宋体" w:eastAsia="宋体" w:cs="宋体"/>
                <w:color w:val="auto"/>
                <w:sz w:val="24"/>
                <w:szCs w:val="24"/>
              </w:rPr>
              <w:t>3</w:t>
            </w:r>
          </w:p>
        </w:tc>
        <w:tc>
          <w:tcPr>
            <w:tcW w:w="1870" w:type="dxa"/>
            <w:vAlign w:val="top"/>
          </w:tcPr>
          <w:p w14:paraId="1BBE57FF">
            <w:pPr>
              <w:pageBreakBefore w:val="0"/>
              <w:kinsoku/>
              <w:topLinePunct w:val="0"/>
              <w:bidi w:val="0"/>
              <w:spacing w:line="284" w:lineRule="auto"/>
              <w:rPr>
                <w:rFonts w:ascii="Arial"/>
                <w:color w:val="auto"/>
                <w:sz w:val="21"/>
              </w:rPr>
            </w:pPr>
          </w:p>
          <w:p w14:paraId="1283BA9F">
            <w:pPr>
              <w:pageBreakBefore w:val="0"/>
              <w:kinsoku/>
              <w:topLinePunct w:val="0"/>
              <w:bidi w:val="0"/>
              <w:spacing w:line="285" w:lineRule="auto"/>
              <w:rPr>
                <w:rFonts w:ascii="Arial"/>
                <w:color w:val="auto"/>
                <w:sz w:val="21"/>
              </w:rPr>
            </w:pPr>
          </w:p>
          <w:p w14:paraId="2AEF2D2E">
            <w:pPr>
              <w:pageBreakBefore w:val="0"/>
              <w:kinsoku/>
              <w:topLinePunct w:val="0"/>
              <w:bidi w:val="0"/>
              <w:spacing w:before="78" w:line="219" w:lineRule="auto"/>
              <w:ind w:left="674"/>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采购人</w:t>
            </w:r>
          </w:p>
        </w:tc>
        <w:tc>
          <w:tcPr>
            <w:tcW w:w="6700" w:type="dxa"/>
            <w:tcBorders>
              <w:right w:val="single" w:color="000000" w:sz="4" w:space="0"/>
            </w:tcBorders>
            <w:vAlign w:val="top"/>
          </w:tcPr>
          <w:p w14:paraId="3A3EBFF1">
            <w:pPr>
              <w:pageBreakBefore w:val="0"/>
              <w:kinsoku/>
              <w:topLinePunct w:val="0"/>
              <w:bidi w:val="0"/>
              <w:spacing w:before="114" w:line="219" w:lineRule="auto"/>
              <w:ind w:left="115"/>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lang w:eastAsia="zh-CN"/>
              </w:rPr>
              <w:t>柯坪县自然资源局</w:t>
            </w:r>
          </w:p>
          <w:p w14:paraId="3864568E">
            <w:pPr>
              <w:pageBreakBefore w:val="0"/>
              <w:kinsoku/>
              <w:topLinePunct w:val="0"/>
              <w:bidi w:val="0"/>
              <w:spacing w:before="72" w:line="219" w:lineRule="auto"/>
              <w:ind w:left="112"/>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地 址：</w:t>
            </w:r>
            <w:r>
              <w:rPr>
                <w:rFonts w:hint="eastAsia" w:ascii="宋体" w:hAnsi="宋体" w:eastAsia="宋体" w:cs="宋体"/>
                <w:color w:val="auto"/>
                <w:spacing w:val="-2"/>
                <w:sz w:val="24"/>
                <w:szCs w:val="24"/>
                <w:lang w:eastAsia="zh-CN"/>
              </w:rPr>
              <w:t>柯坪县解放路24号</w:t>
            </w:r>
          </w:p>
          <w:p w14:paraId="27EAC80A">
            <w:pPr>
              <w:pageBreakBefore w:val="0"/>
              <w:kinsoku/>
              <w:topLinePunct w:val="0"/>
              <w:bidi w:val="0"/>
              <w:spacing w:before="73" w:line="221" w:lineRule="auto"/>
              <w:ind w:left="113"/>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eastAsia="zh-CN"/>
              </w:rPr>
              <w:t>阿依努尔</w:t>
            </w:r>
          </w:p>
          <w:p w14:paraId="381A0443">
            <w:pPr>
              <w:pageBreakBefore w:val="0"/>
              <w:kinsoku/>
              <w:topLinePunct w:val="0"/>
              <w:bidi w:val="0"/>
              <w:spacing w:before="70" w:line="221" w:lineRule="auto"/>
              <w:ind w:left="140"/>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电 话：</w:t>
            </w:r>
            <w:r>
              <w:rPr>
                <w:rFonts w:hint="eastAsia" w:ascii="宋体" w:hAnsi="宋体" w:eastAsia="宋体" w:cs="宋体"/>
                <w:color w:val="auto"/>
                <w:spacing w:val="-3"/>
                <w:sz w:val="24"/>
                <w:szCs w:val="24"/>
                <w:lang w:eastAsia="zh-CN"/>
              </w:rPr>
              <w:t>13779809414</w:t>
            </w:r>
          </w:p>
        </w:tc>
      </w:tr>
      <w:tr w14:paraId="24B36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4EE17152">
            <w:pPr>
              <w:pageBreakBefore w:val="0"/>
              <w:kinsoku/>
              <w:topLinePunct w:val="0"/>
              <w:bidi w:val="0"/>
              <w:spacing w:line="354" w:lineRule="auto"/>
              <w:rPr>
                <w:rFonts w:ascii="Arial"/>
                <w:color w:val="auto"/>
                <w:sz w:val="21"/>
              </w:rPr>
            </w:pPr>
          </w:p>
          <w:p w14:paraId="2E5D79F9">
            <w:pPr>
              <w:pageBreakBefore w:val="0"/>
              <w:kinsoku/>
              <w:topLinePunct w:val="0"/>
              <w:bidi w:val="0"/>
              <w:spacing w:line="354" w:lineRule="auto"/>
              <w:rPr>
                <w:rFonts w:ascii="Arial"/>
                <w:color w:val="auto"/>
                <w:sz w:val="21"/>
              </w:rPr>
            </w:pPr>
          </w:p>
          <w:p w14:paraId="63E13316">
            <w:pPr>
              <w:pageBreakBefore w:val="0"/>
              <w:kinsoku/>
              <w:topLinePunct w:val="0"/>
              <w:bidi w:val="0"/>
              <w:spacing w:before="78" w:line="183" w:lineRule="auto"/>
              <w:ind w:left="319"/>
              <w:rPr>
                <w:rFonts w:ascii="宋体" w:hAnsi="宋体" w:eastAsia="宋体" w:cs="宋体"/>
                <w:color w:val="auto"/>
                <w:sz w:val="24"/>
                <w:szCs w:val="24"/>
              </w:rPr>
            </w:pPr>
            <w:r>
              <w:rPr>
                <w:rFonts w:ascii="宋体" w:hAnsi="宋体" w:eastAsia="宋体" w:cs="宋体"/>
                <w:color w:val="auto"/>
                <w:sz w:val="24"/>
                <w:szCs w:val="24"/>
              </w:rPr>
              <w:t>4</w:t>
            </w:r>
          </w:p>
        </w:tc>
        <w:tc>
          <w:tcPr>
            <w:tcW w:w="1870" w:type="dxa"/>
            <w:vAlign w:val="top"/>
          </w:tcPr>
          <w:p w14:paraId="520A9382">
            <w:pPr>
              <w:pageBreakBefore w:val="0"/>
              <w:kinsoku/>
              <w:topLinePunct w:val="0"/>
              <w:bidi w:val="0"/>
              <w:spacing w:line="335" w:lineRule="auto"/>
              <w:rPr>
                <w:rFonts w:ascii="Arial"/>
                <w:color w:val="auto"/>
                <w:sz w:val="21"/>
              </w:rPr>
            </w:pPr>
          </w:p>
          <w:p w14:paraId="02B8DA51">
            <w:pPr>
              <w:pageBreakBefore w:val="0"/>
              <w:kinsoku/>
              <w:topLinePunct w:val="0"/>
              <w:bidi w:val="0"/>
              <w:spacing w:line="335" w:lineRule="auto"/>
              <w:rPr>
                <w:rFonts w:ascii="Arial"/>
                <w:color w:val="auto"/>
                <w:sz w:val="21"/>
              </w:rPr>
            </w:pPr>
          </w:p>
          <w:p w14:paraId="18463099">
            <w:pPr>
              <w:pageBreakBefore w:val="0"/>
              <w:kinsoku/>
              <w:topLinePunct w:val="0"/>
              <w:bidi w:val="0"/>
              <w:spacing w:before="78" w:line="219" w:lineRule="auto"/>
              <w:ind w:firstLine="236" w:firstLineChars="100"/>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采购</w:t>
            </w:r>
            <w:r>
              <w:rPr>
                <w:rFonts w:ascii="宋体" w:hAnsi="宋体" w:eastAsia="宋体" w:cs="宋体"/>
                <w:color w:val="auto"/>
                <w:spacing w:val="-2"/>
                <w:sz w:val="24"/>
                <w:szCs w:val="24"/>
                <w14:textOutline w14:w="4358" w14:cap="sq" w14:cmpd="sng">
                  <w14:solidFill>
                    <w14:srgbClr w14:val="000000"/>
                  </w14:solidFill>
                  <w14:prstDash w14:val="solid"/>
                  <w14:bevel/>
                </w14:textOutline>
              </w:rPr>
              <w:t>代理机构</w:t>
            </w:r>
          </w:p>
        </w:tc>
        <w:tc>
          <w:tcPr>
            <w:tcW w:w="6700" w:type="dxa"/>
            <w:tcBorders>
              <w:right w:val="single" w:color="000000" w:sz="4" w:space="0"/>
            </w:tcBorders>
            <w:vAlign w:val="top"/>
          </w:tcPr>
          <w:p w14:paraId="3CF3F86C">
            <w:pPr>
              <w:pageBreakBefore w:val="0"/>
              <w:kinsoku/>
              <w:topLinePunct w:val="0"/>
              <w:bidi w:val="0"/>
              <w:spacing w:before="38" w:line="219" w:lineRule="auto"/>
              <w:ind w:left="115"/>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lang w:eastAsia="zh-CN"/>
              </w:rPr>
              <w:t>阿克苏疆山项目管理有限公司</w:t>
            </w:r>
          </w:p>
          <w:p w14:paraId="160B7879">
            <w:pPr>
              <w:pageBreakBefore w:val="0"/>
              <w:kinsoku/>
              <w:topLinePunct w:val="0"/>
              <w:bidi w:val="0"/>
              <w:spacing w:before="72" w:line="219" w:lineRule="auto"/>
              <w:ind w:left="112"/>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地 址：</w:t>
            </w:r>
            <w:r>
              <w:rPr>
                <w:rFonts w:hint="eastAsia" w:ascii="宋体" w:hAnsi="宋体" w:eastAsia="宋体" w:cs="宋体"/>
                <w:color w:val="auto"/>
                <w:spacing w:val="-3"/>
                <w:sz w:val="24"/>
                <w:szCs w:val="24"/>
                <w:lang w:eastAsia="zh-CN"/>
              </w:rPr>
              <w:t>阿克苏市采荷路1号云山悦府12号楼2单元202室</w:t>
            </w:r>
          </w:p>
          <w:p w14:paraId="7A926F50">
            <w:pPr>
              <w:pageBreakBefore w:val="0"/>
              <w:kinsoku/>
              <w:topLinePunct w:val="0"/>
              <w:bidi w:val="0"/>
              <w:spacing w:before="72" w:line="219" w:lineRule="auto"/>
              <w:ind w:left="113"/>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eastAsia="zh-CN"/>
              </w:rPr>
              <w:t>刘润利</w:t>
            </w:r>
          </w:p>
          <w:p w14:paraId="66E39BFD">
            <w:pPr>
              <w:pageBreakBefore w:val="0"/>
              <w:kinsoku/>
              <w:topLinePunct w:val="0"/>
              <w:bidi w:val="0"/>
              <w:spacing w:before="73" w:line="221" w:lineRule="auto"/>
              <w:ind w:left="11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联系电话：</w:t>
            </w:r>
            <w:r>
              <w:rPr>
                <w:rFonts w:hint="eastAsia" w:ascii="宋体" w:hAnsi="宋体" w:eastAsia="宋体" w:cs="宋体"/>
                <w:color w:val="auto"/>
                <w:spacing w:val="-1"/>
                <w:sz w:val="24"/>
                <w:szCs w:val="24"/>
                <w:lang w:eastAsia="zh-CN"/>
              </w:rPr>
              <w:t>13369873111</w:t>
            </w:r>
          </w:p>
          <w:p w14:paraId="04ACA01F">
            <w:pPr>
              <w:pageBreakBefore w:val="0"/>
              <w:kinsoku/>
              <w:topLinePunct w:val="0"/>
              <w:bidi w:val="0"/>
              <w:spacing w:before="70" w:line="214" w:lineRule="auto"/>
              <w:ind w:left="130"/>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邮箱：</w:t>
            </w:r>
            <w:r>
              <w:rPr>
                <w:rFonts w:hint="eastAsia" w:ascii="宋体" w:hAnsi="宋体" w:eastAsia="宋体" w:cs="宋体"/>
                <w:color w:val="auto"/>
                <w:spacing w:val="-2"/>
                <w:sz w:val="24"/>
                <w:szCs w:val="24"/>
                <w:lang w:eastAsia="zh-CN"/>
              </w:rPr>
              <w:t>2608269165@qq.com</w:t>
            </w:r>
          </w:p>
        </w:tc>
      </w:tr>
      <w:tr w14:paraId="29933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742" w:type="dxa"/>
            <w:tcBorders>
              <w:left w:val="single" w:color="000000" w:sz="4" w:space="0"/>
            </w:tcBorders>
            <w:vAlign w:val="top"/>
          </w:tcPr>
          <w:p w14:paraId="78512AB1">
            <w:pPr>
              <w:pageBreakBefore w:val="0"/>
              <w:kinsoku/>
              <w:topLinePunct w:val="0"/>
              <w:bidi w:val="0"/>
              <w:spacing w:before="283" w:line="182" w:lineRule="auto"/>
              <w:ind w:left="325"/>
              <w:rPr>
                <w:rFonts w:ascii="宋体" w:hAnsi="宋体" w:eastAsia="宋体" w:cs="宋体"/>
                <w:color w:val="auto"/>
                <w:sz w:val="24"/>
                <w:szCs w:val="24"/>
              </w:rPr>
            </w:pPr>
            <w:r>
              <w:rPr>
                <w:rFonts w:ascii="宋体" w:hAnsi="宋体" w:eastAsia="宋体" w:cs="宋体"/>
                <w:color w:val="auto"/>
                <w:sz w:val="24"/>
                <w:szCs w:val="24"/>
              </w:rPr>
              <w:t>5</w:t>
            </w:r>
          </w:p>
        </w:tc>
        <w:tc>
          <w:tcPr>
            <w:tcW w:w="1870" w:type="dxa"/>
            <w:vAlign w:val="center"/>
          </w:tcPr>
          <w:p w14:paraId="0548EEC8">
            <w:pPr>
              <w:pageBreakBefore w:val="0"/>
              <w:kinsoku/>
              <w:topLinePunct w:val="0"/>
              <w:bidi w:val="0"/>
              <w:spacing w:before="243" w:line="219" w:lineRule="auto"/>
              <w:ind w:left="55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采购内容</w:t>
            </w:r>
          </w:p>
        </w:tc>
        <w:tc>
          <w:tcPr>
            <w:tcW w:w="6700" w:type="dxa"/>
            <w:tcBorders>
              <w:right w:val="single" w:color="000000" w:sz="4" w:space="0"/>
            </w:tcBorders>
            <w:vAlign w:val="top"/>
          </w:tcPr>
          <w:p w14:paraId="4B5B3DA7">
            <w:pPr>
              <w:pageBreakBefore w:val="0"/>
              <w:kinsoku/>
              <w:topLinePunct w:val="0"/>
              <w:bidi w:val="0"/>
              <w:spacing w:before="243" w:line="219" w:lineRule="auto"/>
              <w:ind w:left="11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根据国家、自治区、地区等相关文件精神和技术规范，结合柯坪城镇发展实际需求，对已定城镇开发边界进行适当优化调整，完善城镇功能，提升人居环境品质，优化空间的区域边界。2.开展柯坪县控制性详细规划修编，优化城镇整体空间布局，推动柯坪县城市和产业集中高质量发展。（具体参数详见磋商文件）  </w:t>
            </w:r>
          </w:p>
        </w:tc>
      </w:tr>
      <w:tr w14:paraId="2F286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42" w:type="dxa"/>
            <w:tcBorders>
              <w:left w:val="single" w:color="000000" w:sz="4" w:space="0"/>
            </w:tcBorders>
            <w:vAlign w:val="top"/>
          </w:tcPr>
          <w:p w14:paraId="7BCF4CD2">
            <w:pPr>
              <w:pageBreakBefore w:val="0"/>
              <w:kinsoku/>
              <w:topLinePunct w:val="0"/>
              <w:bidi w:val="0"/>
              <w:spacing w:before="251" w:line="183" w:lineRule="auto"/>
              <w:ind w:left="322"/>
              <w:rPr>
                <w:rFonts w:ascii="宋体" w:hAnsi="宋体" w:eastAsia="宋体" w:cs="宋体"/>
                <w:color w:val="auto"/>
                <w:sz w:val="24"/>
                <w:szCs w:val="24"/>
              </w:rPr>
            </w:pPr>
            <w:r>
              <w:rPr>
                <w:rFonts w:ascii="宋体" w:hAnsi="宋体" w:eastAsia="宋体" w:cs="宋体"/>
                <w:color w:val="auto"/>
                <w:sz w:val="24"/>
                <w:szCs w:val="24"/>
              </w:rPr>
              <w:t>6</w:t>
            </w:r>
          </w:p>
        </w:tc>
        <w:tc>
          <w:tcPr>
            <w:tcW w:w="1870" w:type="dxa"/>
            <w:vAlign w:val="top"/>
          </w:tcPr>
          <w:p w14:paraId="7CC45A9B">
            <w:pPr>
              <w:pageBreakBefore w:val="0"/>
              <w:kinsoku/>
              <w:topLinePunct w:val="0"/>
              <w:bidi w:val="0"/>
              <w:spacing w:before="213" w:line="219"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合同履约</w:t>
            </w:r>
            <w:r>
              <w:rPr>
                <w:rFonts w:ascii="宋体" w:hAnsi="宋体" w:eastAsia="宋体" w:cs="宋体"/>
                <w:color w:val="auto"/>
                <w:spacing w:val="-2"/>
                <w:sz w:val="24"/>
                <w:szCs w:val="24"/>
                <w14:textOutline w14:w="4358" w14:cap="sq" w14:cmpd="sng">
                  <w14:solidFill>
                    <w14:srgbClr w14:val="000000"/>
                  </w14:solidFill>
                  <w14:prstDash w14:val="solid"/>
                  <w14:bevel/>
                </w14:textOutline>
              </w:rPr>
              <w:t>期限</w:t>
            </w:r>
          </w:p>
        </w:tc>
        <w:tc>
          <w:tcPr>
            <w:tcW w:w="6700" w:type="dxa"/>
            <w:tcBorders>
              <w:right w:val="single" w:color="000000" w:sz="4" w:space="0"/>
            </w:tcBorders>
            <w:vAlign w:val="top"/>
          </w:tcPr>
          <w:p w14:paraId="5A6CCE24">
            <w:pPr>
              <w:pageBreakBefore w:val="0"/>
              <w:kinsoku/>
              <w:topLinePunct w:val="0"/>
              <w:bidi w:val="0"/>
              <w:spacing w:before="245" w:line="219" w:lineRule="auto"/>
              <w:ind w:left="11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自合同签订之日起至2025年10月31日止  </w:t>
            </w:r>
          </w:p>
        </w:tc>
      </w:tr>
      <w:tr w14:paraId="54854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0FB17F25">
            <w:pPr>
              <w:pageBreakBefore w:val="0"/>
              <w:kinsoku/>
              <w:topLinePunct w:val="0"/>
              <w:bidi w:val="0"/>
              <w:spacing w:line="258" w:lineRule="auto"/>
              <w:rPr>
                <w:rFonts w:ascii="Arial"/>
                <w:color w:val="auto"/>
                <w:sz w:val="21"/>
              </w:rPr>
            </w:pPr>
          </w:p>
          <w:p w14:paraId="1B09F2D7">
            <w:pPr>
              <w:pageBreakBefore w:val="0"/>
              <w:kinsoku/>
              <w:topLinePunct w:val="0"/>
              <w:bidi w:val="0"/>
              <w:spacing w:before="78" w:line="182" w:lineRule="auto"/>
              <w:ind w:left="326"/>
              <w:rPr>
                <w:rFonts w:ascii="宋体" w:hAnsi="宋体" w:eastAsia="宋体" w:cs="宋体"/>
                <w:color w:val="auto"/>
                <w:sz w:val="24"/>
                <w:szCs w:val="24"/>
              </w:rPr>
            </w:pPr>
            <w:r>
              <w:rPr>
                <w:rFonts w:ascii="宋体" w:hAnsi="宋体" w:eastAsia="宋体" w:cs="宋体"/>
                <w:color w:val="auto"/>
                <w:sz w:val="24"/>
                <w:szCs w:val="24"/>
              </w:rPr>
              <w:t>7</w:t>
            </w:r>
          </w:p>
        </w:tc>
        <w:tc>
          <w:tcPr>
            <w:tcW w:w="1870" w:type="dxa"/>
            <w:vAlign w:val="top"/>
          </w:tcPr>
          <w:p w14:paraId="791D0824">
            <w:pPr>
              <w:pageBreakBefore w:val="0"/>
              <w:kinsoku/>
              <w:topLinePunct w:val="0"/>
              <w:bidi w:val="0"/>
              <w:spacing w:before="298" w:line="218" w:lineRule="auto"/>
              <w:ind w:left="558"/>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最高限价</w:t>
            </w:r>
          </w:p>
        </w:tc>
        <w:tc>
          <w:tcPr>
            <w:tcW w:w="6700" w:type="dxa"/>
            <w:tcBorders>
              <w:right w:val="single" w:color="000000" w:sz="4" w:space="0"/>
            </w:tcBorders>
            <w:vAlign w:val="top"/>
          </w:tcPr>
          <w:p w14:paraId="4C8F139A">
            <w:pPr>
              <w:pageBreakBefore w:val="0"/>
              <w:kinsoku/>
              <w:topLinePunct w:val="0"/>
              <w:bidi w:val="0"/>
              <w:spacing w:before="119" w:line="246" w:lineRule="auto"/>
              <w:ind w:left="115" w:right="121" w:firstLine="14"/>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14</w:t>
            </w: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0</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0000.00</w:t>
            </w:r>
            <w:r>
              <w:rPr>
                <w:rFonts w:ascii="宋体" w:hAnsi="宋体" w:eastAsia="宋体" w:cs="宋体"/>
                <w:color w:val="auto"/>
                <w:spacing w:val="-2"/>
                <w:sz w:val="24"/>
                <w:szCs w:val="24"/>
                <w14:textOutline w14:w="4358" w14:cap="sq" w14:cmpd="sng">
                  <w14:solidFill>
                    <w14:srgbClr w14:val="000000"/>
                  </w14:solidFill>
                  <w14:prstDash w14:val="solid"/>
                  <w14:bevel/>
                </w14:textOutline>
              </w:rPr>
              <w:t>元</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（壹佰肆拾万元整）</w:t>
            </w:r>
          </w:p>
          <w:p w14:paraId="5FB6CE3A">
            <w:pPr>
              <w:pageBreakBefore w:val="0"/>
              <w:kinsoku/>
              <w:topLinePunct w:val="0"/>
              <w:bidi w:val="0"/>
              <w:spacing w:before="119" w:line="246" w:lineRule="auto"/>
              <w:ind w:left="115" w:right="121" w:firstLine="14"/>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color w:val="auto"/>
                <w:spacing w:val="-2"/>
                <w:sz w:val="24"/>
                <w:szCs w:val="24"/>
                <w14:textOutline w14:w="4358" w14:cap="sq" w14:cmpd="sng">
                  <w14:solidFill>
                    <w14:srgbClr w14:val="000000"/>
                  </w14:solidFill>
                  <w14:prstDash w14:val="solid"/>
                  <w14:bevel/>
                </w14:textOutline>
              </w:rPr>
              <w:t>不得高于</w:t>
            </w:r>
            <w:r>
              <w:rPr>
                <w:rFonts w:ascii="宋体" w:hAnsi="宋体" w:eastAsia="宋体" w:cs="宋体"/>
                <w:color w:val="auto"/>
                <w:spacing w:val="-1"/>
                <w:sz w:val="24"/>
                <w:szCs w:val="24"/>
                <w14:textOutline w14:w="4358" w14:cap="sq" w14:cmpd="sng">
                  <w14:solidFill>
                    <w14:srgbClr w14:val="000000"/>
                  </w14:solidFill>
                  <w14:prstDash w14:val="solid"/>
                  <w14:bevel/>
                </w14:textOutline>
              </w:rPr>
              <w:t>最高限价，否则视为无效</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1"/>
                <w:sz w:val="24"/>
                <w:szCs w:val="24"/>
                <w14:textOutline w14:w="4358" w14:cap="sq" w14:cmpd="sng">
                  <w14:solidFill>
                    <w14:srgbClr w14:val="000000"/>
                  </w14:solidFill>
                  <w14:prstDash w14:val="solid"/>
                  <w14:bevel/>
                </w14:textOutline>
              </w:rPr>
              <w:t>。</w:t>
            </w:r>
          </w:p>
        </w:tc>
      </w:tr>
      <w:tr w14:paraId="4EADF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42" w:type="dxa"/>
            <w:tcBorders>
              <w:left w:val="single" w:color="000000" w:sz="4" w:space="0"/>
            </w:tcBorders>
            <w:vAlign w:val="top"/>
          </w:tcPr>
          <w:p w14:paraId="6865DA24">
            <w:pPr>
              <w:pageBreakBefore w:val="0"/>
              <w:kinsoku/>
              <w:topLinePunct w:val="0"/>
              <w:bidi w:val="0"/>
              <w:spacing w:line="267" w:lineRule="auto"/>
              <w:rPr>
                <w:rFonts w:ascii="Arial"/>
                <w:color w:val="auto"/>
                <w:sz w:val="21"/>
              </w:rPr>
            </w:pPr>
          </w:p>
          <w:p w14:paraId="57780B65">
            <w:pPr>
              <w:pageBreakBefore w:val="0"/>
              <w:kinsoku/>
              <w:topLinePunct w:val="0"/>
              <w:bidi w:val="0"/>
              <w:spacing w:line="267" w:lineRule="auto"/>
              <w:rPr>
                <w:rFonts w:ascii="Arial"/>
                <w:color w:val="auto"/>
                <w:sz w:val="21"/>
              </w:rPr>
            </w:pPr>
          </w:p>
          <w:p w14:paraId="30D6E6A7">
            <w:pPr>
              <w:pageBreakBefore w:val="0"/>
              <w:kinsoku/>
              <w:topLinePunct w:val="0"/>
              <w:bidi w:val="0"/>
              <w:spacing w:line="267" w:lineRule="auto"/>
              <w:rPr>
                <w:rFonts w:ascii="Arial"/>
                <w:color w:val="auto"/>
                <w:sz w:val="21"/>
              </w:rPr>
            </w:pPr>
          </w:p>
          <w:p w14:paraId="117AA2DE">
            <w:pPr>
              <w:pageBreakBefore w:val="0"/>
              <w:kinsoku/>
              <w:topLinePunct w:val="0"/>
              <w:bidi w:val="0"/>
              <w:spacing w:line="267" w:lineRule="auto"/>
              <w:rPr>
                <w:rFonts w:ascii="Arial"/>
                <w:color w:val="auto"/>
                <w:sz w:val="21"/>
              </w:rPr>
            </w:pPr>
          </w:p>
          <w:p w14:paraId="31D5A9F4">
            <w:pPr>
              <w:pageBreakBefore w:val="0"/>
              <w:kinsoku/>
              <w:topLinePunct w:val="0"/>
              <w:bidi w:val="0"/>
              <w:spacing w:line="267" w:lineRule="auto"/>
              <w:rPr>
                <w:rFonts w:ascii="Arial"/>
                <w:color w:val="auto"/>
                <w:sz w:val="21"/>
              </w:rPr>
            </w:pPr>
          </w:p>
          <w:p w14:paraId="50E8BF29">
            <w:pPr>
              <w:pageBreakBefore w:val="0"/>
              <w:kinsoku/>
              <w:topLinePunct w:val="0"/>
              <w:bidi w:val="0"/>
              <w:spacing w:line="267" w:lineRule="auto"/>
              <w:rPr>
                <w:rFonts w:ascii="Arial"/>
                <w:color w:val="auto"/>
                <w:sz w:val="21"/>
              </w:rPr>
            </w:pPr>
          </w:p>
          <w:p w14:paraId="0F3C68ED">
            <w:pPr>
              <w:pageBreakBefore w:val="0"/>
              <w:kinsoku/>
              <w:topLinePunct w:val="0"/>
              <w:bidi w:val="0"/>
              <w:spacing w:line="267" w:lineRule="auto"/>
              <w:rPr>
                <w:rFonts w:ascii="Arial"/>
                <w:color w:val="auto"/>
                <w:sz w:val="21"/>
              </w:rPr>
            </w:pPr>
          </w:p>
          <w:p w14:paraId="3FEC8094">
            <w:pPr>
              <w:pageBreakBefore w:val="0"/>
              <w:kinsoku/>
              <w:topLinePunct w:val="0"/>
              <w:bidi w:val="0"/>
              <w:spacing w:line="267" w:lineRule="auto"/>
              <w:rPr>
                <w:rFonts w:ascii="Arial"/>
                <w:color w:val="auto"/>
                <w:sz w:val="21"/>
              </w:rPr>
            </w:pPr>
          </w:p>
          <w:p w14:paraId="4988CF36">
            <w:pPr>
              <w:pageBreakBefore w:val="0"/>
              <w:kinsoku/>
              <w:topLinePunct w:val="0"/>
              <w:bidi w:val="0"/>
              <w:spacing w:before="78" w:line="183" w:lineRule="auto"/>
              <w:ind w:left="321" w:leftChars="0"/>
              <w:rPr>
                <w:rFonts w:ascii="宋体" w:hAnsi="宋体" w:eastAsia="宋体" w:cs="宋体"/>
                <w:color w:val="auto"/>
                <w:sz w:val="24"/>
                <w:szCs w:val="24"/>
              </w:rPr>
            </w:pPr>
            <w:r>
              <w:rPr>
                <w:rFonts w:ascii="宋体" w:hAnsi="宋体" w:eastAsia="宋体" w:cs="宋体"/>
                <w:color w:val="auto"/>
                <w:sz w:val="24"/>
                <w:szCs w:val="24"/>
              </w:rPr>
              <w:t>8</w:t>
            </w:r>
          </w:p>
        </w:tc>
        <w:tc>
          <w:tcPr>
            <w:tcW w:w="1870" w:type="dxa"/>
            <w:vAlign w:val="top"/>
          </w:tcPr>
          <w:p w14:paraId="68E6E768">
            <w:pPr>
              <w:pageBreakBefore w:val="0"/>
              <w:kinsoku/>
              <w:topLinePunct w:val="0"/>
              <w:bidi w:val="0"/>
              <w:spacing w:line="260" w:lineRule="auto"/>
              <w:rPr>
                <w:rFonts w:ascii="Arial"/>
                <w:color w:val="auto"/>
                <w:sz w:val="21"/>
              </w:rPr>
            </w:pPr>
          </w:p>
          <w:p w14:paraId="254F437B">
            <w:pPr>
              <w:pageBreakBefore w:val="0"/>
              <w:kinsoku/>
              <w:topLinePunct w:val="0"/>
              <w:bidi w:val="0"/>
              <w:spacing w:line="260" w:lineRule="auto"/>
              <w:rPr>
                <w:rFonts w:ascii="Arial"/>
                <w:color w:val="auto"/>
                <w:sz w:val="21"/>
              </w:rPr>
            </w:pPr>
          </w:p>
          <w:p w14:paraId="4321E202">
            <w:pPr>
              <w:pageBreakBefore w:val="0"/>
              <w:kinsoku/>
              <w:topLinePunct w:val="0"/>
              <w:bidi w:val="0"/>
              <w:spacing w:line="260" w:lineRule="auto"/>
              <w:rPr>
                <w:rFonts w:ascii="Arial"/>
                <w:color w:val="auto"/>
                <w:sz w:val="21"/>
              </w:rPr>
            </w:pPr>
          </w:p>
          <w:p w14:paraId="5D3E12D7">
            <w:pPr>
              <w:pageBreakBefore w:val="0"/>
              <w:kinsoku/>
              <w:topLinePunct w:val="0"/>
              <w:bidi w:val="0"/>
              <w:spacing w:line="261" w:lineRule="auto"/>
              <w:rPr>
                <w:rFonts w:ascii="Arial"/>
                <w:color w:val="auto"/>
                <w:sz w:val="21"/>
              </w:rPr>
            </w:pPr>
          </w:p>
          <w:p w14:paraId="3ED03A1A">
            <w:pPr>
              <w:pageBreakBefore w:val="0"/>
              <w:kinsoku/>
              <w:topLinePunct w:val="0"/>
              <w:bidi w:val="0"/>
              <w:spacing w:line="261" w:lineRule="auto"/>
              <w:rPr>
                <w:rFonts w:ascii="Arial"/>
                <w:color w:val="auto"/>
                <w:sz w:val="21"/>
              </w:rPr>
            </w:pPr>
          </w:p>
          <w:p w14:paraId="0E5ED501">
            <w:pPr>
              <w:pageBreakBefore w:val="0"/>
              <w:kinsoku/>
              <w:topLinePunct w:val="0"/>
              <w:bidi w:val="0"/>
              <w:spacing w:line="261" w:lineRule="auto"/>
              <w:rPr>
                <w:rFonts w:ascii="Arial"/>
                <w:color w:val="auto"/>
                <w:sz w:val="21"/>
              </w:rPr>
            </w:pPr>
          </w:p>
          <w:p w14:paraId="3C3747EB">
            <w:pPr>
              <w:pageBreakBefore w:val="0"/>
              <w:kinsoku/>
              <w:topLinePunct w:val="0"/>
              <w:bidi w:val="0"/>
              <w:spacing w:before="78" w:line="219" w:lineRule="auto"/>
              <w:rPr>
                <w:rFonts w:ascii="宋体" w:hAnsi="宋体" w:eastAsia="宋体" w:cs="宋体"/>
                <w:color w:val="auto"/>
                <w:spacing w:val="-3"/>
                <w:sz w:val="24"/>
                <w:szCs w:val="24"/>
                <w14:textOutline w14:w="4358" w14:cap="sq" w14:cmpd="sng">
                  <w14:solidFill>
                    <w14:srgbClr w14:val="000000"/>
                  </w14:solidFill>
                  <w14:prstDash w14:val="solid"/>
                  <w14:bevel/>
                </w14:textOutline>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供应商资格</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14:textOutline w14:w="4358" w14:cap="sq" w14:cmpd="sng">
                  <w14:solidFill>
                    <w14:srgbClr w14:val="000000"/>
                  </w14:solidFill>
                  <w14:prstDash w14:val="solid"/>
                  <w14:bevel/>
                </w14:textOutline>
              </w:rPr>
              <w:t>能</w:t>
            </w:r>
            <w:r>
              <w:rPr>
                <w:rFonts w:ascii="宋体" w:hAnsi="宋体" w:eastAsia="宋体" w:cs="宋体"/>
                <w:color w:val="auto"/>
                <w:spacing w:val="-11"/>
                <w:sz w:val="24"/>
                <w:szCs w:val="24"/>
                <w14:textOutline w14:w="4358" w14:cap="sq" w14:cmpd="sng">
                  <w14:solidFill>
                    <w14:srgbClr w14:val="000000"/>
                  </w14:solidFill>
                  <w14:prstDash w14:val="solid"/>
                  <w14:bevel/>
                </w14:textOutline>
              </w:rPr>
              <w:t>力、信誉</w:t>
            </w:r>
            <w:r>
              <w:rPr>
                <w:rFonts w:hint="eastAsia" w:ascii="宋体" w:hAnsi="宋体" w:eastAsia="宋体" w:cs="宋体"/>
                <w:color w:val="auto"/>
                <w:spacing w:val="-11"/>
                <w:sz w:val="24"/>
                <w:szCs w:val="24"/>
                <w:lang w:eastAsia="zh-CN"/>
                <w14:textOutline w14:w="4358" w14:cap="sq" w14:cmpd="sng">
                  <w14:solidFill>
                    <w14:srgbClr w14:val="000000"/>
                  </w14:solidFill>
                  <w14:prstDash w14:val="solid"/>
                  <w14:bevel/>
                </w14:textOutline>
              </w:rPr>
              <w:t>及其他</w:t>
            </w:r>
            <w:r>
              <w:rPr>
                <w:rFonts w:ascii="宋体" w:hAnsi="宋体" w:eastAsia="宋体" w:cs="宋体"/>
                <w:color w:val="auto"/>
                <w:spacing w:val="-11"/>
                <w:sz w:val="24"/>
                <w:szCs w:val="24"/>
                <w14:textOutline w14:w="4358" w14:cap="sq" w14:cmpd="sng">
                  <w14:solidFill>
                    <w14:srgbClr w14:val="000000"/>
                  </w14:solidFill>
                  <w14:prstDash w14:val="solid"/>
                  <w14:bevel/>
                </w14:textOutline>
              </w:rPr>
              <w:t>要</w:t>
            </w:r>
            <w:r>
              <w:rPr>
                <w:rFonts w:ascii="宋体" w:hAnsi="宋体" w:eastAsia="宋体" w:cs="宋体"/>
                <w:color w:val="auto"/>
                <w:sz w:val="24"/>
                <w:szCs w:val="24"/>
                <w14:textOutline w14:w="4358" w14:cap="sq" w14:cmpd="sng">
                  <w14:solidFill>
                    <w14:srgbClr w14:val="000000"/>
                  </w14:solidFill>
                  <w14:prstDash w14:val="solid"/>
                  <w14:bevel/>
                </w14:textOutline>
              </w:rPr>
              <w:t>求</w:t>
            </w:r>
          </w:p>
        </w:tc>
        <w:tc>
          <w:tcPr>
            <w:tcW w:w="6700" w:type="dxa"/>
            <w:tcBorders>
              <w:right w:val="single" w:color="000000" w:sz="4" w:space="0"/>
            </w:tcBorders>
            <w:vAlign w:val="top"/>
          </w:tcPr>
          <w:p w14:paraId="7DCFE8F4">
            <w:pPr>
              <w:pageBreakBefore w:val="0"/>
              <w:kinsoku/>
              <w:topLinePunct w:val="0"/>
              <w:bidi w:val="0"/>
              <w:spacing w:before="43" w:line="219" w:lineRule="auto"/>
              <w:ind w:left="130"/>
              <w:rPr>
                <w:rFonts w:ascii="宋体" w:hAnsi="宋体" w:eastAsia="宋体" w:cs="宋体"/>
                <w:b/>
                <w:bCs/>
                <w:color w:val="auto"/>
                <w:sz w:val="24"/>
                <w:szCs w:val="24"/>
              </w:rPr>
            </w:pPr>
            <w:r>
              <w:rPr>
                <w:rFonts w:ascii="宋体" w:hAnsi="宋体" w:eastAsia="宋体" w:cs="宋体"/>
                <w:b/>
                <w:bCs/>
                <w:color w:val="auto"/>
                <w:spacing w:val="-1"/>
                <w:sz w:val="24"/>
                <w:szCs w:val="24"/>
              </w:rPr>
              <w:t>1.满足《中华人民共和国政府采购法》第二十二条</w:t>
            </w:r>
            <w:r>
              <w:rPr>
                <w:rFonts w:ascii="宋体" w:hAnsi="宋体" w:eastAsia="宋体" w:cs="宋体"/>
                <w:b/>
                <w:bCs/>
                <w:color w:val="auto"/>
                <w:spacing w:val="-2"/>
                <w:sz w:val="24"/>
                <w:szCs w:val="24"/>
              </w:rPr>
              <w:t>规定；</w:t>
            </w:r>
          </w:p>
          <w:p w14:paraId="20E6EB8F">
            <w:pPr>
              <w:pageBreakBefore w:val="0"/>
              <w:kinsoku/>
              <w:topLinePunct w:val="0"/>
              <w:bidi w:val="0"/>
              <w:spacing w:before="70" w:line="266" w:lineRule="auto"/>
              <w:ind w:left="112" w:right="118" w:firstLine="11"/>
              <w:rPr>
                <w:rFonts w:ascii="宋体" w:hAnsi="宋体" w:eastAsia="宋体" w:cs="宋体"/>
                <w:color w:val="auto"/>
                <w:sz w:val="24"/>
                <w:szCs w:val="24"/>
              </w:rPr>
            </w:pPr>
            <w:r>
              <w:rPr>
                <w:rFonts w:hint="eastAsia" w:ascii="宋体" w:hAnsi="宋体" w:eastAsia="宋体" w:cs="宋体"/>
                <w:color w:val="auto"/>
                <w:spacing w:val="-5"/>
                <w:sz w:val="24"/>
                <w:szCs w:val="24"/>
                <w:lang w:eastAsia="zh-CN"/>
              </w:rPr>
              <w:t>(1)具有有效经年检的三证合一营业执照原件扫描件（若供应商是企业（包括合伙企业）应提供营业执照；若供应商是事业单位应提供事业单位法人证书；若供应商是个体工商户应提供个体工商户营业执照；若供应商是自然人应提供自然人身份证明）</w:t>
            </w:r>
            <w:r>
              <w:rPr>
                <w:rFonts w:ascii="宋体" w:hAnsi="宋体" w:eastAsia="宋体" w:cs="宋体"/>
                <w:color w:val="auto"/>
                <w:sz w:val="24"/>
                <w:szCs w:val="24"/>
              </w:rPr>
              <w:t>；</w:t>
            </w:r>
          </w:p>
          <w:p w14:paraId="70F996A1">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pacing w:val="-5"/>
                <w:sz w:val="24"/>
                <w:szCs w:val="24"/>
                <w:lang w:eastAsia="zh-CN"/>
              </w:rPr>
              <w:t>具有良好的商业信誉和健全的财务会计制度（提供202</w:t>
            </w:r>
            <w:r>
              <w:rPr>
                <w:rFonts w:hint="eastAsia" w:ascii="宋体" w:hAnsi="宋体" w:eastAsia="宋体" w:cs="宋体"/>
                <w:color w:val="auto"/>
                <w:spacing w:val="-5"/>
                <w:sz w:val="24"/>
                <w:szCs w:val="24"/>
                <w:lang w:val="en-US" w:eastAsia="zh-CN"/>
              </w:rPr>
              <w:t>3</w:t>
            </w:r>
            <w:r>
              <w:rPr>
                <w:rFonts w:hint="eastAsia" w:ascii="宋体" w:hAnsi="宋体" w:eastAsia="宋体" w:cs="宋体"/>
                <w:color w:val="auto"/>
                <w:spacing w:val="-5"/>
                <w:sz w:val="24"/>
                <w:szCs w:val="24"/>
                <w:lang w:eastAsia="zh-CN"/>
              </w:rPr>
              <w:t>年经审计的财务报告，企业成立不足一年的，须提供企业成立以来的财务报表加盖单位公章）；</w:t>
            </w:r>
          </w:p>
          <w:p w14:paraId="7169A125">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(3)提供近期依法缴纳税收的证明；（出具2024年1月至今任意连续三个月的）完税证明；新成立企业须提供企业成立以来的完税证明；</w:t>
            </w:r>
          </w:p>
          <w:p w14:paraId="56906E6C">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(4)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46A28EAC">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(5)法定代表人参加应上传法定代表人身份证明和本人身份证；</w:t>
            </w:r>
            <w:r>
              <w:rPr>
                <w:rFonts w:hint="eastAsia" w:ascii="宋体" w:hAnsi="宋体" w:eastAsia="宋体" w:cs="宋体"/>
                <w:color w:val="auto"/>
                <w:spacing w:val="-5"/>
                <w:sz w:val="24"/>
                <w:szCs w:val="24"/>
                <w:lang w:val="en-US" w:eastAsia="zh-CN"/>
              </w:rPr>
              <w:t>委托代理人参加应上传法定代表人身份证明、授权委托书、本人身份证；</w:t>
            </w:r>
          </w:p>
          <w:p w14:paraId="6DCE386D">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(6)</w:t>
            </w:r>
            <w:r>
              <w:rPr>
                <w:rFonts w:hint="eastAsia" w:ascii="宋体" w:hAnsi="宋体" w:eastAsia="宋体" w:cs="宋体"/>
                <w:color w:val="auto"/>
                <w:spacing w:val="-5"/>
                <w:sz w:val="24"/>
                <w:szCs w:val="24"/>
                <w:lang w:val="en-US" w:eastAsia="zh-CN"/>
              </w:rPr>
              <w:t>供应商如在“信用中国”网站、中国政府采购网被列入严重违法失信行为记录名单的（尚在处罚期内的），将拒绝其参加本次政府采购活动（开标现场查询）。</w:t>
            </w:r>
          </w:p>
          <w:p w14:paraId="127F5FA7">
            <w:pPr>
              <w:pageBreakBefore w:val="0"/>
              <w:kinsoku/>
              <w:topLinePunct w:val="0"/>
              <w:bidi w:val="0"/>
              <w:spacing w:before="72" w:line="257" w:lineRule="auto"/>
              <w:ind w:left="114" w:right="133"/>
              <w:rPr>
                <w:rFonts w:ascii="宋体" w:hAnsi="宋体" w:eastAsia="宋体" w:cs="宋体"/>
                <w:b/>
                <w:bCs/>
                <w:color w:val="auto"/>
                <w:sz w:val="24"/>
                <w:szCs w:val="24"/>
              </w:rPr>
            </w:pPr>
            <w:r>
              <w:rPr>
                <w:rFonts w:ascii="宋体" w:hAnsi="宋体" w:eastAsia="宋体" w:cs="宋体"/>
                <w:b/>
                <w:bCs/>
                <w:color w:val="auto"/>
                <w:spacing w:val="-1"/>
                <w:sz w:val="24"/>
                <w:szCs w:val="24"/>
              </w:rPr>
              <w:t>2.落实政府采购政策需满足的资格要求：</w:t>
            </w:r>
          </w:p>
          <w:p w14:paraId="6DDD75FC">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w:t>
            </w:r>
            <w:r>
              <w:rPr>
                <w:rFonts w:ascii="宋体" w:hAnsi="宋体" w:eastAsia="宋体" w:cs="宋体"/>
                <w:color w:val="auto"/>
                <w:spacing w:val="-1"/>
                <w:sz w:val="24"/>
                <w:szCs w:val="24"/>
              </w:rPr>
              <w:t>财政部、国家发展改革委、生态环境部、市场监管总局《关于调整优化节能产品、环境标志产品政府采购执行机制的通知》（财库</w:t>
            </w:r>
            <w:r>
              <w:rPr>
                <w:rFonts w:hint="eastAsia" w:ascii="宋体" w:hAnsi="宋体" w:eastAsia="宋体" w:cs="宋体"/>
                <w:color w:val="auto"/>
                <w:spacing w:val="-1"/>
                <w:sz w:val="24"/>
                <w:szCs w:val="24"/>
                <w:lang w:eastAsia="zh-CN"/>
              </w:rPr>
              <w:t>〔2019〕9号</w:t>
            </w:r>
            <w:r>
              <w:rPr>
                <w:rFonts w:ascii="宋体" w:hAnsi="宋体" w:eastAsia="宋体" w:cs="宋体"/>
                <w:color w:val="auto"/>
                <w:spacing w:val="-1"/>
                <w:sz w:val="24"/>
                <w:szCs w:val="24"/>
              </w:rPr>
              <w:t>文）；</w:t>
            </w:r>
          </w:p>
          <w:p w14:paraId="1CD1599F">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w:t>
            </w:r>
            <w:r>
              <w:rPr>
                <w:rFonts w:hint="eastAsia" w:ascii="宋体" w:hAnsi="宋体" w:eastAsia="宋体" w:cs="宋体"/>
                <w:color w:val="auto"/>
                <w:spacing w:val="-1"/>
                <w:sz w:val="24"/>
                <w:szCs w:val="24"/>
              </w:rPr>
              <w:t>财政部、生态环境部《关于印发环境标志产品政府采购品目清单的通知》（财库</w:t>
            </w:r>
            <w:r>
              <w:rPr>
                <w:rFonts w:hint="eastAsia" w:ascii="宋体" w:hAnsi="宋体" w:eastAsia="宋体" w:cs="宋体"/>
                <w:color w:val="auto"/>
                <w:spacing w:val="-1"/>
                <w:sz w:val="24"/>
                <w:szCs w:val="24"/>
                <w:lang w:eastAsia="zh-CN"/>
              </w:rPr>
              <w:t>〔2019〕18号</w:t>
            </w:r>
            <w:r>
              <w:rPr>
                <w:rFonts w:hint="eastAsia" w:ascii="宋体" w:hAnsi="宋体" w:eastAsia="宋体" w:cs="宋体"/>
                <w:color w:val="auto"/>
                <w:spacing w:val="-1"/>
                <w:sz w:val="24"/>
                <w:szCs w:val="24"/>
              </w:rPr>
              <w:t>文）；</w:t>
            </w:r>
          </w:p>
          <w:p w14:paraId="5288097C">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w:t>
            </w:r>
            <w:r>
              <w:rPr>
                <w:rFonts w:hint="eastAsia" w:ascii="宋体" w:hAnsi="宋体" w:eastAsia="宋体" w:cs="宋体"/>
                <w:color w:val="auto"/>
                <w:spacing w:val="-1"/>
                <w:sz w:val="24"/>
                <w:szCs w:val="24"/>
              </w:rPr>
              <w:t>财政部、发展改革委《关于印发节能产品政府采购品目清单的通知》（财库</w:t>
            </w:r>
            <w:r>
              <w:rPr>
                <w:rFonts w:hint="eastAsia" w:ascii="宋体" w:hAnsi="宋体" w:eastAsia="宋体" w:cs="宋体"/>
                <w:color w:val="auto"/>
                <w:spacing w:val="-1"/>
                <w:sz w:val="24"/>
                <w:szCs w:val="24"/>
                <w:lang w:eastAsia="zh-CN"/>
              </w:rPr>
              <w:t>〔2019〕19号</w:t>
            </w:r>
            <w:r>
              <w:rPr>
                <w:rFonts w:hint="eastAsia" w:ascii="宋体" w:hAnsi="宋体" w:eastAsia="宋体" w:cs="宋体"/>
                <w:color w:val="auto"/>
                <w:spacing w:val="-1"/>
                <w:sz w:val="24"/>
                <w:szCs w:val="24"/>
              </w:rPr>
              <w:t>文）；</w:t>
            </w:r>
          </w:p>
          <w:p w14:paraId="4D7ED605">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（4）市场监管总局《市场监管总局关于发布参与实施政府采购节能产品、环境标志产品认证机构名录的公告》（2019年第16号）；</w:t>
            </w:r>
          </w:p>
          <w:p w14:paraId="3F4E745A">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w:t>
            </w:r>
            <w:r>
              <w:rPr>
                <w:rFonts w:hint="eastAsia" w:ascii="宋体" w:hAnsi="宋体" w:eastAsia="宋体" w:cs="宋体"/>
                <w:color w:val="auto"/>
                <w:spacing w:val="-1"/>
                <w:sz w:val="24"/>
                <w:szCs w:val="24"/>
              </w:rPr>
              <w:t>财政部、工业和信息化部《关于印发《政府采购促进中小企业发展管理办法》的通知》（财库</w:t>
            </w:r>
            <w:r>
              <w:rPr>
                <w:rFonts w:hint="eastAsia" w:ascii="宋体" w:hAnsi="宋体" w:eastAsia="宋体" w:cs="宋体"/>
                <w:color w:val="auto"/>
                <w:spacing w:val="-1"/>
                <w:sz w:val="24"/>
                <w:szCs w:val="24"/>
                <w:lang w:eastAsia="zh-CN"/>
              </w:rPr>
              <w:t>〔2020〕46号</w:t>
            </w:r>
            <w:r>
              <w:rPr>
                <w:rFonts w:hint="eastAsia" w:ascii="宋体" w:hAnsi="宋体" w:eastAsia="宋体" w:cs="宋体"/>
                <w:color w:val="auto"/>
                <w:spacing w:val="-1"/>
                <w:sz w:val="24"/>
                <w:szCs w:val="24"/>
              </w:rPr>
              <w:t>文）；</w:t>
            </w:r>
          </w:p>
          <w:p w14:paraId="0448B008">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w:t>
            </w:r>
            <w:r>
              <w:rPr>
                <w:rFonts w:hint="eastAsia" w:ascii="宋体" w:hAnsi="宋体" w:eastAsia="宋体" w:cs="宋体"/>
                <w:color w:val="auto"/>
                <w:spacing w:val="-1"/>
                <w:sz w:val="24"/>
                <w:szCs w:val="24"/>
              </w:rPr>
              <w:t>财政部、民政部、中国残疾人联合会《关于促进残疾人就业政府采购政策的通知》（财库</w:t>
            </w:r>
            <w:r>
              <w:rPr>
                <w:rFonts w:hint="eastAsia" w:ascii="宋体" w:hAnsi="宋体" w:eastAsia="宋体" w:cs="宋体"/>
                <w:color w:val="auto"/>
                <w:spacing w:val="-1"/>
                <w:sz w:val="24"/>
                <w:szCs w:val="24"/>
                <w:lang w:eastAsia="zh-CN"/>
              </w:rPr>
              <w:t>〔2017〕141号</w:t>
            </w:r>
            <w:r>
              <w:rPr>
                <w:rFonts w:hint="eastAsia" w:ascii="宋体" w:hAnsi="宋体" w:eastAsia="宋体" w:cs="宋体"/>
                <w:color w:val="auto"/>
                <w:spacing w:val="-1"/>
                <w:sz w:val="24"/>
                <w:szCs w:val="24"/>
              </w:rPr>
              <w:t>）；</w:t>
            </w:r>
          </w:p>
          <w:p w14:paraId="1C6A470A">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(7)</w:t>
            </w:r>
            <w:r>
              <w:rPr>
                <w:rFonts w:hint="eastAsia" w:ascii="宋体" w:hAnsi="宋体" w:eastAsia="宋体" w:cs="宋体"/>
                <w:color w:val="auto"/>
                <w:spacing w:val="-1"/>
                <w:sz w:val="24"/>
                <w:szCs w:val="24"/>
              </w:rPr>
              <w:t>财政部、司法部《关于政府采购支持监狱企业发展有关问题的通知》（财库</w:t>
            </w:r>
            <w:r>
              <w:rPr>
                <w:rFonts w:hint="eastAsia" w:ascii="宋体" w:hAnsi="宋体" w:eastAsia="宋体" w:cs="宋体"/>
                <w:color w:val="auto"/>
                <w:spacing w:val="-1"/>
                <w:sz w:val="24"/>
                <w:szCs w:val="24"/>
                <w:lang w:eastAsia="zh-CN"/>
              </w:rPr>
              <w:t>〔2014〕68号</w:t>
            </w:r>
            <w:r>
              <w:rPr>
                <w:rFonts w:hint="eastAsia" w:ascii="宋体" w:hAnsi="宋体" w:eastAsia="宋体" w:cs="宋体"/>
                <w:color w:val="auto"/>
                <w:spacing w:val="-1"/>
                <w:sz w:val="24"/>
                <w:szCs w:val="24"/>
              </w:rPr>
              <w:t>文）。</w:t>
            </w:r>
          </w:p>
          <w:p w14:paraId="048BAA4E">
            <w:pPr>
              <w:pageBreakBefore w:val="0"/>
              <w:kinsoku/>
              <w:topLinePunct w:val="0"/>
              <w:bidi w:val="0"/>
              <w:spacing w:before="74" w:line="248" w:lineRule="auto"/>
              <w:ind w:left="114" w:right="133" w:firstLine="2"/>
              <w:rPr>
                <w:rFonts w:ascii="宋体" w:hAnsi="宋体" w:eastAsia="宋体" w:cs="宋体"/>
                <w:b/>
                <w:bCs/>
                <w:color w:val="auto"/>
                <w:spacing w:val="-1"/>
                <w:sz w:val="24"/>
                <w:szCs w:val="24"/>
              </w:rPr>
            </w:pPr>
            <w:r>
              <w:rPr>
                <w:rFonts w:ascii="宋体" w:hAnsi="宋体" w:eastAsia="宋体" w:cs="宋体"/>
                <w:b/>
                <w:bCs/>
                <w:color w:val="auto"/>
                <w:spacing w:val="-1"/>
                <w:sz w:val="24"/>
                <w:szCs w:val="24"/>
              </w:rPr>
              <w:t>3.本项目的特定资格要求：</w:t>
            </w:r>
          </w:p>
          <w:p w14:paraId="1ECDC9B6">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highlight w:val="none"/>
              </w:rPr>
            </w:pPr>
            <w:r>
              <w:rPr>
                <w:rFonts w:hint="eastAsia" w:ascii="仿宋" w:hAnsi="仿宋" w:eastAsia="仿宋" w:cs="仿宋"/>
                <w:b w:val="0"/>
                <w:bCs w:val="0"/>
                <w:spacing w:val="-3"/>
                <w:sz w:val="24"/>
                <w:szCs w:val="24"/>
                <w:highlight w:val="none"/>
                <w:lang w:val="en-US" w:eastAsia="zh-CN"/>
              </w:rPr>
              <w:t>（1）</w:t>
            </w:r>
            <w:r>
              <w:rPr>
                <w:rFonts w:hint="eastAsia" w:ascii="仿宋" w:hAnsi="仿宋" w:eastAsia="仿宋" w:cs="仿宋"/>
                <w:b w:val="0"/>
                <w:bCs w:val="0"/>
                <w:spacing w:val="-3"/>
                <w:sz w:val="24"/>
                <w:szCs w:val="24"/>
                <w:highlight w:val="none"/>
                <w:lang w:eastAsia="zh-CN"/>
              </w:rPr>
              <w:t>供应商具备有效的城乡规划编制乙级及以上资质证书；</w:t>
            </w:r>
          </w:p>
          <w:p w14:paraId="42BFB15E">
            <w:pPr>
              <w:pageBreakBefore w:val="0"/>
              <w:kinsoku/>
              <w:topLinePunct w:val="0"/>
              <w:bidi w:val="0"/>
              <w:spacing w:before="69" w:line="219" w:lineRule="auto"/>
              <w:ind w:left="111"/>
              <w:rPr>
                <w:rFonts w:ascii="宋体" w:hAnsi="宋体" w:eastAsia="宋体" w:cs="宋体"/>
                <w:b/>
                <w:bCs/>
                <w:color w:val="auto"/>
                <w:sz w:val="24"/>
                <w:szCs w:val="24"/>
              </w:rPr>
            </w:pPr>
            <w:r>
              <w:rPr>
                <w:rFonts w:ascii="宋体" w:hAnsi="宋体" w:eastAsia="宋体" w:cs="宋体"/>
                <w:b/>
                <w:bCs/>
                <w:color w:val="auto"/>
                <w:spacing w:val="-1"/>
                <w:sz w:val="24"/>
                <w:szCs w:val="24"/>
              </w:rPr>
              <w:t>4.本项目不接受联合体参加。</w:t>
            </w:r>
          </w:p>
          <w:p w14:paraId="4C33B376">
            <w:pPr>
              <w:pageBreakBefore w:val="0"/>
              <w:kinsoku/>
              <w:topLinePunct w:val="0"/>
              <w:bidi w:val="0"/>
              <w:spacing w:before="73" w:line="219" w:lineRule="auto"/>
              <w:jc w:val="left"/>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ascii="宋体" w:hAnsi="宋体" w:eastAsia="宋体" w:cs="宋体"/>
                <w:b/>
                <w:bCs/>
                <w:color w:val="auto"/>
                <w:spacing w:val="-6"/>
                <w:sz w:val="24"/>
                <w:szCs w:val="24"/>
              </w:rPr>
              <w:t>注：供应商提交的所有证明文件及材料必须清晰、准确、真实</w:t>
            </w:r>
            <w:r>
              <w:rPr>
                <w:rFonts w:ascii="宋体" w:hAnsi="宋体" w:eastAsia="宋体" w:cs="宋体"/>
                <w:color w:val="auto"/>
                <w:spacing w:val="-6"/>
                <w:sz w:val="24"/>
                <w:szCs w:val="24"/>
              </w:rPr>
              <w:t>。</w:t>
            </w:r>
          </w:p>
        </w:tc>
      </w:tr>
      <w:tr w14:paraId="4E314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42" w:type="dxa"/>
            <w:tcBorders>
              <w:top w:val="single" w:color="000000" w:sz="4" w:space="0"/>
              <w:left w:val="single" w:color="000000" w:sz="4" w:space="0"/>
            </w:tcBorders>
            <w:vAlign w:val="top"/>
          </w:tcPr>
          <w:p w14:paraId="2DC8FD43">
            <w:pPr>
              <w:pageBreakBefore w:val="0"/>
              <w:kinsoku/>
              <w:topLinePunct w:val="0"/>
              <w:bidi w:val="0"/>
              <w:spacing w:before="202" w:line="183" w:lineRule="auto"/>
              <w:ind w:left="321"/>
              <w:rPr>
                <w:rFonts w:ascii="宋体" w:hAnsi="宋体" w:eastAsia="宋体" w:cs="宋体"/>
                <w:color w:val="auto"/>
                <w:sz w:val="24"/>
                <w:szCs w:val="24"/>
              </w:rPr>
            </w:pPr>
            <w:r>
              <w:rPr>
                <w:rFonts w:ascii="宋体" w:hAnsi="宋体" w:eastAsia="宋体" w:cs="宋体"/>
                <w:color w:val="auto"/>
                <w:sz w:val="24"/>
                <w:szCs w:val="24"/>
              </w:rPr>
              <w:t>9</w:t>
            </w:r>
          </w:p>
        </w:tc>
        <w:tc>
          <w:tcPr>
            <w:tcW w:w="1870" w:type="dxa"/>
            <w:tcBorders>
              <w:top w:val="single" w:color="000000" w:sz="4" w:space="0"/>
            </w:tcBorders>
            <w:vAlign w:val="top"/>
          </w:tcPr>
          <w:p w14:paraId="7F66BC15">
            <w:pPr>
              <w:pageBreakBefore w:val="0"/>
              <w:kinsoku/>
              <w:topLinePunct w:val="0"/>
              <w:bidi w:val="0"/>
              <w:spacing w:before="164" w:line="219" w:lineRule="auto"/>
              <w:ind w:left="325"/>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资格审查方式</w:t>
            </w:r>
          </w:p>
        </w:tc>
        <w:tc>
          <w:tcPr>
            <w:tcW w:w="6700" w:type="dxa"/>
            <w:tcBorders>
              <w:top w:val="single" w:color="000000" w:sz="4" w:space="0"/>
              <w:right w:val="single" w:color="000000" w:sz="4" w:space="0"/>
            </w:tcBorders>
            <w:vAlign w:val="top"/>
          </w:tcPr>
          <w:p w14:paraId="705756C6">
            <w:pPr>
              <w:pageBreakBefore w:val="0"/>
              <w:kinsoku/>
              <w:topLinePunct w:val="0"/>
              <w:bidi w:val="0"/>
              <w:spacing w:before="164" w:line="219" w:lineRule="auto"/>
              <w:ind w:left="122"/>
              <w:rPr>
                <w:rFonts w:ascii="宋体" w:hAnsi="宋体" w:eastAsia="宋体" w:cs="宋体"/>
                <w:color w:val="auto"/>
                <w:sz w:val="24"/>
                <w:szCs w:val="24"/>
              </w:rPr>
            </w:pPr>
            <w:r>
              <w:rPr>
                <w:rFonts w:ascii="宋体" w:hAnsi="宋体" w:eastAsia="宋体" w:cs="宋体"/>
                <w:color w:val="auto"/>
                <w:spacing w:val="-5"/>
                <w:sz w:val="24"/>
                <w:szCs w:val="24"/>
              </w:rPr>
              <w:t>资格后审</w:t>
            </w:r>
          </w:p>
        </w:tc>
      </w:tr>
      <w:tr w14:paraId="72026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42" w:type="dxa"/>
            <w:tcBorders>
              <w:left w:val="single" w:color="000000" w:sz="4" w:space="0"/>
            </w:tcBorders>
            <w:vAlign w:val="top"/>
          </w:tcPr>
          <w:p w14:paraId="39834073">
            <w:pPr>
              <w:pageBreakBefore w:val="0"/>
              <w:kinsoku/>
              <w:topLinePunct w:val="0"/>
              <w:bidi w:val="0"/>
              <w:spacing w:before="155"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10</w:t>
            </w:r>
          </w:p>
        </w:tc>
        <w:tc>
          <w:tcPr>
            <w:tcW w:w="1870" w:type="dxa"/>
            <w:vAlign w:val="top"/>
          </w:tcPr>
          <w:p w14:paraId="03565C65">
            <w:pPr>
              <w:pageBreakBefore w:val="0"/>
              <w:kinsoku/>
              <w:topLinePunct w:val="0"/>
              <w:bidi w:val="0"/>
              <w:spacing w:before="118" w:line="220" w:lineRule="auto"/>
              <w:ind w:left="558"/>
              <w:rPr>
                <w:rFonts w:ascii="宋体" w:hAnsi="宋体" w:eastAsia="宋体" w:cs="宋体"/>
                <w:color w:val="auto"/>
                <w:sz w:val="24"/>
                <w:szCs w:val="24"/>
              </w:rPr>
            </w:pP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14:textOutline w14:w="4358" w14:cap="sq" w14:cmpd="sng">
                  <w14:solidFill>
                    <w14:srgbClr w14:val="000000"/>
                  </w14:solidFill>
                  <w14:prstDash w14:val="solid"/>
                  <w14:bevel/>
                </w14:textOutline>
              </w:rPr>
              <w:t>语言</w:t>
            </w:r>
          </w:p>
        </w:tc>
        <w:tc>
          <w:tcPr>
            <w:tcW w:w="6700" w:type="dxa"/>
            <w:tcBorders>
              <w:right w:val="single" w:color="000000" w:sz="4" w:space="0"/>
            </w:tcBorders>
            <w:vAlign w:val="top"/>
          </w:tcPr>
          <w:p w14:paraId="2693DD4C">
            <w:pPr>
              <w:pageBreakBefore w:val="0"/>
              <w:kinsoku/>
              <w:topLinePunct w:val="0"/>
              <w:bidi w:val="0"/>
              <w:spacing w:before="118" w:line="220" w:lineRule="auto"/>
              <w:ind w:left="135"/>
              <w:rPr>
                <w:rFonts w:ascii="宋体" w:hAnsi="宋体" w:eastAsia="宋体" w:cs="宋体"/>
                <w:color w:val="auto"/>
                <w:sz w:val="24"/>
                <w:szCs w:val="24"/>
              </w:rPr>
            </w:pPr>
            <w:r>
              <w:rPr>
                <w:rFonts w:ascii="宋体" w:hAnsi="宋体" w:eastAsia="宋体" w:cs="宋体"/>
                <w:color w:val="auto"/>
                <w:spacing w:val="-16"/>
                <w:sz w:val="24"/>
                <w:szCs w:val="24"/>
              </w:rPr>
              <w:t>中文</w:t>
            </w:r>
          </w:p>
        </w:tc>
      </w:tr>
      <w:tr w14:paraId="469CE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2" w:type="dxa"/>
            <w:tcBorders>
              <w:left w:val="single" w:color="000000" w:sz="4" w:space="0"/>
            </w:tcBorders>
            <w:vAlign w:val="top"/>
          </w:tcPr>
          <w:p w14:paraId="16F3F519">
            <w:pPr>
              <w:pageBreakBefore w:val="0"/>
              <w:kinsoku/>
              <w:topLinePunct w:val="0"/>
              <w:bidi w:val="0"/>
              <w:spacing w:before="272"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11</w:t>
            </w:r>
          </w:p>
        </w:tc>
        <w:tc>
          <w:tcPr>
            <w:tcW w:w="1870" w:type="dxa"/>
            <w:vAlign w:val="top"/>
          </w:tcPr>
          <w:p w14:paraId="0A9B5FDE">
            <w:pPr>
              <w:pageBreakBefore w:val="0"/>
              <w:kinsoku/>
              <w:topLinePunct w:val="0"/>
              <w:bidi w:val="0"/>
              <w:spacing w:before="235" w:line="220" w:lineRule="auto"/>
              <w:ind w:left="438"/>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2"/>
                <w:sz w:val="24"/>
                <w:szCs w:val="24"/>
                <w14:textOutline w14:w="4358" w14:cap="sq" w14:cmpd="sng">
                  <w14:solidFill>
                    <w14:srgbClr w14:val="000000"/>
                  </w14:solidFill>
                  <w14:prstDash w14:val="solid"/>
                  <w14:bevel/>
                </w14:textOutline>
              </w:rPr>
              <w:t>有效期</w:t>
            </w:r>
          </w:p>
        </w:tc>
        <w:tc>
          <w:tcPr>
            <w:tcW w:w="6700" w:type="dxa"/>
            <w:tcBorders>
              <w:right w:val="single" w:color="000000" w:sz="4" w:space="0"/>
            </w:tcBorders>
            <w:vAlign w:val="top"/>
          </w:tcPr>
          <w:p w14:paraId="0C5230D9">
            <w:pPr>
              <w:pageBreakBefore w:val="0"/>
              <w:kinsoku/>
              <w:topLinePunct w:val="0"/>
              <w:bidi w:val="0"/>
              <w:spacing w:before="236" w:line="219" w:lineRule="auto"/>
              <w:ind w:left="113"/>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60</w:t>
            </w:r>
            <w:r>
              <w:rPr>
                <w:rFonts w:ascii="宋体" w:hAnsi="宋体" w:eastAsia="宋体" w:cs="宋体"/>
                <w:color w:val="auto"/>
                <w:spacing w:val="-3"/>
                <w:sz w:val="24"/>
                <w:szCs w:val="24"/>
              </w:rPr>
              <w:t>日历天</w:t>
            </w:r>
            <w:r>
              <w:rPr>
                <w:rFonts w:ascii="宋体" w:hAnsi="宋体" w:eastAsia="宋体" w:cs="宋体"/>
                <w:color w:val="auto"/>
                <w:spacing w:val="-12"/>
                <w:sz w:val="24"/>
                <w:szCs w:val="24"/>
              </w:rPr>
              <w:t>；（</w:t>
            </w:r>
            <w:r>
              <w:rPr>
                <w:rFonts w:ascii="宋体" w:hAnsi="宋体" w:eastAsia="宋体" w:cs="宋体"/>
                <w:color w:val="auto"/>
                <w:spacing w:val="-3"/>
                <w:sz w:val="24"/>
                <w:szCs w:val="24"/>
              </w:rPr>
              <w:t>从</w:t>
            </w:r>
            <w:r>
              <w:rPr>
                <w:rFonts w:ascii="宋体" w:hAnsi="宋体" w:eastAsia="宋体" w:cs="宋体"/>
                <w:sz w:val="24"/>
                <w:szCs w:val="24"/>
              </w:rPr>
              <w:t>提交响应文件截止</w:t>
            </w:r>
            <w:r>
              <w:rPr>
                <w:rFonts w:hint="eastAsia" w:ascii="宋体" w:hAnsi="宋体" w:eastAsia="宋体" w:cs="宋体"/>
                <w:sz w:val="24"/>
                <w:szCs w:val="24"/>
                <w:lang w:eastAsia="zh-CN"/>
              </w:rPr>
              <w:t>之日</w:t>
            </w:r>
            <w:r>
              <w:rPr>
                <w:rFonts w:ascii="宋体" w:hAnsi="宋体" w:eastAsia="宋体" w:cs="宋体"/>
                <w:color w:val="auto"/>
                <w:spacing w:val="-3"/>
                <w:sz w:val="24"/>
                <w:szCs w:val="24"/>
              </w:rPr>
              <w:t>算起）</w:t>
            </w:r>
          </w:p>
        </w:tc>
      </w:tr>
      <w:tr w14:paraId="7CA6A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2" w:type="dxa"/>
            <w:tcBorders>
              <w:left w:val="single" w:color="000000" w:sz="4" w:space="0"/>
            </w:tcBorders>
            <w:vAlign w:val="top"/>
          </w:tcPr>
          <w:p w14:paraId="79C8100E">
            <w:pPr>
              <w:pageBreakBefore w:val="0"/>
              <w:kinsoku/>
              <w:topLinePunct w:val="0"/>
              <w:bidi w:val="0"/>
              <w:spacing w:before="21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12</w:t>
            </w:r>
          </w:p>
        </w:tc>
        <w:tc>
          <w:tcPr>
            <w:tcW w:w="1870" w:type="dxa"/>
            <w:vAlign w:val="top"/>
          </w:tcPr>
          <w:p w14:paraId="094CA715">
            <w:pPr>
              <w:pageBreakBefore w:val="0"/>
              <w:kinsoku/>
              <w:topLinePunct w:val="0"/>
              <w:bidi w:val="0"/>
              <w:spacing w:before="177" w:line="219" w:lineRule="auto"/>
              <w:ind w:left="554"/>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采购方式</w:t>
            </w:r>
          </w:p>
        </w:tc>
        <w:tc>
          <w:tcPr>
            <w:tcW w:w="6700" w:type="dxa"/>
            <w:tcBorders>
              <w:right w:val="single" w:color="000000" w:sz="4" w:space="0"/>
            </w:tcBorders>
            <w:vAlign w:val="top"/>
          </w:tcPr>
          <w:p w14:paraId="18CF008C">
            <w:pPr>
              <w:pageBreakBefore w:val="0"/>
              <w:kinsoku/>
              <w:topLinePunct w:val="0"/>
              <w:bidi w:val="0"/>
              <w:spacing w:before="178" w:line="219" w:lineRule="auto"/>
              <w:ind w:left="115"/>
              <w:rPr>
                <w:rFonts w:ascii="宋体" w:hAnsi="宋体" w:eastAsia="宋体" w:cs="宋体"/>
                <w:color w:val="auto"/>
                <w:sz w:val="24"/>
                <w:szCs w:val="24"/>
              </w:rPr>
            </w:pPr>
            <w:r>
              <w:rPr>
                <w:rFonts w:ascii="宋体" w:hAnsi="宋体" w:eastAsia="宋体" w:cs="宋体"/>
                <w:color w:val="auto"/>
                <w:spacing w:val="-3"/>
                <w:sz w:val="24"/>
                <w:szCs w:val="24"/>
              </w:rPr>
              <w:t>竞争性磋商</w:t>
            </w:r>
          </w:p>
        </w:tc>
      </w:tr>
      <w:tr w14:paraId="44314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2" w:type="dxa"/>
            <w:tcBorders>
              <w:left w:val="single" w:color="000000" w:sz="4" w:space="0"/>
            </w:tcBorders>
            <w:vAlign w:val="top"/>
          </w:tcPr>
          <w:p w14:paraId="5ED80A56">
            <w:pPr>
              <w:pageBreakBefore w:val="0"/>
              <w:kinsoku/>
              <w:topLinePunct w:val="0"/>
              <w:bidi w:val="0"/>
              <w:spacing w:before="259"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13</w:t>
            </w:r>
          </w:p>
        </w:tc>
        <w:tc>
          <w:tcPr>
            <w:tcW w:w="1870" w:type="dxa"/>
            <w:vAlign w:val="top"/>
          </w:tcPr>
          <w:p w14:paraId="4B080C13">
            <w:pPr>
              <w:pageBreakBefore w:val="0"/>
              <w:kinsoku/>
              <w:topLinePunct w:val="0"/>
              <w:bidi w:val="0"/>
              <w:spacing w:before="223" w:line="219" w:lineRule="auto"/>
              <w:ind w:left="554"/>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评审</w:t>
            </w:r>
            <w:r>
              <w:rPr>
                <w:rFonts w:ascii="宋体" w:hAnsi="宋体" w:eastAsia="宋体" w:cs="宋体"/>
                <w:color w:val="auto"/>
                <w:spacing w:val="-2"/>
                <w:sz w:val="24"/>
                <w:szCs w:val="24"/>
                <w14:textOutline w14:w="4358" w14:cap="sq" w14:cmpd="sng">
                  <w14:solidFill>
                    <w14:srgbClr w14:val="000000"/>
                  </w14:solidFill>
                  <w14:prstDash w14:val="solid"/>
                  <w14:bevel/>
                </w14:textOutline>
              </w:rPr>
              <w:t>办法</w:t>
            </w:r>
          </w:p>
        </w:tc>
        <w:tc>
          <w:tcPr>
            <w:tcW w:w="6700" w:type="dxa"/>
            <w:tcBorders>
              <w:right w:val="single" w:color="000000" w:sz="4" w:space="0"/>
            </w:tcBorders>
            <w:vAlign w:val="top"/>
          </w:tcPr>
          <w:p w14:paraId="1E48E9D5">
            <w:pPr>
              <w:pageBreakBefore w:val="0"/>
              <w:kinsoku/>
              <w:topLinePunct w:val="0"/>
              <w:bidi w:val="0"/>
              <w:spacing w:before="222" w:line="220" w:lineRule="auto"/>
              <w:ind w:left="115"/>
              <w:rPr>
                <w:rFonts w:ascii="宋体" w:hAnsi="宋体" w:eastAsia="宋体" w:cs="宋体"/>
                <w:color w:val="auto"/>
                <w:sz w:val="24"/>
                <w:szCs w:val="24"/>
              </w:rPr>
            </w:pPr>
            <w:r>
              <w:rPr>
                <w:rFonts w:ascii="宋体" w:hAnsi="宋体" w:eastAsia="宋体" w:cs="宋体"/>
                <w:color w:val="auto"/>
                <w:spacing w:val="-3"/>
                <w:sz w:val="24"/>
                <w:szCs w:val="24"/>
              </w:rPr>
              <w:t>综合评分法</w:t>
            </w:r>
          </w:p>
        </w:tc>
      </w:tr>
      <w:tr w14:paraId="2271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42" w:type="dxa"/>
            <w:tcBorders>
              <w:left w:val="single" w:color="000000" w:sz="4" w:space="0"/>
            </w:tcBorders>
            <w:vAlign w:val="top"/>
          </w:tcPr>
          <w:p w14:paraId="1A5ABCDB">
            <w:pPr>
              <w:pageBreakBefore w:val="0"/>
              <w:kinsoku/>
              <w:topLinePunct w:val="0"/>
              <w:bidi w:val="0"/>
              <w:spacing w:before="260"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14</w:t>
            </w:r>
          </w:p>
        </w:tc>
        <w:tc>
          <w:tcPr>
            <w:tcW w:w="1870" w:type="dxa"/>
            <w:vAlign w:val="top"/>
          </w:tcPr>
          <w:p w14:paraId="7530527E">
            <w:pPr>
              <w:pageBreakBefore w:val="0"/>
              <w:kinsoku/>
              <w:topLinePunct w:val="0"/>
              <w:bidi w:val="0"/>
              <w:spacing w:before="223" w:line="219" w:lineRule="auto"/>
              <w:ind w:left="196"/>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本项目所属行业</w:t>
            </w:r>
          </w:p>
        </w:tc>
        <w:tc>
          <w:tcPr>
            <w:tcW w:w="6700" w:type="dxa"/>
            <w:tcBorders>
              <w:right w:val="single" w:color="000000" w:sz="4" w:space="0"/>
            </w:tcBorders>
            <w:vAlign w:val="top"/>
          </w:tcPr>
          <w:p w14:paraId="37CC2FC8">
            <w:pPr>
              <w:pageBreakBefore w:val="0"/>
              <w:kinsoku/>
              <w:topLinePunct w:val="0"/>
              <w:bidi w:val="0"/>
              <w:spacing w:before="224" w:line="219" w:lineRule="auto"/>
              <w:ind w:left="11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其他未列明行业</w:t>
            </w:r>
          </w:p>
        </w:tc>
      </w:tr>
      <w:tr w14:paraId="56DC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42" w:type="dxa"/>
            <w:tcBorders>
              <w:left w:val="single" w:color="000000" w:sz="4" w:space="0"/>
            </w:tcBorders>
            <w:vAlign w:val="top"/>
          </w:tcPr>
          <w:p w14:paraId="45EE1766">
            <w:pPr>
              <w:pageBreakBefore w:val="0"/>
              <w:kinsoku/>
              <w:topLinePunct w:val="0"/>
              <w:bidi w:val="0"/>
              <w:spacing w:before="261"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15</w:t>
            </w:r>
          </w:p>
        </w:tc>
        <w:tc>
          <w:tcPr>
            <w:tcW w:w="1870" w:type="dxa"/>
            <w:vAlign w:val="center"/>
          </w:tcPr>
          <w:p w14:paraId="6691ED73">
            <w:pPr>
              <w:pageBreakBefore w:val="0"/>
              <w:kinsoku/>
              <w:topLinePunct w:val="0"/>
              <w:bidi w:val="0"/>
              <w:spacing w:before="44"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是否允许采购进</w:t>
            </w:r>
            <w:r>
              <w:rPr>
                <w:rFonts w:ascii="宋体" w:hAnsi="宋体" w:eastAsia="宋体" w:cs="宋体"/>
                <w:color w:val="auto"/>
                <w:spacing w:val="-15"/>
                <w:sz w:val="24"/>
                <w:szCs w:val="24"/>
                <w14:textOutline w14:w="4358" w14:cap="sq" w14:cmpd="sng">
                  <w14:solidFill>
                    <w14:srgbClr w14:val="000000"/>
                  </w14:solidFill>
                  <w14:prstDash w14:val="solid"/>
                  <w14:bevel/>
                </w14:textOutline>
              </w:rPr>
              <w:t>口产品</w:t>
            </w:r>
          </w:p>
        </w:tc>
        <w:tc>
          <w:tcPr>
            <w:tcW w:w="6700" w:type="dxa"/>
            <w:tcBorders>
              <w:right w:val="single" w:color="000000" w:sz="4" w:space="0"/>
            </w:tcBorders>
            <w:vAlign w:val="top"/>
          </w:tcPr>
          <w:p w14:paraId="7AB4CD65">
            <w:pPr>
              <w:pageBreakBefore w:val="0"/>
              <w:kinsoku/>
              <w:topLinePunct w:val="0"/>
              <w:bidi w:val="0"/>
              <w:spacing w:before="223" w:line="219" w:lineRule="auto"/>
              <w:ind w:left="113"/>
              <w:rPr>
                <w:rFonts w:ascii="宋体" w:hAnsi="宋体" w:eastAsia="宋体" w:cs="宋体"/>
                <w:color w:val="auto"/>
                <w:sz w:val="24"/>
                <w:szCs w:val="24"/>
              </w:rPr>
            </w:pPr>
            <w:r>
              <w:rPr>
                <w:rFonts w:ascii="宋体" w:hAnsi="宋体" w:eastAsia="宋体" w:cs="宋体"/>
                <w:color w:val="auto"/>
                <w:spacing w:val="-3"/>
                <w:sz w:val="24"/>
                <w:szCs w:val="24"/>
              </w:rPr>
              <w:t>本项目不允许</w:t>
            </w:r>
            <w:r>
              <w:rPr>
                <w:rFonts w:hint="eastAsia" w:ascii="宋体" w:hAnsi="宋体" w:eastAsia="宋体" w:cs="宋体"/>
                <w:color w:val="auto"/>
                <w:spacing w:val="-3"/>
                <w:sz w:val="24"/>
                <w:szCs w:val="24"/>
                <w:lang w:eastAsia="zh-CN"/>
              </w:rPr>
              <w:t>采购</w:t>
            </w:r>
            <w:r>
              <w:rPr>
                <w:rFonts w:ascii="宋体" w:hAnsi="宋体" w:eastAsia="宋体" w:cs="宋体"/>
                <w:color w:val="auto"/>
                <w:spacing w:val="-3"/>
                <w:sz w:val="24"/>
                <w:szCs w:val="24"/>
              </w:rPr>
              <w:t>进口产品。</w:t>
            </w:r>
          </w:p>
        </w:tc>
      </w:tr>
      <w:tr w14:paraId="65738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7211E4E3">
            <w:pPr>
              <w:pageBreakBefore w:val="0"/>
              <w:kinsoku/>
              <w:topLinePunct w:val="0"/>
              <w:bidi w:val="0"/>
              <w:spacing w:line="332" w:lineRule="auto"/>
              <w:rPr>
                <w:rFonts w:ascii="Arial"/>
                <w:color w:val="auto"/>
                <w:sz w:val="21"/>
              </w:rPr>
            </w:pPr>
          </w:p>
          <w:p w14:paraId="126E0409">
            <w:pPr>
              <w:pageBreakBefore w:val="0"/>
              <w:kinsoku/>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16</w:t>
            </w:r>
          </w:p>
        </w:tc>
        <w:tc>
          <w:tcPr>
            <w:tcW w:w="1870" w:type="dxa"/>
            <w:vAlign w:val="center"/>
          </w:tcPr>
          <w:p w14:paraId="13654694">
            <w:pPr>
              <w:pageBreakBefore w:val="0"/>
              <w:kinsoku/>
              <w:topLinePunct w:val="0"/>
              <w:bidi w:val="0"/>
              <w:spacing w:before="7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磋商小组的建</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立</w:t>
            </w:r>
          </w:p>
        </w:tc>
        <w:tc>
          <w:tcPr>
            <w:tcW w:w="6700" w:type="dxa"/>
            <w:tcBorders>
              <w:right w:val="single" w:color="000000" w:sz="4" w:space="0"/>
            </w:tcBorders>
            <w:vAlign w:val="top"/>
          </w:tcPr>
          <w:p w14:paraId="17AD21BA">
            <w:pPr>
              <w:pageBreakBefore w:val="0"/>
              <w:kinsoku/>
              <w:topLinePunct w:val="0"/>
              <w:bidi w:val="0"/>
              <w:spacing w:before="198" w:line="219" w:lineRule="auto"/>
              <w:ind w:left="111"/>
              <w:rPr>
                <w:rFonts w:ascii="宋体" w:hAnsi="宋体" w:eastAsia="宋体" w:cs="宋体"/>
                <w:color w:val="auto"/>
                <w:sz w:val="24"/>
                <w:szCs w:val="24"/>
              </w:rPr>
            </w:pPr>
            <w:r>
              <w:rPr>
                <w:rFonts w:ascii="宋体" w:hAnsi="宋体" w:eastAsia="宋体" w:cs="宋体"/>
                <w:color w:val="auto"/>
                <w:spacing w:val="-2"/>
                <w:sz w:val="24"/>
                <w:szCs w:val="24"/>
              </w:rPr>
              <w:t>磋商小组构成：磋商小组</w:t>
            </w:r>
            <w:r>
              <w:rPr>
                <w:rFonts w:hint="eastAsia" w:ascii="宋体" w:hAnsi="宋体" w:eastAsia="宋体" w:cs="宋体"/>
                <w:color w:val="auto"/>
                <w:spacing w:val="-31"/>
                <w:sz w:val="24"/>
                <w:szCs w:val="24"/>
                <w:lang w:val="en-US" w:eastAsia="zh-CN"/>
              </w:rPr>
              <w:t>3</w:t>
            </w:r>
            <w:r>
              <w:rPr>
                <w:rFonts w:ascii="宋体" w:hAnsi="宋体" w:eastAsia="宋体" w:cs="宋体"/>
                <w:color w:val="auto"/>
                <w:spacing w:val="-2"/>
                <w:sz w:val="24"/>
                <w:szCs w:val="24"/>
              </w:rPr>
              <w:t>人及以上单数评审专家组成。</w:t>
            </w:r>
          </w:p>
          <w:p w14:paraId="28557B46">
            <w:pPr>
              <w:pageBreakBefore w:val="0"/>
              <w:kinsoku/>
              <w:topLinePunct w:val="0"/>
              <w:bidi w:val="0"/>
              <w:spacing w:before="69" w:line="219" w:lineRule="auto"/>
              <w:ind w:left="111"/>
              <w:rPr>
                <w:rFonts w:ascii="宋体" w:hAnsi="宋体" w:eastAsia="宋体" w:cs="宋体"/>
                <w:color w:val="auto"/>
                <w:sz w:val="24"/>
                <w:szCs w:val="24"/>
              </w:rPr>
            </w:pPr>
            <w:r>
              <w:rPr>
                <w:rFonts w:ascii="宋体" w:hAnsi="宋体" w:eastAsia="宋体" w:cs="宋体"/>
                <w:color w:val="auto"/>
                <w:spacing w:val="-1"/>
                <w:sz w:val="24"/>
                <w:szCs w:val="24"/>
              </w:rPr>
              <w:t>评</w:t>
            </w:r>
            <w:r>
              <w:rPr>
                <w:rFonts w:hint="eastAsia" w:ascii="宋体" w:hAnsi="宋体" w:eastAsia="宋体" w:cs="宋体"/>
                <w:color w:val="auto"/>
                <w:spacing w:val="-1"/>
                <w:sz w:val="24"/>
                <w:szCs w:val="24"/>
                <w:lang w:eastAsia="zh-CN"/>
              </w:rPr>
              <w:t>审</w:t>
            </w:r>
            <w:r>
              <w:rPr>
                <w:rFonts w:ascii="宋体" w:hAnsi="宋体" w:eastAsia="宋体" w:cs="宋体"/>
                <w:color w:val="auto"/>
                <w:spacing w:val="-1"/>
                <w:sz w:val="24"/>
                <w:szCs w:val="24"/>
              </w:rPr>
              <w:t>专家确定方式：政采云专家库中随机抽取</w:t>
            </w:r>
          </w:p>
        </w:tc>
      </w:tr>
      <w:tr w14:paraId="317FE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742" w:type="dxa"/>
            <w:tcBorders>
              <w:left w:val="single" w:color="000000" w:sz="4" w:space="0"/>
            </w:tcBorders>
            <w:vAlign w:val="top"/>
          </w:tcPr>
          <w:p w14:paraId="3E55A464">
            <w:pPr>
              <w:pageBreakBefore w:val="0"/>
              <w:kinsoku/>
              <w:topLinePunct w:val="0"/>
              <w:bidi w:val="0"/>
              <w:spacing w:line="355" w:lineRule="auto"/>
              <w:rPr>
                <w:rFonts w:ascii="Arial"/>
                <w:color w:val="auto"/>
                <w:sz w:val="21"/>
              </w:rPr>
            </w:pPr>
          </w:p>
          <w:p w14:paraId="25E53CEE">
            <w:pPr>
              <w:pageBreakBefore w:val="0"/>
              <w:kinsoku/>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17</w:t>
            </w:r>
          </w:p>
        </w:tc>
        <w:tc>
          <w:tcPr>
            <w:tcW w:w="1870" w:type="dxa"/>
            <w:vAlign w:val="center"/>
          </w:tcPr>
          <w:p w14:paraId="39090FB7">
            <w:pPr>
              <w:pageBreakBefore w:val="0"/>
              <w:kinsoku/>
              <w:topLinePunct w:val="0"/>
              <w:bidi w:val="0"/>
              <w:spacing w:before="41"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是否授权磋商小组确定成交供应</w:t>
            </w:r>
            <w:r>
              <w:rPr>
                <w:rFonts w:ascii="宋体" w:hAnsi="宋体" w:eastAsia="宋体" w:cs="宋体"/>
                <w:color w:val="auto"/>
                <w:sz w:val="24"/>
                <w:szCs w:val="24"/>
                <w14:textOutline w14:w="4358" w14:cap="sq" w14:cmpd="sng">
                  <w14:solidFill>
                    <w14:srgbClr w14:val="000000"/>
                  </w14:solidFill>
                  <w14:prstDash w14:val="solid"/>
                  <w14:bevel/>
                </w14:textOutline>
              </w:rPr>
              <w:t>商</w:t>
            </w:r>
          </w:p>
        </w:tc>
        <w:tc>
          <w:tcPr>
            <w:tcW w:w="6700" w:type="dxa"/>
            <w:tcBorders>
              <w:right w:val="single" w:color="000000" w:sz="4" w:space="0"/>
            </w:tcBorders>
            <w:vAlign w:val="top"/>
          </w:tcPr>
          <w:p w14:paraId="12EE2078">
            <w:pPr>
              <w:pageBreakBefore w:val="0"/>
              <w:kinsoku/>
              <w:topLinePunct w:val="0"/>
              <w:bidi w:val="0"/>
              <w:spacing w:before="218" w:line="223" w:lineRule="auto"/>
              <w:ind w:left="137"/>
              <w:rPr>
                <w:rFonts w:ascii="宋体" w:hAnsi="宋体" w:eastAsia="宋体" w:cs="宋体"/>
                <w:color w:val="auto"/>
                <w:sz w:val="24"/>
                <w:szCs w:val="24"/>
              </w:rPr>
            </w:pPr>
            <w:r>
              <w:rPr>
                <w:rFonts w:ascii="宋体" w:hAnsi="宋体" w:eastAsia="宋体" w:cs="宋体"/>
                <w:color w:val="auto"/>
                <w:spacing w:val="-17"/>
                <w:sz w:val="24"/>
                <w:szCs w:val="24"/>
              </w:rPr>
              <w:t>□是</w:t>
            </w:r>
          </w:p>
          <w:p w14:paraId="720702AE">
            <w:pPr>
              <w:pageBreakBefore w:val="0"/>
              <w:kinsoku/>
              <w:topLinePunct w:val="0"/>
              <w:bidi w:val="0"/>
              <w:spacing w:before="67" w:line="219" w:lineRule="auto"/>
              <w:ind w:left="122"/>
              <w:rPr>
                <w:rFonts w:ascii="宋体" w:hAnsi="宋体" w:eastAsia="宋体" w:cs="宋体"/>
                <w:color w:val="auto"/>
                <w:sz w:val="24"/>
                <w:szCs w:val="24"/>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否，推荐的成交候选人数：3 人</w:t>
            </w:r>
          </w:p>
        </w:tc>
      </w:tr>
      <w:tr w14:paraId="4493B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42" w:type="dxa"/>
            <w:tcBorders>
              <w:left w:val="single" w:color="000000" w:sz="4" w:space="0"/>
            </w:tcBorders>
            <w:vAlign w:val="top"/>
          </w:tcPr>
          <w:p w14:paraId="43D721CB">
            <w:pPr>
              <w:pageBreakBefore w:val="0"/>
              <w:kinsoku/>
              <w:topLinePunct w:val="0"/>
              <w:bidi w:val="0"/>
              <w:spacing w:before="25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18</w:t>
            </w:r>
          </w:p>
        </w:tc>
        <w:tc>
          <w:tcPr>
            <w:tcW w:w="1870" w:type="dxa"/>
            <w:vAlign w:val="center"/>
          </w:tcPr>
          <w:p w14:paraId="46A36615">
            <w:pPr>
              <w:pageBreakBefore w:val="0"/>
              <w:kinsoku/>
              <w:topLinePunct w:val="0"/>
              <w:bidi w:val="0"/>
              <w:spacing w:before="40" w:line="247" w:lineRule="auto"/>
              <w:ind w:right="107"/>
              <w:jc w:val="center"/>
              <w:rPr>
                <w:rFonts w:ascii="宋体" w:hAnsi="宋体" w:eastAsia="宋体" w:cs="宋体"/>
                <w:color w:val="auto"/>
                <w:sz w:val="24"/>
                <w:szCs w:val="24"/>
              </w:rPr>
            </w:pPr>
            <w:r>
              <w:rPr>
                <w:rFonts w:ascii="宋体" w:hAnsi="宋体" w:eastAsia="宋体" w:cs="宋体"/>
                <w:color w:val="auto"/>
                <w:spacing w:val="-10"/>
                <w:sz w:val="24"/>
                <w:szCs w:val="24"/>
                <w14:textOutline w14:w="4358" w14:cap="sq" w14:cmpd="sng">
                  <w14:solidFill>
                    <w14:srgbClr w14:val="000000"/>
                  </w14:solidFill>
                  <w14:prstDash w14:val="solid"/>
                  <w14:bevel/>
                </w14:textOutline>
              </w:rPr>
              <w:t>考察现场、标前答</w:t>
            </w:r>
            <w:r>
              <w:rPr>
                <w:rFonts w:ascii="宋体" w:hAnsi="宋体" w:eastAsia="宋体" w:cs="宋体"/>
                <w:color w:val="auto"/>
                <w:spacing w:val="-7"/>
                <w:sz w:val="24"/>
                <w:szCs w:val="24"/>
                <w14:textOutline w14:w="4358" w14:cap="sq" w14:cmpd="sng">
                  <w14:solidFill>
                    <w14:srgbClr w14:val="000000"/>
                  </w14:solidFill>
                  <w14:prstDash w14:val="solid"/>
                  <w14:bevel/>
                </w14:textOutline>
              </w:rPr>
              <w:t>疑会</w:t>
            </w:r>
          </w:p>
        </w:tc>
        <w:tc>
          <w:tcPr>
            <w:tcW w:w="6700" w:type="dxa"/>
            <w:tcBorders>
              <w:right w:val="single" w:color="000000" w:sz="4" w:space="0"/>
            </w:tcBorders>
            <w:vAlign w:val="top"/>
          </w:tcPr>
          <w:p w14:paraId="41F99CF1">
            <w:pPr>
              <w:pageBreakBefore w:val="0"/>
              <w:kinsoku/>
              <w:topLinePunct w:val="0"/>
              <w:bidi w:val="0"/>
              <w:spacing w:before="217" w:line="219" w:lineRule="auto"/>
              <w:ind w:left="113"/>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不组织</w:t>
            </w:r>
            <w:r>
              <w:rPr>
                <w:rFonts w:ascii="宋体" w:hAnsi="宋体" w:eastAsia="宋体" w:cs="宋体"/>
                <w:color w:val="auto"/>
                <w:spacing w:val="-1"/>
                <w:sz w:val="24"/>
                <w:szCs w:val="24"/>
              </w:rPr>
              <w:t>。</w:t>
            </w:r>
          </w:p>
        </w:tc>
      </w:tr>
      <w:tr w14:paraId="37F36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42" w:type="dxa"/>
            <w:tcBorders>
              <w:left w:val="single" w:color="000000" w:sz="4" w:space="0"/>
            </w:tcBorders>
            <w:vAlign w:val="top"/>
          </w:tcPr>
          <w:p w14:paraId="1F3E0141">
            <w:pPr>
              <w:pageBreakBefore w:val="0"/>
              <w:kinsoku/>
              <w:topLinePunct w:val="0"/>
              <w:bidi w:val="0"/>
              <w:spacing w:line="353" w:lineRule="auto"/>
              <w:rPr>
                <w:rFonts w:ascii="Arial"/>
                <w:color w:val="auto"/>
                <w:sz w:val="21"/>
              </w:rPr>
            </w:pPr>
          </w:p>
          <w:p w14:paraId="76BA9610">
            <w:pPr>
              <w:pageBreakBefore w:val="0"/>
              <w:kinsoku/>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19</w:t>
            </w:r>
          </w:p>
        </w:tc>
        <w:tc>
          <w:tcPr>
            <w:tcW w:w="1870" w:type="dxa"/>
            <w:vAlign w:val="center"/>
          </w:tcPr>
          <w:p w14:paraId="77559D66">
            <w:pPr>
              <w:pageBreakBefore w:val="0"/>
              <w:kinsoku/>
              <w:topLinePunct w:val="0"/>
              <w:bidi w:val="0"/>
              <w:spacing w:before="41" w:line="219" w:lineRule="auto"/>
              <w:ind w:left="111"/>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供应商提出问题、采购人书面澄清</w:t>
            </w:r>
            <w:r>
              <w:rPr>
                <w:rFonts w:ascii="宋体" w:hAnsi="宋体" w:eastAsia="宋体" w:cs="宋体"/>
                <w:color w:val="auto"/>
                <w:spacing w:val="-9"/>
                <w:sz w:val="24"/>
                <w:szCs w:val="24"/>
                <w14:textOutline w14:w="4358" w14:cap="sq" w14:cmpd="sng">
                  <w14:solidFill>
                    <w14:srgbClr w14:val="000000"/>
                  </w14:solidFill>
                  <w14:prstDash w14:val="solid"/>
                  <w14:bevel/>
                </w14:textOutline>
              </w:rPr>
              <w:t>的时间</w:t>
            </w:r>
          </w:p>
        </w:tc>
        <w:tc>
          <w:tcPr>
            <w:tcW w:w="6700" w:type="dxa"/>
            <w:tcBorders>
              <w:right w:val="single" w:color="000000" w:sz="4" w:space="0"/>
            </w:tcBorders>
            <w:vAlign w:val="top"/>
          </w:tcPr>
          <w:p w14:paraId="3928EA5F">
            <w:pPr>
              <w:pageBreakBefore w:val="0"/>
              <w:kinsoku/>
              <w:topLinePunct w:val="0"/>
              <w:bidi w:val="0"/>
              <w:spacing w:before="218" w:line="219" w:lineRule="auto"/>
              <w:ind w:left="1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供应商提出问题的截止时间：</w:t>
            </w:r>
            <w:r>
              <w:rPr>
                <w:rFonts w:ascii="宋体" w:hAnsi="宋体" w:eastAsia="宋体" w:cs="宋体"/>
                <w:sz w:val="24"/>
                <w:szCs w:val="24"/>
                <w:highlight w:val="none"/>
              </w:rPr>
              <w:t>提交</w:t>
            </w:r>
            <w:r>
              <w:rPr>
                <w:rFonts w:hint="eastAsia" w:ascii="宋体" w:hAnsi="宋体" w:eastAsia="宋体" w:cs="宋体"/>
                <w:sz w:val="24"/>
                <w:szCs w:val="24"/>
                <w:highlight w:val="none"/>
                <w:lang w:eastAsia="zh-CN"/>
              </w:rPr>
              <w:t>首次</w:t>
            </w:r>
            <w:r>
              <w:rPr>
                <w:rFonts w:ascii="宋体" w:hAnsi="宋体" w:eastAsia="宋体" w:cs="宋体"/>
                <w:sz w:val="24"/>
                <w:szCs w:val="24"/>
                <w:highlight w:val="none"/>
              </w:rPr>
              <w:t>响应文件截止</w:t>
            </w:r>
            <w:r>
              <w:rPr>
                <w:rFonts w:ascii="宋体" w:hAnsi="宋体" w:eastAsia="宋体" w:cs="宋体"/>
                <w:color w:val="auto"/>
                <w:spacing w:val="-4"/>
                <w:sz w:val="24"/>
                <w:szCs w:val="24"/>
                <w:highlight w:val="none"/>
              </w:rPr>
              <w:t>日期前</w:t>
            </w:r>
            <w:r>
              <w:rPr>
                <w:rFonts w:hint="eastAsia" w:ascii="宋体" w:hAnsi="宋体" w:eastAsia="宋体" w:cs="宋体"/>
                <w:color w:val="auto"/>
                <w:spacing w:val="-4"/>
                <w:sz w:val="24"/>
                <w:szCs w:val="24"/>
                <w:highlight w:val="none"/>
                <w:lang w:val="en-US" w:eastAsia="zh-CN"/>
              </w:rPr>
              <w:t>7</w:t>
            </w:r>
            <w:r>
              <w:rPr>
                <w:rFonts w:ascii="宋体" w:hAnsi="宋体" w:eastAsia="宋体" w:cs="宋体"/>
                <w:color w:val="auto"/>
                <w:spacing w:val="-4"/>
                <w:sz w:val="24"/>
                <w:szCs w:val="24"/>
                <w:highlight w:val="none"/>
              </w:rPr>
              <w:t>日</w:t>
            </w:r>
          </w:p>
          <w:p w14:paraId="05960CC2">
            <w:pPr>
              <w:pageBreakBefore w:val="0"/>
              <w:kinsoku/>
              <w:topLinePunct w:val="0"/>
              <w:bidi w:val="0"/>
              <w:spacing w:before="72" w:line="219" w:lineRule="auto"/>
              <w:ind w:left="11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采购人书面澄清的截止时间：</w:t>
            </w:r>
            <w:r>
              <w:rPr>
                <w:rFonts w:ascii="宋体" w:hAnsi="宋体" w:eastAsia="宋体" w:cs="宋体"/>
                <w:sz w:val="24"/>
                <w:szCs w:val="24"/>
                <w:highlight w:val="none"/>
              </w:rPr>
              <w:t>提交</w:t>
            </w:r>
            <w:r>
              <w:rPr>
                <w:rFonts w:hint="eastAsia" w:ascii="宋体" w:hAnsi="宋体" w:eastAsia="宋体" w:cs="宋体"/>
                <w:sz w:val="24"/>
                <w:szCs w:val="24"/>
                <w:highlight w:val="none"/>
                <w:lang w:eastAsia="zh-CN"/>
              </w:rPr>
              <w:t>首次</w:t>
            </w:r>
            <w:r>
              <w:rPr>
                <w:rFonts w:ascii="宋体" w:hAnsi="宋体" w:eastAsia="宋体" w:cs="宋体"/>
                <w:sz w:val="24"/>
                <w:szCs w:val="24"/>
                <w:highlight w:val="none"/>
              </w:rPr>
              <w:t>响应文件截止</w:t>
            </w:r>
            <w:r>
              <w:rPr>
                <w:rFonts w:ascii="宋体" w:hAnsi="宋体" w:eastAsia="宋体" w:cs="宋体"/>
                <w:color w:val="auto"/>
                <w:spacing w:val="-4"/>
                <w:sz w:val="24"/>
                <w:szCs w:val="24"/>
                <w:highlight w:val="none"/>
              </w:rPr>
              <w:t>日期前5日</w:t>
            </w:r>
          </w:p>
        </w:tc>
      </w:tr>
      <w:tr w14:paraId="7EA7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5D462751">
            <w:pPr>
              <w:pageBreakBefore w:val="0"/>
              <w:kinsoku/>
              <w:topLinePunct w:val="0"/>
              <w:bidi w:val="0"/>
              <w:spacing w:before="287"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20</w:t>
            </w:r>
          </w:p>
        </w:tc>
        <w:tc>
          <w:tcPr>
            <w:tcW w:w="1870" w:type="dxa"/>
            <w:vAlign w:val="center"/>
          </w:tcPr>
          <w:p w14:paraId="7C068489">
            <w:pPr>
              <w:pageBreakBefore w:val="0"/>
              <w:kinsoku/>
              <w:topLinePunct w:val="0"/>
              <w:bidi w:val="0"/>
              <w:spacing w:before="70"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构成磋商文件的其他文件</w:t>
            </w:r>
          </w:p>
        </w:tc>
        <w:tc>
          <w:tcPr>
            <w:tcW w:w="6700" w:type="dxa"/>
            <w:tcBorders>
              <w:right w:val="single" w:color="000000" w:sz="4" w:space="0"/>
            </w:tcBorders>
            <w:vAlign w:val="top"/>
          </w:tcPr>
          <w:p w14:paraId="2BE985A1">
            <w:pPr>
              <w:pageBreakBefore w:val="0"/>
              <w:kinsoku/>
              <w:topLinePunct w:val="0"/>
              <w:bidi w:val="0"/>
              <w:spacing w:before="70" w:line="247" w:lineRule="auto"/>
              <w:ind w:left="113" w:right="133" w:hanging="2"/>
              <w:rPr>
                <w:rFonts w:ascii="宋体" w:hAnsi="宋体" w:eastAsia="宋体" w:cs="宋体"/>
                <w:color w:val="auto"/>
                <w:sz w:val="24"/>
                <w:szCs w:val="24"/>
              </w:rPr>
            </w:pPr>
            <w:r>
              <w:rPr>
                <w:rFonts w:ascii="宋体" w:hAnsi="宋体" w:eastAsia="宋体" w:cs="宋体"/>
                <w:color w:val="auto"/>
                <w:spacing w:val="-1"/>
                <w:sz w:val="24"/>
                <w:szCs w:val="24"/>
              </w:rPr>
              <w:t>磋商文件的澄清、修改及有关补充通知为磋商文件的有效组</w:t>
            </w:r>
            <w:r>
              <w:rPr>
                <w:rFonts w:ascii="宋体" w:hAnsi="宋体" w:eastAsia="宋体" w:cs="宋体"/>
                <w:color w:val="auto"/>
                <w:spacing w:val="-3"/>
                <w:sz w:val="24"/>
                <w:szCs w:val="24"/>
              </w:rPr>
              <w:t>成部分。</w:t>
            </w:r>
          </w:p>
        </w:tc>
      </w:tr>
      <w:tr w14:paraId="6FCFA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tcBorders>
              <w:left w:val="single" w:color="000000" w:sz="4" w:space="0"/>
            </w:tcBorders>
            <w:vAlign w:val="top"/>
          </w:tcPr>
          <w:p w14:paraId="66274E8C">
            <w:pPr>
              <w:pageBreakBefore w:val="0"/>
              <w:kinsoku/>
              <w:topLinePunct w:val="0"/>
              <w:bidi w:val="0"/>
              <w:spacing w:before="169" w:line="184" w:lineRule="auto"/>
              <w:ind w:left="263"/>
              <w:rPr>
                <w:rFonts w:ascii="宋体" w:hAnsi="宋体" w:eastAsia="宋体" w:cs="宋体"/>
                <w:color w:val="auto"/>
                <w:sz w:val="24"/>
                <w:szCs w:val="24"/>
              </w:rPr>
            </w:pPr>
            <w:r>
              <w:rPr>
                <w:rFonts w:ascii="宋体" w:hAnsi="宋体" w:eastAsia="宋体" w:cs="宋体"/>
                <w:color w:val="auto"/>
                <w:spacing w:val="-7"/>
                <w:sz w:val="24"/>
                <w:szCs w:val="24"/>
              </w:rPr>
              <w:t>21</w:t>
            </w:r>
          </w:p>
        </w:tc>
        <w:tc>
          <w:tcPr>
            <w:tcW w:w="1870" w:type="dxa"/>
            <w:vAlign w:val="center"/>
          </w:tcPr>
          <w:p w14:paraId="0D1F7F94">
            <w:pPr>
              <w:pageBreakBefore w:val="0"/>
              <w:kinsoku/>
              <w:topLinePunct w:val="0"/>
              <w:bidi w:val="0"/>
              <w:spacing w:before="132"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分包（转让）</w:t>
            </w:r>
          </w:p>
        </w:tc>
        <w:tc>
          <w:tcPr>
            <w:tcW w:w="6700" w:type="dxa"/>
            <w:tcBorders>
              <w:right w:val="single" w:color="000000" w:sz="4" w:space="0"/>
            </w:tcBorders>
            <w:vAlign w:val="top"/>
          </w:tcPr>
          <w:p w14:paraId="5AF037C9">
            <w:pPr>
              <w:pageBreakBefore w:val="0"/>
              <w:kinsoku/>
              <w:topLinePunct w:val="0"/>
              <w:bidi w:val="0"/>
              <w:spacing w:before="133" w:line="219" w:lineRule="auto"/>
              <w:ind w:left="116"/>
              <w:rPr>
                <w:rFonts w:ascii="宋体" w:hAnsi="宋体" w:eastAsia="宋体" w:cs="宋体"/>
                <w:color w:val="auto"/>
                <w:sz w:val="24"/>
                <w:szCs w:val="24"/>
              </w:rPr>
            </w:pPr>
            <w:r>
              <w:rPr>
                <w:rFonts w:ascii="宋体" w:hAnsi="宋体" w:eastAsia="宋体" w:cs="宋体"/>
                <w:color w:val="auto"/>
                <w:spacing w:val="-4"/>
                <w:sz w:val="24"/>
                <w:szCs w:val="24"/>
              </w:rPr>
              <w:t>不允许。</w:t>
            </w:r>
          </w:p>
        </w:tc>
      </w:tr>
      <w:tr w14:paraId="57851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7F44E8F2">
            <w:pPr>
              <w:pageBreakBefore w:val="0"/>
              <w:kinsoku/>
              <w:topLinePunct w:val="0"/>
              <w:bidi w:val="0"/>
              <w:spacing w:before="186"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22</w:t>
            </w:r>
          </w:p>
        </w:tc>
        <w:tc>
          <w:tcPr>
            <w:tcW w:w="1870" w:type="dxa"/>
            <w:vAlign w:val="center"/>
          </w:tcPr>
          <w:p w14:paraId="09545EBD">
            <w:pPr>
              <w:pageBreakBefore w:val="0"/>
              <w:kinsoku/>
              <w:topLinePunct w:val="0"/>
              <w:bidi w:val="0"/>
              <w:spacing w:before="14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联合</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体</w:t>
            </w:r>
          </w:p>
        </w:tc>
        <w:tc>
          <w:tcPr>
            <w:tcW w:w="6700" w:type="dxa"/>
            <w:tcBorders>
              <w:right w:val="single" w:color="000000" w:sz="4" w:space="0"/>
            </w:tcBorders>
            <w:vAlign w:val="top"/>
          </w:tcPr>
          <w:p w14:paraId="192C856A">
            <w:pPr>
              <w:pageBreakBefore w:val="0"/>
              <w:kinsoku/>
              <w:topLinePunct w:val="0"/>
              <w:bidi w:val="0"/>
              <w:spacing w:before="148" w:line="219" w:lineRule="auto"/>
              <w:ind w:left="113"/>
              <w:rPr>
                <w:rFonts w:ascii="宋体" w:hAnsi="宋体" w:eastAsia="宋体" w:cs="宋体"/>
                <w:color w:val="auto"/>
                <w:sz w:val="24"/>
                <w:szCs w:val="24"/>
              </w:rPr>
            </w:pPr>
            <w:r>
              <w:rPr>
                <w:rFonts w:ascii="宋体" w:hAnsi="宋体" w:eastAsia="宋体" w:cs="宋体"/>
                <w:color w:val="auto"/>
                <w:spacing w:val="-1"/>
                <w:sz w:val="24"/>
                <w:szCs w:val="24"/>
              </w:rPr>
              <w:t>本项目不接受联合体。</w:t>
            </w:r>
          </w:p>
        </w:tc>
      </w:tr>
      <w:tr w14:paraId="2187B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42" w:type="dxa"/>
            <w:tcBorders>
              <w:left w:val="single" w:color="000000" w:sz="4" w:space="0"/>
            </w:tcBorders>
            <w:vAlign w:val="top"/>
          </w:tcPr>
          <w:p w14:paraId="6CDA7428">
            <w:pPr>
              <w:pageBreakBefore w:val="0"/>
              <w:kinsoku/>
              <w:topLinePunct w:val="0"/>
              <w:bidi w:val="0"/>
              <w:spacing w:before="25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23</w:t>
            </w:r>
          </w:p>
        </w:tc>
        <w:tc>
          <w:tcPr>
            <w:tcW w:w="1870" w:type="dxa"/>
            <w:vAlign w:val="center"/>
          </w:tcPr>
          <w:p w14:paraId="6059FECF">
            <w:pPr>
              <w:pageBreakBefore w:val="0"/>
              <w:kinsoku/>
              <w:topLinePunct w:val="0"/>
              <w:bidi w:val="0"/>
              <w:spacing w:before="43"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是否退还磋商响</w:t>
            </w:r>
            <w:r>
              <w:rPr>
                <w:rFonts w:ascii="宋体" w:hAnsi="宋体" w:eastAsia="宋体" w:cs="宋体"/>
                <w:color w:val="auto"/>
                <w:spacing w:val="-3"/>
                <w:sz w:val="24"/>
                <w:szCs w:val="24"/>
                <w14:textOutline w14:w="4358" w14:cap="sq" w14:cmpd="sng">
                  <w14:solidFill>
                    <w14:srgbClr w14:val="000000"/>
                  </w14:solidFill>
                  <w14:prstDash w14:val="solid"/>
                  <w14:bevel/>
                </w14:textOutline>
              </w:rPr>
              <w:t>应文件</w:t>
            </w:r>
          </w:p>
        </w:tc>
        <w:tc>
          <w:tcPr>
            <w:tcW w:w="6700" w:type="dxa"/>
            <w:tcBorders>
              <w:right w:val="single" w:color="000000" w:sz="4" w:space="0"/>
            </w:tcBorders>
            <w:vAlign w:val="top"/>
          </w:tcPr>
          <w:p w14:paraId="670D03A7">
            <w:pPr>
              <w:pageBreakBefore w:val="0"/>
              <w:kinsoku/>
              <w:topLinePunct w:val="0"/>
              <w:bidi w:val="0"/>
              <w:spacing w:before="220" w:line="220" w:lineRule="auto"/>
              <w:ind w:left="120"/>
              <w:rPr>
                <w:rFonts w:ascii="宋体" w:hAnsi="宋体" w:eastAsia="宋体" w:cs="宋体"/>
                <w:color w:val="auto"/>
                <w:sz w:val="24"/>
                <w:szCs w:val="24"/>
              </w:rPr>
            </w:pPr>
            <w:r>
              <w:rPr>
                <w:rFonts w:ascii="宋体" w:hAnsi="宋体" w:eastAsia="宋体" w:cs="宋体"/>
                <w:color w:val="auto"/>
                <w:sz w:val="24"/>
                <w:szCs w:val="24"/>
              </w:rPr>
              <w:t>否</w:t>
            </w:r>
          </w:p>
        </w:tc>
      </w:tr>
      <w:tr w14:paraId="1389A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2" w:type="dxa"/>
            <w:tcBorders>
              <w:left w:val="single" w:color="000000" w:sz="4" w:space="0"/>
            </w:tcBorders>
            <w:vAlign w:val="top"/>
          </w:tcPr>
          <w:p w14:paraId="38DC547C">
            <w:pPr>
              <w:pageBreakBefore w:val="0"/>
              <w:kinsoku/>
              <w:topLinePunct w:val="0"/>
              <w:bidi w:val="0"/>
              <w:spacing w:before="310"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24</w:t>
            </w:r>
          </w:p>
        </w:tc>
        <w:tc>
          <w:tcPr>
            <w:tcW w:w="1870" w:type="dxa"/>
            <w:vAlign w:val="center"/>
          </w:tcPr>
          <w:p w14:paraId="23CE4160">
            <w:pPr>
              <w:pageBreakBefore w:val="0"/>
              <w:kinsoku/>
              <w:topLinePunct w:val="0"/>
              <w:bidi w:val="0"/>
              <w:spacing w:before="273" w:line="22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磋商保证金</w:t>
            </w:r>
          </w:p>
        </w:tc>
        <w:tc>
          <w:tcPr>
            <w:tcW w:w="6700" w:type="dxa"/>
            <w:tcBorders>
              <w:right w:val="single" w:color="000000" w:sz="4" w:space="0"/>
            </w:tcBorders>
            <w:vAlign w:val="top"/>
          </w:tcPr>
          <w:p w14:paraId="7451A177">
            <w:pPr>
              <w:pageBreakBefore w:val="0"/>
              <w:kinsoku/>
              <w:topLinePunct w:val="0"/>
              <w:bidi w:val="0"/>
              <w:spacing w:before="272" w:line="219" w:lineRule="auto"/>
              <w:ind w:left="113"/>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本项目无须缴纳保证金</w:t>
            </w:r>
          </w:p>
        </w:tc>
      </w:tr>
      <w:tr w14:paraId="487BF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742" w:type="dxa"/>
            <w:tcBorders>
              <w:left w:val="single" w:color="000000" w:sz="4" w:space="0"/>
            </w:tcBorders>
            <w:vAlign w:val="top"/>
          </w:tcPr>
          <w:p w14:paraId="017C0537">
            <w:pPr>
              <w:pageBreakBefore w:val="0"/>
              <w:kinsoku/>
              <w:topLinePunct w:val="0"/>
              <w:bidi w:val="0"/>
              <w:spacing w:before="313"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25</w:t>
            </w:r>
          </w:p>
        </w:tc>
        <w:tc>
          <w:tcPr>
            <w:tcW w:w="1870" w:type="dxa"/>
            <w:vAlign w:val="center"/>
          </w:tcPr>
          <w:p w14:paraId="621A3E14">
            <w:pPr>
              <w:pageBreakBefore w:val="0"/>
              <w:kinsoku/>
              <w:topLinePunct w:val="0"/>
              <w:bidi w:val="0"/>
              <w:spacing w:before="134" w:line="261" w:lineRule="auto"/>
              <w:ind w:right="110"/>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《响应文件》的编</w:t>
            </w:r>
            <w:r>
              <w:rPr>
                <w:rFonts w:ascii="宋体" w:hAnsi="宋体" w:eastAsia="宋体" w:cs="宋体"/>
                <w:color w:val="auto"/>
                <w:spacing w:val="-4"/>
                <w:sz w:val="24"/>
                <w:szCs w:val="24"/>
                <w14:textOutline w14:w="4358" w14:cap="sq" w14:cmpd="sng">
                  <w14:solidFill>
                    <w14:srgbClr w14:val="000000"/>
                  </w14:solidFill>
                  <w14:prstDash w14:val="solid"/>
                  <w14:bevel/>
                </w14:textOutline>
              </w:rPr>
              <w:t>制要求</w:t>
            </w:r>
          </w:p>
        </w:tc>
        <w:tc>
          <w:tcPr>
            <w:tcW w:w="6700" w:type="dxa"/>
            <w:tcBorders>
              <w:right w:val="single" w:color="000000" w:sz="4" w:space="0"/>
            </w:tcBorders>
            <w:vAlign w:val="top"/>
          </w:tcPr>
          <w:p w14:paraId="3F400978">
            <w:pPr>
              <w:pageBreakBefore w:val="0"/>
              <w:kinsoku/>
              <w:topLinePunct w:val="0"/>
              <w:bidi w:val="0"/>
              <w:spacing w:before="296" w:line="219" w:lineRule="auto"/>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具体详见供应商须知：四、《磋商响应文件》的编制要求</w:t>
            </w:r>
          </w:p>
        </w:tc>
      </w:tr>
      <w:tr w14:paraId="5806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trPr>
        <w:tc>
          <w:tcPr>
            <w:tcW w:w="742" w:type="dxa"/>
            <w:tcBorders>
              <w:left w:val="single" w:color="000000" w:sz="4" w:space="0"/>
            </w:tcBorders>
            <w:vAlign w:val="center"/>
          </w:tcPr>
          <w:p w14:paraId="10E5195E">
            <w:pPr>
              <w:pageBreakBefore w:val="0"/>
              <w:kinsoku/>
              <w:topLinePunct w:val="0"/>
              <w:bidi w:val="0"/>
              <w:spacing w:before="260" w:line="183" w:lineRule="auto"/>
              <w:ind w:left="263"/>
              <w:jc w:val="center"/>
              <w:rPr>
                <w:rFonts w:ascii="宋体" w:hAnsi="宋体" w:eastAsia="宋体" w:cs="宋体"/>
                <w:color w:val="auto"/>
                <w:sz w:val="24"/>
                <w:szCs w:val="24"/>
              </w:rPr>
            </w:pPr>
            <w:r>
              <w:rPr>
                <w:rFonts w:ascii="宋体" w:hAnsi="宋体" w:eastAsia="宋体" w:cs="宋体"/>
                <w:color w:val="auto"/>
                <w:spacing w:val="-7"/>
                <w:sz w:val="24"/>
                <w:szCs w:val="24"/>
              </w:rPr>
              <w:t>26</w:t>
            </w:r>
          </w:p>
        </w:tc>
        <w:tc>
          <w:tcPr>
            <w:tcW w:w="1870" w:type="dxa"/>
            <w:vAlign w:val="center"/>
          </w:tcPr>
          <w:p w14:paraId="7F2D6938">
            <w:pPr>
              <w:pageBreakBefore w:val="0"/>
              <w:kinsoku/>
              <w:topLinePunct w:val="0"/>
              <w:bidi w:val="0"/>
              <w:spacing w:before="45" w:line="247" w:lineRule="auto"/>
              <w:ind w:left="111" w:right="107" w:firstLine="5"/>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《响应文件》递交</w:t>
            </w:r>
            <w:r>
              <w:rPr>
                <w:rFonts w:ascii="宋体" w:hAnsi="宋体" w:eastAsia="宋体" w:cs="宋体"/>
                <w:color w:val="auto"/>
                <w:spacing w:val="-10"/>
                <w:sz w:val="24"/>
                <w:szCs w:val="24"/>
                <w14:textOutline w14:w="4358" w14:cap="sq" w14:cmpd="sng">
                  <w14:solidFill>
                    <w14:srgbClr w14:val="000000"/>
                  </w14:solidFill>
                  <w14:prstDash w14:val="solid"/>
                  <w14:bevel/>
                </w14:textOutline>
              </w:rPr>
              <w:t>份数、</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截止</w:t>
            </w:r>
            <w:r>
              <w:rPr>
                <w:rFonts w:ascii="宋体" w:hAnsi="宋体" w:eastAsia="宋体" w:cs="宋体"/>
                <w:color w:val="auto"/>
                <w:spacing w:val="-10"/>
                <w:sz w:val="24"/>
                <w:szCs w:val="24"/>
                <w14:textOutline w14:w="4358" w14:cap="sq" w14:cmpd="sng">
                  <w14:solidFill>
                    <w14:srgbClr w14:val="000000"/>
                  </w14:solidFill>
                  <w14:prstDash w14:val="solid"/>
                  <w14:bevel/>
                </w14:textOutline>
              </w:rPr>
              <w:t>时间及地点</w:t>
            </w:r>
          </w:p>
        </w:tc>
        <w:tc>
          <w:tcPr>
            <w:tcW w:w="6700" w:type="dxa"/>
            <w:tcBorders>
              <w:right w:val="single" w:color="000000" w:sz="4" w:space="0"/>
            </w:tcBorders>
            <w:vAlign w:val="top"/>
          </w:tcPr>
          <w:p w14:paraId="0189E521">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1.响应文件电子版要求：按照本</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磋商文件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“第五章 响应文件格式 ”编写 （第五章未附格式的，由供应商自行拟定），不可涂改并在规定加盖公章处加盖电子公章，否则响应文件按无效响应处理。</w:t>
            </w:r>
          </w:p>
          <w:p w14:paraId="781E8641">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2.响应文件电子版密封方式：电子响应文件通过平台有效 CA</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加密后在 “政采云”平台投送。（操作方式见公告要求“电子响应文件制作与投送教程”）</w:t>
            </w:r>
          </w:p>
          <w:p w14:paraId="4114183F">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3.（1）份数：本项目采用电子招投标，</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现场无需提供纸质版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供应商</w:t>
            </w:r>
            <w:r>
              <w:rPr>
                <w:rFonts w:ascii="宋体" w:hAnsi="宋体" w:eastAsia="宋体" w:cs="宋体"/>
                <w:color w:val="auto"/>
                <w:spacing w:val="3"/>
                <w:sz w:val="22"/>
                <w:szCs w:val="22"/>
                <w14:textOutline w14:w="4013" w14:cap="sq" w14:cmpd="sng">
                  <w14:solidFill>
                    <w14:srgbClr w14:val="000000"/>
                  </w14:solidFill>
                  <w14:prstDash w14:val="solid"/>
                  <w14:bevel/>
                </w14:textOutline>
              </w:rPr>
              <w:t>在</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成交结果</w:t>
            </w:r>
            <w:r>
              <w:rPr>
                <w:rFonts w:ascii="宋体" w:hAnsi="宋体" w:eastAsia="宋体" w:cs="宋体"/>
                <w:color w:val="auto"/>
                <w:spacing w:val="3"/>
                <w:sz w:val="22"/>
                <w:szCs w:val="22"/>
                <w14:textOutline w14:w="4013" w14:cap="sq" w14:cmpd="sng">
                  <w14:solidFill>
                    <w14:srgbClr w14:val="000000"/>
                  </w14:solidFill>
                  <w14:prstDash w14:val="solid"/>
                  <w14:bevel/>
                </w14:textOutline>
              </w:rPr>
              <w:t>公示期满后提交三套纸质版响应文件给代理机构存档备案。</w:t>
            </w:r>
          </w:p>
          <w:p w14:paraId="132CFCDF">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特别提示：提交的纸质版《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》内容与</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时电子</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应完全一致。</w:t>
            </w:r>
          </w:p>
          <w:p w14:paraId="4D5CC4B5">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(2)</w:t>
            </w:r>
            <w:r>
              <w:rPr>
                <w:rFonts w:ascii="宋体" w:hAnsi="宋体" w:eastAsia="宋体" w:cs="宋体"/>
                <w:color w:val="auto"/>
                <w:spacing w:val="3"/>
                <w:sz w:val="22"/>
                <w:szCs w:val="22"/>
                <w14:textOutline w14:w="4013" w14:cap="sq" w14:cmpd="sng">
                  <w14:solidFill>
                    <w14:srgbClr w14:val="000000"/>
                  </w14:solidFill>
                  <w14:prstDash w14:val="solid"/>
                  <w14:bevel/>
                </w14:textOutline>
              </w:rPr>
              <w:t>政采云</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递交截止时间：</w:t>
            </w:r>
            <w:r>
              <w:rPr>
                <w:rFonts w:hint="eastAsia" w:ascii="宋体" w:hAnsi="宋体" w:eastAsia="宋体" w:cs="宋体"/>
                <w:color w:val="0000FF"/>
                <w:spacing w:val="3"/>
                <w:sz w:val="22"/>
                <w:szCs w:val="22"/>
                <w:highlight w:val="none"/>
                <w:lang w:eastAsia="zh-CN"/>
                <w14:textOutline w14:w="4013" w14:cap="sq" w14:cmpd="sng">
                  <w14:solidFill>
                    <w14:srgbClr w14:val="000000"/>
                  </w14:solidFill>
                  <w14:prstDash w14:val="solid"/>
                  <w14:bevel/>
                </w14:textOutline>
              </w:rPr>
              <w:t>2025年03月25日1</w:t>
            </w:r>
            <w:r>
              <w:rPr>
                <w:rFonts w:hint="eastAsia" w:ascii="宋体" w:hAnsi="宋体" w:eastAsia="宋体" w:cs="宋体"/>
                <w:color w:val="0000FF"/>
                <w:spacing w:val="3"/>
                <w:sz w:val="22"/>
                <w:szCs w:val="22"/>
                <w:highlight w:val="none"/>
                <w:lang w:val="en-US" w:eastAsia="zh-CN"/>
                <w14:textOutline w14:w="4013" w14:cap="sq" w14:cmpd="sng">
                  <w14:solidFill>
                    <w14:srgbClr w14:val="000000"/>
                  </w14:solidFill>
                  <w14:prstDash w14:val="solid"/>
                  <w14:bevel/>
                </w14:textOutline>
              </w:rPr>
              <w:t>2</w:t>
            </w:r>
            <w:r>
              <w:rPr>
                <w:rFonts w:hint="eastAsia" w:ascii="宋体" w:hAnsi="宋体" w:eastAsia="宋体" w:cs="宋体"/>
                <w:color w:val="0000FF"/>
                <w:spacing w:val="3"/>
                <w:sz w:val="22"/>
                <w:szCs w:val="22"/>
                <w:highlight w:val="none"/>
                <w:lang w:eastAsia="zh-CN"/>
                <w14:textOutline w14:w="4013" w14:cap="sq" w14:cmpd="sng">
                  <w14:solidFill>
                    <w14:srgbClr w14:val="000000"/>
                  </w14:solidFill>
                  <w14:prstDash w14:val="solid"/>
                  <w14:bevel/>
                </w14:textOutline>
              </w:rPr>
              <w:t>时</w:t>
            </w:r>
            <w:r>
              <w:rPr>
                <w:rFonts w:hint="eastAsia" w:ascii="宋体" w:hAnsi="宋体" w:eastAsia="宋体" w:cs="宋体"/>
                <w:color w:val="0000FF"/>
                <w:spacing w:val="3"/>
                <w:sz w:val="22"/>
                <w:szCs w:val="22"/>
                <w:highlight w:val="none"/>
                <w:lang w:val="en-US" w:eastAsia="zh-CN"/>
                <w14:textOutline w14:w="4013" w14:cap="sq" w14:cmpd="sng">
                  <w14:solidFill>
                    <w14:srgbClr w14:val="000000"/>
                  </w14:solidFill>
                  <w14:prstDash w14:val="solid"/>
                  <w14:bevel/>
                </w14:textOutline>
              </w:rPr>
              <w:t>0</w:t>
            </w:r>
            <w:r>
              <w:rPr>
                <w:rFonts w:hint="eastAsia" w:ascii="宋体" w:hAnsi="宋体" w:eastAsia="宋体" w:cs="宋体"/>
                <w:color w:val="0000FF"/>
                <w:spacing w:val="3"/>
                <w:sz w:val="22"/>
                <w:szCs w:val="22"/>
                <w:highlight w:val="none"/>
                <w:lang w:eastAsia="zh-CN"/>
                <w14:textOutline w14:w="4013" w14:cap="sq" w14:cmpd="sng">
                  <w14:solidFill>
                    <w14:srgbClr w14:val="000000"/>
                  </w14:solidFill>
                  <w14:prstDash w14:val="solid"/>
                  <w14:bevel/>
                </w14:textOutline>
              </w:rPr>
              <w:t>0分</w:t>
            </w:r>
            <w:r>
              <w:rPr>
                <w:rFonts w:ascii="宋体" w:hAnsi="宋体" w:eastAsia="宋体" w:cs="宋体"/>
                <w:color w:val="auto"/>
                <w:spacing w:val="3"/>
                <w:sz w:val="22"/>
                <w:szCs w:val="22"/>
                <w:highlight w:val="none"/>
                <w14:textOutline w14:w="4013" w14:cap="sq" w14:cmpd="sng">
                  <w14:solidFill>
                    <w14:srgbClr w14:val="000000"/>
                  </w14:solidFill>
                  <w14:prstDash w14:val="solid"/>
                  <w14:bevel/>
                </w14:textOutline>
              </w:rPr>
              <w:t>（北</w:t>
            </w:r>
            <w:r>
              <w:rPr>
                <w:rFonts w:ascii="宋体" w:hAnsi="宋体" w:eastAsia="宋体" w:cs="宋体"/>
                <w:color w:val="auto"/>
                <w:spacing w:val="3"/>
                <w:sz w:val="22"/>
                <w:szCs w:val="22"/>
                <w14:textOutline w14:w="4013" w14:cap="sq" w14:cmpd="sng">
                  <w14:solidFill>
                    <w14:srgbClr w14:val="000000"/>
                  </w14:solidFill>
                  <w14:prstDash w14:val="solid"/>
                  <w14:bevel/>
                </w14:textOutline>
              </w:rPr>
              <w:t>京时间）</w:t>
            </w:r>
          </w:p>
          <w:p w14:paraId="2B609185">
            <w:pPr>
              <w:pageBreakBefore w:val="0"/>
              <w:kinsoku/>
              <w:topLinePunct w:val="0"/>
              <w:bidi w:val="0"/>
              <w:spacing w:before="37" w:line="280" w:lineRule="auto"/>
              <w:ind w:left="111" w:right="118" w:firstLine="16"/>
              <w:jc w:val="both"/>
              <w:rPr>
                <w:rFonts w:ascii="宋体" w:hAnsi="宋体" w:eastAsia="宋体" w:cs="宋体"/>
                <w:color w:val="auto"/>
                <w:sz w:val="20"/>
                <w:szCs w:val="20"/>
              </w:rPr>
            </w:pP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(3)</w:t>
            </w:r>
            <w:r>
              <w:rPr>
                <w:rFonts w:ascii="宋体" w:hAnsi="宋体" w:eastAsia="宋体" w:cs="宋体"/>
                <w:color w:val="auto"/>
                <w:spacing w:val="3"/>
                <w:sz w:val="22"/>
                <w:szCs w:val="22"/>
                <w14:textOutline w14:w="4013" w14:cap="sq" w14:cmpd="sng">
                  <w14:solidFill>
                    <w14:srgbClr w14:val="000000"/>
                  </w14:solidFill>
                  <w14:prstDash w14:val="solid"/>
                  <w14:bevel/>
                </w14:textOutline>
              </w:rPr>
              <w:t>递交地点：政采云平台（www.zcygov.com）</w:t>
            </w:r>
          </w:p>
        </w:tc>
      </w:tr>
      <w:tr w14:paraId="0F9D8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742" w:type="dxa"/>
            <w:tcBorders>
              <w:left w:val="single" w:color="000000" w:sz="4" w:space="0"/>
            </w:tcBorders>
            <w:vAlign w:val="top"/>
          </w:tcPr>
          <w:p w14:paraId="02450969">
            <w:pPr>
              <w:pageBreakBefore w:val="0"/>
              <w:kinsoku/>
              <w:topLinePunct w:val="0"/>
              <w:bidi w:val="0"/>
              <w:spacing w:line="266" w:lineRule="auto"/>
              <w:rPr>
                <w:rFonts w:ascii="Arial"/>
                <w:color w:val="auto"/>
                <w:sz w:val="21"/>
              </w:rPr>
            </w:pPr>
          </w:p>
          <w:p w14:paraId="39D0A786">
            <w:pPr>
              <w:pageBreakBefore w:val="0"/>
              <w:kinsoku/>
              <w:topLinePunct w:val="0"/>
              <w:bidi w:val="0"/>
              <w:spacing w:line="266" w:lineRule="auto"/>
              <w:rPr>
                <w:rFonts w:ascii="Arial"/>
                <w:color w:val="auto"/>
                <w:sz w:val="21"/>
              </w:rPr>
            </w:pPr>
          </w:p>
          <w:p w14:paraId="1E0F4F1D">
            <w:pPr>
              <w:pageBreakBefore w:val="0"/>
              <w:kinsoku/>
              <w:topLinePunct w:val="0"/>
              <w:bidi w:val="0"/>
              <w:spacing w:before="7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27</w:t>
            </w:r>
          </w:p>
        </w:tc>
        <w:tc>
          <w:tcPr>
            <w:tcW w:w="1870" w:type="dxa"/>
            <w:vAlign w:val="top"/>
          </w:tcPr>
          <w:p w14:paraId="5D6545C6">
            <w:pPr>
              <w:pageBreakBefore w:val="0"/>
              <w:kinsoku/>
              <w:topLinePunct w:val="0"/>
              <w:bidi w:val="0"/>
              <w:spacing w:line="247" w:lineRule="auto"/>
              <w:rPr>
                <w:rFonts w:ascii="Arial"/>
                <w:color w:val="auto"/>
                <w:sz w:val="21"/>
              </w:rPr>
            </w:pPr>
          </w:p>
          <w:p w14:paraId="28BAF725">
            <w:pPr>
              <w:pageBreakBefore w:val="0"/>
              <w:kinsoku/>
              <w:topLinePunct w:val="0"/>
              <w:bidi w:val="0"/>
              <w:spacing w:line="247" w:lineRule="auto"/>
              <w:rPr>
                <w:rFonts w:ascii="Arial"/>
                <w:color w:val="auto"/>
                <w:sz w:val="21"/>
              </w:rPr>
            </w:pPr>
          </w:p>
          <w:p w14:paraId="71CBB08F">
            <w:pPr>
              <w:pageBreakBefore w:val="0"/>
              <w:kinsoku/>
              <w:topLinePunct w:val="0"/>
              <w:bidi w:val="0"/>
              <w:spacing w:before="78" w:line="220" w:lineRule="auto"/>
              <w:rPr>
                <w:rFonts w:ascii="宋体" w:hAnsi="宋体" w:eastAsia="宋体" w:cs="宋体"/>
                <w:color w:val="auto"/>
                <w:sz w:val="24"/>
                <w:szCs w:val="24"/>
              </w:rPr>
            </w:pP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磋商会议</w:t>
            </w:r>
            <w:r>
              <w:rPr>
                <w:rFonts w:ascii="宋体" w:hAnsi="宋体" w:eastAsia="宋体" w:cs="宋体"/>
                <w:color w:val="auto"/>
                <w:spacing w:val="-1"/>
                <w:sz w:val="24"/>
                <w:szCs w:val="24"/>
                <w14:textOutline w14:w="4358" w14:cap="sq" w14:cmpd="sng">
                  <w14:solidFill>
                    <w14:srgbClr w14:val="000000"/>
                  </w14:solidFill>
                  <w14:prstDash w14:val="solid"/>
                  <w14:bevel/>
                </w14:textOutline>
              </w:rPr>
              <w:t>时间及地点</w:t>
            </w:r>
          </w:p>
        </w:tc>
        <w:tc>
          <w:tcPr>
            <w:tcW w:w="6700" w:type="dxa"/>
            <w:tcBorders>
              <w:right w:val="single" w:color="000000" w:sz="4" w:space="0"/>
            </w:tcBorders>
            <w:vAlign w:val="top"/>
          </w:tcPr>
          <w:p w14:paraId="2FC84CA3">
            <w:pPr>
              <w:pageBreakBefore w:val="0"/>
              <w:kinsoku/>
              <w:topLinePunct w:val="0"/>
              <w:bidi w:val="0"/>
              <w:spacing w:before="41" w:line="219" w:lineRule="auto"/>
              <w:ind w:left="113"/>
              <w:rPr>
                <w:rFonts w:ascii="宋体" w:hAnsi="宋体" w:eastAsia="宋体" w:cs="宋体"/>
                <w:color w:val="auto"/>
                <w:sz w:val="22"/>
                <w:szCs w:val="22"/>
              </w:rPr>
            </w:pPr>
            <w:r>
              <w:rPr>
                <w:rFonts w:ascii="宋体" w:hAnsi="宋体" w:eastAsia="宋体" w:cs="宋体"/>
                <w:color w:val="auto"/>
                <w:spacing w:val="-6"/>
                <w:sz w:val="22"/>
                <w:szCs w:val="22"/>
                <w14:textOutline w14:w="4358" w14:cap="sq" w14:cmpd="sng">
                  <w14:solidFill>
                    <w14:srgbClr w14:val="000000"/>
                  </w14:solidFill>
                  <w14:prstDash w14:val="solid"/>
                  <w14:bevel/>
                </w14:textOutline>
              </w:rPr>
              <w:t>提交首次响应文件截止时间：</w:t>
            </w:r>
            <w:r>
              <w:rPr>
                <w:rFonts w:hint="eastAsia" w:ascii="宋体" w:hAnsi="宋体" w:eastAsia="宋体" w:cs="宋体"/>
                <w:color w:val="0000FF"/>
                <w:spacing w:val="-6"/>
                <w:sz w:val="22"/>
                <w:szCs w:val="22"/>
                <w:highlight w:val="none"/>
                <w:lang w:eastAsia="zh-CN"/>
                <w14:textOutline w14:w="4358" w14:cap="sq" w14:cmpd="sng">
                  <w14:solidFill>
                    <w14:srgbClr w14:val="000000"/>
                  </w14:solidFill>
                  <w14:prstDash w14:val="solid"/>
                  <w14:bevel/>
                </w14:textOutline>
              </w:rPr>
              <w:t>2025年03月25日1</w:t>
            </w:r>
            <w:r>
              <w:rPr>
                <w:rFonts w:hint="eastAsia" w:ascii="宋体" w:hAnsi="宋体" w:eastAsia="宋体" w:cs="宋体"/>
                <w:color w:val="0000FF"/>
                <w:spacing w:val="-6"/>
                <w:sz w:val="22"/>
                <w:szCs w:val="22"/>
                <w:highlight w:val="none"/>
                <w:lang w:val="en-US" w:eastAsia="zh-CN"/>
                <w14:textOutline w14:w="4358" w14:cap="sq" w14:cmpd="sng">
                  <w14:solidFill>
                    <w14:srgbClr w14:val="000000"/>
                  </w14:solidFill>
                  <w14:prstDash w14:val="solid"/>
                  <w14:bevel/>
                </w14:textOutline>
              </w:rPr>
              <w:t>2</w:t>
            </w:r>
            <w:r>
              <w:rPr>
                <w:rFonts w:hint="eastAsia" w:ascii="宋体" w:hAnsi="宋体" w:eastAsia="宋体" w:cs="宋体"/>
                <w:color w:val="0000FF"/>
                <w:spacing w:val="-6"/>
                <w:sz w:val="22"/>
                <w:szCs w:val="22"/>
                <w:highlight w:val="none"/>
                <w:lang w:eastAsia="zh-CN"/>
                <w14:textOutline w14:w="4358" w14:cap="sq" w14:cmpd="sng">
                  <w14:solidFill>
                    <w14:srgbClr w14:val="000000"/>
                  </w14:solidFill>
                  <w14:prstDash w14:val="solid"/>
                  <w14:bevel/>
                </w14:textOutline>
              </w:rPr>
              <w:t>时</w:t>
            </w:r>
            <w:r>
              <w:rPr>
                <w:rFonts w:hint="eastAsia" w:ascii="宋体" w:hAnsi="宋体" w:eastAsia="宋体" w:cs="宋体"/>
                <w:color w:val="0000FF"/>
                <w:spacing w:val="-6"/>
                <w:sz w:val="22"/>
                <w:szCs w:val="22"/>
                <w:highlight w:val="none"/>
                <w:lang w:val="en-US" w:eastAsia="zh-CN"/>
                <w14:textOutline w14:w="4358" w14:cap="sq" w14:cmpd="sng">
                  <w14:solidFill>
                    <w14:srgbClr w14:val="000000"/>
                  </w14:solidFill>
                  <w14:prstDash w14:val="solid"/>
                  <w14:bevel/>
                </w14:textOutline>
              </w:rPr>
              <w:t>0</w:t>
            </w:r>
            <w:r>
              <w:rPr>
                <w:rFonts w:hint="eastAsia" w:ascii="宋体" w:hAnsi="宋体" w:eastAsia="宋体" w:cs="宋体"/>
                <w:color w:val="0000FF"/>
                <w:spacing w:val="-6"/>
                <w:sz w:val="22"/>
                <w:szCs w:val="22"/>
                <w:highlight w:val="none"/>
                <w:lang w:eastAsia="zh-CN"/>
                <w14:textOutline w14:w="4358" w14:cap="sq" w14:cmpd="sng">
                  <w14:solidFill>
                    <w14:srgbClr w14:val="000000"/>
                  </w14:solidFill>
                  <w14:prstDash w14:val="solid"/>
                  <w14:bevel/>
                </w14:textOutline>
              </w:rPr>
              <w:t>0分</w:t>
            </w:r>
            <w:r>
              <w:rPr>
                <w:rFonts w:ascii="宋体" w:hAnsi="宋体" w:eastAsia="宋体" w:cs="宋体"/>
                <w:color w:val="auto"/>
                <w:spacing w:val="-7"/>
                <w:sz w:val="22"/>
                <w:szCs w:val="22"/>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2"/>
                <w:szCs w:val="22"/>
                <w14:textOutline w14:w="4358" w14:cap="sq" w14:cmpd="sng">
                  <w14:solidFill>
                    <w14:srgbClr w14:val="000000"/>
                  </w14:solidFill>
                  <w14:prstDash w14:val="solid"/>
                  <w14:bevel/>
                </w14:textOutline>
              </w:rPr>
              <w:t>北京时间）</w:t>
            </w:r>
          </w:p>
          <w:p w14:paraId="2EA80438">
            <w:pPr>
              <w:pageBreakBefore w:val="0"/>
              <w:kinsoku/>
              <w:topLinePunct w:val="0"/>
              <w:bidi w:val="0"/>
              <w:spacing w:before="71" w:line="257" w:lineRule="auto"/>
              <w:ind w:left="110" w:firstLine="2"/>
              <w:rPr>
                <w:rFonts w:ascii="宋体" w:hAnsi="宋体" w:eastAsia="宋体" w:cs="宋体"/>
                <w:color w:val="auto"/>
                <w:sz w:val="24"/>
                <w:szCs w:val="24"/>
              </w:rPr>
            </w:pPr>
            <w:r>
              <w:rPr>
                <w:rFonts w:ascii="宋体" w:hAnsi="宋体" w:eastAsia="宋体" w:cs="宋体"/>
                <w:color w:val="auto"/>
                <w:spacing w:val="-2"/>
                <w:sz w:val="22"/>
                <w:szCs w:val="22"/>
                <w14:textOutline w14:w="4358" w14:cap="sq" w14:cmpd="sng">
                  <w14:solidFill>
                    <w14:srgbClr w14:val="000000"/>
                  </w14:solidFill>
                  <w14:prstDash w14:val="solid"/>
                  <w14:bevel/>
                </w14:textOutline>
              </w:rPr>
              <w:t>提交首次响应文件地点：</w:t>
            </w:r>
            <w:r>
              <w:rPr>
                <w:rFonts w:hint="eastAsia" w:ascii="宋体" w:hAnsi="宋体" w:eastAsia="宋体" w:cs="宋体"/>
                <w:color w:val="auto"/>
                <w:spacing w:val="-2"/>
                <w:sz w:val="22"/>
                <w:szCs w:val="22"/>
                <w:lang w:eastAsia="zh-CN"/>
                <w14:textOutline w14:w="4358" w14:cap="sq" w14:cmpd="sng">
                  <w14:solidFill>
                    <w14:srgbClr w14:val="000000"/>
                  </w14:solidFill>
                  <w14:prstDash w14:val="solid"/>
                  <w14:bevel/>
                </w14:textOutline>
              </w:rPr>
              <w:t>供应商</w:t>
            </w:r>
            <w:r>
              <w:rPr>
                <w:rFonts w:ascii="宋体" w:hAnsi="宋体" w:eastAsia="宋体" w:cs="宋体"/>
                <w:color w:val="auto"/>
                <w:spacing w:val="-2"/>
                <w:sz w:val="22"/>
                <w:szCs w:val="22"/>
                <w14:textOutline w14:w="4358" w14:cap="sq" w14:cmpd="sng">
                  <w14:solidFill>
                    <w14:srgbClr w14:val="000000"/>
                  </w14:solidFill>
                  <w14:prstDash w14:val="solid"/>
                  <w14:bevel/>
                </w14:textOutline>
              </w:rPr>
              <w:t>登录政采云平台</w:t>
            </w:r>
            <w:r>
              <w:rPr>
                <w:rFonts w:ascii="宋体" w:hAnsi="宋体" w:eastAsia="宋体" w:cs="宋体"/>
                <w:color w:val="auto"/>
                <w:spacing w:val="-41"/>
                <w:sz w:val="22"/>
                <w:szCs w:val="22"/>
              </w:rPr>
              <w:t xml:space="preserve"> </w:t>
            </w:r>
            <w:r>
              <w:rPr>
                <w:rFonts w:ascii="宋体" w:hAnsi="宋体" w:eastAsia="宋体" w:cs="宋体"/>
                <w:color w:val="auto"/>
                <w:spacing w:val="-2"/>
                <w:sz w:val="22"/>
                <w:szCs w:val="22"/>
                <w14:textOutline w14:w="4358" w14:cap="sq" w14:cmpd="sng">
                  <w14:solidFill>
                    <w14:srgbClr w14:val="000000"/>
                  </w14:solidFill>
                  <w14:prstDash w14:val="solid"/>
                  <w14:bevel/>
                </w14:textOutline>
              </w:rPr>
              <w:t>https://www.zcygov.cn</w:t>
            </w:r>
            <w:r>
              <w:rPr>
                <w:rFonts w:hint="eastAsia" w:ascii="宋体" w:hAnsi="宋体" w:eastAsia="宋体" w:cs="宋体"/>
                <w:color w:val="auto"/>
                <w:spacing w:val="-2"/>
                <w:sz w:val="22"/>
                <w:szCs w:val="22"/>
                <w:lang w:eastAsia="zh-CN"/>
                <w14:textOutline w14:w="4358" w14:cap="sq" w14:cmpd="sng">
                  <w14:solidFill>
                    <w14:srgbClr w14:val="000000"/>
                  </w14:solidFill>
                  <w14:prstDash w14:val="solid"/>
                  <w14:bevel/>
                </w14:textOutline>
              </w:rPr>
              <w:t>/</w:t>
            </w:r>
            <w:r>
              <w:rPr>
                <w:rFonts w:ascii="宋体" w:hAnsi="宋体" w:eastAsia="宋体" w:cs="宋体"/>
                <w:color w:val="auto"/>
                <w:spacing w:val="-5"/>
                <w:sz w:val="22"/>
                <w:szCs w:val="22"/>
                <w14:textOutline w14:w="4358" w14:cap="sq" w14:cmpd="sng">
                  <w14:solidFill>
                    <w14:srgbClr w14:val="000000"/>
                  </w14:solidFill>
                  <w14:prstDash w14:val="solid"/>
                  <w14:bevel/>
                </w14:textOutline>
              </w:rPr>
              <w:t>进入“项目采购</w:t>
            </w:r>
            <w:r>
              <w:rPr>
                <w:rFonts w:hint="eastAsia" w:ascii="宋体" w:hAnsi="宋体" w:eastAsia="宋体" w:cs="宋体"/>
                <w:color w:val="auto"/>
                <w:spacing w:val="-5"/>
                <w:sz w:val="22"/>
                <w:szCs w:val="22"/>
                <w:lang w:eastAsia="zh-CN"/>
                <w14:textOutline w14:w="4358" w14:cap="sq" w14:cmpd="sng">
                  <w14:solidFill>
                    <w14:srgbClr w14:val="000000"/>
                  </w14:solidFill>
                  <w14:prstDash w14:val="solid"/>
                  <w14:bevel/>
                </w14:textOutline>
              </w:rPr>
              <w:t>－</w:t>
            </w:r>
            <w:r>
              <w:rPr>
                <w:rFonts w:ascii="宋体" w:hAnsi="宋体" w:eastAsia="宋体" w:cs="宋体"/>
                <w:color w:val="auto"/>
                <w:spacing w:val="-5"/>
                <w:sz w:val="22"/>
                <w:szCs w:val="22"/>
                <w14:textOutline w14:w="4358" w14:cap="sq" w14:cmpd="sng">
                  <w14:solidFill>
                    <w14:srgbClr w14:val="000000"/>
                  </w14:solidFill>
                  <w14:prstDash w14:val="solid"/>
                  <w14:bevel/>
                </w14:textOutline>
              </w:rPr>
              <w:t>开标</w:t>
            </w:r>
            <w:r>
              <w:rPr>
                <w:rFonts w:hint="eastAsia" w:ascii="宋体" w:hAnsi="宋体" w:eastAsia="宋体" w:cs="宋体"/>
                <w:color w:val="auto"/>
                <w:spacing w:val="-5"/>
                <w:sz w:val="22"/>
                <w:szCs w:val="22"/>
                <w:lang w:eastAsia="zh-CN"/>
                <w14:textOutline w14:w="4358" w14:cap="sq" w14:cmpd="sng">
                  <w14:solidFill>
                    <w14:srgbClr w14:val="000000"/>
                  </w14:solidFill>
                  <w14:prstDash w14:val="solid"/>
                  <w14:bevel/>
                </w14:textOutline>
              </w:rPr>
              <w:t>评审－</w:t>
            </w:r>
            <w:r>
              <w:rPr>
                <w:rFonts w:ascii="宋体" w:hAnsi="宋体" w:eastAsia="宋体" w:cs="宋体"/>
                <w:color w:val="auto"/>
                <w:spacing w:val="-5"/>
                <w:sz w:val="22"/>
                <w:szCs w:val="22"/>
                <w14:textOutline w14:w="4358" w14:cap="sq" w14:cmpd="sng">
                  <w14:solidFill>
                    <w14:srgbClr w14:val="000000"/>
                  </w14:solidFill>
                  <w14:prstDash w14:val="solid"/>
                  <w14:bevel/>
                </w14:textOutline>
              </w:rPr>
              <w:t>右边选择对应项目点击“进入项</w:t>
            </w:r>
            <w:r>
              <w:rPr>
                <w:rFonts w:ascii="宋体" w:hAnsi="宋体" w:eastAsia="宋体" w:cs="宋体"/>
                <w:color w:val="auto"/>
                <w:spacing w:val="-6"/>
                <w:sz w:val="22"/>
                <w:szCs w:val="22"/>
                <w14:textOutline w14:w="4358" w14:cap="sq" w14:cmpd="sng">
                  <w14:solidFill>
                    <w14:srgbClr w14:val="000000"/>
                  </w14:solidFill>
                  <w14:prstDash w14:val="solid"/>
                  <w14:bevel/>
                </w14:textOutline>
              </w:rPr>
              <w:t>目</w:t>
            </w:r>
            <w:r>
              <w:rPr>
                <w:rFonts w:ascii="宋体" w:hAnsi="宋体" w:eastAsia="宋体" w:cs="宋体"/>
                <w:color w:val="auto"/>
                <w:spacing w:val="-89"/>
                <w:sz w:val="22"/>
                <w:szCs w:val="22"/>
              </w:rPr>
              <w:t xml:space="preserve"> </w:t>
            </w:r>
            <w:r>
              <w:rPr>
                <w:rFonts w:ascii="宋体" w:hAnsi="宋体" w:eastAsia="宋体" w:cs="宋体"/>
                <w:color w:val="auto"/>
                <w:spacing w:val="-6"/>
                <w:sz w:val="22"/>
                <w:szCs w:val="22"/>
                <w14:textOutline w14:w="4358" w14:cap="sq" w14:cmpd="sng">
                  <w14:solidFill>
                    <w14:srgbClr w14:val="000000"/>
                  </w14:solidFill>
                  <w14:prstDash w14:val="solid"/>
                  <w14:bevel/>
                </w14:textOutline>
              </w:rPr>
              <w:t>”</w:t>
            </w:r>
            <w:r>
              <w:rPr>
                <w:rFonts w:ascii="宋体" w:hAnsi="宋体" w:eastAsia="宋体" w:cs="宋体"/>
                <w:color w:val="auto"/>
                <w:spacing w:val="-4"/>
                <w:sz w:val="22"/>
                <w:szCs w:val="22"/>
                <w14:textOutline w14:w="4358" w14:cap="sq" w14:cmpd="sng">
                  <w14:solidFill>
                    <w14:srgbClr w14:val="000000"/>
                  </w14:solidFill>
                  <w14:prstDash w14:val="solid"/>
                  <w14:bevel/>
                </w14:textOutline>
              </w:rPr>
              <w:t>进入开标大厅。</w:t>
            </w:r>
          </w:p>
        </w:tc>
      </w:tr>
      <w:tr w14:paraId="2121B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42" w:type="dxa"/>
            <w:tcBorders>
              <w:left w:val="single" w:color="000000" w:sz="4" w:space="0"/>
            </w:tcBorders>
            <w:vAlign w:val="center"/>
          </w:tcPr>
          <w:p w14:paraId="34853625">
            <w:pPr>
              <w:pageBreakBefore w:val="0"/>
              <w:kinsoku/>
              <w:topLinePunct w:val="0"/>
              <w:bidi w:val="0"/>
              <w:spacing w:before="78" w:line="183" w:lineRule="auto"/>
              <w:jc w:val="center"/>
              <w:rPr>
                <w:rFonts w:ascii="宋体" w:hAnsi="宋体" w:eastAsia="宋体" w:cs="宋体"/>
                <w:color w:val="auto"/>
                <w:sz w:val="24"/>
                <w:szCs w:val="24"/>
              </w:rPr>
            </w:pPr>
            <w:r>
              <w:rPr>
                <w:rFonts w:ascii="宋体" w:hAnsi="宋体" w:eastAsia="宋体" w:cs="宋体"/>
                <w:color w:val="auto"/>
                <w:spacing w:val="-7"/>
                <w:sz w:val="24"/>
                <w:szCs w:val="24"/>
              </w:rPr>
              <w:t>28</w:t>
            </w:r>
          </w:p>
        </w:tc>
        <w:tc>
          <w:tcPr>
            <w:tcW w:w="1870" w:type="dxa"/>
            <w:vAlign w:val="center"/>
          </w:tcPr>
          <w:p w14:paraId="5179B2F7">
            <w:pPr>
              <w:pageBreakBefore w:val="0"/>
              <w:kinsoku/>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履约保证金</w:t>
            </w:r>
          </w:p>
        </w:tc>
        <w:tc>
          <w:tcPr>
            <w:tcW w:w="6700" w:type="dxa"/>
            <w:tcBorders>
              <w:right w:val="single" w:color="000000" w:sz="4" w:space="0"/>
            </w:tcBorders>
            <w:vAlign w:val="center"/>
          </w:tcPr>
          <w:p w14:paraId="536B9B69">
            <w:pPr>
              <w:pageBreakBefore w:val="0"/>
              <w:kinsoku/>
              <w:topLinePunct w:val="0"/>
              <w:bidi w:val="0"/>
              <w:spacing w:before="71" w:line="257" w:lineRule="auto"/>
              <w:ind w:left="114" w:right="133" w:firstLine="22"/>
              <w:jc w:val="both"/>
              <w:rPr>
                <w:rFonts w:hint="eastAsia" w:ascii="宋体" w:hAnsi="宋体" w:eastAsia="宋体" w:cs="宋体"/>
                <w:color w:val="auto"/>
                <w:sz w:val="24"/>
                <w:szCs w:val="24"/>
                <w:lang w:eastAsia="zh-CN"/>
              </w:rPr>
            </w:pPr>
            <w:r>
              <w:rPr>
                <w:rFonts w:hint="eastAsia" w:ascii="MS Gothic" w:hAnsi="MS Gothic" w:eastAsia="宋体" w:cs="MS Gothic"/>
                <w:color w:val="auto"/>
                <w:spacing w:val="-9"/>
                <w:sz w:val="24"/>
                <w:szCs w:val="24"/>
                <w:lang w:eastAsia="zh-CN"/>
              </w:rPr>
              <w:t>甲乙双方自行约定</w:t>
            </w:r>
          </w:p>
        </w:tc>
      </w:tr>
      <w:tr w14:paraId="79135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42" w:type="dxa"/>
            <w:tcBorders>
              <w:left w:val="single" w:color="000000" w:sz="4" w:space="0"/>
              <w:bottom w:val="single" w:color="000000" w:sz="4" w:space="0"/>
            </w:tcBorders>
            <w:vAlign w:val="top"/>
          </w:tcPr>
          <w:p w14:paraId="1FA5A794">
            <w:pPr>
              <w:pageBreakBefore w:val="0"/>
              <w:kinsoku/>
              <w:topLinePunct w:val="0"/>
              <w:bidi w:val="0"/>
              <w:spacing w:line="253" w:lineRule="auto"/>
              <w:rPr>
                <w:rFonts w:ascii="Arial"/>
                <w:color w:val="auto"/>
                <w:sz w:val="21"/>
              </w:rPr>
            </w:pPr>
          </w:p>
          <w:p w14:paraId="3ECF754D">
            <w:pPr>
              <w:pageBreakBefore w:val="0"/>
              <w:kinsoku/>
              <w:topLinePunct w:val="0"/>
              <w:bidi w:val="0"/>
              <w:spacing w:line="253" w:lineRule="auto"/>
              <w:rPr>
                <w:rFonts w:ascii="Arial"/>
                <w:color w:val="auto"/>
                <w:sz w:val="21"/>
              </w:rPr>
            </w:pPr>
          </w:p>
          <w:p w14:paraId="547617AB">
            <w:pPr>
              <w:pageBreakBefore w:val="0"/>
              <w:kinsoku/>
              <w:topLinePunct w:val="0"/>
              <w:bidi w:val="0"/>
              <w:spacing w:line="253" w:lineRule="auto"/>
              <w:rPr>
                <w:rFonts w:ascii="Arial"/>
                <w:color w:val="auto"/>
                <w:sz w:val="21"/>
              </w:rPr>
            </w:pPr>
          </w:p>
          <w:p w14:paraId="52DF2DCC">
            <w:pPr>
              <w:pageBreakBefore w:val="0"/>
              <w:kinsoku/>
              <w:topLinePunct w:val="0"/>
              <w:bidi w:val="0"/>
              <w:spacing w:line="253" w:lineRule="auto"/>
              <w:rPr>
                <w:rFonts w:ascii="Arial"/>
                <w:color w:val="auto"/>
                <w:sz w:val="21"/>
              </w:rPr>
            </w:pPr>
          </w:p>
          <w:p w14:paraId="54EABA9D">
            <w:pPr>
              <w:pageBreakBefore w:val="0"/>
              <w:kinsoku/>
              <w:topLinePunct w:val="0"/>
              <w:bidi w:val="0"/>
              <w:spacing w:line="253" w:lineRule="auto"/>
              <w:rPr>
                <w:rFonts w:ascii="Arial"/>
                <w:color w:val="auto"/>
                <w:sz w:val="21"/>
              </w:rPr>
            </w:pPr>
          </w:p>
          <w:p w14:paraId="4B8BF0CF">
            <w:pPr>
              <w:pageBreakBefore w:val="0"/>
              <w:kinsoku/>
              <w:topLinePunct w:val="0"/>
              <w:bidi w:val="0"/>
              <w:spacing w:line="253" w:lineRule="auto"/>
              <w:rPr>
                <w:rFonts w:ascii="Arial"/>
                <w:color w:val="auto"/>
                <w:sz w:val="21"/>
              </w:rPr>
            </w:pPr>
          </w:p>
          <w:p w14:paraId="67EE54D9">
            <w:pPr>
              <w:pageBreakBefore w:val="0"/>
              <w:kinsoku/>
              <w:topLinePunct w:val="0"/>
              <w:bidi w:val="0"/>
              <w:spacing w:line="253" w:lineRule="auto"/>
              <w:rPr>
                <w:rFonts w:ascii="Arial"/>
                <w:color w:val="auto"/>
                <w:sz w:val="21"/>
              </w:rPr>
            </w:pPr>
          </w:p>
          <w:p w14:paraId="4C3DF499">
            <w:pPr>
              <w:pageBreakBefore w:val="0"/>
              <w:kinsoku/>
              <w:topLinePunct w:val="0"/>
              <w:bidi w:val="0"/>
              <w:spacing w:line="253" w:lineRule="auto"/>
              <w:rPr>
                <w:rFonts w:ascii="Arial"/>
                <w:color w:val="auto"/>
                <w:sz w:val="21"/>
              </w:rPr>
            </w:pPr>
          </w:p>
          <w:p w14:paraId="5FD0D471">
            <w:pPr>
              <w:pageBreakBefore w:val="0"/>
              <w:kinsoku/>
              <w:topLinePunct w:val="0"/>
              <w:bidi w:val="0"/>
              <w:spacing w:line="253" w:lineRule="auto"/>
              <w:rPr>
                <w:rFonts w:ascii="Arial"/>
                <w:color w:val="auto"/>
                <w:sz w:val="21"/>
              </w:rPr>
            </w:pPr>
          </w:p>
          <w:p w14:paraId="7ACE78FD">
            <w:pPr>
              <w:pageBreakBefore w:val="0"/>
              <w:kinsoku/>
              <w:topLinePunct w:val="0"/>
              <w:bidi w:val="0"/>
              <w:spacing w:line="253" w:lineRule="auto"/>
              <w:rPr>
                <w:rFonts w:ascii="Arial"/>
                <w:color w:val="auto"/>
                <w:sz w:val="21"/>
              </w:rPr>
            </w:pPr>
          </w:p>
          <w:p w14:paraId="6C938D19">
            <w:pPr>
              <w:pageBreakBefore w:val="0"/>
              <w:kinsoku/>
              <w:topLinePunct w:val="0"/>
              <w:bidi w:val="0"/>
              <w:spacing w:line="254" w:lineRule="auto"/>
              <w:rPr>
                <w:rFonts w:ascii="Arial"/>
                <w:color w:val="auto"/>
                <w:sz w:val="21"/>
              </w:rPr>
            </w:pPr>
          </w:p>
          <w:p w14:paraId="5A20B06E">
            <w:pPr>
              <w:pageBreakBefore w:val="0"/>
              <w:kinsoku/>
              <w:topLinePunct w:val="0"/>
              <w:bidi w:val="0"/>
              <w:spacing w:before="7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29</w:t>
            </w:r>
          </w:p>
        </w:tc>
        <w:tc>
          <w:tcPr>
            <w:tcW w:w="1870" w:type="dxa"/>
            <w:tcBorders>
              <w:bottom w:val="single" w:color="000000" w:sz="4" w:space="0"/>
            </w:tcBorders>
            <w:vAlign w:val="center"/>
          </w:tcPr>
          <w:p w14:paraId="0FCFC871">
            <w:pPr>
              <w:pageBreakBefore w:val="0"/>
              <w:kinsoku/>
              <w:topLinePunct w:val="0"/>
              <w:bidi w:val="0"/>
              <w:spacing w:before="78" w:line="220"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w:t>
            </w:r>
            <w:r>
              <w:rPr>
                <w:rFonts w:ascii="宋体" w:hAnsi="宋体" w:eastAsia="宋体" w:cs="宋体"/>
                <w:color w:val="auto"/>
                <w:spacing w:val="-2"/>
                <w:sz w:val="24"/>
                <w:szCs w:val="24"/>
                <w14:textOutline w14:w="4358" w14:cap="sq" w14:cmpd="sng">
                  <w14:solidFill>
                    <w14:srgbClr w14:val="000000"/>
                  </w14:solidFill>
                  <w14:prstDash w14:val="solid"/>
                  <w14:bevel/>
                </w14:textOutline>
              </w:rPr>
              <w:t>程序</w:t>
            </w:r>
          </w:p>
        </w:tc>
        <w:tc>
          <w:tcPr>
            <w:tcW w:w="6700" w:type="dxa"/>
            <w:tcBorders>
              <w:bottom w:val="single" w:color="000000" w:sz="4" w:space="0"/>
              <w:right w:val="single" w:color="000000" w:sz="4" w:space="0"/>
            </w:tcBorders>
            <w:vAlign w:val="top"/>
          </w:tcPr>
          <w:p w14:paraId="5FB66763">
            <w:pPr>
              <w:pageBreakBefore w:val="0"/>
              <w:kinsoku/>
              <w:topLinePunct w:val="0"/>
              <w:bidi w:val="0"/>
              <w:spacing w:before="37" w:line="280" w:lineRule="auto"/>
              <w:ind w:left="111" w:right="118" w:firstLine="16"/>
              <w:jc w:val="both"/>
              <w:rPr>
                <w:rFonts w:ascii="宋体" w:hAnsi="宋体" w:eastAsia="宋体" w:cs="宋体"/>
                <w:color w:val="auto"/>
                <w:sz w:val="22"/>
                <w:szCs w:val="22"/>
              </w:rPr>
            </w:pPr>
            <w:r>
              <w:rPr>
                <w:rFonts w:ascii="宋体" w:hAnsi="宋体" w:eastAsia="宋体" w:cs="宋体"/>
                <w:color w:val="auto"/>
                <w:spacing w:val="-1"/>
                <w:sz w:val="22"/>
                <w:szCs w:val="22"/>
                <w14:textOutline w14:w="4013" w14:cap="sq" w14:cmpd="sng">
                  <w14:solidFill>
                    <w14:srgbClr w14:val="000000"/>
                  </w14:solidFill>
                  <w14:prstDash w14:val="solid"/>
                  <w14:bevel/>
                </w14:textOutline>
              </w:rPr>
              <w:t>1.在</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磋商文件</w:t>
            </w:r>
            <w:r>
              <w:rPr>
                <w:rFonts w:ascii="宋体" w:hAnsi="宋体" w:eastAsia="宋体" w:cs="宋体"/>
                <w:color w:val="auto"/>
                <w:spacing w:val="-1"/>
                <w:sz w:val="22"/>
                <w:szCs w:val="22"/>
                <w14:textOutline w14:w="4013" w14:cap="sq" w14:cmpd="sng">
                  <w14:solidFill>
                    <w14:srgbClr w14:val="000000"/>
                  </w14:solidFill>
                  <w14:prstDash w14:val="solid"/>
                  <w14:bevel/>
                </w14:textOutline>
              </w:rPr>
              <w:t>确定的响应文件提交截止时间停止</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接收响应文件</w:t>
            </w:r>
            <w:r>
              <w:rPr>
                <w:rFonts w:ascii="宋体" w:hAnsi="宋体" w:eastAsia="宋体" w:cs="宋体"/>
                <w:color w:val="auto"/>
                <w:spacing w:val="-1"/>
                <w:sz w:val="22"/>
                <w:szCs w:val="22"/>
                <w14:textOutline w14:w="4013" w14:cap="sq" w14:cmpd="sng">
                  <w14:solidFill>
                    <w14:srgbClr w14:val="000000"/>
                  </w14:solidFill>
                  <w14:prstDash w14:val="solid"/>
                  <w14:bevel/>
                </w14:textOutline>
              </w:rPr>
              <w:t>。</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主持人确定</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w:t>
            </w:r>
            <w:r>
              <w:rPr>
                <w:rFonts w:ascii="宋体" w:hAnsi="宋体" w:eastAsia="宋体" w:cs="宋体"/>
                <w:color w:val="auto"/>
                <w:spacing w:val="3"/>
                <w:sz w:val="22"/>
                <w:szCs w:val="22"/>
                <w14:textOutline w14:w="4013" w14:cap="sq" w14:cmpd="sng">
                  <w14:solidFill>
                    <w14:srgbClr w14:val="000000"/>
                  </w14:solidFill>
                  <w14:prstDash w14:val="solid"/>
                  <w14:bevel/>
                </w14:textOutline>
              </w:rPr>
              <w:t>供应商数量是否符合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要求（要求所有</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w:t>
            </w:r>
            <w:r>
              <w:rPr>
                <w:rFonts w:ascii="宋体" w:hAnsi="宋体" w:eastAsia="宋体" w:cs="宋体"/>
                <w:color w:val="auto"/>
                <w:spacing w:val="17"/>
                <w:sz w:val="22"/>
                <w:szCs w:val="22"/>
              </w:rPr>
              <w:t xml:space="preserve"> </w:t>
            </w:r>
            <w:r>
              <w:rPr>
                <w:rFonts w:ascii="宋体" w:hAnsi="宋体" w:eastAsia="宋体" w:cs="宋体"/>
                <w:color w:val="auto"/>
                <w:spacing w:val="1"/>
                <w:sz w:val="22"/>
                <w:szCs w:val="22"/>
                <w14:textOutline w14:w="4013" w14:cap="sq" w14:cmpd="sng">
                  <w14:solidFill>
                    <w14:srgbClr w14:val="000000"/>
                  </w14:solidFill>
                  <w14:prstDash w14:val="solid"/>
                  <w14:bevel/>
                </w14:textOutline>
              </w:rPr>
              <w:t>供应商提前一小时准备好相关资料，调试好电脑设备</w:t>
            </w:r>
            <w:r>
              <w:rPr>
                <w:rFonts w:ascii="宋体" w:hAnsi="宋体" w:eastAsia="宋体" w:cs="宋体"/>
                <w:color w:val="auto"/>
                <w:spacing w:val="-8"/>
                <w:sz w:val="22"/>
                <w:szCs w:val="22"/>
                <w14:textOutline w14:w="4013" w14:cap="sq" w14:cmpd="sng">
                  <w14:solidFill>
                    <w14:srgbClr w14:val="000000"/>
                  </w14:solidFill>
                  <w14:prstDash w14:val="solid"/>
                  <w14:bevel/>
                </w14:textOutline>
              </w:rPr>
              <w:t>）；</w:t>
            </w:r>
          </w:p>
          <w:p w14:paraId="7C12FED0">
            <w:pPr>
              <w:pageBreakBefore w:val="0"/>
              <w:kinsoku/>
              <w:topLinePunct w:val="0"/>
              <w:bidi w:val="0"/>
              <w:spacing w:before="111" w:line="262" w:lineRule="auto"/>
              <w:ind w:left="114" w:right="121"/>
              <w:rPr>
                <w:rFonts w:ascii="宋体" w:hAnsi="宋体" w:eastAsia="宋体" w:cs="宋体"/>
                <w:color w:val="auto"/>
                <w:sz w:val="22"/>
                <w:szCs w:val="22"/>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2.本项目采用“政采云不见面</w:t>
            </w:r>
            <w:r>
              <w:rPr>
                <w:rFonts w:ascii="宋体" w:hAnsi="宋体" w:eastAsia="宋体" w:cs="宋体"/>
                <w:color w:val="auto"/>
                <w:spacing w:val="-73"/>
                <w:sz w:val="22"/>
                <w:szCs w:val="22"/>
              </w:rPr>
              <w:t xml:space="preserve"> </w:t>
            </w:r>
            <w:r>
              <w:rPr>
                <w:rFonts w:ascii="宋体" w:hAnsi="宋体" w:eastAsia="宋体" w:cs="宋体"/>
                <w:color w:val="auto"/>
                <w:spacing w:val="2"/>
                <w:sz w:val="22"/>
                <w:szCs w:val="22"/>
                <w14:textOutline w14:w="4013" w14:cap="sq" w14:cmpd="sng">
                  <w14:solidFill>
                    <w14:srgbClr w14:val="000000"/>
                  </w14:solidFill>
                  <w14:prstDash w14:val="solid"/>
                  <w14:bevel/>
                </w14:textOutline>
              </w:rPr>
              <w:t>”</w:t>
            </w:r>
            <w:r>
              <w:rPr>
                <w:rFonts w:hint="eastAsia" w:ascii="宋体" w:hAnsi="宋体" w:eastAsia="宋体" w:cs="宋体"/>
                <w:color w:val="auto"/>
                <w:spacing w:val="2"/>
                <w:sz w:val="22"/>
                <w:szCs w:val="22"/>
                <w:lang w:eastAsia="zh-CN"/>
                <w14:textOutline w14:w="4013" w14:cap="sq" w14:cmpd="sng">
                  <w14:solidFill>
                    <w14:srgbClr w14:val="000000"/>
                  </w14:solidFill>
                  <w14:prstDash w14:val="solid"/>
                  <w14:bevel/>
                </w14:textOutline>
              </w:rPr>
              <w:t>流程</w:t>
            </w:r>
            <w:r>
              <w:rPr>
                <w:rFonts w:ascii="宋体" w:hAnsi="宋体" w:eastAsia="宋体" w:cs="宋体"/>
                <w:color w:val="auto"/>
                <w:spacing w:val="2"/>
                <w:sz w:val="22"/>
                <w:szCs w:val="22"/>
                <w14:textOutline w14:w="4013" w14:cap="sq" w14:cmpd="sng">
                  <w14:solidFill>
                    <w14:srgbClr w14:val="000000"/>
                  </w14:solidFill>
                  <w14:prstDash w14:val="solid"/>
                  <w14:bevel/>
                </w14:textOutline>
              </w:rPr>
              <w:t>，供应商须在提交首次响应文件截止时间</w:t>
            </w:r>
            <w:r>
              <w:rPr>
                <w:rFonts w:ascii="宋体" w:hAnsi="宋体" w:eastAsia="宋体" w:cs="宋体"/>
                <w:color w:val="auto"/>
                <w:sz w:val="22"/>
                <w:szCs w:val="22"/>
                <w14:textOutline w14:w="4013" w14:cap="sq" w14:cmpd="sng">
                  <w14:solidFill>
                    <w14:srgbClr w14:val="000000"/>
                  </w14:solidFill>
                  <w14:prstDash w14:val="solid"/>
                  <w14:bevel/>
                </w14:textOutline>
              </w:rPr>
              <w:t>前登录政采云平台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z w:val="22"/>
                <w:szCs w:val="22"/>
                <w14:textOutline w14:w="4013" w14:cap="sq" w14:cmpd="sng">
                  <w14:solidFill>
                    <w14:srgbClr w14:val="000000"/>
                  </w14:solidFill>
                  <w14:prstDash w14:val="solid"/>
                  <w14:bevel/>
                </w14:textOutline>
              </w:rPr>
              <w:t>http://www.zcygov.cn/</w:t>
            </w:r>
            <w:r>
              <w:rPr>
                <w:rFonts w:ascii="宋体" w:hAnsi="宋体" w:eastAsia="宋体" w:cs="宋体"/>
                <w:color w:val="auto"/>
                <w:sz w:val="22"/>
                <w:szCs w:val="22"/>
                <w14:textOutline w14:w="4013" w14:cap="sq" w14:cmpd="sng">
                  <w14:solidFill>
                    <w14:srgbClr w14:val="000000"/>
                  </w14:solidFill>
                  <w14:prstDash w14:val="solid"/>
                  <w14:bevel/>
                </w14:textOutline>
              </w:rPr>
              <w:fldChar w:fldCharType="end"/>
            </w:r>
            <w:r>
              <w:rPr>
                <w:rFonts w:ascii="宋体" w:hAnsi="宋体" w:eastAsia="宋体" w:cs="宋体"/>
                <w:color w:val="auto"/>
                <w:sz w:val="22"/>
                <w:szCs w:val="22"/>
                <w14:textOutline w14:w="4013" w14:cap="sq" w14:cmpd="sng">
                  <w14:solidFill>
                    <w14:srgbClr w14:val="000000"/>
                  </w14:solidFill>
                  <w14:prstDash w14:val="solid"/>
                  <w14:bevel/>
                </w14:textOutline>
              </w:rPr>
              <w:t>进行签到。</w:t>
            </w:r>
          </w:p>
          <w:p w14:paraId="55560002">
            <w:pPr>
              <w:pageBreakBefore w:val="0"/>
              <w:kinsoku/>
              <w:topLinePunct w:val="0"/>
              <w:bidi w:val="0"/>
              <w:spacing w:before="117" w:line="219" w:lineRule="auto"/>
              <w:ind w:left="116"/>
              <w:rPr>
                <w:rFonts w:ascii="宋体" w:hAnsi="宋体" w:eastAsia="宋体" w:cs="宋体"/>
                <w:color w:val="auto"/>
                <w:sz w:val="22"/>
                <w:szCs w:val="22"/>
              </w:rPr>
            </w:pPr>
            <w:r>
              <w:rPr>
                <w:rFonts w:ascii="宋体" w:hAnsi="宋体" w:eastAsia="宋体" w:cs="宋体"/>
                <w:color w:val="auto"/>
                <w:sz w:val="22"/>
                <w:szCs w:val="22"/>
                <w14:textOutline w14:w="4013" w14:cap="sq" w14:cmpd="sng">
                  <w14:solidFill>
                    <w14:srgbClr w14:val="000000"/>
                  </w14:solidFill>
                  <w14:prstDash w14:val="solid"/>
                  <w14:bevel/>
                </w14:textOutline>
              </w:rPr>
              <w:t>3.主持人宣布</w:t>
            </w:r>
            <w:r>
              <w:rPr>
                <w:rFonts w:hint="eastAsia" w:ascii="宋体" w:hAnsi="宋体" w:eastAsia="宋体" w:cs="宋体"/>
                <w:color w:val="auto"/>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z w:val="22"/>
                <w:szCs w:val="22"/>
                <w14:textOutline w14:w="4013" w14:cap="sq" w14:cmpd="sng">
                  <w14:solidFill>
                    <w14:srgbClr w14:val="000000"/>
                  </w14:solidFill>
                  <w14:prstDash w14:val="solid"/>
                  <w14:bevel/>
                </w14:textOutline>
              </w:rPr>
              <w:t>开始，宣布</w:t>
            </w:r>
            <w:r>
              <w:rPr>
                <w:rFonts w:hint="eastAsia" w:ascii="宋体" w:hAnsi="宋体" w:eastAsia="宋体" w:cs="宋体"/>
                <w:color w:val="auto"/>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z w:val="22"/>
                <w:szCs w:val="22"/>
                <w14:textOutline w14:w="4013" w14:cap="sq" w14:cmpd="sng">
                  <w14:solidFill>
                    <w14:srgbClr w14:val="000000"/>
                  </w14:solidFill>
                  <w14:prstDash w14:val="solid"/>
                  <w14:bevel/>
                </w14:textOutline>
              </w:rPr>
              <w:t>纪律；</w:t>
            </w:r>
          </w:p>
          <w:p w14:paraId="0DEF0CCA">
            <w:pPr>
              <w:pageBreakBefore w:val="0"/>
              <w:kinsoku/>
              <w:topLinePunct w:val="0"/>
              <w:bidi w:val="0"/>
              <w:spacing w:before="109" w:line="281" w:lineRule="auto"/>
              <w:ind w:left="115" w:right="62" w:hanging="4"/>
              <w:jc w:val="both"/>
              <w:rPr>
                <w:rFonts w:ascii="宋体" w:hAnsi="宋体" w:eastAsia="宋体" w:cs="宋体"/>
                <w:color w:val="auto"/>
                <w:spacing w:val="-2"/>
                <w:sz w:val="22"/>
                <w:szCs w:val="22"/>
                <w14:textOutline w14:w="4013" w14:cap="sq" w14:cmpd="sng">
                  <w14:solidFill>
                    <w14:srgbClr w14:val="000000"/>
                  </w14:solidFill>
                  <w14:prstDash w14:val="solid"/>
                  <w14:bevel/>
                </w14:textOutline>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4.宣布主持人、</w:t>
            </w:r>
            <w:r>
              <w:rPr>
                <w:rFonts w:hint="eastAsia" w:ascii="宋体" w:hAnsi="宋体" w:eastAsia="宋体" w:cs="宋体"/>
                <w:color w:val="auto"/>
                <w:spacing w:val="-2"/>
                <w:sz w:val="22"/>
                <w:szCs w:val="22"/>
                <w:lang w:eastAsia="zh-CN"/>
                <w14:textOutline w14:w="4013" w14:cap="sq" w14:cmpd="sng">
                  <w14:solidFill>
                    <w14:srgbClr w14:val="000000"/>
                  </w14:solidFill>
                  <w14:prstDash w14:val="solid"/>
                  <w14:bevel/>
                </w14:textOutline>
              </w:rPr>
              <w:t>采购</w:t>
            </w:r>
            <w:r>
              <w:rPr>
                <w:rFonts w:ascii="宋体" w:hAnsi="宋体" w:eastAsia="宋体" w:cs="宋体"/>
                <w:color w:val="auto"/>
                <w:spacing w:val="-2"/>
                <w:sz w:val="22"/>
                <w:szCs w:val="22"/>
                <w14:textOutline w14:w="4013" w14:cap="sq" w14:cmpd="sng">
                  <w14:solidFill>
                    <w14:srgbClr w14:val="000000"/>
                  </w14:solidFill>
                  <w14:prstDash w14:val="solid"/>
                  <w14:bevel/>
                </w14:textOutline>
              </w:rPr>
              <w:t>人、唱标人、记录人、监督人等工作人员姓名；</w:t>
            </w:r>
          </w:p>
          <w:p w14:paraId="7E9D793B">
            <w:pPr>
              <w:pageBreakBefore w:val="0"/>
              <w:kinsoku/>
              <w:topLinePunct w:val="0"/>
              <w:bidi w:val="0"/>
              <w:spacing w:before="109" w:line="281" w:lineRule="auto"/>
              <w:ind w:left="115" w:right="62" w:hanging="4"/>
              <w:jc w:val="both"/>
              <w:rPr>
                <w:rFonts w:ascii="宋体" w:hAnsi="宋体" w:eastAsia="宋体" w:cs="宋体"/>
                <w:color w:val="auto"/>
                <w:sz w:val="22"/>
                <w:szCs w:val="22"/>
              </w:rPr>
            </w:pPr>
            <w:r>
              <w:rPr>
                <w:rFonts w:ascii="宋体" w:hAnsi="宋体" w:eastAsia="宋体" w:cs="宋体"/>
                <w:color w:val="auto"/>
                <w:spacing w:val="3"/>
                <w:sz w:val="22"/>
                <w:szCs w:val="22"/>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5.解密：法定代表人或授权委托人须全程在线准时参加</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活动进</w:t>
            </w:r>
            <w:r>
              <w:rPr>
                <w:rFonts w:ascii="宋体" w:hAnsi="宋体" w:eastAsia="宋体" w:cs="宋体"/>
                <w:color w:val="auto"/>
                <w:sz w:val="22"/>
                <w:szCs w:val="22"/>
                <w14:textOutline w14:w="4013" w14:cap="sq" w14:cmpd="sng">
                  <w14:solidFill>
                    <w14:srgbClr w14:val="000000"/>
                  </w14:solidFill>
                  <w14:prstDash w14:val="solid"/>
                  <w14:bevel/>
                </w14:textOutline>
              </w:rPr>
              <w:t>行文件解密、异议、质疑及澄清等。</w:t>
            </w:r>
          </w:p>
          <w:p w14:paraId="0B2D219A">
            <w:pPr>
              <w:pageBreakBefore w:val="0"/>
              <w:kinsoku/>
              <w:topLinePunct w:val="0"/>
              <w:bidi w:val="0"/>
              <w:spacing w:before="109" w:line="288" w:lineRule="auto"/>
              <w:ind w:left="111" w:right="118" w:firstLine="1"/>
              <w:jc w:val="both"/>
              <w:rPr>
                <w:rFonts w:ascii="宋体" w:hAnsi="宋体" w:eastAsia="宋体" w:cs="宋体"/>
                <w:color w:val="auto"/>
                <w:sz w:val="22"/>
                <w:szCs w:val="22"/>
              </w:rPr>
            </w:pPr>
            <w:r>
              <w:rPr>
                <w:rFonts w:ascii="宋体" w:hAnsi="宋体" w:eastAsia="宋体" w:cs="宋体"/>
                <w:color w:val="auto"/>
                <w:spacing w:val="-1"/>
                <w:sz w:val="22"/>
                <w:szCs w:val="22"/>
                <w14:textOutline w14:w="4013" w14:cap="sq" w14:cmpd="sng">
                  <w14:solidFill>
                    <w14:srgbClr w14:val="000000"/>
                  </w14:solidFill>
                  <w14:prstDash w14:val="solid"/>
                  <w14:bevel/>
                </w14:textOutline>
              </w:rPr>
              <w:t>6</w:t>
            </w:r>
            <w:r>
              <w:rPr>
                <w:rFonts w:ascii="宋体" w:hAnsi="宋体" w:eastAsia="宋体" w:cs="宋体"/>
                <w:color w:val="auto"/>
                <w:spacing w:val="-1"/>
                <w:sz w:val="22"/>
                <w:szCs w:val="22"/>
              </w:rPr>
              <w:t xml:space="preserve"> </w:t>
            </w:r>
            <w:r>
              <w:rPr>
                <w:rFonts w:hint="eastAsia" w:ascii="宋体" w:hAnsi="宋体" w:eastAsia="宋体" w:cs="宋体"/>
                <w:color w:val="auto"/>
                <w:spacing w:val="-1"/>
                <w:sz w:val="22"/>
                <w:szCs w:val="22"/>
                <w:lang w:eastAsia="zh-CN"/>
              </w:rPr>
              <w:t>。</w:t>
            </w:r>
            <w:r>
              <w:rPr>
                <w:rFonts w:ascii="宋体" w:hAnsi="宋体" w:eastAsia="宋体" w:cs="宋体"/>
                <w:color w:val="auto"/>
                <w:spacing w:val="-1"/>
                <w:sz w:val="22"/>
                <w:szCs w:val="22"/>
                <w14:textOutline w14:w="4013" w14:cap="sq" w14:cmpd="sng">
                  <w14:solidFill>
                    <w14:srgbClr w14:val="000000"/>
                  </w14:solidFill>
                  <w14:prstDash w14:val="solid"/>
                  <w14:bevel/>
                </w14:textOutline>
              </w:rPr>
              <w:t>参与“政采云不见面</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14:textOutline w14:w="4013" w14:cap="sq" w14:cmpd="sng">
                  <w14:solidFill>
                    <w14:srgbClr w14:val="000000"/>
                  </w14:solidFill>
                  <w14:prstDash w14:val="solid"/>
                  <w14:bevel/>
                </w14:textOutline>
              </w:rPr>
              <w:t>”开标的各供应商，请在</w:t>
            </w:r>
            <w:r>
              <w:rPr>
                <w:rFonts w:ascii="宋体" w:hAnsi="宋体" w:eastAsia="宋体" w:cs="宋体"/>
                <w:color w:val="auto"/>
                <w:spacing w:val="-2"/>
                <w:sz w:val="22"/>
                <w:szCs w:val="22"/>
                <w14:textOutline w14:w="4013" w14:cap="sq" w14:cmpd="sng">
                  <w14:solidFill>
                    <w14:srgbClr w14:val="000000"/>
                  </w14:solidFill>
                  <w14:prstDash w14:val="solid"/>
                  <w14:bevel/>
                </w14:textOutline>
              </w:rPr>
              <w:t>互联网网络环境较</w:t>
            </w:r>
            <w:r>
              <w:rPr>
                <w:rFonts w:ascii="宋体" w:hAnsi="宋体" w:eastAsia="宋体" w:cs="宋体"/>
                <w:color w:val="auto"/>
                <w:sz w:val="22"/>
                <w:szCs w:val="22"/>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好的电脑端登录政采云不见面开标大厅参与</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；不要在电</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脑上</w:t>
            </w:r>
            <w:r>
              <w:rPr>
                <w:rFonts w:ascii="宋体" w:hAnsi="宋体" w:eastAsia="宋体" w:cs="宋体"/>
                <w:color w:val="auto"/>
                <w:spacing w:val="3"/>
                <w:sz w:val="22"/>
                <w:szCs w:val="22"/>
                <w14:textOutline w14:w="4013" w14:cap="sq" w14:cmpd="sng">
                  <w14:solidFill>
                    <w14:srgbClr w14:val="000000"/>
                  </w14:solidFill>
                  <w14:prstDash w14:val="solid"/>
                  <w14:bevel/>
                </w14:textOutline>
              </w:rPr>
              <w:t>进行下载、安装等工作，认真耐心等待指令并及时操作，并保持手机畅通；因供应商网络环境或硬件配备不达标等原因，影响</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的，造成的后果由供应商自行承担。</w:t>
            </w:r>
          </w:p>
          <w:p w14:paraId="4E7AB8CC">
            <w:pPr>
              <w:pageBreakBefore w:val="0"/>
              <w:kinsoku/>
              <w:topLinePunct w:val="0"/>
              <w:bidi w:val="0"/>
              <w:spacing w:line="220" w:lineRule="auto"/>
              <w:ind w:left="117"/>
              <w:rPr>
                <w:rFonts w:ascii="宋体" w:hAnsi="宋体" w:eastAsia="宋体" w:cs="宋体"/>
                <w:color w:val="auto"/>
                <w:sz w:val="22"/>
                <w:szCs w:val="22"/>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7.</w:t>
            </w:r>
            <w:r>
              <w:rPr>
                <w:rFonts w:hint="eastAsia" w:ascii="宋体" w:hAnsi="宋体" w:eastAsia="宋体" w:cs="宋体"/>
                <w:color w:val="auto"/>
                <w:spacing w:val="-2"/>
                <w:sz w:val="22"/>
                <w:szCs w:val="22"/>
                <w:lang w:eastAsia="zh-CN"/>
                <w14:textOutline w14:w="4013" w14:cap="sq" w14:cmpd="sng">
                  <w14:solidFill>
                    <w14:srgbClr w14:val="000000"/>
                  </w14:solidFill>
                  <w14:prstDash w14:val="solid"/>
                  <w14:bevel/>
                </w14:textOutline>
              </w:rPr>
              <w:t>磋商会议</w:t>
            </w:r>
            <w:r>
              <w:rPr>
                <w:rFonts w:ascii="宋体" w:hAnsi="宋体" w:eastAsia="宋体" w:cs="宋体"/>
                <w:color w:val="auto"/>
                <w:spacing w:val="-2"/>
                <w:sz w:val="22"/>
                <w:szCs w:val="22"/>
                <w14:textOutline w14:w="4013" w14:cap="sq" w14:cmpd="sng">
                  <w14:solidFill>
                    <w14:srgbClr w14:val="000000"/>
                  </w14:solidFill>
                  <w14:prstDash w14:val="solid"/>
                  <w14:bevel/>
                </w14:textOutline>
              </w:rPr>
              <w:t>结束。</w:t>
            </w:r>
          </w:p>
          <w:p w14:paraId="63A1DA1C">
            <w:pPr>
              <w:pageBreakBefore w:val="0"/>
              <w:kinsoku/>
              <w:topLinePunct w:val="0"/>
              <w:bidi w:val="0"/>
              <w:spacing w:before="209" w:line="219" w:lineRule="auto"/>
              <w:ind w:left="112"/>
              <w:rPr>
                <w:rFonts w:ascii="宋体" w:hAnsi="宋体" w:eastAsia="宋体" w:cs="宋体"/>
                <w:color w:val="auto"/>
                <w:sz w:val="22"/>
                <w:szCs w:val="22"/>
              </w:rPr>
            </w:pPr>
            <w:r>
              <w:rPr>
                <w:rFonts w:hint="eastAsia" w:ascii="宋体" w:hAnsi="宋体" w:eastAsia="宋体" w:cs="宋体"/>
                <w:color w:val="auto"/>
                <w:sz w:val="22"/>
                <w:szCs w:val="22"/>
                <w:lang w:eastAsia="zh-CN"/>
                <w14:textOutline w14:w="4013" w14:cap="sq" w14:cmpd="sng">
                  <w14:solidFill>
                    <w14:srgbClr w14:val="000000"/>
                  </w14:solidFill>
                  <w14:prstDash w14:val="solid"/>
                  <w14:bevel/>
                </w14:textOutline>
              </w:rPr>
              <w:t>采购代理机构</w:t>
            </w:r>
            <w:r>
              <w:rPr>
                <w:rFonts w:ascii="宋体" w:hAnsi="宋体" w:eastAsia="宋体" w:cs="宋体"/>
                <w:color w:val="auto"/>
                <w:sz w:val="22"/>
                <w:szCs w:val="22"/>
                <w14:textOutline w14:w="4013" w14:cap="sq" w14:cmpd="sng">
                  <w14:solidFill>
                    <w14:srgbClr w14:val="000000"/>
                  </w14:solidFill>
                  <w14:prstDash w14:val="solid"/>
                  <w14:bevel/>
                </w14:textOutline>
              </w:rPr>
              <w:t>应当对上述开标过程做好记录，存档备查。</w:t>
            </w:r>
          </w:p>
        </w:tc>
      </w:tr>
      <w:tr w14:paraId="67730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42" w:type="dxa"/>
            <w:tcBorders>
              <w:top w:val="single" w:color="000000" w:sz="4" w:space="0"/>
              <w:left w:val="single" w:color="000000" w:sz="4" w:space="0"/>
            </w:tcBorders>
            <w:vAlign w:val="top"/>
          </w:tcPr>
          <w:p w14:paraId="02E15702">
            <w:pPr>
              <w:pageBreakBefore w:val="0"/>
              <w:kinsoku/>
              <w:topLinePunct w:val="0"/>
              <w:bidi w:val="0"/>
              <w:spacing w:line="364" w:lineRule="auto"/>
              <w:rPr>
                <w:rFonts w:ascii="Arial"/>
                <w:color w:val="auto"/>
                <w:sz w:val="21"/>
              </w:rPr>
            </w:pPr>
          </w:p>
          <w:p w14:paraId="013983CA">
            <w:pPr>
              <w:pageBreakBefore w:val="0"/>
              <w:kinsoku/>
              <w:topLinePunct w:val="0"/>
              <w:bidi w:val="0"/>
              <w:spacing w:before="78" w:line="183" w:lineRule="auto"/>
              <w:ind w:left="265"/>
              <w:rPr>
                <w:rFonts w:ascii="宋体" w:hAnsi="宋体" w:eastAsia="宋体" w:cs="宋体"/>
                <w:color w:val="auto"/>
                <w:sz w:val="24"/>
                <w:szCs w:val="24"/>
              </w:rPr>
            </w:pPr>
            <w:r>
              <w:rPr>
                <w:rFonts w:ascii="宋体" w:hAnsi="宋体" w:eastAsia="宋体" w:cs="宋体"/>
                <w:color w:val="auto"/>
                <w:spacing w:val="-8"/>
                <w:sz w:val="24"/>
                <w:szCs w:val="24"/>
              </w:rPr>
              <w:t>30</w:t>
            </w:r>
          </w:p>
        </w:tc>
        <w:tc>
          <w:tcPr>
            <w:tcW w:w="1870" w:type="dxa"/>
            <w:tcBorders>
              <w:top w:val="single" w:color="000000" w:sz="4" w:space="0"/>
            </w:tcBorders>
            <w:vAlign w:val="center"/>
          </w:tcPr>
          <w:p w14:paraId="05F11F5D">
            <w:pPr>
              <w:pageBreakBefore w:val="0"/>
              <w:kinsoku/>
              <w:topLinePunct w:val="0"/>
              <w:bidi w:val="0"/>
              <w:spacing w:before="265" w:line="262" w:lineRule="auto"/>
              <w:ind w:right="194"/>
              <w:jc w:val="center"/>
              <w:rPr>
                <w:rFonts w:ascii="宋体" w:hAnsi="宋体" w:eastAsia="宋体" w:cs="宋体"/>
                <w:color w:val="auto"/>
                <w:sz w:val="24"/>
                <w:szCs w:val="24"/>
              </w:rPr>
            </w:pPr>
            <w:r>
              <w:rPr>
                <w:rFonts w:ascii="宋体" w:hAnsi="宋体" w:eastAsia="宋体" w:cs="宋体"/>
                <w:color w:val="auto"/>
                <w:spacing w:val="-4"/>
                <w:sz w:val="24"/>
                <w:szCs w:val="24"/>
                <w14:textOutline w14:w="4358" w14:cap="sq" w14:cmpd="sng">
                  <w14:solidFill>
                    <w14:srgbClr w14:val="000000"/>
                  </w14:solidFill>
                  <w14:prstDash w14:val="solid"/>
                  <w14:bevel/>
                </w14:textOutline>
              </w:rPr>
              <w:t>成交结果公</w:t>
            </w:r>
            <w:r>
              <w:rPr>
                <w:rFonts w:ascii="宋体" w:hAnsi="宋体" w:eastAsia="宋体" w:cs="宋体"/>
                <w:color w:val="auto"/>
                <w:sz w:val="24"/>
                <w:szCs w:val="24"/>
                <w14:textOutline w14:w="4358" w14:cap="sq" w14:cmpd="sng">
                  <w14:solidFill>
                    <w14:srgbClr w14:val="000000"/>
                  </w14:solidFill>
                  <w14:prstDash w14:val="solid"/>
                  <w14:bevel/>
                </w14:textOutline>
              </w:rPr>
              <w:t>告</w:t>
            </w:r>
          </w:p>
        </w:tc>
        <w:tc>
          <w:tcPr>
            <w:tcW w:w="6700" w:type="dxa"/>
            <w:tcBorders>
              <w:top w:val="single" w:color="000000" w:sz="4" w:space="0"/>
              <w:right w:val="single" w:color="000000" w:sz="4" w:space="0"/>
            </w:tcBorders>
            <w:vAlign w:val="top"/>
          </w:tcPr>
          <w:p w14:paraId="15A50A5D">
            <w:pPr>
              <w:pageBreakBefore w:val="0"/>
              <w:kinsoku/>
              <w:topLinePunct w:val="0"/>
              <w:bidi w:val="0"/>
              <w:spacing w:before="265" w:line="263" w:lineRule="auto"/>
              <w:ind w:left="114" w:right="133"/>
              <w:rPr>
                <w:rFonts w:ascii="宋体" w:hAnsi="宋体" w:eastAsia="宋体" w:cs="宋体"/>
                <w:color w:val="auto"/>
                <w:sz w:val="24"/>
                <w:szCs w:val="24"/>
              </w:rPr>
            </w:pPr>
            <w:r>
              <w:rPr>
                <w:rFonts w:ascii="宋体" w:hAnsi="宋体" w:eastAsia="宋体" w:cs="宋体"/>
                <w:color w:val="auto"/>
                <w:spacing w:val="-2"/>
                <w:sz w:val="24"/>
                <w:szCs w:val="24"/>
              </w:rPr>
              <w:t>成交结果公告在新疆政府采购网</w:t>
            </w:r>
            <w:r>
              <w:rPr>
                <w:rFonts w:hint="eastAsia" w:ascii="宋体" w:hAnsi="宋体" w:eastAsia="宋体" w:cs="宋体"/>
                <w:color w:val="auto"/>
                <w:spacing w:val="-2"/>
                <w:sz w:val="24"/>
                <w:szCs w:val="24"/>
                <w:lang w:eastAsia="zh-CN"/>
              </w:rPr>
              <w:t>及柯坪县人民政府网</w:t>
            </w:r>
            <w:r>
              <w:rPr>
                <w:rFonts w:ascii="宋体" w:hAnsi="宋体" w:eastAsia="宋体" w:cs="宋体"/>
                <w:color w:val="auto"/>
                <w:spacing w:val="-2"/>
                <w:sz w:val="24"/>
                <w:szCs w:val="24"/>
              </w:rPr>
              <w:t>予以公告，公告期不少于</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1个</w:t>
            </w:r>
            <w:r>
              <w:rPr>
                <w:rFonts w:ascii="宋体" w:hAnsi="宋体" w:eastAsia="宋体" w:cs="宋体"/>
                <w:color w:val="auto"/>
                <w:spacing w:val="-4"/>
                <w:sz w:val="24"/>
                <w:szCs w:val="24"/>
              </w:rPr>
              <w:t>工作日。</w:t>
            </w:r>
          </w:p>
        </w:tc>
      </w:tr>
      <w:tr w14:paraId="53B32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742" w:type="dxa"/>
            <w:tcBorders>
              <w:left w:val="single" w:color="000000" w:sz="4" w:space="0"/>
            </w:tcBorders>
            <w:vAlign w:val="top"/>
          </w:tcPr>
          <w:p w14:paraId="5568D11E">
            <w:pPr>
              <w:pageBreakBefore w:val="0"/>
              <w:kinsoku/>
              <w:topLinePunct w:val="0"/>
              <w:bidi w:val="0"/>
              <w:spacing w:line="413" w:lineRule="auto"/>
              <w:rPr>
                <w:rFonts w:ascii="Arial"/>
                <w:color w:val="auto"/>
                <w:sz w:val="21"/>
              </w:rPr>
            </w:pPr>
          </w:p>
          <w:p w14:paraId="55495A2F">
            <w:pPr>
              <w:pageBreakBefore w:val="0"/>
              <w:kinsoku/>
              <w:topLinePunct w:val="0"/>
              <w:bidi w:val="0"/>
              <w:spacing w:before="78" w:line="184" w:lineRule="auto"/>
              <w:ind w:left="265"/>
              <w:rPr>
                <w:rFonts w:ascii="宋体" w:hAnsi="宋体" w:eastAsia="宋体" w:cs="宋体"/>
                <w:color w:val="auto"/>
                <w:sz w:val="24"/>
                <w:szCs w:val="24"/>
              </w:rPr>
            </w:pPr>
            <w:r>
              <w:rPr>
                <w:rFonts w:ascii="宋体" w:hAnsi="宋体" w:eastAsia="宋体" w:cs="宋体"/>
                <w:color w:val="auto"/>
                <w:spacing w:val="-8"/>
                <w:sz w:val="24"/>
                <w:szCs w:val="24"/>
              </w:rPr>
              <w:t>31</w:t>
            </w:r>
          </w:p>
        </w:tc>
        <w:tc>
          <w:tcPr>
            <w:tcW w:w="1870" w:type="dxa"/>
            <w:vAlign w:val="center"/>
          </w:tcPr>
          <w:p w14:paraId="571943C1">
            <w:pPr>
              <w:pageBreakBefore w:val="0"/>
              <w:kinsoku/>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相关费用</w:t>
            </w:r>
          </w:p>
        </w:tc>
        <w:tc>
          <w:tcPr>
            <w:tcW w:w="6700" w:type="dxa"/>
            <w:tcBorders>
              <w:right w:val="single" w:color="000000" w:sz="4" w:space="0"/>
            </w:tcBorders>
            <w:vAlign w:val="top"/>
          </w:tcPr>
          <w:p w14:paraId="72373D7D">
            <w:pPr>
              <w:keepNext w:val="0"/>
              <w:keepLines w:val="0"/>
              <w:pageBreakBefore w:val="0"/>
              <w:widowControl/>
              <w:kinsoku/>
              <w:wordWrap/>
              <w:overflowPunct/>
              <w:topLinePunct w:val="0"/>
              <w:autoSpaceDE w:val="0"/>
              <w:autoSpaceDN w:val="0"/>
              <w:bidi w:val="0"/>
              <w:adjustRightInd w:val="0"/>
              <w:snapToGrid w:val="0"/>
              <w:spacing w:before="1" w:line="360" w:lineRule="auto"/>
              <w:ind w:left="113"/>
              <w:textAlignment w:val="baseline"/>
              <w:rPr>
                <w:rFonts w:ascii="宋体" w:hAnsi="宋体" w:eastAsia="宋体" w:cs="宋体"/>
                <w:color w:val="auto"/>
                <w:sz w:val="24"/>
                <w:szCs w:val="24"/>
              </w:rPr>
            </w:pPr>
            <w:r>
              <w:rPr>
                <w:rFonts w:ascii="宋体" w:hAnsi="宋体" w:eastAsia="宋体" w:cs="宋体"/>
                <w:color w:val="auto"/>
                <w:spacing w:val="-6"/>
                <w:sz w:val="24"/>
                <w:szCs w:val="24"/>
              </w:rPr>
              <w:t>1.代理服务费：</w:t>
            </w:r>
            <w:r>
              <w:rPr>
                <w:rFonts w:hint="eastAsia" w:ascii="宋体" w:hAnsi="宋体" w:eastAsia="宋体" w:cs="宋体"/>
                <w:color w:val="auto"/>
                <w:spacing w:val="-6"/>
                <w:sz w:val="24"/>
                <w:szCs w:val="24"/>
                <w:lang w:eastAsia="zh-CN"/>
              </w:rPr>
              <w:t>参照发改价格〔2015〕299号文件，收取代理服务费，由采购人向采购代理机构交纳代理服务费。</w:t>
            </w:r>
          </w:p>
        </w:tc>
      </w:tr>
      <w:tr w14:paraId="08A0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42" w:type="dxa"/>
            <w:tcBorders>
              <w:left w:val="single" w:color="000000" w:sz="4" w:space="0"/>
            </w:tcBorders>
            <w:vAlign w:val="top"/>
          </w:tcPr>
          <w:p w14:paraId="6AB2DC6C">
            <w:pPr>
              <w:pageBreakBefore w:val="0"/>
              <w:kinsoku/>
              <w:topLinePunct w:val="0"/>
              <w:bidi w:val="0"/>
              <w:spacing w:line="243" w:lineRule="auto"/>
              <w:rPr>
                <w:rFonts w:ascii="Arial"/>
                <w:color w:val="auto"/>
                <w:sz w:val="21"/>
              </w:rPr>
            </w:pPr>
          </w:p>
          <w:p w14:paraId="317E7496">
            <w:pPr>
              <w:pageBreakBefore w:val="0"/>
              <w:kinsoku/>
              <w:topLinePunct w:val="0"/>
              <w:bidi w:val="0"/>
              <w:spacing w:line="244" w:lineRule="auto"/>
              <w:rPr>
                <w:rFonts w:ascii="Arial"/>
                <w:color w:val="auto"/>
                <w:sz w:val="21"/>
              </w:rPr>
            </w:pPr>
          </w:p>
          <w:p w14:paraId="092C7B31">
            <w:pPr>
              <w:pageBreakBefore w:val="0"/>
              <w:kinsoku/>
              <w:topLinePunct w:val="0"/>
              <w:bidi w:val="0"/>
              <w:spacing w:line="244" w:lineRule="auto"/>
              <w:rPr>
                <w:rFonts w:ascii="Arial"/>
                <w:color w:val="auto"/>
                <w:sz w:val="21"/>
              </w:rPr>
            </w:pPr>
          </w:p>
          <w:p w14:paraId="468AE1D3">
            <w:pPr>
              <w:pageBreakBefore w:val="0"/>
              <w:kinsoku/>
              <w:topLinePunct w:val="0"/>
              <w:bidi w:val="0"/>
              <w:spacing w:line="244" w:lineRule="auto"/>
              <w:rPr>
                <w:rFonts w:ascii="Arial"/>
                <w:color w:val="auto"/>
                <w:sz w:val="21"/>
              </w:rPr>
            </w:pPr>
          </w:p>
          <w:p w14:paraId="20B13CE3">
            <w:pPr>
              <w:pageBreakBefore w:val="0"/>
              <w:kinsoku/>
              <w:topLinePunct w:val="0"/>
              <w:bidi w:val="0"/>
              <w:spacing w:line="244" w:lineRule="auto"/>
              <w:rPr>
                <w:rFonts w:ascii="Arial"/>
                <w:color w:val="auto"/>
                <w:sz w:val="21"/>
              </w:rPr>
            </w:pPr>
          </w:p>
          <w:p w14:paraId="3B6901CB">
            <w:pPr>
              <w:pageBreakBefore w:val="0"/>
              <w:kinsoku/>
              <w:topLinePunct w:val="0"/>
              <w:bidi w:val="0"/>
              <w:spacing w:line="244" w:lineRule="auto"/>
              <w:rPr>
                <w:rFonts w:ascii="Arial"/>
                <w:color w:val="auto"/>
                <w:sz w:val="21"/>
              </w:rPr>
            </w:pPr>
          </w:p>
          <w:p w14:paraId="04AFFD3E">
            <w:pPr>
              <w:pageBreakBefore w:val="0"/>
              <w:kinsoku/>
              <w:topLinePunct w:val="0"/>
              <w:bidi w:val="0"/>
              <w:spacing w:line="244" w:lineRule="auto"/>
              <w:rPr>
                <w:rFonts w:ascii="Arial"/>
                <w:color w:val="auto"/>
                <w:sz w:val="21"/>
              </w:rPr>
            </w:pPr>
          </w:p>
          <w:p w14:paraId="5A75A451">
            <w:pPr>
              <w:pageBreakBefore w:val="0"/>
              <w:kinsoku/>
              <w:topLinePunct w:val="0"/>
              <w:bidi w:val="0"/>
              <w:spacing w:line="244" w:lineRule="auto"/>
              <w:rPr>
                <w:rFonts w:ascii="Arial"/>
                <w:color w:val="auto"/>
                <w:sz w:val="21"/>
              </w:rPr>
            </w:pPr>
          </w:p>
          <w:p w14:paraId="67597DFC">
            <w:pPr>
              <w:pageBreakBefore w:val="0"/>
              <w:kinsoku/>
              <w:topLinePunct w:val="0"/>
              <w:bidi w:val="0"/>
              <w:spacing w:line="244" w:lineRule="auto"/>
              <w:rPr>
                <w:rFonts w:ascii="Arial"/>
                <w:color w:val="auto"/>
                <w:sz w:val="21"/>
              </w:rPr>
            </w:pPr>
          </w:p>
          <w:p w14:paraId="30049230">
            <w:pPr>
              <w:pageBreakBefore w:val="0"/>
              <w:kinsoku/>
              <w:topLinePunct w:val="0"/>
              <w:bidi w:val="0"/>
              <w:spacing w:line="244" w:lineRule="auto"/>
              <w:rPr>
                <w:rFonts w:ascii="Arial"/>
                <w:color w:val="auto"/>
                <w:sz w:val="21"/>
              </w:rPr>
            </w:pPr>
          </w:p>
          <w:p w14:paraId="1E0FBCBD">
            <w:pPr>
              <w:pageBreakBefore w:val="0"/>
              <w:kinsoku/>
              <w:topLinePunct w:val="0"/>
              <w:bidi w:val="0"/>
              <w:spacing w:line="244" w:lineRule="auto"/>
              <w:rPr>
                <w:rFonts w:ascii="Arial"/>
                <w:color w:val="auto"/>
                <w:sz w:val="21"/>
              </w:rPr>
            </w:pPr>
          </w:p>
          <w:p w14:paraId="26C9C162">
            <w:pPr>
              <w:pageBreakBefore w:val="0"/>
              <w:kinsoku/>
              <w:topLinePunct w:val="0"/>
              <w:bidi w:val="0"/>
              <w:spacing w:line="244" w:lineRule="auto"/>
              <w:rPr>
                <w:rFonts w:ascii="Arial"/>
                <w:color w:val="auto"/>
                <w:sz w:val="21"/>
              </w:rPr>
            </w:pPr>
          </w:p>
          <w:p w14:paraId="3E766931">
            <w:pPr>
              <w:pageBreakBefore w:val="0"/>
              <w:kinsoku/>
              <w:topLinePunct w:val="0"/>
              <w:bidi w:val="0"/>
              <w:spacing w:line="244" w:lineRule="auto"/>
              <w:rPr>
                <w:rFonts w:ascii="Arial"/>
                <w:color w:val="auto"/>
                <w:sz w:val="21"/>
              </w:rPr>
            </w:pPr>
          </w:p>
          <w:p w14:paraId="43D98F50">
            <w:pPr>
              <w:pageBreakBefore w:val="0"/>
              <w:kinsoku/>
              <w:topLinePunct w:val="0"/>
              <w:bidi w:val="0"/>
              <w:spacing w:line="244" w:lineRule="auto"/>
              <w:rPr>
                <w:rFonts w:ascii="Arial"/>
                <w:color w:val="auto"/>
                <w:sz w:val="21"/>
              </w:rPr>
            </w:pPr>
          </w:p>
          <w:p w14:paraId="1B36DFED">
            <w:pPr>
              <w:pageBreakBefore w:val="0"/>
              <w:kinsoku/>
              <w:topLinePunct w:val="0"/>
              <w:bidi w:val="0"/>
              <w:spacing w:line="244" w:lineRule="auto"/>
              <w:rPr>
                <w:rFonts w:ascii="Arial"/>
                <w:color w:val="auto"/>
                <w:sz w:val="21"/>
              </w:rPr>
            </w:pPr>
          </w:p>
          <w:p w14:paraId="54090D73">
            <w:pPr>
              <w:pageBreakBefore w:val="0"/>
              <w:kinsoku/>
              <w:topLinePunct w:val="0"/>
              <w:bidi w:val="0"/>
              <w:spacing w:line="244" w:lineRule="auto"/>
              <w:rPr>
                <w:rFonts w:ascii="Arial"/>
                <w:color w:val="auto"/>
                <w:sz w:val="21"/>
              </w:rPr>
            </w:pPr>
          </w:p>
          <w:p w14:paraId="1AFDE4E7">
            <w:pPr>
              <w:pageBreakBefore w:val="0"/>
              <w:kinsoku/>
              <w:topLinePunct w:val="0"/>
              <w:bidi w:val="0"/>
              <w:spacing w:line="244" w:lineRule="auto"/>
              <w:rPr>
                <w:rFonts w:ascii="Arial"/>
                <w:color w:val="auto"/>
                <w:sz w:val="21"/>
              </w:rPr>
            </w:pPr>
          </w:p>
          <w:p w14:paraId="64367AD4">
            <w:pPr>
              <w:pageBreakBefore w:val="0"/>
              <w:kinsoku/>
              <w:topLinePunct w:val="0"/>
              <w:bidi w:val="0"/>
              <w:spacing w:line="244" w:lineRule="auto"/>
              <w:rPr>
                <w:rFonts w:ascii="Arial"/>
                <w:color w:val="auto"/>
                <w:sz w:val="21"/>
              </w:rPr>
            </w:pPr>
          </w:p>
          <w:p w14:paraId="350DC95F">
            <w:pPr>
              <w:pageBreakBefore w:val="0"/>
              <w:kinsoku/>
              <w:topLinePunct w:val="0"/>
              <w:bidi w:val="0"/>
              <w:spacing w:before="78" w:line="183" w:lineRule="auto"/>
              <w:ind w:left="265"/>
              <w:rPr>
                <w:rFonts w:ascii="宋体" w:hAnsi="宋体" w:eastAsia="宋体" w:cs="宋体"/>
                <w:color w:val="auto"/>
                <w:spacing w:val="-8"/>
                <w:sz w:val="24"/>
                <w:szCs w:val="24"/>
              </w:rPr>
            </w:pPr>
          </w:p>
          <w:p w14:paraId="58D407BF">
            <w:pPr>
              <w:pageBreakBefore w:val="0"/>
              <w:kinsoku/>
              <w:topLinePunct w:val="0"/>
              <w:bidi w:val="0"/>
              <w:spacing w:before="78" w:line="183" w:lineRule="auto"/>
              <w:ind w:left="265"/>
              <w:rPr>
                <w:rFonts w:ascii="宋体" w:hAnsi="宋体" w:eastAsia="宋体" w:cs="宋体"/>
                <w:color w:val="auto"/>
                <w:spacing w:val="-8"/>
                <w:sz w:val="24"/>
                <w:szCs w:val="24"/>
              </w:rPr>
            </w:pPr>
          </w:p>
          <w:p w14:paraId="51FFADE1">
            <w:pPr>
              <w:pageBreakBefore w:val="0"/>
              <w:kinsoku/>
              <w:topLinePunct w:val="0"/>
              <w:bidi w:val="0"/>
              <w:spacing w:before="78" w:line="183" w:lineRule="auto"/>
              <w:ind w:left="265"/>
              <w:rPr>
                <w:rFonts w:ascii="宋体" w:hAnsi="宋体" w:eastAsia="宋体" w:cs="宋体"/>
                <w:color w:val="auto"/>
                <w:spacing w:val="-8"/>
                <w:sz w:val="24"/>
                <w:szCs w:val="24"/>
              </w:rPr>
            </w:pPr>
          </w:p>
          <w:p w14:paraId="4BAA8244">
            <w:pPr>
              <w:pageBreakBefore w:val="0"/>
              <w:kinsoku/>
              <w:topLinePunct w:val="0"/>
              <w:bidi w:val="0"/>
              <w:spacing w:before="78" w:line="183" w:lineRule="auto"/>
              <w:ind w:left="265"/>
              <w:rPr>
                <w:rFonts w:ascii="宋体" w:hAnsi="宋体" w:eastAsia="宋体" w:cs="宋体"/>
                <w:color w:val="auto"/>
                <w:spacing w:val="-8"/>
                <w:sz w:val="24"/>
                <w:szCs w:val="24"/>
              </w:rPr>
            </w:pPr>
          </w:p>
          <w:p w14:paraId="0F233DE9">
            <w:pPr>
              <w:pageBreakBefore w:val="0"/>
              <w:kinsoku/>
              <w:topLinePunct w:val="0"/>
              <w:bidi w:val="0"/>
              <w:spacing w:before="78" w:line="183" w:lineRule="auto"/>
              <w:ind w:left="265"/>
              <w:rPr>
                <w:rFonts w:ascii="宋体" w:hAnsi="宋体" w:eastAsia="宋体" w:cs="宋体"/>
                <w:color w:val="auto"/>
                <w:sz w:val="24"/>
                <w:szCs w:val="24"/>
              </w:rPr>
            </w:pPr>
            <w:r>
              <w:rPr>
                <w:rFonts w:ascii="宋体" w:hAnsi="宋体" w:eastAsia="宋体" w:cs="宋体"/>
                <w:color w:val="auto"/>
                <w:spacing w:val="-8"/>
                <w:sz w:val="24"/>
                <w:szCs w:val="24"/>
              </w:rPr>
              <w:t>32</w:t>
            </w:r>
          </w:p>
        </w:tc>
        <w:tc>
          <w:tcPr>
            <w:tcW w:w="1870" w:type="dxa"/>
            <w:vAlign w:val="center"/>
          </w:tcPr>
          <w:p w14:paraId="3737E9C7">
            <w:pPr>
              <w:pageBreakBefore w:val="0"/>
              <w:kinsoku/>
              <w:topLinePunct w:val="0"/>
              <w:bidi w:val="0"/>
              <w:spacing w:before="78" w:line="263" w:lineRule="auto"/>
              <w:ind w:right="194"/>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落实政府采购政</w:t>
            </w:r>
            <w:r>
              <w:rPr>
                <w:rFonts w:ascii="宋体" w:hAnsi="宋体" w:eastAsia="宋体" w:cs="宋体"/>
                <w:color w:val="auto"/>
                <w:sz w:val="24"/>
                <w:szCs w:val="24"/>
              </w:rPr>
              <w:t xml:space="preserve"> </w:t>
            </w:r>
            <w:r>
              <w:rPr>
                <w:rFonts w:ascii="宋体" w:hAnsi="宋体" w:eastAsia="宋体" w:cs="宋体"/>
                <w:color w:val="auto"/>
                <w:sz w:val="24"/>
                <w:szCs w:val="24"/>
                <w14:textOutline w14:w="4358" w14:cap="sq" w14:cmpd="sng">
                  <w14:solidFill>
                    <w14:srgbClr w14:val="000000"/>
                  </w14:solidFill>
                  <w14:prstDash w14:val="solid"/>
                  <w14:bevel/>
                </w14:textOutline>
              </w:rPr>
              <w:t>策</w:t>
            </w:r>
          </w:p>
        </w:tc>
        <w:tc>
          <w:tcPr>
            <w:tcW w:w="6700" w:type="dxa"/>
            <w:tcBorders>
              <w:right w:val="single" w:color="000000" w:sz="4" w:space="0"/>
            </w:tcBorders>
            <w:vAlign w:val="top"/>
          </w:tcPr>
          <w:p w14:paraId="7540D516">
            <w:pPr>
              <w:pStyle w:val="20"/>
              <w:pageBreakBefore w:val="0"/>
              <w:kinsoku/>
              <w:topLinePunct w:val="0"/>
              <w:bidi w:val="0"/>
              <w:spacing w:before="120" w:line="265" w:lineRule="auto"/>
              <w:ind w:left="121" w:right="119" w:hanging="3"/>
              <w:jc w:val="both"/>
              <w:rPr>
                <w:rFonts w:ascii="宋体" w:hAnsi="宋体" w:eastAsia="宋体" w:cs="宋体"/>
                <w:color w:val="auto"/>
                <w:spacing w:val="-13"/>
                <w:sz w:val="24"/>
                <w:szCs w:val="24"/>
              </w:rPr>
            </w:pPr>
            <w:r>
              <w:rPr>
                <w:rFonts w:ascii="宋体" w:hAnsi="宋体" w:eastAsia="宋体" w:cs="宋体"/>
                <w:color w:val="auto"/>
                <w:spacing w:val="-1"/>
                <w:sz w:val="24"/>
                <w:szCs w:val="24"/>
              </w:rPr>
              <w:t>支持中小企业发展，《政府采购促进中小企业发展管理办法》</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（财库[2020]46</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号</w:t>
            </w:r>
            <w:r>
              <w:rPr>
                <w:rFonts w:ascii="宋体" w:hAnsi="宋体" w:eastAsia="宋体" w:cs="宋体"/>
                <w:color w:val="auto"/>
                <w:spacing w:val="-13"/>
                <w:sz w:val="24"/>
                <w:szCs w:val="24"/>
              </w:rPr>
              <w:t>）：</w:t>
            </w:r>
          </w:p>
          <w:p w14:paraId="46520ECF">
            <w:pPr>
              <w:pStyle w:val="20"/>
              <w:pageBreakBefore w:val="0"/>
              <w:kinsoku/>
              <w:topLinePunct w:val="0"/>
              <w:bidi w:val="0"/>
              <w:spacing w:before="120" w:line="265" w:lineRule="auto"/>
              <w:ind w:left="121" w:right="119" w:hanging="3"/>
              <w:jc w:val="both"/>
              <w:rPr>
                <w:spacing w:val="3"/>
                <w:highlight w:val="none"/>
              </w:rPr>
            </w:pPr>
            <w:r>
              <w:rPr>
                <w:rFonts w:hint="eastAsia"/>
                <w:spacing w:val="3"/>
                <w:highlight w:val="none"/>
                <w:lang w:val="en-US" w:eastAsia="zh-CN"/>
              </w:rPr>
              <w:t>□本项目专门面向中小企业采购，供应商为中小企业，不再执行价格评审优惠政策。</w:t>
            </w:r>
          </w:p>
          <w:p w14:paraId="2BE1AE33">
            <w:pPr>
              <w:pStyle w:val="20"/>
              <w:pageBreakBefore w:val="0"/>
              <w:kinsoku/>
              <w:topLinePunct w:val="0"/>
              <w:bidi w:val="0"/>
              <w:spacing w:before="120" w:line="265" w:lineRule="auto"/>
              <w:ind w:left="121" w:right="119" w:hanging="3"/>
              <w:jc w:val="both"/>
              <w:rPr>
                <w:highlight w:val="none"/>
              </w:rPr>
            </w:pPr>
            <w:r>
              <w:rPr>
                <w:rFonts w:hint="eastAsia"/>
                <w:spacing w:val="3"/>
                <w:highlight w:val="none"/>
                <w:lang w:val="en-US" w:eastAsia="zh-CN"/>
              </w:rPr>
              <w:t>☑非专门面向中小企业采购，给予符合规定的小微企业、监狱企业或残疾人福利性单位的其他报价扣除10%后参与评审。</w:t>
            </w:r>
          </w:p>
          <w:p w14:paraId="77F760D3">
            <w:pPr>
              <w:pStyle w:val="20"/>
              <w:pageBreakBefore w:val="0"/>
              <w:kinsoku/>
              <w:topLinePunct w:val="0"/>
              <w:bidi w:val="0"/>
              <w:spacing w:before="109" w:line="287" w:lineRule="auto"/>
              <w:ind w:left="118" w:right="119" w:hanging="4"/>
              <w:jc w:val="both"/>
              <w:rPr>
                <w:rFonts w:ascii="宋体" w:hAnsi="宋体" w:eastAsia="宋体" w:cs="宋体"/>
                <w:color w:val="auto"/>
                <w:sz w:val="24"/>
                <w:szCs w:val="24"/>
              </w:rPr>
            </w:pPr>
            <w:r>
              <w:rPr>
                <w:rFonts w:hint="eastAsia"/>
                <w:b/>
                <w:bCs/>
                <w:spacing w:val="-2"/>
                <w:highlight w:val="none"/>
                <w:lang w:eastAsia="zh-CN"/>
              </w:rPr>
              <w:t>注：（监狱企业、残疾人福利性单位视同小型、微型企业）。</w:t>
            </w:r>
          </w:p>
          <w:p w14:paraId="3CED957E">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采购限额标准以上，200万元以下的货物和服务采购项目、400万元以下的工程采购项目，适宜由中小企业提供的，采购人应当专门面向中小企业采购。</w:t>
            </w:r>
          </w:p>
          <w:p w14:paraId="032B90D3">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rPr>
              <w:t>2、超过200万元的货物和服务采购项目，预留该部分采购项目预算总额的30%以上专门面向中小企业采购，其中预留给小微企业的比例不低于60%。</w:t>
            </w:r>
          </w:p>
          <w:p w14:paraId="253A54F7">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rPr>
              <w:t>3、超过400万元的工程采购项目中适宜由中小企业提供的，预留该部分采购项目预算总额的40%以上专门面向中小企业采购，其中预留给小微企业的比例不低于60%。</w:t>
            </w:r>
          </w:p>
          <w:p w14:paraId="5D223C21">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20%（工程项目为3%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5%）的扣除，用扣除后的价格参加评审。适用采购活动法的政府采购工程建设项目，采用综合评估法但未采用低价优先法计算价格分的，</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时应当在采用原报价进行评分的基础上增加其价格得分的3%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5%作为其价格分。</w:t>
            </w:r>
          </w:p>
          <w:p w14:paraId="2E3D271D">
            <w:pPr>
              <w:pageBreakBefore w:val="0"/>
              <w:kinsoku/>
              <w:topLinePunct w:val="0"/>
              <w:bidi w:val="0"/>
              <w:spacing w:before="114" w:line="297" w:lineRule="auto"/>
              <w:ind w:left="110" w:right="118" w:firstLine="6"/>
              <w:jc w:val="both"/>
              <w:rPr>
                <w:rFonts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6%（工程项目为1%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2%）的扣除，用扣除后的价格参加评审。适用采购活动法的政府采购工程建设项目，采用综合评估法但未采用低价优先法计算价格分的，</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时应当在采用原报价进行评分的基础上增加其价格得分的1%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2%作为其价格分。</w:t>
            </w:r>
          </w:p>
        </w:tc>
      </w:tr>
      <w:tr w14:paraId="0FBA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42" w:type="dxa"/>
            <w:vMerge w:val="restart"/>
            <w:tcBorders>
              <w:left w:val="single" w:color="000000" w:sz="4" w:space="0"/>
            </w:tcBorders>
            <w:vAlign w:val="center"/>
          </w:tcPr>
          <w:p w14:paraId="084A701D">
            <w:pPr>
              <w:pageBreakBefore w:val="0"/>
              <w:kinsoku/>
              <w:topLinePunct w:val="0"/>
              <w:bidi w:val="0"/>
              <w:spacing w:line="255" w:lineRule="auto"/>
              <w:jc w:val="center"/>
              <w:rPr>
                <w:rFonts w:ascii="Arial"/>
                <w:color w:val="auto"/>
                <w:sz w:val="21"/>
              </w:rPr>
            </w:pPr>
          </w:p>
          <w:p w14:paraId="6FC11764">
            <w:pPr>
              <w:pageBreakBefore w:val="0"/>
              <w:kinsoku/>
              <w:topLinePunct w:val="0"/>
              <w:bidi w:val="0"/>
              <w:spacing w:before="78" w:line="183" w:lineRule="auto"/>
              <w:ind w:left="265"/>
              <w:jc w:val="center"/>
              <w:rPr>
                <w:rFonts w:ascii="宋体" w:hAnsi="宋体" w:eastAsia="宋体" w:cs="宋体"/>
                <w:color w:val="auto"/>
                <w:sz w:val="24"/>
                <w:szCs w:val="24"/>
              </w:rPr>
            </w:pPr>
            <w:r>
              <w:rPr>
                <w:rFonts w:ascii="宋体" w:hAnsi="宋体" w:eastAsia="宋体" w:cs="宋体"/>
                <w:color w:val="auto"/>
                <w:spacing w:val="-8"/>
                <w:sz w:val="24"/>
                <w:szCs w:val="24"/>
              </w:rPr>
              <w:t>33</w:t>
            </w:r>
          </w:p>
        </w:tc>
        <w:tc>
          <w:tcPr>
            <w:tcW w:w="1870" w:type="dxa"/>
            <w:vMerge w:val="restart"/>
            <w:vAlign w:val="center"/>
          </w:tcPr>
          <w:p w14:paraId="3B0ADDE0">
            <w:pPr>
              <w:pageBreakBefore w:val="0"/>
              <w:kinsoku/>
              <w:topLinePunct w:val="0"/>
              <w:bidi w:val="0"/>
              <w:spacing w:line="260" w:lineRule="auto"/>
              <w:jc w:val="center"/>
              <w:rPr>
                <w:rFonts w:ascii="Arial"/>
                <w:color w:val="auto"/>
                <w:sz w:val="21"/>
              </w:rPr>
            </w:pPr>
          </w:p>
          <w:p w14:paraId="21E12574">
            <w:pPr>
              <w:pageBreakBefore w:val="0"/>
              <w:kinsoku/>
              <w:topLinePunct w:val="0"/>
              <w:bidi w:val="0"/>
              <w:spacing w:before="78" w:line="221" w:lineRule="auto"/>
              <w:jc w:val="center"/>
              <w:rPr>
                <w:rFonts w:ascii="宋体" w:hAnsi="宋体" w:eastAsia="宋体" w:cs="宋体"/>
                <w:color w:val="auto"/>
                <w:sz w:val="24"/>
                <w:szCs w:val="24"/>
              </w:rPr>
            </w:pPr>
            <w:r>
              <w:rPr>
                <w:rFonts w:ascii="宋体" w:hAnsi="宋体" w:eastAsia="宋体" w:cs="宋体"/>
                <w:color w:val="auto"/>
                <w:spacing w:val="-7"/>
                <w:sz w:val="24"/>
                <w:szCs w:val="24"/>
                <w14:textOutline w14:w="4358" w14:cap="sq" w14:cmpd="sng">
                  <w14:solidFill>
                    <w14:srgbClr w14:val="000000"/>
                  </w14:solidFill>
                  <w14:prstDash w14:val="solid"/>
                  <w14:bevel/>
                </w14:textOutline>
              </w:rPr>
              <w:t>备注</w:t>
            </w:r>
          </w:p>
        </w:tc>
        <w:tc>
          <w:tcPr>
            <w:tcW w:w="6700" w:type="dxa"/>
            <w:tcBorders>
              <w:bottom w:val="single" w:color="000000" w:sz="4" w:space="0"/>
              <w:right w:val="single" w:color="000000" w:sz="4" w:space="0"/>
            </w:tcBorders>
            <w:vAlign w:val="top"/>
          </w:tcPr>
          <w:p w14:paraId="58B4C9AB">
            <w:pPr>
              <w:pageBreakBefore w:val="0"/>
              <w:kinsoku/>
              <w:topLinePunct w:val="0"/>
              <w:bidi w:val="0"/>
              <w:spacing w:before="123" w:line="308" w:lineRule="auto"/>
              <w:ind w:left="158" w:right="118" w:hanging="28"/>
              <w:jc w:val="both"/>
              <w:rPr>
                <w:rFonts w:ascii="宋体" w:hAnsi="宋体" w:eastAsia="宋体" w:cs="宋体"/>
                <w:color w:val="auto"/>
                <w:sz w:val="24"/>
                <w:szCs w:val="24"/>
              </w:rPr>
            </w:pPr>
            <w:r>
              <w:rPr>
                <w:rFonts w:ascii="宋体" w:hAnsi="宋体" w:eastAsia="宋体" w:cs="宋体"/>
                <w:color w:val="auto"/>
                <w:spacing w:val="-1"/>
                <w:sz w:val="24"/>
                <w:szCs w:val="24"/>
              </w:rPr>
              <w:t>1.电子</w:t>
            </w:r>
            <w:r>
              <w:rPr>
                <w:rFonts w:hint="eastAsia" w:ascii="宋体" w:hAnsi="宋体" w:eastAsia="宋体" w:cs="宋体"/>
                <w:color w:val="auto"/>
                <w:spacing w:val="-1"/>
                <w:sz w:val="24"/>
                <w:szCs w:val="24"/>
                <w:lang w:eastAsia="zh-CN"/>
              </w:rPr>
              <w:t>响应文件</w:t>
            </w:r>
            <w:r>
              <w:rPr>
                <w:rFonts w:ascii="宋体" w:hAnsi="宋体" w:eastAsia="宋体" w:cs="宋体"/>
                <w:color w:val="auto"/>
                <w:spacing w:val="-1"/>
                <w:sz w:val="24"/>
                <w:szCs w:val="24"/>
              </w:rPr>
              <w:t>使用“新疆维吾尔自治区全流程电子招投标项</w:t>
            </w:r>
            <w:r>
              <w:rPr>
                <w:rFonts w:ascii="宋体" w:hAnsi="宋体" w:eastAsia="宋体" w:cs="宋体"/>
                <w:color w:val="auto"/>
                <w:spacing w:val="6"/>
                <w:sz w:val="24"/>
                <w:szCs w:val="24"/>
              </w:rPr>
              <w:t>目管理系统</w:t>
            </w:r>
            <w:r>
              <w:rPr>
                <w:rFonts w:hint="eastAsia" w:ascii="宋体" w:hAnsi="宋体" w:eastAsia="宋体" w:cs="宋体"/>
                <w:color w:val="auto"/>
                <w:spacing w:val="6"/>
                <w:sz w:val="24"/>
                <w:szCs w:val="24"/>
                <w:lang w:eastAsia="zh-CN"/>
              </w:rPr>
              <w:t>——</w:t>
            </w:r>
            <w:r>
              <w:rPr>
                <w:rFonts w:ascii="宋体" w:hAnsi="宋体" w:eastAsia="宋体" w:cs="宋体"/>
                <w:color w:val="auto"/>
                <w:spacing w:val="6"/>
                <w:sz w:val="24"/>
                <w:szCs w:val="24"/>
              </w:rPr>
              <w:t>供应商客户端</w:t>
            </w:r>
            <w:r>
              <w:rPr>
                <w:rFonts w:ascii="宋体" w:hAnsi="宋体" w:eastAsia="宋体" w:cs="宋体"/>
                <w:color w:val="auto"/>
                <w:spacing w:val="-78"/>
                <w:sz w:val="24"/>
                <w:szCs w:val="24"/>
              </w:rPr>
              <w:t xml:space="preserve"> </w:t>
            </w:r>
            <w:r>
              <w:rPr>
                <w:rFonts w:ascii="宋体" w:hAnsi="宋体" w:eastAsia="宋体" w:cs="宋体"/>
                <w:color w:val="auto"/>
                <w:spacing w:val="6"/>
                <w:sz w:val="24"/>
                <w:szCs w:val="24"/>
              </w:rPr>
              <w:t>”制作完成，生成</w:t>
            </w:r>
            <w:r>
              <w:rPr>
                <w:rFonts w:ascii="宋体" w:hAnsi="宋体" w:eastAsia="宋体" w:cs="宋体"/>
                <w:color w:val="auto"/>
                <w:spacing w:val="5"/>
                <w:sz w:val="24"/>
                <w:szCs w:val="24"/>
              </w:rPr>
              <w:t>电子加密标书</w:t>
            </w:r>
            <w:r>
              <w:rPr>
                <w:rFonts w:ascii="宋体" w:hAnsi="宋体" w:eastAsia="宋体" w:cs="宋体"/>
                <w:color w:val="auto"/>
                <w:spacing w:val="-2"/>
                <w:sz w:val="24"/>
                <w:szCs w:val="24"/>
              </w:rPr>
              <w:t>（.jmbs）上传至政采云平台。</w:t>
            </w:r>
          </w:p>
          <w:p w14:paraId="4C709F44">
            <w:pPr>
              <w:pageBreakBefore w:val="0"/>
              <w:kinsoku/>
              <w:topLinePunct w:val="0"/>
              <w:bidi w:val="0"/>
              <w:spacing w:before="120" w:line="308" w:lineRule="auto"/>
              <w:ind w:left="112" w:right="118" w:firstLine="2"/>
              <w:jc w:val="both"/>
              <w:rPr>
                <w:rFonts w:ascii="宋体" w:hAnsi="宋体" w:eastAsia="宋体" w:cs="宋体"/>
                <w:color w:val="auto"/>
                <w:sz w:val="24"/>
                <w:szCs w:val="24"/>
              </w:rPr>
            </w:pPr>
            <w:r>
              <w:rPr>
                <w:rFonts w:ascii="宋体" w:hAnsi="宋体" w:eastAsia="宋体" w:cs="宋体"/>
                <w:color w:val="auto"/>
                <w:sz w:val="24"/>
                <w:szCs w:val="24"/>
              </w:rPr>
              <w:t>2.供应商制作电子投标书加密文件应与开标现场解密时的数字</w:t>
            </w:r>
            <w:r>
              <w:rPr>
                <w:rFonts w:ascii="宋体" w:hAnsi="宋体" w:eastAsia="宋体" w:cs="宋体"/>
                <w:color w:val="auto"/>
                <w:spacing w:val="-5"/>
                <w:sz w:val="24"/>
                <w:szCs w:val="24"/>
              </w:rPr>
              <w:t>证书（CA</w:t>
            </w:r>
            <w:r>
              <w:rPr>
                <w:rFonts w:ascii="宋体" w:hAnsi="宋体" w:eastAsia="宋体" w:cs="宋体"/>
                <w:color w:val="auto"/>
                <w:spacing w:val="-43"/>
                <w:sz w:val="24"/>
                <w:szCs w:val="24"/>
              </w:rPr>
              <w:t xml:space="preserve"> </w:t>
            </w:r>
            <w:r>
              <w:rPr>
                <w:rFonts w:ascii="宋体" w:hAnsi="宋体" w:eastAsia="宋体" w:cs="宋体"/>
                <w:color w:val="auto"/>
                <w:spacing w:val="-5"/>
                <w:sz w:val="24"/>
                <w:szCs w:val="24"/>
              </w:rPr>
              <w:t>锁）同为一把，若因数字证书（CA</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锁）不是同一把锁</w:t>
            </w:r>
            <w:r>
              <w:rPr>
                <w:rFonts w:ascii="宋体" w:hAnsi="宋体" w:eastAsia="宋体" w:cs="宋体"/>
                <w:color w:val="auto"/>
                <w:spacing w:val="-1"/>
                <w:sz w:val="24"/>
                <w:szCs w:val="24"/>
              </w:rPr>
              <w:t>导致现场解密失败的，供应商自行承担后果。</w:t>
            </w:r>
          </w:p>
        </w:tc>
      </w:tr>
      <w:tr w14:paraId="383BE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2" w:type="dxa"/>
            <w:vMerge w:val="continue"/>
            <w:tcBorders>
              <w:left w:val="single" w:color="000000" w:sz="4" w:space="0"/>
            </w:tcBorders>
            <w:vAlign w:val="top"/>
          </w:tcPr>
          <w:p w14:paraId="4BC0D648">
            <w:pPr>
              <w:pageBreakBefore w:val="0"/>
              <w:kinsoku/>
              <w:topLinePunct w:val="0"/>
              <w:bidi w:val="0"/>
              <w:rPr>
                <w:rFonts w:ascii="Arial"/>
                <w:color w:val="auto"/>
                <w:sz w:val="21"/>
              </w:rPr>
            </w:pPr>
          </w:p>
        </w:tc>
        <w:tc>
          <w:tcPr>
            <w:tcW w:w="1870" w:type="dxa"/>
            <w:vMerge w:val="continue"/>
            <w:vAlign w:val="top"/>
          </w:tcPr>
          <w:p w14:paraId="3601EC9B">
            <w:pPr>
              <w:pageBreakBefore w:val="0"/>
              <w:kinsoku/>
              <w:topLinePunct w:val="0"/>
              <w:bidi w:val="0"/>
              <w:rPr>
                <w:rFonts w:ascii="Arial"/>
                <w:color w:val="auto"/>
                <w:sz w:val="21"/>
              </w:rPr>
            </w:pPr>
          </w:p>
        </w:tc>
        <w:tc>
          <w:tcPr>
            <w:tcW w:w="6700" w:type="dxa"/>
            <w:tcBorders>
              <w:left w:val="single" w:color="000000" w:sz="2" w:space="0"/>
            </w:tcBorders>
            <w:vAlign w:val="top"/>
          </w:tcPr>
          <w:p w14:paraId="35F1B502">
            <w:pPr>
              <w:pageBreakBefore w:val="0"/>
              <w:kinsoku/>
              <w:topLinePunct w:val="0"/>
              <w:bidi w:val="0"/>
              <w:spacing w:before="114" w:line="400" w:lineRule="exact"/>
              <w:ind w:left="117"/>
              <w:rPr>
                <w:rFonts w:ascii="宋体" w:hAnsi="宋体" w:eastAsia="宋体" w:cs="宋体"/>
                <w:color w:val="auto"/>
                <w:sz w:val="24"/>
                <w:szCs w:val="24"/>
              </w:rPr>
            </w:pPr>
            <w:r>
              <w:rPr>
                <w:rFonts w:ascii="宋体" w:hAnsi="宋体" w:eastAsia="宋体" w:cs="宋体"/>
                <w:color w:val="auto"/>
                <w:spacing w:val="-1"/>
                <w:position w:val="11"/>
                <w:sz w:val="24"/>
                <w:szCs w:val="24"/>
              </w:rPr>
              <w:t>3.数字证书办理：供应商须自行办理政采云数字证书（CA</w:t>
            </w:r>
            <w:r>
              <w:rPr>
                <w:rFonts w:ascii="宋体" w:hAnsi="宋体" w:eastAsia="宋体" w:cs="宋体"/>
                <w:color w:val="auto"/>
                <w:spacing w:val="-47"/>
                <w:position w:val="11"/>
                <w:sz w:val="24"/>
                <w:szCs w:val="24"/>
              </w:rPr>
              <w:t xml:space="preserve"> </w:t>
            </w:r>
            <w:r>
              <w:rPr>
                <w:rFonts w:ascii="宋体" w:hAnsi="宋体" w:eastAsia="宋体" w:cs="宋体"/>
                <w:color w:val="auto"/>
                <w:spacing w:val="-1"/>
                <w:position w:val="11"/>
                <w:sz w:val="24"/>
                <w:szCs w:val="24"/>
              </w:rPr>
              <w:t>锁）</w:t>
            </w:r>
          </w:p>
          <w:p w14:paraId="04E6862A">
            <w:pPr>
              <w:pageBreakBefore w:val="0"/>
              <w:kinsoku/>
              <w:topLinePunct w:val="0"/>
              <w:bidi w:val="0"/>
              <w:spacing w:line="218" w:lineRule="auto"/>
              <w:ind w:left="113"/>
              <w:rPr>
                <w:rFonts w:ascii="宋体" w:hAnsi="宋体" w:eastAsia="宋体" w:cs="宋体"/>
                <w:color w:val="auto"/>
                <w:sz w:val="24"/>
                <w:szCs w:val="24"/>
              </w:rPr>
            </w:pPr>
            <w:r>
              <w:rPr>
                <w:rFonts w:ascii="宋体" w:hAnsi="宋体" w:eastAsia="宋体" w:cs="宋体"/>
                <w:color w:val="auto"/>
                <w:spacing w:val="-2"/>
                <w:sz w:val="24"/>
                <w:szCs w:val="24"/>
              </w:rPr>
              <w:t>联系方式：政采云热线</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95763</w:t>
            </w:r>
          </w:p>
          <w:p w14:paraId="5D3DFA29">
            <w:pPr>
              <w:pageBreakBefore w:val="0"/>
              <w:kinsoku/>
              <w:topLinePunct w:val="0"/>
              <w:bidi w:val="0"/>
              <w:spacing w:before="115" w:line="263" w:lineRule="auto"/>
              <w:ind w:left="117" w:right="133" w:hanging="6"/>
              <w:rPr>
                <w:rFonts w:ascii="宋体" w:hAnsi="宋体" w:eastAsia="宋体" w:cs="宋体"/>
                <w:color w:val="auto"/>
                <w:sz w:val="24"/>
                <w:szCs w:val="24"/>
              </w:rPr>
            </w:pPr>
            <w:r>
              <w:rPr>
                <w:rFonts w:ascii="宋体" w:hAnsi="宋体" w:eastAsia="宋体" w:cs="宋体"/>
                <w:color w:val="auto"/>
                <w:spacing w:val="-1"/>
                <w:sz w:val="24"/>
                <w:szCs w:val="24"/>
              </w:rPr>
              <w:t>4.供应商应认真学习关于开展自治区政府采购“不见面开标系</w:t>
            </w:r>
            <w:r>
              <w:rPr>
                <w:rFonts w:ascii="宋体" w:hAnsi="宋体" w:eastAsia="宋体" w:cs="宋体"/>
                <w:color w:val="auto"/>
                <w:spacing w:val="-3"/>
                <w:sz w:val="24"/>
                <w:szCs w:val="24"/>
              </w:rPr>
              <w:t>统</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”网络培训的通知，制作电子投标书。</w:t>
            </w:r>
          </w:p>
        </w:tc>
      </w:tr>
    </w:tbl>
    <w:p w14:paraId="1A68286B">
      <w:pPr>
        <w:pageBreakBefore w:val="0"/>
        <w:kinsoku/>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72B9D93C">
      <w:pPr>
        <w:pageBreakBefore w:val="0"/>
        <w:kinsoku/>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79AFFF93">
      <w:pPr>
        <w:pageBreakBefore w:val="0"/>
        <w:kinsoku/>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6F2C598C">
      <w:pPr>
        <w:pageBreakBefore w:val="0"/>
        <w:kinsoku/>
        <w:topLinePunct w:val="0"/>
        <w:bidi w:val="0"/>
        <w:spacing w:before="44" w:line="219" w:lineRule="auto"/>
        <w:ind w:left="3666"/>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（二）供应商须知</w:t>
      </w:r>
    </w:p>
    <w:p w14:paraId="18C0C327">
      <w:pPr>
        <w:pageBreakBefore w:val="0"/>
        <w:kinsoku/>
        <w:topLinePunct w:val="0"/>
        <w:bidi w:val="0"/>
        <w:spacing w:before="204" w:line="220" w:lineRule="auto"/>
        <w:ind w:left="3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1.定义、</w:t>
      </w:r>
    </w:p>
    <w:p w14:paraId="44012E44">
      <w:pPr>
        <w:pageBreakBefore w:val="0"/>
        <w:kinsoku/>
        <w:topLinePunct w:val="0"/>
        <w:bidi w:val="0"/>
        <w:spacing w:before="225" w:line="465" w:lineRule="exact"/>
        <w:ind w:left="518"/>
        <w:rPr>
          <w:rFonts w:ascii="宋体" w:hAnsi="宋体" w:eastAsia="宋体" w:cs="宋体"/>
          <w:position w:val="17"/>
          <w:sz w:val="24"/>
          <w:szCs w:val="24"/>
        </w:rPr>
      </w:pPr>
      <w:r>
        <w:rPr>
          <w:rFonts w:ascii="宋体" w:hAnsi="宋体" w:eastAsia="宋体" w:cs="宋体"/>
          <w:position w:val="17"/>
          <w:sz w:val="24"/>
          <w:szCs w:val="24"/>
        </w:rPr>
        <w:t>1.1“政府采购当事人 ”系指在政府采购活动中享有权利和承担义务的各类主体，包括采购人、供应商和采购代理机构。</w:t>
      </w:r>
    </w:p>
    <w:p w14:paraId="26C794C7">
      <w:pPr>
        <w:pageBreakBefore w:val="0"/>
        <w:kinsoku/>
        <w:topLinePunct w:val="0"/>
        <w:bidi w:val="0"/>
        <w:spacing w:before="183" w:line="219" w:lineRule="auto"/>
        <w:ind w:left="518"/>
        <w:rPr>
          <w:rFonts w:ascii="宋体" w:hAnsi="宋体" w:eastAsia="宋体" w:cs="宋体"/>
          <w:sz w:val="24"/>
          <w:szCs w:val="24"/>
        </w:rPr>
      </w:pPr>
      <w:r>
        <w:rPr>
          <w:rFonts w:ascii="宋体" w:hAnsi="宋体" w:eastAsia="宋体" w:cs="宋体"/>
          <w:spacing w:val="-5"/>
          <w:sz w:val="24"/>
          <w:szCs w:val="24"/>
        </w:rPr>
        <w:t>1.2“采购人</w:t>
      </w:r>
      <w:r>
        <w:rPr>
          <w:rFonts w:ascii="宋体" w:hAnsi="宋体" w:eastAsia="宋体" w:cs="宋体"/>
          <w:spacing w:val="-86"/>
          <w:sz w:val="24"/>
          <w:szCs w:val="24"/>
        </w:rPr>
        <w:t xml:space="preserve"> </w:t>
      </w:r>
      <w:r>
        <w:rPr>
          <w:rFonts w:ascii="宋体" w:hAnsi="宋体" w:eastAsia="宋体" w:cs="宋体"/>
          <w:spacing w:val="-5"/>
          <w:sz w:val="24"/>
          <w:szCs w:val="24"/>
        </w:rPr>
        <w:t>”和“</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8"/>
          <w:sz w:val="24"/>
          <w:szCs w:val="24"/>
        </w:rPr>
        <w:t xml:space="preserve"> </w:t>
      </w:r>
      <w:r>
        <w:rPr>
          <w:rFonts w:ascii="宋体" w:hAnsi="宋体" w:eastAsia="宋体" w:cs="宋体"/>
          <w:spacing w:val="-5"/>
          <w:sz w:val="24"/>
          <w:szCs w:val="24"/>
        </w:rPr>
        <w:t>”系指</w:t>
      </w:r>
      <w:r>
        <w:rPr>
          <w:rFonts w:hint="eastAsia" w:ascii="宋体" w:hAnsi="宋体" w:eastAsia="宋体" w:cs="宋体"/>
          <w:spacing w:val="-5"/>
          <w:sz w:val="24"/>
          <w:szCs w:val="24"/>
          <w:u w:val="single" w:color="auto"/>
          <w:lang w:eastAsia="zh-CN"/>
        </w:rPr>
        <w:t>柯坪县自然资源局</w:t>
      </w:r>
      <w:r>
        <w:rPr>
          <w:rFonts w:ascii="宋体" w:hAnsi="宋体" w:eastAsia="宋体" w:cs="宋体"/>
          <w:spacing w:val="-5"/>
          <w:sz w:val="24"/>
          <w:szCs w:val="24"/>
        </w:rPr>
        <w:t>。</w:t>
      </w:r>
    </w:p>
    <w:p w14:paraId="5EB7C630">
      <w:pPr>
        <w:pageBreakBefore w:val="0"/>
        <w:kinsoku/>
        <w:topLinePunct w:val="0"/>
        <w:bidi w:val="0"/>
        <w:spacing w:before="181" w:line="219" w:lineRule="auto"/>
        <w:ind w:left="518"/>
        <w:rPr>
          <w:rFonts w:ascii="宋体" w:hAnsi="宋体" w:eastAsia="宋体" w:cs="宋体"/>
          <w:sz w:val="24"/>
          <w:szCs w:val="24"/>
        </w:rPr>
      </w:pPr>
      <w:r>
        <w:rPr>
          <w:rFonts w:ascii="宋体" w:hAnsi="宋体" w:eastAsia="宋体" w:cs="宋体"/>
          <w:spacing w:val="-3"/>
          <w:sz w:val="24"/>
          <w:szCs w:val="24"/>
        </w:rPr>
        <w:t>1.3“采购代理机构</w:t>
      </w:r>
      <w:r>
        <w:rPr>
          <w:rFonts w:ascii="宋体" w:hAnsi="宋体" w:eastAsia="宋体" w:cs="宋体"/>
          <w:spacing w:val="-71"/>
          <w:sz w:val="24"/>
          <w:szCs w:val="24"/>
        </w:rPr>
        <w:t xml:space="preserve"> </w:t>
      </w:r>
      <w:r>
        <w:rPr>
          <w:rFonts w:ascii="宋体" w:hAnsi="宋体" w:eastAsia="宋体" w:cs="宋体"/>
          <w:spacing w:val="-3"/>
          <w:sz w:val="24"/>
          <w:szCs w:val="24"/>
        </w:rPr>
        <w:t>”系指</w:t>
      </w:r>
      <w:r>
        <w:rPr>
          <w:rFonts w:hint="eastAsia" w:ascii="宋体" w:hAnsi="宋体" w:eastAsia="宋体" w:cs="宋体"/>
          <w:spacing w:val="-3"/>
          <w:sz w:val="24"/>
          <w:szCs w:val="24"/>
          <w:u w:val="single" w:color="auto"/>
          <w:lang w:eastAsia="zh-CN"/>
        </w:rPr>
        <w:t>阿克苏疆山项目管理有限公司</w:t>
      </w:r>
      <w:r>
        <w:rPr>
          <w:rFonts w:ascii="宋体" w:hAnsi="宋体" w:eastAsia="宋体" w:cs="宋体"/>
          <w:spacing w:val="-3"/>
          <w:sz w:val="24"/>
          <w:szCs w:val="24"/>
        </w:rPr>
        <w:t>。</w:t>
      </w:r>
    </w:p>
    <w:p w14:paraId="66F697B3">
      <w:pPr>
        <w:pageBreakBefore w:val="0"/>
        <w:kinsoku/>
        <w:topLinePunct w:val="0"/>
        <w:bidi w:val="0"/>
        <w:spacing w:before="184" w:line="359" w:lineRule="auto"/>
        <w:ind w:left="40" w:right="80" w:firstLine="478"/>
        <w:rPr>
          <w:rFonts w:ascii="宋体" w:hAnsi="宋体" w:eastAsia="宋体" w:cs="宋体"/>
          <w:sz w:val="24"/>
          <w:szCs w:val="24"/>
        </w:rPr>
      </w:pPr>
      <w:r>
        <w:rPr>
          <w:rFonts w:ascii="宋体" w:hAnsi="宋体" w:eastAsia="宋体" w:cs="宋体"/>
          <w:sz w:val="24"/>
          <w:szCs w:val="24"/>
        </w:rPr>
        <w:t>1.4“供应商</w:t>
      </w:r>
      <w:r>
        <w:rPr>
          <w:rFonts w:ascii="宋体" w:hAnsi="宋体" w:eastAsia="宋体" w:cs="宋体"/>
          <w:spacing w:val="-85"/>
          <w:sz w:val="24"/>
          <w:szCs w:val="24"/>
        </w:rPr>
        <w:t xml:space="preserve"> </w:t>
      </w:r>
      <w:r>
        <w:rPr>
          <w:rFonts w:ascii="宋体" w:hAnsi="宋体" w:eastAsia="宋体" w:cs="宋体"/>
          <w:sz w:val="24"/>
          <w:szCs w:val="24"/>
        </w:rPr>
        <w:t>”系指获取了</w:t>
      </w:r>
      <w:r>
        <w:rPr>
          <w:rFonts w:hint="eastAsia" w:ascii="宋体" w:hAnsi="宋体" w:eastAsia="宋体" w:cs="宋体"/>
          <w:sz w:val="24"/>
          <w:szCs w:val="24"/>
          <w:lang w:eastAsia="zh-CN"/>
        </w:rPr>
        <w:t>磋商文件</w:t>
      </w:r>
      <w:r>
        <w:rPr>
          <w:rFonts w:ascii="宋体" w:hAnsi="宋体" w:eastAsia="宋体" w:cs="宋体"/>
          <w:sz w:val="24"/>
          <w:szCs w:val="24"/>
        </w:rPr>
        <w:t>拟参</w:t>
      </w:r>
      <w:r>
        <w:rPr>
          <w:rFonts w:ascii="宋体" w:hAnsi="宋体" w:eastAsia="宋体" w:cs="宋体"/>
          <w:spacing w:val="-1"/>
          <w:sz w:val="24"/>
          <w:szCs w:val="24"/>
        </w:rPr>
        <w:t>加</w:t>
      </w:r>
      <w:r>
        <w:rPr>
          <w:rFonts w:hint="eastAsia" w:ascii="宋体" w:hAnsi="宋体" w:eastAsia="宋体" w:cs="宋体"/>
          <w:spacing w:val="-1"/>
          <w:sz w:val="24"/>
          <w:szCs w:val="24"/>
          <w:lang w:eastAsia="zh-CN"/>
        </w:rPr>
        <w:t>采购项目</w:t>
      </w:r>
      <w:r>
        <w:rPr>
          <w:rFonts w:ascii="宋体" w:hAnsi="宋体" w:eastAsia="宋体" w:cs="宋体"/>
          <w:spacing w:val="-1"/>
          <w:sz w:val="24"/>
          <w:szCs w:val="24"/>
        </w:rPr>
        <w:t>和向采购人提供工程、货物及相应服务</w:t>
      </w:r>
      <w:r>
        <w:rPr>
          <w:rFonts w:ascii="宋体" w:hAnsi="宋体" w:eastAsia="宋体" w:cs="宋体"/>
          <w:spacing w:val="-3"/>
          <w:sz w:val="24"/>
          <w:szCs w:val="24"/>
        </w:rPr>
        <w:t>的法人、非法人组织或者自然人。潜在磋商供应商：以磋商文件规定的方式获取本项目磋商</w:t>
      </w:r>
      <w:r>
        <w:rPr>
          <w:rFonts w:ascii="宋体" w:hAnsi="宋体" w:eastAsia="宋体" w:cs="宋体"/>
          <w:spacing w:val="-1"/>
          <w:sz w:val="24"/>
          <w:szCs w:val="24"/>
        </w:rPr>
        <w:t>文件的法人、非法人组织或者自然人。</w:t>
      </w:r>
    </w:p>
    <w:p w14:paraId="4EF785F1">
      <w:pPr>
        <w:keepNext w:val="0"/>
        <w:keepLines w:val="0"/>
        <w:pageBreakBefore w:val="0"/>
        <w:widowControl/>
        <w:kinsoku/>
        <w:wordWrap/>
        <w:overflowPunct/>
        <w:topLinePunct w:val="0"/>
        <w:autoSpaceDE w:val="0"/>
        <w:autoSpaceDN w:val="0"/>
        <w:bidi w:val="0"/>
        <w:adjustRightInd w:val="0"/>
        <w:snapToGrid w:val="0"/>
        <w:spacing w:before="181" w:line="468" w:lineRule="exact"/>
        <w:ind w:firstLine="480" w:firstLineChars="200"/>
        <w:textAlignment w:val="baseline"/>
        <w:rPr>
          <w:rFonts w:ascii="宋体" w:hAnsi="宋体" w:eastAsia="宋体" w:cs="宋体"/>
          <w:sz w:val="24"/>
          <w:szCs w:val="24"/>
        </w:rPr>
      </w:pPr>
      <w:r>
        <w:rPr>
          <w:rFonts w:ascii="宋体" w:hAnsi="宋体" w:eastAsia="宋体" w:cs="宋体"/>
          <w:position w:val="17"/>
          <w:sz w:val="24"/>
          <w:szCs w:val="24"/>
        </w:rPr>
        <w:t>1.5“磋商文件或</w:t>
      </w:r>
      <w:r>
        <w:rPr>
          <w:rFonts w:hint="eastAsia" w:ascii="宋体" w:hAnsi="宋体" w:eastAsia="宋体" w:cs="宋体"/>
          <w:position w:val="17"/>
          <w:sz w:val="24"/>
          <w:szCs w:val="24"/>
          <w:lang w:eastAsia="zh-CN"/>
        </w:rPr>
        <w:t>磋商文件</w:t>
      </w:r>
      <w:r>
        <w:rPr>
          <w:rFonts w:ascii="宋体" w:hAnsi="宋体" w:eastAsia="宋体" w:cs="宋体"/>
          <w:position w:val="17"/>
          <w:sz w:val="24"/>
          <w:szCs w:val="24"/>
        </w:rPr>
        <w:t>”系指由采购人发出的文本、文件，包括全部章节和附件及答疑会议纪要。</w:t>
      </w:r>
    </w:p>
    <w:p w14:paraId="7E838AE6">
      <w:pPr>
        <w:keepNext w:val="0"/>
        <w:keepLines w:val="0"/>
        <w:pageBreakBefore w:val="0"/>
        <w:widowControl/>
        <w:kinsoku/>
        <w:wordWrap/>
        <w:overflowPunct/>
        <w:topLinePunct w:val="0"/>
        <w:autoSpaceDE w:val="0"/>
        <w:autoSpaceDN w:val="0"/>
        <w:bidi w:val="0"/>
        <w:adjustRightInd w:val="0"/>
        <w:snapToGrid w:val="0"/>
        <w:spacing w:before="181" w:line="219"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1.6“磋商响应文件</w:t>
      </w:r>
      <w:r>
        <w:rPr>
          <w:rFonts w:ascii="宋体" w:hAnsi="宋体" w:eastAsia="宋体" w:cs="宋体"/>
          <w:spacing w:val="-79"/>
          <w:sz w:val="24"/>
          <w:szCs w:val="24"/>
        </w:rPr>
        <w:t xml:space="preserve"> </w:t>
      </w:r>
      <w:r>
        <w:rPr>
          <w:rFonts w:ascii="宋体" w:hAnsi="宋体" w:eastAsia="宋体" w:cs="宋体"/>
          <w:spacing w:val="-2"/>
          <w:sz w:val="24"/>
          <w:szCs w:val="24"/>
        </w:rPr>
        <w:t>”系指供应商根据本磋商文件向采购人提交的全部文件。</w:t>
      </w:r>
    </w:p>
    <w:p w14:paraId="25AA88B3">
      <w:pPr>
        <w:pageBreakBefore w:val="0"/>
        <w:kinsoku/>
        <w:topLinePunct w:val="0"/>
        <w:bidi w:val="0"/>
        <w:spacing w:before="184" w:line="359" w:lineRule="auto"/>
        <w:ind w:left="21" w:right="80" w:firstLine="496"/>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lang w:eastAsia="zh-CN"/>
        </w:rPr>
        <w:t>磋商文件</w:t>
      </w:r>
      <w:r>
        <w:rPr>
          <w:rFonts w:ascii="宋体" w:hAnsi="宋体" w:eastAsia="宋体" w:cs="宋体"/>
          <w:spacing w:val="-88"/>
          <w:sz w:val="24"/>
          <w:szCs w:val="24"/>
        </w:rPr>
        <w:t xml:space="preserve"> </w:t>
      </w:r>
      <w:r>
        <w:rPr>
          <w:rFonts w:ascii="宋体" w:hAnsi="宋体" w:eastAsia="宋体" w:cs="宋体"/>
          <w:sz w:val="24"/>
          <w:szCs w:val="24"/>
        </w:rPr>
        <w:t>”系指包括采购活动的记录、采</w:t>
      </w:r>
      <w:r>
        <w:rPr>
          <w:rFonts w:ascii="宋体" w:hAnsi="宋体" w:eastAsia="宋体" w:cs="宋体"/>
          <w:spacing w:val="-1"/>
          <w:sz w:val="24"/>
          <w:szCs w:val="24"/>
        </w:rPr>
        <w:t>购预算、磋商文件、磋商响应文件、评</w:t>
      </w:r>
      <w:r>
        <w:rPr>
          <w:rFonts w:ascii="宋体" w:hAnsi="宋体" w:eastAsia="宋体" w:cs="宋体"/>
          <w:sz w:val="24"/>
          <w:szCs w:val="24"/>
        </w:rPr>
        <w:t xml:space="preserve"> </w:t>
      </w:r>
      <w:r>
        <w:rPr>
          <w:rFonts w:ascii="宋体" w:hAnsi="宋体" w:eastAsia="宋体" w:cs="宋体"/>
          <w:spacing w:val="-2"/>
          <w:sz w:val="24"/>
          <w:szCs w:val="24"/>
        </w:rPr>
        <w:t>标标准、</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报告、定标文件、合同文本、验收证明、质疑答复、投诉</w:t>
      </w:r>
      <w:r>
        <w:rPr>
          <w:rFonts w:ascii="宋体" w:hAnsi="宋体" w:eastAsia="宋体" w:cs="宋体"/>
          <w:spacing w:val="-3"/>
          <w:sz w:val="24"/>
          <w:szCs w:val="24"/>
        </w:rPr>
        <w:t>处理决定及其他有关</w:t>
      </w:r>
      <w:r>
        <w:rPr>
          <w:rFonts w:ascii="宋体" w:hAnsi="宋体" w:eastAsia="宋体" w:cs="宋体"/>
          <w:spacing w:val="-2"/>
          <w:sz w:val="24"/>
          <w:szCs w:val="24"/>
        </w:rPr>
        <w:t>文件、资料。</w:t>
      </w:r>
    </w:p>
    <w:p w14:paraId="445C7A51">
      <w:pPr>
        <w:pageBreakBefore w:val="0"/>
        <w:kinsoku/>
        <w:topLinePunct w:val="0"/>
        <w:bidi w:val="0"/>
        <w:spacing w:before="182" w:line="219" w:lineRule="auto"/>
        <w:ind w:left="518"/>
        <w:rPr>
          <w:rFonts w:ascii="宋体" w:hAnsi="宋体" w:eastAsia="宋体" w:cs="宋体"/>
          <w:sz w:val="24"/>
          <w:szCs w:val="24"/>
        </w:rPr>
      </w:pPr>
      <w:r>
        <w:rPr>
          <w:rFonts w:ascii="宋体" w:hAnsi="宋体" w:eastAsia="宋体" w:cs="宋体"/>
          <w:spacing w:val="-2"/>
          <w:sz w:val="24"/>
          <w:szCs w:val="24"/>
        </w:rPr>
        <w:t>1.8“书面形式</w:t>
      </w:r>
      <w:r>
        <w:rPr>
          <w:rFonts w:ascii="宋体" w:hAnsi="宋体" w:eastAsia="宋体" w:cs="宋体"/>
          <w:spacing w:val="-88"/>
          <w:sz w:val="24"/>
          <w:szCs w:val="24"/>
        </w:rPr>
        <w:t xml:space="preserve"> </w:t>
      </w:r>
      <w:r>
        <w:rPr>
          <w:rFonts w:ascii="宋体" w:hAnsi="宋体" w:eastAsia="宋体" w:cs="宋体"/>
          <w:spacing w:val="-2"/>
          <w:sz w:val="24"/>
          <w:szCs w:val="24"/>
        </w:rPr>
        <w:t>”系指任何手写、打印或印</w:t>
      </w:r>
      <w:r>
        <w:rPr>
          <w:rFonts w:ascii="宋体" w:hAnsi="宋体" w:eastAsia="宋体" w:cs="宋体"/>
          <w:spacing w:val="-3"/>
          <w:sz w:val="24"/>
          <w:szCs w:val="24"/>
        </w:rPr>
        <w:t>刷</w:t>
      </w:r>
      <w:r>
        <w:rPr>
          <w:rFonts w:hint="eastAsia" w:ascii="宋体" w:hAnsi="宋体" w:eastAsia="宋体" w:cs="宋体"/>
          <w:spacing w:val="-3"/>
          <w:sz w:val="24"/>
          <w:szCs w:val="24"/>
          <w:lang w:eastAsia="zh-CN"/>
        </w:rPr>
        <w:t>或通过邮箱发送</w:t>
      </w:r>
      <w:r>
        <w:rPr>
          <w:rFonts w:ascii="宋体" w:hAnsi="宋体" w:eastAsia="宋体" w:cs="宋体"/>
          <w:spacing w:val="-3"/>
          <w:sz w:val="24"/>
          <w:szCs w:val="24"/>
        </w:rPr>
        <w:t>的各种函件。</w:t>
      </w:r>
    </w:p>
    <w:p w14:paraId="19DE4004">
      <w:pPr>
        <w:keepNext w:val="0"/>
        <w:keepLines w:val="0"/>
        <w:pageBreakBefore w:val="0"/>
        <w:widowControl/>
        <w:kinsoku/>
        <w:wordWrap/>
        <w:overflowPunct/>
        <w:topLinePunct w:val="0"/>
        <w:autoSpaceDE w:val="0"/>
        <w:autoSpaceDN w:val="0"/>
        <w:bidi w:val="0"/>
        <w:adjustRightInd w:val="0"/>
        <w:snapToGrid w:val="0"/>
        <w:spacing w:before="181" w:line="466" w:lineRule="exact"/>
        <w:ind w:firstLine="456" w:firstLineChars="200"/>
        <w:textAlignment w:val="baseline"/>
        <w:rPr>
          <w:rFonts w:ascii="宋体" w:hAnsi="宋体" w:eastAsia="宋体" w:cs="宋体"/>
          <w:sz w:val="24"/>
          <w:szCs w:val="24"/>
        </w:rPr>
      </w:pPr>
      <w:r>
        <w:rPr>
          <w:rFonts w:ascii="宋体" w:hAnsi="宋体" w:eastAsia="宋体" w:cs="宋体"/>
          <w:spacing w:val="-6"/>
          <w:position w:val="17"/>
          <w:sz w:val="24"/>
          <w:szCs w:val="24"/>
        </w:rPr>
        <w:t>1.9“货物”系指各种形态和种类的物品，包括原材料、燃料、设备、产品等，详见《政府采购品目分类目录》 (2022 年印发</w:t>
      </w:r>
      <w:r>
        <w:rPr>
          <w:rFonts w:hint="eastAsia" w:ascii="宋体" w:hAnsi="宋体" w:eastAsia="宋体" w:cs="宋体"/>
          <w:spacing w:val="-6"/>
          <w:position w:val="17"/>
          <w:sz w:val="24"/>
          <w:szCs w:val="24"/>
          <w:lang w:eastAsia="zh-CN"/>
        </w:rPr>
        <w:t>）</w:t>
      </w:r>
      <w:r>
        <w:rPr>
          <w:rFonts w:ascii="宋体" w:hAnsi="宋体" w:eastAsia="宋体" w:cs="宋体"/>
          <w:spacing w:val="-6"/>
          <w:position w:val="17"/>
          <w:sz w:val="24"/>
          <w:szCs w:val="24"/>
        </w:rPr>
        <w:t>。</w:t>
      </w:r>
    </w:p>
    <w:p w14:paraId="7ECF75BB">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3"/>
          <w:sz w:val="24"/>
          <w:szCs w:val="24"/>
        </w:rPr>
        <w:t>1.10“服务</w:t>
      </w:r>
      <w:r>
        <w:rPr>
          <w:rFonts w:ascii="宋体" w:hAnsi="宋体" w:eastAsia="宋体" w:cs="宋体"/>
          <w:spacing w:val="-87"/>
          <w:sz w:val="24"/>
          <w:szCs w:val="24"/>
        </w:rPr>
        <w:t xml:space="preserve"> </w:t>
      </w:r>
      <w:r>
        <w:rPr>
          <w:rFonts w:ascii="宋体" w:hAnsi="宋体" w:eastAsia="宋体" w:cs="宋体"/>
          <w:spacing w:val="-3"/>
          <w:sz w:val="24"/>
          <w:szCs w:val="24"/>
        </w:rPr>
        <w:t>”系指供应商</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后根据《磋商文件》和合同的规定承担所有相关的服务，</w:t>
      </w:r>
      <w:r>
        <w:rPr>
          <w:rFonts w:ascii="宋体" w:hAnsi="宋体" w:eastAsia="宋体" w:cs="宋体"/>
          <w:sz w:val="24"/>
          <w:szCs w:val="24"/>
        </w:rPr>
        <w:t xml:space="preserve"> </w:t>
      </w:r>
      <w:r>
        <w:rPr>
          <w:rFonts w:ascii="宋体" w:hAnsi="宋体" w:eastAsia="宋体" w:cs="宋体"/>
          <w:spacing w:val="-2"/>
          <w:sz w:val="24"/>
          <w:szCs w:val="24"/>
        </w:rPr>
        <w:t>包括运输、仓储、保险</w:t>
      </w:r>
      <w:r>
        <w:rPr>
          <w:rFonts w:hint="eastAsia" w:ascii="宋体" w:hAnsi="宋体" w:eastAsia="宋体" w:cs="宋体"/>
          <w:spacing w:val="-2"/>
          <w:sz w:val="24"/>
          <w:szCs w:val="24"/>
          <w:lang w:eastAsia="zh-CN"/>
        </w:rPr>
        <w:t>以及其他</w:t>
      </w:r>
      <w:r>
        <w:rPr>
          <w:rFonts w:ascii="宋体" w:hAnsi="宋体" w:eastAsia="宋体" w:cs="宋体"/>
          <w:spacing w:val="-2"/>
          <w:sz w:val="24"/>
          <w:szCs w:val="24"/>
        </w:rPr>
        <w:t>的伴随服务，如售后、维修、更换和应承担</w:t>
      </w:r>
      <w:r>
        <w:rPr>
          <w:rFonts w:hint="eastAsia" w:ascii="宋体" w:hAnsi="宋体" w:eastAsia="宋体" w:cs="宋体"/>
          <w:spacing w:val="-2"/>
          <w:sz w:val="24"/>
          <w:szCs w:val="24"/>
          <w:lang w:eastAsia="zh-CN"/>
        </w:rPr>
        <w:t>的其他</w:t>
      </w:r>
      <w:r>
        <w:rPr>
          <w:rFonts w:ascii="宋体" w:hAnsi="宋体" w:eastAsia="宋体" w:cs="宋体"/>
          <w:spacing w:val="-2"/>
          <w:sz w:val="24"/>
          <w:szCs w:val="24"/>
        </w:rPr>
        <w:t>义务</w:t>
      </w:r>
      <w:r>
        <w:rPr>
          <w:rFonts w:hint="eastAsia" w:ascii="宋体" w:hAnsi="宋体" w:eastAsia="宋体" w:cs="宋体"/>
          <w:spacing w:val="-2"/>
          <w:sz w:val="24"/>
          <w:szCs w:val="24"/>
          <w:lang w:eastAsia="zh-CN"/>
        </w:rPr>
        <w:t>，</w:t>
      </w:r>
      <w:r>
        <w:rPr>
          <w:rFonts w:ascii="宋体" w:hAnsi="宋体" w:eastAsia="宋体" w:cs="宋体"/>
          <w:spacing w:val="-2"/>
          <w:sz w:val="24"/>
          <w:szCs w:val="24"/>
        </w:rPr>
        <w:t xml:space="preserve"> 详</w:t>
      </w:r>
      <w:r>
        <w:rPr>
          <w:rFonts w:ascii="宋体" w:hAnsi="宋体" w:eastAsia="宋体" w:cs="宋体"/>
          <w:spacing w:val="-4"/>
          <w:sz w:val="24"/>
          <w:szCs w:val="24"/>
        </w:rPr>
        <w:t>见《政府采购品目分类目录》</w:t>
      </w:r>
      <w:r>
        <w:rPr>
          <w:rFonts w:ascii="宋体" w:hAnsi="宋体" w:eastAsia="宋体" w:cs="宋体"/>
          <w:spacing w:val="-53"/>
          <w:sz w:val="24"/>
          <w:szCs w:val="24"/>
        </w:rPr>
        <w:t xml:space="preserve"> </w:t>
      </w:r>
      <w:r>
        <w:rPr>
          <w:rFonts w:ascii="宋体" w:hAnsi="宋体" w:eastAsia="宋体" w:cs="宋体"/>
          <w:spacing w:val="-4"/>
          <w:sz w:val="24"/>
          <w:szCs w:val="24"/>
        </w:rPr>
        <w:t>(2022</w:t>
      </w:r>
      <w:r>
        <w:rPr>
          <w:rFonts w:ascii="宋体" w:hAnsi="宋体" w:eastAsia="宋体" w:cs="宋体"/>
          <w:spacing w:val="-50"/>
          <w:sz w:val="24"/>
          <w:szCs w:val="24"/>
        </w:rPr>
        <w:t xml:space="preserve"> </w:t>
      </w:r>
      <w:r>
        <w:rPr>
          <w:rFonts w:ascii="宋体" w:hAnsi="宋体" w:eastAsia="宋体" w:cs="宋体"/>
          <w:spacing w:val="-4"/>
          <w:sz w:val="24"/>
          <w:szCs w:val="24"/>
        </w:rPr>
        <w:t>年印发</w:t>
      </w:r>
      <w:r>
        <w:rPr>
          <w:rFonts w:hint="eastAsia" w:ascii="宋体" w:hAnsi="宋体" w:eastAsia="宋体" w:cs="宋体"/>
          <w:spacing w:val="-4"/>
          <w:sz w:val="24"/>
          <w:szCs w:val="24"/>
          <w:lang w:eastAsia="zh-CN"/>
        </w:rPr>
        <w:t>）</w:t>
      </w:r>
      <w:r>
        <w:rPr>
          <w:rFonts w:ascii="宋体" w:hAnsi="宋体" w:eastAsia="宋体" w:cs="宋体"/>
          <w:spacing w:val="-4"/>
          <w:sz w:val="24"/>
          <w:szCs w:val="24"/>
        </w:rPr>
        <w:t>。</w:t>
      </w:r>
    </w:p>
    <w:p w14:paraId="4588388C">
      <w:pPr>
        <w:pageBreakBefore w:val="0"/>
        <w:kinsoku/>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1.11“节能产品”是指列入财政部、发展改革委发布的《节能产品政府采购清单》（以下简称节能清单）内所列型号的产品。</w:t>
      </w:r>
    </w:p>
    <w:p w14:paraId="3BD6A04D">
      <w:pPr>
        <w:pageBreakBefore w:val="0"/>
        <w:kinsoku/>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1.12“环境标志产品”是指列入财政部、国家环境保护总局公布的《环境标志产品政府采购清单》（以下简称环保清单）内所列型号的产品。</w:t>
      </w:r>
    </w:p>
    <w:p w14:paraId="39F0EC54">
      <w:pPr>
        <w:pageBreakBefore w:val="0"/>
        <w:kinsoku/>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1.13 实质性条款：除</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和规章规定外，磋商文件中用“拒绝</w:t>
      </w:r>
      <w:r>
        <w:rPr>
          <w:rFonts w:hint="eastAsia" w:ascii="宋体" w:hAnsi="宋体" w:eastAsia="宋体" w:cs="宋体"/>
          <w:spacing w:val="-3"/>
          <w:sz w:val="24"/>
          <w:szCs w:val="24"/>
          <w:lang w:eastAsia="zh-CN"/>
        </w:rPr>
        <w:t>”“</w:t>
      </w:r>
      <w:r>
        <w:rPr>
          <w:rFonts w:ascii="宋体" w:hAnsi="宋体" w:eastAsia="宋体" w:cs="宋体"/>
          <w:spacing w:val="-3"/>
          <w:sz w:val="24"/>
          <w:szCs w:val="24"/>
        </w:rPr>
        <w:t>不接受</w:t>
      </w:r>
      <w:r>
        <w:rPr>
          <w:rFonts w:hint="eastAsia" w:ascii="宋体" w:hAnsi="宋体" w:eastAsia="宋体" w:cs="宋体"/>
          <w:spacing w:val="-3"/>
          <w:sz w:val="24"/>
          <w:szCs w:val="24"/>
          <w:lang w:eastAsia="zh-CN"/>
        </w:rPr>
        <w:t>”“</w:t>
      </w:r>
      <w:r>
        <w:rPr>
          <w:rFonts w:ascii="宋体" w:hAnsi="宋体" w:eastAsia="宋体" w:cs="宋体"/>
          <w:spacing w:val="-3"/>
          <w:sz w:val="24"/>
          <w:szCs w:val="24"/>
        </w:rPr>
        <w:t>无效</w:t>
      </w:r>
      <w:r>
        <w:rPr>
          <w:rFonts w:hint="eastAsia" w:ascii="宋体" w:hAnsi="宋体" w:eastAsia="宋体" w:cs="宋体"/>
          <w:spacing w:val="-3"/>
          <w:sz w:val="24"/>
          <w:szCs w:val="24"/>
          <w:lang w:eastAsia="zh-CN"/>
        </w:rPr>
        <w:t>”“</w:t>
      </w:r>
      <w:r>
        <w:rPr>
          <w:rFonts w:ascii="宋体" w:hAnsi="宋体" w:eastAsia="宋体" w:cs="宋体"/>
          <w:spacing w:val="-3"/>
          <w:sz w:val="24"/>
          <w:szCs w:val="24"/>
        </w:rPr>
        <w:t>不得</w:t>
      </w:r>
      <w:r>
        <w:rPr>
          <w:rFonts w:hint="eastAsia" w:ascii="宋体" w:hAnsi="宋体" w:eastAsia="宋体" w:cs="宋体"/>
          <w:spacing w:val="-3"/>
          <w:sz w:val="24"/>
          <w:szCs w:val="24"/>
          <w:lang w:eastAsia="zh-CN"/>
        </w:rPr>
        <w:t>”“</w:t>
      </w:r>
      <w:r>
        <w:rPr>
          <w:rFonts w:ascii="宋体" w:hAnsi="宋体" w:eastAsia="宋体" w:cs="宋体"/>
          <w:spacing w:val="-3"/>
          <w:sz w:val="24"/>
          <w:szCs w:val="24"/>
        </w:rPr>
        <w:t>未响应</w:t>
      </w:r>
      <w:r>
        <w:rPr>
          <w:rFonts w:hint="eastAsia" w:ascii="宋体" w:hAnsi="宋体" w:eastAsia="宋体" w:cs="宋体"/>
          <w:spacing w:val="-3"/>
          <w:sz w:val="24"/>
          <w:szCs w:val="24"/>
          <w:lang w:eastAsia="zh-CN"/>
        </w:rPr>
        <w:t>”“</w:t>
      </w:r>
      <w:r>
        <w:rPr>
          <w:rFonts w:ascii="宋体" w:hAnsi="宋体" w:eastAsia="宋体" w:cs="宋体"/>
          <w:spacing w:val="-3"/>
          <w:sz w:val="24"/>
          <w:szCs w:val="24"/>
        </w:rPr>
        <w:t>废标”等文字规定或标注“★”符号的条款为实质性要求条款，对其中任何一条的偏离，在评审时将其视为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。未用上述文字规定或符号标注的条款为非实质性要求条款</w:t>
      </w:r>
      <w:r>
        <w:rPr>
          <w:rFonts w:hint="eastAsia" w:ascii="宋体" w:hAnsi="宋体" w:eastAsia="宋体" w:cs="宋体"/>
          <w:spacing w:val="-3"/>
          <w:sz w:val="24"/>
          <w:szCs w:val="24"/>
          <w:lang w:eastAsia="zh-CN"/>
        </w:rPr>
        <w:t>（</w:t>
      </w:r>
      <w:r>
        <w:rPr>
          <w:rFonts w:ascii="宋体" w:hAnsi="宋体" w:eastAsia="宋体" w:cs="宋体"/>
          <w:spacing w:val="-3"/>
          <w:sz w:val="24"/>
          <w:szCs w:val="24"/>
        </w:rPr>
        <w:t>即一般条款</w:t>
      </w:r>
      <w:r>
        <w:rPr>
          <w:rFonts w:hint="eastAsia" w:ascii="宋体" w:hAnsi="宋体" w:eastAsia="宋体" w:cs="宋体"/>
          <w:spacing w:val="-3"/>
          <w:sz w:val="24"/>
          <w:szCs w:val="24"/>
          <w:lang w:eastAsia="zh-CN"/>
        </w:rPr>
        <w:t>）</w:t>
      </w:r>
      <w:r>
        <w:rPr>
          <w:rFonts w:ascii="宋体" w:hAnsi="宋体" w:eastAsia="宋体" w:cs="宋体"/>
          <w:spacing w:val="-3"/>
          <w:sz w:val="24"/>
          <w:szCs w:val="24"/>
        </w:rPr>
        <w:t>。</w:t>
      </w:r>
    </w:p>
    <w:p w14:paraId="09907C37">
      <w:pPr>
        <w:pageBreakBefore w:val="0"/>
        <w:kinsoku/>
        <w:topLinePunct w:val="0"/>
        <w:bidi w:val="0"/>
        <w:spacing w:before="183" w:line="219" w:lineRule="auto"/>
        <w:ind w:left="1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★2.综合说明</w:t>
      </w:r>
    </w:p>
    <w:p w14:paraId="6C88E9D0">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2"/>
          <w:sz w:val="24"/>
          <w:szCs w:val="24"/>
        </w:rPr>
        <w:t>本项目按照《中华人民共和国政府采购法》及相关法规，</w:t>
      </w:r>
      <w:r>
        <w:rPr>
          <w:rFonts w:ascii="宋体" w:hAnsi="宋体" w:eastAsia="宋体" w:cs="宋体"/>
          <w:spacing w:val="-3"/>
          <w:sz w:val="24"/>
          <w:szCs w:val="24"/>
        </w:rPr>
        <w:t>已办理</w:t>
      </w:r>
      <w:r>
        <w:rPr>
          <w:rFonts w:hint="eastAsia" w:ascii="宋体" w:hAnsi="宋体" w:eastAsia="宋体" w:cs="宋体"/>
          <w:spacing w:val="-3"/>
          <w:sz w:val="24"/>
          <w:szCs w:val="24"/>
          <w:lang w:eastAsia="zh-CN"/>
        </w:rPr>
        <w:t>采购申请</w:t>
      </w:r>
      <w:r>
        <w:rPr>
          <w:rFonts w:ascii="宋体" w:hAnsi="宋体" w:eastAsia="宋体" w:cs="宋体"/>
          <w:spacing w:val="-3"/>
          <w:sz w:val="24"/>
          <w:szCs w:val="24"/>
        </w:rPr>
        <w:t>，并得到</w:t>
      </w:r>
      <w:r>
        <w:rPr>
          <w:rFonts w:hint="eastAsia" w:ascii="宋体" w:hAnsi="宋体" w:eastAsia="宋体" w:cs="宋体"/>
          <w:spacing w:val="-3"/>
          <w:sz w:val="24"/>
          <w:szCs w:val="24"/>
          <w:lang w:eastAsia="zh-CN"/>
        </w:rPr>
        <w:t>采购监督</w:t>
      </w:r>
      <w:r>
        <w:rPr>
          <w:rFonts w:ascii="宋体" w:hAnsi="宋体" w:eastAsia="宋体" w:cs="宋体"/>
          <w:spacing w:val="-2"/>
          <w:sz w:val="24"/>
          <w:szCs w:val="24"/>
        </w:rPr>
        <w:t>管理机构批准，现通过</w:t>
      </w:r>
      <w:r>
        <w:rPr>
          <w:rFonts w:hint="eastAsia" w:ascii="宋体" w:hAnsi="宋体" w:eastAsia="宋体" w:cs="宋体"/>
          <w:spacing w:val="-2"/>
          <w:sz w:val="24"/>
          <w:szCs w:val="24"/>
          <w:lang w:eastAsia="zh-CN"/>
        </w:rPr>
        <w:t>竞争性磋商方式</w:t>
      </w:r>
      <w:r>
        <w:rPr>
          <w:rFonts w:ascii="宋体" w:hAnsi="宋体" w:eastAsia="宋体" w:cs="宋体"/>
          <w:spacing w:val="-2"/>
          <w:sz w:val="24"/>
          <w:szCs w:val="24"/>
        </w:rPr>
        <w:t>来择优选定服务的供货商。本磋商文件包括本</w:t>
      </w:r>
      <w:r>
        <w:rPr>
          <w:rFonts w:hint="eastAsia" w:ascii="宋体" w:hAnsi="宋体" w:eastAsia="宋体" w:cs="宋体"/>
          <w:spacing w:val="-2"/>
          <w:sz w:val="24"/>
          <w:szCs w:val="24"/>
          <w:lang w:eastAsia="zh-CN"/>
        </w:rPr>
        <w:t>文件</w:t>
      </w:r>
      <w:r>
        <w:rPr>
          <w:rFonts w:ascii="宋体" w:hAnsi="宋体" w:eastAsia="宋体" w:cs="宋体"/>
          <w:spacing w:val="-3"/>
          <w:sz w:val="24"/>
          <w:szCs w:val="24"/>
        </w:rPr>
        <w:t>所列内容及按本</w:t>
      </w:r>
      <w:r>
        <w:rPr>
          <w:rFonts w:ascii="宋体" w:hAnsi="宋体" w:eastAsia="宋体" w:cs="宋体"/>
          <w:spacing w:val="-2"/>
          <w:sz w:val="24"/>
          <w:szCs w:val="24"/>
        </w:rPr>
        <w:t>须知发出的全部和补充资料。供应商应认真阅读本磋商文件中所有的事项</w:t>
      </w:r>
      <w:r>
        <w:rPr>
          <w:rFonts w:ascii="宋体" w:hAnsi="宋体" w:eastAsia="宋体" w:cs="宋体"/>
          <w:spacing w:val="-3"/>
          <w:sz w:val="24"/>
          <w:szCs w:val="24"/>
        </w:rPr>
        <w:t>、格式、条款、技</w:t>
      </w:r>
      <w:r>
        <w:rPr>
          <w:rFonts w:ascii="宋体" w:hAnsi="宋体" w:eastAsia="宋体" w:cs="宋体"/>
          <w:spacing w:val="-2"/>
          <w:sz w:val="24"/>
          <w:szCs w:val="24"/>
        </w:rPr>
        <w:t>术规范等实质性的条件和要求。供应商被视为充分熟悉本</w:t>
      </w:r>
      <w:r>
        <w:rPr>
          <w:rFonts w:hint="eastAsia" w:ascii="宋体" w:hAnsi="宋体" w:eastAsia="宋体" w:cs="宋体"/>
          <w:spacing w:val="-2"/>
          <w:sz w:val="24"/>
          <w:szCs w:val="24"/>
          <w:lang w:eastAsia="zh-CN"/>
        </w:rPr>
        <w:t>采购项目</w:t>
      </w:r>
      <w:r>
        <w:rPr>
          <w:rFonts w:ascii="宋体" w:hAnsi="宋体" w:eastAsia="宋体" w:cs="宋体"/>
          <w:spacing w:val="-2"/>
          <w:sz w:val="24"/>
          <w:szCs w:val="24"/>
        </w:rPr>
        <w:t>的全部</w:t>
      </w:r>
      <w:r>
        <w:rPr>
          <w:rFonts w:ascii="宋体" w:hAnsi="宋体" w:eastAsia="宋体" w:cs="宋体"/>
          <w:spacing w:val="-3"/>
          <w:sz w:val="24"/>
          <w:szCs w:val="24"/>
        </w:rPr>
        <w:t>内容及与履行合同</w:t>
      </w:r>
      <w:r>
        <w:rPr>
          <w:rFonts w:ascii="宋体" w:hAnsi="宋体" w:eastAsia="宋体" w:cs="宋体"/>
          <w:spacing w:val="-2"/>
          <w:sz w:val="24"/>
          <w:szCs w:val="24"/>
        </w:rPr>
        <w:t>有关的全部内容，熟悉磋商文件的格式、条件和范围。供应商没有按照磋</w:t>
      </w:r>
      <w:r>
        <w:rPr>
          <w:rFonts w:ascii="宋体" w:hAnsi="宋体" w:eastAsia="宋体" w:cs="宋体"/>
          <w:spacing w:val="-3"/>
          <w:sz w:val="24"/>
          <w:szCs w:val="24"/>
        </w:rPr>
        <w:t>商文件的要求提交</w:t>
      </w:r>
      <w:r>
        <w:rPr>
          <w:rFonts w:ascii="宋体" w:hAnsi="宋体" w:eastAsia="宋体" w:cs="宋体"/>
          <w:spacing w:val="-2"/>
          <w:sz w:val="24"/>
          <w:szCs w:val="24"/>
        </w:rPr>
        <w:t>相关资料，或者供应商没有对磋商文件相关</w:t>
      </w:r>
      <w:r>
        <w:rPr>
          <w:rFonts w:hint="eastAsia" w:ascii="宋体" w:hAnsi="宋体" w:eastAsia="宋体" w:cs="宋体"/>
          <w:spacing w:val="-2"/>
          <w:sz w:val="24"/>
          <w:szCs w:val="24"/>
          <w:lang w:eastAsia="zh-CN"/>
        </w:rPr>
        <w:t>内容</w:t>
      </w:r>
      <w:r>
        <w:rPr>
          <w:rFonts w:ascii="宋体" w:hAnsi="宋体" w:eastAsia="宋体" w:cs="宋体"/>
          <w:spacing w:val="-2"/>
          <w:sz w:val="24"/>
          <w:szCs w:val="24"/>
        </w:rPr>
        <w:t>做出实质性响应是供应</w:t>
      </w:r>
      <w:r>
        <w:rPr>
          <w:rFonts w:ascii="宋体" w:hAnsi="宋体" w:eastAsia="宋体" w:cs="宋体"/>
          <w:spacing w:val="-3"/>
          <w:sz w:val="24"/>
          <w:szCs w:val="24"/>
        </w:rPr>
        <w:t>商的风险，并可能</w:t>
      </w:r>
      <w:r>
        <w:rPr>
          <w:rFonts w:ascii="宋体" w:hAnsi="宋体" w:eastAsia="宋体" w:cs="宋体"/>
          <w:spacing w:val="-2"/>
          <w:sz w:val="24"/>
          <w:szCs w:val="24"/>
        </w:rPr>
        <w:t>导致其</w:t>
      </w:r>
      <w:r>
        <w:rPr>
          <w:rFonts w:hint="eastAsia" w:ascii="宋体" w:hAnsi="宋体" w:eastAsia="宋体" w:cs="宋体"/>
          <w:spacing w:val="-2"/>
          <w:sz w:val="24"/>
          <w:szCs w:val="24"/>
          <w:lang w:eastAsia="zh-CN"/>
        </w:rPr>
        <w:t>响应无效</w:t>
      </w:r>
      <w:r>
        <w:rPr>
          <w:rFonts w:ascii="宋体" w:hAnsi="宋体" w:eastAsia="宋体" w:cs="宋体"/>
          <w:spacing w:val="-2"/>
          <w:sz w:val="24"/>
          <w:szCs w:val="24"/>
        </w:rPr>
        <w:t>。</w:t>
      </w:r>
    </w:p>
    <w:p w14:paraId="409D6C46">
      <w:pPr>
        <w:pageBreakBefore w:val="0"/>
        <w:kinsoku/>
        <w:topLinePunct w:val="0"/>
        <w:bidi w:val="0"/>
        <w:spacing w:before="179" w:line="219" w:lineRule="auto"/>
        <w:ind w:left="1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3.政府采购政策支持</w:t>
      </w:r>
    </w:p>
    <w:p w14:paraId="203F7964">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(1)《新疆维吾尔自治区政府采购促进中小企业发展管理实施办法》（新财规〔2021〕6号）； </w:t>
      </w:r>
    </w:p>
    <w:p w14:paraId="1F5021FA">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(2)《财政部、司法部关于政府采购支持监狱企业发展有关问题的通知》（财库〔2014〕68号）； </w:t>
      </w:r>
    </w:p>
    <w:p w14:paraId="1B051612">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(3)财政部 生态环境部关于印发环境标志产品政府采购品目清单的通知（财库〔2019〕18号）； </w:t>
      </w:r>
    </w:p>
    <w:p w14:paraId="13D8B340">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 民政部 中国残疾人联合会关于促进残疾人就业政府采购政策的通知》财库〔2017〕141号。</w:t>
      </w:r>
    </w:p>
    <w:p w14:paraId="37FFC25E">
      <w:pPr>
        <w:pageBreakBefore w:val="0"/>
        <w:kinsoku/>
        <w:wordWrap/>
        <w:topLinePunct w:val="0"/>
        <w:bidi w:val="0"/>
        <w:spacing w:before="184" w:line="359" w:lineRule="auto"/>
        <w:ind w:left="20" w:right="61" w:firstLine="497"/>
        <w:rPr>
          <w:rFonts w:hint="eastAsia" w:ascii="宋体" w:hAnsi="宋体" w:eastAsia="宋体" w:cs="宋体"/>
          <w:sz w:val="24"/>
          <w:szCs w:val="24"/>
        </w:rPr>
      </w:pPr>
      <w:r>
        <w:rPr>
          <w:rFonts w:hint="eastAsia" w:ascii="宋体" w:hAnsi="宋体" w:eastAsia="宋体" w:cs="宋体"/>
          <w:sz w:val="24"/>
          <w:szCs w:val="24"/>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126A44C7">
      <w:pPr>
        <w:pageBreakBefore w:val="0"/>
        <w:kinsoku/>
        <w:topLinePunct w:val="0"/>
        <w:bidi w:val="0"/>
        <w:spacing w:before="78" w:line="219" w:lineRule="auto"/>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4.合格的供应商</w:t>
      </w:r>
    </w:p>
    <w:p w14:paraId="7D97692E">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4.1 具备“供应商须知前附表”的基本条件；</w:t>
      </w:r>
    </w:p>
    <w:p w14:paraId="596FF9EF">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4.2 凡是符合国家工商行政管理部门登记审核，具有相应生产经营许可的，有一定技术实力和规模，并有能力提供招标服务的供应商；</w:t>
      </w:r>
    </w:p>
    <w:p w14:paraId="1FCF1A34">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4.3 供应商不得直接或间接地与本次招标所委托的咨询公司或其附属机构有任何关联；</w:t>
      </w:r>
    </w:p>
    <w:p w14:paraId="0ADAF6EB">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4.4 单位负责人为同一人或者存在控股、管</w:t>
      </w:r>
      <w:r>
        <w:rPr>
          <w:rFonts w:hint="eastAsia" w:ascii="宋体" w:hAnsi="宋体" w:eastAsia="宋体" w:cs="宋体"/>
          <w:sz w:val="24"/>
          <w:szCs w:val="24"/>
          <w:lang w:eastAsia="zh-CN"/>
        </w:rPr>
        <w:t>联</w:t>
      </w:r>
      <w:r>
        <w:rPr>
          <w:rFonts w:ascii="宋体" w:hAnsi="宋体" w:eastAsia="宋体" w:cs="宋体"/>
          <w:sz w:val="24"/>
          <w:szCs w:val="24"/>
        </w:rPr>
        <w:t>关系的不同单位，</w:t>
      </w:r>
      <w:bookmarkStart w:id="1" w:name="OLE_LINK17"/>
      <w:r>
        <w:rPr>
          <w:rFonts w:ascii="宋体" w:hAnsi="宋体" w:eastAsia="宋体" w:cs="宋体"/>
          <w:sz w:val="24"/>
          <w:szCs w:val="24"/>
        </w:rPr>
        <w:t>不得参加同</w:t>
      </w:r>
      <w:r>
        <w:rPr>
          <w:rFonts w:hint="eastAsia" w:ascii="宋体" w:hAnsi="宋体" w:eastAsia="宋体" w:cs="宋体"/>
          <w:sz w:val="24"/>
          <w:szCs w:val="24"/>
          <w:lang w:eastAsia="zh-CN"/>
        </w:rPr>
        <w:t>一合同项下的政府采购活动</w:t>
      </w:r>
      <w:r>
        <w:rPr>
          <w:rFonts w:ascii="宋体" w:hAnsi="宋体" w:eastAsia="宋体" w:cs="宋体"/>
          <w:sz w:val="24"/>
          <w:szCs w:val="24"/>
        </w:rPr>
        <w:t>；</w:t>
      </w:r>
    </w:p>
    <w:bookmarkEnd w:id="1"/>
    <w:p w14:paraId="4498F34E">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4.5 供应商未获取《磋商文件》的潜在供应商均无资格参加</w:t>
      </w:r>
      <w:r>
        <w:rPr>
          <w:rFonts w:hint="eastAsia" w:ascii="宋体" w:hAnsi="宋体" w:eastAsia="宋体" w:cs="宋体"/>
          <w:sz w:val="24"/>
          <w:szCs w:val="24"/>
          <w:lang w:eastAsia="zh-CN"/>
        </w:rPr>
        <w:t>本项目政府采购活动</w:t>
      </w:r>
      <w:r>
        <w:rPr>
          <w:rFonts w:ascii="宋体" w:hAnsi="宋体" w:eastAsia="宋体" w:cs="宋体"/>
          <w:sz w:val="24"/>
          <w:szCs w:val="24"/>
        </w:rPr>
        <w:t>；</w:t>
      </w:r>
    </w:p>
    <w:p w14:paraId="22751E59">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4.6 遵守国家有关的</w:t>
      </w:r>
      <w:r>
        <w:rPr>
          <w:rFonts w:hint="eastAsia" w:ascii="宋体" w:hAnsi="宋体" w:eastAsia="宋体" w:cs="宋体"/>
          <w:sz w:val="24"/>
          <w:szCs w:val="24"/>
          <w:lang w:eastAsia="zh-CN"/>
        </w:rPr>
        <w:t>法律法规</w:t>
      </w:r>
      <w:r>
        <w:rPr>
          <w:rFonts w:ascii="宋体" w:hAnsi="宋体" w:eastAsia="宋体" w:cs="宋体"/>
          <w:sz w:val="24"/>
          <w:szCs w:val="24"/>
        </w:rPr>
        <w:t>和条例及《磋商文件》的规定。</w:t>
      </w:r>
    </w:p>
    <w:p w14:paraId="37C9875F">
      <w:pPr>
        <w:pageBreakBefore w:val="0"/>
        <w:kinsoku/>
        <w:topLinePunct w:val="0"/>
        <w:bidi w:val="0"/>
        <w:spacing w:before="181" w:line="219" w:lineRule="auto"/>
        <w:ind w:left="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5.伴随服务</w:t>
      </w:r>
    </w:p>
    <w:p w14:paraId="4D8A3056">
      <w:pPr>
        <w:pageBreakBefore w:val="0"/>
        <w:kinsoku/>
        <w:topLinePunct w:val="0"/>
        <w:bidi w:val="0"/>
        <w:spacing w:before="223" w:line="219" w:lineRule="auto"/>
        <w:ind w:left="480"/>
        <w:rPr>
          <w:rFonts w:ascii="宋体" w:hAnsi="宋体" w:eastAsia="宋体" w:cs="宋体"/>
          <w:sz w:val="24"/>
          <w:szCs w:val="24"/>
        </w:rPr>
      </w:pPr>
      <w:r>
        <w:rPr>
          <w:rFonts w:ascii="宋体" w:hAnsi="宋体" w:eastAsia="宋体" w:cs="宋体"/>
          <w:spacing w:val="-1"/>
          <w:sz w:val="24"/>
          <w:szCs w:val="24"/>
        </w:rPr>
        <w:t>供应商按照磋商文件要求提供服务。</w:t>
      </w:r>
    </w:p>
    <w:p w14:paraId="62E953BA">
      <w:pPr>
        <w:pageBreakBefore w:val="0"/>
        <w:kinsoku/>
        <w:topLinePunct w:val="0"/>
        <w:bidi w:val="0"/>
        <w:spacing w:before="182" w:line="220" w:lineRule="auto"/>
        <w:ind w:left="2"/>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w:t>
      </w: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采购过程</w:t>
      </w:r>
      <w:r>
        <w:rPr>
          <w:rFonts w:ascii="宋体" w:hAnsi="宋体" w:eastAsia="宋体" w:cs="宋体"/>
          <w:spacing w:val="-2"/>
          <w:sz w:val="24"/>
          <w:szCs w:val="24"/>
          <w14:textOutline w14:w="4358" w14:cap="sq" w14:cmpd="sng">
            <w14:solidFill>
              <w14:srgbClr w14:val="000000"/>
            </w14:solidFill>
            <w14:prstDash w14:val="solid"/>
            <w14:bevel/>
          </w14:textOutline>
        </w:rPr>
        <w:t>费用</w:t>
      </w:r>
    </w:p>
    <w:p w14:paraId="4CF1B5C4">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供应商应承担与采购活动有关的一切费用。不论采购的结果如何，采购代理机构和采购人在任何情况下均无义务和责任承担这些费用。</w:t>
      </w:r>
    </w:p>
    <w:p w14:paraId="2C978AD9">
      <w:pPr>
        <w:pageBreakBefore w:val="0"/>
        <w:kinsoku/>
        <w:topLinePunct w:val="0"/>
        <w:bidi w:val="0"/>
        <w:spacing w:before="182"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采购代理机构</w:t>
      </w:r>
      <w:r>
        <w:rPr>
          <w:rFonts w:ascii="宋体" w:hAnsi="宋体" w:eastAsia="宋体" w:cs="宋体"/>
          <w:spacing w:val="-1"/>
          <w:sz w:val="24"/>
          <w:szCs w:val="24"/>
          <w14:textOutline w14:w="4358" w14:cap="sq" w14:cmpd="sng">
            <w14:solidFill>
              <w14:srgbClr w14:val="000000"/>
            </w14:solidFill>
            <w14:prstDash w14:val="solid"/>
            <w14:bevel/>
          </w14:textOutline>
        </w:rPr>
        <w:t>相关费用</w:t>
      </w:r>
    </w:p>
    <w:p w14:paraId="5EFD57C6">
      <w:pPr>
        <w:pageBreakBefore w:val="0"/>
        <w:kinsoku/>
        <w:wordWrap/>
        <w:topLinePunct w:val="0"/>
        <w:bidi w:val="0"/>
        <w:spacing w:before="184" w:line="359" w:lineRule="auto"/>
        <w:ind w:left="20" w:right="61" w:firstLine="497"/>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z w:val="24"/>
          <w:szCs w:val="24"/>
        </w:rPr>
        <w:t xml:space="preserve">7.1 </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代理服务费为：参照发改价格〔2015〕299号文件，收取代理服务费，由采购人向采购代理机构交纳代理服务费。</w:t>
      </w:r>
    </w:p>
    <w:p w14:paraId="5BF36DE8">
      <w:pPr>
        <w:pageBreakBefore w:val="0"/>
        <w:kinsoku/>
        <w:topLinePunct w:val="0"/>
        <w:bidi w:val="0"/>
        <w:spacing w:before="180" w:line="219" w:lineRule="auto"/>
        <w:ind w:left="486"/>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48"/>
          <w:sz w:val="24"/>
          <w:szCs w:val="24"/>
        </w:rPr>
        <w:t xml:space="preserve"> </w:t>
      </w:r>
      <w:r>
        <w:rPr>
          <w:rFonts w:ascii="宋体" w:hAnsi="宋体" w:eastAsia="宋体" w:cs="宋体"/>
          <w:spacing w:val="-1"/>
          <w:sz w:val="24"/>
          <w:szCs w:val="24"/>
        </w:rPr>
        <w:t>本项目</w:t>
      </w:r>
      <w:r>
        <w:rPr>
          <w:rFonts w:hint="eastAsia" w:ascii="宋体" w:hAnsi="宋体" w:eastAsia="宋体" w:cs="宋体"/>
          <w:spacing w:val="-1"/>
          <w:sz w:val="24"/>
          <w:szCs w:val="24"/>
          <w:lang w:eastAsia="zh-CN"/>
        </w:rPr>
        <w:t>采购代理服务费</w:t>
      </w:r>
      <w:r>
        <w:rPr>
          <w:rFonts w:ascii="宋体" w:hAnsi="宋体" w:eastAsia="宋体" w:cs="宋体"/>
          <w:spacing w:val="-1"/>
          <w:sz w:val="24"/>
          <w:szCs w:val="24"/>
        </w:rPr>
        <w:t>由</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支付给</w:t>
      </w:r>
      <w:r>
        <w:rPr>
          <w:rFonts w:hint="eastAsia" w:ascii="宋体" w:hAnsi="宋体" w:eastAsia="宋体" w:cs="宋体"/>
          <w:spacing w:val="-1"/>
          <w:sz w:val="24"/>
          <w:szCs w:val="24"/>
          <w:lang w:eastAsia="zh-CN"/>
        </w:rPr>
        <w:t>采购代理机构</w:t>
      </w:r>
      <w:r>
        <w:rPr>
          <w:rFonts w:ascii="宋体" w:hAnsi="宋体" w:eastAsia="宋体" w:cs="宋体"/>
          <w:spacing w:val="-1"/>
          <w:sz w:val="24"/>
          <w:szCs w:val="24"/>
        </w:rPr>
        <w:t>。</w:t>
      </w:r>
    </w:p>
    <w:p w14:paraId="225535ED">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7.3 费用缴纳可采用电汇、</w:t>
      </w:r>
      <w:r>
        <w:rPr>
          <w:rFonts w:hint="eastAsia" w:ascii="宋体" w:hAnsi="宋体" w:eastAsia="宋体" w:cs="宋体"/>
          <w:sz w:val="24"/>
          <w:szCs w:val="24"/>
          <w:lang w:eastAsia="zh-CN"/>
        </w:rPr>
        <w:t>转账</w:t>
      </w:r>
      <w:r>
        <w:rPr>
          <w:rFonts w:ascii="宋体" w:hAnsi="宋体" w:eastAsia="宋体" w:cs="宋体"/>
          <w:sz w:val="24"/>
          <w:szCs w:val="24"/>
        </w:rPr>
        <w:t>（公户）的方式支付，在发放《</w:t>
      </w:r>
      <w:r>
        <w:rPr>
          <w:rFonts w:hint="eastAsia" w:ascii="宋体" w:hAnsi="宋体" w:eastAsia="宋体" w:cs="宋体"/>
          <w:sz w:val="24"/>
          <w:szCs w:val="24"/>
          <w:lang w:eastAsia="zh-CN"/>
        </w:rPr>
        <w:t>成交通知书</w:t>
      </w:r>
      <w:r>
        <w:rPr>
          <w:rFonts w:ascii="宋体" w:hAnsi="宋体" w:eastAsia="宋体" w:cs="宋体"/>
          <w:sz w:val="24"/>
          <w:szCs w:val="24"/>
        </w:rPr>
        <w:t>》前一次性支付给</w:t>
      </w:r>
      <w:r>
        <w:rPr>
          <w:rFonts w:hint="eastAsia" w:ascii="宋体" w:hAnsi="宋体" w:eastAsia="宋体" w:cs="宋体"/>
          <w:sz w:val="24"/>
          <w:szCs w:val="24"/>
          <w:lang w:eastAsia="zh-CN"/>
        </w:rPr>
        <w:t>采购代理机构</w:t>
      </w:r>
      <w:r>
        <w:rPr>
          <w:rFonts w:ascii="宋体" w:hAnsi="宋体" w:eastAsia="宋体" w:cs="宋体"/>
          <w:sz w:val="24"/>
          <w:szCs w:val="24"/>
        </w:rPr>
        <w:t>。</w:t>
      </w:r>
    </w:p>
    <w:p w14:paraId="0A448472">
      <w:pPr>
        <w:pageBreakBefore w:val="0"/>
        <w:kinsoku/>
        <w:topLinePunct w:val="0"/>
        <w:bidi w:val="0"/>
        <w:spacing w:before="182" w:line="220" w:lineRule="auto"/>
        <w:ind w:left="1"/>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8.保密</w:t>
      </w:r>
    </w:p>
    <w:p w14:paraId="4F665B88">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参与</w:t>
      </w:r>
      <w:r>
        <w:rPr>
          <w:rFonts w:hint="eastAsia" w:ascii="宋体" w:hAnsi="宋体" w:eastAsia="宋体" w:cs="宋体"/>
          <w:sz w:val="24"/>
          <w:szCs w:val="24"/>
          <w:lang w:eastAsia="zh-CN"/>
        </w:rPr>
        <w:t>磋商</w:t>
      </w:r>
      <w:r>
        <w:rPr>
          <w:rFonts w:ascii="宋体" w:hAnsi="宋体" w:eastAsia="宋体" w:cs="宋体"/>
          <w:sz w:val="24"/>
          <w:szCs w:val="24"/>
        </w:rPr>
        <w:t>活动的各方应对磋商文件和磋商响应文件中的商业和技术等秘密保密，违者应对由此造成的后果承担法律责任。</w:t>
      </w:r>
    </w:p>
    <w:p w14:paraId="794A7F66">
      <w:pPr>
        <w:pageBreakBefore w:val="0"/>
        <w:kinsoku/>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9.适用法律</w:t>
      </w:r>
    </w:p>
    <w:p w14:paraId="41375DB9">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本次招标属</w:t>
      </w:r>
      <w:r>
        <w:rPr>
          <w:rFonts w:hint="eastAsia" w:ascii="宋体" w:hAnsi="宋体" w:eastAsia="宋体" w:cs="宋体"/>
          <w:sz w:val="24"/>
          <w:szCs w:val="24"/>
          <w:lang w:eastAsia="zh-CN"/>
        </w:rPr>
        <w:t>工程</w:t>
      </w:r>
      <w:r>
        <w:rPr>
          <w:rFonts w:ascii="宋体" w:hAnsi="宋体" w:eastAsia="宋体" w:cs="宋体"/>
          <w:sz w:val="24"/>
          <w:szCs w:val="24"/>
        </w:rPr>
        <w:t>类政府采购，</w:t>
      </w:r>
      <w:r>
        <w:rPr>
          <w:rFonts w:hint="eastAsia" w:ascii="宋体" w:hAnsi="宋体" w:eastAsia="宋体" w:cs="宋体"/>
          <w:sz w:val="24"/>
          <w:szCs w:val="24"/>
          <w:lang w:eastAsia="zh-CN"/>
        </w:rPr>
        <w:t>采购单位</w:t>
      </w:r>
      <w:r>
        <w:rPr>
          <w:rFonts w:ascii="宋体" w:hAnsi="宋体" w:eastAsia="宋体" w:cs="宋体"/>
          <w:sz w:val="24"/>
          <w:szCs w:val="24"/>
        </w:rPr>
        <w:t>、供应商、磋商小组的相关行为均受《中华人民共和国政府采购法</w:t>
      </w:r>
      <w:r>
        <w:rPr>
          <w:rFonts w:hint="eastAsia" w:ascii="宋体" w:hAnsi="宋体" w:eastAsia="宋体" w:cs="宋体"/>
          <w:sz w:val="24"/>
          <w:szCs w:val="24"/>
          <w:lang w:eastAsia="zh-CN"/>
        </w:rPr>
        <w:t>》《</w:t>
      </w:r>
      <w:r>
        <w:rPr>
          <w:rFonts w:ascii="宋体" w:hAnsi="宋体" w:eastAsia="宋体" w:cs="宋体"/>
          <w:sz w:val="24"/>
          <w:szCs w:val="24"/>
        </w:rPr>
        <w:t>中华人民共和国政府采购法实施条例</w:t>
      </w:r>
      <w:r>
        <w:rPr>
          <w:rFonts w:hint="eastAsia" w:ascii="宋体" w:hAnsi="宋体" w:eastAsia="宋体" w:cs="宋体"/>
          <w:sz w:val="24"/>
          <w:szCs w:val="24"/>
          <w:lang w:eastAsia="zh-CN"/>
        </w:rPr>
        <w:t>》《</w:t>
      </w:r>
      <w:r>
        <w:rPr>
          <w:rFonts w:ascii="宋体" w:hAnsi="宋体" w:eastAsia="宋体" w:cs="宋体"/>
          <w:sz w:val="24"/>
          <w:szCs w:val="24"/>
        </w:rPr>
        <w:t>政府采购货物和服务招标投标管理办法</w:t>
      </w:r>
      <w:r>
        <w:rPr>
          <w:rFonts w:hint="eastAsia" w:ascii="宋体" w:hAnsi="宋体" w:eastAsia="宋体" w:cs="宋体"/>
          <w:sz w:val="24"/>
          <w:szCs w:val="24"/>
          <w:lang w:eastAsia="zh-CN"/>
        </w:rPr>
        <w:t>》《</w:t>
      </w:r>
      <w:r>
        <w:rPr>
          <w:rFonts w:ascii="宋体" w:hAnsi="宋体" w:eastAsia="宋体" w:cs="宋体"/>
          <w:sz w:val="24"/>
          <w:szCs w:val="24"/>
        </w:rPr>
        <w:t>政府采购竞争性磋商采购方式管理暂行办法</w:t>
      </w:r>
      <w:r>
        <w:rPr>
          <w:rFonts w:hint="eastAsia" w:ascii="宋体" w:hAnsi="宋体" w:eastAsia="宋体" w:cs="宋体"/>
          <w:sz w:val="24"/>
          <w:szCs w:val="24"/>
          <w:lang w:eastAsia="zh-CN"/>
        </w:rPr>
        <w:t>》及</w:t>
      </w:r>
      <w:r>
        <w:rPr>
          <w:rFonts w:ascii="宋体" w:hAnsi="宋体" w:eastAsia="宋体" w:cs="宋体"/>
          <w:sz w:val="24"/>
          <w:szCs w:val="24"/>
        </w:rPr>
        <w:t>本项目采购人本级和上级财政部门政府采购有关规定的约束，其权利受到上述法律法规的保护。</w:t>
      </w:r>
    </w:p>
    <w:p w14:paraId="0E152F73">
      <w:pPr>
        <w:pageBreakBefore w:val="0"/>
        <w:kinsoku/>
        <w:topLinePunct w:val="0"/>
        <w:bidi w:val="0"/>
        <w:spacing w:before="188" w:line="220" w:lineRule="auto"/>
        <w:ind w:left="3508"/>
        <w:outlineLvl w:val="1"/>
        <w:rPr>
          <w:rFonts w:ascii="宋体" w:hAnsi="宋体" w:eastAsia="宋体" w:cs="宋体"/>
          <w:sz w:val="28"/>
          <w:szCs w:val="28"/>
        </w:rPr>
      </w:pP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（三）《</w:t>
      </w:r>
      <w:r>
        <w:rPr>
          <w:rFonts w:ascii="宋体" w:hAnsi="宋体" w:eastAsia="宋体" w:cs="宋体"/>
          <w:spacing w:val="-2"/>
          <w:sz w:val="28"/>
          <w:szCs w:val="28"/>
          <w14:textOutline w14:w="5103" w14:cap="sq" w14:cmpd="sng">
            <w14:solidFill>
              <w14:srgbClr w14:val="000000"/>
            </w14:solidFill>
            <w14:prstDash w14:val="solid"/>
            <w14:bevel/>
          </w14:textOutline>
        </w:rPr>
        <w:t>磋商文件</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w:t>
      </w:r>
    </w:p>
    <w:p w14:paraId="48692FEA">
      <w:pPr>
        <w:pageBreakBefore w:val="0"/>
        <w:kinsoku/>
        <w:topLinePunct w:val="0"/>
        <w:bidi w:val="0"/>
        <w:spacing w:before="206" w:line="219" w:lineRule="auto"/>
        <w:ind w:left="19"/>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1.《磋商文件》的组成</w:t>
      </w:r>
    </w:p>
    <w:p w14:paraId="23E6FBE0">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磋商文件用以阐明</w:t>
      </w:r>
      <w:r>
        <w:rPr>
          <w:rFonts w:hint="eastAsia" w:ascii="宋体" w:hAnsi="宋体" w:eastAsia="宋体" w:cs="宋体"/>
          <w:sz w:val="24"/>
          <w:szCs w:val="24"/>
          <w:lang w:eastAsia="zh-CN"/>
        </w:rPr>
        <w:t>采购项目</w:t>
      </w:r>
      <w:r>
        <w:rPr>
          <w:rFonts w:ascii="宋体" w:hAnsi="宋体" w:eastAsia="宋体" w:cs="宋体"/>
          <w:sz w:val="24"/>
          <w:szCs w:val="24"/>
        </w:rPr>
        <w:t>所需的资质、技术、服务及报价等要求、</w:t>
      </w:r>
      <w:r>
        <w:rPr>
          <w:rFonts w:hint="eastAsia" w:ascii="宋体" w:hAnsi="宋体" w:eastAsia="宋体" w:cs="宋体"/>
          <w:sz w:val="24"/>
          <w:szCs w:val="24"/>
          <w:lang w:eastAsia="zh-CN"/>
        </w:rPr>
        <w:t>采购</w:t>
      </w:r>
      <w:r>
        <w:rPr>
          <w:rFonts w:ascii="宋体" w:hAnsi="宋体" w:eastAsia="宋体" w:cs="宋体"/>
          <w:sz w:val="24"/>
          <w:szCs w:val="24"/>
        </w:rPr>
        <w:t>程序、有关规定和注意事项以及合同主要条款等。本磋商文件包括以下内容</w:t>
      </w:r>
      <w:r>
        <w:rPr>
          <w:rFonts w:hint="eastAsia" w:ascii="宋体" w:hAnsi="宋体" w:eastAsia="宋体" w:cs="宋体"/>
          <w:sz w:val="24"/>
          <w:szCs w:val="24"/>
          <w:lang w:eastAsia="zh-CN"/>
        </w:rPr>
        <w:t>，</w:t>
      </w:r>
      <w:r>
        <w:rPr>
          <w:rFonts w:ascii="宋体" w:hAnsi="宋体" w:eastAsia="宋体" w:cs="宋体"/>
          <w:sz w:val="24"/>
          <w:szCs w:val="24"/>
        </w:rPr>
        <w:t>但不限于这些内容：</w:t>
      </w:r>
    </w:p>
    <w:p w14:paraId="65618225">
      <w:pPr>
        <w:pageBreakBefore w:val="0"/>
        <w:kinsoku/>
        <w:topLinePunct w:val="0"/>
        <w:bidi w:val="0"/>
        <w:spacing w:before="184" w:line="359" w:lineRule="auto"/>
        <w:ind w:left="20" w:right="61" w:firstLine="497"/>
        <w:rPr>
          <w:rFonts w:ascii="宋体" w:hAnsi="宋体" w:eastAsia="宋体" w:cs="宋体"/>
          <w:sz w:val="24"/>
          <w:szCs w:val="24"/>
        </w:rPr>
      </w:pPr>
      <w:r>
        <w:rPr>
          <w:rFonts w:hint="eastAsia" w:ascii="宋体" w:hAnsi="宋体" w:eastAsia="宋体" w:cs="宋体"/>
          <w:sz w:val="24"/>
          <w:szCs w:val="24"/>
          <w:lang w:eastAsia="zh-CN"/>
        </w:rPr>
        <w:t>(1)</w:t>
      </w:r>
      <w:r>
        <w:rPr>
          <w:rFonts w:ascii="宋体" w:hAnsi="宋体" w:eastAsia="宋体" w:cs="宋体"/>
          <w:sz w:val="24"/>
          <w:szCs w:val="24"/>
        </w:rPr>
        <w:t>磋商公告</w:t>
      </w:r>
    </w:p>
    <w:p w14:paraId="43ACBD23">
      <w:pPr>
        <w:pageBreakBefore w:val="0"/>
        <w:kinsoku/>
        <w:topLinePunct w:val="0"/>
        <w:bidi w:val="0"/>
        <w:spacing w:before="184" w:line="359" w:lineRule="auto"/>
        <w:ind w:left="20" w:right="61" w:firstLine="497"/>
        <w:rPr>
          <w:rFonts w:ascii="宋体" w:hAnsi="宋体" w:eastAsia="宋体" w:cs="宋体"/>
          <w:sz w:val="24"/>
          <w:szCs w:val="24"/>
        </w:rPr>
      </w:pPr>
      <w:r>
        <w:rPr>
          <w:rFonts w:hint="eastAsia" w:ascii="宋体" w:hAnsi="宋体" w:eastAsia="宋体" w:cs="宋体"/>
          <w:sz w:val="24"/>
          <w:szCs w:val="24"/>
          <w:lang w:eastAsia="zh-CN"/>
        </w:rPr>
        <w:t>(2)</w:t>
      </w:r>
      <w:r>
        <w:rPr>
          <w:rFonts w:ascii="宋体" w:hAnsi="宋体" w:eastAsia="宋体" w:cs="宋体"/>
          <w:sz w:val="24"/>
          <w:szCs w:val="24"/>
        </w:rPr>
        <w:t>供应商须知及前附表</w:t>
      </w:r>
    </w:p>
    <w:p w14:paraId="7E735B54">
      <w:pPr>
        <w:pageBreakBefore w:val="0"/>
        <w:kinsoku/>
        <w:topLinePunct w:val="0"/>
        <w:bidi w:val="0"/>
        <w:spacing w:before="184" w:line="359" w:lineRule="auto"/>
        <w:ind w:left="20" w:right="61" w:firstLine="497"/>
        <w:rPr>
          <w:rFonts w:ascii="宋体" w:hAnsi="宋体" w:eastAsia="宋体" w:cs="宋体"/>
          <w:sz w:val="24"/>
          <w:szCs w:val="24"/>
        </w:rPr>
      </w:pPr>
      <w:r>
        <w:rPr>
          <w:rFonts w:hint="eastAsia" w:ascii="宋体" w:hAnsi="宋体" w:eastAsia="宋体" w:cs="宋体"/>
          <w:sz w:val="24"/>
          <w:szCs w:val="24"/>
          <w:lang w:eastAsia="zh-CN"/>
        </w:rPr>
        <w:t>(3)评审</w:t>
      </w:r>
      <w:r>
        <w:rPr>
          <w:rFonts w:ascii="宋体" w:hAnsi="宋体" w:eastAsia="宋体" w:cs="宋体"/>
          <w:sz w:val="24"/>
          <w:szCs w:val="24"/>
        </w:rPr>
        <w:t>办法</w:t>
      </w:r>
    </w:p>
    <w:p w14:paraId="16475C76">
      <w:pPr>
        <w:pageBreakBefore w:val="0"/>
        <w:kinsoku/>
        <w:topLinePunct w:val="0"/>
        <w:bidi w:val="0"/>
        <w:spacing w:before="184" w:line="359" w:lineRule="auto"/>
        <w:ind w:left="20" w:right="61" w:firstLine="497"/>
        <w:rPr>
          <w:rFonts w:ascii="宋体" w:hAnsi="宋体" w:eastAsia="宋体" w:cs="宋体"/>
          <w:sz w:val="24"/>
          <w:szCs w:val="24"/>
        </w:rPr>
      </w:pPr>
      <w:r>
        <w:rPr>
          <w:rFonts w:hint="eastAsia" w:ascii="宋体" w:hAnsi="宋体" w:eastAsia="宋体" w:cs="宋体"/>
          <w:sz w:val="24"/>
          <w:szCs w:val="24"/>
          <w:lang w:eastAsia="zh-CN"/>
        </w:rPr>
        <w:t>(4)采购内容</w:t>
      </w:r>
      <w:r>
        <w:rPr>
          <w:rFonts w:ascii="宋体" w:hAnsi="宋体" w:eastAsia="宋体" w:cs="宋体"/>
          <w:sz w:val="24"/>
          <w:szCs w:val="24"/>
        </w:rPr>
        <w:t>及需求</w:t>
      </w:r>
    </w:p>
    <w:p w14:paraId="17DEF4EF">
      <w:pPr>
        <w:pageBreakBefore w:val="0"/>
        <w:kinsoku/>
        <w:topLinePunct w:val="0"/>
        <w:bidi w:val="0"/>
        <w:spacing w:before="184" w:line="359" w:lineRule="auto"/>
        <w:ind w:left="20" w:right="61" w:firstLine="497"/>
        <w:rPr>
          <w:rFonts w:ascii="宋体" w:hAnsi="宋体" w:eastAsia="宋体" w:cs="宋体"/>
          <w:sz w:val="24"/>
          <w:szCs w:val="24"/>
        </w:rPr>
      </w:pPr>
      <w:r>
        <w:rPr>
          <w:rFonts w:hint="eastAsia" w:ascii="宋体" w:hAnsi="宋体" w:eastAsia="宋体" w:cs="宋体"/>
          <w:sz w:val="24"/>
          <w:szCs w:val="24"/>
          <w:lang w:eastAsia="zh-CN"/>
        </w:rPr>
        <w:t>(5)</w:t>
      </w:r>
      <w:r>
        <w:rPr>
          <w:rFonts w:ascii="宋体" w:hAnsi="宋体" w:eastAsia="宋体" w:cs="宋体"/>
          <w:sz w:val="24"/>
          <w:szCs w:val="24"/>
        </w:rPr>
        <w:t>《磋商响应文件》格式</w:t>
      </w:r>
    </w:p>
    <w:p w14:paraId="1EA26D61">
      <w:pPr>
        <w:pageBreakBefore w:val="0"/>
        <w:kinsoku/>
        <w:topLinePunct w:val="0"/>
        <w:bidi w:val="0"/>
        <w:spacing w:before="184" w:line="359" w:lineRule="auto"/>
        <w:ind w:left="20" w:right="61" w:firstLine="497"/>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合同条款</w:t>
      </w:r>
    </w:p>
    <w:p w14:paraId="5E630473">
      <w:pPr>
        <w:pageBreakBefore w:val="0"/>
        <w:kinsoku/>
        <w:topLinePunct w:val="0"/>
        <w:bidi w:val="0"/>
        <w:spacing w:before="183"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2.《磋商文件》的澄清</w:t>
      </w:r>
    </w:p>
    <w:p w14:paraId="3F452731">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供应商若对《磋商文件》有任何疑问，供应商应于投标截止日期前5日以书面形式向</w:t>
      </w:r>
      <w:r>
        <w:rPr>
          <w:rFonts w:hint="eastAsia" w:ascii="宋体" w:hAnsi="宋体" w:eastAsia="宋体" w:cs="宋体"/>
          <w:sz w:val="24"/>
          <w:szCs w:val="24"/>
          <w:lang w:eastAsia="zh-CN"/>
        </w:rPr>
        <w:t>采购代理机构</w:t>
      </w:r>
      <w:r>
        <w:rPr>
          <w:rFonts w:ascii="宋体" w:hAnsi="宋体" w:eastAsia="宋体" w:cs="宋体"/>
          <w:sz w:val="24"/>
          <w:szCs w:val="24"/>
        </w:rPr>
        <w:t>提出澄清要求，送至</w:t>
      </w:r>
      <w:r>
        <w:rPr>
          <w:rFonts w:hint="eastAsia" w:ascii="宋体" w:hAnsi="宋体" w:eastAsia="宋体" w:cs="宋体"/>
          <w:sz w:val="24"/>
          <w:szCs w:val="24"/>
          <w:lang w:eastAsia="zh-CN"/>
        </w:rPr>
        <w:t>采购代理机构</w:t>
      </w:r>
      <w:r>
        <w:rPr>
          <w:rFonts w:ascii="宋体" w:hAnsi="宋体" w:eastAsia="宋体" w:cs="宋体"/>
          <w:sz w:val="24"/>
          <w:szCs w:val="24"/>
        </w:rPr>
        <w:t>。如认为有必要，</w:t>
      </w:r>
      <w:r>
        <w:rPr>
          <w:rFonts w:hint="eastAsia" w:ascii="宋体" w:hAnsi="宋体" w:eastAsia="宋体" w:cs="宋体"/>
          <w:sz w:val="24"/>
          <w:szCs w:val="24"/>
          <w:lang w:eastAsia="zh-CN"/>
        </w:rPr>
        <w:t>采购代理机构</w:t>
      </w:r>
      <w:r>
        <w:rPr>
          <w:rFonts w:ascii="宋体" w:hAnsi="宋体" w:eastAsia="宋体" w:cs="宋体"/>
          <w:sz w:val="24"/>
          <w:szCs w:val="24"/>
        </w:rPr>
        <w:t>将以书面形式 予以澄清，同时将书面澄清文件向所有供应商发送。供应商在收到该澄清文件后，应于1日 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该答复作为《磋商文件》的组成部分，具有同《磋商文件》同样的约束作用。未确认情况应当视为对磋商文件修改的知晓，也将视为对修改内容接受的默认。对于未在磋商响应文件中对修改内容做实质性响应的，对其产生的不利因素由未确认者自行承担。</w:t>
      </w:r>
    </w:p>
    <w:p w14:paraId="6899972B">
      <w:pPr>
        <w:pageBreakBefore w:val="0"/>
        <w:kinsoku/>
        <w:topLinePunct w:val="0"/>
        <w:bidi w:val="0"/>
        <w:spacing w:before="181"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3.《磋商文件》的修改</w:t>
      </w:r>
    </w:p>
    <w:p w14:paraId="3C4FE38B">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3.1 提交首次响应文件截止期5日前，无论出于何种原因</w:t>
      </w:r>
      <w:r>
        <w:rPr>
          <w:rFonts w:hint="eastAsia" w:ascii="宋体" w:hAnsi="宋体" w:eastAsia="宋体" w:cs="宋体"/>
          <w:sz w:val="24"/>
          <w:szCs w:val="24"/>
          <w:lang w:eastAsia="zh-CN"/>
        </w:rPr>
        <w:t>，</w:t>
      </w:r>
      <w:r>
        <w:rPr>
          <w:rFonts w:ascii="宋体" w:hAnsi="宋体" w:eastAsia="宋体" w:cs="宋体"/>
          <w:sz w:val="24"/>
          <w:szCs w:val="24"/>
        </w:rPr>
        <w:t>采购单位可主动地或在解答供应商提出的澄清问题时对《磋商文件》进行修改，《磋商文件》的修改书将构成《磋商文件》的组成部分。</w:t>
      </w:r>
    </w:p>
    <w:p w14:paraId="6218AD50">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3.2《磋商文件》的修改将以</w:t>
      </w:r>
      <w:r>
        <w:rPr>
          <w:rFonts w:hint="eastAsia" w:ascii="宋体" w:hAnsi="宋体" w:eastAsia="宋体" w:cs="宋体"/>
          <w:sz w:val="24"/>
          <w:szCs w:val="24"/>
          <w:lang w:eastAsia="zh-CN"/>
        </w:rPr>
        <w:t>变更公告的形式在发布竞争性磋商公告的网站予以发布</w:t>
      </w:r>
      <w:r>
        <w:rPr>
          <w:rFonts w:ascii="宋体" w:hAnsi="宋体" w:eastAsia="宋体" w:cs="宋体"/>
          <w:sz w:val="24"/>
          <w:szCs w:val="24"/>
        </w:rPr>
        <w:t>，并对其具有约束力。供应商在收到上述通知后，应于1日内以书面形式（加盖公章）向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予以确认。未确认情况应当视为对磋商文件修改的知晓，也将视为对修改内容接受的默认。</w:t>
      </w:r>
    </w:p>
    <w:p w14:paraId="1B5F396B">
      <w:pPr>
        <w:pStyle w:val="5"/>
        <w:keepNext w:val="0"/>
        <w:keepLines w:val="0"/>
        <w:pageBreakBefore w:val="0"/>
        <w:widowControl/>
        <w:kinsoku/>
        <w:wordWrap/>
        <w:overflowPunct/>
        <w:topLinePunct w:val="0"/>
        <w:autoSpaceDE w:val="0"/>
        <w:autoSpaceDN w:val="0"/>
        <w:bidi w:val="0"/>
        <w:adjustRightInd w:val="0"/>
        <w:snapToGrid w:val="0"/>
        <w:ind w:firstLine="480" w:firstLineChars="200"/>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3.3 为使供应商在编制《磋商响应文件》时有充分时间对《磋商文件》的修改部分进行研究，</w:t>
      </w:r>
      <w:r>
        <w:rPr>
          <w:rFonts w:hint="eastAsia" w:ascii="宋体" w:hAnsi="宋体" w:eastAsia="宋体" w:cs="宋体"/>
          <w:snapToGrid w:val="0"/>
          <w:color w:val="000000"/>
          <w:kern w:val="0"/>
          <w:sz w:val="24"/>
          <w:szCs w:val="24"/>
          <w:lang w:val="en-US" w:eastAsia="zh-CN" w:bidi="ar-SA"/>
        </w:rPr>
        <w:t>采购代理机构</w:t>
      </w:r>
      <w:r>
        <w:rPr>
          <w:rFonts w:ascii="宋体" w:hAnsi="宋体" w:eastAsia="宋体" w:cs="宋体"/>
          <w:snapToGrid w:val="0"/>
          <w:color w:val="000000"/>
          <w:kern w:val="0"/>
          <w:sz w:val="24"/>
          <w:szCs w:val="24"/>
          <w:lang w:val="en-US" w:eastAsia="en-US" w:bidi="ar-SA"/>
        </w:rPr>
        <w:t>可自行决定是否延长投标截止日期和推迟开标时间。</w:t>
      </w:r>
    </w:p>
    <w:p w14:paraId="512B54F7">
      <w:pPr>
        <w:pStyle w:val="5"/>
        <w:pageBreakBefore w:val="0"/>
        <w:kinsoku/>
        <w:topLinePunct w:val="0"/>
        <w:bidi w:val="0"/>
      </w:pPr>
    </w:p>
    <w:p w14:paraId="12241B30">
      <w:pPr>
        <w:pStyle w:val="5"/>
        <w:pageBreakBefore w:val="0"/>
        <w:kinsoku/>
        <w:topLinePunct w:val="0"/>
        <w:bidi w:val="0"/>
        <w:spacing w:line="241" w:lineRule="auto"/>
      </w:pPr>
    </w:p>
    <w:p w14:paraId="5E68333B">
      <w:pPr>
        <w:pageBreakBefore w:val="0"/>
        <w:kinsoku/>
        <w:topLinePunct w:val="0"/>
        <w:bidi w:val="0"/>
        <w:spacing w:before="91" w:line="220" w:lineRule="auto"/>
        <w:ind w:left="2804"/>
        <w:outlineLvl w:val="1"/>
        <w:rPr>
          <w:rFonts w:ascii="宋体" w:hAnsi="宋体" w:eastAsia="宋体" w:cs="宋体"/>
          <w:sz w:val="28"/>
          <w:szCs w:val="28"/>
        </w:rPr>
      </w:pP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（四）</w:t>
      </w:r>
      <w:r>
        <w:rPr>
          <w:rFonts w:ascii="宋体" w:hAnsi="宋体" w:eastAsia="宋体" w:cs="宋体"/>
          <w:spacing w:val="-1"/>
          <w:sz w:val="28"/>
          <w:szCs w:val="28"/>
          <w14:textOutline w14:w="5103" w14:cap="sq" w14:cmpd="sng">
            <w14:solidFill>
              <w14:srgbClr w14:val="000000"/>
            </w14:solidFill>
            <w14:prstDash w14:val="solid"/>
            <w14:bevel/>
          </w14:textOutline>
        </w:rPr>
        <w:t>磋商响应文件》的编制</w:t>
      </w:r>
    </w:p>
    <w:p w14:paraId="5D1C81B7">
      <w:pPr>
        <w:pageBreakBefore w:val="0"/>
        <w:kinsoku/>
        <w:topLinePunct w:val="0"/>
        <w:bidi w:val="0"/>
        <w:spacing w:before="20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《磋商响应文件》编制要求</w:t>
      </w:r>
    </w:p>
    <w:p w14:paraId="1760178C">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z w:val="24"/>
          <w:szCs w:val="24"/>
          <w:lang w:eastAsia="zh-CN"/>
        </w:rPr>
        <w:t>(1)</w:t>
      </w:r>
      <w:r>
        <w:rPr>
          <w:rFonts w:ascii="宋体" w:hAnsi="宋体" w:eastAsia="宋体" w:cs="宋体"/>
          <w:sz w:val="24"/>
          <w:szCs w:val="24"/>
        </w:rPr>
        <w:t>供应商应仔细阅读和充分理解《磋商文件》中所有的事项、格式、条款等要求，并</w:t>
      </w:r>
      <w:r>
        <w:rPr>
          <w:rFonts w:ascii="宋体" w:hAnsi="宋体" w:eastAsia="宋体" w:cs="宋体"/>
          <w:spacing w:val="-3"/>
          <w:sz w:val="24"/>
          <w:szCs w:val="24"/>
        </w:rPr>
        <w:t>按照《磋商文件》的“磋商响应文件格式</w:t>
      </w:r>
      <w:r>
        <w:rPr>
          <w:rFonts w:ascii="宋体" w:hAnsi="宋体" w:eastAsia="宋体" w:cs="宋体"/>
          <w:spacing w:val="-87"/>
          <w:sz w:val="24"/>
          <w:szCs w:val="24"/>
        </w:rPr>
        <w:t xml:space="preserve"> </w:t>
      </w:r>
      <w:r>
        <w:rPr>
          <w:rFonts w:ascii="宋体" w:hAnsi="宋体" w:eastAsia="宋体" w:cs="宋体"/>
          <w:spacing w:val="-3"/>
          <w:sz w:val="24"/>
          <w:szCs w:val="24"/>
        </w:rPr>
        <w:t>”规定及要求内容的格式提交完整的《磋商响应文</w:t>
      </w:r>
      <w:r>
        <w:rPr>
          <w:rFonts w:ascii="宋体" w:hAnsi="宋体" w:eastAsia="宋体" w:cs="宋体"/>
          <w:spacing w:val="-2"/>
          <w:sz w:val="24"/>
          <w:szCs w:val="24"/>
        </w:rPr>
        <w:t>件》。</w:t>
      </w:r>
      <w:r>
        <w:rPr>
          <w:rFonts w:ascii="宋体" w:hAnsi="宋体" w:eastAsia="宋体" w:cs="宋体"/>
          <w:spacing w:val="-2"/>
          <w:sz w:val="24"/>
          <w:szCs w:val="24"/>
          <w14:textOutline w14:w="4358" w14:cap="sq" w14:cmpd="sng">
            <w14:solidFill>
              <w14:srgbClr w14:val="000000"/>
            </w14:solidFill>
            <w14:prstDash w14:val="solid"/>
            <w14:bevel/>
          </w14:textOutline>
        </w:rPr>
        <w:t>磋商响应文件应使用中文、编排有序，并按要求编制文件目录和页码</w:t>
      </w:r>
      <w:r>
        <w:rPr>
          <w:rFonts w:ascii="宋体" w:hAnsi="宋体" w:eastAsia="宋体" w:cs="宋体"/>
          <w:spacing w:val="-3"/>
          <w:sz w:val="24"/>
          <w:szCs w:val="24"/>
          <w14:textOutline w14:w="4358" w14:cap="sq" w14:cmpd="sng">
            <w14:solidFill>
              <w14:srgbClr w14:val="000000"/>
            </w14:solidFill>
            <w14:prstDash w14:val="solid"/>
            <w14:bevel/>
          </w14:textOutline>
        </w:rPr>
        <w:t>，准确标明文件</w:t>
      </w:r>
      <w:r>
        <w:rPr>
          <w:rFonts w:ascii="宋体" w:hAnsi="宋体" w:eastAsia="宋体" w:cs="宋体"/>
          <w:spacing w:val="-2"/>
          <w:sz w:val="24"/>
          <w:szCs w:val="24"/>
          <w14:textOutline w14:w="4358" w14:cap="sq" w14:cmpd="sng">
            <w14:solidFill>
              <w14:srgbClr w14:val="000000"/>
            </w14:solidFill>
            <w14:prstDash w14:val="solid"/>
            <w14:bevel/>
          </w14:textOutline>
        </w:rPr>
        <w:t>内容所在位置。</w:t>
      </w:r>
      <w:r>
        <w:rPr>
          <w:rFonts w:ascii="宋体" w:hAnsi="宋体" w:eastAsia="宋体" w:cs="宋体"/>
          <w:spacing w:val="-2"/>
          <w:sz w:val="24"/>
          <w:szCs w:val="24"/>
        </w:rPr>
        <w:t>供应商没有对磋商</w:t>
      </w:r>
      <w:r>
        <w:rPr>
          <w:rFonts w:ascii="宋体" w:hAnsi="宋体" w:eastAsia="宋体" w:cs="宋体"/>
          <w:spacing w:val="-3"/>
          <w:sz w:val="24"/>
          <w:szCs w:val="24"/>
        </w:rPr>
        <w:t>文件全面做出实质性响应是供应商的风险。没有按照磋商文件要求作出响应的磋商响应文件将被拒绝。</w:t>
      </w:r>
    </w:p>
    <w:p w14:paraId="7D95F5BF">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1"/>
          <w:sz w:val="24"/>
          <w:szCs w:val="24"/>
          <w:lang w:eastAsia="zh-CN"/>
        </w:rPr>
        <w:t>(2)</w:t>
      </w:r>
      <w:r>
        <w:rPr>
          <w:rFonts w:ascii="宋体" w:hAnsi="宋体" w:eastAsia="宋体" w:cs="宋体"/>
          <w:spacing w:val="-3"/>
          <w:sz w:val="24"/>
          <w:szCs w:val="24"/>
        </w:rPr>
        <w:t>磋商响应文件应字迹清楚，内容齐全，不得涂改和增删。如有修改错漏处，必须由供应商法定代表人或其授权代表签字。资格证明材料的复印件</w:t>
      </w:r>
      <w:r>
        <w:rPr>
          <w:rFonts w:hint="eastAsia" w:ascii="宋体" w:hAnsi="宋体" w:eastAsia="宋体" w:cs="宋体"/>
          <w:spacing w:val="-3"/>
          <w:sz w:val="24"/>
          <w:szCs w:val="24"/>
          <w:lang w:eastAsia="zh-CN"/>
        </w:rPr>
        <w:t>应</w:t>
      </w:r>
      <w:r>
        <w:rPr>
          <w:rFonts w:ascii="宋体" w:hAnsi="宋体" w:eastAsia="宋体" w:cs="宋体"/>
          <w:spacing w:val="-3"/>
          <w:sz w:val="24"/>
          <w:szCs w:val="24"/>
        </w:rPr>
        <w:t>清晰可辨并加盖供应商</w:t>
      </w:r>
      <w:r>
        <w:rPr>
          <w:rFonts w:hint="eastAsia" w:ascii="宋体" w:hAnsi="宋体" w:eastAsia="宋体" w:cs="宋体"/>
          <w:spacing w:val="-3"/>
          <w:sz w:val="24"/>
          <w:szCs w:val="24"/>
          <w:lang w:eastAsia="zh-CN"/>
        </w:rPr>
        <w:t>电子印章</w:t>
      </w:r>
      <w:r>
        <w:rPr>
          <w:rFonts w:ascii="宋体" w:hAnsi="宋体" w:eastAsia="宋体" w:cs="宋体"/>
          <w:spacing w:val="-3"/>
          <w:sz w:val="24"/>
          <w:szCs w:val="24"/>
        </w:rPr>
        <w:t>。</w:t>
      </w:r>
    </w:p>
    <w:p w14:paraId="0FA33756">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(3)</w:t>
      </w:r>
      <w:r>
        <w:rPr>
          <w:rFonts w:ascii="宋体" w:hAnsi="宋体" w:eastAsia="宋体" w:cs="宋体"/>
          <w:spacing w:val="-3"/>
          <w:sz w:val="24"/>
          <w:szCs w:val="24"/>
        </w:rPr>
        <w:t>磋商响应文件所提供的全部资料必须真实可靠。若磋商响应文件填报的内容资料不详，或提供了虚假资料，其磋商响应文件为无效磋商响应文件。</w:t>
      </w:r>
    </w:p>
    <w:p w14:paraId="1BD9C543">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(4)</w:t>
      </w:r>
      <w:r>
        <w:rPr>
          <w:rFonts w:ascii="宋体" w:hAnsi="宋体" w:eastAsia="宋体" w:cs="宋体"/>
          <w:spacing w:val="-3"/>
          <w:sz w:val="24"/>
          <w:szCs w:val="24"/>
        </w:rPr>
        <w:t>磋商响应文件应严格按照磋商文件格式的要求提交</w:t>
      </w:r>
      <w:r>
        <w:rPr>
          <w:rFonts w:hint="eastAsia" w:ascii="宋体" w:hAnsi="宋体" w:eastAsia="宋体" w:cs="宋体"/>
          <w:spacing w:val="-3"/>
          <w:sz w:val="24"/>
          <w:szCs w:val="24"/>
          <w:lang w:eastAsia="zh-CN"/>
        </w:rPr>
        <w:t>不得随意改变格式，标注自拟或续页等可改变格式字样供应商方可自行填写否则按无效响应处理</w:t>
      </w:r>
      <w:r>
        <w:rPr>
          <w:rFonts w:ascii="宋体" w:hAnsi="宋体" w:eastAsia="宋体" w:cs="宋体"/>
          <w:spacing w:val="-3"/>
          <w:sz w:val="24"/>
          <w:szCs w:val="24"/>
        </w:rPr>
        <w:t>，并按规定的统一格式逐项填写，不准有空项；无相应内容可填的项应填写“无</w:t>
      </w:r>
      <w:r>
        <w:rPr>
          <w:rFonts w:hint="eastAsia" w:ascii="宋体" w:hAnsi="宋体" w:eastAsia="宋体" w:cs="宋体"/>
          <w:spacing w:val="-3"/>
          <w:sz w:val="24"/>
          <w:szCs w:val="24"/>
          <w:lang w:eastAsia="zh-CN"/>
        </w:rPr>
        <w:t>”“</w:t>
      </w:r>
      <w:r>
        <w:rPr>
          <w:rFonts w:ascii="宋体" w:hAnsi="宋体" w:eastAsia="宋体" w:cs="宋体"/>
          <w:spacing w:val="-3"/>
          <w:sz w:val="24"/>
          <w:szCs w:val="24"/>
        </w:rPr>
        <w:t>未测试</w:t>
      </w:r>
      <w:r>
        <w:rPr>
          <w:rFonts w:hint="eastAsia" w:ascii="宋体" w:hAnsi="宋体" w:eastAsia="宋体" w:cs="宋体"/>
          <w:spacing w:val="-3"/>
          <w:sz w:val="24"/>
          <w:szCs w:val="24"/>
          <w:lang w:eastAsia="zh-CN"/>
        </w:rPr>
        <w:t>”“</w:t>
      </w:r>
      <w:r>
        <w:rPr>
          <w:rFonts w:ascii="宋体" w:hAnsi="宋体" w:eastAsia="宋体" w:cs="宋体"/>
          <w:spacing w:val="-3"/>
          <w:sz w:val="24"/>
          <w:szCs w:val="24"/>
        </w:rPr>
        <w:t>没有相应指标”等明确的回答文字。</w:t>
      </w:r>
    </w:p>
    <w:p w14:paraId="10ACACF9">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(5)响应语言</w:t>
      </w:r>
      <w:r>
        <w:rPr>
          <w:rFonts w:ascii="宋体" w:hAnsi="宋体" w:eastAsia="宋体" w:cs="宋体"/>
          <w:spacing w:val="-3"/>
          <w:sz w:val="24"/>
          <w:szCs w:val="24"/>
        </w:rPr>
        <w:t>：除专用术语外，与</w:t>
      </w:r>
      <w:r>
        <w:rPr>
          <w:rFonts w:hint="eastAsia" w:ascii="宋体" w:hAnsi="宋体" w:eastAsia="宋体" w:cs="宋体"/>
          <w:spacing w:val="-3"/>
          <w:sz w:val="24"/>
          <w:szCs w:val="24"/>
          <w:lang w:eastAsia="zh-CN"/>
        </w:rPr>
        <w:t>本项目</w:t>
      </w:r>
      <w:r>
        <w:rPr>
          <w:rFonts w:ascii="宋体" w:hAnsi="宋体" w:eastAsia="宋体" w:cs="宋体"/>
          <w:spacing w:val="-3"/>
          <w:sz w:val="24"/>
          <w:szCs w:val="24"/>
        </w:rPr>
        <w:t>有关的磋商响应文件、</w:t>
      </w:r>
      <w:r>
        <w:rPr>
          <w:rFonts w:hint="eastAsia" w:ascii="宋体" w:hAnsi="宋体" w:eastAsia="宋体" w:cs="宋体"/>
          <w:spacing w:val="-3"/>
          <w:sz w:val="24"/>
          <w:szCs w:val="24"/>
          <w:lang w:eastAsia="zh-CN"/>
        </w:rPr>
        <w:t>采购活动中</w:t>
      </w:r>
      <w:r>
        <w:rPr>
          <w:rFonts w:ascii="宋体" w:hAnsi="宋体" w:eastAsia="宋体" w:cs="宋体"/>
          <w:spacing w:val="-3"/>
          <w:sz w:val="24"/>
          <w:szCs w:val="24"/>
        </w:rPr>
        <w:t>交换的文件和往来信件应均使用中文。必要时专用术语应附有中文注释。</w:t>
      </w:r>
    </w:p>
    <w:p w14:paraId="2D3D8A8F">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(6)</w:t>
      </w:r>
      <w:r>
        <w:rPr>
          <w:rFonts w:ascii="宋体" w:hAnsi="宋体" w:eastAsia="宋体" w:cs="宋体"/>
          <w:spacing w:val="-3"/>
          <w:sz w:val="24"/>
          <w:szCs w:val="24"/>
        </w:rPr>
        <w:t>计量单位：除法律规范中另有规定外，磋商响应文件使用的度量衡单位，均应使用中华人民共和国法定计量单位。</w:t>
      </w:r>
    </w:p>
    <w:p w14:paraId="1426F3F8">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(7)响应货币</w:t>
      </w:r>
      <w:r>
        <w:rPr>
          <w:rFonts w:ascii="宋体" w:hAnsi="宋体" w:eastAsia="宋体" w:cs="宋体"/>
          <w:spacing w:val="-3"/>
          <w:sz w:val="24"/>
          <w:szCs w:val="24"/>
        </w:rPr>
        <w:t>：本次</w:t>
      </w:r>
      <w:r>
        <w:rPr>
          <w:rFonts w:hint="eastAsia" w:ascii="宋体" w:hAnsi="宋体" w:eastAsia="宋体" w:cs="宋体"/>
          <w:spacing w:val="-3"/>
          <w:sz w:val="24"/>
          <w:szCs w:val="24"/>
          <w:lang w:eastAsia="zh-CN"/>
        </w:rPr>
        <w:t>采购项目</w:t>
      </w:r>
      <w:r>
        <w:rPr>
          <w:rFonts w:ascii="宋体" w:hAnsi="宋体" w:eastAsia="宋体" w:cs="宋体"/>
          <w:spacing w:val="-3"/>
          <w:sz w:val="24"/>
          <w:szCs w:val="24"/>
        </w:rPr>
        <w:t>的</w:t>
      </w:r>
      <w:r>
        <w:rPr>
          <w:rFonts w:hint="eastAsia" w:ascii="宋体" w:hAnsi="宋体" w:eastAsia="宋体" w:cs="宋体"/>
          <w:spacing w:val="-3"/>
          <w:sz w:val="24"/>
          <w:szCs w:val="24"/>
          <w:lang w:eastAsia="zh-CN"/>
        </w:rPr>
        <w:t>报价</w:t>
      </w:r>
      <w:r>
        <w:rPr>
          <w:rFonts w:ascii="宋体" w:hAnsi="宋体" w:eastAsia="宋体" w:cs="宋体"/>
          <w:spacing w:val="-3"/>
          <w:sz w:val="24"/>
          <w:szCs w:val="24"/>
        </w:rPr>
        <w:t>均以人民币报价。</w:t>
      </w:r>
    </w:p>
    <w:p w14:paraId="7539FF35">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(8)</w:t>
      </w:r>
      <w:r>
        <w:rPr>
          <w:rFonts w:ascii="宋体" w:hAnsi="宋体" w:eastAsia="宋体" w:cs="宋体"/>
          <w:spacing w:val="-3"/>
          <w:sz w:val="24"/>
          <w:szCs w:val="24"/>
        </w:rPr>
        <w:t>联合</w:t>
      </w:r>
      <w:r>
        <w:rPr>
          <w:rFonts w:hint="eastAsia" w:ascii="宋体" w:hAnsi="宋体" w:eastAsia="宋体" w:cs="宋体"/>
          <w:spacing w:val="-3"/>
          <w:sz w:val="24"/>
          <w:szCs w:val="24"/>
          <w:lang w:eastAsia="zh-CN"/>
        </w:rPr>
        <w:t>体</w:t>
      </w:r>
      <w:r>
        <w:rPr>
          <w:rFonts w:ascii="宋体" w:hAnsi="宋体" w:eastAsia="宋体" w:cs="宋体"/>
          <w:spacing w:val="-3"/>
          <w:sz w:val="24"/>
          <w:szCs w:val="24"/>
        </w:rPr>
        <w:t>：本项目不接受联合体。</w:t>
      </w:r>
    </w:p>
    <w:p w14:paraId="0FB6968D">
      <w:pPr>
        <w:pageBreakBefore w:val="0"/>
        <w:kinsoku/>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★2.《磋商响应文件》的组成</w:t>
      </w:r>
    </w:p>
    <w:p w14:paraId="14219DBB">
      <w:pPr>
        <w:pageBreakBefore w:val="0"/>
        <w:kinsoku/>
        <w:topLinePunct w:val="0"/>
        <w:bidi w:val="0"/>
        <w:spacing w:before="180" w:line="218" w:lineRule="auto"/>
        <w:ind w:left="47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w:t>
      </w:r>
      <w:r>
        <w:rPr>
          <w:rFonts w:ascii="宋体" w:hAnsi="宋体" w:eastAsia="宋体" w:cs="宋体"/>
          <w:spacing w:val="-3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商务文件部分、</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spacing w:val="-1"/>
          <w:sz w:val="24"/>
          <w:szCs w:val="24"/>
          <w14:textOutline w14:w="4358" w14:cap="sq" w14:cmpd="sng">
            <w14:solidFill>
              <w14:srgbClr w14:val="000000"/>
            </w14:solidFill>
            <w14:prstDash w14:val="solid"/>
            <w14:bevel/>
          </w14:textOutline>
        </w:rPr>
        <w:t>部分应包括：</w:t>
      </w:r>
    </w:p>
    <w:p w14:paraId="4E9D54B9">
      <w:pPr>
        <w:pageBreakBefore w:val="0"/>
        <w:kinsoku/>
        <w:topLinePunct w:val="0"/>
        <w:bidi w:val="0"/>
        <w:spacing w:before="183" w:line="219" w:lineRule="auto"/>
        <w:ind w:left="514"/>
        <w:rPr>
          <w:rFonts w:ascii="宋体" w:hAnsi="宋体" w:eastAsia="宋体" w:cs="宋体"/>
          <w:sz w:val="24"/>
          <w:szCs w:val="24"/>
        </w:rPr>
      </w:pPr>
      <w:r>
        <w:rPr>
          <w:rFonts w:ascii="宋体" w:hAnsi="宋体" w:eastAsia="宋体" w:cs="宋体"/>
          <w:spacing w:val="-6"/>
          <w:sz w:val="24"/>
          <w:szCs w:val="24"/>
        </w:rPr>
        <w:t>目录（编制连续页码）</w:t>
      </w:r>
    </w:p>
    <w:p w14:paraId="11FEA123">
      <w:pPr>
        <w:pageBreakBefore w:val="0"/>
        <w:kinsoku/>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报价文件部分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14:paraId="0BFADC6D">
      <w:pPr>
        <w:pageBreakBefore w:val="0"/>
        <w:kinsoku/>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商务技术文件部分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14:paraId="254FF983">
      <w:pPr>
        <w:pageBreakBefore w:val="0"/>
        <w:kinsoku/>
        <w:topLinePunct w:val="0"/>
        <w:bidi w:val="0"/>
        <w:spacing w:before="180" w:line="218" w:lineRule="auto"/>
        <w:ind w:left="245"/>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3.价格</w:t>
      </w:r>
    </w:p>
    <w:p w14:paraId="2DA3EDEF">
      <w:pPr>
        <w:pageBreakBefore w:val="0"/>
        <w:kinsoku/>
        <w:topLinePunct w:val="0"/>
        <w:bidi w:val="0"/>
        <w:spacing w:before="185" w:line="218" w:lineRule="auto"/>
        <w:ind w:left="480"/>
        <w:rPr>
          <w:rFonts w:ascii="宋体" w:hAnsi="宋体" w:eastAsia="宋体" w:cs="宋体"/>
          <w:sz w:val="24"/>
          <w:szCs w:val="24"/>
        </w:rPr>
      </w:pP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(1)</w:t>
      </w:r>
      <w:r>
        <w:rPr>
          <w:rFonts w:ascii="宋体" w:hAnsi="宋体" w:eastAsia="宋体" w:cs="宋体"/>
          <w:spacing w:val="-2"/>
          <w:sz w:val="24"/>
          <w:szCs w:val="24"/>
          <w14:textOutline w14:w="4358" w14:cap="sq" w14:cmpd="sng">
            <w14:solidFill>
              <w14:srgbClr w14:val="000000"/>
            </w14:solidFill>
            <w14:prstDash w14:val="solid"/>
            <w14:bevel/>
          </w14:textOutline>
        </w:rPr>
        <w:t>报价方式：</w:t>
      </w:r>
    </w:p>
    <w:p w14:paraId="245C24BB">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供应商应按磋商文件规定的要求、责任范围和合同条件，以人民币进行报价</w:t>
      </w:r>
    </w:p>
    <w:p w14:paraId="6EFBCD1F">
      <w:pPr>
        <w:pageBreakBefore w:val="0"/>
        <w:kinsoku/>
        <w:topLinePunct w:val="0"/>
        <w:bidi w:val="0"/>
        <w:spacing w:before="182" w:line="218" w:lineRule="auto"/>
        <w:ind w:left="245"/>
        <w:rPr>
          <w:rFonts w:ascii="宋体" w:hAnsi="宋体" w:eastAsia="宋体" w:cs="宋体"/>
          <w:sz w:val="24"/>
          <w:szCs w:val="24"/>
        </w:rPr>
      </w:pP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(2)</w:t>
      </w:r>
      <w:r>
        <w:rPr>
          <w:rFonts w:ascii="宋体" w:hAnsi="宋体" w:eastAsia="宋体" w:cs="宋体"/>
          <w:spacing w:val="-2"/>
          <w:sz w:val="24"/>
          <w:szCs w:val="24"/>
          <w14:textOutline w14:w="4358" w14:cap="sq" w14:cmpd="sng">
            <w14:solidFill>
              <w14:srgbClr w14:val="000000"/>
            </w14:solidFill>
            <w14:prstDash w14:val="solid"/>
            <w14:bevel/>
          </w14:textOutline>
        </w:rPr>
        <w:t>报价要求：</w:t>
      </w:r>
    </w:p>
    <w:p w14:paraId="1553114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①本项目只允许供应商在磋商响应文件中有一个</w:t>
      </w:r>
      <w:r>
        <w:rPr>
          <w:rFonts w:hint="eastAsia" w:ascii="宋体" w:hAnsi="宋体" w:eastAsia="宋体" w:cs="宋体"/>
          <w:spacing w:val="-3"/>
          <w:sz w:val="24"/>
          <w:szCs w:val="24"/>
          <w:lang w:eastAsia="zh-CN"/>
        </w:rPr>
        <w:t>方案和报价</w:t>
      </w:r>
      <w:r>
        <w:rPr>
          <w:rFonts w:ascii="宋体" w:hAnsi="宋体" w:eastAsia="宋体" w:cs="宋体"/>
          <w:spacing w:val="-3"/>
          <w:sz w:val="24"/>
          <w:szCs w:val="24"/>
        </w:rPr>
        <w:t>，不接受任何有选择的方案和报价；供应商未按要求，提供了选择方案和/或报价的，其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14:paraId="29FD6A4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供应商按磋商文件要求填写“开标一览表”。</w:t>
      </w:r>
    </w:p>
    <w:p w14:paraId="67038FED">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报价：本次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的报价，</w:t>
      </w:r>
      <w:r>
        <w:rPr>
          <w:rFonts w:hint="eastAsia" w:ascii="宋体" w:hAnsi="宋体" w:eastAsia="宋体" w:cs="宋体"/>
          <w:spacing w:val="-3"/>
          <w:sz w:val="24"/>
          <w:szCs w:val="24"/>
          <w:lang w:eastAsia="zh-CN"/>
        </w:rPr>
        <w:t>含</w:t>
      </w:r>
      <w:r>
        <w:rPr>
          <w:rFonts w:ascii="宋体" w:hAnsi="宋体" w:eastAsia="宋体" w:cs="宋体"/>
          <w:spacing w:val="-3"/>
          <w:sz w:val="24"/>
          <w:szCs w:val="24"/>
        </w:rPr>
        <w:t>服务地点、验收合格、交付使用售后服务等的人民币报价。综合单价</w:t>
      </w:r>
      <w:r>
        <w:rPr>
          <w:rFonts w:hint="eastAsia" w:ascii="宋体" w:hAnsi="宋体" w:eastAsia="宋体" w:cs="宋体"/>
          <w:spacing w:val="-3"/>
          <w:sz w:val="24"/>
          <w:szCs w:val="24"/>
          <w:lang w:eastAsia="zh-CN"/>
        </w:rPr>
        <w:t>包括</w:t>
      </w:r>
      <w:r>
        <w:rPr>
          <w:rFonts w:ascii="宋体" w:hAnsi="宋体" w:eastAsia="宋体" w:cs="宋体"/>
          <w:spacing w:val="-3"/>
          <w:sz w:val="24"/>
          <w:szCs w:val="24"/>
        </w:rPr>
        <w:t>供应商的人工、保险、利润、税金、政策性文件的规定以及包括合同明示或暗示的所有一切风险、责任和义务的费用，本次报价必须考虑。</w:t>
      </w:r>
    </w:p>
    <w:p w14:paraId="3B6E4B70">
      <w:pPr>
        <w:pageBreakBefore w:val="0"/>
        <w:kinsoku/>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★4.磋商响应文件格式</w:t>
      </w:r>
    </w:p>
    <w:p w14:paraId="71C58292">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供应商应按《磋商文件》的内容与要求和第五章提供的格式</w:t>
      </w:r>
      <w:r>
        <w:rPr>
          <w:rFonts w:hint="eastAsia" w:ascii="宋体" w:hAnsi="宋体" w:eastAsia="宋体" w:cs="宋体"/>
          <w:spacing w:val="-3"/>
          <w:sz w:val="24"/>
          <w:szCs w:val="24"/>
          <w:lang w:eastAsia="zh-CN"/>
        </w:rPr>
        <w:t>编写</w:t>
      </w:r>
      <w:r>
        <w:rPr>
          <w:rFonts w:ascii="宋体" w:hAnsi="宋体" w:eastAsia="宋体" w:cs="宋体"/>
          <w:spacing w:val="-3"/>
          <w:sz w:val="24"/>
          <w:szCs w:val="24"/>
        </w:rPr>
        <w:t>《磋商响应文件》，供应商不得空留或缺少任何《磋商文件》要求填写的表格或提交的资料，未列出格式的部分供应商可自行编制。</w:t>
      </w:r>
    </w:p>
    <w:p w14:paraId="43873BB4">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4.2 供应商提交的《磋商响应文件》中全部资料必须真实可靠，并接受采购人、</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对其中任何资料进一步审查的要求。</w:t>
      </w:r>
    </w:p>
    <w:p w14:paraId="29C3114C">
      <w:pPr>
        <w:pageBreakBefore w:val="0"/>
        <w:kinsoku/>
        <w:topLinePunct w:val="0"/>
        <w:bidi w:val="0"/>
        <w:spacing w:before="182" w:line="220" w:lineRule="auto"/>
        <w:ind w:left="4"/>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★5.投标有效期</w:t>
      </w:r>
    </w:p>
    <w:p w14:paraId="1FFF66A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磋商响应文件有效期从</w:t>
      </w:r>
      <w:r>
        <w:rPr>
          <w:rFonts w:hint="eastAsia" w:ascii="宋体" w:hAnsi="宋体" w:eastAsia="宋体" w:cs="宋体"/>
          <w:i w:val="0"/>
          <w:iCs w:val="0"/>
          <w:caps w:val="0"/>
          <w:color w:val="333333"/>
          <w:spacing w:val="0"/>
          <w:sz w:val="24"/>
          <w:szCs w:val="24"/>
          <w:shd w:val="clear" w:fill="FFFFFF"/>
        </w:rPr>
        <w:t>响应文件提交的截止时间</w:t>
      </w:r>
      <w:r>
        <w:rPr>
          <w:rFonts w:ascii="宋体" w:hAnsi="宋体" w:eastAsia="宋体" w:cs="宋体"/>
          <w:spacing w:val="-3"/>
          <w:sz w:val="24"/>
          <w:szCs w:val="24"/>
        </w:rPr>
        <w:t>起计算</w:t>
      </w:r>
      <w:r>
        <w:rPr>
          <w:rFonts w:hint="eastAsia" w:ascii="宋体" w:hAnsi="宋体" w:eastAsia="宋体" w:cs="宋体"/>
          <w:spacing w:val="-3"/>
          <w:sz w:val="24"/>
          <w:szCs w:val="24"/>
          <w:lang w:val="en-US" w:eastAsia="zh-CN"/>
        </w:rPr>
        <w:t>60</w:t>
      </w:r>
      <w:r>
        <w:rPr>
          <w:rFonts w:ascii="宋体" w:hAnsi="宋体" w:eastAsia="宋体" w:cs="宋体"/>
          <w:spacing w:val="-3"/>
          <w:sz w:val="24"/>
          <w:szCs w:val="24"/>
        </w:rPr>
        <w:t>天，</w:t>
      </w:r>
      <w:r>
        <w:rPr>
          <w:rFonts w:hint="eastAsia" w:ascii="宋体" w:hAnsi="宋体" w:eastAsia="宋体" w:cs="宋体"/>
          <w:spacing w:val="-3"/>
          <w:sz w:val="24"/>
          <w:szCs w:val="24"/>
          <w:lang w:eastAsia="zh-CN"/>
        </w:rPr>
        <w:t>供应商需作出响应，</w:t>
      </w:r>
      <w:r>
        <w:rPr>
          <w:rFonts w:ascii="宋体" w:hAnsi="宋体" w:eastAsia="宋体" w:cs="宋体"/>
          <w:spacing w:val="-3"/>
          <w:sz w:val="24"/>
          <w:szCs w:val="24"/>
        </w:rPr>
        <w:t>有效期</w:t>
      </w:r>
      <w:r>
        <w:rPr>
          <w:rFonts w:hint="eastAsia" w:ascii="宋体" w:hAnsi="宋体" w:eastAsia="宋体" w:cs="宋体"/>
          <w:spacing w:val="-3"/>
          <w:sz w:val="24"/>
          <w:szCs w:val="24"/>
          <w:lang w:eastAsia="zh-CN"/>
        </w:rPr>
        <w:t>未响应或</w:t>
      </w:r>
      <w:r>
        <w:rPr>
          <w:rFonts w:ascii="宋体" w:hAnsi="宋体" w:eastAsia="宋体" w:cs="宋体"/>
          <w:spacing w:val="-3"/>
          <w:sz w:val="24"/>
          <w:szCs w:val="24"/>
        </w:rPr>
        <w:t>短于该规定期限的磋商响应文件将被拒绝。在此期限内，供应商不得要求撤销或修改其磋商响应文件。</w:t>
      </w:r>
    </w:p>
    <w:p w14:paraId="22A495D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若供应商被确定为本次</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，则其作为本项目</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的资格。</w:t>
      </w:r>
    </w:p>
    <w:p w14:paraId="39A48CF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在特殊情况下，采购人在原定有效期内，可以根据需要以书面形式向供应商提出延长有效期的要求，对此要求供应商须以书面形式予以答复。供应商可以拒绝采购人这种要求，而不被没收</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。同意延长有效期的供应商既不能要求也不允许修改其磋商响应文件，但需要相应</w:t>
      </w:r>
      <w:r>
        <w:rPr>
          <w:rFonts w:hint="eastAsia" w:ascii="宋体" w:hAnsi="宋体" w:eastAsia="宋体" w:cs="宋体"/>
          <w:spacing w:val="-3"/>
          <w:sz w:val="24"/>
          <w:szCs w:val="24"/>
          <w:lang w:eastAsia="zh-CN"/>
        </w:rPr>
        <w:t>地</w:t>
      </w:r>
      <w:r>
        <w:rPr>
          <w:rFonts w:ascii="宋体" w:hAnsi="宋体" w:eastAsia="宋体" w:cs="宋体"/>
          <w:spacing w:val="-3"/>
          <w:sz w:val="24"/>
          <w:szCs w:val="24"/>
        </w:rPr>
        <w:t>延长</w:t>
      </w:r>
      <w:r>
        <w:rPr>
          <w:rFonts w:hint="eastAsia" w:ascii="宋体" w:hAnsi="宋体" w:eastAsia="宋体" w:cs="宋体"/>
          <w:spacing w:val="-3"/>
          <w:sz w:val="24"/>
          <w:szCs w:val="24"/>
          <w:lang w:eastAsia="zh-CN"/>
        </w:rPr>
        <w:t>磋商</w:t>
      </w:r>
      <w:r>
        <w:rPr>
          <w:rFonts w:ascii="宋体" w:hAnsi="宋体" w:eastAsia="宋体" w:cs="宋体"/>
          <w:spacing w:val="-3"/>
          <w:sz w:val="24"/>
          <w:szCs w:val="24"/>
        </w:rPr>
        <w:t>担保的有效期，在延长的有效期内本须知第30条关于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的退还与没收的规定仍然适用。</w:t>
      </w:r>
    </w:p>
    <w:p w14:paraId="7DB8ADB1">
      <w:pPr>
        <w:pageBreakBefore w:val="0"/>
        <w:kinsoku/>
        <w:topLinePunct w:val="0"/>
        <w:bidi w:val="0"/>
        <w:spacing w:before="180" w:line="220" w:lineRule="auto"/>
        <w:ind w:left="2"/>
        <w:outlineLvl w:val="2"/>
        <w:rPr>
          <w:rFonts w:hint="eastAsia" w:ascii="宋体" w:hAnsi="宋体" w:eastAsia="宋体" w:cs="宋体"/>
          <w:sz w:val="24"/>
          <w:szCs w:val="24"/>
          <w:lang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6.</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磋商保证金</w:t>
      </w:r>
    </w:p>
    <w:p w14:paraId="534A2FA6">
      <w:pPr>
        <w:pageBreakBefore w:val="0"/>
        <w:kinsoku/>
        <w:topLinePunct w:val="0"/>
        <w:bidi w:val="0"/>
        <w:spacing w:before="181" w:line="219" w:lineRule="auto"/>
        <w:ind w:left="481"/>
        <w:rPr>
          <w:rFonts w:hint="eastAsia" w:ascii="宋体" w:hAnsi="宋体" w:eastAsia="宋体" w:cs="宋体"/>
          <w:sz w:val="24"/>
          <w:szCs w:val="24"/>
          <w:lang w:eastAsia="zh-CN"/>
        </w:rPr>
      </w:pPr>
      <w:r>
        <w:rPr>
          <w:rFonts w:ascii="宋体" w:hAnsi="宋体" w:eastAsia="宋体" w:cs="宋体"/>
          <w:spacing w:val="-1"/>
          <w:sz w:val="24"/>
          <w:szCs w:val="24"/>
        </w:rPr>
        <w:t>本项目无须缴纳</w:t>
      </w:r>
      <w:r>
        <w:rPr>
          <w:rFonts w:hint="eastAsia" w:ascii="宋体" w:hAnsi="宋体" w:eastAsia="宋体" w:cs="宋体"/>
          <w:spacing w:val="-1"/>
          <w:sz w:val="24"/>
          <w:szCs w:val="24"/>
          <w:lang w:eastAsia="zh-CN"/>
        </w:rPr>
        <w:t>磋商保证金</w:t>
      </w:r>
    </w:p>
    <w:p w14:paraId="424158AC">
      <w:pPr>
        <w:pageBreakBefore w:val="0"/>
        <w:kinsoku/>
        <w:topLinePunct w:val="0"/>
        <w:bidi w:val="0"/>
        <w:spacing w:before="182" w:line="219" w:lineRule="auto"/>
        <w:ind w:left="4"/>
        <w:outlineLvl w:val="2"/>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pacing w:val="-1"/>
          <w:sz w:val="24"/>
          <w:szCs w:val="24"/>
          <w14:textOutline w14:w="4358" w14:cap="sq" w14:cmpd="sng">
            <w14:solidFill>
              <w14:srgbClr w14:val="000000"/>
            </w14:solidFill>
            <w14:prstDash w14:val="solid"/>
            <w14:bevel/>
          </w14:textOutline>
        </w:rPr>
        <w:t>7.磋商响应文件的印制和签署</w:t>
      </w:r>
    </w:p>
    <w:p w14:paraId="04592B3E">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供应商应按“供应商须知前附表”规定的份数提交《磋商响应文件》，否则视为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14:paraId="6EA0419A">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响应文件电子版要求：按照本</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“第五章 响应文件格式”编写（第五章未 附格式的，由供应商自行拟定），不可涂改并在规定加盖公章处加盖电子</w:t>
      </w:r>
      <w:r>
        <w:rPr>
          <w:rFonts w:hint="eastAsia" w:ascii="宋体" w:hAnsi="宋体" w:eastAsia="宋体" w:cs="宋体"/>
          <w:spacing w:val="-3"/>
          <w:sz w:val="24"/>
          <w:szCs w:val="24"/>
          <w:lang w:eastAsia="zh-CN"/>
        </w:rPr>
        <w:t>印章</w:t>
      </w:r>
      <w:r>
        <w:rPr>
          <w:rFonts w:ascii="宋体" w:hAnsi="宋体" w:eastAsia="宋体" w:cs="宋体"/>
          <w:spacing w:val="-3"/>
          <w:sz w:val="24"/>
          <w:szCs w:val="24"/>
        </w:rPr>
        <w:t>，否则响应文件按无效响应处理。</w:t>
      </w:r>
    </w:p>
    <w:p w14:paraId="573ACD8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7.3 响应文件电子版密封方式：电子响应文件通过平台有效CA加密后在“政采云”平台投送。（操作方式见公告要求“电子响应文件制作与投送教程”）</w:t>
      </w:r>
    </w:p>
    <w:p w14:paraId="6F05675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7.4 本项目采用电子</w:t>
      </w:r>
      <w:r>
        <w:rPr>
          <w:rFonts w:hint="eastAsia" w:ascii="宋体" w:hAnsi="宋体" w:eastAsia="宋体" w:cs="宋体"/>
          <w:spacing w:val="-3"/>
          <w:sz w:val="24"/>
          <w:szCs w:val="24"/>
          <w:lang w:eastAsia="zh-CN"/>
        </w:rPr>
        <w:t>流程</w:t>
      </w:r>
      <w:r>
        <w:rPr>
          <w:rFonts w:ascii="宋体" w:hAnsi="宋体" w:eastAsia="宋体" w:cs="宋体"/>
          <w:spacing w:val="-3"/>
          <w:sz w:val="24"/>
          <w:szCs w:val="24"/>
        </w:rPr>
        <w:t>，</w:t>
      </w:r>
      <w:r>
        <w:rPr>
          <w:rFonts w:hint="eastAsia" w:ascii="宋体" w:hAnsi="宋体" w:eastAsia="宋体" w:cs="宋体"/>
          <w:spacing w:val="-3"/>
          <w:sz w:val="24"/>
          <w:szCs w:val="24"/>
          <w:lang w:eastAsia="zh-CN"/>
        </w:rPr>
        <w:t>会议</w:t>
      </w:r>
      <w:r>
        <w:rPr>
          <w:rFonts w:ascii="宋体" w:hAnsi="宋体" w:eastAsia="宋体" w:cs="宋体"/>
          <w:spacing w:val="-3"/>
          <w:sz w:val="24"/>
          <w:szCs w:val="24"/>
        </w:rPr>
        <w:t>现场无需提供纸质版</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在</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公示期满后提交三套纸质版响应文件给代理机构存档备案。</w:t>
      </w:r>
    </w:p>
    <w:p w14:paraId="1E322D30">
      <w:pPr>
        <w:pageBreakBefore w:val="0"/>
        <w:kinsoku/>
        <w:topLinePunct w:val="0"/>
        <w:bidi w:val="0"/>
        <w:spacing w:before="178" w:line="360" w:lineRule="auto"/>
        <w:ind w:right="59" w:firstLine="498"/>
        <w:rPr>
          <w:rFonts w:ascii="宋体" w:hAnsi="宋体" w:eastAsia="宋体" w:cs="宋体"/>
          <w:b/>
          <w:bCs/>
          <w:spacing w:val="-3"/>
          <w:sz w:val="24"/>
          <w:szCs w:val="24"/>
        </w:rPr>
      </w:pPr>
      <w:r>
        <w:rPr>
          <w:rFonts w:ascii="宋体" w:hAnsi="宋体" w:eastAsia="宋体" w:cs="宋体"/>
          <w:b/>
          <w:bCs/>
          <w:spacing w:val="-3"/>
          <w:sz w:val="24"/>
          <w:szCs w:val="24"/>
        </w:rPr>
        <w:t>特别提示：提交的纸质版《</w:t>
      </w:r>
      <w:r>
        <w:rPr>
          <w:rFonts w:hint="eastAsia" w:ascii="宋体" w:hAnsi="宋体" w:eastAsia="宋体" w:cs="宋体"/>
          <w:b/>
          <w:bCs/>
          <w:spacing w:val="-3"/>
          <w:sz w:val="24"/>
          <w:szCs w:val="24"/>
          <w:lang w:eastAsia="zh-CN"/>
        </w:rPr>
        <w:t>响应文件</w:t>
      </w:r>
      <w:r>
        <w:rPr>
          <w:rFonts w:ascii="宋体" w:hAnsi="宋体" w:eastAsia="宋体" w:cs="宋体"/>
          <w:b/>
          <w:bCs/>
          <w:spacing w:val="-3"/>
          <w:sz w:val="24"/>
          <w:szCs w:val="24"/>
        </w:rPr>
        <w:t>》内容与</w:t>
      </w:r>
      <w:r>
        <w:rPr>
          <w:rFonts w:hint="eastAsia" w:ascii="宋体" w:hAnsi="宋体" w:eastAsia="宋体" w:cs="宋体"/>
          <w:b/>
          <w:bCs/>
          <w:spacing w:val="-3"/>
          <w:sz w:val="24"/>
          <w:szCs w:val="24"/>
          <w:lang w:eastAsia="zh-CN"/>
        </w:rPr>
        <w:t>会议</w:t>
      </w:r>
      <w:r>
        <w:rPr>
          <w:rFonts w:ascii="宋体" w:hAnsi="宋体" w:eastAsia="宋体" w:cs="宋体"/>
          <w:b/>
          <w:bCs/>
          <w:spacing w:val="-3"/>
          <w:sz w:val="24"/>
          <w:szCs w:val="24"/>
        </w:rPr>
        <w:t>时</w:t>
      </w:r>
      <w:r>
        <w:rPr>
          <w:rFonts w:hint="eastAsia" w:ascii="宋体" w:hAnsi="宋体" w:eastAsia="宋体" w:cs="宋体"/>
          <w:b/>
          <w:bCs/>
          <w:spacing w:val="-3"/>
          <w:sz w:val="24"/>
          <w:szCs w:val="24"/>
          <w:lang w:eastAsia="zh-CN"/>
        </w:rPr>
        <w:t>提交的</w:t>
      </w:r>
      <w:r>
        <w:rPr>
          <w:rFonts w:ascii="宋体" w:hAnsi="宋体" w:eastAsia="宋体" w:cs="宋体"/>
          <w:b/>
          <w:bCs/>
          <w:spacing w:val="-3"/>
          <w:sz w:val="24"/>
          <w:szCs w:val="24"/>
        </w:rPr>
        <w:t>电子</w:t>
      </w:r>
      <w:r>
        <w:rPr>
          <w:rFonts w:hint="eastAsia" w:ascii="宋体" w:hAnsi="宋体" w:eastAsia="宋体" w:cs="宋体"/>
          <w:b/>
          <w:bCs/>
          <w:spacing w:val="-3"/>
          <w:sz w:val="24"/>
          <w:szCs w:val="24"/>
          <w:lang w:eastAsia="zh-CN"/>
        </w:rPr>
        <w:t>《响应文件》应当</w:t>
      </w:r>
      <w:r>
        <w:rPr>
          <w:rFonts w:ascii="宋体" w:hAnsi="宋体" w:eastAsia="宋体" w:cs="宋体"/>
          <w:b/>
          <w:bCs/>
          <w:spacing w:val="-3"/>
          <w:sz w:val="24"/>
          <w:szCs w:val="24"/>
        </w:rPr>
        <w:t>完全一致。</w:t>
      </w:r>
    </w:p>
    <w:p w14:paraId="222D821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7.5 除供应商对错误处须修改外，全套《磋商响应文件》</w:t>
      </w:r>
      <w:r>
        <w:rPr>
          <w:rFonts w:hint="eastAsia" w:ascii="宋体" w:hAnsi="宋体" w:eastAsia="宋体" w:cs="宋体"/>
          <w:spacing w:val="-3"/>
          <w:sz w:val="24"/>
          <w:szCs w:val="24"/>
          <w:lang w:eastAsia="zh-CN"/>
        </w:rPr>
        <w:t>应当</w:t>
      </w:r>
      <w:r>
        <w:rPr>
          <w:rFonts w:ascii="宋体" w:hAnsi="宋体" w:eastAsia="宋体" w:cs="宋体"/>
          <w:spacing w:val="-3"/>
          <w:sz w:val="24"/>
          <w:szCs w:val="24"/>
        </w:rPr>
        <w:t>无涂改或行间插字和增删。如有修改，修改处应由供应商加盖</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w:t>
      </w:r>
      <w:r>
        <w:rPr>
          <w:rFonts w:hint="eastAsia" w:ascii="宋体" w:hAnsi="宋体" w:eastAsia="宋体" w:cs="宋体"/>
          <w:spacing w:val="-3"/>
          <w:sz w:val="24"/>
          <w:szCs w:val="24"/>
          <w:lang w:eastAsia="zh-CN"/>
        </w:rPr>
        <w:t>电子印章</w:t>
      </w:r>
      <w:r>
        <w:rPr>
          <w:rFonts w:ascii="宋体" w:hAnsi="宋体" w:eastAsia="宋体" w:cs="宋体"/>
          <w:spacing w:val="-3"/>
          <w:sz w:val="24"/>
          <w:szCs w:val="24"/>
        </w:rPr>
        <w:t>或由《磋商响应文件》签字人签字或盖章。字迹潦草、表达不清或可能导致非唯一理解的磋商响应文件可能视为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14:paraId="3F1DC655">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7.6 《磋商响应文件》应根据《磋商文件》的要求签署及盖章，内容应完整详细，如有遗漏，将被视为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14:paraId="00DC686D">
      <w:pPr>
        <w:pStyle w:val="5"/>
        <w:pageBreakBefore w:val="0"/>
        <w:kinsoku/>
        <w:topLinePunct w:val="0"/>
        <w:bidi w:val="0"/>
        <w:spacing w:line="335" w:lineRule="auto"/>
      </w:pPr>
    </w:p>
    <w:p w14:paraId="08C75C99">
      <w:pPr>
        <w:pageBreakBefore w:val="0"/>
        <w:kinsoku/>
        <w:topLinePunct w:val="0"/>
        <w:bidi w:val="0"/>
        <w:spacing w:before="91" w:line="220" w:lineRule="auto"/>
        <w:ind w:left="2381"/>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（五）磋商响应文件的提交及相关事项</w:t>
      </w:r>
    </w:p>
    <w:p w14:paraId="00A4202A">
      <w:pPr>
        <w:pageBreakBefore w:val="0"/>
        <w:kinsoku/>
        <w:topLinePunct w:val="0"/>
        <w:bidi w:val="0"/>
        <w:spacing w:before="204"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1.磋商响应文件的密封和标记</w:t>
      </w:r>
    </w:p>
    <w:p w14:paraId="1301E163">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1.1.电子</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使用“新疆维吾尔自治区全流程电子招投标项目管理系统</w:t>
      </w:r>
      <w:r>
        <w:rPr>
          <w:rFonts w:hint="eastAsia" w:ascii="宋体" w:hAnsi="宋体" w:eastAsia="宋体" w:cs="宋体"/>
          <w:spacing w:val="-3"/>
          <w:sz w:val="24"/>
          <w:szCs w:val="24"/>
          <w:lang w:eastAsia="zh-CN"/>
        </w:rPr>
        <w:t>——</w:t>
      </w:r>
      <w:r>
        <w:rPr>
          <w:rFonts w:ascii="宋体" w:hAnsi="宋体" w:eastAsia="宋体" w:cs="宋体"/>
          <w:spacing w:val="-3"/>
          <w:sz w:val="24"/>
          <w:szCs w:val="24"/>
        </w:rPr>
        <w:t>供应商客户端”制作完成，生成电子加密标书（ .jmbs）上传至政采云平台。</w:t>
      </w:r>
    </w:p>
    <w:p w14:paraId="5CE1AB85">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1.2.供应商制作电子</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加密文件应与开标现场解密时的数字证书（CA 锁）同为一把，若因数字证书（CA 锁）不是同一把锁导致现场解密失败的，供应商自行承担后果。</w:t>
      </w:r>
    </w:p>
    <w:p w14:paraId="357776C6">
      <w:pPr>
        <w:pStyle w:val="5"/>
        <w:pageBreakBefore w:val="0"/>
        <w:kinsoku/>
        <w:topLinePunct w:val="0"/>
        <w:bidi w:val="0"/>
        <w:spacing w:line="242" w:lineRule="auto"/>
      </w:pPr>
      <w:r>
        <w:rPr>
          <w:rFonts w:ascii="宋体" w:hAnsi="宋体" w:eastAsia="宋体" w:cs="宋体"/>
          <w:spacing w:val="-1"/>
          <w:sz w:val="24"/>
          <w:szCs w:val="24"/>
          <w14:textOutline w14:w="4358" w14:cap="sq" w14:cmpd="sng">
            <w14:solidFill>
              <w14:srgbClr w14:val="000000"/>
            </w14:solidFill>
            <w14:prstDash w14:val="solid"/>
            <w14:bevel/>
          </w14:textOutline>
        </w:rPr>
        <w:t>2.磋商响应文件的提交</w:t>
      </w:r>
    </w:p>
    <w:p w14:paraId="65657C3F">
      <w:pPr>
        <w:pStyle w:val="5"/>
        <w:pageBreakBefore w:val="0"/>
        <w:kinsoku/>
        <w:topLinePunct w:val="0"/>
        <w:bidi w:val="0"/>
        <w:spacing w:line="242" w:lineRule="auto"/>
      </w:pPr>
    </w:p>
    <w:p w14:paraId="1274B4F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供应商应按本须知前附表所规定的地点，于递交截止时间前提交磋商响应文件。</w:t>
      </w:r>
    </w:p>
    <w:p w14:paraId="272C7C3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2.2 </w:t>
      </w:r>
      <w:r>
        <w:rPr>
          <w:rFonts w:hint="eastAsia" w:ascii="宋体" w:hAnsi="宋体" w:eastAsia="宋体" w:cs="宋体"/>
          <w:i w:val="0"/>
          <w:iCs w:val="0"/>
          <w:caps w:val="0"/>
          <w:color w:val="333333"/>
          <w:spacing w:val="0"/>
          <w:sz w:val="24"/>
          <w:szCs w:val="24"/>
          <w:shd w:val="clear" w:fill="FFFFFF"/>
        </w:rPr>
        <w:t>提交</w:t>
      </w:r>
      <w:r>
        <w:rPr>
          <w:rFonts w:hint="eastAsia" w:ascii="宋体" w:hAnsi="宋体" w:eastAsia="宋体" w:cs="宋体"/>
          <w:i w:val="0"/>
          <w:iCs w:val="0"/>
          <w:caps w:val="0"/>
          <w:color w:val="333333"/>
          <w:spacing w:val="0"/>
          <w:sz w:val="24"/>
          <w:szCs w:val="24"/>
          <w:shd w:val="clear" w:fill="FFFFFF"/>
          <w:lang w:eastAsia="zh-CN"/>
        </w:rPr>
        <w:t>首次</w:t>
      </w:r>
      <w:r>
        <w:rPr>
          <w:rFonts w:hint="eastAsia" w:ascii="宋体" w:hAnsi="宋体" w:eastAsia="宋体" w:cs="宋体"/>
          <w:i w:val="0"/>
          <w:iCs w:val="0"/>
          <w:caps w:val="0"/>
          <w:color w:val="333333"/>
          <w:spacing w:val="0"/>
          <w:sz w:val="24"/>
          <w:szCs w:val="24"/>
          <w:shd w:val="clear" w:fill="FFFFFF"/>
        </w:rPr>
        <w:t>响应文件截止时间</w:t>
      </w:r>
      <w:r>
        <w:rPr>
          <w:rFonts w:ascii="宋体" w:hAnsi="宋体" w:eastAsia="宋体" w:cs="宋体"/>
          <w:spacing w:val="-3"/>
          <w:sz w:val="24"/>
          <w:szCs w:val="24"/>
        </w:rPr>
        <w:t>为《磋商文件》“供应商须知前附表”中规定时间，逾期的《磋商响应文件》</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和采购人概不接受。</w:t>
      </w:r>
    </w:p>
    <w:p w14:paraId="7E575C12">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到</w:t>
      </w:r>
      <w:r>
        <w:rPr>
          <w:rFonts w:hint="eastAsia" w:ascii="宋体" w:hAnsi="宋体" w:eastAsia="宋体" w:cs="宋体"/>
          <w:spacing w:val="-3"/>
          <w:sz w:val="24"/>
          <w:szCs w:val="24"/>
          <w:lang w:eastAsia="zh-CN"/>
        </w:rPr>
        <w:t>提交首次响应文件</w:t>
      </w:r>
      <w:r>
        <w:rPr>
          <w:rFonts w:ascii="宋体" w:hAnsi="宋体" w:eastAsia="宋体" w:cs="宋体"/>
          <w:spacing w:val="-3"/>
          <w:sz w:val="24"/>
          <w:szCs w:val="24"/>
        </w:rPr>
        <w:t>截止时间止，采购人收到的磋商响应文件少于3个的，采购人将依法重新组织</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w:t>
      </w:r>
    </w:p>
    <w:p w14:paraId="18CA22E8">
      <w:pPr>
        <w:pageBreakBefore w:val="0"/>
        <w:kinsoku/>
        <w:topLinePunct w:val="0"/>
        <w:bidi w:val="0"/>
        <w:spacing w:before="98" w:line="220" w:lineRule="auto"/>
        <w:ind w:left="4024"/>
        <w:outlineLvl w:val="1"/>
        <w:rPr>
          <w:rFonts w:hint="eastAsia" w:ascii="宋体" w:hAnsi="宋体" w:eastAsia="宋体" w:cs="宋体"/>
          <w:sz w:val="30"/>
          <w:szCs w:val="30"/>
          <w:lang w:eastAsia="zh-CN"/>
        </w:rPr>
      </w:pPr>
      <w:r>
        <w:rPr>
          <w:rFonts w:ascii="宋体" w:hAnsi="宋体" w:eastAsia="宋体" w:cs="宋体"/>
          <w:spacing w:val="-5"/>
          <w:sz w:val="30"/>
          <w:szCs w:val="30"/>
          <w14:textOutline w14:w="5448" w14:cap="sq" w14:cmpd="sng">
            <w14:solidFill>
              <w14:srgbClr w14:val="000000"/>
            </w14:solidFill>
            <w14:prstDash w14:val="solid"/>
            <w14:bevel/>
          </w14:textOutline>
        </w:rPr>
        <w:t>（六）</w:t>
      </w:r>
      <w:r>
        <w:rPr>
          <w:rFonts w:hint="eastAsia" w:ascii="宋体" w:hAnsi="宋体" w:eastAsia="宋体" w:cs="宋体"/>
          <w:spacing w:val="-5"/>
          <w:sz w:val="30"/>
          <w:szCs w:val="30"/>
          <w:lang w:eastAsia="zh-CN"/>
          <w14:textOutline w14:w="5448" w14:cap="sq" w14:cmpd="sng">
            <w14:solidFill>
              <w14:srgbClr w14:val="000000"/>
            </w14:solidFill>
            <w14:prstDash w14:val="solid"/>
            <w14:bevel/>
          </w14:textOutline>
        </w:rPr>
        <w:t>磋商流程</w:t>
      </w:r>
    </w:p>
    <w:p w14:paraId="228F46F2">
      <w:pPr>
        <w:pageBreakBefore w:val="0"/>
        <w:kinsoku/>
        <w:topLinePunct w:val="0"/>
        <w:bidi w:val="0"/>
        <w:spacing w:before="217" w:line="219" w:lineRule="auto"/>
        <w:ind w:left="18"/>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w:t>
      </w:r>
      <w:r>
        <w:rPr>
          <w:rFonts w:ascii="宋体" w:hAnsi="宋体" w:eastAsia="宋体" w:cs="宋体"/>
          <w:spacing w:val="-1"/>
          <w:sz w:val="24"/>
          <w:szCs w:val="24"/>
          <w14:textOutline w14:w="4358" w14:cap="sq" w14:cmpd="sng">
            <w14:solidFill>
              <w14:srgbClr w14:val="000000"/>
            </w14:solidFill>
            <w14:prstDash w14:val="solid"/>
            <w14:bevel/>
          </w14:textOutline>
        </w:rPr>
        <w:t>时间、地点：详见供应商须知前附表</w:t>
      </w:r>
    </w:p>
    <w:p w14:paraId="4977A0E0">
      <w:pPr>
        <w:pageBreakBefore w:val="0"/>
        <w:kinsoku/>
        <w:topLinePunct w:val="0"/>
        <w:bidi w:val="0"/>
        <w:spacing w:before="181" w:line="219" w:lineRule="auto"/>
        <w:ind w:left="3"/>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r>
        <w:rPr>
          <w:rFonts w:ascii="宋体" w:hAnsi="宋体" w:eastAsia="宋体" w:cs="宋体"/>
          <w:sz w:val="24"/>
          <w:szCs w:val="24"/>
        </w:rPr>
        <w:t xml:space="preserve"> </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磋商</w:t>
      </w:r>
      <w:r>
        <w:rPr>
          <w:rFonts w:ascii="宋体" w:hAnsi="宋体" w:eastAsia="宋体" w:cs="宋体"/>
          <w:sz w:val="24"/>
          <w:szCs w:val="24"/>
          <w14:textOutline w14:w="4358" w14:cap="sq" w14:cmpd="sng">
            <w14:solidFill>
              <w14:srgbClr w14:val="000000"/>
            </w14:solidFill>
            <w14:prstDash w14:val="solid"/>
            <w14:bevel/>
          </w14:textOutline>
        </w:rPr>
        <w:t>程序：详见供应商须知前附表</w:t>
      </w:r>
    </w:p>
    <w:p w14:paraId="197208BB">
      <w:pPr>
        <w:pStyle w:val="5"/>
        <w:pageBreakBefore w:val="0"/>
        <w:kinsoku/>
        <w:topLinePunct w:val="0"/>
        <w:bidi w:val="0"/>
        <w:spacing w:line="332" w:lineRule="auto"/>
      </w:pPr>
    </w:p>
    <w:p w14:paraId="31D1B2FD">
      <w:pPr>
        <w:pageBreakBefore w:val="0"/>
        <w:kinsoku/>
        <w:topLinePunct w:val="0"/>
        <w:bidi w:val="0"/>
        <w:spacing w:before="98" w:line="220" w:lineRule="auto"/>
        <w:ind w:left="4024"/>
        <w:outlineLvl w:val="1"/>
        <w:rPr>
          <w:rFonts w:hint="eastAsia" w:ascii="宋体" w:hAnsi="宋体" w:eastAsia="宋体" w:cs="宋体"/>
          <w:sz w:val="30"/>
          <w:szCs w:val="30"/>
          <w:lang w:eastAsia="zh-CN"/>
        </w:rPr>
      </w:pPr>
      <w:r>
        <w:rPr>
          <w:rFonts w:ascii="宋体" w:hAnsi="宋体" w:eastAsia="宋体" w:cs="宋体"/>
          <w:spacing w:val="-5"/>
          <w:sz w:val="30"/>
          <w:szCs w:val="30"/>
          <w14:textOutline w14:w="5448" w14:cap="sq" w14:cmpd="sng">
            <w14:solidFill>
              <w14:srgbClr w14:val="000000"/>
            </w14:solidFill>
            <w14:prstDash w14:val="solid"/>
            <w14:bevel/>
          </w14:textOutline>
        </w:rPr>
        <w:t>（七）评</w:t>
      </w:r>
      <w:r>
        <w:rPr>
          <w:rFonts w:hint="eastAsia" w:ascii="宋体" w:hAnsi="宋体" w:eastAsia="宋体" w:cs="宋体"/>
          <w:spacing w:val="-5"/>
          <w:sz w:val="30"/>
          <w:szCs w:val="30"/>
          <w:lang w:eastAsia="zh-CN"/>
          <w14:textOutline w14:w="5448" w14:cap="sq" w14:cmpd="sng">
            <w14:solidFill>
              <w14:srgbClr w14:val="000000"/>
            </w14:solidFill>
            <w14:prstDash w14:val="solid"/>
            <w14:bevel/>
          </w14:textOutline>
        </w:rPr>
        <w:t>审</w:t>
      </w:r>
    </w:p>
    <w:p w14:paraId="63AE1641">
      <w:pPr>
        <w:pageBreakBefore w:val="0"/>
        <w:kinsoku/>
        <w:topLinePunct w:val="0"/>
        <w:bidi w:val="0"/>
        <w:spacing w:before="217" w:line="220" w:lineRule="auto"/>
        <w:ind w:left="498"/>
        <w:rPr>
          <w:rFonts w:hint="eastAsia" w:ascii="宋体" w:hAnsi="宋体" w:eastAsia="宋体" w:cs="宋体"/>
          <w:sz w:val="24"/>
          <w:szCs w:val="24"/>
          <w:lang w:eastAsia="zh-CN"/>
        </w:rPr>
      </w:pPr>
      <w:r>
        <w:rPr>
          <w:rFonts w:ascii="宋体" w:hAnsi="宋体" w:eastAsia="宋体" w:cs="宋体"/>
          <w:spacing w:val="-7"/>
          <w:sz w:val="24"/>
          <w:szCs w:val="24"/>
          <w14:textOutline w14:w="4358" w14:cap="sq" w14:cmpd="sng">
            <w14:solidFill>
              <w14:srgbClr w14:val="000000"/>
            </w14:solidFill>
            <w14:prstDash w14:val="solid"/>
            <w14:bevel/>
          </w14:textOutline>
        </w:rPr>
        <w:t>1.</w:t>
      </w:r>
      <w:r>
        <w:rPr>
          <w:rFonts w:hint="eastAsia" w:ascii="宋体" w:hAnsi="宋体" w:eastAsia="宋体" w:cs="宋体"/>
          <w:spacing w:val="-7"/>
          <w:sz w:val="24"/>
          <w:szCs w:val="24"/>
          <w:lang w:eastAsia="zh-CN"/>
          <w14:textOutline w14:w="4358" w14:cap="sq" w14:cmpd="sng">
            <w14:solidFill>
              <w14:srgbClr w14:val="000000"/>
            </w14:solidFill>
            <w14:prstDash w14:val="solid"/>
            <w14:bevel/>
          </w14:textOutline>
        </w:rPr>
        <w:t>评审</w:t>
      </w:r>
    </w:p>
    <w:p w14:paraId="68A65B23">
      <w:pPr>
        <w:pageBreakBefore w:val="0"/>
        <w:kinsoku/>
        <w:topLinePunct w:val="0"/>
        <w:bidi w:val="0"/>
        <w:spacing w:before="182"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磋商小组</w:t>
      </w:r>
    </w:p>
    <w:p w14:paraId="1EEDDA7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1.1.1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由采购人依法组建的磋商小组负责。磋商小组由</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人及以上</w:t>
      </w:r>
      <w:r>
        <w:rPr>
          <w:rFonts w:hint="eastAsia" w:ascii="宋体" w:hAnsi="宋体" w:eastAsia="宋体" w:cs="宋体"/>
          <w:spacing w:val="-3"/>
          <w:sz w:val="24"/>
          <w:szCs w:val="24"/>
          <w:lang w:eastAsia="zh-CN"/>
        </w:rPr>
        <w:t>参数</w:t>
      </w:r>
      <w:r>
        <w:rPr>
          <w:rFonts w:ascii="宋体" w:hAnsi="宋体" w:eastAsia="宋体" w:cs="宋体"/>
          <w:spacing w:val="-3"/>
          <w:sz w:val="24"/>
          <w:szCs w:val="24"/>
        </w:rPr>
        <w:t>评审专家组成，若由于项目供应商</w:t>
      </w:r>
      <w:r>
        <w:rPr>
          <w:rFonts w:hint="eastAsia" w:ascii="宋体" w:hAnsi="宋体" w:eastAsia="宋体" w:cs="宋体"/>
          <w:spacing w:val="-3"/>
          <w:sz w:val="24"/>
          <w:szCs w:val="24"/>
          <w:lang w:eastAsia="zh-CN"/>
        </w:rPr>
        <w:t>数量</w:t>
      </w:r>
      <w:r>
        <w:rPr>
          <w:rFonts w:ascii="宋体" w:hAnsi="宋体" w:eastAsia="宋体" w:cs="宋体"/>
          <w:spacing w:val="-3"/>
          <w:sz w:val="24"/>
          <w:szCs w:val="24"/>
        </w:rPr>
        <w:t>过多可征求监管部门同意后增加磋商小组人数，</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专家从政</w:t>
      </w:r>
      <w:r>
        <w:rPr>
          <w:rFonts w:hint="eastAsia" w:ascii="宋体" w:hAnsi="宋体" w:eastAsia="宋体" w:cs="宋体"/>
          <w:spacing w:val="-3"/>
          <w:sz w:val="24"/>
          <w:szCs w:val="24"/>
          <w:lang w:eastAsia="zh-CN"/>
        </w:rPr>
        <w:t>彩云</w:t>
      </w:r>
      <w:r>
        <w:rPr>
          <w:rFonts w:ascii="宋体" w:hAnsi="宋体" w:eastAsia="宋体" w:cs="宋体"/>
          <w:spacing w:val="-3"/>
          <w:sz w:val="24"/>
          <w:szCs w:val="24"/>
        </w:rPr>
        <w:t>专家库中随机抽取产生。</w:t>
      </w:r>
    </w:p>
    <w:p w14:paraId="01A7071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1.1.2  磋商小组成员有下列情形之一的，应当回避；</w:t>
      </w:r>
    </w:p>
    <w:p w14:paraId="6EC64A3B">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(1)</w:t>
      </w:r>
      <w:r>
        <w:rPr>
          <w:rFonts w:ascii="宋体" w:hAnsi="宋体" w:eastAsia="宋体" w:cs="宋体"/>
          <w:spacing w:val="-3"/>
          <w:sz w:val="24"/>
          <w:szCs w:val="24"/>
        </w:rPr>
        <w:t>采购人或供应商的主要负责人的近亲属；</w:t>
      </w:r>
    </w:p>
    <w:p w14:paraId="07D412A6">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(2)</w:t>
      </w:r>
      <w:r>
        <w:rPr>
          <w:rFonts w:ascii="宋体" w:hAnsi="宋体" w:eastAsia="宋体" w:cs="宋体"/>
          <w:spacing w:val="-3"/>
          <w:sz w:val="24"/>
          <w:szCs w:val="24"/>
        </w:rPr>
        <w:t>项目主管部门或者行政监督部门的人员；</w:t>
      </w:r>
    </w:p>
    <w:p w14:paraId="0799BEFE">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(3)</w:t>
      </w:r>
      <w:r>
        <w:rPr>
          <w:rFonts w:ascii="宋体" w:hAnsi="宋体" w:eastAsia="宋体" w:cs="宋体"/>
          <w:spacing w:val="-3"/>
          <w:sz w:val="24"/>
          <w:szCs w:val="24"/>
        </w:rPr>
        <w:t>与供应商有经济利益关系，可能影响对投标公正评审的；</w:t>
      </w:r>
    </w:p>
    <w:p w14:paraId="649DF027">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(4)</w:t>
      </w:r>
      <w:r>
        <w:rPr>
          <w:rFonts w:ascii="宋体" w:hAnsi="宋体" w:eastAsia="宋体" w:cs="宋体"/>
          <w:spacing w:val="-3"/>
          <w:sz w:val="24"/>
          <w:szCs w:val="24"/>
        </w:rPr>
        <w:t>曾因在招标、</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以及其他与招标投标有关活动中从事违法行为而受过行政处罚或刑事处罚的。</w:t>
      </w:r>
    </w:p>
    <w:p w14:paraId="120BF201">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(5)其他可能</w:t>
      </w:r>
      <w:r>
        <w:rPr>
          <w:rFonts w:ascii="宋体" w:hAnsi="宋体" w:eastAsia="宋体" w:cs="宋体"/>
          <w:spacing w:val="-3"/>
          <w:sz w:val="24"/>
          <w:szCs w:val="24"/>
        </w:rPr>
        <w:t>影响公正</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的情形。</w:t>
      </w:r>
    </w:p>
    <w:p w14:paraId="72C8325E">
      <w:pPr>
        <w:pageBreakBefore w:val="0"/>
        <w:kinsoku/>
        <w:topLinePunct w:val="0"/>
        <w:bidi w:val="0"/>
        <w:spacing w:before="179"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w:t>
      </w:r>
      <w:r>
        <w:rPr>
          <w:rFonts w:ascii="宋体" w:hAnsi="宋体" w:eastAsia="宋体" w:cs="宋体"/>
          <w:spacing w:val="-3"/>
          <w:sz w:val="24"/>
          <w:szCs w:val="24"/>
        </w:rPr>
        <w:t xml:space="preserve">  </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3"/>
          <w:sz w:val="24"/>
          <w:szCs w:val="24"/>
          <w14:textOutline w14:w="4358" w14:cap="sq" w14:cmpd="sng">
            <w14:solidFill>
              <w14:srgbClr w14:val="000000"/>
            </w14:solidFill>
            <w14:prstDash w14:val="solid"/>
            <w14:bevel/>
          </w14:textOutline>
        </w:rPr>
        <w:t>原则</w:t>
      </w:r>
    </w:p>
    <w:p w14:paraId="710BC1F7">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评审</w:t>
      </w:r>
      <w:r>
        <w:rPr>
          <w:rFonts w:ascii="宋体" w:hAnsi="宋体" w:eastAsia="宋体" w:cs="宋体"/>
          <w:spacing w:val="-3"/>
          <w:sz w:val="24"/>
          <w:szCs w:val="24"/>
        </w:rPr>
        <w:t>活动遵循公平、公正、科学和择优的原则。</w:t>
      </w:r>
    </w:p>
    <w:p w14:paraId="0EA56EAA">
      <w:pPr>
        <w:pageBreakBefore w:val="0"/>
        <w:kinsoku/>
        <w:topLinePunct w:val="0"/>
        <w:bidi w:val="0"/>
        <w:spacing w:before="181" w:line="220" w:lineRule="auto"/>
        <w:ind w:left="498"/>
        <w:rPr>
          <w:rFonts w:hint="eastAsia" w:ascii="宋体" w:hAnsi="宋体" w:eastAsia="宋体" w:cs="宋体"/>
          <w:sz w:val="24"/>
          <w:szCs w:val="24"/>
          <w:lang w:eastAsia="zh-CN"/>
        </w:rPr>
      </w:pPr>
      <w:r>
        <w:rPr>
          <w:rFonts w:ascii="宋体" w:hAnsi="宋体" w:eastAsia="宋体" w:cs="宋体"/>
          <w:spacing w:val="-7"/>
          <w:sz w:val="24"/>
          <w:szCs w:val="24"/>
          <w14:textOutline w14:w="4358" w14:cap="sq" w14:cmpd="sng">
            <w14:solidFill>
              <w14:srgbClr w14:val="000000"/>
            </w14:solidFill>
            <w14:prstDash w14:val="solid"/>
            <w14:bevel/>
          </w14:textOutline>
        </w:rPr>
        <w:t>1.3</w:t>
      </w:r>
      <w:r>
        <w:rPr>
          <w:rFonts w:ascii="宋体" w:hAnsi="宋体" w:eastAsia="宋体" w:cs="宋体"/>
          <w:spacing w:val="4"/>
          <w:sz w:val="24"/>
          <w:szCs w:val="24"/>
        </w:rPr>
        <w:t xml:space="preserve">  </w:t>
      </w:r>
      <w:r>
        <w:rPr>
          <w:rFonts w:hint="eastAsia" w:ascii="宋体" w:hAnsi="宋体" w:eastAsia="宋体" w:cs="宋体"/>
          <w:spacing w:val="-7"/>
          <w:sz w:val="24"/>
          <w:szCs w:val="24"/>
          <w:lang w:eastAsia="zh-CN"/>
          <w14:textOutline w14:w="4358" w14:cap="sq" w14:cmpd="sng">
            <w14:solidFill>
              <w14:srgbClr w14:val="000000"/>
            </w14:solidFill>
            <w14:prstDash w14:val="solid"/>
            <w14:bevel/>
          </w14:textOutline>
        </w:rPr>
        <w:t>评审</w:t>
      </w:r>
    </w:p>
    <w:p w14:paraId="6DAE65BD">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磋商小组按照磋商文件中规定的方法、评审因素、标准和程序对磋商响应文件进行评审。</w:t>
      </w:r>
    </w:p>
    <w:p w14:paraId="17F465A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磋商文件中没有规定的方法、评审因素和标准，不作为</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依据。</w:t>
      </w:r>
    </w:p>
    <w:p w14:paraId="4C6BC6FE">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详见“</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办法”内容。</w:t>
      </w:r>
    </w:p>
    <w:p w14:paraId="67D8ADC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1.4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过程严格保密。供应商对评委会的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过程或合同授予决定施加影响的任何行为都可能导致其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被拒绝。</w:t>
      </w:r>
    </w:p>
    <w:p w14:paraId="456C782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1.5 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期间，评委会可要求供应商对其磋商响应文件中非实质性的有关问题进行澄清、说明或者补正。有关澄清、说明或者补正的要求和答复应以书面形式提交。供应商的澄清、说明或者补正不得超出磋商响应文件的范围或者改变磋商响应文件的实质性内容。</w:t>
      </w:r>
    </w:p>
    <w:p w14:paraId="4950072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1.6 评委会认定实质性响应磋商文件的</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是磋商响应文件与磋商文件要求的全部条款、条件和规格相符，没有实质性负偏离。评委会评审磋商响应文件的响应性依据是磋商响应文件本身的内容，而不寻求外部的证据。</w:t>
      </w:r>
    </w:p>
    <w:p w14:paraId="6986A88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1.7 如果磋商响应文件没有实质性响应磋商文件的要求，评委会将予以拒绝。供应商不得通过修正或</w:t>
      </w:r>
      <w:r>
        <w:rPr>
          <w:rFonts w:hint="eastAsia" w:ascii="宋体" w:hAnsi="宋体" w:eastAsia="宋体" w:cs="宋体"/>
          <w:spacing w:val="-3"/>
          <w:sz w:val="24"/>
          <w:szCs w:val="24"/>
          <w:lang w:eastAsia="zh-CN"/>
        </w:rPr>
        <w:t>撤销不符</w:t>
      </w:r>
      <w:r>
        <w:rPr>
          <w:rFonts w:ascii="宋体" w:hAnsi="宋体" w:eastAsia="宋体" w:cs="宋体"/>
          <w:spacing w:val="-3"/>
          <w:sz w:val="24"/>
          <w:szCs w:val="24"/>
        </w:rPr>
        <w:t>合要求的偏离或保留从而使其成为实质性响应的</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w:t>
      </w:r>
    </w:p>
    <w:p w14:paraId="7B7F089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1.8 评委会只对确定为实质性响应磋商文件要求的磋商响应文件，根据磋商文件的评审标准采用相同的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程序、评分办法进行评价和比较。</w:t>
      </w:r>
    </w:p>
    <w:p w14:paraId="666192B8">
      <w:pPr>
        <w:pStyle w:val="5"/>
        <w:pageBreakBefore w:val="0"/>
        <w:kinsoku/>
        <w:topLinePunct w:val="0"/>
        <w:bidi w:val="0"/>
        <w:spacing w:line="333" w:lineRule="auto"/>
      </w:pPr>
    </w:p>
    <w:p w14:paraId="3544E429">
      <w:pPr>
        <w:pageBreakBefore w:val="0"/>
        <w:kinsoku/>
        <w:topLinePunct w:val="0"/>
        <w:bidi w:val="0"/>
        <w:spacing w:before="98" w:line="220" w:lineRule="auto"/>
        <w:jc w:val="center"/>
        <w:outlineLvl w:val="1"/>
        <w:rPr>
          <w:rFonts w:hint="eastAsia" w:ascii="宋体" w:hAnsi="宋体" w:eastAsia="宋体" w:cs="宋体"/>
          <w:sz w:val="30"/>
          <w:szCs w:val="30"/>
          <w:lang w:eastAsia="zh-CN"/>
        </w:rPr>
      </w:pPr>
      <w:r>
        <w:rPr>
          <w:rFonts w:ascii="宋体" w:hAnsi="宋体" w:eastAsia="宋体" w:cs="宋体"/>
          <w:spacing w:val="-5"/>
          <w:sz w:val="30"/>
          <w:szCs w:val="30"/>
          <w14:textOutline w14:w="5448" w14:cap="sq" w14:cmpd="sng">
            <w14:solidFill>
              <w14:srgbClr w14:val="000000"/>
            </w14:solidFill>
            <w14:prstDash w14:val="solid"/>
            <w14:bevel/>
          </w14:textOutline>
        </w:rPr>
        <w:t>（八）</w:t>
      </w:r>
      <w:r>
        <w:rPr>
          <w:rFonts w:hint="eastAsia" w:ascii="宋体" w:hAnsi="宋体" w:eastAsia="宋体" w:cs="宋体"/>
          <w:spacing w:val="-5"/>
          <w:sz w:val="30"/>
          <w:szCs w:val="30"/>
          <w:lang w:eastAsia="zh-CN"/>
          <w14:textOutline w14:w="5448" w14:cap="sq" w14:cmpd="sng">
            <w14:solidFill>
              <w14:srgbClr w14:val="000000"/>
            </w14:solidFill>
            <w14:prstDash w14:val="solid"/>
            <w14:bevel/>
          </w14:textOutline>
        </w:rPr>
        <w:t>确定成交供应商</w:t>
      </w:r>
    </w:p>
    <w:p w14:paraId="0636343B">
      <w:pPr>
        <w:pageBreakBefore w:val="0"/>
        <w:kinsoku/>
        <w:topLinePunct w:val="0"/>
        <w:bidi w:val="0"/>
        <w:spacing w:before="217" w:line="220" w:lineRule="auto"/>
        <w:ind w:left="1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w:t>
      </w:r>
      <w:r>
        <w:rPr>
          <w:rFonts w:hint="eastAsia" w:ascii="宋体" w:hAnsi="宋体" w:eastAsia="宋体" w:cs="宋体"/>
          <w:spacing w:val="-6"/>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6"/>
          <w:sz w:val="24"/>
          <w:szCs w:val="24"/>
          <w14:textOutline w14:w="4358" w14:cap="sq" w14:cmpd="sng">
            <w14:solidFill>
              <w14:srgbClr w14:val="000000"/>
            </w14:solidFill>
            <w14:prstDash w14:val="solid"/>
            <w14:bevel/>
          </w14:textOutline>
        </w:rPr>
        <w:t>：</w:t>
      </w:r>
    </w:p>
    <w:p w14:paraId="553A4F54">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原则：能够最大限度满足磋商文件中规定的各项综合评价标准得分</w:t>
      </w:r>
      <w:r>
        <w:rPr>
          <w:rFonts w:hint="eastAsia" w:ascii="宋体" w:hAnsi="宋体" w:eastAsia="宋体" w:cs="宋体"/>
          <w:spacing w:val="-3"/>
          <w:sz w:val="24"/>
          <w:szCs w:val="24"/>
          <w:lang w:eastAsia="zh-CN"/>
        </w:rPr>
        <w:t>由高到低</w:t>
      </w:r>
      <w:r>
        <w:rPr>
          <w:rFonts w:ascii="宋体" w:hAnsi="宋体" w:eastAsia="宋体" w:cs="宋体"/>
          <w:spacing w:val="-3"/>
          <w:sz w:val="24"/>
          <w:szCs w:val="24"/>
        </w:rPr>
        <w:t>依序确定。</w:t>
      </w:r>
    </w:p>
    <w:p w14:paraId="74E1F10B">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1.2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方法：综合评分法。</w:t>
      </w:r>
    </w:p>
    <w:p w14:paraId="6EEEDFF1">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1.3 </w:t>
      </w:r>
      <w:r>
        <w:rPr>
          <w:rFonts w:hint="eastAsia" w:ascii="宋体" w:hAnsi="宋体" w:eastAsia="宋体" w:cs="宋体"/>
          <w:spacing w:val="-3"/>
          <w:sz w:val="24"/>
          <w:szCs w:val="24"/>
          <w:lang w:eastAsia="zh-CN"/>
        </w:rPr>
        <w:t>确定成交供应商</w:t>
      </w:r>
      <w:r>
        <w:rPr>
          <w:rFonts w:ascii="宋体" w:hAnsi="宋体" w:eastAsia="宋体" w:cs="宋体"/>
          <w:spacing w:val="-3"/>
          <w:sz w:val="24"/>
          <w:szCs w:val="24"/>
        </w:rPr>
        <w:t>方式：根据评委会推荐的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名单，按顺序确定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14:paraId="7E3B6842">
      <w:pPr>
        <w:pageBreakBefore w:val="0"/>
        <w:kinsoku/>
        <w:topLinePunct w:val="0"/>
        <w:bidi w:val="0"/>
        <w:spacing w:before="184" w:line="220" w:lineRule="auto"/>
        <w:ind w:left="3"/>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w:t>
      </w: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2"/>
          <w:sz w:val="24"/>
          <w:szCs w:val="24"/>
          <w14:textOutline w14:w="4358" w14:cap="sq" w14:cmpd="sng">
            <w14:solidFill>
              <w14:srgbClr w14:val="000000"/>
            </w14:solidFill>
            <w14:prstDash w14:val="solid"/>
            <w14:bevel/>
          </w14:textOutline>
        </w:rPr>
        <w:t>程序</w:t>
      </w:r>
    </w:p>
    <w:p w14:paraId="4EB0B65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磋商小组按照综合评审打分结果由高到低排列顺序。</w:t>
      </w:r>
    </w:p>
    <w:p w14:paraId="54A74E2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磋商小组根据评审报告和被推荐的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，按综合得分高低排列顺序依序确定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14:paraId="2EAF1F1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2.3 </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在新疆政府采购网</w:t>
      </w:r>
      <w:r>
        <w:rPr>
          <w:rFonts w:hint="eastAsia" w:ascii="宋体" w:hAnsi="宋体" w:eastAsia="宋体" w:cs="宋体"/>
          <w:spacing w:val="-3"/>
          <w:sz w:val="24"/>
          <w:szCs w:val="24"/>
          <w:lang w:eastAsia="zh-CN"/>
        </w:rPr>
        <w:t>及柯坪县人民政府网</w:t>
      </w:r>
      <w:r>
        <w:rPr>
          <w:rFonts w:ascii="宋体" w:hAnsi="宋体" w:eastAsia="宋体" w:cs="宋体"/>
          <w:spacing w:val="-3"/>
          <w:sz w:val="24"/>
          <w:szCs w:val="24"/>
        </w:rPr>
        <w:t>公布。同时向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发出《</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p>
    <w:p w14:paraId="3620A806">
      <w:pPr>
        <w:pageBreakBefore w:val="0"/>
        <w:kinsoku/>
        <w:topLinePunct w:val="0"/>
        <w:bidi w:val="0"/>
        <w:spacing w:before="184" w:line="219" w:lineRule="auto"/>
        <w:ind w:left="5"/>
        <w:outlineLvl w:val="2"/>
        <w:rPr>
          <w:rFonts w:hint="eastAsia" w:ascii="宋体" w:hAnsi="宋体" w:eastAsia="宋体" w:cs="宋体"/>
          <w:sz w:val="24"/>
          <w:szCs w:val="24"/>
          <w:lang w:eastAsia="zh-CN"/>
        </w:rPr>
      </w:pPr>
      <w:r>
        <w:rPr>
          <w:rFonts w:ascii="宋体" w:hAnsi="宋体" w:eastAsia="宋体" w:cs="宋体"/>
          <w:spacing w:val="-6"/>
          <w:sz w:val="24"/>
          <w:szCs w:val="24"/>
          <w14:textOutline w14:w="4358" w14:cap="sq" w14:cmpd="sng">
            <w14:solidFill>
              <w14:srgbClr w14:val="000000"/>
            </w14:solidFill>
            <w14:prstDash w14:val="solid"/>
            <w14:bevel/>
          </w14:textOutline>
        </w:rPr>
        <w:t>3.</w:t>
      </w:r>
      <w:r>
        <w:rPr>
          <w:rFonts w:ascii="宋体" w:hAnsi="宋体" w:eastAsia="宋体" w:cs="宋体"/>
          <w:spacing w:val="31"/>
          <w:sz w:val="24"/>
          <w:szCs w:val="24"/>
        </w:rPr>
        <w:t xml:space="preserve"> </w:t>
      </w:r>
      <w:r>
        <w:rPr>
          <w:rFonts w:hint="eastAsia" w:ascii="宋体" w:hAnsi="宋体" w:eastAsia="宋体" w:cs="宋体"/>
          <w:spacing w:val="-6"/>
          <w:sz w:val="24"/>
          <w:szCs w:val="24"/>
          <w:lang w:eastAsia="zh-CN"/>
          <w14:textOutline w14:w="4358" w14:cap="sq" w14:cmpd="sng">
            <w14:solidFill>
              <w14:srgbClr w14:val="000000"/>
            </w14:solidFill>
            <w14:prstDash w14:val="solid"/>
            <w14:bevel/>
          </w14:textOutline>
        </w:rPr>
        <w:t>成交通知书</w:t>
      </w:r>
    </w:p>
    <w:p w14:paraId="480E164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将以书面形式《</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》通知</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的供应商其投标被接受。在该通知书发出</w:t>
      </w:r>
      <w:r>
        <w:rPr>
          <w:rFonts w:hint="eastAsia" w:ascii="宋体" w:hAnsi="宋体" w:eastAsia="宋体" w:cs="宋体"/>
          <w:spacing w:val="-3"/>
          <w:sz w:val="24"/>
          <w:szCs w:val="24"/>
          <w:lang w:eastAsia="zh-CN"/>
        </w:rPr>
        <w:t>三</w:t>
      </w:r>
      <w:r>
        <w:rPr>
          <w:rFonts w:ascii="宋体" w:hAnsi="宋体" w:eastAsia="宋体" w:cs="宋体"/>
          <w:spacing w:val="-3"/>
          <w:sz w:val="24"/>
          <w:szCs w:val="24"/>
        </w:rPr>
        <w:t>十日内，</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应与采购人签订《合同》。</w:t>
      </w:r>
    </w:p>
    <w:p w14:paraId="021372B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3.2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为签订《合同》的依据，是合同的有效组成部分。</w:t>
      </w:r>
    </w:p>
    <w:p w14:paraId="1540BD69">
      <w:pPr>
        <w:pStyle w:val="5"/>
        <w:keepNext w:val="0"/>
        <w:keepLines w:val="0"/>
        <w:pageBreakBefore w:val="0"/>
        <w:widowControl/>
        <w:kinsoku/>
        <w:wordWrap/>
        <w:overflowPunct/>
        <w:topLinePunct w:val="0"/>
        <w:autoSpaceDE w:val="0"/>
        <w:autoSpaceDN w:val="0"/>
        <w:bidi w:val="0"/>
        <w:adjustRightInd w:val="0"/>
        <w:snapToGrid w:val="0"/>
        <w:spacing w:line="243" w:lineRule="auto"/>
        <w:ind w:firstLine="468" w:firstLineChars="200"/>
        <w:textAlignment w:val="baseline"/>
      </w:pPr>
      <w:r>
        <w:rPr>
          <w:rFonts w:ascii="宋体" w:hAnsi="宋体" w:eastAsia="宋体" w:cs="宋体"/>
          <w:spacing w:val="-3"/>
          <w:sz w:val="24"/>
          <w:szCs w:val="24"/>
        </w:rPr>
        <w:t xml:space="preserve">3.3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对采购人和</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均具有法律效力。</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发出后，采购人改变</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，或者</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无正当理由放弃</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的，应当承担相应的法律责任。</w:t>
      </w:r>
    </w:p>
    <w:p w14:paraId="5ACD1BDA">
      <w:pPr>
        <w:pStyle w:val="5"/>
        <w:pageBreakBefore w:val="0"/>
        <w:kinsoku/>
        <w:wordWrap/>
        <w:topLinePunct w:val="0"/>
        <w:bidi w:val="0"/>
        <w:spacing w:line="242" w:lineRule="auto"/>
      </w:pPr>
    </w:p>
    <w:p w14:paraId="341FAF1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3.4 </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的磋商响应文件</w:t>
      </w:r>
      <w:r>
        <w:rPr>
          <w:rFonts w:hint="eastAsia" w:ascii="宋体" w:hAnsi="宋体" w:eastAsia="宋体" w:cs="宋体"/>
          <w:spacing w:val="-3"/>
          <w:sz w:val="24"/>
          <w:szCs w:val="24"/>
          <w:lang w:eastAsia="zh-CN"/>
        </w:rPr>
        <w:t>不应</w:t>
      </w:r>
      <w:r>
        <w:rPr>
          <w:rFonts w:ascii="宋体" w:hAnsi="宋体" w:eastAsia="宋体" w:cs="宋体"/>
          <w:spacing w:val="-3"/>
          <w:sz w:val="24"/>
          <w:szCs w:val="24"/>
        </w:rPr>
        <w:t>作为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处理或者有政府采购法律法规规章制度规定的</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无效情形的，</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在取得有权主体的认定以后，应当宣布发出的</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 xml:space="preserve"> 通知书无效，并收回发出的</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也应当缴回），依法重新确定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或者重新开展采购活动。</w:t>
      </w:r>
    </w:p>
    <w:p w14:paraId="7CA3D66B">
      <w:pPr>
        <w:pStyle w:val="5"/>
        <w:pageBreakBefore w:val="0"/>
        <w:kinsoku/>
        <w:topLinePunct w:val="0"/>
        <w:bidi w:val="0"/>
        <w:spacing w:line="332" w:lineRule="auto"/>
      </w:pPr>
    </w:p>
    <w:p w14:paraId="45A49FA4">
      <w:pPr>
        <w:pageBreakBefore w:val="0"/>
        <w:kinsoku/>
        <w:wordWrap/>
        <w:topLinePunct w:val="0"/>
        <w:bidi w:val="0"/>
        <w:spacing w:before="98" w:line="220" w:lineRule="auto"/>
        <w:ind w:left="3724"/>
        <w:outlineLvl w:val="1"/>
        <w:rPr>
          <w:rFonts w:hint="eastAsia" w:ascii="宋体" w:hAnsi="宋体" w:eastAsia="宋体" w:cs="宋体"/>
          <w:sz w:val="30"/>
          <w:szCs w:val="30"/>
          <w:lang w:eastAsia="zh-CN"/>
        </w:rPr>
      </w:pPr>
      <w:r>
        <w:rPr>
          <w:rFonts w:ascii="宋体" w:hAnsi="宋体" w:eastAsia="宋体" w:cs="宋体"/>
          <w:spacing w:val="-3"/>
          <w:sz w:val="30"/>
          <w:szCs w:val="30"/>
          <w14:textOutline w14:w="5448" w14:cap="sq" w14:cmpd="sng">
            <w14:solidFill>
              <w14:srgbClr w14:val="000000"/>
            </w14:solidFill>
            <w14:prstDash w14:val="solid"/>
            <w14:bevel/>
          </w14:textOutline>
        </w:rPr>
        <w:t>（九）</w:t>
      </w:r>
      <w:bookmarkStart w:id="2" w:name="OLE_LINK30"/>
      <w:r>
        <w:rPr>
          <w:rFonts w:ascii="宋体" w:hAnsi="宋体" w:eastAsia="宋体" w:cs="宋体"/>
          <w:spacing w:val="-3"/>
          <w:sz w:val="30"/>
          <w:szCs w:val="30"/>
          <w14:textOutline w14:w="5448" w14:cap="sq" w14:cmpd="sng">
            <w14:solidFill>
              <w14:srgbClr w14:val="000000"/>
            </w14:solidFill>
            <w14:prstDash w14:val="solid"/>
            <w14:bevel/>
          </w14:textOutline>
        </w:rPr>
        <w:t>重新</w:t>
      </w:r>
      <w:r>
        <w:rPr>
          <w:rFonts w:hint="eastAsia" w:ascii="宋体" w:hAnsi="宋体" w:eastAsia="宋体" w:cs="宋体"/>
          <w:spacing w:val="-3"/>
          <w:sz w:val="30"/>
          <w:szCs w:val="30"/>
          <w:lang w:eastAsia="zh-CN"/>
          <w14:textOutline w14:w="5448" w14:cap="sq" w14:cmpd="sng">
            <w14:solidFill>
              <w14:srgbClr w14:val="000000"/>
            </w14:solidFill>
            <w14:prstDash w14:val="solid"/>
            <w14:bevel/>
          </w14:textOutline>
        </w:rPr>
        <w:t>开展采购活动</w:t>
      </w:r>
    </w:p>
    <w:bookmarkEnd w:id="2"/>
    <w:p w14:paraId="75F8E2CE">
      <w:pPr>
        <w:pageBreakBefore w:val="0"/>
        <w:kinsoku/>
        <w:wordWrap/>
        <w:topLinePunct w:val="0"/>
        <w:bidi w:val="0"/>
        <w:spacing w:before="215" w:line="360" w:lineRule="auto"/>
        <w:ind w:left="18"/>
        <w:outlineLvl w:val="2"/>
        <w:rPr>
          <w:rFonts w:hint="eastAsia" w:ascii="宋体" w:hAnsi="宋体" w:eastAsia="宋体" w:cs="宋体"/>
          <w:sz w:val="28"/>
          <w:szCs w:val="28"/>
          <w:lang w:eastAsia="zh-CN"/>
        </w:rPr>
      </w:pPr>
      <w:r>
        <w:rPr>
          <w:rFonts w:hint="eastAsia" w:ascii="宋体" w:hAnsi="宋体" w:eastAsia="宋体" w:cs="宋体"/>
          <w:spacing w:val="-4"/>
          <w:sz w:val="28"/>
          <w:szCs w:val="28"/>
          <w:lang w:eastAsia="zh-CN"/>
          <w14:textOutline w14:w="4358" w14:cap="sq" w14:cmpd="sng">
            <w14:solidFill>
              <w14:srgbClr w14:val="000000"/>
            </w14:solidFill>
            <w14:prstDash w14:val="solid"/>
            <w14:bevel/>
          </w14:textOutline>
        </w:rPr>
        <w:t>1.</w:t>
      </w:r>
      <w:r>
        <w:rPr>
          <w:rFonts w:ascii="宋体" w:hAnsi="宋体" w:eastAsia="宋体" w:cs="宋体"/>
          <w:spacing w:val="-4"/>
          <w:sz w:val="28"/>
          <w:szCs w:val="28"/>
          <w14:textOutline w14:w="4358" w14:cap="sq" w14:cmpd="sng">
            <w14:solidFill>
              <w14:srgbClr w14:val="000000"/>
            </w14:solidFill>
            <w14:prstDash w14:val="solid"/>
            <w14:bevel/>
          </w14:textOutline>
        </w:rPr>
        <w:t>重新</w:t>
      </w:r>
      <w:r>
        <w:rPr>
          <w:rFonts w:hint="eastAsia" w:ascii="宋体" w:hAnsi="宋体" w:eastAsia="宋体" w:cs="宋体"/>
          <w:spacing w:val="-4"/>
          <w:sz w:val="28"/>
          <w:szCs w:val="28"/>
          <w:lang w:eastAsia="zh-CN"/>
          <w14:textOutline w14:w="4358" w14:cap="sq" w14:cmpd="sng">
            <w14:solidFill>
              <w14:srgbClr w14:val="000000"/>
            </w14:solidFill>
            <w14:prstDash w14:val="solid"/>
            <w14:bevel/>
          </w14:textOutline>
        </w:rPr>
        <w:t>开展采购活动</w:t>
      </w:r>
    </w:p>
    <w:p w14:paraId="27083DA0">
      <w:pPr>
        <w:pStyle w:val="5"/>
        <w:pageBreakBefore w:val="0"/>
        <w:kinsoku/>
        <w:wordWrap/>
        <w:topLinePunct w:val="0"/>
        <w:bidi w:val="0"/>
        <w:spacing w:line="360" w:lineRule="auto"/>
        <w:ind w:firstLine="480" w:firstLineChars="200"/>
        <w:rPr>
          <w:sz w:val="24"/>
          <w:szCs w:val="24"/>
        </w:rPr>
      </w:pPr>
      <w:r>
        <w:rPr>
          <w:rFonts w:hint="eastAsia"/>
          <w:sz w:val="24"/>
          <w:szCs w:val="24"/>
        </w:rPr>
        <w:t>出现下列情形之一的，采购人或者采购代理机构</w:t>
      </w:r>
      <w:r>
        <w:rPr>
          <w:rFonts w:hint="eastAsia" w:eastAsia="宋体"/>
          <w:sz w:val="24"/>
          <w:szCs w:val="24"/>
          <w:lang w:eastAsia="zh-CN"/>
        </w:rPr>
        <w:t>将</w:t>
      </w:r>
      <w:r>
        <w:rPr>
          <w:rFonts w:hint="eastAsia"/>
          <w:sz w:val="24"/>
          <w:szCs w:val="24"/>
        </w:rPr>
        <w:t>终止竞争性磋商采购活动</w:t>
      </w:r>
      <w:r>
        <w:rPr>
          <w:rFonts w:hint="eastAsia" w:eastAsia="宋体"/>
          <w:sz w:val="24"/>
          <w:szCs w:val="24"/>
          <w:lang w:eastAsia="zh-CN"/>
        </w:rPr>
        <w:t>，并</w:t>
      </w:r>
      <w:r>
        <w:rPr>
          <w:rFonts w:hint="eastAsia"/>
          <w:sz w:val="24"/>
          <w:szCs w:val="24"/>
        </w:rPr>
        <w:t>发布项目终止公告并说明原因，重新开展采购活动：</w:t>
      </w:r>
      <w:r>
        <w:rPr>
          <w:rFonts w:hint="eastAsia"/>
          <w:sz w:val="24"/>
          <w:szCs w:val="24"/>
        </w:rPr>
        <w:br w:type="textWrapping"/>
      </w:r>
      <w:r>
        <w:rPr>
          <w:rFonts w:hint="eastAsia"/>
          <w:sz w:val="24"/>
          <w:szCs w:val="24"/>
        </w:rPr>
        <w:t>　　（一）因情况变化，不再符合规定的竞争性磋商采购方式适用情形的；</w:t>
      </w:r>
      <w:r>
        <w:rPr>
          <w:rFonts w:hint="eastAsia"/>
          <w:sz w:val="24"/>
          <w:szCs w:val="24"/>
        </w:rPr>
        <w:br w:type="textWrapping"/>
      </w:r>
      <w:r>
        <w:rPr>
          <w:rFonts w:hint="eastAsia"/>
          <w:sz w:val="24"/>
          <w:szCs w:val="24"/>
        </w:rPr>
        <w:t>　　（二）出现影响采购公</w:t>
      </w:r>
      <w:r>
        <w:rPr>
          <w:rFonts w:hint="eastAsia" w:eastAsia="宋体"/>
          <w:sz w:val="24"/>
          <w:szCs w:val="24"/>
          <w:lang w:eastAsia="zh-CN"/>
        </w:rPr>
        <w:t>作</w:t>
      </w:r>
      <w:r>
        <w:rPr>
          <w:rFonts w:hint="eastAsia"/>
          <w:sz w:val="24"/>
          <w:szCs w:val="24"/>
        </w:rPr>
        <w:t>的违法、违规行为的；</w:t>
      </w:r>
      <w:r>
        <w:rPr>
          <w:rFonts w:hint="eastAsia"/>
          <w:sz w:val="24"/>
          <w:szCs w:val="24"/>
        </w:rPr>
        <w:br w:type="textWrapping"/>
      </w:r>
      <w:r>
        <w:rPr>
          <w:rFonts w:hint="eastAsia"/>
          <w:sz w:val="24"/>
          <w:szCs w:val="24"/>
        </w:rPr>
        <w:t>　　（三）在采购过程中符合要求的供应商或者报价未超过采购预算的供应商不足3家的。</w:t>
      </w:r>
    </w:p>
    <w:p w14:paraId="22A0CBEA">
      <w:pPr>
        <w:pStyle w:val="5"/>
        <w:pageBreakBefore w:val="0"/>
        <w:kinsoku/>
        <w:topLinePunct w:val="0"/>
        <w:bidi w:val="0"/>
        <w:spacing w:line="332" w:lineRule="auto"/>
      </w:pPr>
    </w:p>
    <w:p w14:paraId="04E2CAF1">
      <w:pPr>
        <w:pageBreakBefore w:val="0"/>
        <w:kinsoku/>
        <w:topLinePunct w:val="0"/>
        <w:bidi w:val="0"/>
        <w:spacing w:before="98" w:line="219" w:lineRule="auto"/>
        <w:ind w:left="3573"/>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w:t>
      </w:r>
      <w:r>
        <w:rPr>
          <w:rFonts w:hint="eastAsia" w:ascii="宋体" w:hAnsi="宋体" w:eastAsia="宋体" w:cs="宋体"/>
          <w:spacing w:val="-3"/>
          <w:sz w:val="30"/>
          <w:szCs w:val="30"/>
          <w:lang w:eastAsia="zh-CN"/>
          <w14:textOutline w14:w="5448" w14:cap="sq" w14:cmpd="sng">
            <w14:solidFill>
              <w14:srgbClr w14:val="000000"/>
            </w14:solidFill>
            <w14:prstDash w14:val="solid"/>
            <w14:bevel/>
          </w14:textOutline>
        </w:rPr>
        <w:t>纪律</w:t>
      </w:r>
      <w:r>
        <w:rPr>
          <w:rFonts w:ascii="宋体" w:hAnsi="宋体" w:eastAsia="宋体" w:cs="宋体"/>
          <w:spacing w:val="-3"/>
          <w:sz w:val="30"/>
          <w:szCs w:val="30"/>
          <w14:textOutline w14:w="5448" w14:cap="sq" w14:cmpd="sng">
            <w14:solidFill>
              <w14:srgbClr w14:val="000000"/>
            </w14:solidFill>
            <w14:prstDash w14:val="solid"/>
            <w14:bevel/>
          </w14:textOutline>
        </w:rPr>
        <w:t>监督</w:t>
      </w:r>
    </w:p>
    <w:p w14:paraId="270E3C90">
      <w:pPr>
        <w:pageBreakBefore w:val="0"/>
        <w:kinsoku/>
        <w:topLinePunct w:val="0"/>
        <w:bidi w:val="0"/>
        <w:spacing w:before="218" w:line="219" w:lineRule="auto"/>
        <w:ind w:left="18"/>
        <w:outlineLvl w:val="2"/>
        <w:rPr>
          <w:rFonts w:ascii="宋体" w:hAnsi="宋体" w:eastAsia="宋体" w:cs="宋体"/>
          <w:sz w:val="24"/>
          <w:szCs w:val="24"/>
        </w:rPr>
      </w:pP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1.</w:t>
      </w:r>
      <w:r>
        <w:rPr>
          <w:rFonts w:ascii="宋体" w:hAnsi="宋体" w:eastAsia="宋体" w:cs="宋体"/>
          <w:spacing w:val="-2"/>
          <w:sz w:val="24"/>
          <w:szCs w:val="24"/>
          <w14:textOutline w14:w="4358" w14:cap="sq" w14:cmpd="sng">
            <w14:solidFill>
              <w14:srgbClr w14:val="000000"/>
            </w14:solidFill>
            <w14:prstDash w14:val="solid"/>
            <w14:bevel/>
          </w14:textOutline>
        </w:rPr>
        <w:t>对采购人的纪律要求</w:t>
      </w:r>
    </w:p>
    <w:p w14:paraId="1FD56FD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采购人不得</w:t>
      </w:r>
      <w:r>
        <w:rPr>
          <w:rFonts w:hint="eastAsia" w:ascii="宋体" w:hAnsi="宋体" w:eastAsia="宋体" w:cs="宋体"/>
          <w:spacing w:val="-3"/>
          <w:sz w:val="24"/>
          <w:szCs w:val="24"/>
          <w:lang w:eastAsia="zh-CN"/>
        </w:rPr>
        <w:t>泄露磋商</w:t>
      </w:r>
      <w:r>
        <w:rPr>
          <w:rFonts w:ascii="宋体" w:hAnsi="宋体" w:eastAsia="宋体" w:cs="宋体"/>
          <w:spacing w:val="-3"/>
          <w:sz w:val="24"/>
          <w:szCs w:val="24"/>
        </w:rPr>
        <w:t>活动中应当保密的情况和资料，不得与供应商串通损害国家利益、社会公共利益或者他人合法权益。</w:t>
      </w:r>
    </w:p>
    <w:p w14:paraId="5EE7B95E">
      <w:pPr>
        <w:pageBreakBefore w:val="0"/>
        <w:kinsoku/>
        <w:topLinePunct w:val="0"/>
        <w:bidi w:val="0"/>
        <w:spacing w:before="184" w:line="219" w:lineRule="auto"/>
        <w:ind w:left="3"/>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2.对供应商的纪律要求</w:t>
      </w:r>
    </w:p>
    <w:p w14:paraId="1F6E26ED">
      <w:pPr>
        <w:keepNext w:val="0"/>
        <w:keepLines w:val="0"/>
        <w:pageBreakBefore w:val="0"/>
        <w:widowControl/>
        <w:kinsoku/>
        <w:wordWrap/>
        <w:overflowPunct w:val="0"/>
        <w:topLinePunct w:val="0"/>
        <w:autoSpaceDE w:val="0"/>
        <w:autoSpaceDN w:val="0"/>
        <w:bidi w:val="0"/>
        <w:adjustRightInd w:val="0"/>
        <w:snapToGrid w:val="0"/>
        <w:spacing w:before="178" w:line="360" w:lineRule="auto"/>
        <w:ind w:right="57" w:firstLine="499"/>
        <w:textAlignment w:val="baseline"/>
        <w:rPr>
          <w:rFonts w:ascii="宋体" w:hAnsi="宋体" w:eastAsia="宋体" w:cs="宋体"/>
          <w:spacing w:val="-3"/>
          <w:sz w:val="24"/>
          <w:szCs w:val="24"/>
        </w:rPr>
      </w:pPr>
      <w:r>
        <w:rPr>
          <w:rFonts w:ascii="宋体" w:hAnsi="宋体" w:eastAsia="宋体" w:cs="宋体"/>
          <w:spacing w:val="-3"/>
          <w:sz w:val="24"/>
          <w:szCs w:val="24"/>
        </w:rPr>
        <w:t>供应商有下列情形之一的，依照政府采购法第七十七条第一款的规定追究法律责任：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（一）向</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小组成员行贿或者提供其他不正当利益；</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（二）成交后无正当理由拒不与采购人签订政府采购合同；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（三）未按照</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文件确定的事项签订政府采购合同；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（四）将政府采购合同转包；</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（五）提供假冒伪劣产品；</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（六）擅自变更、</w:t>
      </w:r>
      <w:r>
        <w:rPr>
          <w:rFonts w:hint="eastAsia" w:ascii="宋体" w:hAnsi="宋体" w:eastAsia="宋体" w:cs="宋体"/>
          <w:spacing w:val="-3"/>
          <w:sz w:val="24"/>
          <w:szCs w:val="24"/>
          <w:lang w:eastAsia="zh-CN"/>
        </w:rPr>
        <w:t>终止</w:t>
      </w:r>
      <w:r>
        <w:rPr>
          <w:rFonts w:hint="default" w:ascii="宋体" w:hAnsi="宋体" w:eastAsia="宋体" w:cs="宋体"/>
          <w:spacing w:val="-3"/>
          <w:sz w:val="24"/>
          <w:szCs w:val="24"/>
        </w:rPr>
        <w:t>或者终止政府采购合同。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供应商有前款第一项规定情形的，成交无效。评审阶段资格发生变化，列入不良行为记录名单，成交无效。</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供应商捏造事实、提供虚假材料或者以非法手段取得证明材料进行投诉的，由财政部门列入不良行为记录名单，禁止其1至3年内参加政府采购活动。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有下列情形之一的，属于恶意串通，对供应商依照政府采购法第七十七条第一款的规定追究法律责任：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一</w:t>
      </w:r>
      <w:r>
        <w:rPr>
          <w:rFonts w:hint="default" w:ascii="宋体" w:hAnsi="宋体" w:eastAsia="宋体" w:cs="宋体"/>
          <w:spacing w:val="-3"/>
          <w:sz w:val="24"/>
          <w:szCs w:val="24"/>
        </w:rPr>
        <w:t>）供应商之间协商报价、技术方案等</w:t>
      </w:r>
      <w:r>
        <w:rPr>
          <w:rFonts w:hint="eastAsia" w:ascii="宋体" w:hAnsi="宋体" w:eastAsia="宋体" w:cs="宋体"/>
          <w:spacing w:val="-3"/>
          <w:sz w:val="24"/>
          <w:szCs w:val="24"/>
          <w:lang w:eastAsia="zh-CN"/>
        </w:rPr>
        <w:t>相应</w:t>
      </w:r>
      <w:r>
        <w:rPr>
          <w:rFonts w:hint="default" w:ascii="宋体" w:hAnsi="宋体" w:eastAsia="宋体" w:cs="宋体"/>
          <w:spacing w:val="-3"/>
          <w:sz w:val="24"/>
          <w:szCs w:val="24"/>
        </w:rPr>
        <w:t>文件的实质性内容；</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二</w:t>
      </w:r>
      <w:r>
        <w:rPr>
          <w:rFonts w:hint="default" w:ascii="宋体" w:hAnsi="宋体" w:eastAsia="宋体" w:cs="宋体"/>
          <w:spacing w:val="-3"/>
          <w:sz w:val="24"/>
          <w:szCs w:val="24"/>
        </w:rPr>
        <w:t>）属于同一集团、协会、商会等组织成员的供应商按照该组织要求协同参加政府采购活动；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三</w:t>
      </w:r>
      <w:r>
        <w:rPr>
          <w:rFonts w:hint="default" w:ascii="宋体" w:hAnsi="宋体" w:eastAsia="宋体" w:cs="宋体"/>
          <w:spacing w:val="-3"/>
          <w:sz w:val="24"/>
          <w:szCs w:val="24"/>
        </w:rPr>
        <w:t>）供应商之间事先约定由某一特定供应商成交；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四</w:t>
      </w:r>
      <w:r>
        <w:rPr>
          <w:rFonts w:hint="default" w:ascii="宋体" w:hAnsi="宋体" w:eastAsia="宋体" w:cs="宋体"/>
          <w:spacing w:val="-3"/>
          <w:sz w:val="24"/>
          <w:szCs w:val="24"/>
        </w:rPr>
        <w:t>）供应商之间商定部分供应商放弃参加政府采购活动或者放弃成交；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五</w:t>
      </w:r>
      <w:r>
        <w:rPr>
          <w:rFonts w:hint="default" w:ascii="宋体" w:hAnsi="宋体" w:eastAsia="宋体" w:cs="宋体"/>
          <w:spacing w:val="-3"/>
          <w:sz w:val="24"/>
          <w:szCs w:val="24"/>
        </w:rPr>
        <w:t>）供应商相互之间，为谋求特定供应商成交或者排斥其他供应商的其他串通行为。</w:t>
      </w:r>
    </w:p>
    <w:p w14:paraId="2DEFBE93">
      <w:pPr>
        <w:pageBreakBefore w:val="0"/>
        <w:kinsoku/>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3.对磋商小组成员的纪律要求</w:t>
      </w:r>
    </w:p>
    <w:p w14:paraId="0A095B8F">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磋商小组成员不得收受他人的财物或者其他好处，不得向他人</w:t>
      </w:r>
      <w:r>
        <w:rPr>
          <w:rFonts w:hint="eastAsia" w:ascii="宋体" w:hAnsi="宋体" w:eastAsia="宋体" w:cs="宋体"/>
          <w:spacing w:val="-2"/>
          <w:sz w:val="24"/>
          <w:szCs w:val="24"/>
          <w:lang w:eastAsia="zh-CN"/>
        </w:rPr>
        <w:t>透露</w:t>
      </w:r>
      <w:r>
        <w:rPr>
          <w:rFonts w:ascii="宋体" w:hAnsi="宋体" w:eastAsia="宋体" w:cs="宋体"/>
          <w:spacing w:val="-3"/>
          <w:sz w:val="24"/>
          <w:szCs w:val="24"/>
        </w:rPr>
        <w:t>对磋商响应文件的评</w:t>
      </w:r>
      <w:r>
        <w:rPr>
          <w:rFonts w:ascii="宋体" w:hAnsi="宋体" w:eastAsia="宋体" w:cs="宋体"/>
          <w:sz w:val="24"/>
          <w:szCs w:val="24"/>
        </w:rPr>
        <w:t xml:space="preserve"> </w:t>
      </w:r>
      <w:r>
        <w:rPr>
          <w:rFonts w:ascii="宋体" w:hAnsi="宋体" w:eastAsia="宋体" w:cs="宋体"/>
          <w:spacing w:val="-2"/>
          <w:sz w:val="24"/>
          <w:szCs w:val="24"/>
        </w:rPr>
        <w:t>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有关的其他情况。在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活动中，磋商小组成员不得擅离职守，影响</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程序正常进行，不得使用“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办法</w:t>
      </w:r>
      <w:r>
        <w:rPr>
          <w:rFonts w:ascii="宋体" w:hAnsi="宋体" w:eastAsia="宋体" w:cs="宋体"/>
          <w:spacing w:val="-89"/>
          <w:sz w:val="24"/>
          <w:szCs w:val="24"/>
        </w:rPr>
        <w:t xml:space="preserve"> </w:t>
      </w:r>
      <w:r>
        <w:rPr>
          <w:rFonts w:ascii="宋体" w:hAnsi="宋体" w:eastAsia="宋体" w:cs="宋体"/>
          <w:spacing w:val="-3"/>
          <w:sz w:val="24"/>
          <w:szCs w:val="24"/>
        </w:rPr>
        <w:t>”没有规定的评审因素</w:t>
      </w:r>
      <w:r>
        <w:rPr>
          <w:rFonts w:ascii="宋体" w:hAnsi="宋体" w:eastAsia="宋体" w:cs="宋体"/>
          <w:spacing w:val="-4"/>
          <w:sz w:val="24"/>
          <w:szCs w:val="24"/>
        </w:rPr>
        <w:t>和标准</w:t>
      </w:r>
      <w:r>
        <w:rPr>
          <w:rFonts w:ascii="宋体" w:hAnsi="宋体" w:eastAsia="宋体" w:cs="宋体"/>
          <w:spacing w:val="-2"/>
          <w:sz w:val="24"/>
          <w:szCs w:val="24"/>
        </w:rPr>
        <w:t>进行</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w:t>
      </w:r>
    </w:p>
    <w:p w14:paraId="5D982ADC">
      <w:pPr>
        <w:pageBreakBefore w:val="0"/>
        <w:kinsoku/>
        <w:topLinePunct w:val="0"/>
        <w:bidi w:val="0"/>
        <w:spacing w:before="180" w:line="219" w:lineRule="auto"/>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4.对与</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评审</w:t>
      </w:r>
      <w:r>
        <w:rPr>
          <w:rFonts w:ascii="宋体" w:hAnsi="宋体" w:eastAsia="宋体" w:cs="宋体"/>
          <w:sz w:val="24"/>
          <w:szCs w:val="24"/>
          <w14:textOutline w14:w="4358" w14:cap="sq" w14:cmpd="sng">
            <w14:solidFill>
              <w14:srgbClr w14:val="000000"/>
            </w14:solidFill>
            <w14:prstDash w14:val="solid"/>
            <w14:bevel/>
          </w14:textOutline>
        </w:rPr>
        <w:t>活动有关的工作人员的纪律要求</w:t>
      </w:r>
    </w:p>
    <w:p w14:paraId="09A19C18">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与</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活动有关的工作人员不得收受他人的财物或</w:t>
      </w:r>
      <w:r>
        <w:rPr>
          <w:rFonts w:ascii="宋体" w:hAnsi="宋体" w:eastAsia="宋体" w:cs="宋体"/>
          <w:spacing w:val="-3"/>
          <w:sz w:val="24"/>
          <w:szCs w:val="24"/>
        </w:rPr>
        <w:t>者其他好处，不得向他人</w:t>
      </w:r>
      <w:r>
        <w:rPr>
          <w:rFonts w:hint="eastAsia" w:ascii="宋体" w:hAnsi="宋体" w:eastAsia="宋体" w:cs="宋体"/>
          <w:spacing w:val="-3"/>
          <w:sz w:val="24"/>
          <w:szCs w:val="24"/>
          <w:lang w:eastAsia="zh-CN"/>
        </w:rPr>
        <w:t>透露</w:t>
      </w:r>
      <w:r>
        <w:rPr>
          <w:rFonts w:ascii="宋体" w:hAnsi="宋体" w:eastAsia="宋体" w:cs="宋体"/>
          <w:spacing w:val="-3"/>
          <w:sz w:val="24"/>
          <w:szCs w:val="24"/>
        </w:rPr>
        <w:t>对磋商</w:t>
      </w:r>
      <w:r>
        <w:rPr>
          <w:rFonts w:ascii="宋体" w:hAnsi="宋体" w:eastAsia="宋体" w:cs="宋体"/>
          <w:spacing w:val="-2"/>
          <w:sz w:val="24"/>
          <w:szCs w:val="24"/>
        </w:rPr>
        <w:t>响应文件的评审和比较、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有关的其他情况。在</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活动</w:t>
      </w:r>
      <w:r>
        <w:rPr>
          <w:rFonts w:ascii="宋体" w:hAnsi="宋体" w:eastAsia="宋体" w:cs="宋体"/>
          <w:spacing w:val="-3"/>
          <w:sz w:val="24"/>
          <w:szCs w:val="24"/>
        </w:rPr>
        <w:t>中，</w:t>
      </w:r>
      <w:r>
        <w:rPr>
          <w:rFonts w:ascii="宋体" w:hAnsi="宋体" w:eastAsia="宋体" w:cs="宋体"/>
          <w:spacing w:val="-1"/>
          <w:sz w:val="24"/>
          <w:szCs w:val="24"/>
        </w:rPr>
        <w:t>与</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活动有关的工作人员不得擅离职守，影响</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程序正常进行。</w:t>
      </w:r>
    </w:p>
    <w:p w14:paraId="2923BFDD">
      <w:pPr>
        <w:pStyle w:val="5"/>
        <w:pageBreakBefore w:val="0"/>
        <w:kinsoku/>
        <w:topLinePunct w:val="0"/>
        <w:bidi w:val="0"/>
        <w:spacing w:line="331" w:lineRule="auto"/>
      </w:pPr>
    </w:p>
    <w:p w14:paraId="51E32D46">
      <w:pPr>
        <w:pageBreakBefore w:val="0"/>
        <w:kinsoku/>
        <w:wordWrap/>
        <w:topLinePunct w:val="0"/>
        <w:bidi w:val="0"/>
        <w:spacing w:before="98" w:line="220" w:lineRule="auto"/>
        <w:jc w:val="center"/>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（十一）</w:t>
      </w:r>
      <w:r>
        <w:rPr>
          <w:rFonts w:hint="eastAsia" w:ascii="宋体" w:hAnsi="宋体" w:eastAsia="宋体" w:cs="宋体"/>
          <w:spacing w:val="-3"/>
          <w:sz w:val="30"/>
          <w:szCs w:val="30"/>
          <w14:textOutline w14:w="5448" w14:cap="sq" w14:cmpd="sng">
            <w14:solidFill>
              <w14:srgbClr w14:val="000000"/>
            </w14:solidFill>
            <w14:prstDash w14:val="solid"/>
            <w14:bevel/>
          </w14:textOutline>
        </w:rPr>
        <w:t>终止竞争性磋商采购活动</w:t>
      </w:r>
    </w:p>
    <w:p w14:paraId="4470EA5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w:t>
      </w:r>
      <w:r>
        <w:rPr>
          <w:rFonts w:hint="eastAsia" w:ascii="宋体" w:hAnsi="宋体" w:eastAsia="宋体" w:cs="宋体"/>
          <w:spacing w:val="-3"/>
          <w:sz w:val="24"/>
          <w:szCs w:val="24"/>
          <w:lang w:eastAsia="zh-CN"/>
        </w:rPr>
        <w:t>活动</w:t>
      </w:r>
      <w:r>
        <w:rPr>
          <w:rFonts w:ascii="宋体" w:hAnsi="宋体" w:eastAsia="宋体" w:cs="宋体"/>
          <w:spacing w:val="-3"/>
          <w:sz w:val="24"/>
          <w:szCs w:val="24"/>
        </w:rPr>
        <w:t>中，出现下列情形之一的，予以</w:t>
      </w:r>
      <w:r>
        <w:rPr>
          <w:rFonts w:hint="eastAsia" w:ascii="宋体" w:hAnsi="宋体" w:eastAsia="宋体" w:cs="宋体"/>
          <w:spacing w:val="-3"/>
          <w:sz w:val="24"/>
          <w:szCs w:val="24"/>
        </w:rPr>
        <w:t>终止竞争性磋商采购活动</w:t>
      </w:r>
      <w:r>
        <w:rPr>
          <w:rFonts w:ascii="宋体" w:hAnsi="宋体" w:eastAsia="宋体" w:cs="宋体"/>
          <w:spacing w:val="-3"/>
          <w:sz w:val="24"/>
          <w:szCs w:val="24"/>
        </w:rPr>
        <w:t>：</w:t>
      </w:r>
    </w:p>
    <w:p w14:paraId="3ECCD76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(1)</w:t>
      </w:r>
      <w:r>
        <w:rPr>
          <w:rFonts w:ascii="宋体" w:hAnsi="宋体" w:eastAsia="宋体" w:cs="宋体"/>
          <w:spacing w:val="-3"/>
          <w:sz w:val="24"/>
          <w:szCs w:val="24"/>
        </w:rPr>
        <w:t>符合专业条件的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或者对磋商文件</w:t>
      </w:r>
      <w:r>
        <w:rPr>
          <w:rFonts w:hint="eastAsia" w:ascii="宋体" w:hAnsi="宋体" w:eastAsia="宋体" w:cs="宋体"/>
          <w:spacing w:val="-3"/>
          <w:sz w:val="24"/>
          <w:szCs w:val="24"/>
          <w:lang w:eastAsia="zh-CN"/>
        </w:rPr>
        <w:t>做</w:t>
      </w:r>
      <w:r>
        <w:rPr>
          <w:rFonts w:ascii="宋体" w:hAnsi="宋体" w:eastAsia="宋体" w:cs="宋体"/>
          <w:spacing w:val="-3"/>
          <w:sz w:val="24"/>
          <w:szCs w:val="24"/>
        </w:rPr>
        <w:t>实质响应的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不足三家的；</w:t>
      </w:r>
    </w:p>
    <w:p w14:paraId="248E5BD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(2)</w:t>
      </w:r>
      <w:r>
        <w:rPr>
          <w:rFonts w:ascii="宋体" w:hAnsi="宋体" w:eastAsia="宋体" w:cs="宋体"/>
          <w:spacing w:val="-3"/>
          <w:sz w:val="24"/>
          <w:szCs w:val="24"/>
        </w:rPr>
        <w:t>出现影响采购公</w:t>
      </w:r>
      <w:r>
        <w:rPr>
          <w:rFonts w:hint="eastAsia" w:ascii="宋体" w:hAnsi="宋体" w:eastAsia="宋体" w:cs="宋体"/>
          <w:spacing w:val="-3"/>
          <w:sz w:val="24"/>
          <w:szCs w:val="24"/>
          <w:lang w:eastAsia="zh-CN"/>
        </w:rPr>
        <w:t>作</w:t>
      </w:r>
      <w:r>
        <w:rPr>
          <w:rFonts w:ascii="宋体" w:hAnsi="宋体" w:eastAsia="宋体" w:cs="宋体"/>
          <w:spacing w:val="-3"/>
          <w:sz w:val="24"/>
          <w:szCs w:val="24"/>
        </w:rPr>
        <w:t>的违法、违规行为的；</w:t>
      </w:r>
    </w:p>
    <w:p w14:paraId="109E3B3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(3)</w:t>
      </w:r>
      <w:r>
        <w:rPr>
          <w:rFonts w:ascii="宋体" w:hAnsi="宋体" w:eastAsia="宋体" w:cs="宋体"/>
          <w:spacing w:val="-3"/>
          <w:sz w:val="24"/>
          <w:szCs w:val="24"/>
        </w:rPr>
        <w:t>供应商的报价均超过了采购预算，采购人不能支付的；</w:t>
      </w:r>
    </w:p>
    <w:p w14:paraId="21EA5E6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(4)</w:t>
      </w:r>
      <w:r>
        <w:rPr>
          <w:rFonts w:ascii="宋体" w:hAnsi="宋体" w:eastAsia="宋体" w:cs="宋体"/>
          <w:spacing w:val="-3"/>
          <w:sz w:val="24"/>
          <w:szCs w:val="24"/>
        </w:rPr>
        <w:t>因重大变故，采购任务取消的。</w:t>
      </w:r>
    </w:p>
    <w:p w14:paraId="65C3FE5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(5)</w:t>
      </w:r>
      <w:r>
        <w:rPr>
          <w:rFonts w:ascii="宋体" w:hAnsi="宋体" w:eastAsia="宋体" w:cs="宋体"/>
          <w:spacing w:val="-3"/>
          <w:sz w:val="24"/>
          <w:szCs w:val="24"/>
        </w:rPr>
        <w:t>其他不符合磋商文件要求的</w:t>
      </w:r>
      <w:r>
        <w:rPr>
          <w:rFonts w:hint="eastAsia" w:ascii="宋体" w:hAnsi="宋体" w:eastAsia="宋体" w:cs="宋体"/>
          <w:spacing w:val="-3"/>
          <w:sz w:val="24"/>
          <w:szCs w:val="24"/>
          <w:lang w:eastAsia="zh-CN"/>
        </w:rPr>
        <w:t>情形</w:t>
      </w:r>
      <w:r>
        <w:rPr>
          <w:rFonts w:ascii="宋体" w:hAnsi="宋体" w:eastAsia="宋体" w:cs="宋体"/>
          <w:spacing w:val="-3"/>
          <w:sz w:val="24"/>
          <w:szCs w:val="24"/>
        </w:rPr>
        <w:t>。</w:t>
      </w:r>
    </w:p>
    <w:p w14:paraId="6A9C3937">
      <w:pPr>
        <w:pStyle w:val="5"/>
        <w:pageBreakBefore w:val="0"/>
        <w:kinsoku/>
        <w:topLinePunct w:val="0"/>
        <w:bidi w:val="0"/>
        <w:spacing w:line="331" w:lineRule="auto"/>
      </w:pPr>
    </w:p>
    <w:p w14:paraId="59AF5CBC">
      <w:pPr>
        <w:pageBreakBefore w:val="0"/>
        <w:kinsoku/>
        <w:topLinePunct w:val="0"/>
        <w:bidi w:val="0"/>
        <w:spacing w:before="98" w:line="220" w:lineRule="auto"/>
        <w:ind w:left="3422"/>
        <w:outlineLvl w:val="1"/>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（十二）质疑和投诉</w:t>
      </w:r>
    </w:p>
    <w:p w14:paraId="50BC2C2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1.供应商对政府采购活动事项有疑问的，可以向采购人或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提出询问。采购人或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收到质疑函后7个工作日内作出答复。供应商如对</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或</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过程进行质疑，供应商须一次性提出针对同一采购程序环节的所有质疑内容，多次质疑将不予受理。</w:t>
      </w:r>
    </w:p>
    <w:p w14:paraId="054CE98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2.供应商若认为</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、采购过程和</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使自己的权益受到损害，应当在下列时间内以书面形式向采购人或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w:t>
      </w:r>
    </w:p>
    <w:p w14:paraId="34CDE02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(1)</w:t>
      </w:r>
      <w:r>
        <w:rPr>
          <w:rFonts w:ascii="宋体" w:hAnsi="宋体" w:eastAsia="宋体" w:cs="宋体"/>
          <w:spacing w:val="-3"/>
          <w:sz w:val="24"/>
          <w:szCs w:val="24"/>
        </w:rPr>
        <w:t>关于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的质疑，</w:t>
      </w:r>
      <w:r>
        <w:rPr>
          <w:rFonts w:ascii="宋体" w:hAnsi="宋体" w:eastAsia="宋体" w:cs="宋体"/>
          <w:sz w:val="24"/>
          <w:szCs w:val="24"/>
        </w:rPr>
        <w:t>应当在获取</w:t>
      </w:r>
      <w:r>
        <w:rPr>
          <w:rFonts w:hint="eastAsia" w:ascii="宋体" w:hAnsi="宋体" w:eastAsia="宋体" w:cs="宋体"/>
          <w:sz w:val="24"/>
          <w:szCs w:val="24"/>
          <w:lang w:eastAsia="zh-CN"/>
        </w:rPr>
        <w:t>磋商</w:t>
      </w:r>
      <w:r>
        <w:rPr>
          <w:rFonts w:ascii="宋体" w:hAnsi="宋体" w:eastAsia="宋体" w:cs="宋体"/>
          <w:sz w:val="24"/>
          <w:szCs w:val="24"/>
        </w:rPr>
        <w:t>文件或者</w:t>
      </w:r>
      <w:r>
        <w:rPr>
          <w:rFonts w:hint="eastAsia" w:ascii="宋体" w:hAnsi="宋体" w:eastAsia="宋体" w:cs="宋体"/>
          <w:sz w:val="24"/>
          <w:szCs w:val="24"/>
          <w:lang w:eastAsia="zh-CN"/>
        </w:rPr>
        <w:t>磋商</w:t>
      </w:r>
      <w:r>
        <w:rPr>
          <w:rFonts w:ascii="宋体" w:hAnsi="宋体" w:eastAsia="宋体" w:cs="宋体"/>
          <w:sz w:val="24"/>
          <w:szCs w:val="24"/>
        </w:rPr>
        <w:t>文件公告</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"https://baike.baidu.com/item/%E6%9C%9F%E9%99%90%E5%B1%8A%E6%BB%A1/10561304?fromModule=lemma_inlink" \t "https://baike.baidu.com/item/%E6%94%BF%E5%BA%9C%E9%87%87%E8%B4%AD%E8%B4%A8%E7%96%91%E5%92%8C%E6%8A%95%E8%AF%89%E5%8A%9E%E6%B3%95/_blank" </w:instrText>
      </w:r>
      <w:r>
        <w:rPr>
          <w:rFonts w:ascii="宋体" w:hAnsi="宋体" w:eastAsia="宋体" w:cs="宋体"/>
          <w:sz w:val="24"/>
          <w:szCs w:val="24"/>
        </w:rPr>
        <w:fldChar w:fldCharType="separate"/>
      </w:r>
      <w:r>
        <w:rPr>
          <w:rFonts w:ascii="宋体" w:hAnsi="宋体" w:eastAsia="宋体" w:cs="宋体"/>
          <w:sz w:val="24"/>
          <w:szCs w:val="24"/>
        </w:rPr>
        <w:t>期限届满</w:t>
      </w:r>
      <w:r>
        <w:rPr>
          <w:rFonts w:ascii="宋体" w:hAnsi="宋体" w:eastAsia="宋体" w:cs="宋体"/>
          <w:sz w:val="24"/>
          <w:szCs w:val="24"/>
        </w:rPr>
        <w:fldChar w:fldCharType="end"/>
      </w:r>
      <w:r>
        <w:rPr>
          <w:rFonts w:ascii="宋体" w:hAnsi="宋体" w:eastAsia="宋体" w:cs="宋体"/>
          <w:sz w:val="24"/>
          <w:szCs w:val="24"/>
        </w:rPr>
        <w:t>之日起7个工作日内提出</w:t>
      </w:r>
      <w:r>
        <w:rPr>
          <w:rFonts w:ascii="宋体" w:hAnsi="宋体" w:eastAsia="宋体" w:cs="宋体"/>
          <w:spacing w:val="-3"/>
          <w:sz w:val="24"/>
          <w:szCs w:val="24"/>
        </w:rPr>
        <w:t>。</w:t>
      </w:r>
    </w:p>
    <w:p w14:paraId="3F2D75F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(2)</w:t>
      </w:r>
      <w:r>
        <w:rPr>
          <w:rFonts w:ascii="宋体" w:hAnsi="宋体" w:eastAsia="宋体" w:cs="宋体"/>
          <w:spacing w:val="-3"/>
          <w:sz w:val="24"/>
          <w:szCs w:val="24"/>
        </w:rPr>
        <w:t>关于</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过程的质疑，应在</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程序环节结束之日起7个工作日内提出。</w:t>
      </w:r>
    </w:p>
    <w:p w14:paraId="4CC9B16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(3)</w:t>
      </w:r>
      <w:r>
        <w:rPr>
          <w:rFonts w:ascii="宋体" w:hAnsi="宋体" w:eastAsia="宋体" w:cs="宋体"/>
          <w:spacing w:val="-3"/>
          <w:sz w:val="24"/>
          <w:szCs w:val="24"/>
        </w:rPr>
        <w:t>关于</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的质疑，应在</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信息发布后7个工作日内提出。</w:t>
      </w:r>
    </w:p>
    <w:p w14:paraId="322301D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3.供应商</w:t>
      </w:r>
      <w:r>
        <w:rPr>
          <w:rFonts w:hint="eastAsia" w:ascii="宋体" w:hAnsi="宋体" w:eastAsia="宋体" w:cs="宋体"/>
          <w:spacing w:val="-3"/>
          <w:sz w:val="24"/>
          <w:szCs w:val="24"/>
          <w:lang w:eastAsia="zh-CN"/>
        </w:rPr>
        <w:t>提出疑问</w:t>
      </w:r>
      <w:r>
        <w:rPr>
          <w:rFonts w:ascii="宋体" w:hAnsi="宋体" w:eastAsia="宋体" w:cs="宋体"/>
          <w:spacing w:val="-3"/>
          <w:sz w:val="24"/>
          <w:szCs w:val="24"/>
        </w:rPr>
        <w:t>的，应提供质疑书原件。采购人或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应当向质疑供应商签收回执。</w:t>
      </w:r>
    </w:p>
    <w:p w14:paraId="28A3121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4.质疑书应当包括下列内容：</w:t>
      </w:r>
    </w:p>
    <w:p w14:paraId="5CBEDDE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(1)</w:t>
      </w:r>
      <w:r>
        <w:rPr>
          <w:rFonts w:ascii="宋体" w:hAnsi="宋体" w:eastAsia="宋体" w:cs="宋体"/>
          <w:spacing w:val="-3"/>
          <w:sz w:val="24"/>
          <w:szCs w:val="24"/>
        </w:rPr>
        <w:t>供应商的姓名</w:t>
      </w:r>
      <w:r>
        <w:rPr>
          <w:rFonts w:hint="eastAsia" w:ascii="宋体" w:hAnsi="宋体" w:eastAsia="宋体" w:cs="宋体"/>
          <w:spacing w:val="-3"/>
          <w:sz w:val="24"/>
          <w:szCs w:val="24"/>
          <w:lang w:eastAsia="zh-CN"/>
        </w:rPr>
        <w:t>或</w:t>
      </w:r>
      <w:r>
        <w:rPr>
          <w:rFonts w:ascii="宋体" w:hAnsi="宋体" w:eastAsia="宋体" w:cs="宋体"/>
          <w:spacing w:val="-3"/>
          <w:sz w:val="24"/>
          <w:szCs w:val="24"/>
        </w:rPr>
        <w:t>名称、地址、邮编、联系人及联系电话；</w:t>
      </w:r>
    </w:p>
    <w:p w14:paraId="1B6AD23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(2)</w:t>
      </w:r>
      <w:r>
        <w:rPr>
          <w:rFonts w:ascii="宋体" w:hAnsi="宋体" w:eastAsia="宋体" w:cs="宋体"/>
          <w:spacing w:val="-3"/>
          <w:sz w:val="24"/>
          <w:szCs w:val="24"/>
        </w:rPr>
        <w:t>质疑项目的名称、编号；</w:t>
      </w:r>
    </w:p>
    <w:p w14:paraId="7BD88D7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(3)</w:t>
      </w:r>
      <w:r>
        <w:rPr>
          <w:rFonts w:ascii="宋体" w:hAnsi="宋体" w:eastAsia="宋体" w:cs="宋体"/>
          <w:spacing w:val="-3"/>
          <w:sz w:val="24"/>
          <w:szCs w:val="24"/>
        </w:rPr>
        <w:t>具体、明确的质疑事项和与质疑事项相关的请求；</w:t>
      </w:r>
    </w:p>
    <w:p w14:paraId="3A5F062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(4)</w:t>
      </w:r>
      <w:r>
        <w:rPr>
          <w:rFonts w:ascii="宋体" w:hAnsi="宋体" w:eastAsia="宋体" w:cs="宋体"/>
          <w:spacing w:val="-3"/>
          <w:sz w:val="24"/>
          <w:szCs w:val="24"/>
        </w:rPr>
        <w:t>事实依据；</w:t>
      </w:r>
    </w:p>
    <w:p w14:paraId="72BEF20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（5）必要的法律依据；</w:t>
      </w:r>
    </w:p>
    <w:p w14:paraId="7336C849">
      <w:pPr>
        <w:pageBreakBefore w:val="0"/>
        <w:kinsoku/>
        <w:wordWrap/>
        <w:topLinePunct w:val="0"/>
        <w:bidi w:val="0"/>
        <w:spacing w:before="153" w:line="220" w:lineRule="auto"/>
        <w:ind w:left="492"/>
        <w:rPr>
          <w:rFonts w:ascii="宋体" w:hAnsi="宋体" w:eastAsia="宋体" w:cs="宋体"/>
          <w:sz w:val="24"/>
          <w:szCs w:val="24"/>
        </w:rPr>
      </w:pPr>
      <w:r>
        <w:rPr>
          <w:rFonts w:hint="eastAsia" w:ascii="宋体" w:hAnsi="宋体" w:eastAsia="宋体" w:cs="宋体"/>
          <w:spacing w:val="-2"/>
          <w:sz w:val="24"/>
          <w:szCs w:val="24"/>
          <w:lang w:eastAsia="zh-CN"/>
        </w:rPr>
        <w:t>(6)提出疑问</w:t>
      </w:r>
      <w:r>
        <w:rPr>
          <w:rFonts w:ascii="宋体" w:hAnsi="宋体" w:eastAsia="宋体" w:cs="宋体"/>
          <w:spacing w:val="-2"/>
          <w:sz w:val="24"/>
          <w:szCs w:val="24"/>
        </w:rPr>
        <w:t>的日期。</w:t>
      </w:r>
    </w:p>
    <w:p w14:paraId="3678ECC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5.质疑书应当由供应商法定代表人或其授权委托人签字并加盖供应商单位章，质疑书由授权委托人签字的应附供应商授权委托书。</w:t>
      </w:r>
    </w:p>
    <w:p w14:paraId="27C3C56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将在签收回执之日起七个工作日内作出书面答复，并以书面形式通知质疑供应商和其他有关的供应商。</w:t>
      </w:r>
    </w:p>
    <w:p w14:paraId="2EE8CF7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7.供应商对采购人或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的答复不满意，或采购人或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未在规定的 期限作出答复的，可在答复期满后十五个工作日内，按政府采购相关法律法规规章的规定及程序，向同级财政部门提出投诉。</w:t>
      </w:r>
    </w:p>
    <w:p w14:paraId="7DBF722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8.投诉情形处罚规定</w:t>
      </w:r>
    </w:p>
    <w:p w14:paraId="084E3BC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《政府采购质疑和投诉办法》（财政部令第 94 号）第三十七条投诉人在全国范围12个月内三次以上投诉查无实据的，由财政部门列入不良行为记录名单。投诉人有下列行为之一的，属于虚假、恶意投诉，由财政部门列入不良行为记录名单，禁止其1至</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年内参加政府采购活动：</w:t>
      </w:r>
    </w:p>
    <w:p w14:paraId="0CD5EBC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（一）捏造事实；</w:t>
      </w:r>
    </w:p>
    <w:p w14:paraId="27B194C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（二）提供虚假材料；</w:t>
      </w:r>
    </w:p>
    <w:p w14:paraId="26AE61C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（三）以非法手段取得证明材料。</w:t>
      </w:r>
    </w:p>
    <w:p w14:paraId="749EA64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证据来源的合法性存在明显疑问，投诉人无法证明其取得方式合法的，视为以非法手段取得证明材料。</w:t>
      </w:r>
    </w:p>
    <w:p w14:paraId="3A90B030">
      <w:pPr>
        <w:pStyle w:val="5"/>
        <w:pageBreakBefore w:val="0"/>
        <w:kinsoku/>
        <w:topLinePunct w:val="0"/>
        <w:bidi w:val="0"/>
      </w:pPr>
    </w:p>
    <w:p w14:paraId="3DBDE3CF">
      <w:pPr>
        <w:pStyle w:val="5"/>
        <w:pageBreakBefore w:val="0"/>
        <w:kinsoku/>
        <w:topLinePunct w:val="0"/>
        <w:bidi w:val="0"/>
        <w:spacing w:line="257" w:lineRule="auto"/>
      </w:pPr>
      <w:r>
        <w:rPr>
          <w:rFonts w:ascii="宋体" w:hAnsi="宋体" w:eastAsia="宋体" w:cs="宋体"/>
          <w:spacing w:val="-2"/>
          <w:sz w:val="24"/>
          <w:szCs w:val="24"/>
        </w:rPr>
        <w:t>9.质疑函范本：</w:t>
      </w:r>
    </w:p>
    <w:p w14:paraId="638CAA5F">
      <w:pPr>
        <w:pStyle w:val="5"/>
        <w:pageBreakBefore w:val="0"/>
        <w:kinsoku/>
        <w:topLinePunct w:val="0"/>
        <w:bidi w:val="0"/>
        <w:spacing w:line="257" w:lineRule="auto"/>
      </w:pPr>
    </w:p>
    <w:p w14:paraId="48437E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一、质疑供应商基本信息</w:t>
      </w:r>
    </w:p>
    <w:p w14:paraId="020B7A4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质疑供应商：</w:t>
      </w:r>
      <w:r>
        <w:rPr>
          <w:rFonts w:hint="eastAsia" w:ascii="宋体" w:hAnsi="宋体" w:eastAsia="宋体" w:cs="宋体"/>
          <w:spacing w:val="7"/>
          <w:sz w:val="21"/>
          <w:szCs w:val="21"/>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9"/>
                    <a:stretch>
                      <a:fillRect/>
                    </a:stretch>
                  </pic:blipFill>
                  <pic:spPr>
                    <a:xfrm>
                      <a:off x="0" y="0"/>
                      <a:ext cx="4134484" cy="6096"/>
                    </a:xfrm>
                    <a:prstGeom prst="rect">
                      <a:avLst/>
                    </a:prstGeom>
                  </pic:spPr>
                </pic:pic>
              </a:graphicData>
            </a:graphic>
          </wp:inline>
        </w:drawing>
      </w:r>
    </w:p>
    <w:p w14:paraId="40D58B1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地址：</w:t>
      </w:r>
      <w:r>
        <w:rPr>
          <w:rFonts w:hint="eastAsia" w:ascii="宋体" w:hAnsi="宋体" w:eastAsia="宋体" w:cs="宋体"/>
          <w:spacing w:val="7"/>
          <w:sz w:val="21"/>
          <w:szCs w:val="21"/>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0"/>
                    <a:stretch>
                      <a:fillRect/>
                    </a:stretch>
                  </pic:blipFill>
                  <pic:spPr>
                    <a:xfrm>
                      <a:off x="0" y="0"/>
                      <a:ext cx="1932304"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1"/>
                    <a:stretch>
                      <a:fillRect/>
                    </a:stretch>
                  </pic:blipFill>
                  <pic:spPr>
                    <a:xfrm>
                      <a:off x="0" y="0"/>
                      <a:ext cx="2400300" cy="6095"/>
                    </a:xfrm>
                    <a:prstGeom prst="rect">
                      <a:avLst/>
                    </a:prstGeom>
                  </pic:spPr>
                </pic:pic>
              </a:graphicData>
            </a:graphic>
          </wp:inline>
        </w:drawing>
      </w:r>
    </w:p>
    <w:p w14:paraId="2328F6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w:t>
      </w:r>
      <w:r>
        <w:rPr>
          <w:rFonts w:hint="eastAsia" w:ascii="宋体" w:hAnsi="宋体" w:eastAsia="宋体" w:cs="宋体"/>
          <w:spacing w:val="7"/>
          <w:sz w:val="21"/>
          <w:szCs w:val="21"/>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2"/>
                    <a:stretch>
                      <a:fillRect/>
                    </a:stretch>
                  </pic:blipFill>
                  <pic:spPr>
                    <a:xfrm>
                      <a:off x="0" y="0"/>
                      <a:ext cx="1799589" cy="6095"/>
                    </a:xfrm>
                    <a:prstGeom prst="rect">
                      <a:avLst/>
                    </a:prstGeom>
                  </pic:spPr>
                </pic:pic>
              </a:graphicData>
            </a:graphic>
          </wp:inline>
        </w:drawing>
      </w:r>
      <w:r>
        <w:rPr>
          <w:rFonts w:hint="eastAsia" w:ascii="宋体" w:hAnsi="宋体" w:eastAsia="宋体" w:cs="宋体"/>
          <w:spacing w:val="7"/>
          <w:sz w:val="21"/>
          <w:szCs w:val="21"/>
        </w:rPr>
        <w:t xml:space="preserve"> 联系电话：</w:t>
      </w:r>
      <w:r>
        <w:rPr>
          <w:rFonts w:hint="eastAsia" w:ascii="宋体" w:hAnsi="宋体" w:eastAsia="宋体" w:cs="宋体"/>
          <w:spacing w:val="7"/>
          <w:sz w:val="21"/>
          <w:szCs w:val="21"/>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3"/>
                    <a:stretch>
                      <a:fillRect/>
                    </a:stretch>
                  </pic:blipFill>
                  <pic:spPr>
                    <a:xfrm>
                      <a:off x="0" y="0"/>
                      <a:ext cx="2270760" cy="6095"/>
                    </a:xfrm>
                    <a:prstGeom prst="rect">
                      <a:avLst/>
                    </a:prstGeom>
                  </pic:spPr>
                </pic:pic>
              </a:graphicData>
            </a:graphic>
          </wp:inline>
        </w:drawing>
      </w:r>
    </w:p>
    <w:p w14:paraId="6CD00C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授权代表：</w:t>
      </w:r>
      <w:r>
        <w:rPr>
          <w:rFonts w:hint="eastAsia" w:ascii="宋体" w:hAnsi="宋体" w:eastAsia="宋体" w:cs="宋体"/>
          <w:spacing w:val="7"/>
          <w:sz w:val="21"/>
          <w:szCs w:val="21"/>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4"/>
                    <a:stretch>
                      <a:fillRect/>
                    </a:stretch>
                  </pic:blipFill>
                  <pic:spPr>
                    <a:xfrm>
                      <a:off x="0" y="0"/>
                      <a:ext cx="4332604" cy="6095"/>
                    </a:xfrm>
                    <a:prstGeom prst="rect">
                      <a:avLst/>
                    </a:prstGeom>
                  </pic:spPr>
                </pic:pic>
              </a:graphicData>
            </a:graphic>
          </wp:inline>
        </w:drawing>
      </w:r>
    </w:p>
    <w:p w14:paraId="05ADFC4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联系电话：</w:t>
      </w:r>
      <w:r>
        <w:rPr>
          <w:rFonts w:hint="eastAsia" w:ascii="宋体" w:hAnsi="宋体" w:eastAsia="宋体" w:cs="宋体"/>
          <w:spacing w:val="7"/>
          <w:sz w:val="21"/>
          <w:szCs w:val="21"/>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5"/>
                    <a:stretch>
                      <a:fillRect/>
                    </a:stretch>
                  </pic:blipFill>
                  <pic:spPr>
                    <a:xfrm>
                      <a:off x="0" y="0"/>
                      <a:ext cx="4267200" cy="6095"/>
                    </a:xfrm>
                    <a:prstGeom prst="rect">
                      <a:avLst/>
                    </a:prstGeom>
                  </pic:spPr>
                </pic:pic>
              </a:graphicData>
            </a:graphic>
          </wp:inline>
        </w:drawing>
      </w:r>
    </w:p>
    <w:p w14:paraId="49ED93C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 xml:space="preserve">地址： </w:t>
      </w:r>
      <w:r>
        <w:rPr>
          <w:rFonts w:hint="eastAsia" w:ascii="宋体" w:hAnsi="宋体" w:eastAsia="宋体" w:cs="宋体"/>
          <w:spacing w:val="7"/>
          <w:sz w:val="21"/>
          <w:szCs w:val="21"/>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6"/>
                    <a:stretch>
                      <a:fillRect/>
                    </a:stretch>
                  </pic:blipFill>
                  <pic:spPr>
                    <a:xfrm>
                      <a:off x="0" y="0"/>
                      <a:ext cx="1934210"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7"/>
                    <a:stretch>
                      <a:fillRect/>
                    </a:stretch>
                  </pic:blipFill>
                  <pic:spPr>
                    <a:xfrm>
                      <a:off x="0" y="0"/>
                      <a:ext cx="2465704" cy="6095"/>
                    </a:xfrm>
                    <a:prstGeom prst="rect">
                      <a:avLst/>
                    </a:prstGeom>
                  </pic:spPr>
                </pic:pic>
              </a:graphicData>
            </a:graphic>
          </wp:inline>
        </w:drawing>
      </w:r>
    </w:p>
    <w:p w14:paraId="2EF84A0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二、质疑项目基本情况</w:t>
      </w:r>
    </w:p>
    <w:p w14:paraId="4259167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质疑项目的名称：</w:t>
      </w:r>
      <w:r>
        <w:rPr>
          <w:rFonts w:hint="eastAsia" w:ascii="宋体" w:hAnsi="宋体" w:eastAsia="宋体" w:cs="宋体"/>
          <w:spacing w:val="7"/>
          <w:sz w:val="21"/>
          <w:szCs w:val="21"/>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8"/>
                    <a:stretch>
                      <a:fillRect/>
                    </a:stretch>
                  </pic:blipFill>
                  <pic:spPr>
                    <a:xfrm>
                      <a:off x="0" y="0"/>
                      <a:ext cx="3867784" cy="6095"/>
                    </a:xfrm>
                    <a:prstGeom prst="rect">
                      <a:avLst/>
                    </a:prstGeom>
                  </pic:spPr>
                </pic:pic>
              </a:graphicData>
            </a:graphic>
          </wp:inline>
        </w:drawing>
      </w:r>
    </w:p>
    <w:p w14:paraId="78E970D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质疑项目的编号：</w:t>
      </w:r>
      <w:r>
        <w:rPr>
          <w:rFonts w:hint="eastAsia" w:ascii="宋体" w:hAnsi="宋体" w:eastAsia="宋体" w:cs="宋体"/>
          <w:spacing w:val="7"/>
          <w:sz w:val="21"/>
          <w:szCs w:val="21"/>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9"/>
                    <a:stretch>
                      <a:fillRect/>
                    </a:stretch>
                  </pic:blipFill>
                  <pic:spPr>
                    <a:xfrm>
                      <a:off x="0" y="0"/>
                      <a:ext cx="1667509" cy="6095"/>
                    </a:xfrm>
                    <a:prstGeom prst="rect">
                      <a:avLst/>
                    </a:prstGeom>
                  </pic:spPr>
                </pic:pic>
              </a:graphicData>
            </a:graphic>
          </wp:inline>
        </w:drawing>
      </w:r>
      <w:r>
        <w:rPr>
          <w:rFonts w:hint="eastAsia" w:ascii="宋体" w:hAnsi="宋体" w:eastAsia="宋体" w:cs="宋体"/>
          <w:spacing w:val="7"/>
          <w:sz w:val="21"/>
          <w:szCs w:val="21"/>
        </w:rPr>
        <w:t xml:space="preserve"> </w:t>
      </w:r>
      <w:r>
        <w:rPr>
          <w:rFonts w:hint="eastAsia" w:ascii="宋体" w:hAnsi="宋体" w:eastAsia="宋体" w:cs="宋体"/>
          <w:spacing w:val="7"/>
          <w:sz w:val="21"/>
          <w:szCs w:val="21"/>
          <w:lang w:eastAsia="zh-CN"/>
        </w:rPr>
        <w:t>编号</w:t>
      </w:r>
      <w:r>
        <w:rPr>
          <w:rFonts w:hint="eastAsia" w:ascii="宋体" w:hAnsi="宋体" w:eastAsia="宋体" w:cs="宋体"/>
          <w:spacing w:val="7"/>
          <w:sz w:val="21"/>
          <w:szCs w:val="21"/>
        </w:rPr>
        <w:t>：</w:t>
      </w:r>
      <w:r>
        <w:rPr>
          <w:rFonts w:hint="eastAsia" w:ascii="宋体" w:hAnsi="宋体" w:eastAsia="宋体" w:cs="宋体"/>
          <w:spacing w:val="7"/>
          <w:sz w:val="21"/>
          <w:szCs w:val="21"/>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0"/>
                    <a:stretch>
                      <a:fillRect/>
                    </a:stretch>
                  </pic:blipFill>
                  <pic:spPr>
                    <a:xfrm>
                      <a:off x="0" y="0"/>
                      <a:ext cx="1801495" cy="6095"/>
                    </a:xfrm>
                    <a:prstGeom prst="rect">
                      <a:avLst/>
                    </a:prstGeom>
                  </pic:spPr>
                </pic:pic>
              </a:graphicData>
            </a:graphic>
          </wp:inline>
        </w:drawing>
      </w:r>
    </w:p>
    <w:p w14:paraId="32BAAA1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采购人名称：</w:t>
      </w:r>
      <w:r>
        <w:rPr>
          <w:rFonts w:hint="eastAsia" w:ascii="宋体" w:hAnsi="宋体" w:eastAsia="宋体" w:cs="宋体"/>
          <w:spacing w:val="7"/>
          <w:sz w:val="21"/>
          <w:szCs w:val="21"/>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9"/>
                    <a:stretch>
                      <a:fillRect/>
                    </a:stretch>
                  </pic:blipFill>
                  <pic:spPr>
                    <a:xfrm>
                      <a:off x="0" y="0"/>
                      <a:ext cx="4134484" cy="6095"/>
                    </a:xfrm>
                    <a:prstGeom prst="rect">
                      <a:avLst/>
                    </a:prstGeom>
                  </pic:spPr>
                </pic:pic>
              </a:graphicData>
            </a:graphic>
          </wp:inline>
        </w:drawing>
      </w:r>
    </w:p>
    <w:p w14:paraId="78C7D57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eastAsia="zh-CN"/>
        </w:rPr>
        <w:t>磋商文件</w:t>
      </w:r>
      <w:r>
        <w:rPr>
          <w:rFonts w:hint="eastAsia" w:ascii="宋体" w:hAnsi="宋体" w:eastAsia="宋体" w:cs="宋体"/>
          <w:spacing w:val="7"/>
          <w:sz w:val="21"/>
          <w:szCs w:val="21"/>
        </w:rPr>
        <w:t>获取日期：</w:t>
      </w:r>
      <w:r>
        <w:rPr>
          <w:rFonts w:hint="eastAsia" w:ascii="宋体" w:hAnsi="宋体" w:eastAsia="宋体" w:cs="宋体"/>
          <w:spacing w:val="7"/>
          <w:sz w:val="21"/>
          <w:szCs w:val="21"/>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1"/>
                    <a:stretch>
                      <a:fillRect/>
                    </a:stretch>
                  </pic:blipFill>
                  <pic:spPr>
                    <a:xfrm>
                      <a:off x="0" y="0"/>
                      <a:ext cx="3733800" cy="6095"/>
                    </a:xfrm>
                    <a:prstGeom prst="rect">
                      <a:avLst/>
                    </a:prstGeom>
                  </pic:spPr>
                </pic:pic>
              </a:graphicData>
            </a:graphic>
          </wp:inline>
        </w:drawing>
      </w:r>
    </w:p>
    <w:sdt>
      <w:sdtPr>
        <w:rPr>
          <w:rFonts w:hint="eastAsia" w:ascii="宋体" w:hAnsi="宋体" w:eastAsia="宋体" w:cs="宋体"/>
          <w:spacing w:val="7"/>
          <w:sz w:val="21"/>
          <w:szCs w:val="21"/>
        </w:rPr>
        <w:id w:val="10"/>
      </w:sdtPr>
      <w:sdtEndPr>
        <w:rPr>
          <w:rFonts w:hint="eastAsia" w:ascii="宋体" w:hAnsi="宋体" w:eastAsia="宋体" w:cs="宋体"/>
          <w:spacing w:val="7"/>
          <w:sz w:val="21"/>
          <w:szCs w:val="21"/>
        </w:rPr>
      </w:sdtEndPr>
      <w:sdtContent>
        <w:p w14:paraId="5D8BBA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三、质疑事项具体内容</w:t>
          </w:r>
        </w:p>
        <w:p w14:paraId="5D9A7B4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1：</w:t>
          </w:r>
          <w:r>
            <w:rPr>
              <w:rFonts w:hint="eastAsia" w:ascii="宋体" w:hAnsi="宋体" w:eastAsia="宋体" w:cs="宋体"/>
              <w:spacing w:val="7"/>
              <w:sz w:val="21"/>
              <w:szCs w:val="21"/>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2"/>
                        <a:stretch>
                          <a:fillRect/>
                        </a:stretch>
                      </pic:blipFill>
                      <pic:spPr>
                        <a:xfrm>
                          <a:off x="0" y="0"/>
                          <a:ext cx="4134484" cy="6095"/>
                        </a:xfrm>
                        <a:prstGeom prst="rect">
                          <a:avLst/>
                        </a:prstGeom>
                      </pic:spPr>
                    </pic:pic>
                  </a:graphicData>
                </a:graphic>
              </wp:inline>
            </w:drawing>
          </w:r>
        </w:p>
        <w:p w14:paraId="2D763B1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事实依据：</w:t>
          </w:r>
          <w:r>
            <w:rPr>
              <w:rFonts w:hint="eastAsia" w:ascii="宋体" w:hAnsi="宋体" w:eastAsia="宋体" w:cs="宋体"/>
              <w:spacing w:val="7"/>
              <w:sz w:val="21"/>
              <w:szCs w:val="21"/>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3"/>
                        <a:stretch>
                          <a:fillRect/>
                        </a:stretch>
                      </pic:blipFill>
                      <pic:spPr>
                        <a:xfrm>
                          <a:off x="0" y="0"/>
                          <a:ext cx="4533900" cy="6095"/>
                        </a:xfrm>
                        <a:prstGeom prst="rect">
                          <a:avLst/>
                        </a:prstGeom>
                      </pic:spPr>
                    </pic:pic>
                  </a:graphicData>
                </a:graphic>
              </wp:inline>
            </w:drawing>
          </w:r>
        </w:p>
        <w:p w14:paraId="3D69670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法律依据：</w:t>
          </w:r>
          <w:r>
            <w:rPr>
              <w:rFonts w:hint="eastAsia" w:ascii="宋体" w:hAnsi="宋体" w:eastAsia="宋体" w:cs="宋体"/>
              <w:spacing w:val="7"/>
              <w:sz w:val="21"/>
              <w:szCs w:val="21"/>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4"/>
                        <a:stretch>
                          <a:fillRect/>
                        </a:stretch>
                      </pic:blipFill>
                      <pic:spPr>
                        <a:xfrm>
                          <a:off x="0" y="0"/>
                          <a:ext cx="4533900" cy="6095"/>
                        </a:xfrm>
                        <a:prstGeom prst="rect">
                          <a:avLst/>
                        </a:prstGeom>
                      </pic:spPr>
                    </pic:pic>
                  </a:graphicData>
                </a:graphic>
              </wp:inline>
            </w:drawing>
          </w:r>
        </w:p>
      </w:sdtContent>
    </w:sdt>
    <w:p w14:paraId="569927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2</w:t>
      </w:r>
    </w:p>
    <w:p w14:paraId="4B743DE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w:t>
      </w:r>
    </w:p>
    <w:sdt>
      <w:sdtPr>
        <w:rPr>
          <w:rFonts w:hint="eastAsia" w:ascii="宋体" w:hAnsi="宋体" w:eastAsia="宋体" w:cs="宋体"/>
          <w:sz w:val="21"/>
          <w:szCs w:val="21"/>
        </w:rPr>
        <w:id w:val="11"/>
      </w:sdtPr>
      <w:sdtEndPr>
        <w:rPr>
          <w:rFonts w:hint="eastAsia" w:ascii="宋体" w:hAnsi="宋体" w:eastAsia="宋体" w:cs="宋体"/>
          <w:spacing w:val="7"/>
          <w:sz w:val="21"/>
          <w:szCs w:val="21"/>
        </w:rPr>
      </w:sdtEndPr>
      <w:sdtContent>
        <w:p w14:paraId="0D37D11D">
          <w:pPr>
            <w:pageBreakBefore w:val="0"/>
            <w:kinsoku/>
            <w:topLinePunct w:val="0"/>
            <w:bidi w:val="0"/>
            <w:spacing w:before="51" w:line="229" w:lineRule="auto"/>
            <w:ind w:left="266"/>
            <w:rPr>
              <w:rFonts w:hint="eastAsia" w:ascii="宋体" w:hAnsi="宋体" w:eastAsia="宋体" w:cs="宋体"/>
              <w:b/>
              <w:bCs/>
              <w:sz w:val="21"/>
              <w:szCs w:val="21"/>
            </w:rPr>
          </w:pPr>
          <w:r>
            <w:rPr>
              <w:rFonts w:hint="eastAsia" w:ascii="宋体" w:hAnsi="宋体" w:eastAsia="宋体" w:cs="宋体"/>
              <w:b/>
              <w:bCs/>
              <w:spacing w:val="7"/>
              <w:sz w:val="21"/>
              <w:szCs w:val="21"/>
            </w:rPr>
            <w:t>四、与质疑事项相关的质疑请求</w:t>
          </w:r>
        </w:p>
        <w:p w14:paraId="02FE17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请求：</w:t>
          </w:r>
          <w:r>
            <w:rPr>
              <w:rFonts w:hint="eastAsia" w:ascii="宋体" w:hAnsi="宋体" w:eastAsia="宋体" w:cs="宋体"/>
              <w:spacing w:val="7"/>
              <w:sz w:val="21"/>
              <w:szCs w:val="21"/>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5"/>
                        <a:stretch>
                          <a:fillRect/>
                        </a:stretch>
                      </pic:blipFill>
                      <pic:spPr>
                        <a:xfrm>
                          <a:off x="0" y="0"/>
                          <a:ext cx="4599304" cy="6095"/>
                        </a:xfrm>
                        <a:prstGeom prst="rect">
                          <a:avLst/>
                        </a:prstGeom>
                      </pic:spPr>
                    </pic:pic>
                  </a:graphicData>
                </a:graphic>
              </wp:inline>
            </w:drawing>
          </w:r>
        </w:p>
      </w:sdtContent>
    </w:sdt>
    <w:p w14:paraId="77AAEE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签字</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签章</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                    公章：</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日期：</w:t>
      </w:r>
    </w:p>
    <w:p w14:paraId="4B199F9C">
      <w:pPr>
        <w:pageBreakBefore w:val="0"/>
        <w:kinsoku/>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rPr>
        <w:t>.质疑函接收方式：质疑函以书面形式递交或者电子邮件的方式发送。</w:t>
      </w:r>
    </w:p>
    <w:p w14:paraId="63ECB415">
      <w:pPr>
        <w:pageBreakBefore w:val="0"/>
        <w:kinsoku/>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rPr>
        <w:t>质疑函接收：</w:t>
      </w:r>
      <w:r>
        <w:rPr>
          <w:rFonts w:hint="eastAsia" w:ascii="宋体" w:hAnsi="宋体" w:eastAsia="宋体" w:cs="宋体"/>
          <w:spacing w:val="-3"/>
          <w:sz w:val="24"/>
          <w:szCs w:val="24"/>
          <w:lang w:eastAsia="zh-CN"/>
        </w:rPr>
        <w:t>阿克苏疆山项目管理有限公司</w:t>
      </w:r>
      <w:r>
        <w:rPr>
          <w:rFonts w:hint="eastAsia" w:ascii="宋体" w:hAnsi="宋体" w:eastAsia="宋体" w:cs="宋体"/>
          <w:spacing w:val="-3"/>
          <w:sz w:val="24"/>
          <w:szCs w:val="24"/>
        </w:rPr>
        <w:t>，地 址：</w:t>
      </w:r>
      <w:r>
        <w:rPr>
          <w:rFonts w:hint="eastAsia" w:ascii="宋体" w:hAnsi="宋体" w:eastAsia="宋体" w:cs="宋体"/>
          <w:spacing w:val="-3"/>
          <w:sz w:val="24"/>
          <w:szCs w:val="24"/>
          <w:lang w:eastAsia="zh-CN"/>
        </w:rPr>
        <w:t>新疆阿克苏地区阿克苏市新城街道采荷路1号云山悦府12-2-202室</w:t>
      </w:r>
      <w:r>
        <w:rPr>
          <w:rFonts w:hint="eastAsia" w:ascii="宋体" w:hAnsi="宋体" w:eastAsia="宋体" w:cs="宋体"/>
          <w:spacing w:val="-3"/>
          <w:sz w:val="24"/>
          <w:szCs w:val="24"/>
        </w:rPr>
        <w:t>，联系人：</w:t>
      </w:r>
      <w:r>
        <w:rPr>
          <w:rFonts w:hint="eastAsia" w:ascii="宋体" w:hAnsi="宋体" w:eastAsia="宋体" w:cs="宋体"/>
          <w:spacing w:val="-3"/>
          <w:sz w:val="24"/>
          <w:szCs w:val="24"/>
          <w:lang w:eastAsia="zh-CN"/>
        </w:rPr>
        <w:t>刘润利</w:t>
      </w:r>
      <w:r>
        <w:rPr>
          <w:rFonts w:hint="eastAsia" w:ascii="宋体" w:hAnsi="宋体" w:eastAsia="宋体" w:cs="宋体"/>
          <w:spacing w:val="-3"/>
          <w:sz w:val="24"/>
          <w:szCs w:val="24"/>
        </w:rPr>
        <w:t>，联系电话：</w:t>
      </w:r>
      <w:r>
        <w:rPr>
          <w:rFonts w:hint="eastAsia" w:ascii="宋体" w:hAnsi="宋体" w:eastAsia="宋体" w:cs="宋体"/>
          <w:spacing w:val="-3"/>
          <w:sz w:val="24"/>
          <w:szCs w:val="24"/>
          <w:lang w:val="en-US" w:eastAsia="zh-CN"/>
        </w:rPr>
        <w:t>13369873111</w:t>
      </w:r>
      <w:r>
        <w:rPr>
          <w:rFonts w:hint="eastAsia" w:ascii="宋体" w:hAnsi="宋体" w:eastAsia="宋体" w:cs="宋体"/>
          <w:spacing w:val="-3"/>
          <w:sz w:val="24"/>
          <w:szCs w:val="24"/>
        </w:rPr>
        <w:t>， 电子邮箱：</w:t>
      </w:r>
      <w:r>
        <w:rPr>
          <w:rFonts w:hint="eastAsia" w:ascii="宋体" w:hAnsi="宋体" w:eastAsia="宋体" w:cs="宋体"/>
          <w:spacing w:val="-3"/>
          <w:sz w:val="24"/>
          <w:szCs w:val="24"/>
          <w:lang w:val="en-US" w:eastAsia="zh-CN"/>
        </w:rPr>
        <w:t>2608269165@qq.com</w:t>
      </w:r>
      <w:r>
        <w:rPr>
          <w:rFonts w:hint="eastAsia" w:ascii="宋体" w:hAnsi="宋体" w:eastAsia="宋体" w:cs="宋体"/>
          <w:spacing w:val="-3"/>
          <w:sz w:val="24"/>
          <w:szCs w:val="24"/>
        </w:rPr>
        <w:t>。</w:t>
      </w:r>
    </w:p>
    <w:p w14:paraId="5B0F7AFB">
      <w:pPr>
        <w:pageBreakBefore w:val="0"/>
        <w:kinsoku/>
        <w:topLinePunct w:val="0"/>
        <w:bidi w:val="0"/>
        <w:spacing w:before="96" w:line="255" w:lineRule="auto"/>
        <w:ind w:left="4" w:right="2" w:firstLine="87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注：质疑函附件应提供营业执照扫描件、法人身份证扫描件、授权委</w:t>
      </w:r>
      <w:r>
        <w:rPr>
          <w:rFonts w:ascii="宋体" w:hAnsi="宋体" w:eastAsia="宋体" w:cs="宋体"/>
          <w:spacing w:val="-1"/>
          <w:sz w:val="24"/>
          <w:szCs w:val="24"/>
          <w14:textOutline w14:w="4358" w14:cap="sq" w14:cmpd="sng">
            <w14:solidFill>
              <w14:srgbClr w14:val="000000"/>
            </w14:solidFill>
            <w14:prstDash w14:val="solid"/>
            <w14:bevel/>
          </w14:textOutline>
        </w:rPr>
        <w:t>托人应附供应</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商授权委托书及被委托人身份证扫描件、获取</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磋商文件</w:t>
      </w:r>
      <w:r>
        <w:rPr>
          <w:rFonts w:ascii="宋体" w:hAnsi="宋体" w:eastAsia="宋体" w:cs="宋体"/>
          <w:sz w:val="24"/>
          <w:szCs w:val="24"/>
          <w14:textOutline w14:w="4358" w14:cap="sq" w14:cmpd="sng">
            <w14:solidFill>
              <w14:srgbClr w14:val="000000"/>
            </w14:solidFill>
            <w14:prstDash w14:val="solid"/>
            <w14:bevel/>
          </w14:textOutline>
        </w:rPr>
        <w:t>回执单。</w:t>
      </w:r>
    </w:p>
    <w:p w14:paraId="6307878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有下列情形之一的，属于无效质疑，被质疑人不予受理，由此产生的影响由供应商自行承担：</w:t>
      </w:r>
    </w:p>
    <w:p w14:paraId="2B2B1D6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（1）不是参与该政府采购项目活动供应商的；</w:t>
      </w:r>
    </w:p>
    <w:p w14:paraId="7097193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(2)</w:t>
      </w:r>
      <w:r>
        <w:rPr>
          <w:rFonts w:ascii="宋体" w:hAnsi="宋体" w:eastAsia="宋体" w:cs="宋体"/>
          <w:spacing w:val="-3"/>
          <w:sz w:val="24"/>
          <w:szCs w:val="24"/>
        </w:rPr>
        <w:t>被质疑人为采购人或政府采购代理机构之外的；</w:t>
      </w:r>
    </w:p>
    <w:p w14:paraId="6F55827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(3)</w:t>
      </w:r>
      <w:r>
        <w:rPr>
          <w:rFonts w:ascii="宋体" w:hAnsi="宋体" w:eastAsia="宋体" w:cs="宋体"/>
          <w:spacing w:val="-3"/>
          <w:sz w:val="24"/>
          <w:szCs w:val="24"/>
        </w:rPr>
        <w:t>所有质疑事项超过质疑有效期的；</w:t>
      </w:r>
    </w:p>
    <w:p w14:paraId="06FABEC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(4)</w:t>
      </w:r>
      <w:r>
        <w:rPr>
          <w:rFonts w:ascii="宋体" w:hAnsi="宋体" w:eastAsia="宋体" w:cs="宋体"/>
          <w:spacing w:val="-3"/>
          <w:sz w:val="24"/>
          <w:szCs w:val="24"/>
        </w:rPr>
        <w:t>以具有法律效力的文书送达之外方式提出的；</w:t>
      </w:r>
    </w:p>
    <w:p w14:paraId="731F02B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(5)</w:t>
      </w:r>
      <w:r>
        <w:rPr>
          <w:rFonts w:ascii="宋体" w:hAnsi="宋体" w:eastAsia="宋体" w:cs="宋体"/>
          <w:spacing w:val="-3"/>
          <w:sz w:val="24"/>
          <w:szCs w:val="24"/>
        </w:rPr>
        <w:t>未按上述规定递交澄清或质疑函的；</w:t>
      </w:r>
    </w:p>
    <w:p w14:paraId="3A54C9A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(6)其他不符合</w:t>
      </w:r>
      <w:r>
        <w:rPr>
          <w:rFonts w:ascii="宋体" w:hAnsi="宋体" w:eastAsia="宋体" w:cs="宋体"/>
          <w:spacing w:val="-3"/>
          <w:sz w:val="24"/>
          <w:szCs w:val="24"/>
        </w:rPr>
        <w:t>受理条件的情形。</w:t>
      </w:r>
    </w:p>
    <w:p w14:paraId="503121B6">
      <w:pPr>
        <w:pageBreakBefore w:val="0"/>
        <w:kinsoku/>
        <w:topLinePunct w:val="0"/>
        <w:bidi w:val="0"/>
        <w:spacing w:before="149" w:line="219"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12.腐败和欺诈行为</w:t>
      </w:r>
    </w:p>
    <w:p w14:paraId="6EF1C4A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(1)</w:t>
      </w:r>
      <w:r>
        <w:rPr>
          <w:rFonts w:ascii="宋体" w:hAnsi="宋体" w:eastAsia="宋体" w:cs="宋体"/>
          <w:spacing w:val="-3"/>
          <w:sz w:val="24"/>
          <w:szCs w:val="24"/>
        </w:rPr>
        <w:t>定义</w:t>
      </w:r>
    </w:p>
    <w:p w14:paraId="195E29E2">
      <w:pPr>
        <w:pageBreakBefore w:val="0"/>
        <w:kinsoku/>
        <w:wordWrap/>
        <w:topLinePunct w:val="0"/>
        <w:bidi w:val="0"/>
        <w:spacing w:before="178" w:line="360" w:lineRule="auto"/>
        <w:ind w:right="59" w:firstLine="49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“腐败行为”系指提供、给予、接受或索取任何有价值的物品来影响</w:t>
      </w:r>
      <w:r>
        <w:rPr>
          <w:rFonts w:hint="eastAsia" w:ascii="宋体" w:hAnsi="宋体" w:eastAsia="宋体" w:cs="宋体"/>
          <w:color w:val="auto"/>
          <w:spacing w:val="-3"/>
          <w:sz w:val="24"/>
          <w:szCs w:val="24"/>
          <w:highlight w:val="none"/>
          <w:lang w:eastAsia="zh-CN"/>
        </w:rPr>
        <w:t>采购代理机构及</w:t>
      </w:r>
      <w:r>
        <w:rPr>
          <w:rFonts w:ascii="宋体" w:hAnsi="宋体" w:eastAsia="宋体" w:cs="宋体"/>
          <w:color w:val="auto"/>
          <w:spacing w:val="-3"/>
          <w:sz w:val="24"/>
          <w:szCs w:val="24"/>
          <w:highlight w:val="none"/>
        </w:rPr>
        <w:t>/或采购人在采购过程或合同实施过程中的行为。</w:t>
      </w:r>
    </w:p>
    <w:p w14:paraId="01E93A8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“欺诈行为”系指为了影响采购过程或合同实施过程而谎报事实，损害</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 采购人的利益，包括供应商之间串通投标（递交《磋商响应文件》之前和之后），人为地使投标丧失竞争性，剥夺采购人从自由公开竞争所能获得的权益。</w:t>
      </w:r>
    </w:p>
    <w:p w14:paraId="0D1DE80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13.其他</w:t>
      </w:r>
    </w:p>
    <w:p w14:paraId="75DCEB4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本磋商文件由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负责解释。</w:t>
      </w:r>
    </w:p>
    <w:p w14:paraId="182F99DB">
      <w:pPr>
        <w:pStyle w:val="5"/>
        <w:pageBreakBefore w:val="0"/>
        <w:kinsoku/>
        <w:topLinePunct w:val="0"/>
        <w:bidi w:val="0"/>
        <w:spacing w:line="295" w:lineRule="auto"/>
      </w:pPr>
    </w:p>
    <w:p w14:paraId="493296A1">
      <w:pPr>
        <w:pStyle w:val="5"/>
        <w:pageBreakBefore w:val="0"/>
        <w:kinsoku/>
        <w:topLinePunct w:val="0"/>
        <w:bidi w:val="0"/>
        <w:spacing w:line="295" w:lineRule="auto"/>
      </w:pPr>
    </w:p>
    <w:p w14:paraId="0D04F093">
      <w:pPr>
        <w:pStyle w:val="5"/>
        <w:pageBreakBefore w:val="0"/>
        <w:kinsoku/>
        <w:topLinePunct w:val="0"/>
        <w:bidi w:val="0"/>
        <w:spacing w:line="295" w:lineRule="auto"/>
      </w:pPr>
    </w:p>
    <w:p w14:paraId="1261D021">
      <w:pPr>
        <w:pStyle w:val="5"/>
        <w:pageBreakBefore w:val="0"/>
        <w:kinsoku/>
        <w:topLinePunct w:val="0"/>
        <w:bidi w:val="0"/>
        <w:spacing w:line="295" w:lineRule="auto"/>
      </w:pPr>
    </w:p>
    <w:p w14:paraId="00C719B8">
      <w:pPr>
        <w:pStyle w:val="5"/>
        <w:pageBreakBefore w:val="0"/>
        <w:kinsoku/>
        <w:topLinePunct w:val="0"/>
        <w:bidi w:val="0"/>
        <w:spacing w:line="295" w:lineRule="auto"/>
      </w:pPr>
    </w:p>
    <w:p w14:paraId="7320D2A2">
      <w:pPr>
        <w:pStyle w:val="5"/>
        <w:pageBreakBefore w:val="0"/>
        <w:kinsoku/>
        <w:topLinePunct w:val="0"/>
        <w:bidi w:val="0"/>
        <w:spacing w:line="295" w:lineRule="auto"/>
      </w:pPr>
    </w:p>
    <w:p w14:paraId="15EBFA88">
      <w:pPr>
        <w:pStyle w:val="5"/>
        <w:pageBreakBefore w:val="0"/>
        <w:kinsoku/>
        <w:topLinePunct w:val="0"/>
        <w:bidi w:val="0"/>
        <w:spacing w:line="295" w:lineRule="auto"/>
      </w:pPr>
    </w:p>
    <w:p w14:paraId="4EBC9068">
      <w:pPr>
        <w:pStyle w:val="5"/>
        <w:pageBreakBefore w:val="0"/>
        <w:kinsoku/>
        <w:topLinePunct w:val="0"/>
        <w:bidi w:val="0"/>
        <w:spacing w:line="295" w:lineRule="auto"/>
      </w:pPr>
    </w:p>
    <w:p w14:paraId="59B94643">
      <w:pPr>
        <w:pStyle w:val="5"/>
        <w:pageBreakBefore w:val="0"/>
        <w:kinsoku/>
        <w:topLinePunct w:val="0"/>
        <w:bidi w:val="0"/>
        <w:spacing w:line="295" w:lineRule="auto"/>
      </w:pPr>
    </w:p>
    <w:p w14:paraId="39028C35">
      <w:pPr>
        <w:pStyle w:val="5"/>
        <w:pageBreakBefore w:val="0"/>
        <w:kinsoku/>
        <w:topLinePunct w:val="0"/>
        <w:bidi w:val="0"/>
        <w:spacing w:line="295" w:lineRule="auto"/>
      </w:pPr>
    </w:p>
    <w:p w14:paraId="04A67481">
      <w:pPr>
        <w:pStyle w:val="5"/>
        <w:pageBreakBefore w:val="0"/>
        <w:kinsoku/>
        <w:topLinePunct w:val="0"/>
        <w:bidi w:val="0"/>
        <w:spacing w:line="295" w:lineRule="auto"/>
      </w:pPr>
    </w:p>
    <w:p w14:paraId="0448CED5">
      <w:pPr>
        <w:pStyle w:val="5"/>
        <w:pageBreakBefore w:val="0"/>
        <w:kinsoku/>
        <w:topLinePunct w:val="0"/>
        <w:bidi w:val="0"/>
        <w:spacing w:line="295" w:lineRule="auto"/>
      </w:pPr>
    </w:p>
    <w:p w14:paraId="11B94B33">
      <w:pPr>
        <w:pStyle w:val="5"/>
        <w:pageBreakBefore w:val="0"/>
        <w:kinsoku/>
        <w:topLinePunct w:val="0"/>
        <w:bidi w:val="0"/>
        <w:spacing w:line="295" w:lineRule="auto"/>
      </w:pPr>
    </w:p>
    <w:p w14:paraId="5C094061">
      <w:pPr>
        <w:pStyle w:val="5"/>
        <w:pageBreakBefore w:val="0"/>
        <w:kinsoku/>
        <w:topLinePunct w:val="0"/>
        <w:bidi w:val="0"/>
        <w:spacing w:line="295" w:lineRule="auto"/>
      </w:pPr>
    </w:p>
    <w:p w14:paraId="27FBD643">
      <w:pPr>
        <w:pStyle w:val="5"/>
        <w:pageBreakBefore w:val="0"/>
        <w:kinsoku/>
        <w:topLinePunct w:val="0"/>
        <w:bidi w:val="0"/>
        <w:spacing w:line="295" w:lineRule="auto"/>
      </w:pPr>
    </w:p>
    <w:p w14:paraId="0D635912">
      <w:pPr>
        <w:pStyle w:val="5"/>
        <w:pageBreakBefore w:val="0"/>
        <w:kinsoku/>
        <w:topLinePunct w:val="0"/>
        <w:bidi w:val="0"/>
        <w:spacing w:line="295" w:lineRule="auto"/>
      </w:pPr>
    </w:p>
    <w:p w14:paraId="2AE10C7B">
      <w:pPr>
        <w:pStyle w:val="5"/>
        <w:pageBreakBefore w:val="0"/>
        <w:kinsoku/>
        <w:topLinePunct w:val="0"/>
        <w:bidi w:val="0"/>
        <w:spacing w:line="295" w:lineRule="auto"/>
      </w:pPr>
    </w:p>
    <w:p w14:paraId="6143E179">
      <w:pPr>
        <w:pStyle w:val="5"/>
        <w:pageBreakBefore w:val="0"/>
        <w:kinsoku/>
        <w:topLinePunct w:val="0"/>
        <w:bidi w:val="0"/>
        <w:spacing w:line="295" w:lineRule="auto"/>
      </w:pPr>
    </w:p>
    <w:p w14:paraId="15590E50">
      <w:pPr>
        <w:pageBreakBefore w:val="0"/>
        <w:kinsoku/>
        <w:topLinePunct w:val="0"/>
        <w:bidi w:val="0"/>
        <w:spacing w:before="114" w:line="226" w:lineRule="auto"/>
        <w:ind w:left="3322"/>
        <w:outlineLvl w:val="0"/>
        <w:rPr>
          <w:rFonts w:ascii="黑体" w:hAnsi="黑体" w:eastAsia="黑体" w:cs="黑体"/>
          <w:sz w:val="35"/>
          <w:szCs w:val="35"/>
        </w:rPr>
      </w:pPr>
      <w:bookmarkStart w:id="3" w:name="bookmark3"/>
      <w:bookmarkEnd w:id="3"/>
      <w:r>
        <w:rPr>
          <w:rFonts w:ascii="黑体" w:hAnsi="黑体" w:eastAsia="黑体" w:cs="黑体"/>
          <w:spacing w:val="8"/>
          <w:sz w:val="35"/>
          <w:szCs w:val="35"/>
          <w14:textOutline w14:w="6537" w14:cap="sq" w14:cmpd="sng">
            <w14:solidFill>
              <w14:srgbClr w14:val="000000"/>
            </w14:solidFill>
            <w14:prstDash w14:val="solid"/>
            <w14:bevel/>
          </w14:textOutline>
        </w:rPr>
        <w:t>第三章</w:t>
      </w:r>
      <w:r>
        <w:rPr>
          <w:rFonts w:ascii="黑体" w:hAnsi="黑体" w:eastAsia="黑体" w:cs="黑体"/>
          <w:spacing w:val="8"/>
          <w:sz w:val="35"/>
          <w:szCs w:val="35"/>
        </w:rPr>
        <w:t xml:space="preserve">  </w:t>
      </w:r>
      <w:r>
        <w:rPr>
          <w:rFonts w:hint="eastAsia" w:ascii="黑体" w:hAnsi="黑体" w:eastAsia="黑体" w:cs="黑体"/>
          <w:spacing w:val="8"/>
          <w:sz w:val="35"/>
          <w:szCs w:val="35"/>
          <w:lang w:eastAsia="zh-CN"/>
          <w14:textOutline w14:w="6537" w14:cap="sq" w14:cmpd="sng">
            <w14:solidFill>
              <w14:srgbClr w14:val="000000"/>
            </w14:solidFill>
            <w14:prstDash w14:val="solid"/>
            <w14:bevel/>
          </w14:textOutline>
        </w:rPr>
        <w:t>评审</w:t>
      </w:r>
      <w:r>
        <w:rPr>
          <w:rFonts w:ascii="黑体" w:hAnsi="黑体" w:eastAsia="黑体" w:cs="黑体"/>
          <w:spacing w:val="8"/>
          <w:sz w:val="35"/>
          <w:szCs w:val="35"/>
          <w14:textOutline w14:w="6537" w14:cap="sq" w14:cmpd="sng">
            <w14:solidFill>
              <w14:srgbClr w14:val="000000"/>
            </w14:solidFill>
            <w14:prstDash w14:val="solid"/>
            <w14:bevel/>
          </w14:textOutline>
        </w:rPr>
        <w:t>办法</w:t>
      </w:r>
    </w:p>
    <w:p w14:paraId="0B301D2B">
      <w:pPr>
        <w:pageBreakBefore w:val="0"/>
        <w:kinsoku/>
        <w:topLinePunct w:val="0"/>
        <w:bidi w:val="0"/>
        <w:spacing w:before="20" w:line="221" w:lineRule="auto"/>
        <w:ind w:left="4207"/>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一、总则</w:t>
      </w:r>
    </w:p>
    <w:p w14:paraId="5B35C85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1.根据《中华人民共和国政府采购法</w:t>
      </w:r>
      <w:r>
        <w:rPr>
          <w:rFonts w:hint="eastAsia" w:ascii="宋体" w:hAnsi="宋体" w:eastAsia="宋体" w:cs="宋体"/>
          <w:spacing w:val="-3"/>
          <w:sz w:val="24"/>
          <w:szCs w:val="24"/>
          <w:lang w:eastAsia="zh-CN"/>
        </w:rPr>
        <w:t>》《</w:t>
      </w:r>
      <w:r>
        <w:rPr>
          <w:rFonts w:ascii="宋体" w:hAnsi="宋体" w:eastAsia="宋体" w:cs="宋体"/>
          <w:spacing w:val="-3"/>
          <w:sz w:val="24"/>
          <w:szCs w:val="24"/>
        </w:rPr>
        <w:t>中华人民共和国政府采购法实施条例</w:t>
      </w:r>
      <w:r>
        <w:rPr>
          <w:rFonts w:hint="eastAsia" w:ascii="宋体" w:hAnsi="宋体" w:eastAsia="宋体" w:cs="宋体"/>
          <w:spacing w:val="-3"/>
          <w:sz w:val="24"/>
          <w:szCs w:val="24"/>
          <w:lang w:eastAsia="zh-CN"/>
        </w:rPr>
        <w:t>》《</w:t>
      </w:r>
      <w:r>
        <w:rPr>
          <w:rFonts w:ascii="宋体" w:hAnsi="宋体" w:eastAsia="宋体" w:cs="宋体"/>
          <w:spacing w:val="-3"/>
          <w:sz w:val="24"/>
          <w:szCs w:val="24"/>
        </w:rPr>
        <w:t>政府采购竞争性磋商采购方式管理暂行办法》及《政府采购货物和服务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管理办法》（财政部第87号令）等法律规章，结合采购项目特点制定本</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办法。</w:t>
      </w:r>
    </w:p>
    <w:p w14:paraId="42F9589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负责组织，具体</w:t>
      </w:r>
      <w:r>
        <w:rPr>
          <w:rFonts w:hint="eastAsia" w:ascii="宋体" w:hAnsi="宋体" w:eastAsia="宋体" w:cs="宋体"/>
          <w:spacing w:val="-3"/>
          <w:sz w:val="24"/>
          <w:szCs w:val="24"/>
          <w:lang w:eastAsia="zh-CN"/>
        </w:rPr>
        <w:t>评审事宜</w:t>
      </w:r>
      <w:r>
        <w:rPr>
          <w:rFonts w:ascii="宋体" w:hAnsi="宋体" w:eastAsia="宋体" w:cs="宋体"/>
          <w:spacing w:val="-3"/>
          <w:sz w:val="24"/>
          <w:szCs w:val="24"/>
        </w:rPr>
        <w:t>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依法组建的磋商小组负责。磋商小组由</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人及以上单数评审专家组成。</w:t>
      </w:r>
    </w:p>
    <w:p w14:paraId="2C851FB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应遵循公平、公正、科学及择优的原则，并以相同的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程序和标准对待所有的供应商。</w:t>
      </w:r>
    </w:p>
    <w:p w14:paraId="1EA722A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4.磋商小组按照磋商文件规定的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方法和标准进行</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，并独立履行下列职责：</w:t>
      </w:r>
    </w:p>
    <w:p w14:paraId="1462EA6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(1)</w:t>
      </w:r>
      <w:r>
        <w:rPr>
          <w:rFonts w:ascii="宋体" w:hAnsi="宋体" w:eastAsia="宋体" w:cs="宋体"/>
          <w:spacing w:val="-3"/>
          <w:sz w:val="24"/>
          <w:szCs w:val="24"/>
        </w:rPr>
        <w:t>审查磋商响应文件是否符合磋商文件要求，并</w:t>
      </w:r>
      <w:r>
        <w:rPr>
          <w:rFonts w:hint="eastAsia" w:ascii="宋体" w:hAnsi="宋体" w:eastAsia="宋体" w:cs="宋体"/>
          <w:spacing w:val="-3"/>
          <w:sz w:val="24"/>
          <w:szCs w:val="24"/>
          <w:lang w:eastAsia="zh-CN"/>
        </w:rPr>
        <w:t>作出评价</w:t>
      </w:r>
      <w:r>
        <w:rPr>
          <w:rFonts w:ascii="宋体" w:hAnsi="宋体" w:eastAsia="宋体" w:cs="宋体"/>
          <w:spacing w:val="-3"/>
          <w:sz w:val="24"/>
          <w:szCs w:val="24"/>
        </w:rPr>
        <w:t>；</w:t>
      </w:r>
    </w:p>
    <w:p w14:paraId="1C5B337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(2)</w:t>
      </w:r>
      <w:r>
        <w:rPr>
          <w:rFonts w:ascii="宋体" w:hAnsi="宋体" w:eastAsia="宋体" w:cs="宋体"/>
          <w:spacing w:val="-3"/>
          <w:sz w:val="24"/>
          <w:szCs w:val="24"/>
        </w:rPr>
        <w:t>要求供应商对磋商响应文件有关事项</w:t>
      </w:r>
      <w:r>
        <w:rPr>
          <w:rFonts w:hint="eastAsia" w:ascii="宋体" w:hAnsi="宋体" w:eastAsia="宋体" w:cs="宋体"/>
          <w:spacing w:val="-3"/>
          <w:sz w:val="24"/>
          <w:szCs w:val="24"/>
          <w:lang w:eastAsia="zh-CN"/>
        </w:rPr>
        <w:t>作出解释</w:t>
      </w:r>
      <w:r>
        <w:rPr>
          <w:rFonts w:ascii="宋体" w:hAnsi="宋体" w:eastAsia="宋体" w:cs="宋体"/>
          <w:spacing w:val="-3"/>
          <w:sz w:val="24"/>
          <w:szCs w:val="24"/>
        </w:rPr>
        <w:t>或者澄清；</w:t>
      </w:r>
    </w:p>
    <w:p w14:paraId="137930F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(3)</w:t>
      </w:r>
      <w:r>
        <w:rPr>
          <w:rFonts w:ascii="宋体" w:hAnsi="宋体" w:eastAsia="宋体" w:cs="宋体"/>
          <w:spacing w:val="-3"/>
          <w:sz w:val="24"/>
          <w:szCs w:val="24"/>
        </w:rPr>
        <w:t>推荐</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候选供应商名单，或者受采购人委托按照事先确定的办法直接确定</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w:t>
      </w:r>
    </w:p>
    <w:p w14:paraId="75E3C04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(4)</w:t>
      </w:r>
      <w:r>
        <w:rPr>
          <w:rFonts w:ascii="宋体" w:hAnsi="宋体" w:eastAsia="宋体" w:cs="宋体"/>
          <w:spacing w:val="-3"/>
          <w:sz w:val="24"/>
          <w:szCs w:val="24"/>
        </w:rPr>
        <w:t>向</w:t>
      </w:r>
      <w:r>
        <w:rPr>
          <w:rFonts w:hint="eastAsia" w:ascii="宋体" w:hAnsi="宋体" w:eastAsia="宋体" w:cs="宋体"/>
          <w:spacing w:val="-3"/>
          <w:sz w:val="24"/>
          <w:szCs w:val="24"/>
          <w:lang w:eastAsia="zh-CN"/>
        </w:rPr>
        <w:t>采购单位</w:t>
      </w:r>
      <w:r>
        <w:rPr>
          <w:rFonts w:ascii="宋体" w:hAnsi="宋体" w:eastAsia="宋体" w:cs="宋体"/>
          <w:spacing w:val="-3"/>
          <w:sz w:val="24"/>
          <w:szCs w:val="24"/>
        </w:rPr>
        <w:t>或者有关部门报告非法干预</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的行为。</w:t>
      </w:r>
    </w:p>
    <w:p w14:paraId="64A746ED">
      <w:pPr>
        <w:pStyle w:val="5"/>
        <w:pageBreakBefore w:val="0"/>
        <w:kinsoku/>
        <w:topLinePunct w:val="0"/>
        <w:bidi w:val="0"/>
        <w:spacing w:line="334" w:lineRule="auto"/>
      </w:pPr>
    </w:p>
    <w:p w14:paraId="35CB0FC2">
      <w:pPr>
        <w:pageBreakBefore w:val="0"/>
        <w:kinsoku/>
        <w:topLinePunct w:val="0"/>
        <w:bidi w:val="0"/>
        <w:spacing w:before="92"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2"/>
          <w:sz w:val="28"/>
          <w:szCs w:val="28"/>
          <w14:textOutline w14:w="5103" w14:cap="sq" w14:cmpd="sng">
            <w14:solidFill>
              <w14:srgbClr w14:val="000000"/>
            </w14:solidFill>
            <w14:prstDash w14:val="solid"/>
            <w14:bevel/>
          </w14:textOutline>
        </w:rPr>
        <w:t>原则</w:t>
      </w:r>
    </w:p>
    <w:p w14:paraId="2E5977E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1.磋商小组按照公开、公平、公正、科学、择优的原则对待所有的供应商。</w:t>
      </w:r>
    </w:p>
    <w:p w14:paraId="76061BC6">
      <w:pPr>
        <w:pageBreakBefore w:val="0"/>
        <w:kinsoku/>
        <w:wordWrap/>
        <w:topLinePunct w:val="0"/>
        <w:bidi w:val="0"/>
        <w:spacing w:before="178" w:line="360" w:lineRule="auto"/>
        <w:ind w:right="59" w:firstLine="498"/>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2.磋商小组成员应当客观、公正地履行职责，遵守职业道德，对所提出的评审意见承担个人责任；磋商小组成员实行主动回避制度；磋商小组成员及工作人员对整个</w:t>
      </w:r>
      <w:r>
        <w:rPr>
          <w:rFonts w:hint="eastAsia" w:ascii="宋体" w:hAnsi="宋体" w:eastAsia="宋体" w:cs="宋体"/>
          <w:spacing w:val="-3"/>
          <w:sz w:val="24"/>
          <w:szCs w:val="24"/>
          <w:lang w:val="en-US" w:eastAsia="zh-CN"/>
        </w:rPr>
        <w:t>评审</w:t>
      </w:r>
      <w:r>
        <w:rPr>
          <w:rFonts w:ascii="宋体" w:hAnsi="宋体" w:eastAsia="宋体" w:cs="宋体"/>
          <w:spacing w:val="-3"/>
          <w:sz w:val="24"/>
          <w:szCs w:val="24"/>
          <w:lang w:val="en-US" w:eastAsia="en-US"/>
        </w:rPr>
        <w:t>活动保密。</w:t>
      </w:r>
    </w:p>
    <w:p w14:paraId="60F49ED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3.磋商小组审查磋商响应文件是否符合磋商文件的所有条款、条件和规定。</w:t>
      </w:r>
    </w:p>
    <w:p w14:paraId="036316C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只对实质上响应磋商文件要求的有效磋商响应文件进行评审，响应的依据是磋商响应文件本身的内容，而不寻求</w:t>
      </w:r>
      <w:r>
        <w:rPr>
          <w:rFonts w:hint="eastAsia" w:ascii="宋体" w:hAnsi="宋体" w:eastAsia="宋体" w:cs="宋体"/>
          <w:spacing w:val="-3"/>
          <w:sz w:val="24"/>
          <w:szCs w:val="24"/>
          <w:lang w:eastAsia="zh-CN"/>
        </w:rPr>
        <w:t>其他证据</w:t>
      </w:r>
      <w:r>
        <w:rPr>
          <w:rFonts w:ascii="宋体" w:hAnsi="宋体" w:eastAsia="宋体" w:cs="宋体"/>
          <w:spacing w:val="-3"/>
          <w:sz w:val="24"/>
          <w:szCs w:val="24"/>
        </w:rPr>
        <w:t>。</w:t>
      </w:r>
    </w:p>
    <w:p w14:paraId="72BD8E2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将依据磋商文件确定的标准和方法，结合磋商响应文件及其补充文件进行，不得忽视磋商响应文件的实质性内容进行</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w:t>
      </w:r>
    </w:p>
    <w:p w14:paraId="6C65BF5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活动依法进行，任何单位和个人不得非法干预、阻挠采购人采购代理机构的正常工作或者影响</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过程和结果。</w:t>
      </w:r>
    </w:p>
    <w:p w14:paraId="69A0984A">
      <w:pPr>
        <w:pStyle w:val="5"/>
        <w:pageBreakBefore w:val="0"/>
        <w:kinsoku/>
        <w:topLinePunct w:val="0"/>
        <w:bidi w:val="0"/>
        <w:spacing w:line="334" w:lineRule="auto"/>
      </w:pPr>
    </w:p>
    <w:p w14:paraId="3C4622ED">
      <w:pPr>
        <w:pageBreakBefore w:val="0"/>
        <w:kinsoku/>
        <w:topLinePunct w:val="0"/>
        <w:bidi w:val="0"/>
        <w:spacing w:before="91" w:line="221" w:lineRule="auto"/>
        <w:ind w:left="3920"/>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1"/>
          <w:sz w:val="28"/>
          <w:szCs w:val="28"/>
          <w14:textOutline w14:w="5103" w14:cap="sq" w14:cmpd="sng">
            <w14:solidFill>
              <w14:srgbClr w14:val="000000"/>
            </w14:solidFill>
            <w14:prstDash w14:val="solid"/>
            <w14:bevel/>
          </w14:textOutline>
        </w:rPr>
        <w:t>方法</w:t>
      </w:r>
    </w:p>
    <w:p w14:paraId="47352962">
      <w:pPr>
        <w:pageBreakBefore w:val="0"/>
        <w:kinsoku/>
        <w:topLinePunct w:val="0"/>
        <w:bidi w:val="0"/>
        <w:spacing w:before="205" w:line="219" w:lineRule="auto"/>
        <w:ind w:left="19"/>
        <w:outlineLvl w:val="2"/>
        <w:rPr>
          <w:rFonts w:ascii="宋体" w:hAnsi="宋体" w:eastAsia="宋体" w:cs="宋体"/>
          <w:sz w:val="24"/>
          <w:szCs w:val="24"/>
        </w:rPr>
      </w:pP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1.</w:t>
      </w:r>
      <w:r>
        <w:rPr>
          <w:rFonts w:ascii="宋体" w:hAnsi="宋体" w:eastAsia="宋体" w:cs="宋体"/>
          <w:spacing w:val="-3"/>
          <w:sz w:val="24"/>
          <w:szCs w:val="24"/>
          <w14:textOutline w14:w="4358" w14:cap="sq" w14:cmpd="sng">
            <w14:solidFill>
              <w14:srgbClr w14:val="000000"/>
            </w14:solidFill>
            <w14:prstDash w14:val="solid"/>
            <w14:bevel/>
          </w14:textOutline>
        </w:rPr>
        <w:t>竞争性磋商要求</w:t>
      </w:r>
    </w:p>
    <w:p w14:paraId="74342A4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将在“竞争性磋商须知前附表”规定的时间、地点组织竞争性磋商。供应商应委派代表参加。</w:t>
      </w:r>
    </w:p>
    <w:p w14:paraId="32012F4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 提交了可接受的“撤回”通知的报价将不予开封。</w:t>
      </w:r>
    </w:p>
    <w:p w14:paraId="623BF890">
      <w:pPr>
        <w:pageBreakBefore w:val="0"/>
        <w:kinsoku/>
        <w:topLinePunct w:val="0"/>
        <w:bidi w:val="0"/>
        <w:spacing w:before="185" w:line="219" w:lineRule="auto"/>
        <w:ind w:left="4"/>
        <w:outlineLvl w:val="2"/>
        <w:rPr>
          <w:rFonts w:ascii="宋体" w:hAnsi="宋体" w:eastAsia="宋体" w:cs="宋体"/>
          <w:sz w:val="24"/>
          <w:szCs w:val="24"/>
        </w:rPr>
      </w:pP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2.</w:t>
      </w:r>
      <w:r>
        <w:rPr>
          <w:rFonts w:ascii="宋体" w:hAnsi="宋体" w:eastAsia="宋体" w:cs="宋体"/>
          <w:spacing w:val="-1"/>
          <w:sz w:val="24"/>
          <w:szCs w:val="24"/>
          <w14:textOutline w14:w="4358" w14:cap="sq" w14:cmpd="sng">
            <w14:solidFill>
              <w14:srgbClr w14:val="000000"/>
            </w14:solidFill>
            <w14:prstDash w14:val="solid"/>
            <w14:bevel/>
          </w14:textOutline>
        </w:rPr>
        <w:t>竞争性磋商小组组建及工作</w:t>
      </w:r>
    </w:p>
    <w:p w14:paraId="34E6E83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将按照《中华人民共和国政府采购法》及有关规定组建磋商小组。</w:t>
      </w:r>
    </w:p>
    <w:p w14:paraId="4BA0E08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磋商小组由</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人及以上单数评审专家组成，采购代理机构人员不得参加本机构代理的采购项目的评审。</w:t>
      </w:r>
    </w:p>
    <w:p w14:paraId="3FF6E20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w:t>
      </w:r>
    </w:p>
    <w:p w14:paraId="59450BD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12AF34C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2.4 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14:paraId="72753B91">
      <w:pPr>
        <w:pStyle w:val="5"/>
        <w:keepNext w:val="0"/>
        <w:keepLines w:val="0"/>
        <w:pageBreakBefore w:val="0"/>
        <w:widowControl/>
        <w:kinsoku/>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pacing w:val="-3"/>
          <w:sz w:val="24"/>
          <w:szCs w:val="24"/>
        </w:rPr>
        <w:t>2.5 在磋商期间，响应文件中有不满足竞争性磋商文件资质要求的或不符合竞争性磋商文件带“★”要求的内容的，将视为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；磋商小组可要求供应</w:t>
      </w:r>
      <w:r>
        <w:rPr>
          <w:rFonts w:ascii="宋体" w:hAnsi="宋体" w:eastAsia="宋体" w:cs="宋体"/>
          <w:snapToGrid w:val="0"/>
          <w:color w:val="000000"/>
          <w:spacing w:val="-3"/>
          <w:kern w:val="0"/>
          <w:sz w:val="24"/>
          <w:szCs w:val="24"/>
          <w:lang w:val="en-US" w:eastAsia="en-US" w:bidi="ar-SA"/>
        </w:rPr>
        <w:t>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14:paraId="3AB7E1AB">
      <w:pPr>
        <w:keepNext w:val="0"/>
        <w:keepLines w:val="0"/>
        <w:pageBreakBefore w:val="0"/>
        <w:widowControl/>
        <w:kinsoku/>
        <w:wordWrap/>
        <w:overflowPunct/>
        <w:topLinePunct w:val="0"/>
        <w:autoSpaceDE w:val="0"/>
        <w:autoSpaceDN w:val="0"/>
        <w:bidi w:val="0"/>
        <w:adjustRightInd w:val="0"/>
        <w:snapToGrid w:val="0"/>
        <w:spacing w:before="182" w:line="360" w:lineRule="auto"/>
        <w:ind w:left="4"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2.6 参加磋商的供应商应当对磋商的承诺和最后报价以书面形式确认，并由全权代表签字或盖章。</w:t>
      </w:r>
    </w:p>
    <w:p w14:paraId="3C76F243">
      <w:pPr>
        <w:pageBreakBefore w:val="0"/>
        <w:kinsoku/>
        <w:topLinePunct w:val="0"/>
        <w:bidi w:val="0"/>
        <w:spacing w:before="185" w:line="219" w:lineRule="auto"/>
        <w:ind w:left="6"/>
        <w:outlineLvl w:val="2"/>
        <w:rPr>
          <w:rFonts w:ascii="宋体" w:hAnsi="宋体" w:eastAsia="宋体" w:cs="宋体"/>
          <w:sz w:val="24"/>
          <w:szCs w:val="24"/>
        </w:rPr>
      </w:pP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3.</w:t>
      </w:r>
      <w:r>
        <w:rPr>
          <w:rFonts w:ascii="宋体" w:hAnsi="宋体" w:eastAsia="宋体" w:cs="宋体"/>
          <w:spacing w:val="-1"/>
          <w:sz w:val="24"/>
          <w:szCs w:val="24"/>
          <w14:textOutline w14:w="4358" w14:cap="sq" w14:cmpd="sng">
            <w14:solidFill>
              <w14:srgbClr w14:val="000000"/>
            </w14:solidFill>
            <w14:prstDash w14:val="solid"/>
            <w14:bevel/>
          </w14:textOutline>
        </w:rPr>
        <w:t>竞争性磋商过程的保密性</w:t>
      </w:r>
    </w:p>
    <w:p w14:paraId="793DDFC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3.1 从开始竞争性磋商，直到向成交的供应商授予合同时止，凡与审查、澄清、评价和比较报价有关资料以及评审意见等，均不得向供应商及与竞争性磋商无关的其他人透露。</w:t>
      </w:r>
    </w:p>
    <w:p w14:paraId="7CD7951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3.2 在竞争性磋商过程中，如果供应商试图在响应文件审查、澄清、比较及授予合同方面向采购人施加任何影响，其报价将被拒绝。</w:t>
      </w:r>
    </w:p>
    <w:p w14:paraId="10D0361B">
      <w:pPr>
        <w:pageBreakBefore w:val="0"/>
        <w:kinsoku/>
        <w:topLinePunct w:val="0"/>
        <w:bidi w:val="0"/>
        <w:spacing w:before="183" w:line="219" w:lineRule="auto"/>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4.竞争性磋商程序</w:t>
      </w:r>
    </w:p>
    <w:p w14:paraId="74DCE9A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竞争性磋商程序：初步审查、竞争性磋商（包括澄清、符合性评审）、磋商报价、详细评审、推荐成交供应商。其中，竞争性磋商按本章第 9.1 款情形进行。</w:t>
      </w:r>
    </w:p>
    <w:p w14:paraId="170DDF2A">
      <w:pPr>
        <w:pageBreakBefore w:val="0"/>
        <w:kinsoku/>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5.初步审查</w:t>
      </w:r>
    </w:p>
    <w:p w14:paraId="3D2C6F1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磋商小组将审查磋商响应文件是否完整、资格证明文件是否齐全、合格，保证金是否足额、有无计算上的错误等。</w:t>
      </w:r>
    </w:p>
    <w:p w14:paraId="66614FC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算术错误将按以下方法更正：若单价计算的结果与总价不一致，以单价为准修改总价；若用文字表示的数值与数字表示的数值不一致，以文字表示的数值为准。如果供应商不接受 对其错误的更正，其响应文件将被拒绝。</w:t>
      </w:r>
    </w:p>
    <w:p w14:paraId="72FA987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在详细磋商响应之前，根据本须知的规定，磋商小组要审查每份磋商响应文件是否实质上响应了</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的要求。实质上响应的磋商响应文件应该是与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全部条款、条件和技术参数相符，没有重大偏离的磋商响应文件。对关键条文的偏离、保留或反对将被认为是实质上的偏离。磋商小组决定磋商的响应性只根据磋商响应文件本身的内容，而不寻求外部的证据。</w:t>
      </w:r>
    </w:p>
    <w:p w14:paraId="4433733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5.4 实质上没有响应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要求的磋商响应文件将被拒绝。</w:t>
      </w:r>
    </w:p>
    <w:p w14:paraId="1070A20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5.5 如果磋商响应文件实质性没有响应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的要求，其投标将被拒绝。供应商不得通过修正或</w:t>
      </w:r>
      <w:r>
        <w:rPr>
          <w:rFonts w:hint="eastAsia" w:ascii="宋体" w:hAnsi="宋体" w:eastAsia="宋体" w:cs="宋体"/>
          <w:spacing w:val="-3"/>
          <w:sz w:val="24"/>
          <w:szCs w:val="24"/>
          <w:lang w:eastAsia="zh-CN"/>
        </w:rPr>
        <w:t>撤销</w:t>
      </w:r>
      <w:r>
        <w:rPr>
          <w:rFonts w:ascii="宋体" w:hAnsi="宋体" w:eastAsia="宋体" w:cs="宋体"/>
          <w:spacing w:val="-3"/>
          <w:sz w:val="24"/>
          <w:szCs w:val="24"/>
        </w:rPr>
        <w:t>不符合要求的偏离或保留从而使其磋商响应文件成为实质响应。</w:t>
      </w:r>
    </w:p>
    <w:p w14:paraId="60CE891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5.6 采购人只对在初审中确定为实质性响应的磋商响应文件进行进一步的详细商务和技术评审。</w:t>
      </w:r>
    </w:p>
    <w:p w14:paraId="7710E245">
      <w:pPr>
        <w:pageBreakBefore w:val="0"/>
        <w:kinsoku/>
        <w:topLinePunct w:val="0"/>
        <w:bidi w:val="0"/>
        <w:spacing w:before="184" w:line="220" w:lineRule="auto"/>
        <w:ind w:left="2"/>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6.实质性响应</w:t>
      </w:r>
    </w:p>
    <w:p w14:paraId="24DAB7D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6.1 实质性响应是指响应文件与竞争性磋商文件要求的所有条款、条件和规格相符，没有偏离。偏离指不满足</w:t>
      </w:r>
      <w:r>
        <w:rPr>
          <w:rFonts w:hint="eastAsia" w:ascii="宋体" w:hAnsi="宋体" w:eastAsia="宋体" w:cs="宋体"/>
          <w:spacing w:val="-3"/>
          <w:sz w:val="24"/>
          <w:szCs w:val="24"/>
          <w:lang w:eastAsia="zh-CN"/>
        </w:rPr>
        <w:t>或</w:t>
      </w:r>
      <w:r>
        <w:rPr>
          <w:rFonts w:ascii="宋体" w:hAnsi="宋体" w:eastAsia="宋体" w:cs="宋体"/>
          <w:spacing w:val="-3"/>
          <w:sz w:val="24"/>
          <w:szCs w:val="24"/>
        </w:rPr>
        <w:t>不响应竞争性磋商文件的要求。</w:t>
      </w:r>
    </w:p>
    <w:p w14:paraId="6F8A0A7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6.2 响应文件是否实质性响应竞争性磋商文件要求由竞争性磋商小组依据竞争性磋商文件规 定认定。竞争性磋商小组决定响应文件的响应性只根据响应文件本身的真实无误的内容，而不依据外部的证据。</w:t>
      </w:r>
    </w:p>
    <w:p w14:paraId="0243C40B">
      <w:pPr>
        <w:pageBreakBefore w:val="0"/>
        <w:kinsoku/>
        <w:topLinePunct w:val="0"/>
        <w:bidi w:val="0"/>
        <w:spacing w:before="181" w:line="220" w:lineRule="auto"/>
        <w:ind w:left="6"/>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7.澄清</w:t>
      </w:r>
    </w:p>
    <w:p w14:paraId="55D8002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磋商小组在对响应文件的有效性、完整性和响应程度进行审查时，可以要求供应商对响应文件中含义不明确、同类问题表述不一致或者有明显文字和计算错误的内容澄清、说明或者更正。供应商的澄清、说明或者更正不得超出响应文件的范围或者改变响应文件的实质性内容。</w:t>
      </w:r>
    </w:p>
    <w:p w14:paraId="405D8D1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803613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最后报价计算错误修正的原则：最后报价的大写金额和小写金额不一致的，以大写金额为准；总价金额与按单价汇总金额不一致的，以单价金额计算结果为准；单价金额小数点有明显错位的，应以总价为准，并修改单价。</w:t>
      </w:r>
    </w:p>
    <w:p w14:paraId="00159B37">
      <w:pPr>
        <w:pageBreakBefore w:val="0"/>
        <w:kinsoku/>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8.供应商家数计算</w:t>
      </w:r>
    </w:p>
    <w:p w14:paraId="566B5B7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产品为同一品牌同一型号的视为一家，如果有多家供应商以同一品牌同一型号产品参加竞争性磋商的，应作为一个供应商计算，以符合竞争性磋商文件要求的最低报价者为该品牌及型号产品的唯一有效供应商。</w:t>
      </w:r>
    </w:p>
    <w:p w14:paraId="6F44B409">
      <w:pPr>
        <w:pageBreakBefore w:val="0"/>
        <w:kinsoku/>
        <w:topLinePunct w:val="0"/>
        <w:bidi w:val="0"/>
        <w:spacing w:before="182"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9.竞争性磋商</w:t>
      </w:r>
    </w:p>
    <w:p w14:paraId="22B850B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9.1 在磋商过程中，磋商小组可以根据磋商文件和磋商情况实质性变动采购需求中的技术、服务要求以及合同草案条款，但不得变动磋商文件中的其他内容。实质性变动的内容，须经采购人代表确认。</w:t>
      </w:r>
    </w:p>
    <w:p w14:paraId="073DEAF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9.2 对磋商文件作出的实质性变动是磋商文件的有效组成部分，磋商小组应当及时以书面形式同时通知所有参加磋商的供应商。</w:t>
      </w:r>
    </w:p>
    <w:p w14:paraId="6D1C44A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9.3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879B4A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9.4 磋商文件能够详细列明采购标的的技术、服务要求的，磋商结束后，磋商小组应当要求所有实质性响应的供应商在规定时间内提交最后报价，提交最后报价的供应商不得少于 3家。</w:t>
      </w:r>
    </w:p>
    <w:p w14:paraId="1A883D5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9.5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44F982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9.6 已提交响应文件的供应商，在提交最后报价之前，可以根据磋商情况退出磋商。采购人、采购代理机构应当退还退出磋商的供应商的保证金。</w:t>
      </w:r>
    </w:p>
    <w:p w14:paraId="540700B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9.7 经磋商确定最终采购需求和提交最后报价的供应商后，由磋商小组采用综合评分法对提交最后报价的供应商的响应文件和最后报价进行综合评分。</w:t>
      </w:r>
    </w:p>
    <w:p w14:paraId="00631314">
      <w:pPr>
        <w:pageBreakBefore w:val="0"/>
        <w:kinsoku/>
        <w:topLinePunct w:val="0"/>
        <w:bidi w:val="0"/>
        <w:spacing w:before="183" w:line="219" w:lineRule="auto"/>
        <w:ind w:left="18"/>
        <w:outlineLvl w:val="2"/>
        <w:rPr>
          <w:rFonts w:ascii="宋体" w:hAnsi="宋体" w:eastAsia="宋体" w:cs="宋体"/>
          <w:sz w:val="24"/>
          <w:szCs w:val="24"/>
        </w:rPr>
      </w:pP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10.</w:t>
      </w:r>
      <w:r>
        <w:rPr>
          <w:rFonts w:ascii="宋体" w:hAnsi="宋体" w:eastAsia="宋体" w:cs="宋体"/>
          <w:spacing w:val="-2"/>
          <w:sz w:val="24"/>
          <w:szCs w:val="24"/>
          <w14:textOutline w14:w="4358" w14:cap="sq" w14:cmpd="sng">
            <w14:solidFill>
              <w14:srgbClr w14:val="000000"/>
            </w14:solidFill>
            <w14:prstDash w14:val="solid"/>
            <w14:bevel/>
          </w14:textOutline>
        </w:rPr>
        <w:t>磋商响应文件的详细评审</w:t>
      </w:r>
    </w:p>
    <w:p w14:paraId="5FB096B3">
      <w:pPr>
        <w:pageBreakBefore w:val="0"/>
        <w:kinsoku/>
        <w:topLinePunct w:val="0"/>
        <w:bidi w:val="0"/>
        <w:spacing w:before="182" w:line="219" w:lineRule="auto"/>
        <w:ind w:left="18"/>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2"/>
          <w:sz w:val="24"/>
          <w:szCs w:val="24"/>
        </w:rPr>
        <w:t xml:space="preserve"> </w:t>
      </w:r>
      <w:r>
        <w:rPr>
          <w:rFonts w:ascii="宋体" w:hAnsi="宋体" w:eastAsia="宋体" w:cs="宋体"/>
          <w:spacing w:val="-1"/>
          <w:sz w:val="24"/>
          <w:szCs w:val="24"/>
        </w:rPr>
        <w:t>磋商小组将只对确定为实质上响应</w:t>
      </w:r>
      <w:r>
        <w:rPr>
          <w:rFonts w:hint="eastAsia" w:ascii="宋体" w:hAnsi="宋体" w:eastAsia="宋体" w:cs="宋体"/>
          <w:spacing w:val="-1"/>
          <w:sz w:val="24"/>
          <w:szCs w:val="24"/>
          <w:lang w:eastAsia="zh-CN"/>
        </w:rPr>
        <w:t>磋商文件</w:t>
      </w:r>
      <w:r>
        <w:rPr>
          <w:rFonts w:ascii="宋体" w:hAnsi="宋体" w:eastAsia="宋体" w:cs="宋体"/>
          <w:spacing w:val="-1"/>
          <w:sz w:val="24"/>
          <w:szCs w:val="24"/>
        </w:rPr>
        <w:t>要求的磋商进行详细磋</w:t>
      </w:r>
      <w:r>
        <w:rPr>
          <w:rFonts w:ascii="宋体" w:hAnsi="宋体" w:eastAsia="宋体" w:cs="宋体"/>
          <w:spacing w:val="-2"/>
          <w:sz w:val="24"/>
          <w:szCs w:val="24"/>
        </w:rPr>
        <w:t>商。</w:t>
      </w:r>
    </w:p>
    <w:p w14:paraId="174D861F">
      <w:pPr>
        <w:pageBreakBefore w:val="0"/>
        <w:kinsoku/>
        <w:topLinePunct w:val="0"/>
        <w:bidi w:val="0"/>
        <w:spacing w:before="184" w:line="220" w:lineRule="auto"/>
        <w:ind w:left="18"/>
        <w:rPr>
          <w:rFonts w:ascii="宋体" w:hAnsi="宋体" w:eastAsia="宋体" w:cs="宋体"/>
          <w:sz w:val="24"/>
          <w:szCs w:val="24"/>
        </w:rPr>
      </w:pPr>
      <w:r>
        <w:rPr>
          <w:rFonts w:ascii="宋体" w:hAnsi="宋体" w:eastAsia="宋体" w:cs="宋体"/>
          <w:spacing w:val="-4"/>
          <w:sz w:val="24"/>
          <w:szCs w:val="24"/>
        </w:rPr>
        <w:t>10.2</w:t>
      </w:r>
      <w:r>
        <w:rPr>
          <w:rFonts w:ascii="宋体" w:hAnsi="宋体" w:eastAsia="宋体" w:cs="宋体"/>
          <w:spacing w:val="-48"/>
          <w:sz w:val="24"/>
          <w:szCs w:val="24"/>
        </w:rPr>
        <w:t xml:space="preserve"> </w:t>
      </w:r>
      <w:r>
        <w:rPr>
          <w:rFonts w:ascii="宋体" w:hAnsi="宋体" w:eastAsia="宋体" w:cs="宋体"/>
          <w:spacing w:val="-4"/>
          <w:sz w:val="24"/>
          <w:szCs w:val="24"/>
        </w:rPr>
        <w:t>综合评分法</w:t>
      </w:r>
    </w:p>
    <w:p w14:paraId="28738D6A">
      <w:pPr>
        <w:pStyle w:val="5"/>
        <w:pageBreakBefore w:val="0"/>
        <w:kinsoku/>
        <w:topLinePunct w:val="0"/>
        <w:bidi w:val="0"/>
        <w:spacing w:line="331" w:lineRule="auto"/>
      </w:pPr>
    </w:p>
    <w:p w14:paraId="3F971C85">
      <w:pPr>
        <w:pageBreakBefore w:val="0"/>
        <w:kinsoku/>
        <w:topLinePunct w:val="0"/>
        <w:bidi w:val="0"/>
        <w:spacing w:before="92" w:line="221" w:lineRule="auto"/>
        <w:ind w:left="3384"/>
        <w:outlineLvl w:val="1"/>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四、</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3"/>
          <w:sz w:val="28"/>
          <w:szCs w:val="28"/>
          <w14:textOutline w14:w="5103" w14:cap="sq" w14:cmpd="sng">
            <w14:solidFill>
              <w14:srgbClr w14:val="000000"/>
            </w14:solidFill>
            <w14:prstDash w14:val="solid"/>
            <w14:bevel/>
          </w14:textOutline>
        </w:rPr>
        <w:t>过程的保密性</w:t>
      </w:r>
    </w:p>
    <w:p w14:paraId="7F2A9C5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eastAsia="zh-CN"/>
        </w:rPr>
        <w:t>采购活动结束</w:t>
      </w:r>
      <w:r>
        <w:rPr>
          <w:rFonts w:ascii="宋体" w:hAnsi="宋体" w:eastAsia="宋体" w:cs="宋体"/>
          <w:spacing w:val="-3"/>
          <w:sz w:val="24"/>
          <w:szCs w:val="24"/>
        </w:rPr>
        <w:t>后，</w:t>
      </w:r>
      <w:r>
        <w:rPr>
          <w:rFonts w:hint="eastAsia" w:ascii="宋体" w:hAnsi="宋体" w:eastAsia="宋体" w:cs="宋体"/>
          <w:spacing w:val="-3"/>
          <w:sz w:val="24"/>
          <w:szCs w:val="24"/>
          <w:lang w:eastAsia="zh-CN"/>
        </w:rPr>
        <w:t>直到</w:t>
      </w:r>
      <w:r>
        <w:rPr>
          <w:rFonts w:ascii="宋体" w:hAnsi="宋体" w:eastAsia="宋体" w:cs="宋体"/>
          <w:spacing w:val="-3"/>
          <w:sz w:val="24"/>
          <w:szCs w:val="24"/>
        </w:rPr>
        <w:t>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授予合同时止，凡与审查、澄清、评价和比较投标的有关资料以及</w:t>
      </w:r>
      <w:r>
        <w:rPr>
          <w:rFonts w:hint="eastAsia" w:ascii="宋体" w:hAnsi="宋体" w:eastAsia="宋体" w:cs="宋体"/>
          <w:spacing w:val="-3"/>
          <w:sz w:val="24"/>
          <w:szCs w:val="24"/>
          <w:lang w:eastAsia="zh-CN"/>
        </w:rPr>
        <w:t>投标</w:t>
      </w:r>
      <w:r>
        <w:rPr>
          <w:rFonts w:ascii="宋体" w:hAnsi="宋体" w:eastAsia="宋体" w:cs="宋体"/>
          <w:spacing w:val="-3"/>
          <w:sz w:val="24"/>
          <w:szCs w:val="24"/>
        </w:rPr>
        <w:t>意见等，均不得向供应商及与</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无关的其他人透露。</w:t>
      </w:r>
    </w:p>
    <w:p w14:paraId="5927ECD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过程中，如果供应商试图在磋商响应文件审查、澄清、比较及授予合同方面向采购人施加任何影响，其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将被拒绝。</w:t>
      </w:r>
    </w:p>
    <w:p w14:paraId="623DDAE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人员严格遵守国家的有关保密</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的规定，严格自律，同时接受有关部门的监督、审查。</w:t>
      </w:r>
    </w:p>
    <w:p w14:paraId="0357B405">
      <w:pPr>
        <w:pageBreakBefore w:val="0"/>
        <w:kinsoku/>
        <w:topLinePunct w:val="0"/>
        <w:bidi w:val="0"/>
        <w:spacing w:before="91"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五、</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2"/>
          <w:sz w:val="28"/>
          <w:szCs w:val="28"/>
          <w14:textOutline w14:w="5103" w14:cap="sq" w14:cmpd="sng">
            <w14:solidFill>
              <w14:srgbClr w14:val="000000"/>
            </w14:solidFill>
            <w14:prstDash w14:val="solid"/>
            <w14:bevel/>
          </w14:textOutline>
        </w:rPr>
        <w:t>方法</w:t>
      </w:r>
    </w:p>
    <w:p w14:paraId="34342FD5">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1.磋商小组以开标、</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情况为基本依据，对符合条件的《磋商响应文件》及供应商进行综合评审打分，总分值设定为100分。</w:t>
      </w:r>
    </w:p>
    <w:p w14:paraId="7C495D23">
      <w:pPr>
        <w:pageBreakBefore w:val="0"/>
        <w:kinsoku/>
        <w:topLinePunct w:val="0"/>
        <w:bidi w:val="0"/>
        <w:spacing w:before="178" w:line="360" w:lineRule="auto"/>
        <w:ind w:right="59" w:firstLine="498"/>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2.本项目采用“综合评分法”</w:t>
      </w:r>
      <w:r>
        <w:rPr>
          <w:rFonts w:hint="eastAsia" w:ascii="宋体" w:hAnsi="宋体" w:eastAsia="宋体" w:cs="宋体"/>
          <w:spacing w:val="-3"/>
          <w:sz w:val="24"/>
          <w:szCs w:val="24"/>
          <w:lang w:val="en-US" w:eastAsia="zh-CN"/>
        </w:rPr>
        <w:t>评审</w:t>
      </w:r>
      <w:r>
        <w:rPr>
          <w:rFonts w:ascii="宋体" w:hAnsi="宋体" w:eastAsia="宋体" w:cs="宋体"/>
          <w:spacing w:val="-3"/>
          <w:sz w:val="24"/>
          <w:szCs w:val="24"/>
          <w:lang w:val="en-US" w:eastAsia="en-US"/>
        </w:rPr>
        <w:t>，即指在最大限度地满足磋商文件实质性要求前提下，按照磋商文件中规定的各项因素进行综合评审后，按照</w:t>
      </w:r>
      <w:r>
        <w:rPr>
          <w:rFonts w:hint="eastAsia" w:ascii="宋体" w:hAnsi="宋体" w:eastAsia="宋体" w:cs="宋体"/>
          <w:spacing w:val="-3"/>
          <w:sz w:val="24"/>
          <w:szCs w:val="24"/>
          <w:lang w:val="en-US" w:eastAsia="zh-CN"/>
        </w:rPr>
        <w:t>评审</w:t>
      </w:r>
      <w:r>
        <w:rPr>
          <w:rFonts w:ascii="宋体" w:hAnsi="宋体" w:eastAsia="宋体" w:cs="宋体"/>
          <w:spacing w:val="-3"/>
          <w:sz w:val="24"/>
          <w:szCs w:val="24"/>
          <w:lang w:val="en-US" w:eastAsia="en-US"/>
        </w:rPr>
        <w:t>总得分由高到低进行排名顺序确定</w:t>
      </w:r>
      <w:r>
        <w:rPr>
          <w:rFonts w:hint="eastAsia" w:ascii="宋体" w:hAnsi="宋体" w:eastAsia="宋体" w:cs="宋体"/>
          <w:spacing w:val="-3"/>
          <w:sz w:val="24"/>
          <w:szCs w:val="24"/>
          <w:lang w:val="en-US" w:eastAsia="zh-CN"/>
        </w:rPr>
        <w:t>成交供应商</w:t>
      </w:r>
      <w:r>
        <w:rPr>
          <w:rFonts w:ascii="宋体" w:hAnsi="宋体" w:eastAsia="宋体" w:cs="宋体"/>
          <w:spacing w:val="-3"/>
          <w:sz w:val="24"/>
          <w:szCs w:val="24"/>
          <w:lang w:val="en-US" w:eastAsia="en-US"/>
        </w:rPr>
        <w:t>，本项目不保证最低价</w:t>
      </w:r>
      <w:r>
        <w:rPr>
          <w:rFonts w:hint="eastAsia" w:ascii="宋体" w:hAnsi="宋体" w:eastAsia="宋体" w:cs="宋体"/>
          <w:spacing w:val="-3"/>
          <w:sz w:val="24"/>
          <w:szCs w:val="24"/>
          <w:lang w:val="en-US" w:eastAsia="zh-CN"/>
        </w:rPr>
        <w:t>成交</w:t>
      </w:r>
      <w:r>
        <w:rPr>
          <w:rFonts w:ascii="宋体" w:hAnsi="宋体" w:eastAsia="宋体" w:cs="宋体"/>
          <w:spacing w:val="-3"/>
          <w:sz w:val="24"/>
          <w:szCs w:val="24"/>
          <w:lang w:val="en-US" w:eastAsia="en-US"/>
        </w:rPr>
        <w:t>。</w:t>
      </w:r>
    </w:p>
    <w:p w14:paraId="644ACB45">
      <w:pPr>
        <w:pStyle w:val="5"/>
        <w:pageBreakBefore w:val="0"/>
        <w:kinsoku/>
        <w:topLinePunct w:val="0"/>
        <w:bidi w:val="0"/>
        <w:spacing w:line="241" w:lineRule="auto"/>
      </w:pPr>
    </w:p>
    <w:p w14:paraId="7E2E47AF">
      <w:pPr>
        <w:pageBreakBefore w:val="0"/>
        <w:kinsoku/>
        <w:topLinePunct w:val="0"/>
        <w:bidi w:val="0"/>
        <w:spacing w:before="91" w:line="221" w:lineRule="auto"/>
        <w:ind w:left="2548"/>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六、</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评审</w:t>
      </w:r>
      <w:r>
        <w:rPr>
          <w:rFonts w:ascii="宋体" w:hAnsi="宋体" w:eastAsia="宋体" w:cs="宋体"/>
          <w:sz w:val="28"/>
          <w:szCs w:val="28"/>
          <w14:textOutline w14:w="5103" w14:cap="sq" w14:cmpd="sng">
            <w14:solidFill>
              <w14:srgbClr w14:val="000000"/>
            </w14:solidFill>
            <w14:prstDash w14:val="solid"/>
            <w14:bevel/>
          </w14:textOutline>
        </w:rPr>
        <w:t>程序及标准（综合评分法）</w:t>
      </w:r>
    </w:p>
    <w:p w14:paraId="6A77F8F6">
      <w:pPr>
        <w:pageBreakBefore w:val="0"/>
        <w:kinsoku/>
        <w:topLinePunct w:val="0"/>
        <w:bidi w:val="0"/>
        <w:spacing w:before="204" w:line="220" w:lineRule="auto"/>
        <w:ind w:left="529"/>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3"/>
          <w:sz w:val="24"/>
          <w:szCs w:val="24"/>
          <w14:textOutline w14:w="4358" w14:cap="sq" w14:cmpd="sng">
            <w14:solidFill>
              <w14:srgbClr w14:val="000000"/>
            </w14:solidFill>
            <w14:prstDash w14:val="solid"/>
            <w14:bevel/>
          </w14:textOutline>
        </w:rPr>
        <w:t>准备工作</w:t>
      </w:r>
    </w:p>
    <w:p w14:paraId="06A7600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磋商小组成员应当认真阅读磋商文件，全面正确地理解和掌握以下内容：</w:t>
      </w:r>
    </w:p>
    <w:p w14:paraId="1595C7DE">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的目的；</w:t>
      </w:r>
    </w:p>
    <w:p w14:paraId="7E668FB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②</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的范围和性质；</w:t>
      </w:r>
    </w:p>
    <w:p w14:paraId="311005CB">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③磋商文件的主要商务、技术条款要求；</w:t>
      </w:r>
    </w:p>
    <w:p w14:paraId="4EB061C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④磋商文件规定的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标准、</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方法和在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过程中要考虑的因素。</w:t>
      </w:r>
    </w:p>
    <w:p w14:paraId="3C845C03">
      <w:pPr>
        <w:pageBreakBefore w:val="0"/>
        <w:kinsoku/>
        <w:topLinePunct w:val="0"/>
        <w:bidi w:val="0"/>
        <w:spacing w:before="183" w:line="219" w:lineRule="auto"/>
        <w:ind w:left="515"/>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2.初步评审（资格后审</w:t>
      </w:r>
      <w:r>
        <w:rPr>
          <w:rFonts w:ascii="宋体" w:hAnsi="宋体" w:eastAsia="宋体" w:cs="宋体"/>
          <w:spacing w:val="2"/>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w:t>
      </w:r>
    </w:p>
    <w:p w14:paraId="701A78CB">
      <w:pPr>
        <w:keepNext w:val="0"/>
        <w:keepLines w:val="0"/>
        <w:pageBreakBefore w:val="0"/>
        <w:widowControl/>
        <w:kinsoku/>
        <w:wordWrap/>
        <w:overflowPunct/>
        <w:topLinePunct w:val="0"/>
        <w:autoSpaceDE w:val="0"/>
        <w:autoSpaceDN w:val="0"/>
        <w:bidi w:val="0"/>
        <w:adjustRightInd w:val="0"/>
        <w:snapToGrid w:val="0"/>
        <w:spacing w:line="400" w:lineRule="exact"/>
        <w:ind w:right="0" w:firstLine="498"/>
        <w:textAlignment w:val="baseline"/>
        <w:rPr>
          <w:rFonts w:ascii="宋体" w:hAnsi="宋体" w:eastAsia="宋体" w:cs="宋体"/>
          <w:spacing w:val="-3"/>
          <w:sz w:val="24"/>
          <w:szCs w:val="24"/>
        </w:rPr>
      </w:pPr>
      <w:r>
        <w:rPr>
          <w:rFonts w:ascii="宋体" w:hAnsi="宋体" w:eastAsia="宋体" w:cs="宋体"/>
          <w:b/>
          <w:bCs/>
          <w:spacing w:val="-3"/>
          <w:sz w:val="24"/>
          <w:szCs w:val="24"/>
        </w:rPr>
        <w:t>2.1 资格性审查：</w:t>
      </w:r>
      <w:r>
        <w:rPr>
          <w:rFonts w:ascii="宋体" w:hAnsi="宋体" w:eastAsia="宋体" w:cs="宋体"/>
          <w:spacing w:val="-3"/>
          <w:sz w:val="24"/>
          <w:szCs w:val="24"/>
        </w:rPr>
        <w:t>依据法律法规和《磋商文件》的规定，对《磋商响应文件》中的资格证明、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等进行审查，以确定供应商是否具备投标资格。</w:t>
      </w:r>
    </w:p>
    <w:p w14:paraId="73173C1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rPr>
          <w:b/>
          <w:bCs/>
        </w:rPr>
      </w:pPr>
      <w:r>
        <w:rPr>
          <w:rFonts w:ascii="宋体" w:hAnsi="宋体" w:eastAsia="宋体" w:cs="宋体"/>
          <w:b/>
          <w:bCs/>
          <w:spacing w:val="-3"/>
          <w:sz w:val="24"/>
          <w:szCs w:val="24"/>
        </w:rPr>
        <w:t>资格性审查有一项不符合的，由磋商小组按</w:t>
      </w:r>
      <w:r>
        <w:rPr>
          <w:rFonts w:hint="eastAsia" w:ascii="宋体" w:hAnsi="宋体" w:eastAsia="宋体" w:cs="宋体"/>
          <w:b/>
          <w:bCs/>
          <w:spacing w:val="-3"/>
          <w:sz w:val="24"/>
          <w:szCs w:val="24"/>
          <w:lang w:eastAsia="zh-CN"/>
        </w:rPr>
        <w:t>无效响应</w:t>
      </w:r>
      <w:r>
        <w:rPr>
          <w:rFonts w:ascii="宋体" w:hAnsi="宋体" w:eastAsia="宋体" w:cs="宋体"/>
          <w:b/>
          <w:bCs/>
          <w:spacing w:val="-3"/>
          <w:sz w:val="24"/>
          <w:szCs w:val="24"/>
        </w:rPr>
        <w:t>处理</w:t>
      </w:r>
    </w:p>
    <w:tbl>
      <w:tblPr>
        <w:tblStyle w:val="19"/>
        <w:tblW w:w="90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7374"/>
      </w:tblGrid>
      <w:tr w14:paraId="52B92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630" w:type="dxa"/>
            <w:vAlign w:val="top"/>
          </w:tcPr>
          <w:p w14:paraId="1602F147">
            <w:pPr>
              <w:pageBreakBefore w:val="0"/>
              <w:kinsoku/>
              <w:topLinePunct w:val="0"/>
              <w:bidi w:val="0"/>
              <w:spacing w:before="119" w:line="219" w:lineRule="auto"/>
              <w:jc w:val="center"/>
              <w:rPr>
                <w:rFonts w:ascii="宋体" w:hAnsi="宋体" w:eastAsia="宋体" w:cs="宋体"/>
                <w:sz w:val="24"/>
                <w:szCs w:val="24"/>
              </w:rPr>
            </w:pPr>
            <w:r>
              <w:rPr>
                <w:rFonts w:ascii="宋体" w:hAnsi="宋体" w:eastAsia="宋体" w:cs="宋体"/>
                <w:spacing w:val="-3"/>
                <w:sz w:val="24"/>
                <w:szCs w:val="24"/>
              </w:rPr>
              <w:t>评审内容</w:t>
            </w:r>
          </w:p>
        </w:tc>
        <w:tc>
          <w:tcPr>
            <w:tcW w:w="7374" w:type="dxa"/>
            <w:vAlign w:val="top"/>
          </w:tcPr>
          <w:p w14:paraId="78E3A6A7">
            <w:pPr>
              <w:pageBreakBefore w:val="0"/>
              <w:kinsoku/>
              <w:topLinePunct w:val="0"/>
              <w:bidi w:val="0"/>
              <w:spacing w:before="118" w:line="220" w:lineRule="auto"/>
              <w:ind w:left="3296"/>
              <w:rPr>
                <w:rFonts w:ascii="宋体" w:hAnsi="宋体" w:eastAsia="宋体" w:cs="宋体"/>
                <w:sz w:val="24"/>
                <w:szCs w:val="24"/>
              </w:rPr>
            </w:pPr>
            <w:r>
              <w:rPr>
                <w:rFonts w:ascii="宋体" w:hAnsi="宋体" w:eastAsia="宋体" w:cs="宋体"/>
                <w:spacing w:val="-3"/>
                <w:sz w:val="24"/>
                <w:szCs w:val="24"/>
              </w:rPr>
              <w:t>评审标准</w:t>
            </w:r>
          </w:p>
        </w:tc>
      </w:tr>
      <w:tr w14:paraId="179CE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1630" w:type="dxa"/>
            <w:vMerge w:val="restart"/>
            <w:vAlign w:val="center"/>
          </w:tcPr>
          <w:p w14:paraId="4D87A86B">
            <w:pPr>
              <w:pageBreakBefore w:val="0"/>
              <w:kinsoku/>
              <w:topLinePunct w:val="0"/>
              <w:bidi w:val="0"/>
              <w:spacing w:before="80" w:line="206" w:lineRule="auto"/>
              <w:jc w:val="center"/>
              <w:rPr>
                <w:rFonts w:ascii="宋体" w:hAnsi="宋体" w:eastAsia="宋体" w:cs="宋体"/>
                <w:sz w:val="24"/>
                <w:szCs w:val="24"/>
              </w:rPr>
            </w:pPr>
            <w:r>
              <w:rPr>
                <w:rFonts w:ascii="宋体" w:hAnsi="宋体" w:eastAsia="宋体" w:cs="宋体"/>
                <w:spacing w:val="-3"/>
                <w:sz w:val="24"/>
                <w:szCs w:val="24"/>
              </w:rPr>
              <w:t>资格性审查</w:t>
            </w:r>
          </w:p>
        </w:tc>
        <w:tc>
          <w:tcPr>
            <w:tcW w:w="7374" w:type="dxa"/>
            <w:vAlign w:val="top"/>
          </w:tcPr>
          <w:p w14:paraId="613FF6B2">
            <w:pPr>
              <w:pageBreakBefore w:val="0"/>
              <w:kinsoku/>
              <w:topLinePunct w:val="0"/>
              <w:bidi w:val="0"/>
              <w:spacing w:before="51" w:line="264" w:lineRule="auto"/>
              <w:ind w:left="112" w:right="49" w:firstLine="4"/>
              <w:jc w:val="both"/>
              <w:rPr>
                <w:rFonts w:ascii="宋体" w:hAnsi="宋体" w:eastAsia="宋体" w:cs="宋体"/>
                <w:sz w:val="24"/>
                <w:szCs w:val="24"/>
              </w:rPr>
            </w:pPr>
            <w:r>
              <w:rPr>
                <w:rFonts w:hint="eastAsia" w:ascii="宋体" w:hAnsi="宋体" w:eastAsia="宋体" w:cs="宋体"/>
                <w:spacing w:val="-5"/>
                <w:sz w:val="24"/>
                <w:szCs w:val="24"/>
                <w:lang w:eastAsia="zh-CN"/>
              </w:rPr>
              <w:t>具有有效经年检的三证合一营业执照原件扫描件（若供应商是企业（包括合伙企业）应提供营业执照；若供应商是事业单位应提供事业单位法人证书；若供应商是个体工商户应提供个体工商户营业执照；若供应商是自然人应提供自然人身份证明）</w:t>
            </w:r>
            <w:r>
              <w:rPr>
                <w:rFonts w:ascii="宋体" w:hAnsi="宋体" w:eastAsia="宋体" w:cs="宋体"/>
                <w:spacing w:val="3"/>
                <w:sz w:val="24"/>
                <w:szCs w:val="24"/>
              </w:rPr>
              <w:t>；</w:t>
            </w:r>
          </w:p>
        </w:tc>
      </w:tr>
      <w:tr w14:paraId="24DCA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630" w:type="dxa"/>
            <w:vMerge w:val="continue"/>
            <w:vAlign w:val="center"/>
          </w:tcPr>
          <w:p w14:paraId="7FAACE88">
            <w:pPr>
              <w:pageBreakBefore w:val="0"/>
              <w:kinsoku/>
              <w:topLinePunct w:val="0"/>
              <w:bidi w:val="0"/>
              <w:spacing w:before="80" w:line="206" w:lineRule="auto"/>
              <w:jc w:val="center"/>
              <w:rPr>
                <w:rFonts w:ascii="宋体" w:hAnsi="宋体" w:eastAsia="宋体" w:cs="宋体"/>
                <w:spacing w:val="-3"/>
                <w:sz w:val="24"/>
                <w:szCs w:val="24"/>
              </w:rPr>
            </w:pPr>
          </w:p>
        </w:tc>
        <w:tc>
          <w:tcPr>
            <w:tcW w:w="7374" w:type="dxa"/>
            <w:vAlign w:val="top"/>
          </w:tcPr>
          <w:p w14:paraId="3FA879F1">
            <w:pPr>
              <w:pageBreakBefore w:val="0"/>
              <w:kinsoku/>
              <w:topLinePunct w:val="0"/>
              <w:bidi w:val="0"/>
              <w:spacing w:before="51" w:line="264" w:lineRule="auto"/>
              <w:ind w:left="112" w:right="49" w:firstLine="4"/>
              <w:jc w:val="both"/>
              <w:rPr>
                <w:rFonts w:hint="eastAsia" w:ascii="宋体" w:hAnsi="宋体" w:eastAsia="宋体" w:cs="宋体"/>
                <w:spacing w:val="-5"/>
                <w:sz w:val="24"/>
                <w:szCs w:val="24"/>
                <w:lang w:eastAsia="zh-CN"/>
              </w:rPr>
            </w:pPr>
            <w:r>
              <w:rPr>
                <w:rFonts w:hint="eastAsia" w:ascii="宋体" w:hAnsi="宋体" w:eastAsia="宋体" w:cs="宋体"/>
                <w:spacing w:val="-5"/>
                <w:sz w:val="24"/>
                <w:szCs w:val="24"/>
                <w:highlight w:val="none"/>
                <w:lang w:eastAsia="zh-CN"/>
              </w:rPr>
              <w:t>供应商具备有效的城乡规划编制乙级及以上资质证书；</w:t>
            </w:r>
          </w:p>
        </w:tc>
      </w:tr>
      <w:tr w14:paraId="31C65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1630" w:type="dxa"/>
            <w:vMerge w:val="continue"/>
            <w:textDirection w:val="tbRlV"/>
            <w:vAlign w:val="top"/>
          </w:tcPr>
          <w:p w14:paraId="3033A6D7">
            <w:pPr>
              <w:pageBreakBefore w:val="0"/>
              <w:kinsoku/>
              <w:topLinePunct w:val="0"/>
              <w:bidi w:val="0"/>
              <w:rPr>
                <w:rFonts w:ascii="Arial"/>
                <w:sz w:val="21"/>
              </w:rPr>
            </w:pPr>
          </w:p>
        </w:tc>
        <w:tc>
          <w:tcPr>
            <w:tcW w:w="7374" w:type="dxa"/>
            <w:vAlign w:val="top"/>
          </w:tcPr>
          <w:p w14:paraId="54B44D20">
            <w:pPr>
              <w:pageBreakBefore w:val="0"/>
              <w:kinsoku/>
              <w:topLinePunct w:val="0"/>
              <w:bidi w:val="0"/>
              <w:spacing w:before="101" w:line="261" w:lineRule="auto"/>
              <w:ind w:left="112" w:right="108" w:firstLine="4"/>
              <w:rPr>
                <w:rFonts w:ascii="宋体" w:hAnsi="宋体" w:eastAsia="宋体" w:cs="宋体"/>
                <w:sz w:val="24"/>
                <w:szCs w:val="24"/>
              </w:rPr>
            </w:pPr>
            <w:r>
              <w:rPr>
                <w:rFonts w:hint="eastAsia" w:ascii="宋体" w:hAnsi="宋体" w:eastAsia="宋体" w:cs="宋体"/>
                <w:spacing w:val="-5"/>
                <w:sz w:val="24"/>
                <w:szCs w:val="24"/>
                <w:lang w:eastAsia="zh-CN"/>
              </w:rPr>
              <w:t>具有良好的商业信誉和健全的财务会计制度（提供202</w:t>
            </w: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lang w:eastAsia="zh-CN"/>
              </w:rPr>
              <w:t>年经审计的财务报告，企业成立不足一年的，须提供企业成立以来的财务报表加盖单位公章）</w:t>
            </w:r>
            <w:r>
              <w:rPr>
                <w:rFonts w:ascii="宋体" w:hAnsi="宋体" w:eastAsia="宋体" w:cs="宋体"/>
                <w:spacing w:val="3"/>
                <w:sz w:val="24"/>
                <w:szCs w:val="24"/>
              </w:rPr>
              <w:t>；</w:t>
            </w:r>
          </w:p>
        </w:tc>
      </w:tr>
      <w:tr w14:paraId="79B1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1630" w:type="dxa"/>
            <w:vMerge w:val="continue"/>
            <w:textDirection w:val="tbRlV"/>
            <w:vAlign w:val="top"/>
          </w:tcPr>
          <w:p w14:paraId="2028D768">
            <w:pPr>
              <w:pageBreakBefore w:val="0"/>
              <w:kinsoku/>
              <w:topLinePunct w:val="0"/>
              <w:bidi w:val="0"/>
              <w:rPr>
                <w:rFonts w:ascii="Arial"/>
                <w:sz w:val="21"/>
              </w:rPr>
            </w:pPr>
          </w:p>
        </w:tc>
        <w:tc>
          <w:tcPr>
            <w:tcW w:w="7374" w:type="dxa"/>
            <w:vAlign w:val="top"/>
          </w:tcPr>
          <w:p w14:paraId="45D61C9F">
            <w:pPr>
              <w:pageBreakBefore w:val="0"/>
              <w:kinsoku/>
              <w:topLinePunct w:val="0"/>
              <w:bidi w:val="0"/>
              <w:spacing w:before="147" w:line="263" w:lineRule="auto"/>
              <w:ind w:left="112" w:right="108" w:firstLine="1"/>
              <w:jc w:val="both"/>
              <w:rPr>
                <w:rFonts w:ascii="宋体" w:hAnsi="宋体" w:eastAsia="宋体" w:cs="宋体"/>
                <w:sz w:val="24"/>
                <w:szCs w:val="24"/>
              </w:rPr>
            </w:pPr>
            <w:r>
              <w:rPr>
                <w:rFonts w:hint="eastAsia" w:ascii="宋体" w:hAnsi="宋体" w:eastAsia="宋体" w:cs="宋体"/>
                <w:spacing w:val="-5"/>
                <w:sz w:val="24"/>
                <w:szCs w:val="24"/>
                <w:lang w:eastAsia="zh-CN"/>
              </w:rPr>
              <w:t>提供近期依法缴纳税收的证明（出具2024年</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lang w:eastAsia="zh-CN"/>
              </w:rPr>
              <w:t>月至今任意连续的三个月完税证明）；</w:t>
            </w:r>
            <w:r>
              <w:rPr>
                <w:rFonts w:hint="eastAsia" w:ascii="宋体" w:hAnsi="宋体" w:eastAsia="宋体" w:cs="宋体"/>
                <w:sz w:val="24"/>
                <w:szCs w:val="24"/>
                <w:lang w:eastAsia="zh-CN"/>
              </w:rPr>
              <w:t>新成立企业须提供企业成立以来的完税证明；</w:t>
            </w:r>
          </w:p>
        </w:tc>
      </w:tr>
      <w:tr w14:paraId="3B7F6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630" w:type="dxa"/>
            <w:vMerge w:val="continue"/>
            <w:textDirection w:val="tbRlV"/>
            <w:vAlign w:val="top"/>
          </w:tcPr>
          <w:p w14:paraId="5B9E2D8E">
            <w:pPr>
              <w:pageBreakBefore w:val="0"/>
              <w:kinsoku/>
              <w:topLinePunct w:val="0"/>
              <w:bidi w:val="0"/>
              <w:rPr>
                <w:rFonts w:ascii="Arial"/>
                <w:sz w:val="21"/>
              </w:rPr>
            </w:pPr>
          </w:p>
        </w:tc>
        <w:tc>
          <w:tcPr>
            <w:tcW w:w="7374" w:type="dxa"/>
            <w:vAlign w:val="top"/>
          </w:tcPr>
          <w:p w14:paraId="20754581">
            <w:pPr>
              <w:pageBreakBefore w:val="0"/>
              <w:kinsoku/>
              <w:topLinePunct w:val="0"/>
              <w:bidi w:val="0"/>
              <w:spacing w:before="72" w:line="247" w:lineRule="auto"/>
              <w:ind w:left="134" w:right="133" w:hanging="20"/>
              <w:rPr>
                <w:rFonts w:ascii="宋体" w:hAnsi="宋体" w:eastAsia="宋体" w:cs="宋体"/>
                <w:sz w:val="24"/>
                <w:szCs w:val="24"/>
              </w:rPr>
            </w:pPr>
            <w:r>
              <w:rPr>
                <w:rFonts w:hint="eastAsia" w:ascii="宋体" w:hAnsi="宋体" w:eastAsia="宋体" w:cs="宋体"/>
                <w:sz w:val="24"/>
                <w:szCs w:val="24"/>
                <w:lang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r>
      <w:tr w14:paraId="1A866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630" w:type="dxa"/>
            <w:vMerge w:val="continue"/>
            <w:vAlign w:val="top"/>
          </w:tcPr>
          <w:p w14:paraId="6394DF8D">
            <w:pPr>
              <w:pageBreakBefore w:val="0"/>
              <w:kinsoku/>
              <w:topLinePunct w:val="0"/>
              <w:bidi w:val="0"/>
              <w:rPr>
                <w:rFonts w:ascii="Arial"/>
                <w:sz w:val="21"/>
              </w:rPr>
            </w:pPr>
          </w:p>
        </w:tc>
        <w:tc>
          <w:tcPr>
            <w:tcW w:w="7374" w:type="dxa"/>
            <w:vAlign w:val="top"/>
          </w:tcPr>
          <w:p w14:paraId="764F5A0A">
            <w:pPr>
              <w:pageBreakBefore w:val="0"/>
              <w:kinsoku/>
              <w:topLinePunct w:val="0"/>
              <w:bidi w:val="0"/>
              <w:spacing w:before="72" w:line="247" w:lineRule="auto"/>
              <w:ind w:left="134" w:right="133" w:hanging="2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法定代表人参加应上传法定代表人身份证明和本人身份证；</w:t>
            </w:r>
            <w:r>
              <w:rPr>
                <w:rFonts w:hint="eastAsia" w:ascii="宋体" w:hAnsi="宋体" w:eastAsia="宋体" w:cs="宋体"/>
                <w:spacing w:val="-7"/>
                <w:sz w:val="24"/>
                <w:szCs w:val="24"/>
                <w:lang w:val="en-US" w:eastAsia="zh-CN"/>
              </w:rPr>
              <w:t>委托代理人参加应上传法定代表人身份证明、授权委托书、本人身份证；</w:t>
            </w:r>
          </w:p>
        </w:tc>
      </w:tr>
      <w:tr w14:paraId="71120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630" w:type="dxa"/>
            <w:vMerge w:val="continue"/>
            <w:vAlign w:val="top"/>
          </w:tcPr>
          <w:p w14:paraId="1D8CF66F">
            <w:pPr>
              <w:pageBreakBefore w:val="0"/>
              <w:kinsoku/>
              <w:topLinePunct w:val="0"/>
              <w:bidi w:val="0"/>
              <w:rPr>
                <w:rFonts w:ascii="Arial"/>
                <w:sz w:val="21"/>
              </w:rPr>
            </w:pPr>
          </w:p>
        </w:tc>
        <w:tc>
          <w:tcPr>
            <w:tcW w:w="7374" w:type="dxa"/>
            <w:vAlign w:val="top"/>
          </w:tcPr>
          <w:p w14:paraId="456A47E3">
            <w:pPr>
              <w:pageBreakBefore w:val="0"/>
              <w:kinsoku/>
              <w:topLinePunct w:val="0"/>
              <w:bidi w:val="0"/>
              <w:spacing w:before="72" w:line="264" w:lineRule="auto"/>
              <w:ind w:left="101" w:right="27" w:firstLine="23"/>
              <w:rPr>
                <w:rFonts w:ascii="宋体" w:hAnsi="宋体" w:eastAsia="宋体" w:cs="宋体"/>
                <w:sz w:val="24"/>
                <w:szCs w:val="24"/>
              </w:rPr>
            </w:pPr>
            <w:r>
              <w:rPr>
                <w:rFonts w:hint="eastAsia" w:ascii="宋体" w:hAnsi="宋体" w:eastAsia="宋体" w:cs="宋体"/>
                <w:spacing w:val="-5"/>
                <w:sz w:val="24"/>
                <w:szCs w:val="24"/>
                <w:lang w:val="en-US" w:eastAsia="zh-CN"/>
              </w:rPr>
              <w:t>供应商如在“信用中国”网站、中国政府采购网被列入严重违法失信行为记录名单的（尚在处罚期内的），将拒绝其参加本次政府采购活动。</w:t>
            </w:r>
          </w:p>
        </w:tc>
      </w:tr>
    </w:tbl>
    <w:p w14:paraId="454F2142">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b/>
          <w:bCs/>
          <w:spacing w:val="-3"/>
          <w:sz w:val="24"/>
          <w:szCs w:val="24"/>
        </w:rPr>
        <w:t>2.2 符合性审查：</w:t>
      </w:r>
      <w:r>
        <w:rPr>
          <w:rFonts w:ascii="宋体" w:hAnsi="宋体" w:eastAsia="宋体" w:cs="宋体"/>
          <w:spacing w:val="-3"/>
          <w:sz w:val="24"/>
          <w:szCs w:val="24"/>
        </w:rPr>
        <w:t>依据《磋商文件》的规定，从《磋商响应文件》的有效性、完整性和对《磋商文件》的响应程度进行审查，以确定是否对《磋商文件》的实质性要求做出响应。</w:t>
      </w:r>
    </w:p>
    <w:p w14:paraId="73EC5D06">
      <w:pPr>
        <w:keepNext w:val="0"/>
        <w:keepLines w:val="0"/>
        <w:pageBreakBefore w:val="0"/>
        <w:widowControl/>
        <w:kinsoku/>
        <w:wordWrap/>
        <w:overflowPunct/>
        <w:topLinePunct w:val="0"/>
        <w:autoSpaceDE w:val="0"/>
        <w:autoSpaceDN w:val="0"/>
        <w:bidi w:val="0"/>
        <w:adjustRightInd w:val="0"/>
        <w:snapToGrid w:val="0"/>
        <w:spacing w:before="178" w:line="360" w:lineRule="exact"/>
        <w:ind w:right="59" w:firstLine="498"/>
        <w:textAlignment w:val="baseline"/>
        <w:rPr>
          <w:rFonts w:ascii="宋体" w:hAnsi="宋体" w:eastAsia="宋体" w:cs="宋体"/>
          <w:spacing w:val="-3"/>
          <w:sz w:val="24"/>
          <w:szCs w:val="24"/>
        </w:rPr>
      </w:pPr>
      <w:r>
        <w:rPr>
          <w:rFonts w:ascii="宋体" w:hAnsi="宋体" w:eastAsia="宋体" w:cs="宋体"/>
          <w:spacing w:val="-3"/>
          <w:sz w:val="24"/>
          <w:szCs w:val="24"/>
        </w:rPr>
        <w:t>符合性审查时有下列情形之一的，由磋商小组按无效《磋商响应文件》处理：</w:t>
      </w:r>
    </w:p>
    <w:p w14:paraId="7857F4FF">
      <w:pPr>
        <w:keepNext w:val="0"/>
        <w:keepLines w:val="0"/>
        <w:pageBreakBefore w:val="0"/>
        <w:widowControl/>
        <w:kinsoku/>
        <w:wordWrap/>
        <w:overflowPunct/>
        <w:topLinePunct w:val="0"/>
        <w:autoSpaceDE w:val="0"/>
        <w:autoSpaceDN w:val="0"/>
        <w:bidi w:val="0"/>
        <w:adjustRightInd w:val="0"/>
        <w:snapToGrid w:val="0"/>
        <w:spacing w:before="180" w:line="360" w:lineRule="exact"/>
        <w:ind w:left="605"/>
        <w:textAlignment w:val="baseline"/>
        <w:rPr>
          <w:rFonts w:ascii="宋体" w:hAnsi="宋体" w:eastAsia="宋体" w:cs="宋体"/>
          <w:spacing w:val="-2"/>
          <w:sz w:val="24"/>
          <w:szCs w:val="24"/>
        </w:rPr>
      </w:pPr>
      <w:r>
        <w:rPr>
          <w:rFonts w:ascii="宋体" w:hAnsi="宋体" w:eastAsia="宋体" w:cs="宋体"/>
          <w:spacing w:val="-2"/>
          <w:sz w:val="24"/>
          <w:szCs w:val="24"/>
        </w:rPr>
        <w:t>符合性审查表：</w:t>
      </w:r>
    </w:p>
    <w:p w14:paraId="02BB0692">
      <w:pPr>
        <w:keepNext w:val="0"/>
        <w:keepLines w:val="0"/>
        <w:pageBreakBefore w:val="0"/>
        <w:widowControl/>
        <w:kinsoku/>
        <w:wordWrap/>
        <w:overflowPunct/>
        <w:topLinePunct w:val="0"/>
        <w:autoSpaceDE w:val="0"/>
        <w:autoSpaceDN w:val="0"/>
        <w:bidi w:val="0"/>
        <w:adjustRightInd w:val="0"/>
        <w:snapToGrid w:val="0"/>
        <w:spacing w:before="180" w:line="360" w:lineRule="exact"/>
        <w:ind w:left="605"/>
        <w:textAlignment w:val="baseline"/>
        <w:rPr>
          <w:rFonts w:ascii="宋体" w:hAnsi="宋体" w:eastAsia="宋体" w:cs="宋体"/>
          <w:spacing w:val="-2"/>
          <w:sz w:val="24"/>
          <w:szCs w:val="24"/>
        </w:rPr>
      </w:pPr>
    </w:p>
    <w:tbl>
      <w:tblPr>
        <w:tblStyle w:val="19"/>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2"/>
        <w:gridCol w:w="7587"/>
      </w:tblGrid>
      <w:tr w14:paraId="6FA8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632" w:type="dxa"/>
            <w:vAlign w:val="top"/>
          </w:tcPr>
          <w:p w14:paraId="7ED78E6E">
            <w:pPr>
              <w:keepNext w:val="0"/>
              <w:keepLines w:val="0"/>
              <w:pageBreakBefore w:val="0"/>
              <w:widowControl/>
              <w:kinsoku/>
              <w:wordWrap/>
              <w:overflowPunct/>
              <w:topLinePunct w:val="0"/>
              <w:autoSpaceDE w:val="0"/>
              <w:autoSpaceDN w:val="0"/>
              <w:bidi w:val="0"/>
              <w:adjustRightInd w:val="0"/>
              <w:snapToGrid w:val="0"/>
              <w:spacing w:before="128" w:line="360" w:lineRule="exact"/>
              <w:ind w:left="429"/>
              <w:textAlignment w:val="baseline"/>
              <w:rPr>
                <w:rFonts w:ascii="宋体" w:hAnsi="宋体" w:eastAsia="宋体" w:cs="宋体"/>
                <w:sz w:val="24"/>
                <w:szCs w:val="24"/>
              </w:rPr>
            </w:pPr>
            <w:r>
              <w:rPr>
                <w:rFonts w:ascii="宋体" w:hAnsi="宋体" w:eastAsia="宋体" w:cs="宋体"/>
                <w:spacing w:val="-3"/>
                <w:sz w:val="24"/>
                <w:szCs w:val="24"/>
              </w:rPr>
              <w:t>评审内容</w:t>
            </w:r>
          </w:p>
        </w:tc>
        <w:tc>
          <w:tcPr>
            <w:tcW w:w="7587" w:type="dxa"/>
            <w:vAlign w:val="top"/>
          </w:tcPr>
          <w:p w14:paraId="3F5DCAA7">
            <w:pPr>
              <w:keepNext w:val="0"/>
              <w:keepLines w:val="0"/>
              <w:pageBreakBefore w:val="0"/>
              <w:widowControl/>
              <w:kinsoku/>
              <w:wordWrap/>
              <w:overflowPunct/>
              <w:topLinePunct w:val="0"/>
              <w:autoSpaceDE w:val="0"/>
              <w:autoSpaceDN w:val="0"/>
              <w:bidi w:val="0"/>
              <w:adjustRightInd w:val="0"/>
              <w:snapToGrid w:val="0"/>
              <w:spacing w:before="128" w:line="360" w:lineRule="exact"/>
              <w:jc w:val="center"/>
              <w:textAlignment w:val="baseline"/>
              <w:rPr>
                <w:rFonts w:ascii="宋体" w:hAnsi="宋体" w:eastAsia="宋体" w:cs="宋体"/>
                <w:sz w:val="24"/>
                <w:szCs w:val="24"/>
              </w:rPr>
            </w:pPr>
            <w:r>
              <w:rPr>
                <w:rFonts w:hint="eastAsia" w:ascii="宋体" w:hAnsi="宋体" w:eastAsia="宋体" w:cs="宋体"/>
                <w:b/>
                <w:bCs/>
                <w:spacing w:val="-3"/>
                <w:sz w:val="24"/>
                <w:szCs w:val="24"/>
                <w:lang w:eastAsia="zh-CN"/>
              </w:rPr>
              <w:t>商务</w:t>
            </w:r>
            <w:r>
              <w:rPr>
                <w:rFonts w:ascii="宋体" w:hAnsi="宋体" w:eastAsia="宋体" w:cs="宋体"/>
                <w:b/>
                <w:bCs/>
                <w:spacing w:val="-3"/>
                <w:sz w:val="24"/>
                <w:szCs w:val="24"/>
              </w:rPr>
              <w:t>评审</w:t>
            </w:r>
          </w:p>
        </w:tc>
      </w:tr>
      <w:tr w14:paraId="06985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632" w:type="dxa"/>
            <w:vMerge w:val="restart"/>
            <w:vAlign w:val="center"/>
          </w:tcPr>
          <w:p w14:paraId="3D253FE1">
            <w:pPr>
              <w:keepNext w:val="0"/>
              <w:keepLines w:val="0"/>
              <w:pageBreakBefore w:val="0"/>
              <w:widowControl/>
              <w:kinsoku/>
              <w:wordWrap/>
              <w:overflowPunct/>
              <w:topLinePunct w:val="0"/>
              <w:autoSpaceDE w:val="0"/>
              <w:autoSpaceDN w:val="0"/>
              <w:bidi w:val="0"/>
              <w:adjustRightInd w:val="0"/>
              <w:snapToGrid w:val="0"/>
              <w:spacing w:before="78" w:line="360" w:lineRule="exact"/>
              <w:jc w:val="center"/>
              <w:textAlignment w:val="baseline"/>
              <w:rPr>
                <w:rFonts w:ascii="宋体" w:hAnsi="宋体" w:eastAsia="宋体" w:cs="宋体"/>
                <w:sz w:val="24"/>
                <w:szCs w:val="24"/>
              </w:rPr>
            </w:pPr>
            <w:r>
              <w:rPr>
                <w:rFonts w:ascii="宋体" w:hAnsi="宋体" w:eastAsia="宋体" w:cs="宋体"/>
                <w:spacing w:val="-4"/>
                <w:sz w:val="24"/>
                <w:szCs w:val="24"/>
              </w:rPr>
              <w:t>符合性</w:t>
            </w:r>
            <w:r>
              <w:rPr>
                <w:rFonts w:ascii="宋体" w:hAnsi="宋体" w:eastAsia="宋体" w:cs="宋体"/>
                <w:spacing w:val="-5"/>
                <w:sz w:val="24"/>
                <w:szCs w:val="24"/>
              </w:rPr>
              <w:t>检查</w:t>
            </w:r>
          </w:p>
        </w:tc>
        <w:tc>
          <w:tcPr>
            <w:tcW w:w="7587" w:type="dxa"/>
            <w:vAlign w:val="top"/>
          </w:tcPr>
          <w:p w14:paraId="0D59BBBC">
            <w:pPr>
              <w:keepNext w:val="0"/>
              <w:keepLines w:val="0"/>
              <w:pageBreakBefore w:val="0"/>
              <w:widowControl/>
              <w:kinsoku/>
              <w:wordWrap/>
              <w:overflowPunct/>
              <w:topLinePunct w:val="0"/>
              <w:autoSpaceDE w:val="0"/>
              <w:autoSpaceDN w:val="0"/>
              <w:bidi w:val="0"/>
              <w:adjustRightInd w:val="0"/>
              <w:snapToGrid w:val="0"/>
              <w:spacing w:before="132" w:line="360" w:lineRule="exact"/>
              <w:textAlignment w:val="baseline"/>
              <w:rPr>
                <w:rFonts w:ascii="宋体" w:hAnsi="宋体" w:eastAsia="宋体" w:cs="宋体"/>
                <w:sz w:val="24"/>
                <w:szCs w:val="24"/>
              </w:rPr>
            </w:pPr>
            <w:r>
              <w:rPr>
                <w:rFonts w:ascii="宋体" w:hAnsi="宋体" w:eastAsia="宋体" w:cs="宋体"/>
                <w:sz w:val="24"/>
                <w:szCs w:val="24"/>
              </w:rPr>
              <w:t>《磋商文件》中要求的法人代表或被授权代表签字处未签字、</w:t>
            </w:r>
            <w:r>
              <w:rPr>
                <w:rFonts w:hint="eastAsia" w:ascii="宋体" w:hAnsi="宋体" w:eastAsia="宋体" w:cs="宋体"/>
                <w:sz w:val="24"/>
                <w:szCs w:val="24"/>
                <w:lang w:eastAsia="zh-CN"/>
              </w:rPr>
              <w:t>供应商</w:t>
            </w:r>
            <w:r>
              <w:rPr>
                <w:rFonts w:ascii="宋体" w:hAnsi="宋体" w:eastAsia="宋体" w:cs="宋体"/>
                <w:sz w:val="24"/>
                <w:szCs w:val="24"/>
              </w:rPr>
              <w:t>未加盖公章的；</w:t>
            </w:r>
          </w:p>
        </w:tc>
      </w:tr>
      <w:tr w14:paraId="7F68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632" w:type="dxa"/>
            <w:vMerge w:val="continue"/>
            <w:vAlign w:val="top"/>
          </w:tcPr>
          <w:p w14:paraId="28D87DB6">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6D64414E">
            <w:pPr>
              <w:keepNext w:val="0"/>
              <w:keepLines w:val="0"/>
              <w:pageBreakBefore w:val="0"/>
              <w:widowControl/>
              <w:kinsoku/>
              <w:wordWrap/>
              <w:overflowPunct/>
              <w:topLinePunct w:val="0"/>
              <w:autoSpaceDE w:val="0"/>
              <w:autoSpaceDN w:val="0"/>
              <w:bidi w:val="0"/>
              <w:adjustRightInd w:val="0"/>
              <w:snapToGrid w:val="0"/>
              <w:spacing w:before="232" w:line="360" w:lineRule="exact"/>
              <w:textAlignment w:val="baseline"/>
              <w:rPr>
                <w:rFonts w:ascii="宋体" w:hAnsi="宋体" w:eastAsia="宋体" w:cs="宋体"/>
                <w:sz w:val="24"/>
                <w:szCs w:val="24"/>
              </w:rPr>
            </w:pPr>
            <w:r>
              <w:rPr>
                <w:rFonts w:ascii="宋体" w:hAnsi="宋体" w:eastAsia="宋体" w:cs="宋体"/>
                <w:spacing w:val="-3"/>
                <w:sz w:val="24"/>
                <w:szCs w:val="24"/>
              </w:rPr>
              <w:t>《磋商响应文件》填写潦草，字迹或数据难以辨认的；</w:t>
            </w:r>
          </w:p>
        </w:tc>
      </w:tr>
      <w:tr w14:paraId="490F7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32" w:type="dxa"/>
            <w:vMerge w:val="continue"/>
            <w:vAlign w:val="top"/>
          </w:tcPr>
          <w:p w14:paraId="1F90A0EA">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21D2421A">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ascii="宋体" w:hAnsi="宋体" w:eastAsia="宋体" w:cs="宋体"/>
                <w:sz w:val="24"/>
                <w:szCs w:val="24"/>
              </w:rPr>
            </w:pPr>
            <w:r>
              <w:rPr>
                <w:rFonts w:hint="eastAsia" w:ascii="宋体" w:hAnsi="宋体" w:eastAsia="宋体" w:cs="宋体"/>
                <w:sz w:val="24"/>
                <w:szCs w:val="24"/>
                <w:lang w:eastAsia="zh-CN"/>
              </w:rPr>
              <w:t>是否符合磋商文件资格要求；</w:t>
            </w:r>
          </w:p>
        </w:tc>
      </w:tr>
      <w:tr w14:paraId="4FA35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632" w:type="dxa"/>
            <w:vMerge w:val="continue"/>
            <w:vAlign w:val="top"/>
          </w:tcPr>
          <w:p w14:paraId="31726CD7">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3F8A4C85">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ascii="宋体" w:hAnsi="宋体" w:eastAsia="宋体" w:cs="宋体"/>
                <w:sz w:val="24"/>
                <w:szCs w:val="24"/>
              </w:rPr>
            </w:pPr>
            <w:r>
              <w:rPr>
                <w:rFonts w:ascii="宋体" w:hAnsi="宋体" w:eastAsia="宋体" w:cs="宋体"/>
                <w:spacing w:val="-3"/>
                <w:sz w:val="24"/>
                <w:szCs w:val="24"/>
              </w:rPr>
              <w:t>《磋商响应文件》未按照《磋商文件》规定要求签署、盖章的；</w:t>
            </w:r>
          </w:p>
        </w:tc>
      </w:tr>
      <w:tr w14:paraId="31127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632" w:type="dxa"/>
            <w:vMerge w:val="continue"/>
            <w:vAlign w:val="top"/>
          </w:tcPr>
          <w:p w14:paraId="00D0DB1A">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1A05A452">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对于有</w:t>
            </w:r>
            <w:r>
              <w:rPr>
                <w:rFonts w:hint="eastAsia" w:ascii="宋体" w:hAnsi="宋体" w:eastAsia="宋体" w:cs="宋体"/>
                <w:spacing w:val="-3"/>
                <w:sz w:val="24"/>
                <w:szCs w:val="24"/>
                <w:lang w:eastAsia="zh-CN"/>
              </w:rPr>
              <w:t>特定</w:t>
            </w:r>
            <w:r>
              <w:rPr>
                <w:rFonts w:ascii="宋体" w:hAnsi="宋体" w:eastAsia="宋体" w:cs="宋体"/>
                <w:spacing w:val="-3"/>
                <w:sz w:val="24"/>
                <w:szCs w:val="24"/>
              </w:rPr>
              <w:t>格式要求的，不允许改动其内容</w:t>
            </w:r>
            <w:r>
              <w:rPr>
                <w:rFonts w:hint="eastAsia" w:ascii="宋体" w:hAnsi="宋体" w:eastAsia="宋体" w:cs="宋体"/>
                <w:spacing w:val="-3"/>
                <w:sz w:val="24"/>
                <w:szCs w:val="24"/>
                <w:lang w:eastAsia="zh-CN"/>
              </w:rPr>
              <w:t>；</w:t>
            </w:r>
          </w:p>
        </w:tc>
      </w:tr>
      <w:tr w14:paraId="6AA17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632" w:type="dxa"/>
            <w:vMerge w:val="continue"/>
            <w:vAlign w:val="top"/>
          </w:tcPr>
          <w:p w14:paraId="5F8B0B2D">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190D07A4">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ascii="宋体" w:hAnsi="宋体" w:eastAsia="宋体" w:cs="宋体"/>
                <w:sz w:val="24"/>
                <w:szCs w:val="24"/>
              </w:rPr>
            </w:pPr>
            <w:r>
              <w:rPr>
                <w:rFonts w:ascii="宋体" w:hAnsi="宋体" w:eastAsia="宋体" w:cs="宋体"/>
                <w:spacing w:val="-3"/>
                <w:sz w:val="24"/>
                <w:szCs w:val="24"/>
              </w:rPr>
              <w:t>《磋商响应文件》</w:t>
            </w:r>
            <w:r>
              <w:rPr>
                <w:rFonts w:hint="eastAsia" w:ascii="宋体" w:hAnsi="宋体" w:eastAsia="宋体" w:cs="宋体"/>
                <w:spacing w:val="-3"/>
                <w:sz w:val="24"/>
                <w:szCs w:val="24"/>
                <w:lang w:eastAsia="zh-CN"/>
              </w:rPr>
              <w:t>需求</w:t>
            </w:r>
            <w:r>
              <w:rPr>
                <w:rFonts w:ascii="宋体" w:hAnsi="宋体" w:eastAsia="宋体" w:cs="宋体"/>
                <w:spacing w:val="-3"/>
                <w:sz w:val="24"/>
                <w:szCs w:val="24"/>
              </w:rPr>
              <w:t>项不完整，填写漏项，无法确认供应商责任或</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意向的；</w:t>
            </w:r>
          </w:p>
        </w:tc>
      </w:tr>
      <w:tr w14:paraId="32F8C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32" w:type="dxa"/>
            <w:vMerge w:val="continue"/>
            <w:vAlign w:val="top"/>
          </w:tcPr>
          <w:p w14:paraId="437DA866">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689C1237">
            <w:pPr>
              <w:keepNext w:val="0"/>
              <w:keepLines w:val="0"/>
              <w:pageBreakBefore w:val="0"/>
              <w:widowControl/>
              <w:kinsoku/>
              <w:wordWrap/>
              <w:overflowPunct/>
              <w:topLinePunct w:val="0"/>
              <w:autoSpaceDE w:val="0"/>
              <w:autoSpaceDN w:val="0"/>
              <w:bidi w:val="0"/>
              <w:adjustRightInd w:val="0"/>
              <w:snapToGrid w:val="0"/>
              <w:spacing w:before="178" w:line="360" w:lineRule="exact"/>
              <w:ind w:right="59"/>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技术审查</w:t>
            </w:r>
          </w:p>
        </w:tc>
      </w:tr>
      <w:tr w14:paraId="77BFF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632" w:type="dxa"/>
            <w:vMerge w:val="continue"/>
            <w:vAlign w:val="top"/>
          </w:tcPr>
          <w:p w14:paraId="64CC5863">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4CCE1C29">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ascii="宋体" w:hAnsi="宋体" w:eastAsia="宋体" w:cs="宋体"/>
                <w:sz w:val="24"/>
                <w:szCs w:val="24"/>
              </w:rPr>
            </w:pPr>
            <w:r>
              <w:rPr>
                <w:rFonts w:ascii="宋体" w:hAnsi="宋体" w:eastAsia="宋体" w:cs="宋体"/>
                <w:spacing w:val="-3"/>
                <w:sz w:val="24"/>
                <w:szCs w:val="24"/>
              </w:rPr>
              <w:t>《磋商响应文件》内容不真实，提供虚假证明文件、虚假技术参数的；</w:t>
            </w:r>
          </w:p>
        </w:tc>
      </w:tr>
      <w:tr w14:paraId="5889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632" w:type="dxa"/>
            <w:vMerge w:val="continue"/>
            <w:vAlign w:val="top"/>
          </w:tcPr>
          <w:p w14:paraId="7AABEC4F">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4F0845A4">
            <w:pPr>
              <w:keepNext w:val="0"/>
              <w:keepLines w:val="0"/>
              <w:pageBreakBefore w:val="0"/>
              <w:widowControl/>
              <w:kinsoku/>
              <w:wordWrap/>
              <w:overflowPunct/>
              <w:topLinePunct w:val="0"/>
              <w:autoSpaceDE w:val="0"/>
              <w:autoSpaceDN w:val="0"/>
              <w:bidi w:val="0"/>
              <w:adjustRightInd w:val="0"/>
              <w:snapToGrid w:val="0"/>
              <w:spacing w:before="155" w:line="360" w:lineRule="exact"/>
              <w:textAlignment w:val="baseline"/>
              <w:rPr>
                <w:rFonts w:ascii="宋体" w:hAnsi="宋体" w:eastAsia="宋体" w:cs="宋体"/>
                <w:sz w:val="24"/>
                <w:szCs w:val="24"/>
              </w:rPr>
            </w:pPr>
            <w:r>
              <w:rPr>
                <w:rFonts w:ascii="宋体" w:hAnsi="宋体" w:eastAsia="宋体" w:cs="宋体"/>
                <w:spacing w:val="-3"/>
                <w:sz w:val="24"/>
                <w:szCs w:val="24"/>
              </w:rPr>
              <w:t>《磋商响应文件》附有采购人不能接受的条件；</w:t>
            </w:r>
          </w:p>
        </w:tc>
      </w:tr>
      <w:tr w14:paraId="7C4E4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32" w:type="dxa"/>
            <w:vMerge w:val="continue"/>
            <w:vAlign w:val="top"/>
          </w:tcPr>
          <w:p w14:paraId="5711E137">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29719B09">
            <w:pPr>
              <w:keepNext w:val="0"/>
              <w:keepLines w:val="0"/>
              <w:pageBreakBefore w:val="0"/>
              <w:widowControl/>
              <w:kinsoku/>
              <w:wordWrap/>
              <w:overflowPunct/>
              <w:topLinePunct w:val="0"/>
              <w:autoSpaceDE w:val="0"/>
              <w:autoSpaceDN w:val="0"/>
              <w:bidi w:val="0"/>
              <w:adjustRightInd w:val="0"/>
              <w:snapToGrid w:val="0"/>
              <w:spacing w:before="166" w:line="360" w:lineRule="exact"/>
              <w:ind w:left="114"/>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rPr>
              <w:t>不符合</w:t>
            </w:r>
            <w:r>
              <w:rPr>
                <w:rFonts w:hint="eastAsia" w:ascii="宋体" w:hAnsi="宋体" w:eastAsia="宋体" w:cs="宋体"/>
                <w:spacing w:val="-3"/>
                <w:sz w:val="24"/>
                <w:szCs w:val="24"/>
                <w:lang w:eastAsia="zh-CN"/>
              </w:rPr>
              <w:t>法律法规</w:t>
            </w:r>
            <w:r>
              <w:rPr>
                <w:rFonts w:hint="eastAsia" w:ascii="宋体" w:hAnsi="宋体" w:eastAsia="宋体" w:cs="宋体"/>
                <w:spacing w:val="-3"/>
                <w:sz w:val="24"/>
                <w:szCs w:val="24"/>
              </w:rPr>
              <w:t>和</w:t>
            </w:r>
            <w:r>
              <w:rPr>
                <w:rFonts w:hint="eastAsia" w:ascii="宋体" w:hAnsi="宋体" w:eastAsia="宋体" w:cs="宋体"/>
                <w:spacing w:val="-3"/>
                <w:sz w:val="24"/>
                <w:szCs w:val="24"/>
                <w:lang w:eastAsia="zh-CN"/>
              </w:rPr>
              <w:t>磋商</w:t>
            </w:r>
            <w:r>
              <w:rPr>
                <w:rFonts w:hint="eastAsia" w:ascii="宋体" w:hAnsi="宋体" w:eastAsia="宋体" w:cs="宋体"/>
                <w:spacing w:val="-3"/>
                <w:sz w:val="24"/>
                <w:szCs w:val="24"/>
              </w:rPr>
              <w:t>文件中规定的其他要求的</w:t>
            </w:r>
            <w:r>
              <w:rPr>
                <w:rFonts w:hint="eastAsia" w:ascii="宋体" w:hAnsi="宋体" w:eastAsia="宋体" w:cs="宋体"/>
                <w:spacing w:val="-3"/>
                <w:sz w:val="24"/>
                <w:szCs w:val="24"/>
                <w:lang w:eastAsia="zh-CN"/>
              </w:rPr>
              <w:t>；</w:t>
            </w:r>
          </w:p>
        </w:tc>
      </w:tr>
      <w:tr w14:paraId="1BED7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32" w:type="dxa"/>
            <w:vMerge w:val="continue"/>
            <w:vAlign w:val="top"/>
          </w:tcPr>
          <w:p w14:paraId="6B979DF8">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0FE8015C">
            <w:pPr>
              <w:keepNext w:val="0"/>
              <w:keepLines w:val="0"/>
              <w:pageBreakBefore w:val="0"/>
              <w:widowControl/>
              <w:kinsoku/>
              <w:wordWrap/>
              <w:overflowPunct/>
              <w:topLinePunct w:val="0"/>
              <w:autoSpaceDE w:val="0"/>
              <w:autoSpaceDN w:val="0"/>
              <w:bidi w:val="0"/>
              <w:adjustRightInd w:val="0"/>
              <w:snapToGrid w:val="0"/>
              <w:spacing w:before="166" w:line="360" w:lineRule="exact"/>
              <w:ind w:left="114"/>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报价审查</w:t>
            </w:r>
          </w:p>
        </w:tc>
      </w:tr>
      <w:tr w14:paraId="404A3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632" w:type="dxa"/>
            <w:vMerge w:val="continue"/>
            <w:vAlign w:val="top"/>
          </w:tcPr>
          <w:p w14:paraId="3985F3FB">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5FC73975">
            <w:pPr>
              <w:pageBreakBefore w:val="0"/>
              <w:kinsoku/>
              <w:wordWrap/>
              <w:topLinePunct w:val="0"/>
              <w:bidi w:val="0"/>
              <w:spacing w:before="182" w:line="359" w:lineRule="auto"/>
              <w:jc w:val="both"/>
              <w:rPr>
                <w:rFonts w:hint="eastAsia" w:ascii="宋体" w:hAnsi="宋体" w:eastAsia="宋体" w:cs="宋体"/>
                <w:spacing w:val="-3"/>
                <w:sz w:val="24"/>
                <w:szCs w:val="24"/>
              </w:rPr>
            </w:pPr>
            <w:r>
              <w:rPr>
                <w:rFonts w:hint="eastAsia" w:ascii="宋体" w:hAnsi="宋体" w:eastAsia="宋体" w:cs="宋体"/>
                <w:spacing w:val="1"/>
                <w:sz w:val="24"/>
                <w:szCs w:val="24"/>
              </w:rPr>
              <w:t>报价超过</w:t>
            </w:r>
            <w:r>
              <w:rPr>
                <w:rFonts w:hint="eastAsia" w:ascii="宋体" w:hAnsi="宋体" w:eastAsia="宋体" w:cs="宋体"/>
                <w:spacing w:val="1"/>
                <w:sz w:val="24"/>
                <w:szCs w:val="24"/>
                <w:lang w:eastAsia="zh-CN"/>
              </w:rPr>
              <w:t>磋商文件</w:t>
            </w:r>
            <w:r>
              <w:rPr>
                <w:rFonts w:hint="eastAsia" w:ascii="宋体" w:hAnsi="宋体" w:eastAsia="宋体" w:cs="宋体"/>
                <w:spacing w:val="1"/>
                <w:sz w:val="24"/>
                <w:szCs w:val="24"/>
              </w:rPr>
              <w:t>中规定的预算金额或者最高限价的</w:t>
            </w:r>
            <w:r>
              <w:rPr>
                <w:rFonts w:hint="eastAsia" w:ascii="宋体" w:hAnsi="宋体" w:eastAsia="宋体" w:cs="宋体"/>
                <w:spacing w:val="1"/>
                <w:sz w:val="24"/>
                <w:szCs w:val="24"/>
                <w:lang w:val="en-US" w:eastAsia="zh-CN"/>
              </w:rPr>
              <w:t>；</w:t>
            </w:r>
          </w:p>
        </w:tc>
      </w:tr>
      <w:tr w14:paraId="143A3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632" w:type="dxa"/>
            <w:vMerge w:val="continue"/>
            <w:tcBorders>
              <w:bottom w:val="single" w:color="auto" w:sz="4" w:space="0"/>
            </w:tcBorders>
            <w:vAlign w:val="top"/>
          </w:tcPr>
          <w:p w14:paraId="235E58C8">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32A86924">
            <w:pPr>
              <w:pageBreakBefore w:val="0"/>
              <w:kinsoku/>
              <w:wordWrap/>
              <w:topLinePunct w:val="0"/>
              <w:bidi w:val="0"/>
              <w:spacing w:before="182" w:line="359" w:lineRule="auto"/>
              <w:jc w:val="both"/>
              <w:rPr>
                <w:rFonts w:hint="eastAsia" w:ascii="宋体" w:hAnsi="宋体" w:eastAsia="宋体" w:cs="宋体"/>
                <w:spacing w:val="-3"/>
                <w:sz w:val="24"/>
                <w:szCs w:val="24"/>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对</w:t>
            </w:r>
            <w:r>
              <w:rPr>
                <w:rFonts w:hint="eastAsia" w:ascii="宋体" w:hAnsi="宋体" w:eastAsia="宋体" w:cs="宋体"/>
                <w:spacing w:val="1"/>
                <w:sz w:val="24"/>
                <w:szCs w:val="24"/>
                <w:lang w:eastAsia="zh-CN"/>
              </w:rPr>
              <w:t>采购需求内容</w:t>
            </w:r>
            <w:r>
              <w:rPr>
                <w:rFonts w:hint="eastAsia" w:ascii="宋体" w:hAnsi="宋体" w:eastAsia="宋体" w:cs="宋体"/>
                <w:spacing w:val="1"/>
                <w:sz w:val="24"/>
                <w:szCs w:val="24"/>
              </w:rPr>
              <w:t>只允许有一个报价，不接受选择性报价</w:t>
            </w:r>
            <w:r>
              <w:rPr>
                <w:rFonts w:hint="eastAsia" w:ascii="宋体" w:hAnsi="宋体" w:eastAsia="宋体" w:cs="宋体"/>
                <w:spacing w:val="1"/>
                <w:sz w:val="24"/>
                <w:szCs w:val="24"/>
                <w:lang w:eastAsia="zh-CN"/>
              </w:rPr>
              <w:t>。</w:t>
            </w:r>
          </w:p>
        </w:tc>
      </w:tr>
    </w:tbl>
    <w:p w14:paraId="2044AB4C">
      <w:pPr>
        <w:pageBreakBefore w:val="0"/>
        <w:kinsoku/>
        <w:topLinePunct w:val="0"/>
        <w:bidi w:val="0"/>
        <w:spacing w:before="34" w:line="220" w:lineRule="auto"/>
        <w:ind w:left="607"/>
        <w:outlineLvl w:val="9"/>
        <w:rPr>
          <w:rFonts w:ascii="宋体" w:hAnsi="宋体" w:eastAsia="宋体" w:cs="宋体"/>
          <w:spacing w:val="-2"/>
          <w:sz w:val="24"/>
          <w:szCs w:val="24"/>
          <w14:textOutline w14:w="4358" w14:cap="sq" w14:cmpd="sng">
            <w14:solidFill>
              <w14:srgbClr w14:val="000000"/>
            </w14:solidFill>
            <w14:prstDash w14:val="solid"/>
            <w14:bevel/>
          </w14:textOutline>
        </w:rPr>
      </w:pPr>
    </w:p>
    <w:p w14:paraId="65ED01DB">
      <w:pPr>
        <w:pageBreakBefore w:val="0"/>
        <w:kinsoku/>
        <w:topLinePunct w:val="0"/>
        <w:bidi w:val="0"/>
        <w:spacing w:before="34" w:line="220" w:lineRule="auto"/>
        <w:ind w:left="607"/>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3.详细评审：</w:t>
      </w:r>
    </w:p>
    <w:p w14:paraId="4A45768B">
      <w:pPr>
        <w:pageBreakBefore w:val="0"/>
        <w:kinsoku/>
        <w:wordWrap/>
        <w:topLinePunct w:val="0"/>
        <w:bidi w:val="0"/>
        <w:spacing w:before="182" w:line="359" w:lineRule="auto"/>
        <w:ind w:left="122" w:firstLine="485"/>
        <w:jc w:val="both"/>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46"/>
          <w:sz w:val="24"/>
          <w:szCs w:val="24"/>
        </w:rPr>
        <w:t xml:space="preserve"> </w:t>
      </w:r>
      <w:r>
        <w:rPr>
          <w:rFonts w:ascii="宋体" w:hAnsi="宋体" w:eastAsia="宋体" w:cs="宋体"/>
          <w:spacing w:val="1"/>
          <w:sz w:val="24"/>
          <w:szCs w:val="24"/>
        </w:rPr>
        <w:t>磋商小组将只要求通过了“资格性检查和符合性检查</w:t>
      </w:r>
      <w:r>
        <w:rPr>
          <w:rFonts w:ascii="宋体" w:hAnsi="宋体" w:eastAsia="宋体" w:cs="宋体"/>
          <w:spacing w:val="-85"/>
          <w:sz w:val="24"/>
          <w:szCs w:val="24"/>
        </w:rPr>
        <w:t xml:space="preserve"> </w:t>
      </w:r>
      <w:r>
        <w:rPr>
          <w:rFonts w:ascii="宋体" w:hAnsi="宋体" w:eastAsia="宋体" w:cs="宋体"/>
          <w:spacing w:val="1"/>
          <w:sz w:val="24"/>
          <w:szCs w:val="24"/>
        </w:rPr>
        <w:t>”的供应商进行磋商报价</w:t>
      </w:r>
      <w:r>
        <w:rPr>
          <w:rFonts w:hint="eastAsia" w:ascii="宋体" w:hAnsi="宋体" w:eastAsia="宋体" w:cs="宋体"/>
          <w:spacing w:val="1"/>
          <w:sz w:val="24"/>
          <w:szCs w:val="24"/>
          <w:lang w:eastAsia="zh-CN"/>
        </w:rPr>
        <w:t>（</w:t>
      </w:r>
      <w:r>
        <w:rPr>
          <w:rFonts w:ascii="宋体" w:hAnsi="宋体" w:eastAsia="宋体" w:cs="宋体"/>
          <w:spacing w:val="1"/>
          <w:sz w:val="24"/>
          <w:szCs w:val="24"/>
        </w:rPr>
        <w:t>现</w:t>
      </w:r>
      <w:r>
        <w:rPr>
          <w:rFonts w:ascii="宋体" w:hAnsi="宋体" w:eastAsia="宋体" w:cs="宋体"/>
          <w:sz w:val="24"/>
          <w:szCs w:val="24"/>
        </w:rPr>
        <w:t xml:space="preserve"> </w:t>
      </w:r>
      <w:r>
        <w:rPr>
          <w:rFonts w:ascii="宋体" w:hAnsi="宋体" w:eastAsia="宋体" w:cs="宋体"/>
          <w:spacing w:val="1"/>
          <w:sz w:val="24"/>
          <w:szCs w:val="24"/>
        </w:rPr>
        <w:t>场磋商报价原则上为一轮报价，若采购人有要求可增加轮次</w:t>
      </w:r>
      <w:r>
        <w:rPr>
          <w:rFonts w:hint="eastAsia" w:ascii="宋体" w:hAnsi="宋体" w:eastAsia="宋体" w:cs="宋体"/>
          <w:spacing w:val="1"/>
          <w:sz w:val="24"/>
          <w:szCs w:val="24"/>
          <w:lang w:eastAsia="zh-CN"/>
        </w:rPr>
        <w:t>）</w:t>
      </w:r>
      <w:r>
        <w:rPr>
          <w:rFonts w:ascii="宋体" w:hAnsi="宋体" w:eastAsia="宋体" w:cs="宋体"/>
          <w:spacing w:val="1"/>
          <w:sz w:val="24"/>
          <w:szCs w:val="24"/>
        </w:rPr>
        <w:t>，确定为实质</w:t>
      </w:r>
      <w:r>
        <w:rPr>
          <w:rFonts w:ascii="宋体" w:hAnsi="宋体" w:eastAsia="宋体" w:cs="宋体"/>
          <w:sz w:val="24"/>
          <w:szCs w:val="24"/>
        </w:rPr>
        <w:t>上响应《磋商文</w:t>
      </w:r>
      <w:r>
        <w:rPr>
          <w:rFonts w:ascii="宋体" w:hAnsi="宋体" w:eastAsia="宋体" w:cs="宋体"/>
          <w:spacing w:val="-1"/>
          <w:sz w:val="24"/>
          <w:szCs w:val="24"/>
        </w:rPr>
        <w:t>件》要求的《磋商响应文件》进行详细评审（综合评审评分</w:t>
      </w:r>
      <w:r>
        <w:rPr>
          <w:rFonts w:ascii="宋体" w:hAnsi="宋体" w:eastAsia="宋体" w:cs="宋体"/>
          <w:spacing w:val="13"/>
          <w:sz w:val="24"/>
          <w:szCs w:val="24"/>
        </w:rPr>
        <w:t>），</w:t>
      </w:r>
      <w:r>
        <w:rPr>
          <w:rFonts w:ascii="宋体" w:hAnsi="宋体" w:eastAsia="宋体" w:cs="宋体"/>
          <w:spacing w:val="-1"/>
          <w:sz w:val="24"/>
          <w:szCs w:val="24"/>
        </w:rPr>
        <w:t>详见《综合评分表》。</w:t>
      </w:r>
    </w:p>
    <w:p w14:paraId="374F22CA">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3.2 磋商小组要审查每份《磋商响应文件》是否实质上响应了《磋商文件》的要求。实质上响应的磋商响应文件</w:t>
      </w:r>
      <w:r>
        <w:rPr>
          <w:rFonts w:hint="eastAsia" w:ascii="宋体" w:hAnsi="宋体" w:eastAsia="宋体" w:cs="宋体"/>
          <w:spacing w:val="1"/>
          <w:sz w:val="24"/>
          <w:szCs w:val="24"/>
          <w:lang w:eastAsia="zh-CN"/>
        </w:rPr>
        <w:t>应该</w:t>
      </w:r>
      <w:r>
        <w:rPr>
          <w:rFonts w:ascii="宋体" w:hAnsi="宋体" w:eastAsia="宋体" w:cs="宋体"/>
          <w:spacing w:val="1"/>
          <w:sz w:val="24"/>
          <w:szCs w:val="24"/>
        </w:rPr>
        <w:t>与磋商文件要求的全部条款、条件和技术参数相符。对关键条款的偏离、保留或反对将被认为是实质上的偏离。磋商小组决定</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的响应性只根据《磋商响应文件》本身的内容，而不寻求外部的任何证据。</w:t>
      </w:r>
    </w:p>
    <w:p w14:paraId="1816071F">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磋商响应文件》的大写金额和小写金额不一致的，以大写金额为准；总价金额与单项单价汇总金额不一致的，以单价金额计算结果为准；单价金额小数点有明显错位的，应以总价为准，并修改单价；对不同文字文本《磋商响应文件》的解释发生异议的，以中文文本为准。</w:t>
      </w:r>
    </w:p>
    <w:p w14:paraId="6ABC942F">
      <w:pPr>
        <w:pStyle w:val="2"/>
        <w:rPr>
          <w:rFonts w:ascii="宋体" w:hAnsi="宋体" w:eastAsia="宋体" w:cs="宋体"/>
          <w:spacing w:val="1"/>
          <w:sz w:val="24"/>
          <w:szCs w:val="24"/>
        </w:rPr>
      </w:pPr>
    </w:p>
    <w:p w14:paraId="3B980E31">
      <w:pPr>
        <w:rPr>
          <w:rFonts w:ascii="宋体" w:hAnsi="宋体" w:eastAsia="宋体" w:cs="宋体"/>
          <w:spacing w:val="1"/>
          <w:sz w:val="24"/>
          <w:szCs w:val="24"/>
        </w:rPr>
      </w:pPr>
    </w:p>
    <w:p w14:paraId="430F54E0">
      <w:pPr>
        <w:pStyle w:val="2"/>
      </w:pPr>
    </w:p>
    <w:p w14:paraId="3711BEBF"/>
    <w:p w14:paraId="2DE1A351">
      <w:pPr>
        <w:pageBreakBefore w:val="0"/>
        <w:kinsoku/>
        <w:topLinePunct w:val="0"/>
        <w:bidi w:val="0"/>
        <w:spacing w:before="181" w:line="220" w:lineRule="auto"/>
        <w:ind w:left="602"/>
        <w:outlineLvl w:val="2"/>
        <w:rPr>
          <w:rFonts w:ascii="宋体" w:hAnsi="宋体" w:eastAsia="宋体" w:cs="宋体"/>
          <w:spacing w:val="-1"/>
          <w:sz w:val="24"/>
          <w:szCs w:val="24"/>
          <w14:textOutline w14:w="4358" w14:cap="sq" w14:cmpd="sng">
            <w14:solidFill>
              <w14:srgbClr w14:val="000000"/>
            </w14:solidFill>
            <w14:prstDash w14:val="solid"/>
            <w14:bevel/>
          </w14:textOutline>
        </w:rPr>
      </w:pPr>
    </w:p>
    <w:p w14:paraId="22BD0155">
      <w:pPr>
        <w:pageBreakBefore w:val="0"/>
        <w:kinsoku/>
        <w:topLinePunct w:val="0"/>
        <w:bidi w:val="0"/>
        <w:spacing w:before="181" w:line="220" w:lineRule="auto"/>
        <w:ind w:left="602"/>
        <w:outlineLvl w:val="2"/>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综合评分表：</w:t>
      </w:r>
    </w:p>
    <w:tbl>
      <w:tblPr>
        <w:tblStyle w:val="12"/>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363"/>
        <w:gridCol w:w="7232"/>
        <w:gridCol w:w="1216"/>
      </w:tblGrid>
      <w:tr w14:paraId="4EA0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3" w:type="dxa"/>
            <w:vAlign w:val="center"/>
          </w:tcPr>
          <w:p w14:paraId="387EBB0E">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
                <w:bCs/>
                <w:sz w:val="24"/>
              </w:rPr>
              <w:t>序号</w:t>
            </w:r>
          </w:p>
        </w:tc>
        <w:tc>
          <w:tcPr>
            <w:tcW w:w="8595" w:type="dxa"/>
            <w:gridSpan w:val="2"/>
            <w:vAlign w:val="center"/>
          </w:tcPr>
          <w:p w14:paraId="0D0F9498">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
                <w:bCs/>
                <w:sz w:val="24"/>
              </w:rPr>
              <w:t>评审内容</w:t>
            </w:r>
          </w:p>
        </w:tc>
        <w:tc>
          <w:tcPr>
            <w:tcW w:w="1216" w:type="dxa"/>
            <w:vAlign w:val="center"/>
          </w:tcPr>
          <w:p w14:paraId="4B11FE66">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
                <w:bCs/>
                <w:sz w:val="24"/>
              </w:rPr>
              <w:t>评分标准</w:t>
            </w:r>
          </w:p>
        </w:tc>
      </w:tr>
      <w:tr w14:paraId="6F8A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3" w:type="dxa"/>
            <w:vAlign w:val="center"/>
          </w:tcPr>
          <w:p w14:paraId="583373E1">
            <w:pPr>
              <w:spacing w:before="156" w:beforeLines="50" w:after="156" w:afterLines="50" w:line="370" w:lineRule="exact"/>
              <w:jc w:val="center"/>
              <w:rPr>
                <w:rFonts w:hint="eastAsia" w:ascii="仿宋" w:hAnsi="仿宋" w:eastAsia="仿宋" w:cs="仿宋"/>
                <w:b/>
                <w:bCs/>
                <w:sz w:val="24"/>
              </w:rPr>
            </w:pPr>
            <w:r>
              <w:rPr>
                <w:rFonts w:hint="eastAsia" w:ascii="仿宋" w:hAnsi="仿宋" w:eastAsia="仿宋" w:cs="仿宋"/>
                <w:b/>
                <w:bCs/>
                <w:sz w:val="24"/>
              </w:rPr>
              <w:t>一</w:t>
            </w:r>
          </w:p>
        </w:tc>
        <w:tc>
          <w:tcPr>
            <w:tcW w:w="8595" w:type="dxa"/>
            <w:gridSpan w:val="2"/>
            <w:vAlign w:val="center"/>
          </w:tcPr>
          <w:p w14:paraId="287A9818">
            <w:pPr>
              <w:spacing w:before="156" w:beforeLines="50" w:after="156" w:afterLines="50" w:line="370" w:lineRule="exact"/>
              <w:jc w:val="center"/>
              <w:rPr>
                <w:rFonts w:hint="eastAsia" w:ascii="仿宋" w:hAnsi="仿宋" w:eastAsia="仿宋" w:cs="仿宋"/>
                <w:b/>
                <w:bCs/>
                <w:sz w:val="24"/>
              </w:rPr>
            </w:pPr>
            <w:r>
              <w:rPr>
                <w:rFonts w:hint="eastAsia" w:ascii="仿宋" w:hAnsi="仿宋" w:eastAsia="仿宋" w:cs="仿宋"/>
                <w:b/>
                <w:bCs/>
                <w:sz w:val="24"/>
              </w:rPr>
              <w:t>报价分</w:t>
            </w:r>
          </w:p>
        </w:tc>
        <w:tc>
          <w:tcPr>
            <w:tcW w:w="1216" w:type="dxa"/>
            <w:vAlign w:val="center"/>
          </w:tcPr>
          <w:p w14:paraId="3CF7D63D">
            <w:pPr>
              <w:spacing w:before="156" w:beforeLines="50" w:after="156" w:afterLines="50" w:line="370" w:lineRule="exact"/>
              <w:jc w:val="center"/>
              <w:rPr>
                <w:rFonts w:hint="eastAsia" w:ascii="仿宋" w:hAnsi="仿宋" w:eastAsia="仿宋" w:cs="仿宋"/>
                <w:b/>
                <w:bCs/>
                <w:sz w:val="24"/>
              </w:rPr>
            </w:pPr>
            <w:r>
              <w:rPr>
                <w:rFonts w:hint="eastAsia" w:ascii="仿宋" w:hAnsi="仿宋" w:eastAsia="仿宋" w:cs="仿宋"/>
                <w:b/>
                <w:bCs/>
                <w:sz w:val="24"/>
              </w:rPr>
              <w:t>30</w:t>
            </w:r>
          </w:p>
        </w:tc>
      </w:tr>
      <w:tr w14:paraId="41A2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3" w:type="dxa"/>
            <w:vAlign w:val="center"/>
          </w:tcPr>
          <w:p w14:paraId="4E75C19E">
            <w:pPr>
              <w:spacing w:before="156" w:beforeLines="50" w:after="156" w:afterLines="50" w:line="370" w:lineRule="exact"/>
              <w:jc w:val="center"/>
              <w:rPr>
                <w:rFonts w:hint="eastAsia" w:ascii="仿宋" w:hAnsi="仿宋" w:eastAsia="仿宋" w:cs="仿宋"/>
                <w:b/>
                <w:bCs/>
                <w:sz w:val="24"/>
              </w:rPr>
            </w:pPr>
            <w:r>
              <w:rPr>
                <w:rFonts w:hint="eastAsia" w:ascii="仿宋" w:hAnsi="仿宋" w:eastAsia="仿宋" w:cs="仿宋"/>
                <w:bCs/>
                <w:sz w:val="24"/>
              </w:rPr>
              <w:t>1</w:t>
            </w:r>
          </w:p>
        </w:tc>
        <w:tc>
          <w:tcPr>
            <w:tcW w:w="8595" w:type="dxa"/>
            <w:gridSpan w:val="2"/>
            <w:vAlign w:val="center"/>
          </w:tcPr>
          <w:p w14:paraId="07C3F985">
            <w:pPr>
              <w:spacing w:line="550" w:lineRule="exact"/>
              <w:ind w:firstLine="480" w:firstLineChars="200"/>
              <w:jc w:val="left"/>
              <w:rPr>
                <w:rFonts w:hint="eastAsia" w:ascii="仿宋" w:hAnsi="仿宋" w:eastAsia="仿宋" w:cs="宋体"/>
                <w:bCs/>
                <w:sz w:val="24"/>
              </w:rPr>
            </w:pPr>
            <w:r>
              <w:rPr>
                <w:rFonts w:hint="eastAsia" w:ascii="仿宋" w:hAnsi="仿宋" w:eastAsia="仿宋" w:cs="宋体"/>
                <w:bCs/>
                <w:sz w:val="24"/>
              </w:rPr>
              <w:t>价格分采用低价优先法计算，即满足磋商文件要求且最后报价最低的供应商的价格为磋商基准价，其价格分为满分。其他供应商的价格分统一按照下列公式计算：磋商报价得分=（基准价/磋商报价）×100×10%</w:t>
            </w:r>
          </w:p>
        </w:tc>
        <w:tc>
          <w:tcPr>
            <w:tcW w:w="1216" w:type="dxa"/>
            <w:vAlign w:val="center"/>
          </w:tcPr>
          <w:p w14:paraId="12966214">
            <w:pPr>
              <w:spacing w:line="370" w:lineRule="exact"/>
              <w:jc w:val="center"/>
              <w:rPr>
                <w:rFonts w:hint="eastAsia" w:ascii="仿宋" w:hAnsi="仿宋" w:eastAsia="仿宋" w:cs="仿宋"/>
                <w:b/>
                <w:bCs/>
                <w:sz w:val="24"/>
              </w:rPr>
            </w:pPr>
            <w:r>
              <w:rPr>
                <w:rFonts w:hint="eastAsia" w:ascii="仿宋" w:hAnsi="仿宋" w:eastAsia="仿宋" w:cs="仿宋"/>
                <w:bCs/>
                <w:sz w:val="24"/>
              </w:rPr>
              <w:t>0-30分</w:t>
            </w:r>
          </w:p>
        </w:tc>
      </w:tr>
      <w:tr w14:paraId="6C6B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73" w:type="dxa"/>
            <w:vAlign w:val="center"/>
          </w:tcPr>
          <w:p w14:paraId="4507F397">
            <w:pPr>
              <w:spacing w:before="156" w:beforeLines="50" w:after="156" w:afterLines="50" w:line="370" w:lineRule="exact"/>
              <w:jc w:val="center"/>
              <w:rPr>
                <w:rFonts w:hint="eastAsia" w:ascii="仿宋" w:hAnsi="仿宋" w:eastAsia="仿宋" w:cs="仿宋"/>
                <w:b/>
                <w:sz w:val="24"/>
              </w:rPr>
            </w:pPr>
            <w:r>
              <w:rPr>
                <w:rFonts w:hint="eastAsia" w:ascii="仿宋" w:hAnsi="仿宋" w:eastAsia="仿宋" w:cs="仿宋"/>
                <w:b/>
                <w:sz w:val="24"/>
              </w:rPr>
              <w:t>二</w:t>
            </w:r>
          </w:p>
        </w:tc>
        <w:tc>
          <w:tcPr>
            <w:tcW w:w="8595" w:type="dxa"/>
            <w:gridSpan w:val="2"/>
          </w:tcPr>
          <w:p w14:paraId="5E325205">
            <w:pPr>
              <w:spacing w:before="156" w:beforeLines="50" w:after="156" w:afterLines="50" w:line="370" w:lineRule="exact"/>
              <w:jc w:val="center"/>
              <w:rPr>
                <w:rFonts w:hint="eastAsia" w:ascii="仿宋" w:hAnsi="仿宋" w:eastAsia="仿宋" w:cs="仿宋"/>
                <w:b/>
                <w:sz w:val="24"/>
              </w:rPr>
            </w:pPr>
            <w:r>
              <w:rPr>
                <w:rFonts w:hint="eastAsia" w:ascii="仿宋" w:hAnsi="仿宋" w:eastAsia="仿宋" w:cs="仿宋"/>
                <w:b/>
                <w:sz w:val="24"/>
              </w:rPr>
              <w:t>技术分</w:t>
            </w:r>
          </w:p>
        </w:tc>
        <w:tc>
          <w:tcPr>
            <w:tcW w:w="1216" w:type="dxa"/>
          </w:tcPr>
          <w:p w14:paraId="762AFEE0">
            <w:pPr>
              <w:spacing w:before="156" w:beforeLines="50" w:after="156" w:afterLines="50" w:line="370" w:lineRule="exact"/>
              <w:jc w:val="center"/>
              <w:rPr>
                <w:rFonts w:hint="eastAsia" w:ascii="仿宋" w:hAnsi="仿宋" w:eastAsia="仿宋" w:cs="仿宋"/>
                <w:b/>
                <w:sz w:val="24"/>
              </w:rPr>
            </w:pPr>
            <w:r>
              <w:rPr>
                <w:rFonts w:hint="eastAsia" w:ascii="仿宋" w:hAnsi="仿宋" w:eastAsia="仿宋" w:cs="仿宋"/>
                <w:b/>
                <w:sz w:val="24"/>
              </w:rPr>
              <w:t>55分</w:t>
            </w:r>
          </w:p>
        </w:tc>
      </w:tr>
      <w:tr w14:paraId="3F70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14:paraId="05FB3740">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2</w:t>
            </w:r>
          </w:p>
        </w:tc>
        <w:tc>
          <w:tcPr>
            <w:tcW w:w="1363" w:type="dxa"/>
            <w:vAlign w:val="center"/>
          </w:tcPr>
          <w:p w14:paraId="2987F8A1">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项目理解</w:t>
            </w:r>
          </w:p>
        </w:tc>
        <w:tc>
          <w:tcPr>
            <w:tcW w:w="7232" w:type="dxa"/>
            <w:vAlign w:val="center"/>
          </w:tcPr>
          <w:p w14:paraId="6C486494">
            <w:pPr>
              <w:spacing w:line="460" w:lineRule="exact"/>
              <w:rPr>
                <w:rFonts w:hint="eastAsia" w:ascii="仿宋" w:hAnsi="仿宋" w:eastAsia="仿宋" w:cs="仿宋"/>
                <w:bCs/>
                <w:sz w:val="24"/>
              </w:rPr>
            </w:pPr>
            <w:r>
              <w:rPr>
                <w:rFonts w:hint="eastAsia" w:ascii="仿宋" w:hAnsi="仿宋" w:eastAsia="仿宋" w:cs="仿宋"/>
                <w:bCs/>
                <w:sz w:val="24"/>
              </w:rPr>
              <w:t>根据供应商提出的国土空间规划体系下控制性详细规划编制技术研究进行评分：</w:t>
            </w:r>
          </w:p>
          <w:p w14:paraId="761152B4">
            <w:pPr>
              <w:spacing w:line="460" w:lineRule="exact"/>
              <w:rPr>
                <w:rFonts w:hint="eastAsia" w:ascii="仿宋" w:hAnsi="仿宋" w:eastAsia="仿宋" w:cs="仿宋"/>
                <w:bCs/>
                <w:sz w:val="24"/>
              </w:rPr>
            </w:pPr>
            <w:r>
              <w:rPr>
                <w:rFonts w:hint="eastAsia" w:ascii="仿宋" w:hAnsi="仿宋" w:eastAsia="仿宋" w:cs="仿宋"/>
                <w:bCs/>
                <w:sz w:val="24"/>
              </w:rPr>
              <w:t>针对柯坪县中心城区上版控制性详细规划进行简要评估，明确控制性详细规划编制技术路线，提出城镇单元总体控制研究。阐述内容契合本项目实施对应区域，研究内容紧密贴切的得满分</w:t>
            </w:r>
            <w:r>
              <w:rPr>
                <w:rFonts w:hint="eastAsia" w:ascii="仿宋" w:hAnsi="仿宋" w:eastAsia="仿宋" w:cs="仿宋"/>
                <w:bCs/>
                <w:color w:val="FF0000"/>
                <w:sz w:val="24"/>
              </w:rPr>
              <w:t>5</w:t>
            </w:r>
            <w:r>
              <w:rPr>
                <w:rFonts w:hint="eastAsia" w:ascii="仿宋" w:hAnsi="仿宋" w:eastAsia="仿宋" w:cs="仿宋"/>
                <w:bCs/>
                <w:sz w:val="24"/>
              </w:rPr>
              <w:t>分。有欠缺或与本项目无关的，每项扣1分，最多扣4分。</w:t>
            </w:r>
          </w:p>
          <w:p w14:paraId="62877706">
            <w:pPr>
              <w:spacing w:line="460" w:lineRule="exact"/>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未提供的不得分</w:t>
            </w:r>
            <w:r>
              <w:rPr>
                <w:rFonts w:hint="eastAsia" w:ascii="仿宋" w:hAnsi="仿宋" w:eastAsia="仿宋" w:cs="仿宋"/>
                <w:bCs/>
                <w:sz w:val="24"/>
              </w:rPr>
              <w:t>】</w:t>
            </w:r>
          </w:p>
        </w:tc>
        <w:tc>
          <w:tcPr>
            <w:tcW w:w="1216" w:type="dxa"/>
            <w:vAlign w:val="center"/>
          </w:tcPr>
          <w:p w14:paraId="4A2AC88D">
            <w:pPr>
              <w:spacing w:line="370" w:lineRule="exact"/>
              <w:jc w:val="center"/>
              <w:rPr>
                <w:rFonts w:hint="eastAsia" w:ascii="仿宋" w:hAnsi="仿宋" w:eastAsia="仿宋" w:cs="仿宋"/>
                <w:bCs/>
                <w:sz w:val="24"/>
              </w:rPr>
            </w:pPr>
            <w:r>
              <w:rPr>
                <w:rFonts w:hint="eastAsia" w:ascii="仿宋" w:hAnsi="仿宋" w:eastAsia="仿宋" w:cs="仿宋"/>
                <w:bCs/>
                <w:sz w:val="24"/>
              </w:rPr>
              <w:t>0-5分</w:t>
            </w:r>
          </w:p>
        </w:tc>
      </w:tr>
      <w:tr w14:paraId="03F5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14:paraId="0849B296">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3</w:t>
            </w:r>
          </w:p>
        </w:tc>
        <w:tc>
          <w:tcPr>
            <w:tcW w:w="1363" w:type="dxa"/>
            <w:vAlign w:val="center"/>
          </w:tcPr>
          <w:p w14:paraId="729B363E">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预算部分</w:t>
            </w:r>
          </w:p>
        </w:tc>
        <w:tc>
          <w:tcPr>
            <w:tcW w:w="7232" w:type="dxa"/>
            <w:vAlign w:val="center"/>
          </w:tcPr>
          <w:p w14:paraId="3BA0DFF7">
            <w:pPr>
              <w:spacing w:line="460" w:lineRule="exact"/>
              <w:rPr>
                <w:rFonts w:hint="eastAsia" w:ascii="仿宋" w:hAnsi="仿宋" w:eastAsia="仿宋" w:cs="仿宋"/>
                <w:bCs/>
                <w:sz w:val="24"/>
              </w:rPr>
            </w:pPr>
            <w:r>
              <w:rPr>
                <w:rFonts w:hint="eastAsia" w:ascii="仿宋" w:hAnsi="仿宋" w:eastAsia="仿宋" w:cs="仿宋"/>
                <w:bCs/>
                <w:sz w:val="24"/>
              </w:rPr>
              <w:t>根据供应商提供的送评材料、预算章节、预算说明与表式等进行评分：</w:t>
            </w:r>
          </w:p>
          <w:p w14:paraId="0C30A376">
            <w:pPr>
              <w:spacing w:line="460" w:lineRule="exact"/>
              <w:rPr>
                <w:rFonts w:hint="eastAsia" w:ascii="仿宋" w:hAnsi="仿宋" w:eastAsia="仿宋" w:cs="仿宋"/>
                <w:bCs/>
                <w:sz w:val="24"/>
              </w:rPr>
            </w:pPr>
            <w:r>
              <w:rPr>
                <w:rFonts w:hint="eastAsia" w:ascii="仿宋" w:hAnsi="仿宋" w:eastAsia="仿宋" w:cs="仿宋"/>
                <w:bCs/>
                <w:sz w:val="24"/>
              </w:rPr>
              <w:t>预算编制依据、编制方法、预算内容、数据计算和勾稽关系等是否正确完整，项目各项支出不重不漏。阐述内容满足要求，科学合理得满分</w:t>
            </w:r>
            <w:r>
              <w:rPr>
                <w:rFonts w:hint="eastAsia" w:ascii="仿宋" w:hAnsi="仿宋" w:eastAsia="仿宋" w:cs="仿宋"/>
                <w:bCs/>
                <w:color w:val="FF0000"/>
                <w:sz w:val="24"/>
              </w:rPr>
              <w:t>8</w:t>
            </w:r>
            <w:r>
              <w:rPr>
                <w:rFonts w:hint="eastAsia" w:ascii="仿宋" w:hAnsi="仿宋" w:eastAsia="仿宋" w:cs="仿宋"/>
                <w:bCs/>
                <w:sz w:val="24"/>
              </w:rPr>
              <w:t>分。有欠缺或与本项目无关的，每项扣1分，最多扣7分。</w:t>
            </w:r>
          </w:p>
          <w:p w14:paraId="3DEC4328">
            <w:pPr>
              <w:spacing w:line="460" w:lineRule="exact"/>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未提供的不得分</w:t>
            </w:r>
            <w:r>
              <w:rPr>
                <w:rFonts w:hint="eastAsia" w:ascii="仿宋" w:hAnsi="仿宋" w:eastAsia="仿宋" w:cs="仿宋"/>
                <w:bCs/>
                <w:sz w:val="24"/>
              </w:rPr>
              <w:t>】</w:t>
            </w:r>
          </w:p>
        </w:tc>
        <w:tc>
          <w:tcPr>
            <w:tcW w:w="1216" w:type="dxa"/>
            <w:vAlign w:val="center"/>
          </w:tcPr>
          <w:p w14:paraId="29151D7E">
            <w:pPr>
              <w:spacing w:line="370" w:lineRule="exact"/>
              <w:jc w:val="center"/>
              <w:rPr>
                <w:rFonts w:hint="eastAsia" w:ascii="仿宋" w:hAnsi="仿宋" w:eastAsia="仿宋" w:cs="仿宋"/>
                <w:bCs/>
                <w:sz w:val="24"/>
              </w:rPr>
            </w:pPr>
            <w:r>
              <w:rPr>
                <w:rFonts w:hint="eastAsia" w:ascii="仿宋" w:hAnsi="仿宋" w:eastAsia="仿宋" w:cs="仿宋"/>
                <w:bCs/>
                <w:sz w:val="24"/>
              </w:rPr>
              <w:t>0-8分</w:t>
            </w:r>
          </w:p>
        </w:tc>
      </w:tr>
      <w:tr w14:paraId="4B0E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14:paraId="66B051D4">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4</w:t>
            </w:r>
          </w:p>
        </w:tc>
        <w:tc>
          <w:tcPr>
            <w:tcW w:w="1363" w:type="dxa"/>
            <w:vAlign w:val="center"/>
          </w:tcPr>
          <w:p w14:paraId="0CF26848">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技术方案</w:t>
            </w:r>
          </w:p>
        </w:tc>
        <w:tc>
          <w:tcPr>
            <w:tcW w:w="7232" w:type="dxa"/>
            <w:vAlign w:val="center"/>
          </w:tcPr>
          <w:p w14:paraId="29E6DCE1">
            <w:pPr>
              <w:spacing w:line="460" w:lineRule="exact"/>
              <w:rPr>
                <w:rFonts w:hint="eastAsia" w:ascii="仿宋" w:hAnsi="仿宋" w:eastAsia="仿宋" w:cs="仿宋"/>
                <w:bCs/>
                <w:sz w:val="24"/>
              </w:rPr>
            </w:pPr>
            <w:r>
              <w:rPr>
                <w:rFonts w:hint="eastAsia" w:ascii="仿宋" w:hAnsi="仿宋" w:eastAsia="仿宋" w:cs="仿宋"/>
                <w:bCs/>
                <w:sz w:val="24"/>
              </w:rPr>
              <w:t>供应商需</w:t>
            </w:r>
            <w:r>
              <w:rPr>
                <w:rFonts w:ascii="仿宋" w:hAnsi="仿宋" w:eastAsia="仿宋" w:cs="仿宋"/>
                <w:bCs/>
                <w:sz w:val="24"/>
              </w:rPr>
              <w:t>①</w:t>
            </w:r>
            <w:r>
              <w:rPr>
                <w:rFonts w:hint="eastAsia" w:ascii="仿宋" w:hAnsi="仿宋" w:eastAsia="仿宋" w:cs="仿宋"/>
                <w:bCs/>
                <w:sz w:val="24"/>
              </w:rPr>
              <w:t>落实总体规划“三区三线”内容，深化单元功能结构及用地布局；</w:t>
            </w:r>
            <w:r>
              <w:rPr>
                <w:rFonts w:ascii="仿宋" w:hAnsi="仿宋" w:eastAsia="仿宋" w:cs="仿宋"/>
                <w:bCs/>
                <w:sz w:val="24"/>
              </w:rPr>
              <w:t>②</w:t>
            </w:r>
            <w:r>
              <w:rPr>
                <w:rFonts w:hint="eastAsia" w:ascii="仿宋" w:hAnsi="仿宋" w:eastAsia="仿宋" w:cs="仿宋"/>
                <w:bCs/>
                <w:sz w:val="24"/>
              </w:rPr>
              <w:t>统筹布局公共服务、综合交通、市政公用等各项设施；</w:t>
            </w:r>
            <w:r>
              <w:rPr>
                <w:rFonts w:ascii="仿宋" w:hAnsi="仿宋" w:eastAsia="仿宋" w:cs="仿宋"/>
                <w:bCs/>
                <w:sz w:val="24"/>
              </w:rPr>
              <w:t>③</w:t>
            </w:r>
            <w:r>
              <w:rPr>
                <w:rFonts w:hint="eastAsia" w:ascii="仿宋" w:hAnsi="仿宋" w:eastAsia="仿宋" w:cs="仿宋"/>
                <w:bCs/>
                <w:sz w:val="24"/>
              </w:rPr>
              <w:t>提出城市六线控制内容；</w:t>
            </w:r>
            <w:r>
              <w:rPr>
                <w:rFonts w:ascii="仿宋" w:hAnsi="仿宋" w:eastAsia="仿宋" w:cs="仿宋"/>
                <w:bCs/>
                <w:sz w:val="24"/>
              </w:rPr>
              <w:t>④</w:t>
            </w:r>
            <w:r>
              <w:rPr>
                <w:rFonts w:hint="eastAsia" w:ascii="仿宋" w:hAnsi="仿宋" w:eastAsia="仿宋" w:cs="仿宋"/>
                <w:bCs/>
                <w:sz w:val="24"/>
              </w:rPr>
              <w:t>通过重点片区城市设计，提出景观风貌引导；</w:t>
            </w:r>
            <w:r>
              <w:rPr>
                <w:rFonts w:ascii="仿宋" w:hAnsi="仿宋" w:eastAsia="仿宋" w:cs="仿宋"/>
                <w:bCs/>
                <w:sz w:val="24"/>
              </w:rPr>
              <w:t>⑤</w:t>
            </w:r>
            <w:r>
              <w:rPr>
                <w:rFonts w:hint="eastAsia" w:ascii="仿宋" w:hAnsi="仿宋" w:eastAsia="仿宋" w:cs="仿宋"/>
                <w:bCs/>
                <w:sz w:val="24"/>
              </w:rPr>
              <w:t>控制单元开发强度及容量控制；⑥划分街区并明确传导要求。</w:t>
            </w:r>
          </w:p>
          <w:p w14:paraId="7FE22B81">
            <w:pPr>
              <w:spacing w:line="460" w:lineRule="exact"/>
              <w:rPr>
                <w:rFonts w:hint="eastAsia" w:ascii="仿宋" w:hAnsi="仿宋" w:eastAsia="仿宋" w:cs="仿宋"/>
                <w:bCs/>
                <w:sz w:val="24"/>
              </w:rPr>
            </w:pPr>
            <w:r>
              <w:rPr>
                <w:rFonts w:hint="eastAsia" w:ascii="仿宋" w:hAnsi="仿宋" w:eastAsia="仿宋" w:cs="仿宋"/>
                <w:b/>
                <w:sz w:val="24"/>
              </w:rPr>
              <w:t>每一个小点满分4分</w:t>
            </w:r>
            <w:r>
              <w:rPr>
                <w:rFonts w:hint="eastAsia" w:ascii="仿宋" w:hAnsi="仿宋" w:eastAsia="仿宋" w:cs="仿宋"/>
                <w:bCs/>
                <w:sz w:val="24"/>
              </w:rPr>
              <w:t>。阐述内容满足上述6点进行分别阐述的且阐述内容完善、契合项目实施地域的特殊性的得满分</w:t>
            </w:r>
            <w:r>
              <w:rPr>
                <w:rFonts w:hint="eastAsia" w:ascii="仿宋" w:hAnsi="仿宋" w:eastAsia="仿宋" w:cs="仿宋"/>
                <w:bCs/>
                <w:color w:val="FF0000"/>
                <w:sz w:val="24"/>
              </w:rPr>
              <w:t>24</w:t>
            </w:r>
            <w:r>
              <w:rPr>
                <w:rFonts w:hint="eastAsia" w:ascii="仿宋" w:hAnsi="仿宋" w:eastAsia="仿宋" w:cs="仿宋"/>
                <w:bCs/>
                <w:sz w:val="24"/>
              </w:rPr>
              <w:t>分。有欠缺或与本项目无关的，每项扣1分，最多扣23分。</w:t>
            </w:r>
          </w:p>
          <w:p w14:paraId="0825A7F6">
            <w:pPr>
              <w:spacing w:line="460" w:lineRule="exact"/>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未提供的不得分</w:t>
            </w:r>
            <w:r>
              <w:rPr>
                <w:rFonts w:hint="eastAsia" w:ascii="仿宋" w:hAnsi="仿宋" w:eastAsia="仿宋" w:cs="仿宋"/>
                <w:bCs/>
                <w:sz w:val="24"/>
              </w:rPr>
              <w:t>】</w:t>
            </w:r>
          </w:p>
        </w:tc>
        <w:tc>
          <w:tcPr>
            <w:tcW w:w="1216" w:type="dxa"/>
            <w:vAlign w:val="center"/>
          </w:tcPr>
          <w:p w14:paraId="278C0D4F">
            <w:pPr>
              <w:spacing w:line="370" w:lineRule="exact"/>
              <w:jc w:val="center"/>
              <w:rPr>
                <w:rFonts w:hint="eastAsia" w:ascii="仿宋" w:hAnsi="仿宋" w:eastAsia="仿宋" w:cs="仿宋"/>
                <w:bCs/>
                <w:sz w:val="24"/>
              </w:rPr>
            </w:pPr>
            <w:r>
              <w:rPr>
                <w:rFonts w:hint="eastAsia" w:ascii="仿宋" w:hAnsi="仿宋" w:eastAsia="仿宋" w:cs="仿宋"/>
                <w:bCs/>
                <w:sz w:val="24"/>
              </w:rPr>
              <w:t>0-24分</w:t>
            </w:r>
          </w:p>
        </w:tc>
      </w:tr>
      <w:tr w14:paraId="60C8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73" w:type="dxa"/>
            <w:vMerge w:val="restart"/>
            <w:vAlign w:val="center"/>
          </w:tcPr>
          <w:p w14:paraId="138A7693">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5</w:t>
            </w:r>
          </w:p>
        </w:tc>
        <w:tc>
          <w:tcPr>
            <w:tcW w:w="1363" w:type="dxa"/>
            <w:vMerge w:val="restart"/>
            <w:vAlign w:val="center"/>
          </w:tcPr>
          <w:p w14:paraId="73ECA970">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人员配置</w:t>
            </w:r>
          </w:p>
        </w:tc>
        <w:tc>
          <w:tcPr>
            <w:tcW w:w="7232" w:type="dxa"/>
            <w:vAlign w:val="center"/>
          </w:tcPr>
          <w:p w14:paraId="0D0215B4">
            <w:pPr>
              <w:spacing w:line="460" w:lineRule="exact"/>
              <w:rPr>
                <w:rFonts w:hint="eastAsia" w:ascii="仿宋" w:hAnsi="仿宋" w:eastAsia="仿宋" w:cs="仿宋"/>
                <w:bCs/>
                <w:sz w:val="24"/>
              </w:rPr>
            </w:pPr>
            <w:r>
              <w:rPr>
                <w:rFonts w:hint="eastAsia" w:ascii="仿宋" w:hAnsi="仿宋" w:eastAsia="仿宋" w:cs="仿宋"/>
                <w:bCs/>
                <w:sz w:val="24"/>
              </w:rPr>
              <w:t>5.1拟投入的项目负责人：</w:t>
            </w:r>
          </w:p>
          <w:p w14:paraId="56652811">
            <w:pPr>
              <w:spacing w:line="460" w:lineRule="exact"/>
              <w:rPr>
                <w:rFonts w:hint="eastAsia" w:ascii="仿宋" w:hAnsi="仿宋" w:eastAsia="仿宋" w:cs="仿宋"/>
                <w:bCs/>
                <w:sz w:val="24"/>
              </w:rPr>
            </w:pPr>
            <w:r>
              <w:rPr>
                <w:rFonts w:ascii="仿宋" w:hAnsi="仿宋" w:eastAsia="仿宋" w:cs="仿宋"/>
                <w:bCs/>
                <w:sz w:val="24"/>
              </w:rPr>
              <w:t>①</w:t>
            </w:r>
            <w:r>
              <w:rPr>
                <w:rFonts w:hint="eastAsia" w:ascii="仿宋" w:hAnsi="仿宋" w:eastAsia="仿宋" w:cs="仿宋"/>
                <w:bCs/>
                <w:sz w:val="24"/>
              </w:rPr>
              <w:t>具有城乡规划专业高级工程师及以上技术职称证书的得2分；</w:t>
            </w:r>
          </w:p>
          <w:p w14:paraId="7007A817">
            <w:pPr>
              <w:spacing w:line="460" w:lineRule="exact"/>
              <w:rPr>
                <w:rFonts w:hint="eastAsia" w:ascii="仿宋" w:hAnsi="仿宋" w:eastAsia="仿宋" w:cs="仿宋"/>
                <w:bCs/>
                <w:sz w:val="24"/>
              </w:rPr>
            </w:pPr>
            <w:r>
              <w:rPr>
                <w:rFonts w:ascii="仿宋" w:hAnsi="仿宋" w:eastAsia="仿宋" w:cs="仿宋"/>
                <w:bCs/>
                <w:sz w:val="24"/>
              </w:rPr>
              <w:t>②</w:t>
            </w:r>
            <w:r>
              <w:rPr>
                <w:rFonts w:hint="eastAsia" w:ascii="仿宋" w:hAnsi="仿宋" w:eastAsia="仿宋" w:cs="仿宋"/>
                <w:bCs/>
                <w:sz w:val="24"/>
              </w:rPr>
              <w:t>具备注册规划师资格的得1分。</w:t>
            </w:r>
          </w:p>
          <w:p w14:paraId="48B47C20">
            <w:pPr>
              <w:spacing w:line="460" w:lineRule="exact"/>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本项最高得</w:t>
            </w:r>
            <w:r>
              <w:rPr>
                <w:rFonts w:hint="eastAsia" w:ascii="仿宋" w:hAnsi="仿宋" w:eastAsia="仿宋" w:cs="仿宋"/>
                <w:b/>
                <w:color w:val="FF0000"/>
                <w:sz w:val="24"/>
              </w:rPr>
              <w:t>3</w:t>
            </w:r>
            <w:r>
              <w:rPr>
                <w:rFonts w:hint="eastAsia" w:ascii="仿宋" w:hAnsi="仿宋" w:eastAsia="仿宋" w:cs="仿宋"/>
                <w:b/>
                <w:sz w:val="24"/>
              </w:rPr>
              <w:t>分，未提供不得分</w:t>
            </w:r>
            <w:r>
              <w:rPr>
                <w:rFonts w:hint="eastAsia" w:ascii="仿宋" w:hAnsi="仿宋" w:eastAsia="仿宋" w:cs="仿宋"/>
                <w:bCs/>
                <w:sz w:val="24"/>
              </w:rPr>
              <w:t>】。</w:t>
            </w:r>
          </w:p>
        </w:tc>
        <w:tc>
          <w:tcPr>
            <w:tcW w:w="1216" w:type="dxa"/>
            <w:vMerge w:val="restart"/>
            <w:vAlign w:val="center"/>
          </w:tcPr>
          <w:p w14:paraId="7E4D9107">
            <w:pPr>
              <w:spacing w:line="370" w:lineRule="exact"/>
              <w:jc w:val="center"/>
              <w:rPr>
                <w:rFonts w:hint="eastAsia" w:ascii="仿宋" w:hAnsi="仿宋" w:eastAsia="仿宋" w:cs="仿宋"/>
                <w:bCs/>
                <w:sz w:val="24"/>
              </w:rPr>
            </w:pPr>
            <w:r>
              <w:rPr>
                <w:rFonts w:hint="eastAsia" w:ascii="仿宋" w:hAnsi="仿宋" w:eastAsia="仿宋" w:cs="仿宋"/>
                <w:bCs/>
                <w:sz w:val="24"/>
              </w:rPr>
              <w:t>0-18分</w:t>
            </w:r>
          </w:p>
        </w:tc>
      </w:tr>
      <w:tr w14:paraId="2C80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73" w:type="dxa"/>
            <w:vMerge w:val="continue"/>
            <w:vAlign w:val="center"/>
          </w:tcPr>
          <w:p w14:paraId="225512FA">
            <w:pPr>
              <w:spacing w:line="380" w:lineRule="exact"/>
              <w:jc w:val="left"/>
              <w:rPr>
                <w:rFonts w:hint="eastAsia" w:ascii="仿宋" w:hAnsi="仿宋" w:eastAsia="仿宋" w:cs="仿宋"/>
                <w:bCs/>
                <w:sz w:val="24"/>
              </w:rPr>
            </w:pPr>
          </w:p>
        </w:tc>
        <w:tc>
          <w:tcPr>
            <w:tcW w:w="1363" w:type="dxa"/>
            <w:vMerge w:val="continue"/>
            <w:vAlign w:val="center"/>
          </w:tcPr>
          <w:p w14:paraId="10E6CE3E">
            <w:pPr>
              <w:spacing w:line="380" w:lineRule="exact"/>
              <w:jc w:val="left"/>
              <w:rPr>
                <w:rFonts w:hint="eastAsia" w:ascii="仿宋" w:hAnsi="仿宋" w:eastAsia="仿宋" w:cs="仿宋"/>
                <w:bCs/>
                <w:sz w:val="24"/>
              </w:rPr>
            </w:pPr>
          </w:p>
        </w:tc>
        <w:tc>
          <w:tcPr>
            <w:tcW w:w="7232" w:type="dxa"/>
            <w:vAlign w:val="center"/>
          </w:tcPr>
          <w:p w14:paraId="534C4E36">
            <w:pPr>
              <w:spacing w:line="460" w:lineRule="exact"/>
              <w:rPr>
                <w:rFonts w:hint="eastAsia" w:ascii="仿宋" w:hAnsi="仿宋" w:eastAsia="仿宋" w:cs="仿宋"/>
                <w:bCs/>
                <w:sz w:val="24"/>
              </w:rPr>
            </w:pPr>
            <w:r>
              <w:rPr>
                <w:rFonts w:hint="eastAsia" w:ascii="仿宋" w:hAnsi="仿宋" w:eastAsia="仿宋" w:cs="仿宋"/>
                <w:bCs/>
                <w:sz w:val="24"/>
              </w:rPr>
              <w:t>5.2拟投入的项目组成员（项目负责人除外）</w:t>
            </w:r>
          </w:p>
          <w:p w14:paraId="4C175959">
            <w:pPr>
              <w:spacing w:line="460" w:lineRule="exact"/>
              <w:rPr>
                <w:rFonts w:hint="eastAsia" w:ascii="仿宋" w:hAnsi="仿宋" w:eastAsia="仿宋" w:cs="仿宋"/>
                <w:bCs/>
                <w:sz w:val="24"/>
              </w:rPr>
            </w:pPr>
            <w:r>
              <w:rPr>
                <w:rFonts w:hint="eastAsia" w:ascii="仿宋" w:hAnsi="仿宋" w:eastAsia="仿宋" w:cs="仿宋"/>
                <w:bCs/>
                <w:sz w:val="24"/>
              </w:rPr>
              <w:t>具有高级工程师及以上技术职称证书的得2分，同一人如同时具有注册规划师资格的，加1分。</w:t>
            </w:r>
            <w:r>
              <w:rPr>
                <w:rFonts w:hint="eastAsia" w:ascii="仿宋" w:hAnsi="仿宋" w:eastAsia="仿宋" w:cs="仿宋"/>
                <w:b/>
                <w:sz w:val="24"/>
              </w:rPr>
              <w:t>本项最高得</w:t>
            </w:r>
            <w:r>
              <w:rPr>
                <w:rFonts w:hint="eastAsia" w:ascii="仿宋" w:hAnsi="仿宋" w:eastAsia="仿宋" w:cs="仿宋"/>
                <w:b/>
                <w:color w:val="FF0000"/>
                <w:sz w:val="24"/>
              </w:rPr>
              <w:t>15</w:t>
            </w:r>
            <w:r>
              <w:rPr>
                <w:rFonts w:hint="eastAsia" w:ascii="仿宋" w:hAnsi="仿宋" w:eastAsia="仿宋" w:cs="仿宋"/>
                <w:b/>
                <w:sz w:val="24"/>
              </w:rPr>
              <w:t>分。</w:t>
            </w:r>
          </w:p>
          <w:p w14:paraId="1B7A7982">
            <w:pPr>
              <w:spacing w:line="460" w:lineRule="exact"/>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以上5.1、5.2均须提供相关职称和证书原件扫描件或复印件、近三个月中任意一个月由供应商单位缴纳的社保证明复印件，并加盖公章，未提供不得分</w:t>
            </w:r>
            <w:r>
              <w:rPr>
                <w:rFonts w:hint="eastAsia" w:ascii="仿宋" w:hAnsi="仿宋" w:eastAsia="仿宋" w:cs="仿宋"/>
                <w:bCs/>
                <w:sz w:val="24"/>
              </w:rPr>
              <w:t>】</w:t>
            </w:r>
          </w:p>
        </w:tc>
        <w:tc>
          <w:tcPr>
            <w:tcW w:w="1216" w:type="dxa"/>
            <w:vMerge w:val="continue"/>
            <w:vAlign w:val="center"/>
          </w:tcPr>
          <w:p w14:paraId="535653AE">
            <w:pPr>
              <w:spacing w:line="380" w:lineRule="exact"/>
              <w:jc w:val="left"/>
              <w:rPr>
                <w:rFonts w:hint="eastAsia" w:ascii="仿宋" w:hAnsi="仿宋" w:eastAsia="仿宋" w:cs="仿宋"/>
                <w:bCs/>
                <w:sz w:val="24"/>
              </w:rPr>
            </w:pPr>
          </w:p>
        </w:tc>
      </w:tr>
      <w:tr w14:paraId="1491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14:paraId="7B3CB7F1">
            <w:pPr>
              <w:spacing w:before="156" w:beforeLines="50" w:after="156" w:afterLines="50" w:line="370" w:lineRule="exact"/>
              <w:jc w:val="center"/>
              <w:rPr>
                <w:rFonts w:hint="eastAsia" w:ascii="仿宋" w:hAnsi="仿宋" w:eastAsia="仿宋" w:cs="仿宋"/>
                <w:b/>
                <w:sz w:val="24"/>
              </w:rPr>
            </w:pPr>
            <w:r>
              <w:rPr>
                <w:rFonts w:hint="eastAsia" w:ascii="仿宋" w:hAnsi="仿宋" w:eastAsia="仿宋" w:cs="仿宋"/>
                <w:b/>
                <w:sz w:val="24"/>
              </w:rPr>
              <w:t>三</w:t>
            </w:r>
          </w:p>
        </w:tc>
        <w:tc>
          <w:tcPr>
            <w:tcW w:w="8595" w:type="dxa"/>
            <w:gridSpan w:val="2"/>
            <w:vAlign w:val="center"/>
          </w:tcPr>
          <w:p w14:paraId="67CA1A65">
            <w:pPr>
              <w:spacing w:before="156" w:beforeLines="50" w:after="156" w:afterLines="50" w:line="370" w:lineRule="exact"/>
              <w:jc w:val="center"/>
              <w:rPr>
                <w:rFonts w:hint="eastAsia" w:ascii="仿宋" w:hAnsi="仿宋" w:eastAsia="仿宋" w:cs="仿宋"/>
                <w:b/>
                <w:sz w:val="24"/>
              </w:rPr>
            </w:pPr>
            <w:r>
              <w:rPr>
                <w:rFonts w:hint="eastAsia" w:ascii="仿宋" w:hAnsi="仿宋" w:eastAsia="仿宋" w:cs="仿宋"/>
                <w:b/>
                <w:sz w:val="24"/>
              </w:rPr>
              <w:t>商务及资信分</w:t>
            </w:r>
          </w:p>
        </w:tc>
        <w:tc>
          <w:tcPr>
            <w:tcW w:w="1216" w:type="dxa"/>
            <w:vAlign w:val="center"/>
          </w:tcPr>
          <w:p w14:paraId="47CF32C3">
            <w:pPr>
              <w:spacing w:before="156" w:beforeLines="50" w:after="156" w:afterLines="50" w:line="370" w:lineRule="exact"/>
              <w:jc w:val="center"/>
              <w:rPr>
                <w:rFonts w:hint="eastAsia" w:ascii="仿宋" w:hAnsi="仿宋" w:eastAsia="仿宋" w:cs="仿宋"/>
                <w:b/>
                <w:sz w:val="24"/>
              </w:rPr>
            </w:pPr>
            <w:r>
              <w:rPr>
                <w:rFonts w:hint="eastAsia" w:ascii="仿宋" w:hAnsi="仿宋" w:eastAsia="仿宋" w:cs="仿宋"/>
                <w:b/>
                <w:sz w:val="24"/>
              </w:rPr>
              <w:t>15分</w:t>
            </w:r>
          </w:p>
        </w:tc>
      </w:tr>
      <w:tr w14:paraId="79D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3" w:type="dxa"/>
            <w:vMerge w:val="restart"/>
            <w:vAlign w:val="center"/>
          </w:tcPr>
          <w:p w14:paraId="6B2D9DBE">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6</w:t>
            </w:r>
          </w:p>
        </w:tc>
        <w:tc>
          <w:tcPr>
            <w:tcW w:w="1363" w:type="dxa"/>
            <w:vMerge w:val="restart"/>
            <w:vAlign w:val="center"/>
          </w:tcPr>
          <w:p w14:paraId="10CB0315">
            <w:pPr>
              <w:spacing w:before="156" w:beforeLines="50" w:after="156" w:afterLines="50" w:line="370" w:lineRule="exact"/>
              <w:rPr>
                <w:rFonts w:hint="eastAsia" w:ascii="仿宋" w:hAnsi="仿宋" w:eastAsia="仿宋" w:cs="仿宋"/>
                <w:bCs/>
                <w:sz w:val="24"/>
              </w:rPr>
            </w:pPr>
            <w:r>
              <w:rPr>
                <w:rFonts w:hint="eastAsia" w:ascii="仿宋" w:hAnsi="仿宋" w:eastAsia="仿宋" w:cs="仿宋"/>
                <w:bCs/>
                <w:sz w:val="24"/>
              </w:rPr>
              <w:t>售后服务</w:t>
            </w:r>
          </w:p>
        </w:tc>
        <w:tc>
          <w:tcPr>
            <w:tcW w:w="7232" w:type="dxa"/>
            <w:vAlign w:val="center"/>
          </w:tcPr>
          <w:p w14:paraId="2FDDB468">
            <w:pPr>
              <w:spacing w:line="460" w:lineRule="exact"/>
              <w:rPr>
                <w:rFonts w:hint="eastAsia" w:ascii="仿宋" w:hAnsi="仿宋" w:eastAsia="仿宋" w:cs="仿宋"/>
                <w:bCs/>
                <w:sz w:val="24"/>
              </w:rPr>
            </w:pPr>
            <w:r>
              <w:rPr>
                <w:rFonts w:hint="eastAsia" w:ascii="仿宋" w:hAnsi="仿宋" w:eastAsia="仿宋" w:cs="仿宋"/>
                <w:bCs/>
                <w:sz w:val="24"/>
              </w:rPr>
              <w:t>6.1根据供应商提供的售后服务方案，包括但不限于后续服务能力、技术支持力量、服务内容承诺及保障措施等进行评分：</w:t>
            </w:r>
          </w:p>
          <w:p w14:paraId="21F00180">
            <w:pPr>
              <w:spacing w:line="460" w:lineRule="exact"/>
              <w:rPr>
                <w:rFonts w:hint="eastAsia" w:ascii="仿宋" w:hAnsi="仿宋" w:eastAsia="仿宋" w:cs="仿宋"/>
                <w:bCs/>
                <w:sz w:val="24"/>
              </w:rPr>
            </w:pPr>
            <w:r>
              <w:rPr>
                <w:rFonts w:hint="eastAsia" w:ascii="仿宋" w:hAnsi="仿宋" w:eastAsia="仿宋" w:cs="仿宋"/>
                <w:bCs/>
                <w:sz w:val="24"/>
              </w:rPr>
              <w:t>售后方案全面且周到，有利于本项目实施的得满分</w:t>
            </w:r>
            <w:r>
              <w:rPr>
                <w:rFonts w:hint="eastAsia" w:ascii="仿宋" w:hAnsi="仿宋" w:eastAsia="仿宋" w:cs="仿宋"/>
                <w:bCs/>
                <w:color w:val="FF0000"/>
                <w:sz w:val="24"/>
              </w:rPr>
              <w:t>5</w:t>
            </w:r>
            <w:r>
              <w:rPr>
                <w:rFonts w:hint="eastAsia" w:ascii="仿宋" w:hAnsi="仿宋" w:eastAsia="仿宋" w:cs="仿宋"/>
                <w:bCs/>
                <w:sz w:val="24"/>
              </w:rPr>
              <w:t>分。有欠缺或与本项目无关的，每项扣1分，最多扣4分。</w:t>
            </w:r>
          </w:p>
          <w:p w14:paraId="3B725D18">
            <w:pPr>
              <w:spacing w:line="460" w:lineRule="exact"/>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未提供的不得分</w:t>
            </w:r>
            <w:r>
              <w:rPr>
                <w:rFonts w:hint="eastAsia" w:ascii="仿宋" w:hAnsi="仿宋" w:eastAsia="仿宋" w:cs="仿宋"/>
                <w:bCs/>
                <w:sz w:val="24"/>
              </w:rPr>
              <w:t>】</w:t>
            </w:r>
          </w:p>
        </w:tc>
        <w:tc>
          <w:tcPr>
            <w:tcW w:w="1216" w:type="dxa"/>
            <w:vMerge w:val="restart"/>
            <w:vAlign w:val="center"/>
          </w:tcPr>
          <w:p w14:paraId="4F8329E2">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0-7分</w:t>
            </w:r>
          </w:p>
        </w:tc>
      </w:tr>
      <w:tr w14:paraId="3167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3" w:type="dxa"/>
            <w:vMerge w:val="continue"/>
            <w:vAlign w:val="center"/>
          </w:tcPr>
          <w:p w14:paraId="4890459D">
            <w:pPr>
              <w:spacing w:line="460" w:lineRule="exact"/>
            </w:pPr>
          </w:p>
        </w:tc>
        <w:tc>
          <w:tcPr>
            <w:tcW w:w="1363" w:type="dxa"/>
            <w:vMerge w:val="continue"/>
            <w:vAlign w:val="center"/>
          </w:tcPr>
          <w:p w14:paraId="5416AD85">
            <w:pPr>
              <w:spacing w:line="460" w:lineRule="exact"/>
            </w:pPr>
          </w:p>
        </w:tc>
        <w:tc>
          <w:tcPr>
            <w:tcW w:w="7232" w:type="dxa"/>
            <w:vAlign w:val="center"/>
          </w:tcPr>
          <w:p w14:paraId="0B346199">
            <w:pPr>
              <w:spacing w:line="460" w:lineRule="exact"/>
              <w:rPr>
                <w:rFonts w:hint="eastAsia" w:ascii="仿宋" w:hAnsi="仿宋" w:eastAsia="仿宋" w:cs="仿宋"/>
                <w:bCs/>
                <w:sz w:val="24"/>
              </w:rPr>
            </w:pPr>
            <w:r>
              <w:rPr>
                <w:rFonts w:hint="eastAsia" w:ascii="仿宋" w:hAnsi="仿宋" w:eastAsia="仿宋" w:cs="仿宋"/>
                <w:bCs/>
                <w:sz w:val="24"/>
              </w:rPr>
              <w:t>6.2、接到采购人通知（电话、电传等）后响应时间在3小时内的得1分，每减少0.5小时加1分，最高得</w:t>
            </w:r>
            <w:r>
              <w:rPr>
                <w:rFonts w:hint="eastAsia" w:ascii="仿宋" w:hAnsi="仿宋" w:eastAsia="仿宋" w:cs="仿宋"/>
                <w:bCs/>
                <w:color w:val="FF0000"/>
                <w:sz w:val="24"/>
              </w:rPr>
              <w:t>2</w:t>
            </w:r>
            <w:r>
              <w:rPr>
                <w:rFonts w:hint="eastAsia" w:ascii="仿宋" w:hAnsi="仿宋" w:eastAsia="仿宋" w:cs="仿宋"/>
                <w:bCs/>
                <w:sz w:val="24"/>
              </w:rPr>
              <w:t>分。</w:t>
            </w:r>
          </w:p>
          <w:p w14:paraId="46811D03">
            <w:pPr>
              <w:spacing w:line="460" w:lineRule="exact"/>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
                <w:sz w:val="24"/>
              </w:rPr>
              <w:t>须提供承诺函加盖供应商公章，格式自拟，未提供不得分</w:t>
            </w:r>
            <w:r>
              <w:rPr>
                <w:rFonts w:hint="eastAsia" w:ascii="仿宋" w:hAnsi="仿宋" w:eastAsia="仿宋" w:cs="仿宋"/>
                <w:bCs/>
                <w:sz w:val="24"/>
              </w:rPr>
              <w:t>】</w:t>
            </w:r>
          </w:p>
        </w:tc>
        <w:tc>
          <w:tcPr>
            <w:tcW w:w="1216" w:type="dxa"/>
            <w:vMerge w:val="continue"/>
            <w:vAlign w:val="center"/>
          </w:tcPr>
          <w:p w14:paraId="4F971549">
            <w:pPr>
              <w:spacing w:line="460" w:lineRule="exact"/>
              <w:rPr>
                <w:rFonts w:hint="eastAsia" w:ascii="仿宋" w:hAnsi="仿宋" w:eastAsia="仿宋" w:cs="仿宋"/>
                <w:sz w:val="24"/>
              </w:rPr>
            </w:pPr>
          </w:p>
        </w:tc>
      </w:tr>
      <w:tr w14:paraId="632C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14:paraId="6172CA3E">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7</w:t>
            </w:r>
          </w:p>
        </w:tc>
        <w:tc>
          <w:tcPr>
            <w:tcW w:w="1363" w:type="dxa"/>
            <w:vAlign w:val="center"/>
          </w:tcPr>
          <w:p w14:paraId="4B108A4D">
            <w:pPr>
              <w:spacing w:line="380" w:lineRule="exact"/>
              <w:jc w:val="center"/>
              <w:rPr>
                <w:rFonts w:hint="eastAsia" w:ascii="仿宋" w:hAnsi="仿宋" w:eastAsia="仿宋" w:cs="仿宋"/>
                <w:bCs/>
                <w:sz w:val="24"/>
              </w:rPr>
            </w:pPr>
            <w:r>
              <w:rPr>
                <w:rFonts w:hint="eastAsia" w:ascii="仿宋" w:hAnsi="仿宋" w:eastAsia="仿宋" w:cs="仿宋"/>
                <w:bCs/>
                <w:sz w:val="24"/>
              </w:rPr>
              <w:t>保密措施</w:t>
            </w:r>
          </w:p>
        </w:tc>
        <w:tc>
          <w:tcPr>
            <w:tcW w:w="7232" w:type="dxa"/>
            <w:vAlign w:val="center"/>
          </w:tcPr>
          <w:p w14:paraId="40E16A31">
            <w:pPr>
              <w:spacing w:line="460" w:lineRule="exact"/>
              <w:rPr>
                <w:rFonts w:ascii="仿宋" w:hAnsi="仿宋" w:eastAsia="仿宋" w:cs="仿宋"/>
                <w:bCs/>
                <w:sz w:val="24"/>
              </w:rPr>
            </w:pPr>
            <w:r>
              <w:rPr>
                <w:rFonts w:hint="eastAsia" w:ascii="仿宋" w:hAnsi="仿宋" w:eastAsia="仿宋" w:cs="仿宋"/>
                <w:bCs/>
                <w:sz w:val="24"/>
              </w:rPr>
              <w:t>供应商提供的保密措施工作安排中，对参与本项目的人员所涉及档案管理措施及制度以及数据信息保密措施等进行评定：</w:t>
            </w:r>
          </w:p>
          <w:p w14:paraId="5BA237F9">
            <w:pPr>
              <w:spacing w:line="460" w:lineRule="exact"/>
              <w:rPr>
                <w:rFonts w:hint="eastAsia" w:ascii="仿宋" w:hAnsi="仿宋" w:eastAsia="仿宋" w:cs="仿宋"/>
                <w:bCs/>
                <w:sz w:val="24"/>
              </w:rPr>
            </w:pPr>
            <w:r>
              <w:rPr>
                <w:rFonts w:hint="eastAsia" w:ascii="仿宋" w:hAnsi="仿宋" w:eastAsia="仿宋" w:cs="仿宋"/>
                <w:bCs/>
                <w:sz w:val="24"/>
              </w:rPr>
              <w:t>保密措施全面且科学，有利于本项目实施的得满分</w:t>
            </w:r>
            <w:r>
              <w:rPr>
                <w:rFonts w:hint="eastAsia" w:ascii="仿宋" w:hAnsi="仿宋" w:eastAsia="仿宋" w:cs="仿宋"/>
                <w:bCs/>
                <w:color w:val="FF0000"/>
                <w:sz w:val="24"/>
              </w:rPr>
              <w:t>5</w:t>
            </w:r>
            <w:r>
              <w:rPr>
                <w:rFonts w:hint="eastAsia" w:ascii="仿宋" w:hAnsi="仿宋" w:eastAsia="仿宋" w:cs="仿宋"/>
                <w:bCs/>
                <w:sz w:val="24"/>
              </w:rPr>
              <w:t>分。有欠缺或与本项目无关的，每项扣1分，最多扣4分。</w:t>
            </w:r>
          </w:p>
        </w:tc>
        <w:tc>
          <w:tcPr>
            <w:tcW w:w="1216" w:type="dxa"/>
            <w:vAlign w:val="center"/>
          </w:tcPr>
          <w:p w14:paraId="0BD3ACFE">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0-5分</w:t>
            </w:r>
          </w:p>
        </w:tc>
      </w:tr>
      <w:tr w14:paraId="4E7D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14:paraId="6DD5CA83">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8</w:t>
            </w:r>
          </w:p>
        </w:tc>
        <w:tc>
          <w:tcPr>
            <w:tcW w:w="1363" w:type="dxa"/>
            <w:vAlign w:val="center"/>
          </w:tcPr>
          <w:p w14:paraId="4A362587">
            <w:pPr>
              <w:spacing w:line="380" w:lineRule="exact"/>
              <w:jc w:val="center"/>
              <w:rPr>
                <w:rFonts w:hint="eastAsia" w:ascii="仿宋" w:hAnsi="仿宋" w:eastAsia="仿宋" w:cs="仿宋"/>
                <w:bCs/>
                <w:sz w:val="24"/>
              </w:rPr>
            </w:pPr>
            <w:r>
              <w:rPr>
                <w:rFonts w:hint="eastAsia" w:ascii="仿宋" w:hAnsi="仿宋" w:eastAsia="仿宋" w:cs="仿宋"/>
                <w:bCs/>
                <w:sz w:val="24"/>
              </w:rPr>
              <w:t>荣誉业绩</w:t>
            </w:r>
          </w:p>
        </w:tc>
        <w:tc>
          <w:tcPr>
            <w:tcW w:w="7232" w:type="dxa"/>
            <w:vAlign w:val="center"/>
          </w:tcPr>
          <w:p w14:paraId="71CB07CD">
            <w:pPr>
              <w:spacing w:line="460" w:lineRule="exact"/>
              <w:rPr>
                <w:rFonts w:hint="eastAsia" w:ascii="仿宋" w:hAnsi="仿宋" w:eastAsia="仿宋" w:cs="仿宋"/>
                <w:bCs/>
                <w:sz w:val="24"/>
              </w:rPr>
            </w:pPr>
            <w:r>
              <w:rPr>
                <w:rFonts w:hint="eastAsia" w:ascii="仿宋" w:hAnsi="仿宋" w:eastAsia="仿宋" w:cs="仿宋"/>
                <w:bCs/>
                <w:sz w:val="24"/>
              </w:rPr>
              <w:t>8.1根据供应商提供的“规划项目”荣誉（荣誉证书或颁发文件，落款时间为2021年1月1日至今）进行评定：省级及以上每个得1分，市级每个得0.5分，本项最高得</w:t>
            </w:r>
            <w:r>
              <w:rPr>
                <w:rFonts w:hint="eastAsia" w:ascii="仿宋" w:hAnsi="仿宋" w:eastAsia="仿宋" w:cs="仿宋"/>
                <w:bCs/>
                <w:color w:val="FF0000"/>
                <w:sz w:val="24"/>
              </w:rPr>
              <w:t>2</w:t>
            </w:r>
            <w:r>
              <w:rPr>
                <w:rFonts w:hint="eastAsia" w:ascii="仿宋" w:hAnsi="仿宋" w:eastAsia="仿宋" w:cs="仿宋"/>
                <w:bCs/>
                <w:sz w:val="24"/>
              </w:rPr>
              <w:t>分，未提供不得分。</w:t>
            </w:r>
          </w:p>
          <w:p w14:paraId="60D3342B">
            <w:pPr>
              <w:spacing w:line="460" w:lineRule="exact"/>
              <w:rPr>
                <w:rFonts w:ascii="仿宋" w:hAnsi="仿宋" w:eastAsia="仿宋" w:cs="仿宋"/>
                <w:b/>
                <w:sz w:val="24"/>
              </w:rPr>
            </w:pPr>
            <w:r>
              <w:rPr>
                <w:rFonts w:hint="eastAsia" w:ascii="仿宋" w:hAnsi="仿宋" w:eastAsia="仿宋" w:cs="仿宋"/>
                <w:b/>
                <w:sz w:val="24"/>
              </w:rPr>
              <w:t>【须提供荣誉证书或颁发文件扫描件加盖公章，证书或文件上未体现单位名称且无其他证明资料的，不予认可】</w:t>
            </w:r>
          </w:p>
          <w:p w14:paraId="01F031FD">
            <w:pPr>
              <w:spacing w:line="460" w:lineRule="exact"/>
              <w:rPr>
                <w:rFonts w:hint="eastAsia" w:ascii="仿宋" w:hAnsi="仿宋" w:eastAsia="仿宋" w:cs="仿宋"/>
                <w:bCs/>
                <w:sz w:val="24"/>
              </w:rPr>
            </w:pPr>
            <w:bookmarkStart w:id="6" w:name="_GoBack"/>
            <w:r>
              <w:rPr>
                <w:rFonts w:hint="eastAsia" w:ascii="仿宋" w:hAnsi="仿宋" w:eastAsia="仿宋" w:cs="仿宋"/>
                <w:bCs/>
                <w:sz w:val="24"/>
              </w:rPr>
              <w:t>8.2根据供应商提供的自2021年1月1日（以合同签订时间为准）起至投标截止日类似项目的业绩进行评定：每提供一份得0.5分，本项最多得</w:t>
            </w:r>
            <w:r>
              <w:rPr>
                <w:rFonts w:hint="eastAsia" w:ascii="仿宋" w:hAnsi="仿宋" w:eastAsia="仿宋" w:cs="仿宋"/>
                <w:bCs/>
                <w:color w:val="FF0000"/>
                <w:sz w:val="24"/>
              </w:rPr>
              <w:t>1</w:t>
            </w:r>
            <w:r>
              <w:rPr>
                <w:rFonts w:hint="eastAsia" w:ascii="仿宋" w:hAnsi="仿宋" w:eastAsia="仿宋" w:cs="仿宋"/>
                <w:bCs/>
                <w:sz w:val="24"/>
              </w:rPr>
              <w:t>分。</w:t>
            </w:r>
          </w:p>
          <w:p w14:paraId="48165059">
            <w:pPr>
              <w:spacing w:line="460" w:lineRule="exact"/>
              <w:rPr>
                <w:rFonts w:hint="eastAsia" w:ascii="仿宋" w:hAnsi="仿宋" w:eastAsia="仿宋" w:cs="仿宋"/>
                <w:bCs/>
                <w:sz w:val="24"/>
              </w:rPr>
            </w:pPr>
            <w:r>
              <w:rPr>
                <w:rFonts w:hint="eastAsia" w:ascii="仿宋" w:hAnsi="仿宋" w:eastAsia="仿宋" w:cs="仿宋"/>
                <w:b/>
                <w:sz w:val="24"/>
              </w:rPr>
              <w:t>【同一采购人不同合同不重复计分。提供合同复印件并加盖公章，未提供不得分】</w:t>
            </w:r>
            <w:bookmarkEnd w:id="6"/>
          </w:p>
        </w:tc>
        <w:tc>
          <w:tcPr>
            <w:tcW w:w="1216" w:type="dxa"/>
            <w:vAlign w:val="center"/>
          </w:tcPr>
          <w:p w14:paraId="4FD7CCD0">
            <w:pPr>
              <w:spacing w:before="156" w:beforeLines="50" w:after="156" w:afterLines="50" w:line="370" w:lineRule="exact"/>
              <w:jc w:val="center"/>
              <w:rPr>
                <w:rFonts w:hint="eastAsia" w:ascii="仿宋" w:hAnsi="仿宋" w:eastAsia="仿宋" w:cs="仿宋"/>
                <w:bCs/>
                <w:sz w:val="24"/>
              </w:rPr>
            </w:pPr>
            <w:r>
              <w:rPr>
                <w:rFonts w:hint="eastAsia" w:ascii="仿宋" w:hAnsi="仿宋" w:eastAsia="仿宋" w:cs="仿宋"/>
                <w:bCs/>
                <w:sz w:val="24"/>
              </w:rPr>
              <w:t>0-3分</w:t>
            </w:r>
          </w:p>
        </w:tc>
      </w:tr>
    </w:tbl>
    <w:p w14:paraId="43CFFFCE">
      <w:pPr>
        <w:pStyle w:val="5"/>
        <w:pageBreakBefore w:val="0"/>
        <w:kinsoku/>
        <w:topLinePunct w:val="0"/>
        <w:bidi w:val="0"/>
        <w:spacing w:line="421" w:lineRule="auto"/>
      </w:pPr>
    </w:p>
    <w:p w14:paraId="5D6F765C">
      <w:pPr>
        <w:pageBreakBefore w:val="0"/>
        <w:kinsoku/>
        <w:topLinePunct w:val="0"/>
        <w:bidi w:val="0"/>
        <w:spacing w:before="78" w:line="220" w:lineRule="auto"/>
        <w:ind w:left="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注：计分原则：</w:t>
      </w:r>
    </w:p>
    <w:p w14:paraId="2B09935B">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hint="eastAsia" w:ascii="宋体" w:hAnsi="宋体" w:eastAsia="宋体" w:cs="宋体"/>
          <w:spacing w:val="1"/>
          <w:sz w:val="24"/>
          <w:szCs w:val="24"/>
          <w:lang w:eastAsia="zh-CN"/>
        </w:rPr>
        <w:t>(1)</w:t>
      </w:r>
      <w:r>
        <w:rPr>
          <w:rFonts w:ascii="宋体" w:hAnsi="宋体" w:eastAsia="宋体" w:cs="宋体"/>
          <w:spacing w:val="1"/>
          <w:sz w:val="24"/>
          <w:szCs w:val="24"/>
        </w:rPr>
        <w:t>技术部分由磋商小组</w:t>
      </w:r>
      <w:r>
        <w:rPr>
          <w:rFonts w:hint="eastAsia" w:ascii="宋体" w:hAnsi="宋体" w:eastAsia="宋体" w:cs="宋体"/>
          <w:spacing w:val="1"/>
          <w:sz w:val="24"/>
          <w:szCs w:val="24"/>
          <w:lang w:eastAsia="zh-CN"/>
        </w:rPr>
        <w:t>成员</w:t>
      </w:r>
      <w:r>
        <w:rPr>
          <w:rFonts w:ascii="宋体" w:hAnsi="宋体" w:eastAsia="宋体" w:cs="宋体"/>
          <w:spacing w:val="1"/>
          <w:sz w:val="24"/>
          <w:szCs w:val="24"/>
        </w:rPr>
        <w:t>分别打分后，取平均分作为技术分最后得分。</w:t>
      </w:r>
    </w:p>
    <w:p w14:paraId="01ED6E28">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hint="eastAsia" w:ascii="宋体" w:hAnsi="宋体" w:eastAsia="宋体" w:cs="宋体"/>
          <w:spacing w:val="1"/>
          <w:sz w:val="24"/>
          <w:szCs w:val="24"/>
          <w:lang w:eastAsia="zh-CN"/>
        </w:rPr>
        <w:t>(2)</w:t>
      </w:r>
      <w:r>
        <w:rPr>
          <w:rFonts w:ascii="宋体" w:hAnsi="宋体" w:eastAsia="宋体" w:cs="宋体"/>
          <w:spacing w:val="1"/>
          <w:sz w:val="24"/>
          <w:szCs w:val="24"/>
        </w:rPr>
        <w:t>磋商小组</w:t>
      </w:r>
      <w:r>
        <w:rPr>
          <w:rFonts w:hint="eastAsia" w:ascii="宋体" w:hAnsi="宋体" w:eastAsia="宋体" w:cs="宋体"/>
          <w:spacing w:val="1"/>
          <w:sz w:val="24"/>
          <w:szCs w:val="24"/>
          <w:lang w:eastAsia="zh-CN"/>
        </w:rPr>
        <w:t>成员</w:t>
      </w:r>
      <w:r>
        <w:rPr>
          <w:rFonts w:ascii="宋体" w:hAnsi="宋体" w:eastAsia="宋体" w:cs="宋体"/>
          <w:spacing w:val="1"/>
          <w:sz w:val="24"/>
          <w:szCs w:val="24"/>
        </w:rPr>
        <w:t>评分的算术平均值为供应商的最终得分。评分计算保留2位小数，第三位小数四舍五入。</w:t>
      </w:r>
    </w:p>
    <w:p w14:paraId="10F7D0BB">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hint="eastAsia" w:ascii="宋体" w:hAnsi="宋体" w:eastAsia="宋体" w:cs="宋体"/>
          <w:spacing w:val="1"/>
          <w:sz w:val="24"/>
          <w:szCs w:val="24"/>
          <w:lang w:eastAsia="zh-CN"/>
        </w:rPr>
        <w:t>(3)</w:t>
      </w:r>
      <w:r>
        <w:rPr>
          <w:rFonts w:ascii="宋体" w:hAnsi="宋体" w:eastAsia="宋体" w:cs="宋体"/>
          <w:spacing w:val="1"/>
          <w:sz w:val="24"/>
          <w:szCs w:val="24"/>
        </w:rPr>
        <w:t>得分相同的，按技术指标优劣顺序排列。</w:t>
      </w:r>
    </w:p>
    <w:p w14:paraId="55537EC4">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hint="eastAsia" w:ascii="宋体" w:hAnsi="宋体" w:eastAsia="宋体" w:cs="宋体"/>
          <w:spacing w:val="1"/>
          <w:sz w:val="24"/>
          <w:szCs w:val="24"/>
          <w:lang w:eastAsia="zh-CN"/>
        </w:rPr>
        <w:t>(4)</w:t>
      </w:r>
      <w:r>
        <w:rPr>
          <w:rFonts w:ascii="宋体" w:hAnsi="宋体" w:eastAsia="宋体" w:cs="宋体"/>
          <w:spacing w:val="1"/>
          <w:sz w:val="24"/>
          <w:szCs w:val="24"/>
        </w:rPr>
        <w:t>磋商小组按评分排序确定</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，同时提交</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报告，由磋商小组成员集体签名。</w:t>
      </w:r>
    </w:p>
    <w:p w14:paraId="17A90613">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hint="eastAsia" w:ascii="宋体" w:hAnsi="宋体" w:eastAsia="宋体" w:cs="宋体"/>
          <w:spacing w:val="1"/>
          <w:sz w:val="24"/>
          <w:szCs w:val="24"/>
          <w:lang w:eastAsia="zh-CN"/>
        </w:rPr>
        <w:t>(5)评审</w:t>
      </w:r>
      <w:r>
        <w:rPr>
          <w:rFonts w:ascii="宋体" w:hAnsi="宋体" w:eastAsia="宋体" w:cs="宋体"/>
          <w:spacing w:val="1"/>
          <w:sz w:val="24"/>
          <w:szCs w:val="24"/>
        </w:rPr>
        <w:t>中如遇未考虑到的问题，由磋商小组成员集体研究处理决定。</w:t>
      </w:r>
    </w:p>
    <w:p w14:paraId="6759A30F">
      <w:pPr>
        <w:pageBreakBefore w:val="0"/>
        <w:kinsoku/>
        <w:topLinePunct w:val="0"/>
        <w:bidi w:val="0"/>
        <w:spacing w:before="182" w:line="220" w:lineRule="auto"/>
        <w:ind w:left="527"/>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5.其他注意事项：</w:t>
      </w:r>
    </w:p>
    <w:p w14:paraId="75D02491">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hint="eastAsia" w:ascii="宋体" w:hAnsi="宋体" w:eastAsia="宋体" w:cs="宋体"/>
          <w:spacing w:val="1"/>
          <w:sz w:val="24"/>
          <w:szCs w:val="24"/>
          <w:lang w:eastAsia="zh-CN"/>
        </w:rPr>
        <w:t>(1)评审</w:t>
      </w:r>
      <w:r>
        <w:rPr>
          <w:rFonts w:ascii="宋体" w:hAnsi="宋体" w:eastAsia="宋体" w:cs="宋体"/>
          <w:spacing w:val="1"/>
          <w:sz w:val="24"/>
          <w:szCs w:val="24"/>
        </w:rPr>
        <w:t>工作在磋商小组内独立进行。</w:t>
      </w:r>
    </w:p>
    <w:p w14:paraId="425BFC53">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(2)为了有助于审查、评估和比较，磋商小组有权向供应商质疑、查看有关资质原件、供应商解释响应文件内容。供应商有责任按照磋商小组通知的时间、地点指派专人进行答疑、澄清、提供有关资质原件。</w:t>
      </w:r>
    </w:p>
    <w:p w14:paraId="13A332D0">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(3)在评审期间，供应商不得向磋商小组成员询问情况，不得进行影响评审结果的活动。</w:t>
      </w:r>
    </w:p>
    <w:p w14:paraId="188A1E10">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(4)采购人、采购代理机构及磋商小组不退还磋商响应文件。</w:t>
      </w:r>
    </w:p>
    <w:p w14:paraId="34CE468C">
      <w:pPr>
        <w:pageBreakBefore w:val="0"/>
        <w:kinsoku/>
        <w:wordWrap/>
        <w:topLinePunct w:val="0"/>
        <w:bidi w:val="0"/>
        <w:spacing w:before="182" w:line="359" w:lineRule="auto"/>
        <w:ind w:left="122" w:firstLine="485"/>
        <w:jc w:val="both"/>
        <w:rPr>
          <w:rFonts w:ascii="宋体" w:hAnsi="宋体" w:eastAsia="宋体" w:cs="宋体"/>
          <w:spacing w:val="1"/>
          <w:sz w:val="24"/>
          <w:szCs w:val="24"/>
          <w:lang w:val="en-US" w:eastAsia="en-US"/>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val="en-US" w:eastAsia="en-US"/>
        </w:rPr>
        <w:t>在</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lang w:val="en-US" w:eastAsia="en-US"/>
        </w:rPr>
        <w:t>过程中如供应商有不正当行为时，磋商小组有权</w:t>
      </w:r>
      <w:r>
        <w:rPr>
          <w:rFonts w:hint="eastAsia" w:ascii="宋体" w:hAnsi="宋体" w:eastAsia="宋体" w:cs="宋体"/>
          <w:spacing w:val="1"/>
          <w:sz w:val="24"/>
          <w:szCs w:val="24"/>
          <w:lang w:val="en-US" w:eastAsia="zh-CN"/>
        </w:rPr>
        <w:t>终止</w:t>
      </w:r>
      <w:r>
        <w:rPr>
          <w:rFonts w:hint="eastAsia" w:ascii="宋体" w:hAnsi="宋体" w:eastAsia="宋体" w:cs="宋体"/>
          <w:spacing w:val="1"/>
          <w:sz w:val="24"/>
          <w:szCs w:val="24"/>
          <w:lang w:val="en-US" w:eastAsia="en-US"/>
        </w:rPr>
        <w:t>其资格。</w:t>
      </w:r>
    </w:p>
    <w:p w14:paraId="66D4F2BD">
      <w:pPr>
        <w:pageBreakBefore w:val="0"/>
        <w:kinsoku/>
        <w:topLinePunct w:val="0"/>
        <w:bidi w:val="0"/>
        <w:spacing w:before="182" w:line="359" w:lineRule="auto"/>
        <w:ind w:left="122" w:firstLine="485"/>
        <w:jc w:val="both"/>
        <w:rPr>
          <w:rFonts w:ascii="宋体" w:hAnsi="宋体" w:eastAsia="宋体" w:cs="宋体"/>
          <w:spacing w:val="1"/>
          <w:sz w:val="24"/>
          <w:szCs w:val="24"/>
          <w:lang w:val="en-US" w:eastAsia="en-US"/>
        </w:rPr>
      </w:pPr>
    </w:p>
    <w:p w14:paraId="20E1829A">
      <w:pPr>
        <w:rPr>
          <w:rFonts w:ascii="宋体" w:hAnsi="宋体" w:eastAsia="宋体" w:cs="宋体"/>
          <w:spacing w:val="1"/>
          <w:sz w:val="24"/>
          <w:szCs w:val="24"/>
          <w:lang w:val="en-US" w:eastAsia="en-US"/>
        </w:rPr>
      </w:pPr>
      <w:r>
        <w:rPr>
          <w:rFonts w:ascii="宋体" w:hAnsi="宋体" w:eastAsia="宋体" w:cs="宋体"/>
          <w:spacing w:val="1"/>
          <w:sz w:val="24"/>
          <w:szCs w:val="24"/>
          <w:lang w:val="en-US" w:eastAsia="en-US"/>
        </w:rPr>
        <w:br w:type="page"/>
      </w:r>
    </w:p>
    <w:p w14:paraId="1C160B6D">
      <w:pPr>
        <w:pStyle w:val="5"/>
        <w:pageBreakBefore w:val="0"/>
        <w:kinsoku/>
        <w:topLinePunct w:val="0"/>
        <w:bidi w:val="0"/>
        <w:rPr>
          <w:rFonts w:ascii="宋体" w:hAnsi="宋体" w:eastAsia="宋体" w:cs="宋体"/>
          <w:spacing w:val="1"/>
          <w:sz w:val="24"/>
          <w:szCs w:val="24"/>
          <w:lang w:val="en-US" w:eastAsia="en-US"/>
        </w:rPr>
      </w:pPr>
    </w:p>
    <w:p w14:paraId="5B94A4D9">
      <w:pPr>
        <w:pageBreakBefore w:val="0"/>
        <w:kinsoku/>
        <w:topLinePunct w:val="0"/>
        <w:bidi w:val="0"/>
        <w:spacing w:before="145" w:line="227" w:lineRule="auto"/>
        <w:ind w:left="2525"/>
        <w:outlineLvl w:val="0"/>
        <w:rPr>
          <w:rFonts w:ascii="黑体" w:hAnsi="黑体" w:eastAsia="黑体" w:cs="黑体"/>
          <w:sz w:val="35"/>
          <w:szCs w:val="35"/>
        </w:rPr>
      </w:pPr>
      <w:bookmarkStart w:id="4" w:name="bookmark5"/>
      <w:bookmarkEnd w:id="4"/>
      <w:bookmarkStart w:id="5" w:name="bookmark4"/>
      <w:bookmarkEnd w:id="5"/>
      <w:r>
        <w:rPr>
          <w:rFonts w:ascii="黑体" w:hAnsi="黑体" w:eastAsia="黑体" w:cs="黑体"/>
          <w:spacing w:val="9"/>
          <w:sz w:val="35"/>
          <w:szCs w:val="35"/>
          <w14:textOutline w14:w="6537" w14:cap="sq" w14:cmpd="sng">
            <w14:solidFill>
              <w14:srgbClr w14:val="000000"/>
            </w14:solidFill>
            <w14:prstDash w14:val="solid"/>
            <w14:bevel/>
          </w14:textOutline>
        </w:rPr>
        <w:t>第四章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采购内容及需求</w:t>
      </w:r>
    </w:p>
    <w:p w14:paraId="5C9482B8">
      <w:pPr>
        <w:pStyle w:val="5"/>
        <w:pageBreakBefore w:val="0"/>
        <w:kinsoku/>
        <w:topLinePunct w:val="0"/>
        <w:bidi w:val="0"/>
        <w:spacing w:line="248" w:lineRule="auto"/>
      </w:pPr>
    </w:p>
    <w:p w14:paraId="04228CD9">
      <w:pPr>
        <w:keepNext w:val="0"/>
        <w:keepLines w:val="0"/>
        <w:pageBreakBefore w:val="0"/>
        <w:widowControl w:val="0"/>
        <w:kinsoku/>
        <w:wordWrap/>
        <w:overflowPunct/>
        <w:topLinePunct w:val="0"/>
        <w:autoSpaceDE/>
        <w:autoSpaceDN/>
        <w:bidi w:val="0"/>
        <w:adjustRightInd/>
        <w:snapToGrid/>
        <w:ind w:left="559" w:leftChars="266" w:firstLine="0" w:firstLineChars="0"/>
        <w:jc w:val="both"/>
        <w:textAlignment w:val="auto"/>
        <w:rPr>
          <w:rFonts w:hint="eastAsia" w:ascii="Times New Roman" w:hAnsi="Times New Roman" w:eastAsia="宋体" w:cs="Times New Roman"/>
          <w:i w:val="0"/>
          <w:iCs w:val="0"/>
          <w:caps w:val="0"/>
          <w:color w:val="000000"/>
          <w:spacing w:val="0"/>
          <w:sz w:val="28"/>
          <w:szCs w:val="28"/>
          <w:lang w:eastAsia="zh-CN"/>
        </w:rPr>
      </w:pPr>
      <w:r>
        <w:rPr>
          <w:rFonts w:hint="eastAsia" w:ascii="Times New Roman" w:hAnsi="Times New Roman" w:eastAsia="宋体" w:cs="Times New Roman"/>
          <w:i w:val="0"/>
          <w:iCs w:val="0"/>
          <w:caps w:val="0"/>
          <w:color w:val="000000"/>
          <w:spacing w:val="0"/>
          <w:sz w:val="28"/>
          <w:szCs w:val="28"/>
        </w:rPr>
        <w:t>项目名称：</w:t>
      </w:r>
      <w:r>
        <w:rPr>
          <w:rFonts w:hint="eastAsia" w:ascii="Times New Roman" w:hAnsi="Times New Roman" w:eastAsia="宋体" w:cs="Times New Roman"/>
          <w:i w:val="0"/>
          <w:iCs w:val="0"/>
          <w:caps w:val="0"/>
          <w:color w:val="000000"/>
          <w:spacing w:val="0"/>
          <w:sz w:val="28"/>
          <w:szCs w:val="28"/>
          <w:lang w:eastAsia="zh-CN"/>
        </w:rPr>
        <w:t>柯坪县“十五五”自然资源规划修编项目（二次）</w:t>
      </w:r>
    </w:p>
    <w:p w14:paraId="4DB8E5F1">
      <w:pPr>
        <w:keepNext w:val="0"/>
        <w:keepLines w:val="0"/>
        <w:pageBreakBefore w:val="0"/>
        <w:widowControl w:val="0"/>
        <w:kinsoku/>
        <w:wordWrap/>
        <w:overflowPunct/>
        <w:topLinePunct w:val="0"/>
        <w:autoSpaceDE/>
        <w:autoSpaceDN/>
        <w:bidi w:val="0"/>
        <w:adjustRightInd/>
        <w:snapToGrid/>
        <w:ind w:left="559" w:leftChars="266" w:firstLine="0" w:firstLineChars="0"/>
        <w:jc w:val="both"/>
        <w:textAlignment w:val="auto"/>
        <w:rPr>
          <w:rFonts w:hint="eastAsia" w:ascii="Times New Roman" w:hAnsi="Times New Roman" w:eastAsia="宋体"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rPr>
        <w:t>服务地点</w:t>
      </w:r>
      <w:r>
        <w:rPr>
          <w:rFonts w:hint="eastAsia" w:ascii="Times New Roman" w:hAnsi="Times New Roman" w:eastAsia="宋体" w:cs="Times New Roman"/>
          <w:i w:val="0"/>
          <w:iCs w:val="0"/>
          <w:caps w:val="0"/>
          <w:color w:val="000000"/>
          <w:spacing w:val="0"/>
          <w:sz w:val="28"/>
          <w:szCs w:val="28"/>
          <w:lang w:eastAsia="zh-CN"/>
        </w:rPr>
        <w:t>：</w:t>
      </w:r>
      <w:r>
        <w:rPr>
          <w:rFonts w:hint="eastAsia" w:ascii="Times New Roman" w:hAnsi="Times New Roman" w:eastAsia="宋体" w:cs="Times New Roman"/>
          <w:i w:val="0"/>
          <w:iCs w:val="0"/>
          <w:caps w:val="0"/>
          <w:color w:val="000000"/>
          <w:spacing w:val="0"/>
          <w:sz w:val="28"/>
          <w:szCs w:val="28"/>
        </w:rPr>
        <w:t>阿克苏地区柯坪县</w:t>
      </w:r>
    </w:p>
    <w:p w14:paraId="117435D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imes New Roman" w:hAnsi="Times New Roman" w:eastAsia="宋体"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rPr>
        <w:t>预算金额：</w:t>
      </w:r>
      <w:r>
        <w:rPr>
          <w:rFonts w:hint="eastAsia" w:ascii="Times New Roman" w:hAnsi="Times New Roman" w:eastAsia="宋体" w:cs="Times New Roman"/>
          <w:i w:val="0"/>
          <w:iCs w:val="0"/>
          <w:caps w:val="0"/>
          <w:color w:val="000000"/>
          <w:spacing w:val="0"/>
          <w:sz w:val="28"/>
          <w:szCs w:val="28"/>
          <w:lang w:eastAsia="zh-CN"/>
        </w:rPr>
        <w:t>1400000.00</w:t>
      </w:r>
      <w:r>
        <w:rPr>
          <w:rFonts w:hint="eastAsia" w:ascii="Times New Roman" w:hAnsi="Times New Roman" w:eastAsia="宋体" w:cs="Times New Roman"/>
          <w:i w:val="0"/>
          <w:iCs w:val="0"/>
          <w:caps w:val="0"/>
          <w:color w:val="000000"/>
          <w:spacing w:val="0"/>
          <w:sz w:val="28"/>
          <w:szCs w:val="28"/>
        </w:rPr>
        <w:t>元</w:t>
      </w:r>
    </w:p>
    <w:p w14:paraId="2CA82B6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imes New Roman" w:hAnsi="Times New Roman" w:eastAsia="宋体" w:cs="Times New Roman"/>
          <w:i w:val="0"/>
          <w:iCs w:val="0"/>
          <w:caps w:val="0"/>
          <w:color w:val="0000FF"/>
          <w:spacing w:val="0"/>
          <w:sz w:val="28"/>
          <w:szCs w:val="28"/>
          <w:lang w:eastAsia="zh-CN"/>
        </w:rPr>
      </w:pPr>
      <w:r>
        <w:rPr>
          <w:rFonts w:hint="eastAsia" w:ascii="Times New Roman" w:hAnsi="Times New Roman" w:eastAsia="宋体" w:cs="Times New Roman"/>
          <w:i w:val="0"/>
          <w:iCs w:val="0"/>
          <w:caps w:val="0"/>
          <w:color w:val="000000"/>
          <w:spacing w:val="0"/>
          <w:sz w:val="28"/>
          <w:szCs w:val="28"/>
        </w:rPr>
        <w:t>合同履约期限：</w:t>
      </w:r>
      <w:r>
        <w:rPr>
          <w:rFonts w:hint="eastAsia" w:ascii="Times New Roman" w:hAnsi="Times New Roman" w:eastAsia="宋体" w:cs="Times New Roman"/>
          <w:i w:val="0"/>
          <w:iCs w:val="0"/>
          <w:caps w:val="0"/>
          <w:color w:val="000000"/>
          <w:spacing w:val="0"/>
          <w:sz w:val="28"/>
          <w:szCs w:val="28"/>
          <w:highlight w:val="none"/>
          <w:lang w:eastAsia="zh-CN"/>
        </w:rPr>
        <w:t>自合同签订之日起至2025年10月31日止</w:t>
      </w:r>
    </w:p>
    <w:p w14:paraId="58256A42">
      <w:pPr>
        <w:pStyle w:val="5"/>
        <w:pageBreakBefore w:val="0"/>
        <w:kinsoku/>
        <w:topLinePunct w:val="0"/>
        <w:bidi w:val="0"/>
        <w:spacing w:line="305" w:lineRule="auto"/>
        <w:rPr>
          <w:rFonts w:hint="eastAsia" w:ascii="Times New Roman" w:hAnsi="Times New Roman" w:eastAsia="宋体"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rPr>
        <w:t>采购内容：</w:t>
      </w:r>
    </w:p>
    <w:p w14:paraId="74FF687B">
      <w:pPr>
        <w:pStyle w:val="5"/>
        <w:pageBreakBefore w:val="0"/>
        <w:kinsoku/>
        <w:topLinePunct w:val="0"/>
        <w:bidi w:val="0"/>
        <w:spacing w:line="305" w:lineRule="auto"/>
        <w:ind w:firstLine="560" w:firstLineChars="200"/>
        <w:rPr>
          <w:rFonts w:hint="eastAsia" w:ascii="Times New Roman" w:hAnsi="Times New Roman" w:eastAsia="宋体" w:cs="Times New Roman"/>
          <w:i w:val="0"/>
          <w:iCs w:val="0"/>
          <w:caps w:val="0"/>
          <w:color w:val="000000"/>
          <w:spacing w:val="0"/>
          <w:sz w:val="28"/>
          <w:szCs w:val="28"/>
        </w:rPr>
      </w:pPr>
      <w:r>
        <w:rPr>
          <w:rFonts w:hint="eastAsia" w:ascii="Times New Roman" w:hAnsi="Times New Roman" w:eastAsia="宋体" w:cs="Times New Roman"/>
          <w:i w:val="0"/>
          <w:iCs w:val="0"/>
          <w:caps w:val="0"/>
          <w:color w:val="000000"/>
          <w:spacing w:val="0"/>
          <w:sz w:val="28"/>
          <w:szCs w:val="28"/>
        </w:rPr>
        <w:t>1.根据国家、自治区、地区等相关文件精神和技术规范，结合柯坪城镇发展实际需求，对已定城镇开发边界进行适当优化调整，完善城镇功能，提升人居环境品质，优化空间的区域边界。</w:t>
      </w:r>
    </w:p>
    <w:p w14:paraId="12E76AD7">
      <w:pPr>
        <w:pStyle w:val="5"/>
        <w:pageBreakBefore w:val="0"/>
        <w:kinsoku/>
        <w:topLinePunct w:val="0"/>
        <w:bidi w:val="0"/>
        <w:spacing w:line="305" w:lineRule="auto"/>
        <w:ind w:firstLine="560" w:firstLineChars="200"/>
        <w:rPr>
          <w:rFonts w:hint="eastAsia" w:ascii="宋体" w:hAnsi="宋体" w:eastAsia="宋体" w:cs="宋体"/>
          <w:lang w:eastAsia="zh-CN"/>
        </w:rPr>
      </w:pPr>
      <w:r>
        <w:rPr>
          <w:rFonts w:hint="eastAsia" w:ascii="Times New Roman" w:hAnsi="Times New Roman" w:eastAsia="宋体" w:cs="Times New Roman"/>
          <w:i w:val="0"/>
          <w:iCs w:val="0"/>
          <w:caps w:val="0"/>
          <w:color w:val="000000"/>
          <w:spacing w:val="0"/>
          <w:sz w:val="28"/>
          <w:szCs w:val="28"/>
        </w:rPr>
        <w:t xml:space="preserve"> 2.开展柯坪县控制性详细规划修编，优化城镇整体空间布局，推动柯坪县城市和产业集中高质量发展。</w:t>
      </w:r>
    </w:p>
    <w:p w14:paraId="576F1D2D">
      <w:pPr>
        <w:pStyle w:val="5"/>
        <w:pageBreakBefore w:val="0"/>
        <w:kinsoku/>
        <w:topLinePunct w:val="0"/>
        <w:bidi w:val="0"/>
        <w:spacing w:line="305" w:lineRule="auto"/>
        <w:rPr>
          <w:rFonts w:hint="eastAsia" w:ascii="宋体" w:hAnsi="宋体" w:eastAsia="宋体" w:cs="宋体"/>
        </w:rPr>
      </w:pPr>
    </w:p>
    <w:p w14:paraId="67C70282">
      <w:pPr>
        <w:pStyle w:val="5"/>
        <w:pageBreakBefore w:val="0"/>
        <w:kinsoku/>
        <w:topLinePunct w:val="0"/>
        <w:bidi w:val="0"/>
        <w:spacing w:line="305" w:lineRule="auto"/>
        <w:rPr>
          <w:rFonts w:hint="eastAsia" w:ascii="宋体" w:hAnsi="宋体" w:eastAsia="宋体" w:cs="宋体"/>
        </w:rPr>
      </w:pPr>
    </w:p>
    <w:p w14:paraId="5BAC0741">
      <w:pPr>
        <w:rPr>
          <w:rFonts w:hint="eastAsia" w:ascii="宋体" w:hAnsi="宋体" w:eastAsia="宋体" w:cs="宋体"/>
        </w:rPr>
      </w:pPr>
      <w:r>
        <w:rPr>
          <w:rFonts w:hint="eastAsia" w:ascii="宋体" w:hAnsi="宋体" w:eastAsia="宋体" w:cs="宋体"/>
        </w:rPr>
        <w:br w:type="page"/>
      </w:r>
    </w:p>
    <w:p w14:paraId="1658F40F">
      <w:pPr>
        <w:pStyle w:val="5"/>
        <w:pageBreakBefore w:val="0"/>
        <w:kinsoku/>
        <w:topLinePunct w:val="0"/>
        <w:bidi w:val="0"/>
        <w:spacing w:line="305" w:lineRule="auto"/>
        <w:rPr>
          <w:rFonts w:hint="eastAsia" w:ascii="宋体" w:hAnsi="宋体" w:eastAsia="宋体" w:cs="宋体"/>
        </w:rPr>
      </w:pPr>
    </w:p>
    <w:p w14:paraId="0B01D9CF">
      <w:pPr>
        <w:pStyle w:val="5"/>
        <w:pageBreakBefore w:val="0"/>
        <w:kinsoku/>
        <w:topLinePunct w:val="0"/>
        <w:bidi w:val="0"/>
        <w:spacing w:line="305" w:lineRule="auto"/>
        <w:rPr>
          <w:rFonts w:hint="eastAsia" w:ascii="宋体" w:hAnsi="宋体" w:eastAsia="宋体" w:cs="宋体"/>
        </w:rPr>
      </w:pPr>
    </w:p>
    <w:p w14:paraId="6DF4D0C8">
      <w:pPr>
        <w:pageBreakBefore w:val="0"/>
        <w:kinsoku/>
        <w:topLinePunct w:val="0"/>
        <w:bidi w:val="0"/>
        <w:spacing w:before="1" w:line="214" w:lineRule="auto"/>
        <w:ind w:left="2689"/>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第五章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磋商响应文件格式</w:t>
      </w:r>
    </w:p>
    <w:p w14:paraId="33E222A7">
      <w:pPr>
        <w:pageBreakBefore w:val="0"/>
        <w:kinsoku/>
        <w:topLinePunct w:val="0"/>
        <w:bidi w:val="0"/>
        <w:spacing w:before="173" w:line="905" w:lineRule="exact"/>
      </w:pPr>
    </w:p>
    <w:p w14:paraId="242D8D0C">
      <w:pPr>
        <w:pageBreakBefore w:val="0"/>
        <w:kinsoku/>
        <w:topLinePunct w:val="0"/>
        <w:bidi w:val="0"/>
        <w:spacing w:before="9" w:line="194" w:lineRule="auto"/>
        <w:ind w:left="48"/>
        <w:rPr>
          <w:rFonts w:ascii="宋体" w:hAnsi="宋体" w:eastAsia="宋体" w:cs="宋体"/>
          <w:sz w:val="31"/>
          <w:szCs w:val="31"/>
        </w:rPr>
      </w:pPr>
      <w:r>
        <w:rPr>
          <w:rFonts w:ascii="宋体" w:hAnsi="宋体" w:eastAsia="宋体" w:cs="宋体"/>
          <w:spacing w:val="3"/>
          <w:sz w:val="31"/>
          <w:szCs w:val="31"/>
          <w:u w:val="single" w:color="000000"/>
          <w14:textOutline w14:w="5793" w14:cap="sq" w14:cmpd="sng">
            <w14:solidFill>
              <w14:srgbClr w14:val="000000"/>
            </w14:solidFill>
            <w14:prstDash w14:val="solid"/>
            <w14:bevel/>
          </w14:textOutline>
        </w:rPr>
        <w:t>磋商响应封面格式</w:t>
      </w:r>
    </w:p>
    <w:tbl>
      <w:tblPr>
        <w:tblStyle w:val="19"/>
        <w:tblW w:w="1985" w:type="dxa"/>
        <w:tblInd w:w="662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85"/>
      </w:tblGrid>
      <w:tr w14:paraId="3F463D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99" w:hRule="atLeast"/>
        </w:trPr>
        <w:tc>
          <w:tcPr>
            <w:tcW w:w="1985" w:type="dxa"/>
            <w:vAlign w:val="top"/>
          </w:tcPr>
          <w:p w14:paraId="64F5F16B">
            <w:pPr>
              <w:pageBreakBefore w:val="0"/>
              <w:kinsoku/>
              <w:topLinePunct w:val="0"/>
              <w:bidi w:val="0"/>
              <w:spacing w:line="365" w:lineRule="auto"/>
              <w:rPr>
                <w:rFonts w:ascii="Arial"/>
                <w:sz w:val="21"/>
              </w:rPr>
            </w:pPr>
          </w:p>
          <w:p w14:paraId="66462CF9">
            <w:pPr>
              <w:pageBreakBefore w:val="0"/>
              <w:kinsoku/>
              <w:topLinePunct w:val="0"/>
              <w:bidi w:val="0"/>
              <w:spacing w:before="98" w:line="219" w:lineRule="auto"/>
              <w:ind w:left="250"/>
              <w:rPr>
                <w:rFonts w:ascii="宋体" w:hAnsi="宋体" w:eastAsia="宋体" w:cs="宋体"/>
                <w:sz w:val="30"/>
                <w:szCs w:val="30"/>
              </w:rPr>
            </w:pPr>
            <w:r>
              <w:rPr>
                <w:rFonts w:ascii="宋体" w:hAnsi="宋体" w:eastAsia="宋体" w:cs="宋体"/>
                <w:spacing w:val="-3"/>
                <w:sz w:val="30"/>
                <w:szCs w:val="30"/>
              </w:rPr>
              <w:t>标明正副本</w:t>
            </w:r>
          </w:p>
        </w:tc>
      </w:tr>
    </w:tbl>
    <w:p w14:paraId="45A5C553">
      <w:pPr>
        <w:pStyle w:val="5"/>
        <w:pageBreakBefore w:val="0"/>
        <w:kinsoku/>
        <w:topLinePunct w:val="0"/>
        <w:bidi w:val="0"/>
        <w:spacing w:line="299" w:lineRule="auto"/>
      </w:pPr>
    </w:p>
    <w:p w14:paraId="4EBFB796">
      <w:pPr>
        <w:pStyle w:val="5"/>
        <w:pageBreakBefore w:val="0"/>
        <w:kinsoku/>
        <w:topLinePunct w:val="0"/>
        <w:bidi w:val="0"/>
        <w:spacing w:line="299" w:lineRule="auto"/>
      </w:pPr>
    </w:p>
    <w:p w14:paraId="0B046687">
      <w:pPr>
        <w:pStyle w:val="5"/>
        <w:pageBreakBefore w:val="0"/>
        <w:kinsoku/>
        <w:topLinePunct w:val="0"/>
        <w:bidi w:val="0"/>
        <w:spacing w:line="300" w:lineRule="auto"/>
      </w:pPr>
    </w:p>
    <w:p w14:paraId="6380C3B7">
      <w:pPr>
        <w:pageBreakBefore w:val="0"/>
        <w:kinsoku/>
        <w:topLinePunct w:val="0"/>
        <w:bidi w:val="0"/>
        <w:spacing w:before="97" w:line="220" w:lineRule="auto"/>
        <w:ind w:left="28"/>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项目名称：</w:t>
      </w:r>
    </w:p>
    <w:p w14:paraId="3ACD7A34">
      <w:pPr>
        <w:pStyle w:val="5"/>
        <w:pageBreakBefore w:val="0"/>
        <w:kinsoku/>
        <w:topLinePunct w:val="0"/>
        <w:bidi w:val="0"/>
        <w:spacing w:line="263" w:lineRule="auto"/>
      </w:pPr>
    </w:p>
    <w:p w14:paraId="7EFD9A72">
      <w:pPr>
        <w:pStyle w:val="5"/>
        <w:pageBreakBefore w:val="0"/>
        <w:kinsoku/>
        <w:topLinePunct w:val="0"/>
        <w:bidi w:val="0"/>
        <w:spacing w:line="263" w:lineRule="auto"/>
      </w:pPr>
    </w:p>
    <w:p w14:paraId="779F7A18">
      <w:pPr>
        <w:pStyle w:val="5"/>
        <w:pageBreakBefore w:val="0"/>
        <w:kinsoku/>
        <w:topLinePunct w:val="0"/>
        <w:bidi w:val="0"/>
        <w:spacing w:line="263" w:lineRule="auto"/>
      </w:pPr>
    </w:p>
    <w:p w14:paraId="522E740E">
      <w:pPr>
        <w:pStyle w:val="5"/>
        <w:pageBreakBefore w:val="0"/>
        <w:kinsoku/>
        <w:topLinePunct w:val="0"/>
        <w:bidi w:val="0"/>
        <w:spacing w:line="264" w:lineRule="auto"/>
      </w:pPr>
    </w:p>
    <w:p w14:paraId="43E09289">
      <w:pPr>
        <w:pStyle w:val="5"/>
        <w:pageBreakBefore w:val="0"/>
        <w:kinsoku/>
        <w:topLinePunct w:val="0"/>
        <w:bidi w:val="0"/>
        <w:spacing w:line="264" w:lineRule="auto"/>
      </w:pPr>
    </w:p>
    <w:p w14:paraId="3AA0D87D">
      <w:pPr>
        <w:pStyle w:val="5"/>
        <w:pageBreakBefore w:val="0"/>
        <w:kinsoku/>
        <w:topLinePunct w:val="0"/>
        <w:bidi w:val="0"/>
        <w:spacing w:line="264" w:lineRule="auto"/>
      </w:pPr>
    </w:p>
    <w:p w14:paraId="4782E72C">
      <w:pPr>
        <w:pStyle w:val="5"/>
        <w:pageBreakBefore w:val="0"/>
        <w:kinsoku/>
        <w:topLinePunct w:val="0"/>
        <w:bidi w:val="0"/>
        <w:spacing w:line="264" w:lineRule="auto"/>
      </w:pPr>
    </w:p>
    <w:p w14:paraId="7C773021">
      <w:pPr>
        <w:pageBreakBefore w:val="0"/>
        <w:kinsoku/>
        <w:topLinePunct w:val="0"/>
        <w:bidi w:val="0"/>
        <w:spacing w:before="325" w:line="220" w:lineRule="auto"/>
        <w:ind w:left="1191"/>
        <w:outlineLvl w:val="0"/>
        <w:rPr>
          <w:rFonts w:ascii="宋体" w:hAnsi="宋体" w:eastAsia="宋体" w:cs="宋体"/>
          <w:sz w:val="100"/>
          <w:szCs w:val="100"/>
        </w:rPr>
      </w:pPr>
      <w:r>
        <w:rPr>
          <w:rFonts w:ascii="宋体" w:hAnsi="宋体" w:eastAsia="宋体" w:cs="宋体"/>
          <w:spacing w:val="-3"/>
          <w:sz w:val="100"/>
          <w:szCs w:val="100"/>
          <w14:textOutline w14:w="18179" w14:cap="sq" w14:cmpd="sng">
            <w14:solidFill>
              <w14:srgbClr w14:val="000000"/>
            </w14:solidFill>
            <w14:prstDash w14:val="solid"/>
            <w14:bevel/>
          </w14:textOutline>
        </w:rPr>
        <w:t>磋商响应文件</w:t>
      </w:r>
    </w:p>
    <w:p w14:paraId="43EBF2C0">
      <w:pPr>
        <w:pStyle w:val="5"/>
        <w:pageBreakBefore w:val="0"/>
        <w:kinsoku/>
        <w:topLinePunct w:val="0"/>
        <w:bidi w:val="0"/>
        <w:spacing w:line="253" w:lineRule="auto"/>
      </w:pPr>
    </w:p>
    <w:p w14:paraId="1AA989DA">
      <w:pPr>
        <w:pStyle w:val="5"/>
        <w:pageBreakBefore w:val="0"/>
        <w:kinsoku/>
        <w:topLinePunct w:val="0"/>
        <w:bidi w:val="0"/>
        <w:spacing w:line="253" w:lineRule="auto"/>
      </w:pPr>
    </w:p>
    <w:p w14:paraId="46CBFEBB">
      <w:pPr>
        <w:pStyle w:val="5"/>
        <w:pageBreakBefore w:val="0"/>
        <w:kinsoku/>
        <w:topLinePunct w:val="0"/>
        <w:bidi w:val="0"/>
        <w:spacing w:line="253" w:lineRule="auto"/>
      </w:pPr>
    </w:p>
    <w:p w14:paraId="3F887704">
      <w:pPr>
        <w:pStyle w:val="5"/>
        <w:pageBreakBefore w:val="0"/>
        <w:kinsoku/>
        <w:topLinePunct w:val="0"/>
        <w:bidi w:val="0"/>
        <w:spacing w:line="254" w:lineRule="auto"/>
      </w:pPr>
    </w:p>
    <w:p w14:paraId="224FA406">
      <w:pPr>
        <w:pStyle w:val="5"/>
        <w:pageBreakBefore w:val="0"/>
        <w:kinsoku/>
        <w:topLinePunct w:val="0"/>
        <w:bidi w:val="0"/>
        <w:spacing w:line="254" w:lineRule="auto"/>
      </w:pPr>
    </w:p>
    <w:p w14:paraId="7D869EBA">
      <w:pPr>
        <w:pStyle w:val="5"/>
        <w:pageBreakBefore w:val="0"/>
        <w:kinsoku/>
        <w:topLinePunct w:val="0"/>
        <w:bidi w:val="0"/>
        <w:spacing w:line="254" w:lineRule="auto"/>
      </w:pPr>
    </w:p>
    <w:p w14:paraId="207E8A7E">
      <w:pPr>
        <w:pStyle w:val="5"/>
        <w:pageBreakBefore w:val="0"/>
        <w:kinsoku/>
        <w:topLinePunct w:val="0"/>
        <w:bidi w:val="0"/>
        <w:spacing w:line="254" w:lineRule="auto"/>
      </w:pPr>
    </w:p>
    <w:p w14:paraId="1FA2EC66">
      <w:pPr>
        <w:pStyle w:val="5"/>
        <w:pageBreakBefore w:val="0"/>
        <w:kinsoku/>
        <w:topLinePunct w:val="0"/>
        <w:bidi w:val="0"/>
        <w:spacing w:line="254" w:lineRule="auto"/>
      </w:pPr>
    </w:p>
    <w:p w14:paraId="2BEAEDE5">
      <w:pPr>
        <w:pageBreakBefore w:val="0"/>
        <w:kinsoku/>
        <w:topLinePunct w:val="0"/>
        <w:bidi w:val="0"/>
        <w:spacing w:before="91" w:line="220" w:lineRule="auto"/>
        <w:ind w:left="1287"/>
        <w:rPr>
          <w:rFonts w:ascii="宋体" w:hAnsi="宋体" w:eastAsia="宋体" w:cs="宋体"/>
          <w:sz w:val="28"/>
          <w:szCs w:val="28"/>
        </w:rPr>
      </w:pPr>
      <w:r>
        <w:rPr>
          <w:rFonts w:ascii="宋体" w:hAnsi="宋体" w:eastAsia="宋体" w:cs="宋体"/>
          <w:spacing w:val="-3"/>
          <w:sz w:val="28"/>
          <w:szCs w:val="28"/>
        </w:rPr>
        <w:t>项目编号：</w:t>
      </w:r>
    </w:p>
    <w:p w14:paraId="594FD67E">
      <w:pPr>
        <w:pageBreakBefore w:val="0"/>
        <w:kinsoku/>
        <w:topLinePunct w:val="0"/>
        <w:bidi w:val="0"/>
        <w:spacing w:before="266" w:line="600" w:lineRule="exact"/>
        <w:ind w:left="1282"/>
        <w:rPr>
          <w:rFonts w:ascii="宋体" w:hAnsi="宋体" w:eastAsia="宋体" w:cs="宋体"/>
          <w:sz w:val="28"/>
          <w:szCs w:val="28"/>
        </w:rPr>
      </w:pPr>
      <w:r>
        <w:rPr>
          <w:rFonts w:ascii="宋体" w:hAnsi="宋体" w:eastAsia="宋体" w:cs="宋体"/>
          <w:spacing w:val="-3"/>
          <w:position w:val="24"/>
          <w:sz w:val="28"/>
          <w:szCs w:val="28"/>
        </w:rPr>
        <w:t>供   应   商：</w:t>
      </w:r>
      <w:r>
        <w:rPr>
          <w:rFonts w:ascii="宋体" w:hAnsi="宋体" w:eastAsia="宋体" w:cs="宋体"/>
          <w:spacing w:val="-82"/>
          <w:position w:val="24"/>
          <w:sz w:val="28"/>
          <w:szCs w:val="28"/>
        </w:rPr>
        <w:t xml:space="preserve"> </w:t>
      </w:r>
      <w:r>
        <w:rPr>
          <w:rFonts w:ascii="宋体" w:hAnsi="宋体" w:eastAsia="宋体" w:cs="宋体"/>
          <w:spacing w:val="-3"/>
          <w:position w:val="24"/>
          <w:sz w:val="28"/>
          <w:szCs w:val="28"/>
        </w:rPr>
        <w:t>×××××××（加盖公章）</w:t>
      </w:r>
    </w:p>
    <w:p w14:paraId="1E4F5F97">
      <w:pPr>
        <w:pageBreakBefore w:val="0"/>
        <w:kinsoku/>
        <w:topLinePunct w:val="0"/>
        <w:bidi w:val="0"/>
        <w:spacing w:before="2" w:line="219" w:lineRule="auto"/>
        <w:ind w:left="1283"/>
        <w:rPr>
          <w:rFonts w:ascii="宋体" w:hAnsi="宋体" w:eastAsia="宋体" w:cs="宋体"/>
          <w:sz w:val="28"/>
          <w:szCs w:val="28"/>
        </w:rPr>
      </w:pPr>
      <w:r>
        <w:rPr>
          <w:rFonts w:ascii="宋体" w:hAnsi="宋体" w:eastAsia="宋体" w:cs="宋体"/>
          <w:spacing w:val="-4"/>
          <w:sz w:val="28"/>
          <w:szCs w:val="28"/>
        </w:rPr>
        <w:t>法定代表人或委托代理人：</w:t>
      </w:r>
      <w:r>
        <w:rPr>
          <w:rFonts w:ascii="宋体" w:hAnsi="宋体" w:eastAsia="宋体" w:cs="宋体"/>
          <w:spacing w:val="-77"/>
          <w:sz w:val="28"/>
          <w:szCs w:val="28"/>
        </w:rPr>
        <w:t xml:space="preserve"> </w:t>
      </w:r>
      <w:r>
        <w:rPr>
          <w:rFonts w:ascii="宋体" w:hAnsi="宋体" w:eastAsia="宋体" w:cs="宋体"/>
          <w:spacing w:val="-4"/>
          <w:sz w:val="28"/>
          <w:szCs w:val="28"/>
        </w:rPr>
        <w:t>×××（签字</w:t>
      </w:r>
      <w:r>
        <w:rPr>
          <w:rFonts w:hint="eastAsia" w:ascii="宋体" w:hAnsi="宋体" w:eastAsia="宋体" w:cs="宋体"/>
          <w:spacing w:val="-4"/>
          <w:sz w:val="28"/>
          <w:szCs w:val="28"/>
          <w:lang w:eastAsia="zh-CN"/>
        </w:rPr>
        <w:t>或盖章</w:t>
      </w:r>
      <w:r>
        <w:rPr>
          <w:rFonts w:ascii="宋体" w:hAnsi="宋体" w:eastAsia="宋体" w:cs="宋体"/>
          <w:spacing w:val="-4"/>
          <w:sz w:val="28"/>
          <w:szCs w:val="28"/>
        </w:rPr>
        <w:t>）</w:t>
      </w:r>
    </w:p>
    <w:p w14:paraId="35AFB83D">
      <w:pPr>
        <w:pageBreakBefore w:val="0"/>
        <w:kinsoku/>
        <w:topLinePunct w:val="0"/>
        <w:bidi w:val="0"/>
        <w:spacing w:before="266" w:line="222" w:lineRule="auto"/>
        <w:ind w:left="1283"/>
        <w:rPr>
          <w:rFonts w:ascii="宋体" w:hAnsi="宋体" w:eastAsia="宋体" w:cs="宋体"/>
          <w:sz w:val="28"/>
          <w:szCs w:val="28"/>
        </w:rPr>
      </w:pPr>
      <w:r>
        <w:rPr>
          <w:rFonts w:ascii="宋体" w:hAnsi="宋体" w:eastAsia="宋体" w:cs="宋体"/>
          <w:spacing w:val="-3"/>
          <w:sz w:val="28"/>
          <w:szCs w:val="28"/>
        </w:rPr>
        <w:t>联系人：</w:t>
      </w:r>
    </w:p>
    <w:p w14:paraId="166FD942">
      <w:pPr>
        <w:pageBreakBefore w:val="0"/>
        <w:kinsoku/>
        <w:topLinePunct w:val="0"/>
        <w:bidi w:val="0"/>
        <w:spacing w:before="264" w:line="222" w:lineRule="auto"/>
        <w:ind w:left="1283"/>
        <w:rPr>
          <w:rFonts w:ascii="宋体" w:hAnsi="宋体" w:eastAsia="宋体" w:cs="宋体"/>
          <w:sz w:val="28"/>
          <w:szCs w:val="28"/>
        </w:rPr>
      </w:pPr>
      <w:r>
        <w:rPr>
          <w:rFonts w:ascii="宋体" w:hAnsi="宋体" w:eastAsia="宋体" w:cs="宋体"/>
          <w:spacing w:val="-3"/>
          <w:sz w:val="28"/>
          <w:szCs w:val="28"/>
        </w:rPr>
        <w:t>联系电话：</w:t>
      </w:r>
    </w:p>
    <w:p w14:paraId="619F48B3">
      <w:pPr>
        <w:pageBreakBefore w:val="0"/>
        <w:kinsoku/>
        <w:topLinePunct w:val="0"/>
        <w:bidi w:val="0"/>
        <w:spacing w:before="263" w:line="220" w:lineRule="auto"/>
        <w:ind w:left="1285"/>
        <w:rPr>
          <w:rFonts w:ascii="宋体" w:hAnsi="宋体" w:eastAsia="宋体" w:cs="宋体"/>
          <w:sz w:val="28"/>
          <w:szCs w:val="28"/>
        </w:rPr>
      </w:pPr>
      <w:r>
        <w:rPr>
          <w:rFonts w:hint="eastAsia" w:ascii="宋体" w:hAnsi="宋体" w:eastAsia="宋体" w:cs="宋体"/>
          <w:spacing w:val="-8"/>
          <w:sz w:val="28"/>
          <w:szCs w:val="28"/>
          <w:lang w:eastAsia="zh-CN"/>
        </w:rPr>
        <w:t>响</w:t>
      </w:r>
      <w:r>
        <w:rPr>
          <w:rFonts w:hint="eastAsia" w:ascii="宋体" w:hAnsi="宋体" w:eastAsia="宋体" w:cs="宋体"/>
          <w:spacing w:val="-8"/>
          <w:sz w:val="28"/>
          <w:szCs w:val="28"/>
          <w:lang w:val="en-US" w:eastAsia="zh-CN"/>
        </w:rPr>
        <w:t xml:space="preserve">  </w:t>
      </w:r>
      <w:r>
        <w:rPr>
          <w:rFonts w:hint="eastAsia" w:ascii="宋体" w:hAnsi="宋体" w:eastAsia="宋体" w:cs="宋体"/>
          <w:spacing w:val="-8"/>
          <w:sz w:val="28"/>
          <w:szCs w:val="28"/>
          <w:lang w:eastAsia="zh-CN"/>
        </w:rPr>
        <w:t>应</w:t>
      </w:r>
      <w:r>
        <w:rPr>
          <w:rFonts w:ascii="宋体" w:hAnsi="宋体" w:eastAsia="宋体" w:cs="宋体"/>
          <w:spacing w:val="66"/>
          <w:sz w:val="28"/>
          <w:szCs w:val="28"/>
        </w:rPr>
        <w:t xml:space="preserve"> </w:t>
      </w:r>
      <w:r>
        <w:rPr>
          <w:rFonts w:ascii="宋体" w:hAnsi="宋体" w:eastAsia="宋体" w:cs="宋体"/>
          <w:spacing w:val="-8"/>
          <w:sz w:val="28"/>
          <w:szCs w:val="28"/>
        </w:rPr>
        <w:t>日</w:t>
      </w:r>
      <w:r>
        <w:rPr>
          <w:rFonts w:ascii="宋体" w:hAnsi="宋体" w:eastAsia="宋体" w:cs="宋体"/>
          <w:spacing w:val="13"/>
          <w:sz w:val="28"/>
          <w:szCs w:val="28"/>
        </w:rPr>
        <w:t xml:space="preserve"> </w:t>
      </w:r>
      <w:r>
        <w:rPr>
          <w:rFonts w:ascii="宋体" w:hAnsi="宋体" w:eastAsia="宋体" w:cs="宋体"/>
          <w:spacing w:val="-8"/>
          <w:sz w:val="28"/>
          <w:szCs w:val="28"/>
        </w:rPr>
        <w:t>期：XX年</w:t>
      </w:r>
      <w:r>
        <w:rPr>
          <w:rFonts w:ascii="宋体" w:hAnsi="宋体" w:eastAsia="宋体" w:cs="宋体"/>
          <w:spacing w:val="-65"/>
          <w:sz w:val="28"/>
          <w:szCs w:val="28"/>
        </w:rPr>
        <w:t xml:space="preserve"> </w:t>
      </w:r>
      <w:r>
        <w:rPr>
          <w:rFonts w:ascii="宋体" w:hAnsi="宋体" w:eastAsia="宋体" w:cs="宋体"/>
          <w:spacing w:val="-8"/>
          <w:sz w:val="28"/>
          <w:szCs w:val="28"/>
        </w:rPr>
        <w:t>XX</w:t>
      </w:r>
      <w:r>
        <w:rPr>
          <w:rFonts w:ascii="宋体" w:hAnsi="宋体" w:eastAsia="宋体" w:cs="宋体"/>
          <w:spacing w:val="-54"/>
          <w:sz w:val="28"/>
          <w:szCs w:val="28"/>
        </w:rPr>
        <w:t xml:space="preserve"> </w:t>
      </w:r>
      <w:r>
        <w:rPr>
          <w:rFonts w:ascii="宋体" w:hAnsi="宋体" w:eastAsia="宋体" w:cs="宋体"/>
          <w:spacing w:val="-8"/>
          <w:sz w:val="28"/>
          <w:szCs w:val="28"/>
        </w:rPr>
        <w:t>月</w:t>
      </w:r>
      <w:r>
        <w:rPr>
          <w:rFonts w:ascii="宋体" w:hAnsi="宋体" w:eastAsia="宋体" w:cs="宋体"/>
          <w:spacing w:val="-63"/>
          <w:sz w:val="28"/>
          <w:szCs w:val="28"/>
        </w:rPr>
        <w:t xml:space="preserve"> </w:t>
      </w:r>
      <w:r>
        <w:rPr>
          <w:rFonts w:ascii="宋体" w:hAnsi="宋体" w:eastAsia="宋体" w:cs="宋体"/>
          <w:spacing w:val="-8"/>
          <w:sz w:val="28"/>
          <w:szCs w:val="28"/>
        </w:rPr>
        <w:t>XX 日</w:t>
      </w:r>
    </w:p>
    <w:p w14:paraId="68DD4C3F">
      <w:pPr>
        <w:pageBreakBefore w:val="0"/>
        <w:kinsoku/>
        <w:topLinePunct w:val="0"/>
        <w:bidi w:val="0"/>
        <w:spacing w:before="265" w:line="222" w:lineRule="auto"/>
        <w:ind w:left="4090"/>
        <w:outlineLvl w:val="1"/>
        <w:rPr>
          <w:rFonts w:ascii="黑体" w:hAnsi="黑体" w:eastAsia="黑体" w:cs="黑体"/>
          <w:spacing w:val="-3"/>
          <w:sz w:val="30"/>
          <w:szCs w:val="30"/>
          <w14:textOutline w14:w="5448" w14:cap="sq" w14:cmpd="sng">
            <w14:solidFill>
              <w14:srgbClr w14:val="000000"/>
            </w14:solidFill>
            <w14:prstDash w14:val="solid"/>
            <w14:bevel/>
          </w14:textOutline>
        </w:rPr>
      </w:pPr>
    </w:p>
    <w:p w14:paraId="381AD73B">
      <w:pPr>
        <w:pageBreakBefore w:val="0"/>
        <w:kinsoku/>
        <w:topLinePunct w:val="0"/>
        <w:bidi w:val="0"/>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14:paraId="14B17BB4">
      <w:pPr>
        <w:pStyle w:val="5"/>
        <w:pageBreakBefore w:val="0"/>
        <w:kinsoku/>
        <w:topLinePunct w:val="0"/>
        <w:bidi w:val="0"/>
        <w:spacing w:line="243" w:lineRule="auto"/>
      </w:pPr>
    </w:p>
    <w:p w14:paraId="3D17BD57">
      <w:pPr>
        <w:pStyle w:val="5"/>
        <w:pageBreakBefore w:val="0"/>
        <w:kinsoku/>
        <w:topLinePunct w:val="0"/>
        <w:bidi w:val="0"/>
        <w:spacing w:line="244" w:lineRule="auto"/>
      </w:pPr>
    </w:p>
    <w:p w14:paraId="1A257AB0">
      <w:pPr>
        <w:keepNext w:val="0"/>
        <w:keepLines w:val="0"/>
        <w:pageBreakBefore w:val="0"/>
        <w:widowControl/>
        <w:kinsoku/>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sz w:val="24"/>
          <w:szCs w:val="24"/>
        </w:rPr>
      </w:pPr>
      <w:r>
        <w:rPr>
          <w:rFonts w:ascii="仿宋" w:hAnsi="仿宋" w:eastAsia="仿宋" w:cs="仿宋"/>
          <w:b/>
          <w:bCs/>
          <w:spacing w:val="1"/>
          <w:sz w:val="24"/>
          <w:szCs w:val="24"/>
        </w:rPr>
        <w:t>1.</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14:paraId="0514CD16">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sz w:val="24"/>
          <w:szCs w:val="24"/>
        </w:rPr>
      </w:pPr>
      <w:r>
        <w:rPr>
          <w:rFonts w:ascii="仿宋" w:hAnsi="仿宋" w:eastAsia="仿宋" w:cs="仿宋"/>
          <w:b/>
          <w:bCs/>
          <w:spacing w:val="6"/>
          <w:position w:val="14"/>
          <w:sz w:val="24"/>
          <w:szCs w:val="24"/>
        </w:rPr>
        <w:t>2.报价一览表</w:t>
      </w:r>
    </w:p>
    <w:p w14:paraId="77AFC621">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3.</w:t>
      </w:r>
      <w:r>
        <w:rPr>
          <w:rFonts w:ascii="仿宋" w:hAnsi="仿宋" w:eastAsia="仿宋" w:cs="仿宋"/>
          <w:b/>
          <w:bCs/>
          <w:spacing w:val="6"/>
          <w:position w:val="14"/>
          <w:sz w:val="24"/>
          <w:szCs w:val="24"/>
        </w:rPr>
        <w:t>法定代表人身份证明</w:t>
      </w:r>
    </w:p>
    <w:p w14:paraId="44EF7949">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4</w:t>
      </w:r>
      <w:r>
        <w:rPr>
          <w:rFonts w:ascii="仿宋" w:hAnsi="仿宋" w:eastAsia="仿宋" w:cs="仿宋"/>
          <w:b/>
          <w:bCs/>
          <w:spacing w:val="6"/>
          <w:position w:val="14"/>
          <w:sz w:val="24"/>
          <w:szCs w:val="24"/>
        </w:rPr>
        <w:t>.法定代表人授权委托书</w:t>
      </w:r>
    </w:p>
    <w:p w14:paraId="7903E24E">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5</w:t>
      </w:r>
      <w:r>
        <w:rPr>
          <w:rFonts w:ascii="仿宋" w:hAnsi="仿宋" w:eastAsia="仿宋" w:cs="仿宋"/>
          <w:b/>
          <w:bCs/>
          <w:spacing w:val="6"/>
          <w:position w:val="14"/>
          <w:sz w:val="24"/>
          <w:szCs w:val="24"/>
        </w:rPr>
        <w:t>.</w:t>
      </w:r>
      <w:r>
        <w:rPr>
          <w:rFonts w:hint="eastAsia" w:ascii="仿宋" w:hAnsi="仿宋" w:eastAsia="仿宋" w:cs="仿宋"/>
          <w:b/>
          <w:bCs/>
          <w:spacing w:val="6"/>
          <w:position w:val="14"/>
          <w:sz w:val="24"/>
          <w:szCs w:val="24"/>
          <w:lang w:eastAsia="zh-CN"/>
        </w:rPr>
        <w:t>供应商</w:t>
      </w:r>
      <w:r>
        <w:rPr>
          <w:rFonts w:ascii="仿宋" w:hAnsi="仿宋" w:eastAsia="仿宋" w:cs="仿宋"/>
          <w:b/>
          <w:bCs/>
          <w:spacing w:val="6"/>
          <w:position w:val="14"/>
          <w:sz w:val="24"/>
          <w:szCs w:val="24"/>
        </w:rPr>
        <w:t>基本情况</w:t>
      </w:r>
    </w:p>
    <w:p w14:paraId="3F4FAE2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6</w:t>
      </w:r>
      <w:r>
        <w:rPr>
          <w:rFonts w:ascii="仿宋" w:hAnsi="仿宋" w:eastAsia="仿宋" w:cs="仿宋"/>
          <w:b/>
          <w:bCs/>
          <w:spacing w:val="6"/>
          <w:position w:val="14"/>
          <w:sz w:val="24"/>
          <w:szCs w:val="24"/>
        </w:rPr>
        <w:t>.近三年无重大违法记录声明</w:t>
      </w:r>
    </w:p>
    <w:p w14:paraId="5A3220EA">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7.具有履行合同所必需的设备和专业技术能力的承诺函</w:t>
      </w:r>
    </w:p>
    <w:p w14:paraId="5C967F7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8.提供单位负责人为同一人或者存在直接控股、管联关系的不同供应商，不得参加同一合同项下的政府采购活动的书面声明（格式自附）</w:t>
      </w:r>
    </w:p>
    <w:p w14:paraId="432BA38D">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9.拟投入本项目管理、服务、其他人员情况表</w:t>
      </w:r>
    </w:p>
    <w:p w14:paraId="260E5EB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10.方案</w:t>
      </w:r>
    </w:p>
    <w:p w14:paraId="52613816">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11.其他证明材料</w:t>
      </w:r>
    </w:p>
    <w:p w14:paraId="2867D71E">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12.反商业贿赂承诺书</w:t>
      </w:r>
    </w:p>
    <w:p w14:paraId="6532FB5F">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13.声明函</w:t>
      </w:r>
    </w:p>
    <w:p w14:paraId="0D7F7F8B">
      <w:pPr>
        <w:pageBreakBefore w:val="0"/>
        <w:kinsoku/>
        <w:topLinePunct w:val="0"/>
        <w:bidi w:val="0"/>
        <w:spacing w:before="182" w:line="534" w:lineRule="exact"/>
        <w:ind w:left="3440"/>
        <w:rPr>
          <w:rFonts w:ascii="仿宋" w:hAnsi="仿宋" w:eastAsia="仿宋" w:cs="仿宋"/>
          <w:b/>
          <w:bCs/>
          <w:spacing w:val="1"/>
          <w:position w:val="15"/>
          <w:sz w:val="31"/>
          <w:szCs w:val="31"/>
        </w:rPr>
      </w:pPr>
    </w:p>
    <w:p w14:paraId="6BF2A36D">
      <w:pPr>
        <w:pageBreakBefore w:val="0"/>
        <w:kinsoku/>
        <w:topLinePunct w:val="0"/>
        <w:bidi w:val="0"/>
        <w:spacing w:before="182" w:line="534" w:lineRule="exact"/>
        <w:ind w:left="3440"/>
        <w:rPr>
          <w:rFonts w:ascii="仿宋" w:hAnsi="仿宋" w:eastAsia="仿宋" w:cs="仿宋"/>
          <w:b/>
          <w:bCs/>
          <w:spacing w:val="1"/>
          <w:position w:val="15"/>
          <w:sz w:val="31"/>
          <w:szCs w:val="31"/>
        </w:rPr>
      </w:pPr>
    </w:p>
    <w:p w14:paraId="4481991D">
      <w:pPr>
        <w:pageBreakBefore w:val="0"/>
        <w:kinsoku/>
        <w:topLinePunct w:val="0"/>
        <w:bidi w:val="0"/>
        <w:spacing w:before="182" w:line="534" w:lineRule="exact"/>
        <w:ind w:left="3440"/>
        <w:rPr>
          <w:rFonts w:ascii="仿宋" w:hAnsi="仿宋" w:eastAsia="仿宋" w:cs="仿宋"/>
          <w:b/>
          <w:bCs/>
          <w:spacing w:val="1"/>
          <w:position w:val="15"/>
          <w:sz w:val="31"/>
          <w:szCs w:val="31"/>
        </w:rPr>
      </w:pPr>
    </w:p>
    <w:p w14:paraId="5EC5A98E">
      <w:pPr>
        <w:pageBreakBefore w:val="0"/>
        <w:kinsoku/>
        <w:topLinePunct w:val="0"/>
        <w:bidi w:val="0"/>
        <w:spacing w:before="182" w:line="534" w:lineRule="exact"/>
        <w:ind w:left="3440"/>
        <w:rPr>
          <w:rFonts w:hint="eastAsia" w:ascii="仿宋" w:hAnsi="仿宋" w:eastAsia="仿宋" w:cs="仿宋"/>
          <w:b/>
          <w:bCs/>
          <w:spacing w:val="1"/>
          <w:position w:val="15"/>
          <w:sz w:val="31"/>
          <w:szCs w:val="31"/>
          <w:lang w:eastAsia="zh-CN"/>
        </w:rPr>
      </w:pPr>
    </w:p>
    <w:p w14:paraId="0BCF24B4">
      <w:pPr>
        <w:pStyle w:val="18"/>
        <w:rPr>
          <w:rFonts w:hint="eastAsia"/>
          <w:lang w:eastAsia="zh-CN"/>
        </w:rPr>
      </w:pPr>
    </w:p>
    <w:p w14:paraId="7175E5DC">
      <w:pPr>
        <w:pageBreakBefore w:val="0"/>
        <w:kinsoku/>
        <w:topLinePunct w:val="0"/>
        <w:bidi w:val="0"/>
        <w:spacing w:before="182" w:line="534" w:lineRule="exact"/>
        <w:ind w:left="3440"/>
        <w:rPr>
          <w:rFonts w:hint="eastAsia" w:ascii="仿宋" w:hAnsi="仿宋" w:eastAsia="仿宋" w:cs="仿宋"/>
          <w:b/>
          <w:bCs/>
          <w:spacing w:val="1"/>
          <w:position w:val="15"/>
          <w:sz w:val="31"/>
          <w:szCs w:val="31"/>
          <w:lang w:eastAsia="zh-CN"/>
        </w:rPr>
      </w:pPr>
    </w:p>
    <w:p w14:paraId="478B4459">
      <w:pPr>
        <w:pageBreakBefore w:val="0"/>
        <w:kinsoku/>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7955EBAB">
      <w:pPr>
        <w:pageBreakBefore w:val="0"/>
        <w:kinsoku/>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14:paraId="4CB863BD">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643BD40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（项目名称、项目编号）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供应商</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供应商</w:t>
      </w:r>
      <w:r>
        <w:rPr>
          <w:rFonts w:ascii="仿宋" w:hAnsi="仿宋" w:eastAsia="仿宋" w:cs="仿宋"/>
          <w:spacing w:val="7"/>
          <w:sz w:val="24"/>
          <w:szCs w:val="24"/>
          <w:u w:val="single"/>
        </w:rPr>
        <w:t>名称、地址）</w:t>
      </w:r>
      <w:r>
        <w:rPr>
          <w:rFonts w:ascii="仿宋" w:hAnsi="仿宋" w:eastAsia="仿宋" w:cs="仿宋"/>
          <w:spacing w:val="7"/>
          <w:sz w:val="24"/>
          <w:szCs w:val="24"/>
        </w:rPr>
        <w:t>提交下述</w:t>
      </w:r>
      <w:r>
        <w:rPr>
          <w:rFonts w:hint="eastAsia" w:ascii="仿宋" w:hAnsi="仿宋" w:eastAsia="仿宋" w:cs="仿宋"/>
          <w:spacing w:val="7"/>
          <w:sz w:val="24"/>
          <w:szCs w:val="24"/>
          <w:lang w:eastAsia="zh-CN"/>
        </w:rPr>
        <w:t>响应文件</w:t>
      </w:r>
      <w:r>
        <w:rPr>
          <w:rFonts w:ascii="仿宋" w:hAnsi="仿宋" w:eastAsia="仿宋" w:cs="仿宋"/>
          <w:spacing w:val="7"/>
          <w:sz w:val="24"/>
          <w:szCs w:val="24"/>
        </w:rPr>
        <w:t>并在此声明，所递交的</w:t>
      </w:r>
      <w:r>
        <w:rPr>
          <w:rFonts w:hint="eastAsia" w:ascii="仿宋" w:hAnsi="仿宋" w:eastAsia="仿宋" w:cs="仿宋"/>
          <w:spacing w:val="7"/>
          <w:sz w:val="24"/>
          <w:szCs w:val="24"/>
          <w:lang w:eastAsia="zh-CN"/>
        </w:rPr>
        <w:t>响应文件</w:t>
      </w:r>
      <w:r>
        <w:rPr>
          <w:rFonts w:ascii="仿宋" w:hAnsi="仿宋" w:eastAsia="仿宋" w:cs="仿宋"/>
          <w:spacing w:val="7"/>
          <w:sz w:val="24"/>
          <w:szCs w:val="24"/>
        </w:rPr>
        <w:t>内容完整、真实。在此，签字代表承诺如下：</w:t>
      </w:r>
    </w:p>
    <w:p w14:paraId="6AB8C706">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各项要求，根据对应采购内容及采购要求</w:t>
      </w:r>
      <w:r>
        <w:rPr>
          <w:rFonts w:hint="eastAsia" w:ascii="仿宋" w:hAnsi="仿宋" w:eastAsia="仿宋" w:cs="仿宋"/>
          <w:spacing w:val="7"/>
          <w:sz w:val="24"/>
          <w:szCs w:val="24"/>
          <w:lang w:eastAsia="zh-CN"/>
        </w:rPr>
        <w:t>规定</w:t>
      </w:r>
      <w:r>
        <w:rPr>
          <w:rFonts w:ascii="仿宋" w:hAnsi="仿宋" w:eastAsia="仿宋" w:cs="仿宋"/>
          <w:spacing w:val="7"/>
          <w:sz w:val="24"/>
          <w:szCs w:val="24"/>
        </w:rPr>
        <w:t>以</w:t>
      </w:r>
      <w:r>
        <w:rPr>
          <w:rFonts w:hint="eastAsia" w:ascii="仿宋" w:hAnsi="仿宋" w:eastAsia="仿宋" w:cs="仿宋"/>
          <w:spacing w:val="7"/>
          <w:sz w:val="24"/>
          <w:szCs w:val="24"/>
          <w:lang w:eastAsia="zh-CN"/>
        </w:rPr>
        <w:t>总报价（元）</w:t>
      </w:r>
      <w:r>
        <w:rPr>
          <w:rFonts w:ascii="仿宋" w:hAnsi="仿宋" w:eastAsia="仿宋" w:cs="仿宋"/>
          <w:spacing w:val="7"/>
          <w:sz w:val="24"/>
          <w:szCs w:val="24"/>
        </w:rPr>
        <w:t>：</w:t>
      </w:r>
      <w:r>
        <w:rPr>
          <w:rFonts w:ascii="仿宋" w:hAnsi="仿宋" w:eastAsia="仿宋" w:cs="仿宋"/>
          <w:spacing w:val="7"/>
          <w:sz w:val="24"/>
          <w:szCs w:val="24"/>
          <w:u w:val="single"/>
        </w:rPr>
        <w:t xml:space="preserve">小写：           </w:t>
      </w:r>
      <w:r>
        <w:rPr>
          <w:rFonts w:hint="eastAsia" w:ascii="仿宋" w:hAnsi="仿宋" w:eastAsia="仿宋" w:cs="仿宋"/>
          <w:spacing w:val="7"/>
          <w:sz w:val="24"/>
          <w:szCs w:val="24"/>
          <w:u w:val="single"/>
          <w:lang w:eastAsia="zh-CN"/>
        </w:rPr>
        <w:t>（</w:t>
      </w:r>
      <w:r>
        <w:rPr>
          <w:rFonts w:ascii="仿宋" w:hAnsi="仿宋" w:eastAsia="仿宋" w:cs="仿宋"/>
          <w:spacing w:val="7"/>
          <w:sz w:val="24"/>
          <w:szCs w:val="24"/>
          <w:u w:val="single"/>
        </w:rPr>
        <w:t xml:space="preserve">大写：            </w:t>
      </w:r>
      <w:r>
        <w:rPr>
          <w:rFonts w:hint="eastAsia" w:ascii="仿宋" w:hAnsi="仿宋" w:eastAsia="仿宋" w:cs="仿宋"/>
          <w:spacing w:val="7"/>
          <w:sz w:val="24"/>
          <w:szCs w:val="24"/>
          <w:u w:val="single"/>
          <w:lang w:eastAsia="zh-CN"/>
        </w:rPr>
        <w:t>）</w:t>
      </w:r>
      <w:r>
        <w:rPr>
          <w:rFonts w:ascii="仿宋" w:hAnsi="仿宋" w:eastAsia="仿宋" w:cs="仿宋"/>
          <w:spacing w:val="7"/>
          <w:sz w:val="24"/>
          <w:szCs w:val="24"/>
        </w:rPr>
        <w:t>完成本项目全部相关</w:t>
      </w:r>
      <w:r>
        <w:rPr>
          <w:rFonts w:hint="eastAsia" w:ascii="仿宋" w:hAnsi="仿宋" w:eastAsia="仿宋" w:cs="仿宋"/>
          <w:spacing w:val="7"/>
          <w:sz w:val="24"/>
          <w:szCs w:val="24"/>
          <w:lang w:eastAsia="zh-CN"/>
        </w:rPr>
        <w:t>工程</w:t>
      </w:r>
      <w:r>
        <w:rPr>
          <w:rFonts w:ascii="仿宋" w:hAnsi="仿宋" w:eastAsia="仿宋" w:cs="仿宋"/>
          <w:spacing w:val="7"/>
          <w:sz w:val="24"/>
          <w:szCs w:val="24"/>
        </w:rPr>
        <w:t>。</w:t>
      </w:r>
    </w:p>
    <w:p w14:paraId="4AA2C7A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的规定履行合同责任和义务。</w:t>
      </w:r>
    </w:p>
    <w:p w14:paraId="646D27C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，我们完全理解并同意放弃对这方面有不明及误解的权力。</w:t>
      </w:r>
    </w:p>
    <w:p w14:paraId="4D03210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4.</w:t>
      </w:r>
      <w:r>
        <w:rPr>
          <w:rFonts w:ascii="仿宋" w:hAnsi="仿宋" w:eastAsia="仿宋" w:cs="仿宋"/>
          <w:spacing w:val="7"/>
          <w:sz w:val="24"/>
          <w:szCs w:val="24"/>
        </w:rPr>
        <w:t>若我方取得</w:t>
      </w:r>
      <w:r>
        <w:rPr>
          <w:rFonts w:hint="eastAsia" w:ascii="仿宋" w:hAnsi="仿宋" w:eastAsia="仿宋" w:cs="仿宋"/>
          <w:spacing w:val="7"/>
          <w:sz w:val="24"/>
          <w:szCs w:val="24"/>
          <w:lang w:eastAsia="zh-CN"/>
        </w:rPr>
        <w:t>成交资格</w:t>
      </w:r>
      <w:r>
        <w:rPr>
          <w:rFonts w:ascii="仿宋" w:hAnsi="仿宋" w:eastAsia="仿宋" w:cs="仿宋"/>
          <w:spacing w:val="7"/>
          <w:sz w:val="24"/>
          <w:szCs w:val="24"/>
        </w:rPr>
        <w:t>，愿</w:t>
      </w:r>
      <w:r>
        <w:rPr>
          <w:rFonts w:hint="eastAsia" w:ascii="仿宋" w:hAnsi="仿宋" w:eastAsia="仿宋" w:cs="仿宋"/>
          <w:spacing w:val="7"/>
          <w:sz w:val="24"/>
          <w:szCs w:val="24"/>
          <w:lang w:eastAsia="zh-CN"/>
        </w:rPr>
        <w:t>依</w:t>
      </w:r>
      <w:r>
        <w:rPr>
          <w:rFonts w:ascii="仿宋" w:hAnsi="仿宋" w:eastAsia="仿宋" w:cs="仿宋"/>
          <w:spacing w:val="7"/>
          <w:sz w:val="24"/>
          <w:szCs w:val="24"/>
        </w:rPr>
        <w:t>本项目</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w:t>
      </w:r>
      <w:r>
        <w:rPr>
          <w:rFonts w:hint="eastAsia" w:ascii="仿宋" w:hAnsi="仿宋" w:eastAsia="仿宋" w:cs="仿宋"/>
          <w:spacing w:val="7"/>
          <w:sz w:val="24"/>
          <w:szCs w:val="24"/>
          <w:lang w:eastAsia="zh-CN"/>
        </w:rPr>
        <w:t>采购代理服务费</w:t>
      </w:r>
      <w:r>
        <w:rPr>
          <w:rFonts w:ascii="仿宋" w:hAnsi="仿宋" w:eastAsia="仿宋" w:cs="仿宋"/>
          <w:spacing w:val="7"/>
          <w:sz w:val="24"/>
          <w:szCs w:val="24"/>
        </w:rPr>
        <w:t>。</w:t>
      </w:r>
    </w:p>
    <w:p w14:paraId="2F8114E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w:t>
      </w:r>
      <w:r>
        <w:rPr>
          <w:rFonts w:hint="eastAsia" w:ascii="仿宋" w:hAnsi="仿宋" w:eastAsia="仿宋" w:cs="仿宋"/>
          <w:spacing w:val="7"/>
          <w:sz w:val="24"/>
          <w:szCs w:val="24"/>
          <w:lang w:eastAsia="zh-CN"/>
        </w:rPr>
        <w:t>项目</w:t>
      </w:r>
      <w:r>
        <w:rPr>
          <w:rFonts w:ascii="仿宋" w:hAnsi="仿宋" w:eastAsia="仿宋" w:cs="仿宋"/>
          <w:spacing w:val="7"/>
          <w:sz w:val="24"/>
          <w:szCs w:val="24"/>
        </w:rPr>
        <w:t>有关的一切数据或资料。</w:t>
      </w:r>
    </w:p>
    <w:p w14:paraId="62858FD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（供应商认为需要的其他补充说明）。</w:t>
      </w:r>
    </w:p>
    <w:p w14:paraId="0E917C9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w:t>
      </w:r>
      <w:r>
        <w:rPr>
          <w:rFonts w:hint="eastAsia" w:ascii="仿宋" w:hAnsi="仿宋" w:eastAsia="仿宋" w:cs="仿宋"/>
          <w:spacing w:val="7"/>
          <w:sz w:val="24"/>
          <w:szCs w:val="24"/>
          <w:lang w:eastAsia="zh-CN"/>
        </w:rPr>
        <w:t>项目</w:t>
      </w:r>
      <w:r>
        <w:rPr>
          <w:rFonts w:ascii="仿宋" w:hAnsi="仿宋" w:eastAsia="仿宋" w:cs="仿宋"/>
          <w:spacing w:val="7"/>
          <w:sz w:val="24"/>
          <w:szCs w:val="24"/>
        </w:rPr>
        <w:t>有关的一切正式往来信函请寄：</w:t>
      </w:r>
    </w:p>
    <w:p w14:paraId="1C9F0E46">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43DAD292">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hint="eastAsia" w:ascii="仿宋" w:hAnsi="仿宋" w:eastAsia="仿宋" w:cs="仿宋"/>
          <w:spacing w:val="7"/>
          <w:sz w:val="24"/>
          <w:szCs w:val="24"/>
          <w:lang w:eastAsia="zh-CN"/>
        </w:rPr>
        <w:t>（</w:t>
      </w:r>
      <w:r>
        <w:rPr>
          <w:rFonts w:ascii="仿宋" w:hAnsi="仿宋" w:eastAsia="仿宋" w:cs="仿宋"/>
          <w:spacing w:val="7"/>
          <w:sz w:val="24"/>
          <w:szCs w:val="24"/>
        </w:rPr>
        <w:t>盖公章</w:t>
      </w:r>
      <w:r>
        <w:rPr>
          <w:rFonts w:hint="eastAsia" w:ascii="仿宋" w:hAnsi="仿宋" w:eastAsia="仿宋" w:cs="仿宋"/>
          <w:spacing w:val="7"/>
          <w:sz w:val="24"/>
          <w:szCs w:val="24"/>
          <w:lang w:eastAsia="zh-CN"/>
        </w:rPr>
        <w:t>）</w:t>
      </w:r>
      <w:r>
        <w:rPr>
          <w:rFonts w:ascii="仿宋" w:hAnsi="仿宋" w:eastAsia="仿宋" w:cs="仿宋"/>
          <w:spacing w:val="7"/>
          <w:sz w:val="24"/>
          <w:szCs w:val="24"/>
        </w:rPr>
        <w:t>：</w:t>
      </w:r>
      <w:r>
        <w:rPr>
          <w:rFonts w:ascii="仿宋" w:hAnsi="仿宋" w:eastAsia="仿宋" w:cs="仿宋"/>
          <w:spacing w:val="7"/>
          <w:sz w:val="24"/>
          <w:szCs w:val="24"/>
          <w:u w:val="single"/>
        </w:rPr>
        <w:t xml:space="preserve">                              </w:t>
      </w:r>
    </w:p>
    <w:p w14:paraId="4A84E7E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2097B58B">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3EC72B3A">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headerReference r:id="rId6" w:type="default"/>
          <w:footerReference r:id="rId7" w:type="default"/>
          <w:pgSz w:w="11906" w:h="16839"/>
          <w:pgMar w:top="1440" w:right="1080" w:bottom="1440" w:left="1080" w:header="0" w:footer="989" w:gutter="0"/>
          <w:pgNumType w:fmt="decimal"/>
          <w:cols w:space="720" w:num="1"/>
        </w:sectPr>
      </w:pPr>
    </w:p>
    <w:p w14:paraId="6E367A54">
      <w:pPr>
        <w:pageBreakBefore w:val="0"/>
        <w:kinsoku/>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2.报价一览表</w:t>
      </w:r>
    </w:p>
    <w:p w14:paraId="2EC76B3E">
      <w:pPr>
        <w:pStyle w:val="5"/>
        <w:pageBreakBefore w:val="0"/>
        <w:kinsoku/>
        <w:topLinePunct w:val="0"/>
        <w:bidi w:val="0"/>
        <w:spacing w:line="448" w:lineRule="auto"/>
      </w:pPr>
    </w:p>
    <w:p w14:paraId="6377B93A">
      <w:pPr>
        <w:pageBreakBefore w:val="0"/>
        <w:kinsoku/>
        <w:topLinePunct w:val="0"/>
        <w:bidi w:val="0"/>
        <w:spacing w:before="78" w:line="221" w:lineRule="auto"/>
        <w:ind w:left="319"/>
        <w:rPr>
          <w:rFonts w:ascii="仿宋" w:hAnsi="仿宋" w:eastAsia="仿宋" w:cs="仿宋"/>
          <w:sz w:val="24"/>
          <w:szCs w:val="24"/>
        </w:rPr>
      </w:pPr>
      <w:r>
        <w:rPr>
          <w:rFonts w:ascii="仿宋" w:hAnsi="仿宋" w:eastAsia="仿宋" w:cs="仿宋"/>
          <w:spacing w:val="-2"/>
          <w:sz w:val="24"/>
          <w:szCs w:val="24"/>
        </w:rPr>
        <w:t>项目名称：</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62FDC4B3">
      <w:pPr>
        <w:pageBreakBefore w:val="0"/>
        <w:kinsoku/>
        <w:topLinePunct w:val="0"/>
        <w:bidi w:val="0"/>
        <w:spacing w:before="69"/>
      </w:pPr>
    </w:p>
    <w:p w14:paraId="101F8639">
      <w:pPr>
        <w:pageBreakBefore w:val="0"/>
        <w:kinsoku/>
        <w:topLinePunct w:val="0"/>
        <w:bidi w:val="0"/>
        <w:spacing w:before="69"/>
      </w:pPr>
    </w:p>
    <w:p w14:paraId="3F66DD74">
      <w:pPr>
        <w:pageBreakBefore w:val="0"/>
        <w:kinsoku/>
        <w:topLinePunct w:val="0"/>
        <w:bidi w:val="0"/>
        <w:spacing w:before="68"/>
      </w:pPr>
    </w:p>
    <w:tbl>
      <w:tblPr>
        <w:tblStyle w:val="19"/>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6E364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40481863">
            <w:pPr>
              <w:pageBreakBefore w:val="0"/>
              <w:kinsoku/>
              <w:topLinePunct w:val="0"/>
              <w:bidi w:val="0"/>
              <w:spacing w:line="254" w:lineRule="auto"/>
              <w:rPr>
                <w:rFonts w:ascii="Arial"/>
                <w:sz w:val="24"/>
                <w:szCs w:val="24"/>
              </w:rPr>
            </w:pPr>
          </w:p>
          <w:p w14:paraId="20493FB6">
            <w:pPr>
              <w:pageBreakBefore w:val="0"/>
              <w:kinsoku/>
              <w:topLinePunct w:val="0"/>
              <w:bidi w:val="0"/>
              <w:spacing w:line="254" w:lineRule="auto"/>
              <w:rPr>
                <w:rFonts w:ascii="Arial"/>
                <w:sz w:val="24"/>
                <w:szCs w:val="24"/>
              </w:rPr>
            </w:pPr>
          </w:p>
          <w:p w14:paraId="66628B00">
            <w:pPr>
              <w:pageBreakBefore w:val="0"/>
              <w:kinsoku/>
              <w:topLinePunct w:val="0"/>
              <w:bidi w:val="0"/>
              <w:spacing w:line="254" w:lineRule="auto"/>
              <w:rPr>
                <w:rFonts w:ascii="Arial"/>
                <w:sz w:val="24"/>
                <w:szCs w:val="24"/>
              </w:rPr>
            </w:pPr>
          </w:p>
          <w:p w14:paraId="5E8BFFA4">
            <w:pPr>
              <w:pageBreakBefore w:val="0"/>
              <w:kinsoku/>
              <w:topLinePunct w:val="0"/>
              <w:bidi w:val="0"/>
              <w:spacing w:line="254" w:lineRule="auto"/>
              <w:rPr>
                <w:rFonts w:ascii="Arial"/>
                <w:sz w:val="24"/>
                <w:szCs w:val="24"/>
              </w:rPr>
            </w:pPr>
          </w:p>
          <w:p w14:paraId="5BE20CD3">
            <w:pPr>
              <w:pageBreakBefore w:val="0"/>
              <w:kinsoku/>
              <w:topLinePunct w:val="0"/>
              <w:bidi w:val="0"/>
              <w:spacing w:line="254" w:lineRule="auto"/>
              <w:rPr>
                <w:rFonts w:ascii="Arial"/>
                <w:sz w:val="24"/>
                <w:szCs w:val="24"/>
              </w:rPr>
            </w:pPr>
          </w:p>
          <w:p w14:paraId="70F6CB9C">
            <w:pPr>
              <w:pageBreakBefore w:val="0"/>
              <w:kinsoku/>
              <w:topLinePunct w:val="0"/>
              <w:bidi w:val="0"/>
              <w:spacing w:line="255" w:lineRule="auto"/>
              <w:rPr>
                <w:rFonts w:ascii="Arial"/>
                <w:sz w:val="24"/>
                <w:szCs w:val="24"/>
              </w:rPr>
            </w:pPr>
          </w:p>
          <w:p w14:paraId="184BA1D4">
            <w:pPr>
              <w:pStyle w:val="20"/>
              <w:pageBreakBefore w:val="0"/>
              <w:kinsoku/>
              <w:topLinePunct w:val="0"/>
              <w:bidi w:val="0"/>
              <w:spacing w:before="78" w:line="222" w:lineRule="auto"/>
              <w:jc w:val="center"/>
              <w:rPr>
                <w:sz w:val="24"/>
                <w:szCs w:val="24"/>
              </w:rPr>
            </w:pPr>
            <w:r>
              <w:rPr>
                <w:rFonts w:hint="eastAsia"/>
                <w:spacing w:val="-2"/>
                <w:sz w:val="24"/>
                <w:szCs w:val="24"/>
                <w:lang w:eastAsia="zh-CN"/>
              </w:rPr>
              <w:t>响应报价（元）</w:t>
            </w:r>
          </w:p>
        </w:tc>
        <w:tc>
          <w:tcPr>
            <w:tcW w:w="5939" w:type="dxa"/>
            <w:vAlign w:val="top"/>
          </w:tcPr>
          <w:p w14:paraId="1DBFC0F0">
            <w:pPr>
              <w:pageBreakBefore w:val="0"/>
              <w:kinsoku/>
              <w:topLinePunct w:val="0"/>
              <w:bidi w:val="0"/>
              <w:spacing w:line="341" w:lineRule="auto"/>
              <w:rPr>
                <w:rFonts w:ascii="Arial"/>
                <w:sz w:val="24"/>
                <w:szCs w:val="24"/>
              </w:rPr>
            </w:pPr>
          </w:p>
          <w:p w14:paraId="6A5235B4">
            <w:pPr>
              <w:pageBreakBefore w:val="0"/>
              <w:kinsoku/>
              <w:topLinePunct w:val="0"/>
              <w:bidi w:val="0"/>
              <w:spacing w:line="342" w:lineRule="auto"/>
              <w:rPr>
                <w:rFonts w:ascii="Arial"/>
                <w:sz w:val="24"/>
                <w:szCs w:val="24"/>
              </w:rPr>
            </w:pPr>
          </w:p>
          <w:p w14:paraId="2E7FFE80">
            <w:pPr>
              <w:pStyle w:val="20"/>
              <w:pageBreakBefore w:val="0"/>
              <w:kinsoku/>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45498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74E0300B">
            <w:pPr>
              <w:pageBreakBefore w:val="0"/>
              <w:kinsoku/>
              <w:topLinePunct w:val="0"/>
              <w:bidi w:val="0"/>
              <w:rPr>
                <w:rFonts w:ascii="Arial"/>
                <w:sz w:val="24"/>
                <w:szCs w:val="24"/>
              </w:rPr>
            </w:pPr>
          </w:p>
        </w:tc>
        <w:tc>
          <w:tcPr>
            <w:tcW w:w="5939" w:type="dxa"/>
            <w:vAlign w:val="top"/>
          </w:tcPr>
          <w:p w14:paraId="2C35465F">
            <w:pPr>
              <w:pageBreakBefore w:val="0"/>
              <w:kinsoku/>
              <w:topLinePunct w:val="0"/>
              <w:bidi w:val="0"/>
              <w:spacing w:line="320" w:lineRule="auto"/>
              <w:rPr>
                <w:rFonts w:ascii="Arial"/>
                <w:sz w:val="24"/>
                <w:szCs w:val="24"/>
              </w:rPr>
            </w:pPr>
          </w:p>
          <w:p w14:paraId="0EBC54A7">
            <w:pPr>
              <w:pageBreakBefore w:val="0"/>
              <w:kinsoku/>
              <w:topLinePunct w:val="0"/>
              <w:bidi w:val="0"/>
              <w:spacing w:line="320" w:lineRule="auto"/>
              <w:rPr>
                <w:rFonts w:ascii="Arial"/>
                <w:sz w:val="24"/>
                <w:szCs w:val="24"/>
              </w:rPr>
            </w:pPr>
          </w:p>
          <w:p w14:paraId="067CEB35">
            <w:pPr>
              <w:pStyle w:val="20"/>
              <w:pageBreakBefore w:val="0"/>
              <w:kinsoku/>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270EA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05021B56">
            <w:pPr>
              <w:pageBreakBefore w:val="0"/>
              <w:kinsoku/>
              <w:topLinePunct w:val="0"/>
              <w:bidi w:val="0"/>
              <w:spacing w:line="404" w:lineRule="auto"/>
              <w:rPr>
                <w:rFonts w:ascii="Arial"/>
                <w:sz w:val="24"/>
                <w:szCs w:val="24"/>
              </w:rPr>
            </w:pPr>
          </w:p>
          <w:p w14:paraId="4E5E7A99">
            <w:pPr>
              <w:pStyle w:val="20"/>
              <w:pageBreakBefore w:val="0"/>
              <w:kinsoku/>
              <w:topLinePunct w:val="0"/>
              <w:bidi w:val="0"/>
              <w:spacing w:before="78" w:line="222" w:lineRule="auto"/>
              <w:ind w:left="1014"/>
              <w:rPr>
                <w:sz w:val="24"/>
                <w:szCs w:val="24"/>
              </w:rPr>
            </w:pPr>
            <w:r>
              <w:rPr>
                <w:rFonts w:hint="eastAsia"/>
                <w:sz w:val="24"/>
                <w:szCs w:val="24"/>
                <w:lang w:eastAsia="zh-CN"/>
              </w:rPr>
              <w:t>合同履约</w:t>
            </w:r>
            <w:r>
              <w:rPr>
                <w:sz w:val="24"/>
                <w:szCs w:val="24"/>
              </w:rPr>
              <w:t>期限</w:t>
            </w:r>
          </w:p>
        </w:tc>
        <w:tc>
          <w:tcPr>
            <w:tcW w:w="5939" w:type="dxa"/>
            <w:vAlign w:val="top"/>
          </w:tcPr>
          <w:p w14:paraId="6138484D">
            <w:pPr>
              <w:pageBreakBefore w:val="0"/>
              <w:kinsoku/>
              <w:topLinePunct w:val="0"/>
              <w:bidi w:val="0"/>
              <w:rPr>
                <w:rFonts w:ascii="Arial"/>
                <w:sz w:val="24"/>
                <w:szCs w:val="24"/>
              </w:rPr>
            </w:pPr>
          </w:p>
        </w:tc>
      </w:tr>
      <w:tr w14:paraId="4CB0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42643D8C">
            <w:pPr>
              <w:pageBreakBefore w:val="0"/>
              <w:kinsoku/>
              <w:topLinePunct w:val="0"/>
              <w:bidi w:val="0"/>
              <w:spacing w:line="404" w:lineRule="auto"/>
              <w:rPr>
                <w:rFonts w:ascii="Arial"/>
                <w:sz w:val="24"/>
                <w:szCs w:val="24"/>
              </w:rPr>
            </w:pPr>
          </w:p>
          <w:p w14:paraId="584C52F1">
            <w:pPr>
              <w:pStyle w:val="20"/>
              <w:pageBreakBefore w:val="0"/>
              <w:kinsoku/>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3C390E96">
            <w:pPr>
              <w:pageBreakBefore w:val="0"/>
              <w:kinsoku/>
              <w:topLinePunct w:val="0"/>
              <w:bidi w:val="0"/>
              <w:rPr>
                <w:rFonts w:ascii="Arial"/>
                <w:sz w:val="24"/>
                <w:szCs w:val="24"/>
              </w:rPr>
            </w:pPr>
          </w:p>
        </w:tc>
      </w:tr>
      <w:tr w14:paraId="1D3DD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3547DEC6">
            <w:pPr>
              <w:pageBreakBefore w:val="0"/>
              <w:kinsoku/>
              <w:topLinePunct w:val="0"/>
              <w:bidi w:val="0"/>
              <w:spacing w:line="407" w:lineRule="auto"/>
              <w:rPr>
                <w:rFonts w:ascii="Arial"/>
                <w:sz w:val="24"/>
                <w:szCs w:val="24"/>
              </w:rPr>
            </w:pPr>
          </w:p>
          <w:p w14:paraId="6D7EEAE0">
            <w:pPr>
              <w:pStyle w:val="20"/>
              <w:pageBreakBefore w:val="0"/>
              <w:kinsoku/>
              <w:topLinePunct w:val="0"/>
              <w:bidi w:val="0"/>
              <w:spacing w:before="78" w:line="224" w:lineRule="auto"/>
              <w:ind w:left="1256"/>
              <w:rPr>
                <w:sz w:val="24"/>
                <w:szCs w:val="24"/>
              </w:rPr>
            </w:pPr>
            <w:r>
              <w:rPr>
                <w:spacing w:val="-9"/>
                <w:sz w:val="24"/>
                <w:szCs w:val="24"/>
              </w:rPr>
              <w:t>备注</w:t>
            </w:r>
          </w:p>
        </w:tc>
        <w:tc>
          <w:tcPr>
            <w:tcW w:w="5939" w:type="dxa"/>
            <w:vAlign w:val="top"/>
          </w:tcPr>
          <w:p w14:paraId="3287D72E">
            <w:pPr>
              <w:pageBreakBefore w:val="0"/>
              <w:kinsoku/>
              <w:topLinePunct w:val="0"/>
              <w:bidi w:val="0"/>
              <w:rPr>
                <w:rFonts w:ascii="Arial"/>
                <w:sz w:val="24"/>
                <w:szCs w:val="24"/>
              </w:rPr>
            </w:pPr>
          </w:p>
        </w:tc>
      </w:tr>
    </w:tbl>
    <w:p w14:paraId="1E0BF2BF">
      <w:pPr>
        <w:pageBreakBefore w:val="0"/>
        <w:kinsoku/>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24305971">
      <w:pPr>
        <w:pageBreakBefore w:val="0"/>
        <w:kinsoku/>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3C715235">
      <w:pPr>
        <w:pageBreakBefore w:val="0"/>
        <w:kinsoku/>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6E27E7AA">
      <w:pPr>
        <w:pageBreakBefore w:val="0"/>
        <w:kinsoku/>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75D713DF">
      <w:pPr>
        <w:pageBreakBefore w:val="0"/>
        <w:kinsoku/>
        <w:topLinePunct w:val="0"/>
        <w:bidi w:val="0"/>
        <w:spacing w:before="65" w:line="253" w:lineRule="auto"/>
        <w:ind w:left="744" w:right="319" w:firstLine="3"/>
        <w:rPr>
          <w:rFonts w:ascii="仿宋" w:hAnsi="仿宋" w:eastAsia="仿宋" w:cs="仿宋"/>
          <w:sz w:val="24"/>
          <w:szCs w:val="24"/>
        </w:rPr>
      </w:pPr>
      <w:r>
        <w:rPr>
          <w:rFonts w:hint="eastAsia" w:ascii="仿宋" w:hAnsi="仿宋" w:eastAsia="仿宋" w:cs="仿宋"/>
          <w:b/>
          <w:bCs/>
          <w:spacing w:val="-2"/>
          <w:sz w:val="24"/>
          <w:szCs w:val="24"/>
          <w:lang w:eastAsia="zh-CN"/>
        </w:rPr>
        <w:t>1.</w:t>
      </w:r>
      <w:r>
        <w:rPr>
          <w:rFonts w:ascii="仿宋" w:hAnsi="仿宋" w:eastAsia="仿宋" w:cs="仿宋"/>
          <w:b/>
          <w:bCs/>
          <w:spacing w:val="-2"/>
          <w:sz w:val="24"/>
          <w:szCs w:val="24"/>
        </w:rPr>
        <w:t>请严格</w:t>
      </w:r>
      <w:r>
        <w:rPr>
          <w:rFonts w:hint="eastAsia" w:ascii="仿宋" w:hAnsi="仿宋" w:eastAsia="仿宋" w:cs="仿宋"/>
          <w:b/>
          <w:bCs/>
          <w:spacing w:val="-2"/>
          <w:sz w:val="24"/>
          <w:szCs w:val="24"/>
          <w:lang w:eastAsia="zh-CN"/>
        </w:rPr>
        <w:t>按照</w:t>
      </w:r>
      <w:r>
        <w:rPr>
          <w:rFonts w:ascii="仿宋" w:hAnsi="仿宋" w:eastAsia="仿宋" w:cs="仿宋"/>
          <w:b/>
          <w:bCs/>
          <w:spacing w:val="-2"/>
          <w:sz w:val="24"/>
          <w:szCs w:val="24"/>
        </w:rPr>
        <w:t>“</w:t>
      </w:r>
      <w:r>
        <w:rPr>
          <w:rFonts w:hint="eastAsia" w:ascii="仿宋" w:hAnsi="仿宋" w:eastAsia="仿宋" w:cs="仿宋"/>
          <w:b/>
          <w:bCs/>
          <w:spacing w:val="-2"/>
          <w:sz w:val="24"/>
          <w:szCs w:val="24"/>
          <w:lang w:eastAsia="zh-CN"/>
        </w:rPr>
        <w:t>报价</w:t>
      </w:r>
      <w:r>
        <w:rPr>
          <w:rFonts w:ascii="仿宋" w:hAnsi="仿宋" w:eastAsia="仿宋" w:cs="仿宋"/>
          <w:b/>
          <w:bCs/>
          <w:spacing w:val="-2"/>
          <w:sz w:val="24"/>
          <w:szCs w:val="24"/>
        </w:rPr>
        <w:t>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供应商</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w:t>
      </w:r>
      <w:r>
        <w:rPr>
          <w:rFonts w:hint="eastAsia" w:ascii="仿宋" w:hAnsi="仿宋" w:eastAsia="仿宋" w:cs="仿宋"/>
          <w:b/>
          <w:bCs/>
          <w:spacing w:val="-3"/>
          <w:sz w:val="24"/>
          <w:szCs w:val="24"/>
          <w:lang w:eastAsia="zh-CN"/>
        </w:rPr>
        <w:t>磋商文件</w:t>
      </w:r>
      <w:r>
        <w:rPr>
          <w:rFonts w:ascii="仿宋" w:hAnsi="仿宋" w:eastAsia="仿宋" w:cs="仿宋"/>
          <w:b/>
          <w:bCs/>
          <w:spacing w:val="-3"/>
          <w:sz w:val="24"/>
          <w:szCs w:val="24"/>
        </w:rPr>
        <w:t>报价要求并自行考虑市场风险以及价格合理性。</w:t>
      </w:r>
    </w:p>
    <w:p w14:paraId="5B919937">
      <w:pPr>
        <w:pageBreakBefore w:val="0"/>
        <w:kinsoku/>
        <w:topLinePunct w:val="0"/>
        <w:bidi w:val="0"/>
        <w:spacing w:before="65" w:line="253" w:lineRule="auto"/>
        <w:ind w:left="744" w:right="319" w:firstLine="3"/>
        <w:rPr>
          <w:rFonts w:hint="eastAsia" w:ascii="仿宋" w:hAnsi="仿宋" w:eastAsia="仿宋" w:cs="仿宋"/>
          <w:b/>
          <w:bCs/>
          <w:spacing w:val="-2"/>
          <w:sz w:val="24"/>
          <w:szCs w:val="24"/>
          <w:lang w:eastAsia="zh-CN"/>
        </w:rPr>
      </w:pPr>
      <w:r>
        <w:rPr>
          <w:rFonts w:hint="eastAsia" w:ascii="仿宋" w:hAnsi="仿宋" w:eastAsia="仿宋" w:cs="仿宋"/>
          <w:b/>
          <w:bCs/>
          <w:spacing w:val="-2"/>
          <w:sz w:val="24"/>
          <w:szCs w:val="24"/>
          <w:lang w:eastAsia="zh-CN"/>
        </w:rPr>
        <w:t>2.报价一览表中总报价应与响应函一致。</w:t>
      </w:r>
    </w:p>
    <w:p w14:paraId="43592E64">
      <w:pPr>
        <w:pageBreakBefore w:val="0"/>
        <w:kinsoku/>
        <w:topLinePunct w:val="0"/>
        <w:bidi w:val="0"/>
        <w:spacing w:line="222" w:lineRule="auto"/>
        <w:rPr>
          <w:rFonts w:ascii="仿宋" w:hAnsi="仿宋" w:eastAsia="仿宋" w:cs="仿宋"/>
          <w:sz w:val="18"/>
          <w:szCs w:val="18"/>
        </w:rPr>
      </w:pPr>
    </w:p>
    <w:p w14:paraId="2BA7B405">
      <w:pPr>
        <w:pStyle w:val="5"/>
        <w:pageBreakBefore w:val="0"/>
        <w:kinsoku/>
        <w:topLinePunct w:val="0"/>
        <w:bidi w:val="0"/>
        <w:sectPr>
          <w:footerReference r:id="rId8" w:type="default"/>
          <w:pgSz w:w="11906" w:h="16839"/>
          <w:pgMar w:top="1440" w:right="1080" w:bottom="1440" w:left="1080" w:header="0" w:footer="989" w:gutter="0"/>
          <w:pgNumType w:fmt="decimal"/>
          <w:cols w:space="720" w:num="1"/>
        </w:sectPr>
      </w:pPr>
    </w:p>
    <w:p w14:paraId="19E1D79A">
      <w:pPr>
        <w:pageBreakBefore w:val="0"/>
        <w:kinsoku/>
        <w:topLinePunct w:val="0"/>
        <w:bidi w:val="0"/>
        <w:spacing w:before="140" w:line="460" w:lineRule="exact"/>
        <w:ind w:left="3770"/>
        <w:rPr>
          <w:rFonts w:ascii="仿宋" w:hAnsi="仿宋" w:eastAsia="仿宋" w:cs="仿宋"/>
          <w:sz w:val="28"/>
          <w:szCs w:val="28"/>
        </w:rPr>
      </w:pPr>
      <w:r>
        <mc:AlternateContent>
          <mc:Choice Requires="wps">
            <w:drawing>
              <wp:anchor distT="0" distB="0" distL="114300" distR="114300" simplePos="0" relativeHeight="251659264"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54300" cy="1825625"/>
                        </a:xfrm>
                        <a:prstGeom prst="rect">
                          <a:avLst/>
                        </a:prstGeom>
                        <a:noFill/>
                        <a:ln>
                          <a:noFill/>
                        </a:ln>
                      </wps:spPr>
                      <wps:txbx>
                        <w:txbxContent>
                          <w:p w14:paraId="1BDFE555">
                            <w:pPr>
                              <w:spacing w:line="20" w:lineRule="exact"/>
                            </w:pPr>
                          </w:p>
                          <w:tbl>
                            <w:tblPr>
                              <w:tblStyle w:val="19"/>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68ED52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732BE12A">
                                  <w:pPr>
                                    <w:spacing w:line="260" w:lineRule="auto"/>
                                    <w:rPr>
                                      <w:rFonts w:ascii="Arial"/>
                                      <w:sz w:val="21"/>
                                    </w:rPr>
                                  </w:pPr>
                                </w:p>
                                <w:p w14:paraId="53BFF5FD">
                                  <w:pPr>
                                    <w:spacing w:line="260" w:lineRule="auto"/>
                                    <w:rPr>
                                      <w:rFonts w:ascii="Arial"/>
                                      <w:sz w:val="21"/>
                                    </w:rPr>
                                  </w:pPr>
                                </w:p>
                                <w:p w14:paraId="16F99F54">
                                  <w:pPr>
                                    <w:spacing w:line="261" w:lineRule="auto"/>
                                    <w:rPr>
                                      <w:rFonts w:ascii="Arial"/>
                                      <w:sz w:val="21"/>
                                    </w:rPr>
                                  </w:pPr>
                                </w:p>
                                <w:p w14:paraId="68282D76">
                                  <w:pPr>
                                    <w:spacing w:line="261" w:lineRule="auto"/>
                                    <w:rPr>
                                      <w:rFonts w:ascii="Arial"/>
                                      <w:sz w:val="21"/>
                                    </w:rPr>
                                  </w:pPr>
                                </w:p>
                                <w:p w14:paraId="7A436FB1">
                                  <w:pPr>
                                    <w:spacing w:line="261" w:lineRule="auto"/>
                                    <w:rPr>
                                      <w:rFonts w:ascii="Arial"/>
                                      <w:sz w:val="21"/>
                                    </w:rPr>
                                  </w:pPr>
                                </w:p>
                                <w:p w14:paraId="6A06EF44">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5F9B8F23">
                            <w:pPr>
                              <w:pStyle w:val="5"/>
                            </w:pPr>
                          </w:p>
                        </w:txbxContent>
                      </wps:txbx>
                      <wps:bodyPr lIns="0" tIns="0" rIns="0" bIns="0" upright="1"/>
                    </wps:wsp>
                  </a:graphicData>
                </a:graphic>
              </wp:anchor>
            </w:drawing>
          </mc:Choice>
          <mc:Fallback>
            <w:pict>
              <v:shape id="_x0000_s1026" o:spid="_x0000_s1026" o:spt="202" type="#_x0000_t202" style="position:absolute;left:0pt;margin-left:76.25pt;margin-top:428.1pt;height:143.75pt;width:209pt;mso-position-horizontal-relative:page;mso-position-vertical-relative:page;z-index:251659264;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ZzkPaAAAADAEAAA8AAAAAAAAAAQAgAAAAIgAAAGRycy9kb3ducmV2LnhtbFBL&#10;AQIUABQAAAAIAIdO4kAN03ptuwEAAHMDAAAOAAAAAAAAAAEAIAAAACkBAABkcnMvZTJvRG9jLnht&#10;bFBLBQYAAAAABgAGAFkBAABWBQAAAAA=&#10;">
                <v:fill on="f" focussize="0,0"/>
                <v:stroke on="f"/>
                <v:imagedata o:title=""/>
                <o:lock v:ext="edit" aspectratio="f"/>
                <v:textbox inset="0mm,0mm,0mm,0mm">
                  <w:txbxContent>
                    <w:p w14:paraId="1BDFE555">
                      <w:pPr>
                        <w:spacing w:line="20" w:lineRule="exact"/>
                      </w:pPr>
                    </w:p>
                    <w:tbl>
                      <w:tblPr>
                        <w:tblStyle w:val="19"/>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68ED52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732BE12A">
                            <w:pPr>
                              <w:spacing w:line="260" w:lineRule="auto"/>
                              <w:rPr>
                                <w:rFonts w:ascii="Arial"/>
                                <w:sz w:val="21"/>
                              </w:rPr>
                            </w:pPr>
                          </w:p>
                          <w:p w14:paraId="53BFF5FD">
                            <w:pPr>
                              <w:spacing w:line="260" w:lineRule="auto"/>
                              <w:rPr>
                                <w:rFonts w:ascii="Arial"/>
                                <w:sz w:val="21"/>
                              </w:rPr>
                            </w:pPr>
                          </w:p>
                          <w:p w14:paraId="16F99F54">
                            <w:pPr>
                              <w:spacing w:line="261" w:lineRule="auto"/>
                              <w:rPr>
                                <w:rFonts w:ascii="Arial"/>
                                <w:sz w:val="21"/>
                              </w:rPr>
                            </w:pPr>
                          </w:p>
                          <w:p w14:paraId="68282D76">
                            <w:pPr>
                              <w:spacing w:line="261" w:lineRule="auto"/>
                              <w:rPr>
                                <w:rFonts w:ascii="Arial"/>
                                <w:sz w:val="21"/>
                              </w:rPr>
                            </w:pPr>
                          </w:p>
                          <w:p w14:paraId="7A436FB1">
                            <w:pPr>
                              <w:spacing w:line="261" w:lineRule="auto"/>
                              <w:rPr>
                                <w:rFonts w:ascii="Arial"/>
                                <w:sz w:val="21"/>
                              </w:rPr>
                            </w:pPr>
                          </w:p>
                          <w:p w14:paraId="6A06EF44">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5F9B8F23">
                      <w:pPr>
                        <w:pStyle w:val="5"/>
                      </w:pPr>
                    </w:p>
                  </w:txbxContent>
                </v:textbox>
              </v:shape>
            </w:pict>
          </mc:Fallback>
        </mc:AlternateContent>
      </w:r>
      <w:r>
        <w:rPr>
          <w:rFonts w:ascii="仿宋" w:hAnsi="仿宋" w:eastAsia="仿宋" w:cs="仿宋"/>
          <w:b/>
          <w:bCs/>
          <w:spacing w:val="-5"/>
          <w:position w:val="12"/>
          <w:sz w:val="28"/>
          <w:szCs w:val="28"/>
        </w:rPr>
        <w:t>（商务技术文件）</w:t>
      </w:r>
    </w:p>
    <w:p w14:paraId="413341C1">
      <w:pPr>
        <w:pageBreakBefore w:val="0"/>
        <w:kinsoku/>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3</w:t>
      </w:r>
      <w:r>
        <w:rPr>
          <w:rFonts w:ascii="仿宋" w:hAnsi="仿宋" w:eastAsia="仿宋" w:cs="仿宋"/>
          <w:b/>
          <w:bCs/>
          <w:spacing w:val="7"/>
          <w:sz w:val="24"/>
          <w:szCs w:val="24"/>
        </w:rPr>
        <w:t>.法定代表人身份证明</w:t>
      </w:r>
    </w:p>
    <w:p w14:paraId="51A2168C">
      <w:pPr>
        <w:pStyle w:val="5"/>
        <w:pageBreakBefore w:val="0"/>
        <w:kinsoku/>
        <w:topLinePunct w:val="0"/>
        <w:bidi w:val="0"/>
        <w:spacing w:line="255" w:lineRule="auto"/>
        <w:rPr>
          <w:sz w:val="24"/>
          <w:szCs w:val="24"/>
        </w:rPr>
      </w:pPr>
    </w:p>
    <w:p w14:paraId="48971DFF">
      <w:pPr>
        <w:pStyle w:val="5"/>
        <w:pageBreakBefore w:val="0"/>
        <w:kinsoku/>
        <w:topLinePunct w:val="0"/>
        <w:bidi w:val="0"/>
        <w:spacing w:line="255" w:lineRule="auto"/>
        <w:rPr>
          <w:sz w:val="24"/>
          <w:szCs w:val="24"/>
        </w:rPr>
      </w:pPr>
    </w:p>
    <w:p w14:paraId="314031CF">
      <w:pPr>
        <w:pStyle w:val="5"/>
        <w:pageBreakBefore w:val="0"/>
        <w:kinsoku/>
        <w:topLinePunct w:val="0"/>
        <w:bidi w:val="0"/>
        <w:spacing w:line="256" w:lineRule="auto"/>
        <w:rPr>
          <w:sz w:val="24"/>
          <w:szCs w:val="24"/>
        </w:rPr>
      </w:pPr>
    </w:p>
    <w:p w14:paraId="43CFA2C8">
      <w:pPr>
        <w:pStyle w:val="5"/>
        <w:pageBreakBefore w:val="0"/>
        <w:kinsoku/>
        <w:topLinePunct w:val="0"/>
        <w:bidi w:val="0"/>
        <w:spacing w:line="256" w:lineRule="auto"/>
        <w:rPr>
          <w:sz w:val="24"/>
          <w:szCs w:val="24"/>
        </w:rPr>
      </w:pPr>
    </w:p>
    <w:p w14:paraId="58A576DD">
      <w:pPr>
        <w:pStyle w:val="5"/>
        <w:pageBreakBefore w:val="0"/>
        <w:kinsoku/>
        <w:topLinePunct w:val="0"/>
        <w:bidi w:val="0"/>
        <w:spacing w:line="256" w:lineRule="auto"/>
        <w:rPr>
          <w:sz w:val="24"/>
          <w:szCs w:val="24"/>
        </w:rPr>
      </w:pPr>
    </w:p>
    <w:p w14:paraId="5977463C">
      <w:pPr>
        <w:pageBreakBefore w:val="0"/>
        <w:kinsoku/>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77A9D549">
      <w:pPr>
        <w:pageBreakBefore w:val="0"/>
        <w:kinsoku/>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2FD23E2B">
      <w:pPr>
        <w:pageBreakBefore w:val="0"/>
        <w:kinsoku/>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0336F6E1">
      <w:pPr>
        <w:pageBreakBefore w:val="0"/>
        <w:kinsoku/>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02A75030">
      <w:pPr>
        <w:pageBreakBefore w:val="0"/>
        <w:kinsoku/>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74494448">
      <w:pPr>
        <w:pageBreakBefore w:val="0"/>
        <w:kinsoku/>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5223602B">
      <w:pPr>
        <w:pageBreakBefore w:val="0"/>
        <w:kinsoku/>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0ACB2B33">
      <w:pPr>
        <w:pageBreakBefore w:val="0"/>
        <w:kinsoku/>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供应商</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3AEDF5E2">
      <w:pPr>
        <w:pStyle w:val="5"/>
        <w:pageBreakBefore w:val="0"/>
        <w:kinsoku/>
        <w:topLinePunct w:val="0"/>
        <w:bidi w:val="0"/>
        <w:spacing w:line="241" w:lineRule="auto"/>
        <w:rPr>
          <w:sz w:val="24"/>
          <w:szCs w:val="24"/>
        </w:rPr>
      </w:pPr>
    </w:p>
    <w:p w14:paraId="5AA32894">
      <w:pPr>
        <w:pStyle w:val="5"/>
        <w:pageBreakBefore w:val="0"/>
        <w:kinsoku/>
        <w:topLinePunct w:val="0"/>
        <w:bidi w:val="0"/>
        <w:spacing w:line="241" w:lineRule="auto"/>
        <w:rPr>
          <w:sz w:val="24"/>
          <w:szCs w:val="24"/>
        </w:rPr>
      </w:pPr>
    </w:p>
    <w:p w14:paraId="33C1AE28">
      <w:pPr>
        <w:pageBreakBefore w:val="0"/>
        <w:kinsoku/>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16688A84">
      <w:pPr>
        <w:pageBreakBefore w:val="0"/>
        <w:kinsoku/>
        <w:topLinePunct w:val="0"/>
        <w:bidi w:val="0"/>
        <w:spacing w:before="25"/>
      </w:pPr>
    </w:p>
    <w:tbl>
      <w:tblPr>
        <w:tblStyle w:val="19"/>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060FCD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48FE65D2">
            <w:pPr>
              <w:pageBreakBefore w:val="0"/>
              <w:kinsoku/>
              <w:topLinePunct w:val="0"/>
              <w:bidi w:val="0"/>
              <w:spacing w:line="260" w:lineRule="auto"/>
              <w:rPr>
                <w:rFonts w:ascii="Arial"/>
                <w:sz w:val="21"/>
              </w:rPr>
            </w:pPr>
          </w:p>
          <w:p w14:paraId="422CA5A8">
            <w:pPr>
              <w:pageBreakBefore w:val="0"/>
              <w:kinsoku/>
              <w:topLinePunct w:val="0"/>
              <w:bidi w:val="0"/>
              <w:spacing w:line="260" w:lineRule="auto"/>
              <w:rPr>
                <w:rFonts w:ascii="Arial"/>
                <w:sz w:val="21"/>
              </w:rPr>
            </w:pPr>
          </w:p>
          <w:p w14:paraId="4EB823F1">
            <w:pPr>
              <w:pageBreakBefore w:val="0"/>
              <w:kinsoku/>
              <w:topLinePunct w:val="0"/>
              <w:bidi w:val="0"/>
              <w:spacing w:line="261" w:lineRule="auto"/>
              <w:rPr>
                <w:rFonts w:ascii="Arial"/>
                <w:sz w:val="21"/>
              </w:rPr>
            </w:pPr>
          </w:p>
          <w:p w14:paraId="1D3585D0">
            <w:pPr>
              <w:pageBreakBefore w:val="0"/>
              <w:kinsoku/>
              <w:topLinePunct w:val="0"/>
              <w:bidi w:val="0"/>
              <w:spacing w:line="261" w:lineRule="auto"/>
              <w:rPr>
                <w:rFonts w:ascii="Arial"/>
                <w:sz w:val="21"/>
              </w:rPr>
            </w:pPr>
          </w:p>
          <w:p w14:paraId="7463E039">
            <w:pPr>
              <w:pageBreakBefore w:val="0"/>
              <w:kinsoku/>
              <w:topLinePunct w:val="0"/>
              <w:bidi w:val="0"/>
              <w:spacing w:line="261" w:lineRule="auto"/>
              <w:rPr>
                <w:rFonts w:ascii="Arial"/>
                <w:sz w:val="21"/>
              </w:rPr>
            </w:pPr>
          </w:p>
          <w:p w14:paraId="0771B94A">
            <w:pPr>
              <w:pageBreakBefore w:val="0"/>
              <w:kinsoku/>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2F00B8EC">
      <w:pPr>
        <w:pStyle w:val="5"/>
        <w:pageBreakBefore w:val="0"/>
        <w:kinsoku/>
        <w:topLinePunct w:val="0"/>
        <w:bidi w:val="0"/>
        <w:spacing w:line="282" w:lineRule="auto"/>
      </w:pPr>
    </w:p>
    <w:p w14:paraId="7A60556B">
      <w:pPr>
        <w:pStyle w:val="5"/>
        <w:pageBreakBefore w:val="0"/>
        <w:kinsoku/>
        <w:topLinePunct w:val="0"/>
        <w:bidi w:val="0"/>
        <w:spacing w:line="283" w:lineRule="auto"/>
      </w:pPr>
    </w:p>
    <w:p w14:paraId="0284FD9E">
      <w:pPr>
        <w:pStyle w:val="5"/>
        <w:pageBreakBefore w:val="0"/>
        <w:kinsoku/>
        <w:topLinePunct w:val="0"/>
        <w:bidi w:val="0"/>
        <w:spacing w:line="283" w:lineRule="auto"/>
      </w:pPr>
    </w:p>
    <w:p w14:paraId="6A676296">
      <w:pPr>
        <w:pStyle w:val="5"/>
        <w:pageBreakBefore w:val="0"/>
        <w:kinsoku/>
        <w:topLinePunct w:val="0"/>
        <w:bidi w:val="0"/>
        <w:spacing w:line="283" w:lineRule="auto"/>
      </w:pPr>
    </w:p>
    <w:p w14:paraId="2D1AB853">
      <w:pPr>
        <w:pStyle w:val="5"/>
        <w:pageBreakBefore w:val="0"/>
        <w:kinsoku/>
        <w:topLinePunct w:val="0"/>
        <w:bidi w:val="0"/>
        <w:spacing w:line="283" w:lineRule="auto"/>
        <w:rPr>
          <w:sz w:val="24"/>
          <w:szCs w:val="24"/>
        </w:rPr>
      </w:pPr>
    </w:p>
    <w:p w14:paraId="756C6AA8">
      <w:pPr>
        <w:pageBreakBefore w:val="0"/>
        <w:kinsoku/>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hint="eastAsia" w:ascii="仿宋" w:hAnsi="仿宋" w:eastAsia="仿宋" w:cs="仿宋"/>
          <w:spacing w:val="7"/>
          <w:sz w:val="24"/>
          <w:szCs w:val="24"/>
          <w:lang w:eastAsia="zh-CN"/>
        </w:rPr>
        <w:t>（</w:t>
      </w:r>
      <w:r>
        <w:rPr>
          <w:rFonts w:ascii="仿宋" w:hAnsi="仿宋" w:eastAsia="仿宋" w:cs="仿宋"/>
          <w:spacing w:val="7"/>
          <w:sz w:val="24"/>
          <w:szCs w:val="24"/>
        </w:rPr>
        <w:t>公章</w:t>
      </w:r>
      <w:r>
        <w:rPr>
          <w:rFonts w:hint="eastAsia" w:ascii="仿宋" w:hAnsi="仿宋" w:eastAsia="仿宋" w:cs="仿宋"/>
          <w:spacing w:val="7"/>
          <w:sz w:val="24"/>
          <w:szCs w:val="24"/>
          <w:lang w:eastAsia="zh-CN"/>
        </w:rPr>
        <w:t>）</w:t>
      </w:r>
      <w:r>
        <w:rPr>
          <w:rFonts w:ascii="仿宋" w:hAnsi="仿宋" w:eastAsia="仿宋" w:cs="仿宋"/>
          <w:spacing w:val="7"/>
          <w:sz w:val="24"/>
          <w:szCs w:val="24"/>
        </w:rPr>
        <w:t>：</w:t>
      </w:r>
      <w:r>
        <w:rPr>
          <w:rFonts w:ascii="仿宋" w:hAnsi="仿宋" w:eastAsia="仿宋" w:cs="仿宋"/>
          <w:sz w:val="24"/>
          <w:szCs w:val="24"/>
          <w:u w:val="single" w:color="auto"/>
        </w:rPr>
        <w:t xml:space="preserve">                     </w:t>
      </w:r>
    </w:p>
    <w:p w14:paraId="2BF41AF6">
      <w:pPr>
        <w:pageBreakBefore w:val="0"/>
        <w:kinsoku/>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BE451A3">
      <w:pPr>
        <w:pageBreakBefore w:val="0"/>
        <w:kinsoku/>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56DB0400">
      <w:pPr>
        <w:pageBreakBefore w:val="0"/>
        <w:kinsoku/>
        <w:topLinePunct w:val="0"/>
        <w:bidi w:val="0"/>
        <w:spacing w:line="231" w:lineRule="auto"/>
        <w:rPr>
          <w:rFonts w:ascii="仿宋" w:hAnsi="仿宋" w:eastAsia="仿宋" w:cs="仿宋"/>
          <w:sz w:val="20"/>
          <w:szCs w:val="20"/>
        </w:rPr>
        <w:sectPr>
          <w:footerReference r:id="rId9" w:type="default"/>
          <w:pgSz w:w="11906" w:h="16839"/>
          <w:pgMar w:top="1440" w:right="1080" w:bottom="1440" w:left="1080" w:header="0" w:footer="1054" w:gutter="0"/>
          <w:pgNumType w:fmt="decimal"/>
          <w:cols w:space="720" w:num="1"/>
        </w:sectPr>
      </w:pPr>
    </w:p>
    <w:p w14:paraId="292659C1">
      <w:pPr>
        <w:pStyle w:val="5"/>
        <w:pageBreakBefore w:val="0"/>
        <w:kinsoku/>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4</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08F06FF6">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38BE6A3">
      <w:pPr>
        <w:pStyle w:val="5"/>
        <w:pageBreakBefore w:val="0"/>
        <w:kinsoku/>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w:t>
      </w:r>
      <w:r>
        <w:rPr>
          <w:rFonts w:hint="eastAsia" w:ascii="仿宋" w:hAnsi="仿宋" w:eastAsia="仿宋" w:cs="仿宋"/>
          <w:snapToGrid w:val="0"/>
          <w:color w:val="000000"/>
          <w:spacing w:val="11"/>
          <w:kern w:val="0"/>
          <w:position w:val="20"/>
          <w:sz w:val="24"/>
          <w:szCs w:val="24"/>
          <w:lang w:val="en-US" w:eastAsia="zh-CN" w:bidi="ar-SA"/>
        </w:rPr>
        <w:t>磋商</w:t>
      </w:r>
      <w:r>
        <w:rPr>
          <w:rFonts w:hint="eastAsia" w:ascii="仿宋" w:hAnsi="仿宋" w:eastAsia="仿宋" w:cs="仿宋"/>
          <w:snapToGrid w:val="0"/>
          <w:color w:val="000000"/>
          <w:spacing w:val="11"/>
          <w:kern w:val="0"/>
          <w:position w:val="20"/>
          <w:sz w:val="24"/>
          <w:szCs w:val="24"/>
          <w:lang w:val="en-US" w:eastAsia="en-US" w:bidi="ar-SA"/>
        </w:rPr>
        <w:t>活动。代理人签署的</w:t>
      </w:r>
      <w:r>
        <w:rPr>
          <w:rFonts w:hint="eastAsia" w:ascii="仿宋" w:hAnsi="仿宋" w:eastAsia="仿宋" w:cs="仿宋"/>
          <w:snapToGrid w:val="0"/>
          <w:color w:val="000000"/>
          <w:spacing w:val="11"/>
          <w:kern w:val="0"/>
          <w:position w:val="20"/>
          <w:sz w:val="24"/>
          <w:szCs w:val="24"/>
          <w:lang w:val="en-US" w:eastAsia="zh-CN" w:bidi="ar-SA"/>
        </w:rPr>
        <w:t>相应文件</w:t>
      </w:r>
      <w:r>
        <w:rPr>
          <w:rFonts w:hint="eastAsia" w:ascii="仿宋" w:hAnsi="仿宋" w:eastAsia="仿宋" w:cs="仿宋"/>
          <w:snapToGrid w:val="0"/>
          <w:color w:val="000000"/>
          <w:spacing w:val="11"/>
          <w:kern w:val="0"/>
          <w:position w:val="20"/>
          <w:sz w:val="24"/>
          <w:szCs w:val="24"/>
          <w:lang w:val="en-US" w:eastAsia="en-US" w:bidi="ar-SA"/>
        </w:rPr>
        <w:t>和参加整个</w:t>
      </w:r>
      <w:r>
        <w:rPr>
          <w:rFonts w:hint="eastAsia" w:ascii="仿宋" w:hAnsi="仿宋" w:eastAsia="仿宋" w:cs="仿宋"/>
          <w:snapToGrid w:val="0"/>
          <w:color w:val="000000"/>
          <w:spacing w:val="11"/>
          <w:kern w:val="0"/>
          <w:position w:val="20"/>
          <w:sz w:val="24"/>
          <w:szCs w:val="24"/>
          <w:lang w:val="en-US" w:eastAsia="zh-CN" w:bidi="ar-SA"/>
        </w:rPr>
        <w:t>磋商</w:t>
      </w:r>
      <w:r>
        <w:rPr>
          <w:rFonts w:hint="eastAsia" w:ascii="仿宋" w:hAnsi="仿宋" w:eastAsia="仿宋" w:cs="仿宋"/>
          <w:snapToGrid w:val="0"/>
          <w:color w:val="000000"/>
          <w:spacing w:val="11"/>
          <w:kern w:val="0"/>
          <w:position w:val="20"/>
          <w:sz w:val="24"/>
          <w:szCs w:val="24"/>
          <w:lang w:val="en-US" w:eastAsia="en-US" w:bidi="ar-SA"/>
        </w:rPr>
        <w:t>活动中所签署的一切文件和处理与之有关的一切</w:t>
      </w:r>
      <w:r>
        <w:rPr>
          <w:rFonts w:hint="eastAsia" w:ascii="仿宋" w:hAnsi="仿宋" w:eastAsia="仿宋" w:cs="仿宋"/>
          <w:snapToGrid w:val="0"/>
          <w:color w:val="000000"/>
          <w:spacing w:val="11"/>
          <w:kern w:val="0"/>
          <w:position w:val="20"/>
          <w:sz w:val="24"/>
          <w:szCs w:val="24"/>
          <w:lang w:val="en-US" w:eastAsia="zh-CN" w:bidi="ar-SA"/>
        </w:rPr>
        <w:t>事务</w:t>
      </w:r>
      <w:r>
        <w:rPr>
          <w:rFonts w:hint="eastAsia" w:ascii="仿宋" w:hAnsi="仿宋" w:eastAsia="仿宋" w:cs="仿宋"/>
          <w:snapToGrid w:val="0"/>
          <w:color w:val="000000"/>
          <w:spacing w:val="11"/>
          <w:kern w:val="0"/>
          <w:position w:val="20"/>
          <w:sz w:val="24"/>
          <w:szCs w:val="24"/>
          <w:lang w:val="en-US" w:eastAsia="en-US" w:bidi="ar-SA"/>
        </w:rPr>
        <w:t>，我均予以承认。</w:t>
      </w:r>
    </w:p>
    <w:p w14:paraId="5C9AE258">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39A65D8B">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081D2D27">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E28F843">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7674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4981" w:type="dxa"/>
            <w:vAlign w:val="center"/>
          </w:tcPr>
          <w:p w14:paraId="3E11220A">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3BFC3793">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4453ED89">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575EEC5B">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3C5E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50A52435">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51100682">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43E32683">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7D98D7EC">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5E314C05">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36DA0DBB">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名称</w:t>
      </w:r>
      <w:r>
        <w:rPr>
          <w:rFonts w:hint="eastAsia" w:ascii="仿宋" w:hAnsi="仿宋" w:eastAsia="仿宋" w:cs="仿宋"/>
          <w:snapToGrid w:val="0"/>
          <w:color w:val="000000"/>
          <w:spacing w:val="11"/>
          <w:kern w:val="0"/>
          <w:position w:val="20"/>
          <w:sz w:val="24"/>
          <w:szCs w:val="24"/>
          <w:lang w:val="en-US" w:eastAsia="zh-CN" w:bidi="ar-SA"/>
        </w:rPr>
        <w:t>（</w:t>
      </w:r>
      <w:r>
        <w:rPr>
          <w:rFonts w:hint="eastAsia" w:ascii="仿宋" w:hAnsi="仿宋" w:eastAsia="仿宋" w:cs="仿宋"/>
          <w:snapToGrid w:val="0"/>
          <w:color w:val="000000"/>
          <w:spacing w:val="11"/>
          <w:kern w:val="0"/>
          <w:position w:val="20"/>
          <w:sz w:val="24"/>
          <w:szCs w:val="24"/>
          <w:lang w:val="en-US" w:eastAsia="en-US" w:bidi="ar-SA"/>
        </w:rPr>
        <w:t>公章</w:t>
      </w:r>
      <w:r>
        <w:rPr>
          <w:rFonts w:hint="eastAsia" w:ascii="仿宋" w:hAnsi="仿宋" w:eastAsia="仿宋" w:cs="仿宋"/>
          <w:snapToGrid w:val="0"/>
          <w:color w:val="000000"/>
          <w:spacing w:val="11"/>
          <w:kern w:val="0"/>
          <w:position w:val="20"/>
          <w:sz w:val="24"/>
          <w:szCs w:val="24"/>
          <w:lang w:val="en-US" w:eastAsia="zh-CN" w:bidi="ar-SA"/>
        </w:rPr>
        <w:t>）</w:t>
      </w:r>
      <w:r>
        <w:rPr>
          <w:rFonts w:hint="eastAsia" w:ascii="仿宋" w:hAnsi="仿宋" w:eastAsia="仿宋" w:cs="仿宋"/>
          <w:snapToGrid w:val="0"/>
          <w:color w:val="000000"/>
          <w:spacing w:val="11"/>
          <w:kern w:val="0"/>
          <w:position w:val="20"/>
          <w:sz w:val="24"/>
          <w:szCs w:val="24"/>
          <w:lang w:val="en-US" w:eastAsia="en-US" w:bidi="ar-SA"/>
        </w:rPr>
        <w:t>：</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2D26BCB8">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2E949568">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19D5E5F4">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062C4F4D">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6390393">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3E6CAF8C">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17097B57">
      <w:pPr>
        <w:pStyle w:val="5"/>
        <w:pageBreakBefore w:val="0"/>
        <w:kinsoku/>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w:t>
      </w:r>
      <w:r>
        <w:rPr>
          <w:rFonts w:hint="eastAsia" w:ascii="仿宋" w:hAnsi="仿宋" w:eastAsia="仿宋" w:cs="仿宋"/>
          <w:snapToGrid w:val="0"/>
          <w:color w:val="000000"/>
          <w:spacing w:val="11"/>
          <w:kern w:val="0"/>
          <w:position w:val="20"/>
          <w:sz w:val="24"/>
          <w:szCs w:val="24"/>
          <w:lang w:val="en-US" w:eastAsia="zh-CN" w:bidi="ar-SA"/>
        </w:rPr>
        <w:t>活动</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09FFB08A">
      <w:pPr>
        <w:pageBreakBefore w:val="0"/>
        <w:kinsoku/>
        <w:topLinePunct w:val="0"/>
        <w:bidi w:val="0"/>
        <w:spacing w:before="42" w:line="231" w:lineRule="auto"/>
        <w:outlineLvl w:val="2"/>
        <w:rPr>
          <w:rFonts w:ascii="仿宋" w:hAnsi="仿宋" w:eastAsia="仿宋" w:cs="仿宋"/>
          <w:b/>
          <w:bCs/>
          <w:spacing w:val="6"/>
          <w:sz w:val="20"/>
          <w:szCs w:val="20"/>
        </w:rPr>
      </w:pPr>
    </w:p>
    <w:p w14:paraId="09198EA5">
      <w:pPr>
        <w:pageBreakBefore w:val="0"/>
        <w:kinsoku/>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5.</w:t>
      </w:r>
      <w:r>
        <w:rPr>
          <w:rFonts w:hint="eastAsia" w:ascii="仿宋" w:hAnsi="仿宋" w:eastAsia="仿宋" w:cs="仿宋"/>
          <w:b/>
          <w:bCs/>
          <w:spacing w:val="6"/>
          <w:sz w:val="24"/>
          <w:szCs w:val="24"/>
          <w:lang w:eastAsia="zh-CN"/>
        </w:rPr>
        <w:t>供应商</w:t>
      </w:r>
      <w:r>
        <w:rPr>
          <w:rFonts w:ascii="仿宋" w:hAnsi="仿宋" w:eastAsia="仿宋" w:cs="仿宋"/>
          <w:b/>
          <w:bCs/>
          <w:spacing w:val="6"/>
          <w:sz w:val="24"/>
          <w:szCs w:val="24"/>
        </w:rPr>
        <w:t>基本情况</w:t>
      </w:r>
    </w:p>
    <w:p w14:paraId="3ACE6FBA">
      <w:pPr>
        <w:pageBreakBefore w:val="0"/>
        <w:kinsoku/>
        <w:topLinePunct w:val="0"/>
        <w:bidi w:val="0"/>
        <w:spacing w:line="89" w:lineRule="exact"/>
        <w:rPr>
          <w:sz w:val="24"/>
          <w:szCs w:val="24"/>
        </w:rPr>
      </w:pPr>
    </w:p>
    <w:tbl>
      <w:tblPr>
        <w:tblStyle w:val="19"/>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04833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3D782FF9">
            <w:pPr>
              <w:pStyle w:val="20"/>
              <w:pageBreakBefore w:val="0"/>
              <w:kinsoku/>
              <w:topLinePunct w:val="0"/>
              <w:bidi w:val="0"/>
              <w:spacing w:before="150" w:line="229" w:lineRule="auto"/>
              <w:ind w:left="531"/>
              <w:rPr>
                <w:sz w:val="24"/>
                <w:szCs w:val="24"/>
              </w:rPr>
            </w:pPr>
            <w:r>
              <w:rPr>
                <w:rFonts w:hint="eastAsia"/>
                <w:b/>
                <w:bCs/>
                <w:spacing w:val="5"/>
                <w:sz w:val="24"/>
                <w:szCs w:val="24"/>
                <w:lang w:eastAsia="zh-CN"/>
              </w:rPr>
              <w:t>供应商</w:t>
            </w:r>
            <w:r>
              <w:rPr>
                <w:b/>
                <w:bCs/>
                <w:spacing w:val="5"/>
                <w:sz w:val="24"/>
                <w:szCs w:val="24"/>
              </w:rPr>
              <w:t>名称</w:t>
            </w:r>
          </w:p>
        </w:tc>
        <w:tc>
          <w:tcPr>
            <w:tcW w:w="6512" w:type="dxa"/>
            <w:gridSpan w:val="4"/>
            <w:vAlign w:val="top"/>
          </w:tcPr>
          <w:p w14:paraId="62CBC57E">
            <w:pPr>
              <w:pageBreakBefore w:val="0"/>
              <w:kinsoku/>
              <w:topLinePunct w:val="0"/>
              <w:bidi w:val="0"/>
              <w:rPr>
                <w:rFonts w:ascii="Arial"/>
                <w:sz w:val="24"/>
                <w:szCs w:val="24"/>
              </w:rPr>
            </w:pPr>
          </w:p>
        </w:tc>
      </w:tr>
      <w:tr w14:paraId="257AF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51942464">
            <w:pPr>
              <w:pStyle w:val="20"/>
              <w:pageBreakBefore w:val="0"/>
              <w:kinsoku/>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11C1FF31">
            <w:pPr>
              <w:pageBreakBefore w:val="0"/>
              <w:kinsoku/>
              <w:topLinePunct w:val="0"/>
              <w:bidi w:val="0"/>
              <w:rPr>
                <w:rFonts w:ascii="Arial"/>
                <w:sz w:val="24"/>
                <w:szCs w:val="24"/>
              </w:rPr>
            </w:pPr>
          </w:p>
        </w:tc>
      </w:tr>
      <w:tr w14:paraId="42152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642AC635">
            <w:pPr>
              <w:pageBreakBefore w:val="0"/>
              <w:kinsoku/>
              <w:topLinePunct w:val="0"/>
              <w:bidi w:val="0"/>
              <w:spacing w:line="332" w:lineRule="auto"/>
              <w:rPr>
                <w:rFonts w:ascii="Arial"/>
                <w:sz w:val="24"/>
                <w:szCs w:val="24"/>
              </w:rPr>
            </w:pPr>
          </w:p>
          <w:p w14:paraId="1CA4E9EE">
            <w:pPr>
              <w:pStyle w:val="20"/>
              <w:pageBreakBefore w:val="0"/>
              <w:kinsoku/>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1E271310">
            <w:pPr>
              <w:pStyle w:val="20"/>
              <w:pageBreakBefore w:val="0"/>
              <w:kinsoku/>
              <w:topLinePunct w:val="0"/>
              <w:bidi w:val="0"/>
              <w:spacing w:before="146" w:line="233" w:lineRule="auto"/>
              <w:ind w:left="574"/>
              <w:rPr>
                <w:sz w:val="24"/>
                <w:szCs w:val="24"/>
              </w:rPr>
            </w:pPr>
            <w:r>
              <w:rPr>
                <w:b/>
                <w:bCs/>
                <w:spacing w:val="4"/>
                <w:sz w:val="24"/>
                <w:szCs w:val="24"/>
              </w:rPr>
              <w:t>联系人</w:t>
            </w:r>
          </w:p>
        </w:tc>
        <w:tc>
          <w:tcPr>
            <w:tcW w:w="1210" w:type="dxa"/>
            <w:vAlign w:val="top"/>
          </w:tcPr>
          <w:p w14:paraId="787310C0">
            <w:pPr>
              <w:pageBreakBefore w:val="0"/>
              <w:kinsoku/>
              <w:topLinePunct w:val="0"/>
              <w:bidi w:val="0"/>
              <w:rPr>
                <w:rFonts w:ascii="Arial"/>
                <w:sz w:val="24"/>
                <w:szCs w:val="24"/>
              </w:rPr>
            </w:pPr>
          </w:p>
        </w:tc>
        <w:tc>
          <w:tcPr>
            <w:tcW w:w="1766" w:type="dxa"/>
            <w:vAlign w:val="top"/>
          </w:tcPr>
          <w:p w14:paraId="4F098142">
            <w:pPr>
              <w:pStyle w:val="20"/>
              <w:pageBreakBefore w:val="0"/>
              <w:kinsoku/>
              <w:topLinePunct w:val="0"/>
              <w:bidi w:val="0"/>
              <w:spacing w:before="145" w:line="232" w:lineRule="auto"/>
              <w:ind w:left="706"/>
              <w:rPr>
                <w:sz w:val="24"/>
                <w:szCs w:val="24"/>
              </w:rPr>
            </w:pPr>
            <w:r>
              <w:rPr>
                <w:b/>
                <w:bCs/>
                <w:spacing w:val="-11"/>
                <w:sz w:val="24"/>
                <w:szCs w:val="24"/>
              </w:rPr>
              <w:t>电话</w:t>
            </w:r>
          </w:p>
        </w:tc>
        <w:tc>
          <w:tcPr>
            <w:tcW w:w="1771" w:type="dxa"/>
            <w:vAlign w:val="top"/>
          </w:tcPr>
          <w:p w14:paraId="09A80238">
            <w:pPr>
              <w:pageBreakBefore w:val="0"/>
              <w:kinsoku/>
              <w:topLinePunct w:val="0"/>
              <w:bidi w:val="0"/>
              <w:rPr>
                <w:rFonts w:ascii="Arial"/>
                <w:sz w:val="24"/>
                <w:szCs w:val="24"/>
              </w:rPr>
            </w:pPr>
          </w:p>
        </w:tc>
      </w:tr>
      <w:tr w14:paraId="193D4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14B0AC07">
            <w:pPr>
              <w:pageBreakBefore w:val="0"/>
              <w:kinsoku/>
              <w:topLinePunct w:val="0"/>
              <w:bidi w:val="0"/>
              <w:rPr>
                <w:rFonts w:ascii="Arial"/>
                <w:sz w:val="24"/>
                <w:szCs w:val="24"/>
              </w:rPr>
            </w:pPr>
          </w:p>
        </w:tc>
        <w:tc>
          <w:tcPr>
            <w:tcW w:w="1765" w:type="dxa"/>
            <w:vAlign w:val="top"/>
          </w:tcPr>
          <w:p w14:paraId="11F9EE15">
            <w:pPr>
              <w:pStyle w:val="20"/>
              <w:pageBreakBefore w:val="0"/>
              <w:kinsoku/>
              <w:topLinePunct w:val="0"/>
              <w:bidi w:val="0"/>
              <w:spacing w:before="144" w:line="232" w:lineRule="auto"/>
              <w:ind w:left="685"/>
              <w:rPr>
                <w:sz w:val="24"/>
                <w:szCs w:val="24"/>
              </w:rPr>
            </w:pPr>
            <w:r>
              <w:rPr>
                <w:b/>
                <w:bCs/>
                <w:spacing w:val="-1"/>
                <w:sz w:val="24"/>
                <w:szCs w:val="24"/>
              </w:rPr>
              <w:t>传真</w:t>
            </w:r>
          </w:p>
        </w:tc>
        <w:tc>
          <w:tcPr>
            <w:tcW w:w="1210" w:type="dxa"/>
            <w:vAlign w:val="top"/>
          </w:tcPr>
          <w:p w14:paraId="3036F7B6">
            <w:pPr>
              <w:pageBreakBefore w:val="0"/>
              <w:kinsoku/>
              <w:topLinePunct w:val="0"/>
              <w:bidi w:val="0"/>
              <w:rPr>
                <w:rFonts w:ascii="Arial"/>
                <w:sz w:val="24"/>
                <w:szCs w:val="24"/>
              </w:rPr>
            </w:pPr>
          </w:p>
        </w:tc>
        <w:tc>
          <w:tcPr>
            <w:tcW w:w="1766" w:type="dxa"/>
            <w:vAlign w:val="top"/>
          </w:tcPr>
          <w:p w14:paraId="7C9BA86E">
            <w:pPr>
              <w:pStyle w:val="20"/>
              <w:pageBreakBefore w:val="0"/>
              <w:kinsoku/>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58C497C4">
            <w:pPr>
              <w:pageBreakBefore w:val="0"/>
              <w:kinsoku/>
              <w:topLinePunct w:val="0"/>
              <w:bidi w:val="0"/>
              <w:rPr>
                <w:rFonts w:ascii="Arial"/>
                <w:sz w:val="24"/>
                <w:szCs w:val="24"/>
              </w:rPr>
            </w:pPr>
          </w:p>
        </w:tc>
      </w:tr>
      <w:tr w14:paraId="7833F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318DC76E">
            <w:pPr>
              <w:pStyle w:val="20"/>
              <w:pageBreakBefore w:val="0"/>
              <w:kinsoku/>
              <w:topLinePunct w:val="0"/>
              <w:bidi w:val="0"/>
              <w:spacing w:before="126" w:line="274" w:lineRule="exact"/>
              <w:ind w:left="538"/>
              <w:rPr>
                <w:sz w:val="24"/>
                <w:szCs w:val="24"/>
              </w:rPr>
            </w:pPr>
            <w:r>
              <w:rPr>
                <w:b/>
                <w:bCs/>
                <w:spacing w:val="4"/>
                <w:position w:val="4"/>
                <w:sz w:val="24"/>
                <w:szCs w:val="24"/>
              </w:rPr>
              <w:t>法定代表人</w:t>
            </w:r>
          </w:p>
          <w:p w14:paraId="266EDB6C">
            <w:pPr>
              <w:pStyle w:val="20"/>
              <w:pageBreakBefore w:val="0"/>
              <w:kinsoku/>
              <w:topLinePunct w:val="0"/>
              <w:bidi w:val="0"/>
              <w:spacing w:line="232" w:lineRule="auto"/>
              <w:ind w:left="431"/>
              <w:rPr>
                <w:sz w:val="24"/>
                <w:szCs w:val="24"/>
              </w:rPr>
            </w:pPr>
            <w:r>
              <w:rPr>
                <w:b/>
                <w:bCs/>
                <w:spacing w:val="3"/>
                <w:sz w:val="24"/>
                <w:szCs w:val="24"/>
              </w:rPr>
              <w:t>（或负责人）</w:t>
            </w:r>
          </w:p>
        </w:tc>
        <w:tc>
          <w:tcPr>
            <w:tcW w:w="1765" w:type="dxa"/>
            <w:vAlign w:val="top"/>
          </w:tcPr>
          <w:p w14:paraId="4390E2A6">
            <w:pPr>
              <w:pStyle w:val="20"/>
              <w:pageBreakBefore w:val="0"/>
              <w:kinsoku/>
              <w:topLinePunct w:val="0"/>
              <w:bidi w:val="0"/>
              <w:spacing w:before="263" w:line="233" w:lineRule="auto"/>
              <w:ind w:left="682"/>
              <w:rPr>
                <w:sz w:val="24"/>
                <w:szCs w:val="24"/>
              </w:rPr>
            </w:pPr>
            <w:r>
              <w:rPr>
                <w:b/>
                <w:bCs/>
                <w:spacing w:val="1"/>
                <w:sz w:val="24"/>
                <w:szCs w:val="24"/>
              </w:rPr>
              <w:t>姓名</w:t>
            </w:r>
          </w:p>
        </w:tc>
        <w:tc>
          <w:tcPr>
            <w:tcW w:w="1210" w:type="dxa"/>
            <w:vAlign w:val="top"/>
          </w:tcPr>
          <w:p w14:paraId="2BD0A9E3">
            <w:pPr>
              <w:pageBreakBefore w:val="0"/>
              <w:kinsoku/>
              <w:topLinePunct w:val="0"/>
              <w:bidi w:val="0"/>
              <w:rPr>
                <w:rFonts w:ascii="Arial"/>
                <w:sz w:val="24"/>
                <w:szCs w:val="24"/>
              </w:rPr>
            </w:pPr>
          </w:p>
        </w:tc>
        <w:tc>
          <w:tcPr>
            <w:tcW w:w="1766" w:type="dxa"/>
            <w:vAlign w:val="top"/>
          </w:tcPr>
          <w:p w14:paraId="70F3336D">
            <w:pPr>
              <w:pStyle w:val="20"/>
              <w:pageBreakBefore w:val="0"/>
              <w:kinsoku/>
              <w:topLinePunct w:val="0"/>
              <w:bidi w:val="0"/>
              <w:spacing w:before="263" w:line="232" w:lineRule="auto"/>
              <w:ind w:left="706"/>
              <w:rPr>
                <w:sz w:val="24"/>
                <w:szCs w:val="24"/>
              </w:rPr>
            </w:pPr>
            <w:r>
              <w:rPr>
                <w:b/>
                <w:bCs/>
                <w:spacing w:val="-11"/>
                <w:sz w:val="24"/>
                <w:szCs w:val="24"/>
              </w:rPr>
              <w:t>电话</w:t>
            </w:r>
          </w:p>
        </w:tc>
        <w:tc>
          <w:tcPr>
            <w:tcW w:w="1771" w:type="dxa"/>
            <w:vAlign w:val="top"/>
          </w:tcPr>
          <w:p w14:paraId="62677BB3">
            <w:pPr>
              <w:pageBreakBefore w:val="0"/>
              <w:kinsoku/>
              <w:topLinePunct w:val="0"/>
              <w:bidi w:val="0"/>
              <w:rPr>
                <w:rFonts w:ascii="Arial"/>
                <w:sz w:val="24"/>
                <w:szCs w:val="24"/>
              </w:rPr>
            </w:pPr>
          </w:p>
        </w:tc>
      </w:tr>
      <w:tr w14:paraId="56B67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30BB64FD">
            <w:pPr>
              <w:pStyle w:val="20"/>
              <w:pageBreakBefore w:val="0"/>
              <w:kinsoku/>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42D5D251">
            <w:pPr>
              <w:pageBreakBefore w:val="0"/>
              <w:kinsoku/>
              <w:topLinePunct w:val="0"/>
              <w:bidi w:val="0"/>
              <w:rPr>
                <w:rFonts w:ascii="Arial"/>
                <w:sz w:val="24"/>
                <w:szCs w:val="24"/>
              </w:rPr>
            </w:pPr>
          </w:p>
        </w:tc>
        <w:tc>
          <w:tcPr>
            <w:tcW w:w="1766" w:type="dxa"/>
            <w:vAlign w:val="top"/>
          </w:tcPr>
          <w:p w14:paraId="149ECFD6">
            <w:pPr>
              <w:pStyle w:val="20"/>
              <w:pageBreakBefore w:val="0"/>
              <w:kinsoku/>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2A70D76D">
            <w:pPr>
              <w:pageBreakBefore w:val="0"/>
              <w:kinsoku/>
              <w:topLinePunct w:val="0"/>
              <w:bidi w:val="0"/>
              <w:rPr>
                <w:rFonts w:ascii="Arial"/>
                <w:sz w:val="24"/>
                <w:szCs w:val="24"/>
              </w:rPr>
            </w:pPr>
          </w:p>
        </w:tc>
      </w:tr>
      <w:tr w14:paraId="34AB0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2DA3B26">
            <w:pPr>
              <w:pStyle w:val="20"/>
              <w:pageBreakBefore w:val="0"/>
              <w:kinsoku/>
              <w:topLinePunct w:val="0"/>
              <w:bidi w:val="0"/>
              <w:spacing w:before="146" w:line="233" w:lineRule="auto"/>
              <w:ind w:left="851"/>
              <w:rPr>
                <w:sz w:val="24"/>
                <w:szCs w:val="24"/>
              </w:rPr>
            </w:pPr>
            <w:r>
              <w:rPr>
                <w:b/>
                <w:bCs/>
                <w:spacing w:val="-1"/>
                <w:sz w:val="24"/>
                <w:szCs w:val="24"/>
              </w:rPr>
              <w:t>类型</w:t>
            </w:r>
          </w:p>
        </w:tc>
        <w:tc>
          <w:tcPr>
            <w:tcW w:w="1765" w:type="dxa"/>
            <w:vAlign w:val="top"/>
          </w:tcPr>
          <w:p w14:paraId="0EF8BF7E">
            <w:pPr>
              <w:pageBreakBefore w:val="0"/>
              <w:kinsoku/>
              <w:topLinePunct w:val="0"/>
              <w:bidi w:val="0"/>
              <w:rPr>
                <w:rFonts w:ascii="Arial"/>
                <w:sz w:val="24"/>
                <w:szCs w:val="24"/>
              </w:rPr>
            </w:pPr>
          </w:p>
        </w:tc>
        <w:tc>
          <w:tcPr>
            <w:tcW w:w="1210" w:type="dxa"/>
            <w:vMerge w:val="restart"/>
            <w:tcBorders>
              <w:bottom w:val="nil"/>
            </w:tcBorders>
            <w:vAlign w:val="top"/>
          </w:tcPr>
          <w:p w14:paraId="2B055F4C">
            <w:pPr>
              <w:pageBreakBefore w:val="0"/>
              <w:kinsoku/>
              <w:topLinePunct w:val="0"/>
              <w:bidi w:val="0"/>
              <w:spacing w:line="273" w:lineRule="auto"/>
              <w:rPr>
                <w:rFonts w:ascii="Arial"/>
                <w:sz w:val="24"/>
                <w:szCs w:val="24"/>
              </w:rPr>
            </w:pPr>
          </w:p>
          <w:p w14:paraId="018FFDE3">
            <w:pPr>
              <w:pageBreakBefore w:val="0"/>
              <w:kinsoku/>
              <w:topLinePunct w:val="0"/>
              <w:bidi w:val="0"/>
              <w:spacing w:line="273" w:lineRule="auto"/>
              <w:rPr>
                <w:rFonts w:ascii="Arial"/>
                <w:sz w:val="24"/>
                <w:szCs w:val="24"/>
              </w:rPr>
            </w:pPr>
          </w:p>
          <w:p w14:paraId="106784F2">
            <w:pPr>
              <w:pageBreakBefore w:val="0"/>
              <w:kinsoku/>
              <w:topLinePunct w:val="0"/>
              <w:bidi w:val="0"/>
              <w:spacing w:line="274" w:lineRule="auto"/>
              <w:rPr>
                <w:rFonts w:ascii="Arial"/>
                <w:sz w:val="24"/>
                <w:szCs w:val="24"/>
              </w:rPr>
            </w:pPr>
          </w:p>
          <w:p w14:paraId="0007996E">
            <w:pPr>
              <w:pageBreakBefore w:val="0"/>
              <w:kinsoku/>
              <w:topLinePunct w:val="0"/>
              <w:bidi w:val="0"/>
              <w:spacing w:line="274" w:lineRule="auto"/>
              <w:rPr>
                <w:rFonts w:ascii="Arial"/>
                <w:sz w:val="24"/>
                <w:szCs w:val="24"/>
              </w:rPr>
            </w:pPr>
          </w:p>
          <w:p w14:paraId="015162B3">
            <w:pPr>
              <w:pStyle w:val="20"/>
              <w:pageBreakBefore w:val="0"/>
              <w:kinsoku/>
              <w:topLinePunct w:val="0"/>
              <w:bidi w:val="0"/>
              <w:spacing w:before="65" w:line="231" w:lineRule="auto"/>
              <w:ind w:left="407"/>
              <w:rPr>
                <w:sz w:val="24"/>
                <w:szCs w:val="24"/>
              </w:rPr>
            </w:pPr>
            <w:r>
              <w:rPr>
                <w:b/>
                <w:bCs/>
                <w:sz w:val="24"/>
                <w:szCs w:val="24"/>
              </w:rPr>
              <w:t>其中</w:t>
            </w:r>
          </w:p>
        </w:tc>
        <w:tc>
          <w:tcPr>
            <w:tcW w:w="1766" w:type="dxa"/>
            <w:vMerge w:val="restart"/>
            <w:tcBorders>
              <w:bottom w:val="nil"/>
            </w:tcBorders>
            <w:vAlign w:val="top"/>
          </w:tcPr>
          <w:p w14:paraId="1C0A3EA4">
            <w:pPr>
              <w:pStyle w:val="20"/>
              <w:pageBreakBefore w:val="0"/>
              <w:kinsoku/>
              <w:topLinePunct w:val="0"/>
              <w:bidi w:val="0"/>
              <w:spacing w:before="65"/>
              <w:ind w:right="143"/>
              <w:rPr>
                <w:sz w:val="24"/>
                <w:szCs w:val="24"/>
              </w:rPr>
            </w:pPr>
            <w:r>
              <w:rPr>
                <w:b/>
                <w:bCs/>
                <w:spacing w:val="6"/>
                <w:sz w:val="24"/>
                <w:szCs w:val="24"/>
              </w:rPr>
              <w:t>基本账户</w:t>
            </w:r>
            <w:r>
              <w:rPr>
                <w:rFonts w:hint="eastAsia"/>
                <w:b/>
                <w:bCs/>
                <w:spacing w:val="6"/>
                <w:sz w:val="24"/>
                <w:szCs w:val="24"/>
                <w:lang w:eastAsia="zh-CN"/>
              </w:rPr>
              <w:t>开户人</w:t>
            </w:r>
            <w:r>
              <w:rPr>
                <w:spacing w:val="2"/>
                <w:sz w:val="24"/>
                <w:szCs w:val="24"/>
              </w:rPr>
              <w:t xml:space="preserve"> </w:t>
            </w:r>
            <w:r>
              <w:rPr>
                <w:b/>
                <w:bCs/>
                <w:spacing w:val="-3"/>
                <w:sz w:val="24"/>
                <w:szCs w:val="24"/>
              </w:rPr>
              <w:t>行</w:t>
            </w:r>
          </w:p>
        </w:tc>
        <w:tc>
          <w:tcPr>
            <w:tcW w:w="1771" w:type="dxa"/>
            <w:vMerge w:val="restart"/>
            <w:tcBorders>
              <w:bottom w:val="nil"/>
            </w:tcBorders>
            <w:vAlign w:val="top"/>
          </w:tcPr>
          <w:p w14:paraId="32E49713">
            <w:pPr>
              <w:pageBreakBefore w:val="0"/>
              <w:kinsoku/>
              <w:topLinePunct w:val="0"/>
              <w:bidi w:val="0"/>
              <w:rPr>
                <w:rFonts w:ascii="Arial"/>
                <w:sz w:val="24"/>
                <w:szCs w:val="24"/>
              </w:rPr>
            </w:pPr>
          </w:p>
        </w:tc>
      </w:tr>
      <w:tr w14:paraId="7AB8D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088CDDD">
            <w:pPr>
              <w:pStyle w:val="20"/>
              <w:pageBreakBefore w:val="0"/>
              <w:kinsoku/>
              <w:topLinePunct w:val="0"/>
              <w:bidi w:val="0"/>
              <w:spacing w:before="147" w:line="231" w:lineRule="auto"/>
              <w:ind w:left="643"/>
              <w:rPr>
                <w:sz w:val="24"/>
                <w:szCs w:val="24"/>
              </w:rPr>
            </w:pPr>
            <w:r>
              <w:rPr>
                <w:b/>
                <w:bCs/>
                <w:spacing w:val="3"/>
                <w:sz w:val="24"/>
                <w:szCs w:val="24"/>
              </w:rPr>
              <w:t>注册资本</w:t>
            </w:r>
          </w:p>
        </w:tc>
        <w:tc>
          <w:tcPr>
            <w:tcW w:w="1765" w:type="dxa"/>
            <w:vAlign w:val="top"/>
          </w:tcPr>
          <w:p w14:paraId="6180D5F4">
            <w:pPr>
              <w:pageBreakBefore w:val="0"/>
              <w:kinsoku/>
              <w:topLinePunct w:val="0"/>
              <w:bidi w:val="0"/>
              <w:rPr>
                <w:rFonts w:ascii="Arial"/>
                <w:sz w:val="24"/>
                <w:szCs w:val="24"/>
              </w:rPr>
            </w:pPr>
          </w:p>
        </w:tc>
        <w:tc>
          <w:tcPr>
            <w:tcW w:w="1210" w:type="dxa"/>
            <w:vMerge w:val="continue"/>
            <w:tcBorders>
              <w:top w:val="nil"/>
              <w:bottom w:val="nil"/>
            </w:tcBorders>
            <w:vAlign w:val="top"/>
          </w:tcPr>
          <w:p w14:paraId="000F0008">
            <w:pPr>
              <w:pageBreakBefore w:val="0"/>
              <w:kinsoku/>
              <w:topLinePunct w:val="0"/>
              <w:bidi w:val="0"/>
              <w:rPr>
                <w:rFonts w:ascii="Arial"/>
                <w:sz w:val="24"/>
                <w:szCs w:val="24"/>
              </w:rPr>
            </w:pPr>
          </w:p>
        </w:tc>
        <w:tc>
          <w:tcPr>
            <w:tcW w:w="1766" w:type="dxa"/>
            <w:vMerge w:val="continue"/>
            <w:tcBorders>
              <w:top w:val="nil"/>
              <w:bottom w:val="nil"/>
            </w:tcBorders>
            <w:vAlign w:val="top"/>
          </w:tcPr>
          <w:p w14:paraId="53BB4074">
            <w:pPr>
              <w:pageBreakBefore w:val="0"/>
              <w:kinsoku/>
              <w:topLinePunct w:val="0"/>
              <w:bidi w:val="0"/>
              <w:rPr>
                <w:rFonts w:ascii="Arial"/>
                <w:sz w:val="24"/>
                <w:szCs w:val="24"/>
              </w:rPr>
            </w:pPr>
          </w:p>
        </w:tc>
        <w:tc>
          <w:tcPr>
            <w:tcW w:w="1771" w:type="dxa"/>
            <w:vMerge w:val="continue"/>
            <w:tcBorders>
              <w:top w:val="nil"/>
              <w:bottom w:val="nil"/>
            </w:tcBorders>
            <w:vAlign w:val="top"/>
          </w:tcPr>
          <w:p w14:paraId="221B6F96">
            <w:pPr>
              <w:pageBreakBefore w:val="0"/>
              <w:kinsoku/>
              <w:topLinePunct w:val="0"/>
              <w:bidi w:val="0"/>
              <w:rPr>
                <w:rFonts w:ascii="Arial"/>
                <w:sz w:val="24"/>
                <w:szCs w:val="24"/>
              </w:rPr>
            </w:pPr>
          </w:p>
        </w:tc>
      </w:tr>
      <w:tr w14:paraId="157B3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84A76AC">
            <w:pPr>
              <w:pStyle w:val="20"/>
              <w:pageBreakBefore w:val="0"/>
              <w:kinsoku/>
              <w:topLinePunct w:val="0"/>
              <w:bidi w:val="0"/>
              <w:spacing w:before="145" w:line="232" w:lineRule="auto"/>
              <w:ind w:left="641"/>
              <w:rPr>
                <w:sz w:val="24"/>
                <w:szCs w:val="24"/>
              </w:rPr>
            </w:pPr>
            <w:r>
              <w:rPr>
                <w:b/>
                <w:bCs/>
                <w:spacing w:val="4"/>
                <w:sz w:val="24"/>
                <w:szCs w:val="24"/>
              </w:rPr>
              <w:t>成立日期</w:t>
            </w:r>
          </w:p>
        </w:tc>
        <w:tc>
          <w:tcPr>
            <w:tcW w:w="1765" w:type="dxa"/>
            <w:vAlign w:val="top"/>
          </w:tcPr>
          <w:p w14:paraId="76FE71DD">
            <w:pPr>
              <w:pageBreakBefore w:val="0"/>
              <w:kinsoku/>
              <w:topLinePunct w:val="0"/>
              <w:bidi w:val="0"/>
              <w:rPr>
                <w:rFonts w:ascii="Arial"/>
                <w:sz w:val="24"/>
                <w:szCs w:val="24"/>
              </w:rPr>
            </w:pPr>
          </w:p>
        </w:tc>
        <w:tc>
          <w:tcPr>
            <w:tcW w:w="1210" w:type="dxa"/>
            <w:vMerge w:val="continue"/>
            <w:tcBorders>
              <w:top w:val="nil"/>
              <w:bottom w:val="nil"/>
            </w:tcBorders>
            <w:vAlign w:val="top"/>
          </w:tcPr>
          <w:p w14:paraId="02C398A4">
            <w:pPr>
              <w:pageBreakBefore w:val="0"/>
              <w:kinsoku/>
              <w:topLinePunct w:val="0"/>
              <w:bidi w:val="0"/>
              <w:rPr>
                <w:rFonts w:ascii="Arial"/>
                <w:sz w:val="24"/>
                <w:szCs w:val="24"/>
              </w:rPr>
            </w:pPr>
          </w:p>
        </w:tc>
        <w:tc>
          <w:tcPr>
            <w:tcW w:w="1766" w:type="dxa"/>
            <w:vMerge w:val="continue"/>
            <w:tcBorders>
              <w:top w:val="nil"/>
            </w:tcBorders>
            <w:vAlign w:val="top"/>
          </w:tcPr>
          <w:p w14:paraId="0CD3BBB5">
            <w:pPr>
              <w:pageBreakBefore w:val="0"/>
              <w:kinsoku/>
              <w:topLinePunct w:val="0"/>
              <w:bidi w:val="0"/>
              <w:rPr>
                <w:rFonts w:ascii="Arial"/>
                <w:sz w:val="24"/>
                <w:szCs w:val="24"/>
              </w:rPr>
            </w:pPr>
          </w:p>
        </w:tc>
        <w:tc>
          <w:tcPr>
            <w:tcW w:w="1771" w:type="dxa"/>
            <w:vMerge w:val="continue"/>
            <w:tcBorders>
              <w:top w:val="nil"/>
            </w:tcBorders>
            <w:vAlign w:val="top"/>
          </w:tcPr>
          <w:p w14:paraId="0A15E5FD">
            <w:pPr>
              <w:pageBreakBefore w:val="0"/>
              <w:kinsoku/>
              <w:topLinePunct w:val="0"/>
              <w:bidi w:val="0"/>
              <w:rPr>
                <w:rFonts w:ascii="Arial"/>
                <w:sz w:val="24"/>
                <w:szCs w:val="24"/>
              </w:rPr>
            </w:pPr>
          </w:p>
        </w:tc>
      </w:tr>
      <w:tr w14:paraId="6468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4E68E7D0">
            <w:pPr>
              <w:pStyle w:val="20"/>
              <w:pageBreakBefore w:val="0"/>
              <w:kinsoku/>
              <w:topLinePunct w:val="0"/>
              <w:bidi w:val="0"/>
              <w:spacing w:before="147" w:line="231" w:lineRule="auto"/>
              <w:ind w:left="643"/>
              <w:rPr>
                <w:sz w:val="24"/>
                <w:szCs w:val="24"/>
              </w:rPr>
            </w:pPr>
            <w:r>
              <w:rPr>
                <w:b/>
                <w:bCs/>
                <w:spacing w:val="3"/>
                <w:sz w:val="24"/>
                <w:szCs w:val="24"/>
              </w:rPr>
              <w:t>营业期限</w:t>
            </w:r>
          </w:p>
        </w:tc>
        <w:tc>
          <w:tcPr>
            <w:tcW w:w="1765" w:type="dxa"/>
            <w:vAlign w:val="top"/>
          </w:tcPr>
          <w:p w14:paraId="10707455">
            <w:pPr>
              <w:pageBreakBefore w:val="0"/>
              <w:kinsoku/>
              <w:topLinePunct w:val="0"/>
              <w:bidi w:val="0"/>
              <w:rPr>
                <w:rFonts w:ascii="Arial"/>
                <w:sz w:val="24"/>
                <w:szCs w:val="24"/>
              </w:rPr>
            </w:pPr>
          </w:p>
        </w:tc>
        <w:tc>
          <w:tcPr>
            <w:tcW w:w="1210" w:type="dxa"/>
            <w:vMerge w:val="continue"/>
            <w:tcBorders>
              <w:top w:val="nil"/>
              <w:bottom w:val="nil"/>
            </w:tcBorders>
            <w:vAlign w:val="top"/>
          </w:tcPr>
          <w:p w14:paraId="61999DDA">
            <w:pPr>
              <w:pageBreakBefore w:val="0"/>
              <w:kinsoku/>
              <w:topLinePunct w:val="0"/>
              <w:bidi w:val="0"/>
              <w:rPr>
                <w:rFonts w:ascii="Arial"/>
                <w:sz w:val="24"/>
                <w:szCs w:val="24"/>
              </w:rPr>
            </w:pPr>
          </w:p>
        </w:tc>
        <w:tc>
          <w:tcPr>
            <w:tcW w:w="1766" w:type="dxa"/>
            <w:vMerge w:val="restart"/>
            <w:tcBorders>
              <w:bottom w:val="nil"/>
            </w:tcBorders>
            <w:vAlign w:val="top"/>
          </w:tcPr>
          <w:p w14:paraId="0D8FD12C">
            <w:pPr>
              <w:pStyle w:val="20"/>
              <w:pageBreakBefore w:val="0"/>
              <w:kinsoku/>
              <w:topLinePunct w:val="0"/>
              <w:bidi w:val="0"/>
              <w:spacing w:before="265" w:line="241" w:lineRule="auto"/>
              <w:ind w:right="143"/>
              <w:rPr>
                <w:sz w:val="24"/>
                <w:szCs w:val="24"/>
              </w:rPr>
            </w:pPr>
            <w:r>
              <w:rPr>
                <w:b/>
                <w:bCs/>
                <w:spacing w:val="6"/>
                <w:sz w:val="24"/>
                <w:szCs w:val="24"/>
              </w:rPr>
              <w:t>基本账户银行账</w:t>
            </w:r>
            <w:r>
              <w:rPr>
                <w:spacing w:val="2"/>
                <w:sz w:val="24"/>
                <w:szCs w:val="24"/>
              </w:rPr>
              <w:t xml:space="preserve"> </w:t>
            </w:r>
            <w:r>
              <w:rPr>
                <w:b/>
                <w:bCs/>
                <w:spacing w:val="-3"/>
                <w:sz w:val="24"/>
                <w:szCs w:val="24"/>
              </w:rPr>
              <w:t>号</w:t>
            </w:r>
          </w:p>
        </w:tc>
        <w:tc>
          <w:tcPr>
            <w:tcW w:w="1771" w:type="dxa"/>
            <w:vMerge w:val="restart"/>
            <w:tcBorders>
              <w:bottom w:val="nil"/>
            </w:tcBorders>
            <w:vAlign w:val="top"/>
          </w:tcPr>
          <w:p w14:paraId="2DAF0DCD">
            <w:pPr>
              <w:pageBreakBefore w:val="0"/>
              <w:kinsoku/>
              <w:topLinePunct w:val="0"/>
              <w:bidi w:val="0"/>
              <w:rPr>
                <w:rFonts w:ascii="Arial"/>
                <w:sz w:val="24"/>
                <w:szCs w:val="24"/>
              </w:rPr>
            </w:pPr>
          </w:p>
        </w:tc>
      </w:tr>
      <w:tr w14:paraId="4B212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5D61EB1B">
            <w:pPr>
              <w:pStyle w:val="20"/>
              <w:pageBreakBefore w:val="0"/>
              <w:kinsoku/>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6A6D88AE">
            <w:pPr>
              <w:pageBreakBefore w:val="0"/>
              <w:kinsoku/>
              <w:topLinePunct w:val="0"/>
              <w:bidi w:val="0"/>
              <w:rPr>
                <w:rFonts w:ascii="Arial"/>
                <w:sz w:val="24"/>
                <w:szCs w:val="24"/>
              </w:rPr>
            </w:pPr>
          </w:p>
        </w:tc>
        <w:tc>
          <w:tcPr>
            <w:tcW w:w="1210" w:type="dxa"/>
            <w:vMerge w:val="continue"/>
            <w:tcBorders>
              <w:top w:val="nil"/>
            </w:tcBorders>
            <w:vAlign w:val="top"/>
          </w:tcPr>
          <w:p w14:paraId="5857BEAF">
            <w:pPr>
              <w:pageBreakBefore w:val="0"/>
              <w:kinsoku/>
              <w:topLinePunct w:val="0"/>
              <w:bidi w:val="0"/>
              <w:rPr>
                <w:rFonts w:ascii="Arial"/>
                <w:sz w:val="24"/>
                <w:szCs w:val="24"/>
              </w:rPr>
            </w:pPr>
          </w:p>
        </w:tc>
        <w:tc>
          <w:tcPr>
            <w:tcW w:w="1766" w:type="dxa"/>
            <w:vMerge w:val="continue"/>
            <w:tcBorders>
              <w:top w:val="nil"/>
            </w:tcBorders>
            <w:vAlign w:val="top"/>
          </w:tcPr>
          <w:p w14:paraId="71A058F2">
            <w:pPr>
              <w:pageBreakBefore w:val="0"/>
              <w:kinsoku/>
              <w:topLinePunct w:val="0"/>
              <w:bidi w:val="0"/>
              <w:rPr>
                <w:rFonts w:ascii="Arial"/>
                <w:sz w:val="24"/>
                <w:szCs w:val="24"/>
              </w:rPr>
            </w:pPr>
          </w:p>
        </w:tc>
        <w:tc>
          <w:tcPr>
            <w:tcW w:w="1771" w:type="dxa"/>
            <w:vMerge w:val="continue"/>
            <w:tcBorders>
              <w:top w:val="nil"/>
            </w:tcBorders>
            <w:vAlign w:val="top"/>
          </w:tcPr>
          <w:p w14:paraId="47C0C0BB">
            <w:pPr>
              <w:pageBreakBefore w:val="0"/>
              <w:kinsoku/>
              <w:topLinePunct w:val="0"/>
              <w:bidi w:val="0"/>
              <w:rPr>
                <w:rFonts w:ascii="Arial"/>
                <w:sz w:val="24"/>
                <w:szCs w:val="24"/>
              </w:rPr>
            </w:pPr>
          </w:p>
        </w:tc>
      </w:tr>
      <w:tr w14:paraId="70F2D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0B1419A7">
            <w:pPr>
              <w:pageBreakBefore w:val="0"/>
              <w:kinsoku/>
              <w:topLinePunct w:val="0"/>
              <w:bidi w:val="0"/>
              <w:spacing w:line="252" w:lineRule="auto"/>
              <w:rPr>
                <w:rFonts w:ascii="Arial"/>
                <w:sz w:val="24"/>
                <w:szCs w:val="24"/>
              </w:rPr>
            </w:pPr>
          </w:p>
          <w:p w14:paraId="106EB43F">
            <w:pPr>
              <w:pageBreakBefore w:val="0"/>
              <w:kinsoku/>
              <w:topLinePunct w:val="0"/>
              <w:bidi w:val="0"/>
              <w:spacing w:line="252" w:lineRule="auto"/>
              <w:rPr>
                <w:rFonts w:ascii="Arial"/>
                <w:sz w:val="24"/>
                <w:szCs w:val="24"/>
              </w:rPr>
            </w:pPr>
          </w:p>
          <w:p w14:paraId="45555A7A">
            <w:pPr>
              <w:pageBreakBefore w:val="0"/>
              <w:kinsoku/>
              <w:topLinePunct w:val="0"/>
              <w:bidi w:val="0"/>
              <w:spacing w:line="252" w:lineRule="auto"/>
              <w:rPr>
                <w:rFonts w:ascii="Arial"/>
                <w:sz w:val="24"/>
                <w:szCs w:val="24"/>
              </w:rPr>
            </w:pPr>
          </w:p>
          <w:p w14:paraId="6216AA07">
            <w:pPr>
              <w:pageBreakBefore w:val="0"/>
              <w:kinsoku/>
              <w:topLinePunct w:val="0"/>
              <w:bidi w:val="0"/>
              <w:spacing w:line="252" w:lineRule="auto"/>
              <w:rPr>
                <w:rFonts w:ascii="Arial"/>
                <w:sz w:val="24"/>
                <w:szCs w:val="24"/>
              </w:rPr>
            </w:pPr>
          </w:p>
          <w:p w14:paraId="224EDED2">
            <w:pPr>
              <w:pageBreakBefore w:val="0"/>
              <w:kinsoku/>
              <w:topLinePunct w:val="0"/>
              <w:bidi w:val="0"/>
              <w:spacing w:line="252" w:lineRule="auto"/>
              <w:rPr>
                <w:rFonts w:ascii="Arial"/>
                <w:sz w:val="24"/>
                <w:szCs w:val="24"/>
              </w:rPr>
            </w:pPr>
          </w:p>
          <w:p w14:paraId="71DA268D">
            <w:pPr>
              <w:pageBreakBefore w:val="0"/>
              <w:kinsoku/>
              <w:topLinePunct w:val="0"/>
              <w:bidi w:val="0"/>
              <w:spacing w:line="252" w:lineRule="auto"/>
              <w:rPr>
                <w:rFonts w:ascii="Arial"/>
                <w:sz w:val="24"/>
                <w:szCs w:val="24"/>
              </w:rPr>
            </w:pPr>
          </w:p>
          <w:p w14:paraId="73A9FEF8">
            <w:pPr>
              <w:pageBreakBefore w:val="0"/>
              <w:kinsoku/>
              <w:topLinePunct w:val="0"/>
              <w:bidi w:val="0"/>
              <w:spacing w:line="252" w:lineRule="auto"/>
              <w:rPr>
                <w:rFonts w:ascii="Arial"/>
                <w:sz w:val="24"/>
                <w:szCs w:val="24"/>
              </w:rPr>
            </w:pPr>
          </w:p>
          <w:p w14:paraId="4E9E1813">
            <w:pPr>
              <w:pageBreakBefore w:val="0"/>
              <w:kinsoku/>
              <w:topLinePunct w:val="0"/>
              <w:bidi w:val="0"/>
              <w:spacing w:line="252" w:lineRule="auto"/>
              <w:rPr>
                <w:rFonts w:ascii="Arial"/>
                <w:sz w:val="24"/>
                <w:szCs w:val="24"/>
              </w:rPr>
            </w:pPr>
          </w:p>
          <w:p w14:paraId="624C404B">
            <w:pPr>
              <w:pageBreakBefore w:val="0"/>
              <w:kinsoku/>
              <w:topLinePunct w:val="0"/>
              <w:bidi w:val="0"/>
              <w:spacing w:line="253" w:lineRule="auto"/>
              <w:rPr>
                <w:rFonts w:ascii="Arial"/>
                <w:sz w:val="24"/>
                <w:szCs w:val="24"/>
              </w:rPr>
            </w:pPr>
          </w:p>
          <w:p w14:paraId="652A9314">
            <w:pPr>
              <w:pStyle w:val="20"/>
              <w:pageBreakBefore w:val="0"/>
              <w:kinsoku/>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0D9B2205">
            <w:pPr>
              <w:pageBreakBefore w:val="0"/>
              <w:kinsoku/>
              <w:topLinePunct w:val="0"/>
              <w:bidi w:val="0"/>
              <w:rPr>
                <w:rFonts w:ascii="Arial"/>
                <w:sz w:val="24"/>
                <w:szCs w:val="24"/>
              </w:rPr>
            </w:pPr>
          </w:p>
        </w:tc>
      </w:tr>
    </w:tbl>
    <w:p w14:paraId="5FAE7488">
      <w:pPr>
        <w:pageBreakBefore w:val="0"/>
        <w:kinsoku/>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注：本表后应附企业法人营业执照等资格审查所需相关材料的复印件。</w:t>
      </w:r>
    </w:p>
    <w:p w14:paraId="4E028927">
      <w:pPr>
        <w:pageBreakBefore w:val="0"/>
        <w:kinsoku/>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供应商</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485E58C3">
      <w:pPr>
        <w:pStyle w:val="5"/>
        <w:pageBreakBefore w:val="0"/>
        <w:kinsoku/>
        <w:topLinePunct w:val="0"/>
        <w:bidi w:val="0"/>
        <w:spacing w:line="262" w:lineRule="auto"/>
      </w:pPr>
    </w:p>
    <w:p w14:paraId="4388A346">
      <w:pPr>
        <w:pStyle w:val="5"/>
        <w:pageBreakBefore w:val="0"/>
        <w:kinsoku/>
        <w:topLinePunct w:val="0"/>
        <w:bidi w:val="0"/>
        <w:spacing w:line="262" w:lineRule="auto"/>
      </w:pPr>
    </w:p>
    <w:p w14:paraId="3DC697C0">
      <w:pPr>
        <w:pStyle w:val="5"/>
        <w:pageBreakBefore w:val="0"/>
        <w:kinsoku/>
        <w:topLinePunct w:val="0"/>
        <w:bidi w:val="0"/>
        <w:spacing w:line="263" w:lineRule="auto"/>
      </w:pPr>
    </w:p>
    <w:p w14:paraId="1CE26F80">
      <w:pPr>
        <w:pStyle w:val="5"/>
        <w:pageBreakBefore w:val="0"/>
        <w:kinsoku/>
        <w:topLinePunct w:val="0"/>
        <w:bidi w:val="0"/>
        <w:spacing w:line="263" w:lineRule="auto"/>
      </w:pPr>
    </w:p>
    <w:p w14:paraId="074EC0DC">
      <w:pPr>
        <w:pStyle w:val="5"/>
        <w:pageBreakBefore w:val="0"/>
        <w:kinsoku/>
        <w:topLinePunct w:val="0"/>
        <w:bidi w:val="0"/>
        <w:spacing w:line="263" w:lineRule="auto"/>
      </w:pPr>
    </w:p>
    <w:p w14:paraId="3641EF78">
      <w:pPr>
        <w:pageBreakBefore w:val="0"/>
        <w:kinsoku/>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6</w:t>
      </w:r>
      <w:r>
        <w:rPr>
          <w:rFonts w:ascii="仿宋" w:hAnsi="仿宋" w:eastAsia="仿宋" w:cs="仿宋"/>
          <w:b/>
          <w:bCs/>
          <w:spacing w:val="6"/>
          <w:sz w:val="24"/>
          <w:szCs w:val="24"/>
        </w:rPr>
        <w:t>.近三年无重大违法记录声明</w:t>
      </w:r>
    </w:p>
    <w:p w14:paraId="22FD104A">
      <w:pPr>
        <w:pStyle w:val="5"/>
        <w:pageBreakBefore w:val="0"/>
        <w:kinsoku/>
        <w:topLinePunct w:val="0"/>
        <w:bidi w:val="0"/>
        <w:spacing w:line="295" w:lineRule="auto"/>
        <w:rPr>
          <w:sz w:val="24"/>
          <w:szCs w:val="24"/>
        </w:rPr>
      </w:pPr>
    </w:p>
    <w:p w14:paraId="0E4744C2">
      <w:pPr>
        <w:pStyle w:val="5"/>
        <w:pageBreakBefore w:val="0"/>
        <w:kinsoku/>
        <w:topLinePunct w:val="0"/>
        <w:bidi w:val="0"/>
        <w:spacing w:line="295" w:lineRule="auto"/>
        <w:rPr>
          <w:sz w:val="24"/>
          <w:szCs w:val="24"/>
        </w:rPr>
      </w:pPr>
    </w:p>
    <w:p w14:paraId="12262DE5">
      <w:pPr>
        <w:pageBreakBefore w:val="0"/>
        <w:kinsoku/>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EBBAA1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11E645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602C37C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 中国政府采购网平台及国家企业信用查询系统中，无任何重大违法记录。</w:t>
      </w:r>
    </w:p>
    <w:p w14:paraId="4C5A42B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2F569B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50873709">
      <w:pPr>
        <w:pStyle w:val="5"/>
        <w:pageBreakBefore w:val="0"/>
        <w:kinsoku/>
        <w:topLinePunct w:val="0"/>
        <w:bidi w:val="0"/>
        <w:spacing w:line="284" w:lineRule="auto"/>
        <w:rPr>
          <w:sz w:val="24"/>
          <w:szCs w:val="24"/>
        </w:rPr>
      </w:pPr>
    </w:p>
    <w:p w14:paraId="1881ED0B">
      <w:pPr>
        <w:pStyle w:val="5"/>
        <w:pageBreakBefore w:val="0"/>
        <w:kinsoku/>
        <w:topLinePunct w:val="0"/>
        <w:bidi w:val="0"/>
        <w:spacing w:line="285" w:lineRule="auto"/>
        <w:rPr>
          <w:sz w:val="24"/>
          <w:szCs w:val="24"/>
        </w:rPr>
      </w:pPr>
    </w:p>
    <w:p w14:paraId="2B02EA0D">
      <w:pPr>
        <w:pStyle w:val="5"/>
        <w:pageBreakBefore w:val="0"/>
        <w:kinsoku/>
        <w:topLinePunct w:val="0"/>
        <w:bidi w:val="0"/>
        <w:spacing w:line="285" w:lineRule="auto"/>
        <w:rPr>
          <w:sz w:val="24"/>
          <w:szCs w:val="24"/>
        </w:rPr>
      </w:pPr>
    </w:p>
    <w:p w14:paraId="1AD80912">
      <w:pPr>
        <w:pStyle w:val="5"/>
        <w:pageBreakBefore w:val="0"/>
        <w:kinsoku/>
        <w:topLinePunct w:val="0"/>
        <w:bidi w:val="0"/>
        <w:spacing w:line="285" w:lineRule="auto"/>
        <w:rPr>
          <w:sz w:val="24"/>
          <w:szCs w:val="24"/>
        </w:rPr>
      </w:pPr>
    </w:p>
    <w:p w14:paraId="2DBDFB13">
      <w:pPr>
        <w:pageBreakBefore w:val="0"/>
        <w:kinsoku/>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hint="eastAsia" w:ascii="仿宋" w:hAnsi="仿宋" w:eastAsia="仿宋" w:cs="仿宋"/>
          <w:spacing w:val="7"/>
          <w:sz w:val="24"/>
          <w:szCs w:val="24"/>
          <w:lang w:eastAsia="zh-CN"/>
        </w:rPr>
        <w:t>（</w:t>
      </w:r>
      <w:r>
        <w:rPr>
          <w:rFonts w:ascii="仿宋" w:hAnsi="仿宋" w:eastAsia="仿宋" w:cs="仿宋"/>
          <w:spacing w:val="7"/>
          <w:sz w:val="24"/>
          <w:szCs w:val="24"/>
        </w:rPr>
        <w:t>公章</w:t>
      </w:r>
      <w:r>
        <w:rPr>
          <w:rFonts w:hint="eastAsia" w:ascii="仿宋" w:hAnsi="仿宋" w:eastAsia="仿宋" w:cs="仿宋"/>
          <w:spacing w:val="7"/>
          <w:sz w:val="24"/>
          <w:szCs w:val="24"/>
          <w:lang w:eastAsia="zh-CN"/>
        </w:rPr>
        <w:t>）</w:t>
      </w:r>
      <w:r>
        <w:rPr>
          <w:rFonts w:ascii="仿宋" w:hAnsi="仿宋" w:eastAsia="仿宋" w:cs="仿宋"/>
          <w:spacing w:val="7"/>
          <w:sz w:val="24"/>
          <w:szCs w:val="24"/>
        </w:rPr>
        <w:t>：</w:t>
      </w:r>
      <w:r>
        <w:rPr>
          <w:rFonts w:ascii="仿宋" w:hAnsi="仿宋" w:eastAsia="仿宋" w:cs="仿宋"/>
          <w:sz w:val="24"/>
          <w:szCs w:val="24"/>
          <w:u w:val="single" w:color="auto"/>
        </w:rPr>
        <w:t xml:space="preserve">                     </w:t>
      </w:r>
    </w:p>
    <w:p w14:paraId="44738A10">
      <w:pPr>
        <w:pageBreakBefore w:val="0"/>
        <w:kinsoku/>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64A26E1D">
      <w:pPr>
        <w:pStyle w:val="5"/>
        <w:pageBreakBefore w:val="0"/>
        <w:kinsoku/>
        <w:topLinePunct w:val="0"/>
        <w:bidi w:val="0"/>
        <w:spacing w:line="464" w:lineRule="auto"/>
        <w:rPr>
          <w:sz w:val="24"/>
          <w:szCs w:val="24"/>
        </w:rPr>
      </w:pPr>
    </w:p>
    <w:p w14:paraId="27EF27DA">
      <w:pPr>
        <w:pageBreakBefore w:val="0"/>
        <w:kinsoku/>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449D4641">
      <w:pPr>
        <w:pageBreakBefore w:val="0"/>
        <w:kinsoku/>
        <w:topLinePunct w:val="0"/>
        <w:bidi w:val="0"/>
        <w:spacing w:line="231" w:lineRule="auto"/>
        <w:rPr>
          <w:rFonts w:ascii="仿宋" w:hAnsi="仿宋" w:eastAsia="仿宋" w:cs="仿宋"/>
          <w:sz w:val="24"/>
          <w:szCs w:val="24"/>
        </w:rPr>
        <w:sectPr>
          <w:footerReference r:id="rId10" w:type="default"/>
          <w:pgSz w:w="11906" w:h="16839"/>
          <w:pgMar w:top="1440" w:right="1080" w:bottom="1440" w:left="1080" w:header="0" w:footer="1054" w:gutter="0"/>
          <w:pgNumType w:fmt="decimal"/>
          <w:cols w:space="720" w:num="1"/>
        </w:sectPr>
      </w:pPr>
    </w:p>
    <w:p w14:paraId="203ED0ED">
      <w:pPr>
        <w:pageBreakBefore w:val="0"/>
        <w:kinsoku/>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7</w:t>
      </w:r>
      <w:r>
        <w:rPr>
          <w:rFonts w:ascii="仿宋" w:hAnsi="仿宋" w:eastAsia="仿宋" w:cs="仿宋"/>
          <w:b/>
          <w:bCs/>
          <w:spacing w:val="8"/>
          <w:position w:val="31"/>
          <w:sz w:val="24"/>
          <w:szCs w:val="24"/>
        </w:rPr>
        <w:t>.具有履行合同所</w:t>
      </w:r>
      <w:r>
        <w:rPr>
          <w:rFonts w:hint="eastAsia" w:ascii="仿宋" w:hAnsi="仿宋" w:eastAsia="仿宋" w:cs="仿宋"/>
          <w:b/>
          <w:bCs/>
          <w:spacing w:val="8"/>
          <w:position w:val="31"/>
          <w:sz w:val="24"/>
          <w:szCs w:val="24"/>
          <w:lang w:eastAsia="zh-CN"/>
        </w:rPr>
        <w:t>必需的</w:t>
      </w:r>
      <w:r>
        <w:rPr>
          <w:rFonts w:ascii="仿宋" w:hAnsi="仿宋" w:eastAsia="仿宋" w:cs="仿宋"/>
          <w:b/>
          <w:bCs/>
          <w:spacing w:val="8"/>
          <w:position w:val="31"/>
          <w:sz w:val="24"/>
          <w:szCs w:val="24"/>
        </w:rPr>
        <w:t>设备和专业技术能力的</w:t>
      </w:r>
      <w:r>
        <w:rPr>
          <w:rFonts w:ascii="仿宋" w:hAnsi="仿宋" w:eastAsia="仿宋" w:cs="仿宋"/>
          <w:b/>
          <w:bCs/>
          <w:spacing w:val="7"/>
          <w:position w:val="31"/>
          <w:sz w:val="24"/>
          <w:szCs w:val="24"/>
        </w:rPr>
        <w:t>承诺函</w:t>
      </w:r>
    </w:p>
    <w:p w14:paraId="58B9C099">
      <w:pPr>
        <w:pageBreakBefore w:val="0"/>
        <w:kinsoku/>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1D3E7386">
      <w:pPr>
        <w:pStyle w:val="5"/>
        <w:pageBreakBefore w:val="0"/>
        <w:kinsoku/>
        <w:topLinePunct w:val="0"/>
        <w:bidi w:val="0"/>
        <w:spacing w:line="257" w:lineRule="auto"/>
      </w:pPr>
    </w:p>
    <w:p w14:paraId="4C52867C">
      <w:pPr>
        <w:pStyle w:val="5"/>
        <w:pageBreakBefore w:val="0"/>
        <w:kinsoku/>
        <w:topLinePunct w:val="0"/>
        <w:bidi w:val="0"/>
        <w:spacing w:line="257" w:lineRule="auto"/>
      </w:pPr>
    </w:p>
    <w:p w14:paraId="3EBB3FC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w:t>
      </w:r>
      <w:r>
        <w:rPr>
          <w:rFonts w:hint="eastAsia" w:ascii="仿宋" w:hAnsi="仿宋" w:eastAsia="仿宋" w:cs="仿宋"/>
          <w:spacing w:val="7"/>
          <w:sz w:val="24"/>
          <w:szCs w:val="24"/>
          <w:u w:val="single"/>
          <w:lang w:eastAsia="zh-CN"/>
        </w:rPr>
        <w:t>（</w:t>
      </w:r>
      <w:r>
        <w:rPr>
          <w:rFonts w:ascii="仿宋" w:hAnsi="仿宋" w:eastAsia="仿宋" w:cs="仿宋"/>
          <w:spacing w:val="7"/>
          <w:sz w:val="24"/>
          <w:szCs w:val="24"/>
          <w:u w:val="single"/>
        </w:rPr>
        <w:t xml:space="preserve">项目编号：    </w:t>
      </w:r>
      <w:r>
        <w:rPr>
          <w:rFonts w:hint="eastAsia" w:ascii="仿宋" w:hAnsi="仿宋" w:eastAsia="仿宋" w:cs="仿宋"/>
          <w:spacing w:val="7"/>
          <w:sz w:val="24"/>
          <w:szCs w:val="24"/>
          <w:u w:val="single"/>
          <w:lang w:eastAsia="zh-CN"/>
        </w:rPr>
        <w:t>）</w:t>
      </w:r>
      <w:r>
        <w:rPr>
          <w:rFonts w:ascii="仿宋" w:hAnsi="仿宋" w:eastAsia="仿宋" w:cs="仿宋"/>
          <w:spacing w:val="7"/>
          <w:sz w:val="24"/>
          <w:szCs w:val="24"/>
        </w:rPr>
        <w:t>的</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，在完全理解本项目</w:t>
      </w:r>
      <w:r>
        <w:rPr>
          <w:rFonts w:hint="eastAsia" w:ascii="仿宋" w:hAnsi="仿宋" w:eastAsia="仿宋" w:cs="仿宋"/>
          <w:spacing w:val="7"/>
          <w:sz w:val="24"/>
          <w:szCs w:val="24"/>
          <w:lang w:eastAsia="zh-CN"/>
        </w:rPr>
        <w:t>采购</w:t>
      </w:r>
      <w:r>
        <w:rPr>
          <w:rFonts w:ascii="仿宋" w:hAnsi="仿宋" w:eastAsia="仿宋" w:cs="仿宋"/>
          <w:spacing w:val="7"/>
          <w:sz w:val="24"/>
          <w:szCs w:val="24"/>
        </w:rPr>
        <w:t>的技术要求、商务条款及其他内容后，决定参与该项目的</w:t>
      </w:r>
      <w:r>
        <w:rPr>
          <w:rFonts w:hint="eastAsia" w:ascii="仿宋" w:hAnsi="仿宋" w:eastAsia="仿宋" w:cs="仿宋"/>
          <w:spacing w:val="7"/>
          <w:sz w:val="24"/>
          <w:szCs w:val="24"/>
          <w:lang w:eastAsia="zh-CN"/>
        </w:rPr>
        <w:t>磋商</w:t>
      </w:r>
      <w:r>
        <w:rPr>
          <w:rFonts w:ascii="仿宋" w:hAnsi="仿宋" w:eastAsia="仿宋" w:cs="仿宋"/>
          <w:spacing w:val="7"/>
          <w:sz w:val="24"/>
          <w:szCs w:val="24"/>
        </w:rPr>
        <w:t>活动。并承诺，我公司具有履行合同所</w:t>
      </w:r>
      <w:r>
        <w:rPr>
          <w:rFonts w:hint="eastAsia" w:ascii="仿宋" w:hAnsi="仿宋" w:eastAsia="仿宋" w:cs="仿宋"/>
          <w:spacing w:val="7"/>
          <w:sz w:val="24"/>
          <w:szCs w:val="24"/>
          <w:lang w:eastAsia="zh-CN"/>
        </w:rPr>
        <w:t>必需的</w:t>
      </w:r>
      <w:r>
        <w:rPr>
          <w:rFonts w:ascii="仿宋" w:hAnsi="仿宋" w:eastAsia="仿宋" w:cs="仿宋"/>
          <w:spacing w:val="7"/>
          <w:sz w:val="24"/>
          <w:szCs w:val="24"/>
        </w:rPr>
        <w:t>设备和专业技术能力。如我方中标，我公司将提供足够的设备和专业技术能力保证本合同履行。</w:t>
      </w:r>
    </w:p>
    <w:p w14:paraId="1391A2F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7865BA94">
      <w:pPr>
        <w:pStyle w:val="5"/>
        <w:pageBreakBefore w:val="0"/>
        <w:kinsoku/>
        <w:topLinePunct w:val="0"/>
        <w:bidi w:val="0"/>
        <w:spacing w:line="259" w:lineRule="auto"/>
        <w:rPr>
          <w:sz w:val="24"/>
          <w:szCs w:val="24"/>
        </w:rPr>
      </w:pPr>
    </w:p>
    <w:p w14:paraId="63B81A8F">
      <w:pPr>
        <w:pStyle w:val="5"/>
        <w:pageBreakBefore w:val="0"/>
        <w:kinsoku/>
        <w:topLinePunct w:val="0"/>
        <w:bidi w:val="0"/>
        <w:spacing w:line="260" w:lineRule="auto"/>
        <w:rPr>
          <w:sz w:val="24"/>
          <w:szCs w:val="24"/>
        </w:rPr>
      </w:pPr>
    </w:p>
    <w:p w14:paraId="78A74B4B">
      <w:pPr>
        <w:pageBreakBefore w:val="0"/>
        <w:kinsoku/>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hint="eastAsia" w:ascii="仿宋" w:hAnsi="仿宋" w:eastAsia="仿宋" w:cs="仿宋"/>
          <w:spacing w:val="7"/>
          <w:sz w:val="24"/>
          <w:szCs w:val="24"/>
          <w:lang w:eastAsia="zh-CN"/>
        </w:rPr>
        <w:t>（</w:t>
      </w:r>
      <w:r>
        <w:rPr>
          <w:rFonts w:ascii="仿宋" w:hAnsi="仿宋" w:eastAsia="仿宋" w:cs="仿宋"/>
          <w:spacing w:val="7"/>
          <w:sz w:val="24"/>
          <w:szCs w:val="24"/>
        </w:rPr>
        <w:t>公章</w:t>
      </w:r>
      <w:r>
        <w:rPr>
          <w:rFonts w:hint="eastAsia" w:ascii="仿宋" w:hAnsi="仿宋" w:eastAsia="仿宋" w:cs="仿宋"/>
          <w:spacing w:val="7"/>
          <w:sz w:val="24"/>
          <w:szCs w:val="24"/>
          <w:lang w:eastAsia="zh-CN"/>
        </w:rPr>
        <w:t>）</w:t>
      </w:r>
      <w:r>
        <w:rPr>
          <w:rFonts w:ascii="仿宋" w:hAnsi="仿宋" w:eastAsia="仿宋" w:cs="仿宋"/>
          <w:spacing w:val="7"/>
          <w:sz w:val="24"/>
          <w:szCs w:val="24"/>
        </w:rPr>
        <w:t>：</w:t>
      </w:r>
      <w:r>
        <w:rPr>
          <w:rFonts w:ascii="仿宋" w:hAnsi="仿宋" w:eastAsia="仿宋" w:cs="仿宋"/>
          <w:sz w:val="24"/>
          <w:szCs w:val="24"/>
          <w:u w:val="single" w:color="auto"/>
        </w:rPr>
        <w:t xml:space="preserve">                     </w:t>
      </w:r>
    </w:p>
    <w:p w14:paraId="68457A15">
      <w:pPr>
        <w:pageBreakBefore w:val="0"/>
        <w:kinsoku/>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6E8A6AC2">
      <w:pPr>
        <w:pStyle w:val="5"/>
        <w:pageBreakBefore w:val="0"/>
        <w:kinsoku/>
        <w:topLinePunct w:val="0"/>
        <w:bidi w:val="0"/>
        <w:spacing w:line="464" w:lineRule="auto"/>
        <w:rPr>
          <w:sz w:val="24"/>
          <w:szCs w:val="24"/>
        </w:rPr>
      </w:pPr>
    </w:p>
    <w:p w14:paraId="3AA85E63">
      <w:pPr>
        <w:pageBreakBefore w:val="0"/>
        <w:kinsoku/>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13888044">
      <w:pPr>
        <w:pageBreakBefore w:val="0"/>
        <w:kinsoku/>
        <w:topLinePunct w:val="0"/>
        <w:bidi w:val="0"/>
        <w:spacing w:line="231" w:lineRule="auto"/>
        <w:rPr>
          <w:rFonts w:ascii="仿宋" w:hAnsi="仿宋" w:eastAsia="仿宋" w:cs="仿宋"/>
          <w:sz w:val="20"/>
          <w:szCs w:val="20"/>
        </w:rPr>
        <w:sectPr>
          <w:footerReference r:id="rId11" w:type="default"/>
          <w:pgSz w:w="11906" w:h="16839"/>
          <w:pgMar w:top="1440" w:right="1080" w:bottom="1440" w:left="1080" w:header="0" w:footer="1054" w:gutter="0"/>
          <w:pgNumType w:fmt="decimal"/>
          <w:cols w:space="720" w:num="1"/>
        </w:sectPr>
      </w:pPr>
    </w:p>
    <w:p w14:paraId="14794669">
      <w:pPr>
        <w:pStyle w:val="5"/>
        <w:pageBreakBefore w:val="0"/>
        <w:kinsoku/>
        <w:topLinePunct w:val="0"/>
        <w:bidi w:val="0"/>
        <w:spacing w:line="346" w:lineRule="auto"/>
      </w:pPr>
    </w:p>
    <w:p w14:paraId="05633F96">
      <w:pPr>
        <w:pageBreakBefore w:val="0"/>
        <w:kinsoku/>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8</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提供单位负责人为同一人或者存在直接控股、管联关系的不同</w:t>
      </w:r>
      <w:r>
        <w:rPr>
          <w:rFonts w:hint="eastAsia" w:ascii="仿宋" w:hAnsi="仿宋" w:eastAsia="仿宋" w:cs="仿宋"/>
          <w:b/>
          <w:bCs/>
          <w:spacing w:val="7"/>
          <w:sz w:val="24"/>
          <w:szCs w:val="24"/>
          <w:lang w:eastAsia="zh-CN"/>
        </w:rPr>
        <w:t>供应商</w:t>
      </w:r>
      <w:r>
        <w:rPr>
          <w:rFonts w:hint="eastAsia" w:ascii="仿宋" w:hAnsi="仿宋" w:eastAsia="仿宋" w:cs="仿宋"/>
          <w:b/>
          <w:bCs/>
          <w:spacing w:val="7"/>
          <w:sz w:val="24"/>
          <w:szCs w:val="24"/>
          <w:lang w:val="en-US" w:eastAsia="zh-CN"/>
        </w:rPr>
        <w:t>，不得参加同一合同项下的政府采购活动的书面声明（格式自附）</w:t>
      </w:r>
    </w:p>
    <w:p w14:paraId="1637029A">
      <w:pPr>
        <w:pageBreakBefore w:val="0"/>
        <w:kinsoku/>
        <w:topLinePunct w:val="0"/>
        <w:bidi w:val="0"/>
        <w:rPr>
          <w:rFonts w:hint="eastAsia" w:ascii="仿宋" w:hAnsi="仿宋" w:eastAsia="仿宋" w:cs="仿宋"/>
          <w:b/>
          <w:bCs/>
          <w:spacing w:val="5"/>
          <w:sz w:val="24"/>
          <w:szCs w:val="24"/>
          <w:lang w:val="en-US" w:eastAsia="zh-CN"/>
        </w:rPr>
      </w:pPr>
      <w:r>
        <w:rPr>
          <w:rFonts w:hint="eastAsia" w:ascii="仿宋" w:hAnsi="仿宋" w:eastAsia="仿宋" w:cs="仿宋"/>
          <w:b/>
          <w:bCs/>
          <w:spacing w:val="7"/>
          <w:sz w:val="24"/>
          <w:szCs w:val="24"/>
          <w:lang w:val="en-US" w:eastAsia="zh-CN"/>
        </w:rPr>
        <w:br w:type="page"/>
      </w:r>
    </w:p>
    <w:p w14:paraId="5B91691A">
      <w:pPr>
        <w:pageBreakBefore w:val="0"/>
        <w:kinsoku/>
        <w:topLinePunct w:val="0"/>
        <w:bidi w:val="0"/>
        <w:spacing w:before="42" w:line="230" w:lineRule="auto"/>
        <w:ind w:left="2684"/>
        <w:outlineLvl w:val="2"/>
        <w:rPr>
          <w:rFonts w:ascii="仿宋" w:hAnsi="仿宋" w:eastAsia="仿宋" w:cs="仿宋"/>
          <w:sz w:val="24"/>
          <w:szCs w:val="24"/>
        </w:rPr>
      </w:pPr>
      <w:r>
        <w:rPr>
          <w:rFonts w:hint="eastAsia" w:ascii="仿宋" w:hAnsi="仿宋" w:eastAsia="仿宋" w:cs="仿宋"/>
          <w:b/>
          <w:bCs/>
          <w:spacing w:val="7"/>
          <w:sz w:val="24"/>
          <w:szCs w:val="24"/>
          <w:lang w:val="en-US" w:eastAsia="zh-CN"/>
        </w:rPr>
        <w:t>9.</w:t>
      </w:r>
      <w:r>
        <w:rPr>
          <w:rFonts w:ascii="仿宋" w:hAnsi="仿宋" w:eastAsia="仿宋" w:cs="仿宋"/>
          <w:b/>
          <w:bCs/>
          <w:spacing w:val="7"/>
          <w:sz w:val="24"/>
          <w:szCs w:val="24"/>
        </w:rPr>
        <w:t>拟投入本项目管理、服务、其他人员情况表</w:t>
      </w:r>
    </w:p>
    <w:p w14:paraId="087BDD1D">
      <w:pPr>
        <w:pageBreakBefore w:val="0"/>
        <w:kinsoku/>
        <w:topLinePunct w:val="0"/>
        <w:bidi w:val="0"/>
        <w:spacing w:line="90" w:lineRule="exact"/>
        <w:rPr>
          <w:sz w:val="24"/>
          <w:szCs w:val="24"/>
        </w:rPr>
      </w:pPr>
    </w:p>
    <w:tbl>
      <w:tblPr>
        <w:tblStyle w:val="19"/>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1482E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574912EF">
            <w:pPr>
              <w:pageBreakBefore w:val="0"/>
              <w:kinsoku/>
              <w:topLinePunct w:val="0"/>
              <w:bidi w:val="0"/>
              <w:spacing w:line="477" w:lineRule="auto"/>
              <w:rPr>
                <w:rFonts w:ascii="Arial"/>
                <w:sz w:val="24"/>
                <w:szCs w:val="24"/>
              </w:rPr>
            </w:pPr>
          </w:p>
          <w:p w14:paraId="5F78F990">
            <w:pPr>
              <w:pStyle w:val="20"/>
              <w:pageBreakBefore w:val="0"/>
              <w:kinsoku/>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06F6D327">
            <w:pPr>
              <w:pageBreakBefore w:val="0"/>
              <w:kinsoku/>
              <w:topLinePunct w:val="0"/>
              <w:bidi w:val="0"/>
              <w:spacing w:line="478" w:lineRule="auto"/>
              <w:rPr>
                <w:rFonts w:ascii="Arial"/>
                <w:sz w:val="24"/>
                <w:szCs w:val="24"/>
              </w:rPr>
            </w:pPr>
          </w:p>
          <w:p w14:paraId="474E9C7F">
            <w:pPr>
              <w:pStyle w:val="20"/>
              <w:pageBreakBefore w:val="0"/>
              <w:kinsoku/>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56640DDA">
            <w:pPr>
              <w:pageBreakBefore w:val="0"/>
              <w:kinsoku/>
              <w:topLinePunct w:val="0"/>
              <w:bidi w:val="0"/>
              <w:spacing w:line="277" w:lineRule="auto"/>
              <w:rPr>
                <w:rFonts w:ascii="Arial"/>
                <w:sz w:val="24"/>
                <w:szCs w:val="24"/>
              </w:rPr>
            </w:pPr>
          </w:p>
          <w:p w14:paraId="718CCD8D">
            <w:pPr>
              <w:pStyle w:val="20"/>
              <w:pageBreakBefore w:val="0"/>
              <w:kinsoku/>
              <w:topLinePunct w:val="0"/>
              <w:bidi w:val="0"/>
              <w:spacing w:before="65" w:line="401" w:lineRule="exact"/>
              <w:ind w:left="204"/>
              <w:rPr>
                <w:sz w:val="24"/>
                <w:szCs w:val="24"/>
              </w:rPr>
            </w:pPr>
            <w:r>
              <w:rPr>
                <w:spacing w:val="5"/>
                <w:position w:val="14"/>
                <w:sz w:val="24"/>
                <w:szCs w:val="24"/>
              </w:rPr>
              <w:t>联系方</w:t>
            </w:r>
          </w:p>
          <w:p w14:paraId="5870D38C">
            <w:pPr>
              <w:pStyle w:val="20"/>
              <w:pageBreakBefore w:val="0"/>
              <w:kinsoku/>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01513F8A">
            <w:pPr>
              <w:pageBreakBefore w:val="0"/>
              <w:kinsoku/>
              <w:topLinePunct w:val="0"/>
              <w:bidi w:val="0"/>
              <w:spacing w:line="277" w:lineRule="auto"/>
              <w:rPr>
                <w:rFonts w:ascii="Arial"/>
                <w:sz w:val="24"/>
                <w:szCs w:val="24"/>
              </w:rPr>
            </w:pPr>
          </w:p>
          <w:p w14:paraId="734EC0E5">
            <w:pPr>
              <w:pStyle w:val="20"/>
              <w:pageBreakBefore w:val="0"/>
              <w:kinsoku/>
              <w:topLinePunct w:val="0"/>
              <w:bidi w:val="0"/>
              <w:spacing w:before="65" w:line="401" w:lineRule="exact"/>
              <w:ind w:left="207"/>
              <w:rPr>
                <w:sz w:val="24"/>
                <w:szCs w:val="24"/>
              </w:rPr>
            </w:pPr>
            <w:r>
              <w:rPr>
                <w:spacing w:val="5"/>
                <w:position w:val="14"/>
                <w:sz w:val="24"/>
                <w:szCs w:val="24"/>
              </w:rPr>
              <w:t>职称或</w:t>
            </w:r>
          </w:p>
          <w:p w14:paraId="1AC7AB99">
            <w:pPr>
              <w:pStyle w:val="20"/>
              <w:pageBreakBefore w:val="0"/>
              <w:kinsoku/>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578B2394">
            <w:pPr>
              <w:pageBreakBefore w:val="0"/>
              <w:kinsoku/>
              <w:topLinePunct w:val="0"/>
              <w:bidi w:val="0"/>
              <w:spacing w:line="478" w:lineRule="auto"/>
              <w:rPr>
                <w:rFonts w:ascii="Arial"/>
                <w:sz w:val="24"/>
                <w:szCs w:val="24"/>
              </w:rPr>
            </w:pPr>
          </w:p>
          <w:p w14:paraId="6F7D9574">
            <w:pPr>
              <w:pStyle w:val="20"/>
              <w:pageBreakBefore w:val="0"/>
              <w:kinsoku/>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2BE08756">
            <w:pPr>
              <w:pStyle w:val="20"/>
              <w:pageBreakBefore w:val="0"/>
              <w:kinsoku/>
              <w:topLinePunct w:val="0"/>
              <w:bidi w:val="0"/>
              <w:spacing w:before="241" w:line="231" w:lineRule="auto"/>
              <w:ind w:left="1745"/>
              <w:rPr>
                <w:sz w:val="24"/>
                <w:szCs w:val="24"/>
              </w:rPr>
            </w:pPr>
            <w:r>
              <w:rPr>
                <w:spacing w:val="3"/>
                <w:sz w:val="24"/>
                <w:szCs w:val="24"/>
              </w:rPr>
              <w:t>资格证明</w:t>
            </w:r>
          </w:p>
        </w:tc>
      </w:tr>
      <w:tr w14:paraId="6209D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33712B05">
            <w:pPr>
              <w:pageBreakBefore w:val="0"/>
              <w:kinsoku/>
              <w:topLinePunct w:val="0"/>
              <w:bidi w:val="0"/>
              <w:rPr>
                <w:rFonts w:ascii="Arial"/>
                <w:sz w:val="24"/>
                <w:szCs w:val="24"/>
              </w:rPr>
            </w:pPr>
          </w:p>
        </w:tc>
        <w:tc>
          <w:tcPr>
            <w:tcW w:w="1023" w:type="dxa"/>
            <w:vMerge w:val="continue"/>
            <w:tcBorders>
              <w:top w:val="nil"/>
            </w:tcBorders>
            <w:vAlign w:val="top"/>
          </w:tcPr>
          <w:p w14:paraId="637A8390">
            <w:pPr>
              <w:pageBreakBefore w:val="0"/>
              <w:kinsoku/>
              <w:topLinePunct w:val="0"/>
              <w:bidi w:val="0"/>
              <w:rPr>
                <w:rFonts w:ascii="Arial"/>
                <w:sz w:val="24"/>
                <w:szCs w:val="24"/>
              </w:rPr>
            </w:pPr>
          </w:p>
        </w:tc>
        <w:tc>
          <w:tcPr>
            <w:tcW w:w="1024" w:type="dxa"/>
            <w:vMerge w:val="continue"/>
            <w:tcBorders>
              <w:top w:val="nil"/>
            </w:tcBorders>
            <w:vAlign w:val="top"/>
          </w:tcPr>
          <w:p w14:paraId="6252A7B5">
            <w:pPr>
              <w:pageBreakBefore w:val="0"/>
              <w:kinsoku/>
              <w:topLinePunct w:val="0"/>
              <w:bidi w:val="0"/>
              <w:rPr>
                <w:rFonts w:ascii="Arial"/>
                <w:sz w:val="24"/>
                <w:szCs w:val="24"/>
              </w:rPr>
            </w:pPr>
          </w:p>
        </w:tc>
        <w:tc>
          <w:tcPr>
            <w:tcW w:w="1024" w:type="dxa"/>
            <w:vMerge w:val="continue"/>
            <w:tcBorders>
              <w:top w:val="nil"/>
            </w:tcBorders>
            <w:vAlign w:val="top"/>
          </w:tcPr>
          <w:p w14:paraId="7C1F7C80">
            <w:pPr>
              <w:pageBreakBefore w:val="0"/>
              <w:kinsoku/>
              <w:topLinePunct w:val="0"/>
              <w:bidi w:val="0"/>
              <w:rPr>
                <w:rFonts w:ascii="Arial"/>
                <w:sz w:val="24"/>
                <w:szCs w:val="24"/>
              </w:rPr>
            </w:pPr>
          </w:p>
        </w:tc>
        <w:tc>
          <w:tcPr>
            <w:tcW w:w="1025" w:type="dxa"/>
            <w:vMerge w:val="continue"/>
            <w:tcBorders>
              <w:top w:val="nil"/>
            </w:tcBorders>
            <w:vAlign w:val="top"/>
          </w:tcPr>
          <w:p w14:paraId="653F320A">
            <w:pPr>
              <w:pageBreakBefore w:val="0"/>
              <w:kinsoku/>
              <w:topLinePunct w:val="0"/>
              <w:bidi w:val="0"/>
              <w:rPr>
                <w:rFonts w:ascii="Arial"/>
                <w:sz w:val="24"/>
                <w:szCs w:val="24"/>
              </w:rPr>
            </w:pPr>
          </w:p>
        </w:tc>
        <w:tc>
          <w:tcPr>
            <w:tcW w:w="1334" w:type="dxa"/>
            <w:vAlign w:val="top"/>
          </w:tcPr>
          <w:p w14:paraId="54341C01">
            <w:pPr>
              <w:pStyle w:val="20"/>
              <w:pageBreakBefore w:val="0"/>
              <w:kinsoku/>
              <w:topLinePunct w:val="0"/>
              <w:bidi w:val="0"/>
              <w:spacing w:before="239" w:line="229" w:lineRule="auto"/>
              <w:ind w:left="258"/>
              <w:rPr>
                <w:sz w:val="24"/>
                <w:szCs w:val="24"/>
              </w:rPr>
            </w:pPr>
            <w:r>
              <w:rPr>
                <w:spacing w:val="6"/>
                <w:sz w:val="24"/>
                <w:szCs w:val="24"/>
              </w:rPr>
              <w:t>证书名称</w:t>
            </w:r>
          </w:p>
        </w:tc>
        <w:tc>
          <w:tcPr>
            <w:tcW w:w="939" w:type="dxa"/>
            <w:vAlign w:val="top"/>
          </w:tcPr>
          <w:p w14:paraId="3BA2D598">
            <w:pPr>
              <w:pStyle w:val="20"/>
              <w:pageBreakBefore w:val="0"/>
              <w:kinsoku/>
              <w:topLinePunct w:val="0"/>
              <w:bidi w:val="0"/>
              <w:spacing w:before="238" w:line="232" w:lineRule="auto"/>
              <w:ind w:left="273"/>
              <w:rPr>
                <w:sz w:val="24"/>
                <w:szCs w:val="24"/>
              </w:rPr>
            </w:pPr>
            <w:r>
              <w:rPr>
                <w:sz w:val="24"/>
                <w:szCs w:val="24"/>
              </w:rPr>
              <w:t>级别</w:t>
            </w:r>
          </w:p>
        </w:tc>
        <w:tc>
          <w:tcPr>
            <w:tcW w:w="1068" w:type="dxa"/>
            <w:vAlign w:val="top"/>
          </w:tcPr>
          <w:p w14:paraId="75E7F2A7">
            <w:pPr>
              <w:pStyle w:val="20"/>
              <w:pageBreakBefore w:val="0"/>
              <w:kinsoku/>
              <w:topLinePunct w:val="0"/>
              <w:bidi w:val="0"/>
              <w:spacing w:before="239" w:line="232" w:lineRule="auto"/>
              <w:ind w:left="334"/>
              <w:rPr>
                <w:sz w:val="24"/>
                <w:szCs w:val="24"/>
              </w:rPr>
            </w:pPr>
            <w:r>
              <w:rPr>
                <w:spacing w:val="2"/>
                <w:sz w:val="24"/>
                <w:szCs w:val="24"/>
              </w:rPr>
              <w:t>证号</w:t>
            </w:r>
          </w:p>
        </w:tc>
        <w:tc>
          <w:tcPr>
            <w:tcW w:w="950" w:type="dxa"/>
            <w:vAlign w:val="top"/>
          </w:tcPr>
          <w:p w14:paraId="62E90831">
            <w:pPr>
              <w:pStyle w:val="20"/>
              <w:pageBreakBefore w:val="0"/>
              <w:kinsoku/>
              <w:topLinePunct w:val="0"/>
              <w:bidi w:val="0"/>
              <w:spacing w:before="239" w:line="232" w:lineRule="auto"/>
              <w:ind w:left="278"/>
              <w:rPr>
                <w:sz w:val="24"/>
                <w:szCs w:val="24"/>
              </w:rPr>
            </w:pPr>
            <w:r>
              <w:rPr>
                <w:sz w:val="24"/>
                <w:szCs w:val="24"/>
              </w:rPr>
              <w:t>专业</w:t>
            </w:r>
          </w:p>
        </w:tc>
      </w:tr>
      <w:tr w14:paraId="4DF70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7692D922">
            <w:pPr>
              <w:pageBreakBefore w:val="0"/>
              <w:kinsoku/>
              <w:topLinePunct w:val="0"/>
              <w:bidi w:val="0"/>
              <w:spacing w:line="410" w:lineRule="auto"/>
              <w:rPr>
                <w:rFonts w:ascii="Arial"/>
                <w:sz w:val="24"/>
                <w:szCs w:val="24"/>
              </w:rPr>
            </w:pPr>
          </w:p>
          <w:p w14:paraId="5465F040">
            <w:pPr>
              <w:pStyle w:val="20"/>
              <w:pageBreakBefore w:val="0"/>
              <w:kinsoku/>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43EF9987">
            <w:pPr>
              <w:pageBreakBefore w:val="0"/>
              <w:kinsoku/>
              <w:topLinePunct w:val="0"/>
              <w:bidi w:val="0"/>
              <w:rPr>
                <w:rFonts w:ascii="Arial"/>
                <w:sz w:val="24"/>
                <w:szCs w:val="24"/>
              </w:rPr>
            </w:pPr>
          </w:p>
        </w:tc>
        <w:tc>
          <w:tcPr>
            <w:tcW w:w="1024" w:type="dxa"/>
            <w:vAlign w:val="top"/>
          </w:tcPr>
          <w:p w14:paraId="0DF4110F">
            <w:pPr>
              <w:pageBreakBefore w:val="0"/>
              <w:kinsoku/>
              <w:topLinePunct w:val="0"/>
              <w:bidi w:val="0"/>
              <w:rPr>
                <w:rFonts w:ascii="Arial"/>
                <w:sz w:val="24"/>
                <w:szCs w:val="24"/>
              </w:rPr>
            </w:pPr>
          </w:p>
        </w:tc>
        <w:tc>
          <w:tcPr>
            <w:tcW w:w="1024" w:type="dxa"/>
            <w:vAlign w:val="top"/>
          </w:tcPr>
          <w:p w14:paraId="2C83D2E8">
            <w:pPr>
              <w:pageBreakBefore w:val="0"/>
              <w:kinsoku/>
              <w:topLinePunct w:val="0"/>
              <w:bidi w:val="0"/>
              <w:rPr>
                <w:rFonts w:ascii="Arial"/>
                <w:sz w:val="24"/>
                <w:szCs w:val="24"/>
              </w:rPr>
            </w:pPr>
          </w:p>
        </w:tc>
        <w:tc>
          <w:tcPr>
            <w:tcW w:w="1025" w:type="dxa"/>
            <w:vAlign w:val="top"/>
          </w:tcPr>
          <w:p w14:paraId="51A6442B">
            <w:pPr>
              <w:pageBreakBefore w:val="0"/>
              <w:kinsoku/>
              <w:topLinePunct w:val="0"/>
              <w:bidi w:val="0"/>
              <w:rPr>
                <w:rFonts w:ascii="Arial"/>
                <w:sz w:val="24"/>
                <w:szCs w:val="24"/>
              </w:rPr>
            </w:pPr>
          </w:p>
        </w:tc>
        <w:tc>
          <w:tcPr>
            <w:tcW w:w="1334" w:type="dxa"/>
            <w:vAlign w:val="top"/>
          </w:tcPr>
          <w:p w14:paraId="5C3751C4">
            <w:pPr>
              <w:pageBreakBefore w:val="0"/>
              <w:kinsoku/>
              <w:topLinePunct w:val="0"/>
              <w:bidi w:val="0"/>
              <w:rPr>
                <w:rFonts w:ascii="Arial"/>
                <w:sz w:val="24"/>
                <w:szCs w:val="24"/>
              </w:rPr>
            </w:pPr>
          </w:p>
        </w:tc>
        <w:tc>
          <w:tcPr>
            <w:tcW w:w="939" w:type="dxa"/>
            <w:vAlign w:val="top"/>
          </w:tcPr>
          <w:p w14:paraId="22EB2264">
            <w:pPr>
              <w:pageBreakBefore w:val="0"/>
              <w:kinsoku/>
              <w:topLinePunct w:val="0"/>
              <w:bidi w:val="0"/>
              <w:rPr>
                <w:rFonts w:ascii="Arial"/>
                <w:sz w:val="24"/>
                <w:szCs w:val="24"/>
              </w:rPr>
            </w:pPr>
          </w:p>
        </w:tc>
        <w:tc>
          <w:tcPr>
            <w:tcW w:w="1068" w:type="dxa"/>
            <w:vAlign w:val="top"/>
          </w:tcPr>
          <w:p w14:paraId="5D3FF54D">
            <w:pPr>
              <w:pageBreakBefore w:val="0"/>
              <w:kinsoku/>
              <w:topLinePunct w:val="0"/>
              <w:bidi w:val="0"/>
              <w:rPr>
                <w:rFonts w:ascii="Arial"/>
                <w:sz w:val="24"/>
                <w:szCs w:val="24"/>
              </w:rPr>
            </w:pPr>
          </w:p>
        </w:tc>
        <w:tc>
          <w:tcPr>
            <w:tcW w:w="950" w:type="dxa"/>
            <w:vAlign w:val="top"/>
          </w:tcPr>
          <w:p w14:paraId="20FD5A45">
            <w:pPr>
              <w:pageBreakBefore w:val="0"/>
              <w:kinsoku/>
              <w:topLinePunct w:val="0"/>
              <w:bidi w:val="0"/>
              <w:rPr>
                <w:rFonts w:ascii="Arial"/>
                <w:sz w:val="24"/>
                <w:szCs w:val="24"/>
              </w:rPr>
            </w:pPr>
          </w:p>
        </w:tc>
      </w:tr>
      <w:tr w14:paraId="541B7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2647EE07">
            <w:pPr>
              <w:pageBreakBefore w:val="0"/>
              <w:kinsoku/>
              <w:topLinePunct w:val="0"/>
              <w:bidi w:val="0"/>
              <w:rPr>
                <w:rFonts w:ascii="Arial"/>
                <w:sz w:val="24"/>
                <w:szCs w:val="24"/>
              </w:rPr>
            </w:pPr>
          </w:p>
        </w:tc>
        <w:tc>
          <w:tcPr>
            <w:tcW w:w="1023" w:type="dxa"/>
            <w:vAlign w:val="top"/>
          </w:tcPr>
          <w:p w14:paraId="297CC43F">
            <w:pPr>
              <w:pageBreakBefore w:val="0"/>
              <w:kinsoku/>
              <w:topLinePunct w:val="0"/>
              <w:bidi w:val="0"/>
              <w:rPr>
                <w:rFonts w:ascii="Arial"/>
                <w:sz w:val="24"/>
                <w:szCs w:val="24"/>
              </w:rPr>
            </w:pPr>
          </w:p>
        </w:tc>
        <w:tc>
          <w:tcPr>
            <w:tcW w:w="1024" w:type="dxa"/>
            <w:vAlign w:val="top"/>
          </w:tcPr>
          <w:p w14:paraId="3D034E12">
            <w:pPr>
              <w:pageBreakBefore w:val="0"/>
              <w:kinsoku/>
              <w:topLinePunct w:val="0"/>
              <w:bidi w:val="0"/>
              <w:rPr>
                <w:rFonts w:ascii="Arial"/>
                <w:sz w:val="24"/>
                <w:szCs w:val="24"/>
              </w:rPr>
            </w:pPr>
          </w:p>
        </w:tc>
        <w:tc>
          <w:tcPr>
            <w:tcW w:w="1024" w:type="dxa"/>
            <w:vAlign w:val="top"/>
          </w:tcPr>
          <w:p w14:paraId="5F984FDB">
            <w:pPr>
              <w:pageBreakBefore w:val="0"/>
              <w:kinsoku/>
              <w:topLinePunct w:val="0"/>
              <w:bidi w:val="0"/>
              <w:rPr>
                <w:rFonts w:ascii="Arial"/>
                <w:sz w:val="24"/>
                <w:szCs w:val="24"/>
              </w:rPr>
            </w:pPr>
          </w:p>
        </w:tc>
        <w:tc>
          <w:tcPr>
            <w:tcW w:w="1025" w:type="dxa"/>
            <w:vAlign w:val="top"/>
          </w:tcPr>
          <w:p w14:paraId="123B75DA">
            <w:pPr>
              <w:pageBreakBefore w:val="0"/>
              <w:kinsoku/>
              <w:topLinePunct w:val="0"/>
              <w:bidi w:val="0"/>
              <w:rPr>
                <w:rFonts w:ascii="Arial"/>
                <w:sz w:val="24"/>
                <w:szCs w:val="24"/>
              </w:rPr>
            </w:pPr>
          </w:p>
        </w:tc>
        <w:tc>
          <w:tcPr>
            <w:tcW w:w="1334" w:type="dxa"/>
            <w:vAlign w:val="top"/>
          </w:tcPr>
          <w:p w14:paraId="0A4CA143">
            <w:pPr>
              <w:pageBreakBefore w:val="0"/>
              <w:kinsoku/>
              <w:topLinePunct w:val="0"/>
              <w:bidi w:val="0"/>
              <w:rPr>
                <w:rFonts w:ascii="Arial"/>
                <w:sz w:val="24"/>
                <w:szCs w:val="24"/>
              </w:rPr>
            </w:pPr>
          </w:p>
        </w:tc>
        <w:tc>
          <w:tcPr>
            <w:tcW w:w="939" w:type="dxa"/>
            <w:vAlign w:val="top"/>
          </w:tcPr>
          <w:p w14:paraId="01AABDB8">
            <w:pPr>
              <w:pageBreakBefore w:val="0"/>
              <w:kinsoku/>
              <w:topLinePunct w:val="0"/>
              <w:bidi w:val="0"/>
              <w:rPr>
                <w:rFonts w:ascii="Arial"/>
                <w:sz w:val="24"/>
                <w:szCs w:val="24"/>
              </w:rPr>
            </w:pPr>
          </w:p>
        </w:tc>
        <w:tc>
          <w:tcPr>
            <w:tcW w:w="1068" w:type="dxa"/>
            <w:vAlign w:val="top"/>
          </w:tcPr>
          <w:p w14:paraId="311A4DAF">
            <w:pPr>
              <w:pageBreakBefore w:val="0"/>
              <w:kinsoku/>
              <w:topLinePunct w:val="0"/>
              <w:bidi w:val="0"/>
              <w:rPr>
                <w:rFonts w:ascii="Arial"/>
                <w:sz w:val="24"/>
                <w:szCs w:val="24"/>
              </w:rPr>
            </w:pPr>
          </w:p>
        </w:tc>
        <w:tc>
          <w:tcPr>
            <w:tcW w:w="950" w:type="dxa"/>
            <w:vAlign w:val="top"/>
          </w:tcPr>
          <w:p w14:paraId="172BAAF9">
            <w:pPr>
              <w:pageBreakBefore w:val="0"/>
              <w:kinsoku/>
              <w:topLinePunct w:val="0"/>
              <w:bidi w:val="0"/>
              <w:rPr>
                <w:rFonts w:ascii="Arial"/>
                <w:sz w:val="24"/>
                <w:szCs w:val="24"/>
              </w:rPr>
            </w:pPr>
          </w:p>
        </w:tc>
      </w:tr>
      <w:tr w14:paraId="3482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45987743">
            <w:pPr>
              <w:pageBreakBefore w:val="0"/>
              <w:kinsoku/>
              <w:topLinePunct w:val="0"/>
              <w:bidi w:val="0"/>
              <w:rPr>
                <w:rFonts w:ascii="Arial"/>
                <w:sz w:val="24"/>
                <w:szCs w:val="24"/>
              </w:rPr>
            </w:pPr>
          </w:p>
        </w:tc>
        <w:tc>
          <w:tcPr>
            <w:tcW w:w="1023" w:type="dxa"/>
            <w:vAlign w:val="top"/>
          </w:tcPr>
          <w:p w14:paraId="0D2B781A">
            <w:pPr>
              <w:pageBreakBefore w:val="0"/>
              <w:kinsoku/>
              <w:topLinePunct w:val="0"/>
              <w:bidi w:val="0"/>
              <w:rPr>
                <w:rFonts w:ascii="Arial"/>
                <w:sz w:val="24"/>
                <w:szCs w:val="24"/>
              </w:rPr>
            </w:pPr>
          </w:p>
        </w:tc>
        <w:tc>
          <w:tcPr>
            <w:tcW w:w="1024" w:type="dxa"/>
            <w:vAlign w:val="top"/>
          </w:tcPr>
          <w:p w14:paraId="48CC86AC">
            <w:pPr>
              <w:pageBreakBefore w:val="0"/>
              <w:kinsoku/>
              <w:topLinePunct w:val="0"/>
              <w:bidi w:val="0"/>
              <w:rPr>
                <w:rFonts w:ascii="Arial"/>
                <w:sz w:val="24"/>
                <w:szCs w:val="24"/>
              </w:rPr>
            </w:pPr>
          </w:p>
        </w:tc>
        <w:tc>
          <w:tcPr>
            <w:tcW w:w="1024" w:type="dxa"/>
            <w:vAlign w:val="top"/>
          </w:tcPr>
          <w:p w14:paraId="2C4F9385">
            <w:pPr>
              <w:pageBreakBefore w:val="0"/>
              <w:kinsoku/>
              <w:topLinePunct w:val="0"/>
              <w:bidi w:val="0"/>
              <w:rPr>
                <w:rFonts w:ascii="Arial"/>
                <w:sz w:val="24"/>
                <w:szCs w:val="24"/>
              </w:rPr>
            </w:pPr>
          </w:p>
        </w:tc>
        <w:tc>
          <w:tcPr>
            <w:tcW w:w="1025" w:type="dxa"/>
            <w:vAlign w:val="top"/>
          </w:tcPr>
          <w:p w14:paraId="3089DAF1">
            <w:pPr>
              <w:pageBreakBefore w:val="0"/>
              <w:kinsoku/>
              <w:topLinePunct w:val="0"/>
              <w:bidi w:val="0"/>
              <w:rPr>
                <w:rFonts w:ascii="Arial"/>
                <w:sz w:val="24"/>
                <w:szCs w:val="24"/>
              </w:rPr>
            </w:pPr>
          </w:p>
        </w:tc>
        <w:tc>
          <w:tcPr>
            <w:tcW w:w="1334" w:type="dxa"/>
            <w:vAlign w:val="top"/>
          </w:tcPr>
          <w:p w14:paraId="2C6FB5A8">
            <w:pPr>
              <w:pageBreakBefore w:val="0"/>
              <w:kinsoku/>
              <w:topLinePunct w:val="0"/>
              <w:bidi w:val="0"/>
              <w:rPr>
                <w:rFonts w:ascii="Arial"/>
                <w:sz w:val="24"/>
                <w:szCs w:val="24"/>
              </w:rPr>
            </w:pPr>
          </w:p>
        </w:tc>
        <w:tc>
          <w:tcPr>
            <w:tcW w:w="939" w:type="dxa"/>
            <w:vAlign w:val="top"/>
          </w:tcPr>
          <w:p w14:paraId="51FB4822">
            <w:pPr>
              <w:pageBreakBefore w:val="0"/>
              <w:kinsoku/>
              <w:topLinePunct w:val="0"/>
              <w:bidi w:val="0"/>
              <w:rPr>
                <w:rFonts w:ascii="Arial"/>
                <w:sz w:val="24"/>
                <w:szCs w:val="24"/>
              </w:rPr>
            </w:pPr>
          </w:p>
        </w:tc>
        <w:tc>
          <w:tcPr>
            <w:tcW w:w="1068" w:type="dxa"/>
            <w:vAlign w:val="top"/>
          </w:tcPr>
          <w:p w14:paraId="1B93B0B0">
            <w:pPr>
              <w:pageBreakBefore w:val="0"/>
              <w:kinsoku/>
              <w:topLinePunct w:val="0"/>
              <w:bidi w:val="0"/>
              <w:rPr>
                <w:rFonts w:ascii="Arial"/>
                <w:sz w:val="24"/>
                <w:szCs w:val="24"/>
              </w:rPr>
            </w:pPr>
          </w:p>
        </w:tc>
        <w:tc>
          <w:tcPr>
            <w:tcW w:w="950" w:type="dxa"/>
            <w:vAlign w:val="top"/>
          </w:tcPr>
          <w:p w14:paraId="74EE4605">
            <w:pPr>
              <w:pageBreakBefore w:val="0"/>
              <w:kinsoku/>
              <w:topLinePunct w:val="0"/>
              <w:bidi w:val="0"/>
              <w:rPr>
                <w:rFonts w:ascii="Arial"/>
                <w:sz w:val="24"/>
                <w:szCs w:val="24"/>
              </w:rPr>
            </w:pPr>
          </w:p>
        </w:tc>
      </w:tr>
      <w:tr w14:paraId="002A9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3EFE2268">
            <w:pPr>
              <w:pageBreakBefore w:val="0"/>
              <w:kinsoku/>
              <w:topLinePunct w:val="0"/>
              <w:bidi w:val="0"/>
              <w:spacing w:line="409" w:lineRule="auto"/>
              <w:rPr>
                <w:rFonts w:ascii="Arial"/>
                <w:sz w:val="24"/>
                <w:szCs w:val="24"/>
              </w:rPr>
            </w:pPr>
          </w:p>
          <w:p w14:paraId="12C21E38">
            <w:pPr>
              <w:pStyle w:val="20"/>
              <w:pageBreakBefore w:val="0"/>
              <w:kinsoku/>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E69434E">
            <w:pPr>
              <w:pageBreakBefore w:val="0"/>
              <w:kinsoku/>
              <w:topLinePunct w:val="0"/>
              <w:bidi w:val="0"/>
              <w:rPr>
                <w:rFonts w:ascii="Arial"/>
                <w:sz w:val="24"/>
                <w:szCs w:val="24"/>
              </w:rPr>
            </w:pPr>
          </w:p>
        </w:tc>
        <w:tc>
          <w:tcPr>
            <w:tcW w:w="1024" w:type="dxa"/>
            <w:vAlign w:val="top"/>
          </w:tcPr>
          <w:p w14:paraId="23021EF4">
            <w:pPr>
              <w:pageBreakBefore w:val="0"/>
              <w:kinsoku/>
              <w:topLinePunct w:val="0"/>
              <w:bidi w:val="0"/>
              <w:rPr>
                <w:rFonts w:ascii="Arial"/>
                <w:sz w:val="24"/>
                <w:szCs w:val="24"/>
              </w:rPr>
            </w:pPr>
          </w:p>
        </w:tc>
        <w:tc>
          <w:tcPr>
            <w:tcW w:w="1024" w:type="dxa"/>
            <w:vAlign w:val="top"/>
          </w:tcPr>
          <w:p w14:paraId="6D4D9F70">
            <w:pPr>
              <w:pageBreakBefore w:val="0"/>
              <w:kinsoku/>
              <w:topLinePunct w:val="0"/>
              <w:bidi w:val="0"/>
              <w:rPr>
                <w:rFonts w:ascii="Arial"/>
                <w:sz w:val="24"/>
                <w:szCs w:val="24"/>
              </w:rPr>
            </w:pPr>
          </w:p>
        </w:tc>
        <w:tc>
          <w:tcPr>
            <w:tcW w:w="1025" w:type="dxa"/>
            <w:vAlign w:val="top"/>
          </w:tcPr>
          <w:p w14:paraId="0FED6170">
            <w:pPr>
              <w:pageBreakBefore w:val="0"/>
              <w:kinsoku/>
              <w:topLinePunct w:val="0"/>
              <w:bidi w:val="0"/>
              <w:rPr>
                <w:rFonts w:ascii="Arial"/>
                <w:sz w:val="24"/>
                <w:szCs w:val="24"/>
              </w:rPr>
            </w:pPr>
          </w:p>
        </w:tc>
        <w:tc>
          <w:tcPr>
            <w:tcW w:w="1334" w:type="dxa"/>
            <w:vAlign w:val="top"/>
          </w:tcPr>
          <w:p w14:paraId="4191FACA">
            <w:pPr>
              <w:pageBreakBefore w:val="0"/>
              <w:kinsoku/>
              <w:topLinePunct w:val="0"/>
              <w:bidi w:val="0"/>
              <w:rPr>
                <w:rFonts w:ascii="Arial"/>
                <w:sz w:val="24"/>
                <w:szCs w:val="24"/>
              </w:rPr>
            </w:pPr>
          </w:p>
        </w:tc>
        <w:tc>
          <w:tcPr>
            <w:tcW w:w="939" w:type="dxa"/>
            <w:vAlign w:val="top"/>
          </w:tcPr>
          <w:p w14:paraId="66DEC6B3">
            <w:pPr>
              <w:pageBreakBefore w:val="0"/>
              <w:kinsoku/>
              <w:topLinePunct w:val="0"/>
              <w:bidi w:val="0"/>
              <w:rPr>
                <w:rFonts w:ascii="Arial"/>
                <w:sz w:val="24"/>
                <w:szCs w:val="24"/>
              </w:rPr>
            </w:pPr>
          </w:p>
        </w:tc>
        <w:tc>
          <w:tcPr>
            <w:tcW w:w="1068" w:type="dxa"/>
            <w:vAlign w:val="top"/>
          </w:tcPr>
          <w:p w14:paraId="7EC471EF">
            <w:pPr>
              <w:pageBreakBefore w:val="0"/>
              <w:kinsoku/>
              <w:topLinePunct w:val="0"/>
              <w:bidi w:val="0"/>
              <w:rPr>
                <w:rFonts w:ascii="Arial"/>
                <w:sz w:val="24"/>
                <w:szCs w:val="24"/>
              </w:rPr>
            </w:pPr>
          </w:p>
        </w:tc>
        <w:tc>
          <w:tcPr>
            <w:tcW w:w="950" w:type="dxa"/>
            <w:vAlign w:val="top"/>
          </w:tcPr>
          <w:p w14:paraId="63AA0694">
            <w:pPr>
              <w:pageBreakBefore w:val="0"/>
              <w:kinsoku/>
              <w:topLinePunct w:val="0"/>
              <w:bidi w:val="0"/>
              <w:rPr>
                <w:rFonts w:ascii="Arial"/>
                <w:sz w:val="24"/>
                <w:szCs w:val="24"/>
              </w:rPr>
            </w:pPr>
          </w:p>
        </w:tc>
      </w:tr>
      <w:tr w14:paraId="48008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6978FC31">
            <w:pPr>
              <w:pageBreakBefore w:val="0"/>
              <w:kinsoku/>
              <w:topLinePunct w:val="0"/>
              <w:bidi w:val="0"/>
              <w:rPr>
                <w:rFonts w:ascii="Arial"/>
                <w:sz w:val="24"/>
                <w:szCs w:val="24"/>
              </w:rPr>
            </w:pPr>
          </w:p>
        </w:tc>
        <w:tc>
          <w:tcPr>
            <w:tcW w:w="1023" w:type="dxa"/>
            <w:vAlign w:val="top"/>
          </w:tcPr>
          <w:p w14:paraId="51A8E31E">
            <w:pPr>
              <w:pageBreakBefore w:val="0"/>
              <w:kinsoku/>
              <w:topLinePunct w:val="0"/>
              <w:bidi w:val="0"/>
              <w:rPr>
                <w:rFonts w:ascii="Arial"/>
                <w:sz w:val="24"/>
                <w:szCs w:val="24"/>
              </w:rPr>
            </w:pPr>
          </w:p>
        </w:tc>
        <w:tc>
          <w:tcPr>
            <w:tcW w:w="1024" w:type="dxa"/>
            <w:vAlign w:val="top"/>
          </w:tcPr>
          <w:p w14:paraId="66599BD2">
            <w:pPr>
              <w:pageBreakBefore w:val="0"/>
              <w:kinsoku/>
              <w:topLinePunct w:val="0"/>
              <w:bidi w:val="0"/>
              <w:rPr>
                <w:rFonts w:ascii="Arial"/>
                <w:sz w:val="24"/>
                <w:szCs w:val="24"/>
              </w:rPr>
            </w:pPr>
          </w:p>
        </w:tc>
        <w:tc>
          <w:tcPr>
            <w:tcW w:w="1024" w:type="dxa"/>
            <w:vAlign w:val="top"/>
          </w:tcPr>
          <w:p w14:paraId="62F62B5C">
            <w:pPr>
              <w:pageBreakBefore w:val="0"/>
              <w:kinsoku/>
              <w:topLinePunct w:val="0"/>
              <w:bidi w:val="0"/>
              <w:rPr>
                <w:rFonts w:ascii="Arial"/>
                <w:sz w:val="24"/>
                <w:szCs w:val="24"/>
              </w:rPr>
            </w:pPr>
          </w:p>
        </w:tc>
        <w:tc>
          <w:tcPr>
            <w:tcW w:w="1025" w:type="dxa"/>
            <w:vAlign w:val="top"/>
          </w:tcPr>
          <w:p w14:paraId="03F7BC11">
            <w:pPr>
              <w:pageBreakBefore w:val="0"/>
              <w:kinsoku/>
              <w:topLinePunct w:val="0"/>
              <w:bidi w:val="0"/>
              <w:rPr>
                <w:rFonts w:ascii="Arial"/>
                <w:sz w:val="24"/>
                <w:szCs w:val="24"/>
              </w:rPr>
            </w:pPr>
          </w:p>
        </w:tc>
        <w:tc>
          <w:tcPr>
            <w:tcW w:w="1334" w:type="dxa"/>
            <w:vAlign w:val="top"/>
          </w:tcPr>
          <w:p w14:paraId="111F33FE">
            <w:pPr>
              <w:pageBreakBefore w:val="0"/>
              <w:kinsoku/>
              <w:topLinePunct w:val="0"/>
              <w:bidi w:val="0"/>
              <w:rPr>
                <w:rFonts w:ascii="Arial"/>
                <w:sz w:val="24"/>
                <w:szCs w:val="24"/>
              </w:rPr>
            </w:pPr>
          </w:p>
        </w:tc>
        <w:tc>
          <w:tcPr>
            <w:tcW w:w="939" w:type="dxa"/>
            <w:vAlign w:val="top"/>
          </w:tcPr>
          <w:p w14:paraId="1693D02B">
            <w:pPr>
              <w:pageBreakBefore w:val="0"/>
              <w:kinsoku/>
              <w:topLinePunct w:val="0"/>
              <w:bidi w:val="0"/>
              <w:rPr>
                <w:rFonts w:ascii="Arial"/>
                <w:sz w:val="24"/>
                <w:szCs w:val="24"/>
              </w:rPr>
            </w:pPr>
          </w:p>
        </w:tc>
        <w:tc>
          <w:tcPr>
            <w:tcW w:w="1068" w:type="dxa"/>
            <w:vAlign w:val="top"/>
          </w:tcPr>
          <w:p w14:paraId="586B473C">
            <w:pPr>
              <w:pageBreakBefore w:val="0"/>
              <w:kinsoku/>
              <w:topLinePunct w:val="0"/>
              <w:bidi w:val="0"/>
              <w:rPr>
                <w:rFonts w:ascii="Arial"/>
                <w:sz w:val="24"/>
                <w:szCs w:val="24"/>
              </w:rPr>
            </w:pPr>
          </w:p>
        </w:tc>
        <w:tc>
          <w:tcPr>
            <w:tcW w:w="950" w:type="dxa"/>
            <w:vAlign w:val="top"/>
          </w:tcPr>
          <w:p w14:paraId="12692C69">
            <w:pPr>
              <w:pageBreakBefore w:val="0"/>
              <w:kinsoku/>
              <w:topLinePunct w:val="0"/>
              <w:bidi w:val="0"/>
              <w:rPr>
                <w:rFonts w:ascii="Arial"/>
                <w:sz w:val="24"/>
                <w:szCs w:val="24"/>
              </w:rPr>
            </w:pPr>
          </w:p>
        </w:tc>
      </w:tr>
      <w:tr w14:paraId="0DE7D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0623506C">
            <w:pPr>
              <w:pageBreakBefore w:val="0"/>
              <w:kinsoku/>
              <w:topLinePunct w:val="0"/>
              <w:bidi w:val="0"/>
              <w:rPr>
                <w:rFonts w:ascii="Arial"/>
                <w:sz w:val="24"/>
                <w:szCs w:val="24"/>
              </w:rPr>
            </w:pPr>
          </w:p>
        </w:tc>
        <w:tc>
          <w:tcPr>
            <w:tcW w:w="1023" w:type="dxa"/>
            <w:vAlign w:val="top"/>
          </w:tcPr>
          <w:p w14:paraId="6C592FEE">
            <w:pPr>
              <w:pageBreakBefore w:val="0"/>
              <w:kinsoku/>
              <w:topLinePunct w:val="0"/>
              <w:bidi w:val="0"/>
              <w:rPr>
                <w:rFonts w:ascii="Arial"/>
                <w:sz w:val="24"/>
                <w:szCs w:val="24"/>
              </w:rPr>
            </w:pPr>
          </w:p>
        </w:tc>
        <w:tc>
          <w:tcPr>
            <w:tcW w:w="1024" w:type="dxa"/>
            <w:vAlign w:val="top"/>
          </w:tcPr>
          <w:p w14:paraId="296DB43E">
            <w:pPr>
              <w:pageBreakBefore w:val="0"/>
              <w:kinsoku/>
              <w:topLinePunct w:val="0"/>
              <w:bidi w:val="0"/>
              <w:rPr>
                <w:rFonts w:ascii="Arial"/>
                <w:sz w:val="24"/>
                <w:szCs w:val="24"/>
              </w:rPr>
            </w:pPr>
          </w:p>
        </w:tc>
        <w:tc>
          <w:tcPr>
            <w:tcW w:w="1024" w:type="dxa"/>
            <w:vAlign w:val="top"/>
          </w:tcPr>
          <w:p w14:paraId="5AF8F24E">
            <w:pPr>
              <w:pageBreakBefore w:val="0"/>
              <w:kinsoku/>
              <w:topLinePunct w:val="0"/>
              <w:bidi w:val="0"/>
              <w:rPr>
                <w:rFonts w:ascii="Arial"/>
                <w:sz w:val="24"/>
                <w:szCs w:val="24"/>
              </w:rPr>
            </w:pPr>
          </w:p>
        </w:tc>
        <w:tc>
          <w:tcPr>
            <w:tcW w:w="1025" w:type="dxa"/>
            <w:vAlign w:val="top"/>
          </w:tcPr>
          <w:p w14:paraId="5D48E93D">
            <w:pPr>
              <w:pageBreakBefore w:val="0"/>
              <w:kinsoku/>
              <w:topLinePunct w:val="0"/>
              <w:bidi w:val="0"/>
              <w:rPr>
                <w:rFonts w:ascii="Arial"/>
                <w:sz w:val="24"/>
                <w:szCs w:val="24"/>
              </w:rPr>
            </w:pPr>
          </w:p>
        </w:tc>
        <w:tc>
          <w:tcPr>
            <w:tcW w:w="1334" w:type="dxa"/>
            <w:vAlign w:val="top"/>
          </w:tcPr>
          <w:p w14:paraId="52DC913F">
            <w:pPr>
              <w:pageBreakBefore w:val="0"/>
              <w:kinsoku/>
              <w:topLinePunct w:val="0"/>
              <w:bidi w:val="0"/>
              <w:rPr>
                <w:rFonts w:ascii="Arial"/>
                <w:sz w:val="24"/>
                <w:szCs w:val="24"/>
              </w:rPr>
            </w:pPr>
          </w:p>
        </w:tc>
        <w:tc>
          <w:tcPr>
            <w:tcW w:w="939" w:type="dxa"/>
            <w:vAlign w:val="top"/>
          </w:tcPr>
          <w:p w14:paraId="059E5360">
            <w:pPr>
              <w:pageBreakBefore w:val="0"/>
              <w:kinsoku/>
              <w:topLinePunct w:val="0"/>
              <w:bidi w:val="0"/>
              <w:rPr>
                <w:rFonts w:ascii="Arial"/>
                <w:sz w:val="24"/>
                <w:szCs w:val="24"/>
              </w:rPr>
            </w:pPr>
          </w:p>
        </w:tc>
        <w:tc>
          <w:tcPr>
            <w:tcW w:w="1068" w:type="dxa"/>
            <w:vAlign w:val="top"/>
          </w:tcPr>
          <w:p w14:paraId="69E9DAEC">
            <w:pPr>
              <w:pageBreakBefore w:val="0"/>
              <w:kinsoku/>
              <w:topLinePunct w:val="0"/>
              <w:bidi w:val="0"/>
              <w:rPr>
                <w:rFonts w:ascii="Arial"/>
                <w:sz w:val="24"/>
                <w:szCs w:val="24"/>
              </w:rPr>
            </w:pPr>
          </w:p>
        </w:tc>
        <w:tc>
          <w:tcPr>
            <w:tcW w:w="950" w:type="dxa"/>
            <w:vAlign w:val="top"/>
          </w:tcPr>
          <w:p w14:paraId="4770A00D">
            <w:pPr>
              <w:pageBreakBefore w:val="0"/>
              <w:kinsoku/>
              <w:topLinePunct w:val="0"/>
              <w:bidi w:val="0"/>
              <w:rPr>
                <w:rFonts w:ascii="Arial"/>
                <w:sz w:val="24"/>
                <w:szCs w:val="24"/>
              </w:rPr>
            </w:pPr>
          </w:p>
        </w:tc>
      </w:tr>
      <w:tr w14:paraId="6A972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3A3258D8">
            <w:pPr>
              <w:pageBreakBefore w:val="0"/>
              <w:kinsoku/>
              <w:topLinePunct w:val="0"/>
              <w:bidi w:val="0"/>
              <w:spacing w:line="409" w:lineRule="auto"/>
              <w:rPr>
                <w:rFonts w:ascii="Arial"/>
                <w:sz w:val="24"/>
                <w:szCs w:val="24"/>
              </w:rPr>
            </w:pPr>
          </w:p>
          <w:p w14:paraId="5BA7546E">
            <w:pPr>
              <w:pStyle w:val="20"/>
              <w:pageBreakBefore w:val="0"/>
              <w:kinsoku/>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5D7B85D6">
            <w:pPr>
              <w:pageBreakBefore w:val="0"/>
              <w:kinsoku/>
              <w:topLinePunct w:val="0"/>
              <w:bidi w:val="0"/>
              <w:rPr>
                <w:rFonts w:ascii="Arial"/>
                <w:sz w:val="24"/>
                <w:szCs w:val="24"/>
              </w:rPr>
            </w:pPr>
          </w:p>
        </w:tc>
        <w:tc>
          <w:tcPr>
            <w:tcW w:w="1024" w:type="dxa"/>
            <w:vAlign w:val="top"/>
          </w:tcPr>
          <w:p w14:paraId="4C32E517">
            <w:pPr>
              <w:pageBreakBefore w:val="0"/>
              <w:kinsoku/>
              <w:topLinePunct w:val="0"/>
              <w:bidi w:val="0"/>
              <w:rPr>
                <w:rFonts w:ascii="Arial"/>
                <w:sz w:val="24"/>
                <w:szCs w:val="24"/>
              </w:rPr>
            </w:pPr>
          </w:p>
        </w:tc>
        <w:tc>
          <w:tcPr>
            <w:tcW w:w="1024" w:type="dxa"/>
            <w:vAlign w:val="top"/>
          </w:tcPr>
          <w:p w14:paraId="2515499A">
            <w:pPr>
              <w:pageBreakBefore w:val="0"/>
              <w:kinsoku/>
              <w:topLinePunct w:val="0"/>
              <w:bidi w:val="0"/>
              <w:rPr>
                <w:rFonts w:ascii="Arial"/>
                <w:sz w:val="24"/>
                <w:szCs w:val="24"/>
              </w:rPr>
            </w:pPr>
          </w:p>
        </w:tc>
        <w:tc>
          <w:tcPr>
            <w:tcW w:w="1025" w:type="dxa"/>
            <w:vAlign w:val="top"/>
          </w:tcPr>
          <w:p w14:paraId="3FB1EF50">
            <w:pPr>
              <w:pageBreakBefore w:val="0"/>
              <w:kinsoku/>
              <w:topLinePunct w:val="0"/>
              <w:bidi w:val="0"/>
              <w:rPr>
                <w:rFonts w:ascii="Arial"/>
                <w:sz w:val="24"/>
                <w:szCs w:val="24"/>
              </w:rPr>
            </w:pPr>
          </w:p>
        </w:tc>
        <w:tc>
          <w:tcPr>
            <w:tcW w:w="1334" w:type="dxa"/>
            <w:vAlign w:val="top"/>
          </w:tcPr>
          <w:p w14:paraId="6DBC587B">
            <w:pPr>
              <w:pageBreakBefore w:val="0"/>
              <w:kinsoku/>
              <w:topLinePunct w:val="0"/>
              <w:bidi w:val="0"/>
              <w:rPr>
                <w:rFonts w:ascii="Arial"/>
                <w:sz w:val="24"/>
                <w:szCs w:val="24"/>
              </w:rPr>
            </w:pPr>
          </w:p>
        </w:tc>
        <w:tc>
          <w:tcPr>
            <w:tcW w:w="939" w:type="dxa"/>
            <w:vAlign w:val="top"/>
          </w:tcPr>
          <w:p w14:paraId="2C9FF813">
            <w:pPr>
              <w:pageBreakBefore w:val="0"/>
              <w:kinsoku/>
              <w:topLinePunct w:val="0"/>
              <w:bidi w:val="0"/>
              <w:rPr>
                <w:rFonts w:ascii="Arial"/>
                <w:sz w:val="24"/>
                <w:szCs w:val="24"/>
              </w:rPr>
            </w:pPr>
          </w:p>
        </w:tc>
        <w:tc>
          <w:tcPr>
            <w:tcW w:w="1068" w:type="dxa"/>
            <w:vAlign w:val="top"/>
          </w:tcPr>
          <w:p w14:paraId="5AE2F425">
            <w:pPr>
              <w:pageBreakBefore w:val="0"/>
              <w:kinsoku/>
              <w:topLinePunct w:val="0"/>
              <w:bidi w:val="0"/>
              <w:rPr>
                <w:rFonts w:ascii="Arial"/>
                <w:sz w:val="24"/>
                <w:szCs w:val="24"/>
              </w:rPr>
            </w:pPr>
          </w:p>
        </w:tc>
        <w:tc>
          <w:tcPr>
            <w:tcW w:w="950" w:type="dxa"/>
            <w:vAlign w:val="top"/>
          </w:tcPr>
          <w:p w14:paraId="39520A07">
            <w:pPr>
              <w:pageBreakBefore w:val="0"/>
              <w:kinsoku/>
              <w:topLinePunct w:val="0"/>
              <w:bidi w:val="0"/>
              <w:rPr>
                <w:rFonts w:ascii="Arial"/>
                <w:sz w:val="24"/>
                <w:szCs w:val="24"/>
              </w:rPr>
            </w:pPr>
          </w:p>
        </w:tc>
      </w:tr>
      <w:tr w14:paraId="59DE7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4F5E6785">
            <w:pPr>
              <w:pageBreakBefore w:val="0"/>
              <w:kinsoku/>
              <w:topLinePunct w:val="0"/>
              <w:bidi w:val="0"/>
              <w:rPr>
                <w:rFonts w:ascii="Arial"/>
                <w:sz w:val="24"/>
                <w:szCs w:val="24"/>
              </w:rPr>
            </w:pPr>
          </w:p>
        </w:tc>
        <w:tc>
          <w:tcPr>
            <w:tcW w:w="1023" w:type="dxa"/>
            <w:vAlign w:val="top"/>
          </w:tcPr>
          <w:p w14:paraId="4076B451">
            <w:pPr>
              <w:pageBreakBefore w:val="0"/>
              <w:kinsoku/>
              <w:topLinePunct w:val="0"/>
              <w:bidi w:val="0"/>
              <w:rPr>
                <w:rFonts w:ascii="Arial"/>
                <w:sz w:val="24"/>
                <w:szCs w:val="24"/>
              </w:rPr>
            </w:pPr>
          </w:p>
        </w:tc>
        <w:tc>
          <w:tcPr>
            <w:tcW w:w="1024" w:type="dxa"/>
            <w:vAlign w:val="top"/>
          </w:tcPr>
          <w:p w14:paraId="50717B4A">
            <w:pPr>
              <w:pageBreakBefore w:val="0"/>
              <w:kinsoku/>
              <w:topLinePunct w:val="0"/>
              <w:bidi w:val="0"/>
              <w:rPr>
                <w:rFonts w:ascii="Arial"/>
                <w:sz w:val="24"/>
                <w:szCs w:val="24"/>
              </w:rPr>
            </w:pPr>
          </w:p>
        </w:tc>
        <w:tc>
          <w:tcPr>
            <w:tcW w:w="1024" w:type="dxa"/>
            <w:vAlign w:val="top"/>
          </w:tcPr>
          <w:p w14:paraId="663EA56D">
            <w:pPr>
              <w:pageBreakBefore w:val="0"/>
              <w:kinsoku/>
              <w:topLinePunct w:val="0"/>
              <w:bidi w:val="0"/>
              <w:rPr>
                <w:rFonts w:ascii="Arial"/>
                <w:sz w:val="24"/>
                <w:szCs w:val="24"/>
              </w:rPr>
            </w:pPr>
          </w:p>
        </w:tc>
        <w:tc>
          <w:tcPr>
            <w:tcW w:w="1025" w:type="dxa"/>
            <w:vAlign w:val="top"/>
          </w:tcPr>
          <w:p w14:paraId="5BB37548">
            <w:pPr>
              <w:pageBreakBefore w:val="0"/>
              <w:kinsoku/>
              <w:topLinePunct w:val="0"/>
              <w:bidi w:val="0"/>
              <w:rPr>
                <w:rFonts w:ascii="Arial"/>
                <w:sz w:val="24"/>
                <w:szCs w:val="24"/>
              </w:rPr>
            </w:pPr>
          </w:p>
        </w:tc>
        <w:tc>
          <w:tcPr>
            <w:tcW w:w="1334" w:type="dxa"/>
            <w:vAlign w:val="top"/>
          </w:tcPr>
          <w:p w14:paraId="3033CB65">
            <w:pPr>
              <w:pageBreakBefore w:val="0"/>
              <w:kinsoku/>
              <w:topLinePunct w:val="0"/>
              <w:bidi w:val="0"/>
              <w:rPr>
                <w:rFonts w:ascii="Arial"/>
                <w:sz w:val="24"/>
                <w:szCs w:val="24"/>
              </w:rPr>
            </w:pPr>
          </w:p>
        </w:tc>
        <w:tc>
          <w:tcPr>
            <w:tcW w:w="939" w:type="dxa"/>
            <w:vAlign w:val="top"/>
          </w:tcPr>
          <w:p w14:paraId="4A4F6F19">
            <w:pPr>
              <w:pageBreakBefore w:val="0"/>
              <w:kinsoku/>
              <w:topLinePunct w:val="0"/>
              <w:bidi w:val="0"/>
              <w:rPr>
                <w:rFonts w:ascii="Arial"/>
                <w:sz w:val="24"/>
                <w:szCs w:val="24"/>
              </w:rPr>
            </w:pPr>
          </w:p>
        </w:tc>
        <w:tc>
          <w:tcPr>
            <w:tcW w:w="1068" w:type="dxa"/>
            <w:vAlign w:val="top"/>
          </w:tcPr>
          <w:p w14:paraId="1AD9B083">
            <w:pPr>
              <w:pageBreakBefore w:val="0"/>
              <w:kinsoku/>
              <w:topLinePunct w:val="0"/>
              <w:bidi w:val="0"/>
              <w:rPr>
                <w:rFonts w:ascii="Arial"/>
                <w:sz w:val="24"/>
                <w:szCs w:val="24"/>
              </w:rPr>
            </w:pPr>
          </w:p>
        </w:tc>
        <w:tc>
          <w:tcPr>
            <w:tcW w:w="950" w:type="dxa"/>
            <w:vAlign w:val="top"/>
          </w:tcPr>
          <w:p w14:paraId="372BF6C7">
            <w:pPr>
              <w:pageBreakBefore w:val="0"/>
              <w:kinsoku/>
              <w:topLinePunct w:val="0"/>
              <w:bidi w:val="0"/>
              <w:rPr>
                <w:rFonts w:ascii="Arial"/>
                <w:sz w:val="24"/>
                <w:szCs w:val="24"/>
              </w:rPr>
            </w:pPr>
          </w:p>
        </w:tc>
      </w:tr>
      <w:tr w14:paraId="4CAC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vAlign w:val="top"/>
          </w:tcPr>
          <w:p w14:paraId="48702A8E">
            <w:pPr>
              <w:pageBreakBefore w:val="0"/>
              <w:kinsoku/>
              <w:topLinePunct w:val="0"/>
              <w:bidi w:val="0"/>
              <w:rPr>
                <w:rFonts w:ascii="Arial"/>
                <w:sz w:val="24"/>
                <w:szCs w:val="24"/>
              </w:rPr>
            </w:pPr>
          </w:p>
        </w:tc>
        <w:tc>
          <w:tcPr>
            <w:tcW w:w="1023" w:type="dxa"/>
            <w:vAlign w:val="top"/>
          </w:tcPr>
          <w:p w14:paraId="7F616B29">
            <w:pPr>
              <w:pageBreakBefore w:val="0"/>
              <w:kinsoku/>
              <w:topLinePunct w:val="0"/>
              <w:bidi w:val="0"/>
              <w:rPr>
                <w:rFonts w:ascii="Arial"/>
                <w:sz w:val="24"/>
                <w:szCs w:val="24"/>
              </w:rPr>
            </w:pPr>
          </w:p>
        </w:tc>
        <w:tc>
          <w:tcPr>
            <w:tcW w:w="1024" w:type="dxa"/>
            <w:vAlign w:val="top"/>
          </w:tcPr>
          <w:p w14:paraId="10E1AA6D">
            <w:pPr>
              <w:pageBreakBefore w:val="0"/>
              <w:kinsoku/>
              <w:topLinePunct w:val="0"/>
              <w:bidi w:val="0"/>
              <w:rPr>
                <w:rFonts w:ascii="Arial"/>
                <w:sz w:val="24"/>
                <w:szCs w:val="24"/>
              </w:rPr>
            </w:pPr>
          </w:p>
        </w:tc>
        <w:tc>
          <w:tcPr>
            <w:tcW w:w="1024" w:type="dxa"/>
            <w:vAlign w:val="top"/>
          </w:tcPr>
          <w:p w14:paraId="113579EB">
            <w:pPr>
              <w:pageBreakBefore w:val="0"/>
              <w:kinsoku/>
              <w:topLinePunct w:val="0"/>
              <w:bidi w:val="0"/>
              <w:rPr>
                <w:rFonts w:ascii="Arial"/>
                <w:sz w:val="24"/>
                <w:szCs w:val="24"/>
              </w:rPr>
            </w:pPr>
          </w:p>
        </w:tc>
        <w:tc>
          <w:tcPr>
            <w:tcW w:w="1025" w:type="dxa"/>
            <w:vAlign w:val="top"/>
          </w:tcPr>
          <w:p w14:paraId="06AA829F">
            <w:pPr>
              <w:pageBreakBefore w:val="0"/>
              <w:kinsoku/>
              <w:topLinePunct w:val="0"/>
              <w:bidi w:val="0"/>
              <w:rPr>
                <w:rFonts w:ascii="Arial"/>
                <w:sz w:val="24"/>
                <w:szCs w:val="24"/>
              </w:rPr>
            </w:pPr>
          </w:p>
        </w:tc>
        <w:tc>
          <w:tcPr>
            <w:tcW w:w="1334" w:type="dxa"/>
            <w:vAlign w:val="top"/>
          </w:tcPr>
          <w:p w14:paraId="0120BD82">
            <w:pPr>
              <w:pageBreakBefore w:val="0"/>
              <w:kinsoku/>
              <w:topLinePunct w:val="0"/>
              <w:bidi w:val="0"/>
              <w:rPr>
                <w:rFonts w:ascii="Arial"/>
                <w:sz w:val="24"/>
                <w:szCs w:val="24"/>
              </w:rPr>
            </w:pPr>
          </w:p>
        </w:tc>
        <w:tc>
          <w:tcPr>
            <w:tcW w:w="939" w:type="dxa"/>
            <w:vAlign w:val="top"/>
          </w:tcPr>
          <w:p w14:paraId="559DB02C">
            <w:pPr>
              <w:pageBreakBefore w:val="0"/>
              <w:kinsoku/>
              <w:topLinePunct w:val="0"/>
              <w:bidi w:val="0"/>
              <w:rPr>
                <w:rFonts w:ascii="Arial"/>
                <w:sz w:val="24"/>
                <w:szCs w:val="24"/>
              </w:rPr>
            </w:pPr>
          </w:p>
        </w:tc>
        <w:tc>
          <w:tcPr>
            <w:tcW w:w="1068" w:type="dxa"/>
            <w:vAlign w:val="top"/>
          </w:tcPr>
          <w:p w14:paraId="60100340">
            <w:pPr>
              <w:pageBreakBefore w:val="0"/>
              <w:kinsoku/>
              <w:topLinePunct w:val="0"/>
              <w:bidi w:val="0"/>
              <w:rPr>
                <w:rFonts w:ascii="Arial"/>
                <w:sz w:val="24"/>
                <w:szCs w:val="24"/>
              </w:rPr>
            </w:pPr>
          </w:p>
        </w:tc>
        <w:tc>
          <w:tcPr>
            <w:tcW w:w="950" w:type="dxa"/>
            <w:vAlign w:val="top"/>
          </w:tcPr>
          <w:p w14:paraId="107074D9">
            <w:pPr>
              <w:pageBreakBefore w:val="0"/>
              <w:kinsoku/>
              <w:topLinePunct w:val="0"/>
              <w:bidi w:val="0"/>
              <w:rPr>
                <w:rFonts w:ascii="Arial"/>
                <w:sz w:val="24"/>
                <w:szCs w:val="24"/>
              </w:rPr>
            </w:pPr>
          </w:p>
        </w:tc>
      </w:tr>
    </w:tbl>
    <w:p w14:paraId="00206D24">
      <w:pPr>
        <w:pageBreakBefore w:val="0"/>
        <w:kinsoku/>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6E6B28DD">
      <w:pPr>
        <w:pStyle w:val="5"/>
        <w:pageBreakBefore w:val="0"/>
        <w:kinsoku/>
        <w:topLinePunct w:val="0"/>
        <w:bidi w:val="0"/>
        <w:spacing w:line="270" w:lineRule="auto"/>
        <w:rPr>
          <w:sz w:val="24"/>
          <w:szCs w:val="24"/>
        </w:rPr>
      </w:pPr>
    </w:p>
    <w:p w14:paraId="5B250D5F">
      <w:pPr>
        <w:pStyle w:val="5"/>
        <w:pageBreakBefore w:val="0"/>
        <w:kinsoku/>
        <w:topLinePunct w:val="0"/>
        <w:bidi w:val="0"/>
        <w:spacing w:line="270" w:lineRule="auto"/>
        <w:rPr>
          <w:sz w:val="24"/>
          <w:szCs w:val="24"/>
        </w:rPr>
      </w:pPr>
    </w:p>
    <w:p w14:paraId="2F5CDBDF">
      <w:pPr>
        <w:pStyle w:val="5"/>
        <w:pageBreakBefore w:val="0"/>
        <w:kinsoku/>
        <w:topLinePunct w:val="0"/>
        <w:bidi w:val="0"/>
        <w:spacing w:line="270" w:lineRule="auto"/>
        <w:rPr>
          <w:sz w:val="24"/>
          <w:szCs w:val="24"/>
        </w:rPr>
      </w:pPr>
    </w:p>
    <w:p w14:paraId="43E34296">
      <w:pPr>
        <w:pStyle w:val="5"/>
        <w:pageBreakBefore w:val="0"/>
        <w:kinsoku/>
        <w:topLinePunct w:val="0"/>
        <w:bidi w:val="0"/>
        <w:spacing w:line="270" w:lineRule="auto"/>
        <w:rPr>
          <w:sz w:val="24"/>
          <w:szCs w:val="24"/>
        </w:rPr>
      </w:pPr>
    </w:p>
    <w:p w14:paraId="613097D8">
      <w:pPr>
        <w:pStyle w:val="5"/>
        <w:pageBreakBefore w:val="0"/>
        <w:kinsoku/>
        <w:topLinePunct w:val="0"/>
        <w:bidi w:val="0"/>
        <w:spacing w:line="270" w:lineRule="auto"/>
        <w:rPr>
          <w:sz w:val="24"/>
          <w:szCs w:val="24"/>
        </w:rPr>
      </w:pPr>
    </w:p>
    <w:p w14:paraId="54DB10E0">
      <w:pPr>
        <w:pStyle w:val="5"/>
        <w:pageBreakBefore w:val="0"/>
        <w:kinsoku/>
        <w:topLinePunct w:val="0"/>
        <w:bidi w:val="0"/>
        <w:spacing w:line="270" w:lineRule="auto"/>
        <w:rPr>
          <w:sz w:val="24"/>
          <w:szCs w:val="24"/>
        </w:rPr>
      </w:pPr>
    </w:p>
    <w:p w14:paraId="5835EBBD">
      <w:pPr>
        <w:pStyle w:val="5"/>
        <w:pageBreakBefore w:val="0"/>
        <w:kinsoku/>
        <w:topLinePunct w:val="0"/>
        <w:bidi w:val="0"/>
        <w:spacing w:line="271" w:lineRule="auto"/>
        <w:rPr>
          <w:sz w:val="24"/>
          <w:szCs w:val="24"/>
        </w:rPr>
      </w:pPr>
    </w:p>
    <w:p w14:paraId="19210B22">
      <w:pPr>
        <w:pageBreakBefore w:val="0"/>
        <w:kinsoku/>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36E99452">
      <w:pPr>
        <w:pageBreakBefore w:val="0"/>
        <w:kinsoku/>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w:t>
      </w:r>
      <w:r>
        <w:rPr>
          <w:rFonts w:hint="eastAsia" w:ascii="仿宋" w:hAnsi="仿宋" w:eastAsia="仿宋" w:cs="仿宋"/>
          <w:spacing w:val="7"/>
          <w:sz w:val="24"/>
          <w:szCs w:val="24"/>
          <w:lang w:eastAsia="zh-CN"/>
        </w:rPr>
        <w:t>（</w:t>
      </w:r>
      <w:r>
        <w:rPr>
          <w:rFonts w:ascii="仿宋" w:hAnsi="仿宋" w:eastAsia="仿宋" w:cs="仿宋"/>
          <w:spacing w:val="7"/>
          <w:sz w:val="24"/>
          <w:szCs w:val="24"/>
        </w:rPr>
        <w:t>签字</w:t>
      </w:r>
      <w:r>
        <w:rPr>
          <w:rFonts w:hint="eastAsia" w:ascii="仿宋" w:hAnsi="仿宋" w:eastAsia="仿宋" w:cs="仿宋"/>
          <w:spacing w:val="7"/>
          <w:sz w:val="24"/>
          <w:szCs w:val="24"/>
          <w:lang w:val="en-US" w:eastAsia="zh-Hans"/>
        </w:rPr>
        <w:t>或盖章</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5A5C88FF">
      <w:pPr>
        <w:pageBreakBefore w:val="0"/>
        <w:kinsoku/>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648D4F94">
      <w:pPr>
        <w:pStyle w:val="5"/>
        <w:pageBreakBefore w:val="0"/>
        <w:kinsoku/>
        <w:topLinePunct w:val="0"/>
        <w:bidi w:val="0"/>
        <w:spacing w:line="245" w:lineRule="auto"/>
        <w:rPr>
          <w:sz w:val="24"/>
          <w:szCs w:val="24"/>
        </w:rPr>
      </w:pPr>
    </w:p>
    <w:p w14:paraId="3CE4C0B3">
      <w:pPr>
        <w:pStyle w:val="5"/>
        <w:pageBreakBefore w:val="0"/>
        <w:kinsoku/>
        <w:topLinePunct w:val="0"/>
        <w:bidi w:val="0"/>
        <w:spacing w:line="245" w:lineRule="auto"/>
      </w:pPr>
    </w:p>
    <w:p w14:paraId="5F55D5FC">
      <w:pPr>
        <w:pStyle w:val="5"/>
        <w:pageBreakBefore w:val="0"/>
        <w:kinsoku/>
        <w:topLinePunct w:val="0"/>
        <w:bidi w:val="0"/>
        <w:spacing w:line="245" w:lineRule="auto"/>
      </w:pPr>
    </w:p>
    <w:p w14:paraId="16EE428B">
      <w:pPr>
        <w:pStyle w:val="5"/>
        <w:pageBreakBefore w:val="0"/>
        <w:kinsoku/>
        <w:topLinePunct w:val="0"/>
        <w:bidi w:val="0"/>
        <w:spacing w:line="245" w:lineRule="auto"/>
      </w:pPr>
    </w:p>
    <w:p w14:paraId="371365B6">
      <w:pPr>
        <w:pStyle w:val="5"/>
        <w:pageBreakBefore w:val="0"/>
        <w:kinsoku/>
        <w:topLinePunct w:val="0"/>
        <w:bidi w:val="0"/>
        <w:spacing w:line="245" w:lineRule="auto"/>
      </w:pPr>
    </w:p>
    <w:p w14:paraId="00723B2A">
      <w:pPr>
        <w:pStyle w:val="5"/>
        <w:pageBreakBefore w:val="0"/>
        <w:kinsoku/>
        <w:topLinePunct w:val="0"/>
        <w:bidi w:val="0"/>
        <w:spacing w:line="245" w:lineRule="auto"/>
      </w:pPr>
    </w:p>
    <w:p w14:paraId="46F46BE0">
      <w:pPr>
        <w:pStyle w:val="5"/>
        <w:pageBreakBefore w:val="0"/>
        <w:kinsoku/>
        <w:topLinePunct w:val="0"/>
        <w:bidi w:val="0"/>
        <w:spacing w:line="245" w:lineRule="auto"/>
      </w:pPr>
    </w:p>
    <w:p w14:paraId="4CE898C9">
      <w:pPr>
        <w:pStyle w:val="5"/>
        <w:pageBreakBefore w:val="0"/>
        <w:kinsoku/>
        <w:topLinePunct w:val="0"/>
        <w:bidi w:val="0"/>
        <w:spacing w:line="246" w:lineRule="auto"/>
      </w:pPr>
    </w:p>
    <w:p w14:paraId="4C8C9D96">
      <w:pPr>
        <w:pStyle w:val="5"/>
        <w:pageBreakBefore w:val="0"/>
        <w:kinsoku/>
        <w:topLinePunct w:val="0"/>
        <w:bidi w:val="0"/>
        <w:spacing w:line="246" w:lineRule="auto"/>
      </w:pPr>
    </w:p>
    <w:p w14:paraId="067C9711">
      <w:pPr>
        <w:pStyle w:val="5"/>
        <w:pageBreakBefore w:val="0"/>
        <w:kinsoku/>
        <w:topLinePunct w:val="0"/>
        <w:bidi w:val="0"/>
        <w:spacing w:line="246" w:lineRule="auto"/>
      </w:pPr>
    </w:p>
    <w:p w14:paraId="211F0FB0">
      <w:pPr>
        <w:pStyle w:val="5"/>
        <w:pageBreakBefore w:val="0"/>
        <w:kinsoku/>
        <w:topLinePunct w:val="0"/>
        <w:bidi w:val="0"/>
        <w:spacing w:line="253" w:lineRule="auto"/>
      </w:pPr>
    </w:p>
    <w:p w14:paraId="31E60F25">
      <w:pPr>
        <w:pageBreakBefore w:val="0"/>
        <w:kinsoku/>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10.</w:t>
      </w:r>
      <w:r>
        <w:rPr>
          <w:rFonts w:ascii="仿宋" w:hAnsi="仿宋" w:eastAsia="仿宋" w:cs="仿宋"/>
          <w:b/>
          <w:bCs/>
          <w:spacing w:val="3"/>
          <w:sz w:val="24"/>
          <w:szCs w:val="24"/>
        </w:rPr>
        <w:t>方案</w:t>
      </w:r>
    </w:p>
    <w:p w14:paraId="426C896C">
      <w:pPr>
        <w:pageBreakBefore w:val="0"/>
        <w:kinsoku/>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供应商结合详细评分标准表自附（格式自附）</w:t>
      </w:r>
    </w:p>
    <w:p w14:paraId="2A2782E8">
      <w:pPr>
        <w:pStyle w:val="5"/>
        <w:pageBreakBefore w:val="0"/>
        <w:kinsoku/>
        <w:topLinePunct w:val="0"/>
        <w:bidi w:val="0"/>
        <w:spacing w:line="245" w:lineRule="auto"/>
        <w:rPr>
          <w:sz w:val="24"/>
          <w:szCs w:val="24"/>
        </w:rPr>
      </w:pPr>
    </w:p>
    <w:p w14:paraId="0B2716A6">
      <w:pPr>
        <w:pStyle w:val="5"/>
        <w:pageBreakBefore w:val="0"/>
        <w:kinsoku/>
        <w:topLinePunct w:val="0"/>
        <w:bidi w:val="0"/>
        <w:spacing w:line="245" w:lineRule="auto"/>
      </w:pPr>
    </w:p>
    <w:p w14:paraId="03DF4F42">
      <w:pPr>
        <w:pStyle w:val="5"/>
        <w:pageBreakBefore w:val="0"/>
        <w:kinsoku/>
        <w:topLinePunct w:val="0"/>
        <w:bidi w:val="0"/>
        <w:spacing w:line="245" w:lineRule="auto"/>
      </w:pPr>
    </w:p>
    <w:p w14:paraId="6F908802">
      <w:pPr>
        <w:pStyle w:val="5"/>
        <w:pageBreakBefore w:val="0"/>
        <w:kinsoku/>
        <w:topLinePunct w:val="0"/>
        <w:bidi w:val="0"/>
        <w:spacing w:line="245" w:lineRule="auto"/>
      </w:pPr>
    </w:p>
    <w:p w14:paraId="51237508">
      <w:pPr>
        <w:pStyle w:val="5"/>
        <w:pageBreakBefore w:val="0"/>
        <w:kinsoku/>
        <w:topLinePunct w:val="0"/>
        <w:bidi w:val="0"/>
        <w:spacing w:line="245" w:lineRule="auto"/>
      </w:pPr>
    </w:p>
    <w:p w14:paraId="796346BA">
      <w:pPr>
        <w:pStyle w:val="5"/>
        <w:pageBreakBefore w:val="0"/>
        <w:kinsoku/>
        <w:topLinePunct w:val="0"/>
        <w:bidi w:val="0"/>
        <w:spacing w:line="245" w:lineRule="auto"/>
      </w:pPr>
    </w:p>
    <w:p w14:paraId="5469DD06">
      <w:pPr>
        <w:pStyle w:val="5"/>
        <w:pageBreakBefore w:val="0"/>
        <w:kinsoku/>
        <w:topLinePunct w:val="0"/>
        <w:bidi w:val="0"/>
        <w:spacing w:line="245" w:lineRule="auto"/>
      </w:pPr>
    </w:p>
    <w:p w14:paraId="3B15AF92">
      <w:pPr>
        <w:pStyle w:val="5"/>
        <w:pageBreakBefore w:val="0"/>
        <w:kinsoku/>
        <w:topLinePunct w:val="0"/>
        <w:bidi w:val="0"/>
        <w:spacing w:line="245" w:lineRule="auto"/>
      </w:pPr>
    </w:p>
    <w:p w14:paraId="5F4DFE00">
      <w:pPr>
        <w:pStyle w:val="5"/>
        <w:pageBreakBefore w:val="0"/>
        <w:kinsoku/>
        <w:topLinePunct w:val="0"/>
        <w:bidi w:val="0"/>
        <w:spacing w:line="245" w:lineRule="auto"/>
      </w:pPr>
    </w:p>
    <w:p w14:paraId="542382C4">
      <w:pPr>
        <w:pStyle w:val="5"/>
        <w:pageBreakBefore w:val="0"/>
        <w:kinsoku/>
        <w:topLinePunct w:val="0"/>
        <w:bidi w:val="0"/>
        <w:spacing w:line="245" w:lineRule="auto"/>
      </w:pPr>
    </w:p>
    <w:p w14:paraId="0286358C">
      <w:pPr>
        <w:pStyle w:val="5"/>
        <w:pageBreakBefore w:val="0"/>
        <w:kinsoku/>
        <w:topLinePunct w:val="0"/>
        <w:bidi w:val="0"/>
        <w:spacing w:line="245" w:lineRule="auto"/>
      </w:pPr>
    </w:p>
    <w:p w14:paraId="10E58945">
      <w:pPr>
        <w:pStyle w:val="5"/>
        <w:pageBreakBefore w:val="0"/>
        <w:kinsoku/>
        <w:topLinePunct w:val="0"/>
        <w:bidi w:val="0"/>
        <w:spacing w:line="245" w:lineRule="auto"/>
      </w:pPr>
    </w:p>
    <w:p w14:paraId="17FCDD05">
      <w:pPr>
        <w:pStyle w:val="5"/>
        <w:pageBreakBefore w:val="0"/>
        <w:kinsoku/>
        <w:topLinePunct w:val="0"/>
        <w:bidi w:val="0"/>
        <w:spacing w:line="245" w:lineRule="auto"/>
      </w:pPr>
    </w:p>
    <w:p w14:paraId="3D7ED79F">
      <w:pPr>
        <w:pStyle w:val="5"/>
        <w:pageBreakBefore w:val="0"/>
        <w:kinsoku/>
        <w:topLinePunct w:val="0"/>
        <w:bidi w:val="0"/>
        <w:spacing w:line="245" w:lineRule="auto"/>
      </w:pPr>
    </w:p>
    <w:p w14:paraId="33CCEE33">
      <w:pPr>
        <w:pStyle w:val="5"/>
        <w:pageBreakBefore w:val="0"/>
        <w:kinsoku/>
        <w:topLinePunct w:val="0"/>
        <w:bidi w:val="0"/>
        <w:spacing w:line="245" w:lineRule="auto"/>
      </w:pPr>
    </w:p>
    <w:p w14:paraId="235FF409">
      <w:pPr>
        <w:pStyle w:val="5"/>
        <w:pageBreakBefore w:val="0"/>
        <w:kinsoku/>
        <w:topLinePunct w:val="0"/>
        <w:bidi w:val="0"/>
        <w:spacing w:line="245" w:lineRule="auto"/>
      </w:pPr>
    </w:p>
    <w:p w14:paraId="47223E7F">
      <w:pPr>
        <w:pStyle w:val="5"/>
        <w:pageBreakBefore w:val="0"/>
        <w:kinsoku/>
        <w:topLinePunct w:val="0"/>
        <w:bidi w:val="0"/>
        <w:spacing w:line="245" w:lineRule="auto"/>
      </w:pPr>
    </w:p>
    <w:p w14:paraId="35BAFFC6">
      <w:pPr>
        <w:pStyle w:val="5"/>
        <w:pageBreakBefore w:val="0"/>
        <w:kinsoku/>
        <w:topLinePunct w:val="0"/>
        <w:bidi w:val="0"/>
        <w:spacing w:line="246" w:lineRule="auto"/>
      </w:pPr>
    </w:p>
    <w:p w14:paraId="0AA8479B">
      <w:pPr>
        <w:pStyle w:val="5"/>
        <w:pageBreakBefore w:val="0"/>
        <w:kinsoku/>
        <w:topLinePunct w:val="0"/>
        <w:bidi w:val="0"/>
        <w:spacing w:line="246" w:lineRule="auto"/>
      </w:pPr>
    </w:p>
    <w:p w14:paraId="62DB7292">
      <w:pPr>
        <w:pStyle w:val="5"/>
        <w:pageBreakBefore w:val="0"/>
        <w:kinsoku/>
        <w:topLinePunct w:val="0"/>
        <w:bidi w:val="0"/>
        <w:spacing w:line="246" w:lineRule="auto"/>
      </w:pPr>
    </w:p>
    <w:p w14:paraId="727B6BC4">
      <w:pPr>
        <w:pStyle w:val="5"/>
        <w:pageBreakBefore w:val="0"/>
        <w:kinsoku/>
        <w:topLinePunct w:val="0"/>
        <w:bidi w:val="0"/>
        <w:spacing w:line="246" w:lineRule="auto"/>
      </w:pPr>
    </w:p>
    <w:p w14:paraId="17B0A620">
      <w:pPr>
        <w:pageBreakBefore w:val="0"/>
        <w:kinsoku/>
        <w:topLinePunct w:val="0"/>
        <w:bidi w:val="0"/>
      </w:pPr>
      <w:r>
        <w:br w:type="page"/>
      </w:r>
    </w:p>
    <w:p w14:paraId="1B203B96">
      <w:pPr>
        <w:pStyle w:val="5"/>
        <w:pageBreakBefore w:val="0"/>
        <w:kinsoku/>
        <w:topLinePunct w:val="0"/>
        <w:bidi w:val="0"/>
        <w:spacing w:line="246" w:lineRule="auto"/>
      </w:pPr>
    </w:p>
    <w:p w14:paraId="1513340C">
      <w:pPr>
        <w:pageBreakBefore w:val="0"/>
        <w:kinsoku/>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1</w:t>
      </w:r>
      <w:r>
        <w:rPr>
          <w:rFonts w:ascii="仿宋" w:hAnsi="仿宋" w:eastAsia="仿宋" w:cs="仿宋"/>
          <w:b/>
          <w:bCs/>
          <w:spacing w:val="4"/>
          <w:sz w:val="24"/>
          <w:szCs w:val="24"/>
        </w:rPr>
        <w:t>.</w:t>
      </w:r>
      <w:r>
        <w:rPr>
          <w:rFonts w:hint="eastAsia" w:ascii="仿宋" w:hAnsi="仿宋" w:eastAsia="仿宋" w:cs="仿宋"/>
          <w:b/>
          <w:bCs/>
          <w:spacing w:val="4"/>
          <w:sz w:val="24"/>
          <w:szCs w:val="24"/>
          <w:lang w:eastAsia="zh-CN"/>
        </w:rPr>
        <w:t>其他证明</w:t>
      </w:r>
      <w:r>
        <w:rPr>
          <w:rFonts w:ascii="仿宋" w:hAnsi="仿宋" w:eastAsia="仿宋" w:cs="仿宋"/>
          <w:b/>
          <w:bCs/>
          <w:spacing w:val="4"/>
          <w:sz w:val="24"/>
          <w:szCs w:val="24"/>
        </w:rPr>
        <w:t>材料</w:t>
      </w:r>
    </w:p>
    <w:p w14:paraId="3000D570">
      <w:pPr>
        <w:pageBreakBefore w:val="0"/>
        <w:kinsoku/>
        <w:topLinePunct w:val="0"/>
        <w:bidi w:val="0"/>
        <w:spacing w:before="143" w:line="229" w:lineRule="auto"/>
        <w:ind w:left="642"/>
        <w:jc w:val="center"/>
        <w:rPr>
          <w:rFonts w:ascii="仿宋" w:hAnsi="仿宋" w:eastAsia="仿宋" w:cs="仿宋"/>
          <w:sz w:val="24"/>
          <w:szCs w:val="24"/>
        </w:rPr>
        <w:sectPr>
          <w:footerReference r:id="rId12"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供应商</w:t>
      </w:r>
      <w:r>
        <w:rPr>
          <w:rFonts w:ascii="仿宋" w:hAnsi="仿宋" w:eastAsia="仿宋" w:cs="仿宋"/>
          <w:spacing w:val="9"/>
          <w:sz w:val="24"/>
          <w:szCs w:val="24"/>
        </w:rPr>
        <w:t>根据</w:t>
      </w:r>
      <w:r>
        <w:rPr>
          <w:rFonts w:hint="eastAsia" w:ascii="仿宋" w:hAnsi="仿宋" w:eastAsia="仿宋" w:cs="仿宋"/>
          <w:spacing w:val="9"/>
          <w:sz w:val="24"/>
          <w:szCs w:val="24"/>
          <w:lang w:eastAsia="zh-CN"/>
        </w:rPr>
        <w:t>评审</w:t>
      </w:r>
      <w:r>
        <w:rPr>
          <w:rFonts w:ascii="仿宋" w:hAnsi="仿宋" w:eastAsia="仿宋" w:cs="仿宋"/>
          <w:spacing w:val="9"/>
          <w:sz w:val="24"/>
          <w:szCs w:val="24"/>
        </w:rPr>
        <w:t>办法认为对其参与评审有利的</w:t>
      </w:r>
      <w:r>
        <w:rPr>
          <w:rFonts w:hint="eastAsia" w:ascii="仿宋" w:hAnsi="仿宋" w:eastAsia="仿宋" w:cs="仿宋"/>
          <w:spacing w:val="9"/>
          <w:sz w:val="24"/>
          <w:szCs w:val="24"/>
          <w:lang w:eastAsia="zh-CN"/>
        </w:rPr>
        <w:t>其他证明</w:t>
      </w:r>
      <w:r>
        <w:rPr>
          <w:rFonts w:ascii="仿宋" w:hAnsi="仿宋" w:eastAsia="仿宋" w:cs="仿宋"/>
          <w:spacing w:val="9"/>
          <w:sz w:val="24"/>
          <w:szCs w:val="24"/>
        </w:rPr>
        <w:t>材料（格式自</w:t>
      </w:r>
      <w:r>
        <w:rPr>
          <w:rFonts w:ascii="仿宋" w:hAnsi="仿宋" w:eastAsia="仿宋" w:cs="仿宋"/>
          <w:spacing w:val="8"/>
          <w:sz w:val="24"/>
          <w:szCs w:val="24"/>
        </w:rPr>
        <w:t>拟）。</w:t>
      </w:r>
    </w:p>
    <w:p w14:paraId="4022754F">
      <w:pPr>
        <w:pageBreakBefore w:val="0"/>
        <w:widowControl/>
        <w:shd w:val="clear" w:color="auto" w:fill="auto"/>
        <w:kinsoku/>
        <w:topLinePunct w:val="0"/>
        <w:bidi w:val="0"/>
        <w:spacing w:line="500" w:lineRule="exact"/>
        <w:ind w:left="-617" w:leftChars="-294" w:firstLine="318" w:firstLineChars="130"/>
        <w:jc w:val="center"/>
        <w:rPr>
          <w:rFonts w:hint="default" w:ascii="宋体" w:hAnsi="宋体" w:eastAsia="宋体" w:cs="Times New Roman"/>
          <w:b/>
          <w:bCs/>
          <w:color w:val="auto"/>
          <w:sz w:val="24"/>
          <w:szCs w:val="24"/>
          <w:highlight w:val="none"/>
          <w:lang w:val="en-US" w:eastAsia="zh-CN"/>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2</w:t>
      </w:r>
      <w:r>
        <w:rPr>
          <w:rFonts w:ascii="仿宋" w:hAnsi="仿宋" w:eastAsia="仿宋" w:cs="仿宋"/>
          <w:b/>
          <w:bCs/>
          <w:spacing w:val="2"/>
          <w:sz w:val="24"/>
          <w:szCs w:val="24"/>
        </w:rPr>
        <w:t>.</w:t>
      </w:r>
      <w:r>
        <w:rPr>
          <w:rFonts w:hint="eastAsia" w:ascii="仿宋" w:hAnsi="仿宋" w:eastAsia="仿宋" w:cs="仿宋"/>
          <w:b/>
          <w:bCs/>
          <w:color w:val="auto"/>
          <w:kern w:val="1"/>
          <w:sz w:val="24"/>
          <w:szCs w:val="24"/>
          <w:highlight w:val="none"/>
          <w:lang w:val="en-US" w:eastAsia="zh-CN"/>
        </w:rPr>
        <w:t>反商业贿赂承诺书</w:t>
      </w:r>
    </w:p>
    <w:p w14:paraId="02050A8C">
      <w:pPr>
        <w:pageBreakBefore w:val="0"/>
        <w:widowControl/>
        <w:shd w:val="clear" w:color="auto" w:fill="auto"/>
        <w:kinsoku/>
        <w:topLinePunct w:val="0"/>
        <w:bidi w:val="0"/>
        <w:spacing w:line="500" w:lineRule="exact"/>
        <w:ind w:firstLine="480"/>
        <w:rPr>
          <w:rFonts w:hint="eastAsia" w:ascii="宋体" w:hAnsi="宋体" w:cs="Times New Roman"/>
          <w:color w:val="auto"/>
          <w:sz w:val="18"/>
          <w:szCs w:val="18"/>
          <w:highlight w:val="none"/>
          <w:lang w:eastAsia="zh-CN"/>
        </w:rPr>
      </w:pPr>
    </w:p>
    <w:p w14:paraId="25666561">
      <w:pPr>
        <w:spacing w:line="360" w:lineRule="auto"/>
        <w:rPr>
          <w:rFonts w:hint="eastAsia" w:ascii="仿宋" w:hAnsi="仿宋" w:eastAsia="仿宋" w:cs="仿宋"/>
          <w:color w:val="auto"/>
          <w:sz w:val="21"/>
          <w:szCs w:val="21"/>
          <w:u w:val="single"/>
          <w:lang w:val="en-US" w:eastAsia="zh-CN"/>
        </w:rPr>
      </w:pPr>
      <w:r>
        <w:rPr>
          <w:rFonts w:hint="eastAsia" w:ascii="仿宋" w:hAnsi="仿宋" w:eastAsia="仿宋" w:cs="仿宋"/>
          <w:color w:val="auto"/>
          <w:sz w:val="21"/>
          <w:szCs w:val="21"/>
        </w:rPr>
        <w:t>致：</w:t>
      </w:r>
      <w:r>
        <w:rPr>
          <w:rFonts w:hint="eastAsia" w:ascii="仿宋" w:hAnsi="仿宋" w:eastAsia="仿宋" w:cs="仿宋"/>
          <w:color w:val="auto"/>
          <w:sz w:val="21"/>
          <w:szCs w:val="21"/>
          <w:u w:val="single"/>
          <w:lang w:val="en-US" w:eastAsia="zh-CN"/>
        </w:rPr>
        <w:t xml:space="preserve">                     </w:t>
      </w:r>
    </w:p>
    <w:p w14:paraId="7DE5EEFE">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为了进一步营造公平竞争的市场环境，维护市场秩序，我方在政府采购活动中郑重承诺：</w:t>
      </w:r>
    </w:p>
    <w:p w14:paraId="7771702D">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一、依法参与政府采购活动，遵纪守法，诚信经营，公平竞争。</w:t>
      </w:r>
    </w:p>
    <w:p w14:paraId="21D2C523">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二、不向采购单位、集中采购机构和政府采购评审专家提供任何形式的商业贿赂；对索取或接受商业贿赂的单位和个人，及时向财政部门或纪检监察机关举报。</w:t>
      </w:r>
    </w:p>
    <w:p w14:paraId="7B6A2269">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三、坚决做到不提供虚假资质文件和虚假材料谋取中标。</w:t>
      </w:r>
    </w:p>
    <w:p w14:paraId="11D81254">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四、不采取不正当手段诋毁、排挤其他投标人，与其他投标人保持公平的竞争关系。</w:t>
      </w:r>
    </w:p>
    <w:p w14:paraId="5F284AB6">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五、不与采购单位、集中采购机构和政府采购评审专家串通，自觉维护政府采购公平竞争的市场秩序。</w:t>
      </w:r>
    </w:p>
    <w:p w14:paraId="1A32EA17">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六、不与其他投标人串通采取围标、陪标等商业欺诈手段谋取中标，积极维护国家利益、社会公共利益和采购单位的合法权益。</w:t>
      </w:r>
    </w:p>
    <w:p w14:paraId="4DBDADB2">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七、严格履行政府采购合同约定的责任和义务，保质保量地完成采购合同规定的任务，准确兑现售后服务承诺。</w:t>
      </w:r>
    </w:p>
    <w:p w14:paraId="26FECE48">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八、自觉接受并积极配合财政部门和纪检监察机关依法实施的监督检查，如实反映情况，及时提供有关证明材料。</w:t>
      </w:r>
    </w:p>
    <w:p w14:paraId="455A7DBA">
      <w:pPr>
        <w:pStyle w:val="2"/>
        <w:rPr>
          <w:rFonts w:hint="eastAsia" w:ascii="仿宋" w:hAnsi="仿宋" w:eastAsia="仿宋" w:cs="仿宋"/>
          <w:color w:val="auto"/>
          <w:sz w:val="21"/>
          <w:szCs w:val="21"/>
        </w:rPr>
      </w:pPr>
    </w:p>
    <w:p w14:paraId="0E8D1F39">
      <w:pPr>
        <w:pStyle w:val="3"/>
        <w:rPr>
          <w:rFonts w:hint="eastAsia" w:ascii="仿宋" w:hAnsi="仿宋" w:eastAsia="仿宋" w:cs="仿宋"/>
          <w:color w:val="auto"/>
          <w:sz w:val="21"/>
          <w:szCs w:val="21"/>
        </w:rPr>
      </w:pPr>
    </w:p>
    <w:p w14:paraId="17E2A430">
      <w:pPr>
        <w:pStyle w:val="3"/>
        <w:rPr>
          <w:rFonts w:hint="eastAsia" w:ascii="仿宋" w:hAnsi="仿宋" w:eastAsia="仿宋" w:cs="仿宋"/>
          <w:color w:val="auto"/>
          <w:sz w:val="21"/>
          <w:szCs w:val="21"/>
        </w:rPr>
      </w:pPr>
    </w:p>
    <w:p w14:paraId="298FCBF9">
      <w:pPr>
        <w:spacing w:line="360" w:lineRule="auto"/>
        <w:ind w:firstLine="2625" w:firstLineChars="1250"/>
        <w:rPr>
          <w:rFonts w:hint="eastAsia" w:ascii="仿宋" w:hAnsi="仿宋" w:eastAsia="仿宋" w:cs="仿宋"/>
          <w:color w:val="auto"/>
          <w:sz w:val="21"/>
          <w:szCs w:val="21"/>
        </w:rPr>
      </w:pPr>
      <w:r>
        <w:rPr>
          <w:rFonts w:hint="eastAsia" w:ascii="仿宋" w:hAnsi="仿宋" w:eastAsia="仿宋" w:cs="仿宋"/>
          <w:color w:val="auto"/>
          <w:sz w:val="21"/>
          <w:szCs w:val="21"/>
        </w:rPr>
        <w:t xml:space="preserve">  投标单位全称：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5259B24D">
      <w:pPr>
        <w:spacing w:line="360" w:lineRule="auto"/>
        <w:ind w:firstLine="4305" w:firstLineChars="2050"/>
        <w:rPr>
          <w:rFonts w:hint="eastAsia" w:ascii="仿宋" w:hAnsi="仿宋" w:eastAsia="仿宋" w:cs="仿宋"/>
          <w:color w:val="auto"/>
          <w:sz w:val="21"/>
          <w:szCs w:val="21"/>
        </w:rPr>
      </w:pPr>
      <w:r>
        <w:rPr>
          <w:rFonts w:hint="eastAsia" w:ascii="仿宋" w:hAnsi="仿宋" w:eastAsia="仿宋" w:cs="仿宋"/>
          <w:color w:val="auto"/>
          <w:sz w:val="21"/>
          <w:szCs w:val="21"/>
        </w:rPr>
        <w:t>（加盖单位公章）</w:t>
      </w:r>
    </w:p>
    <w:p w14:paraId="7ACF9BFD">
      <w:pPr>
        <w:spacing w:line="360" w:lineRule="auto"/>
        <w:ind w:firstLine="2835" w:firstLineChars="1350"/>
        <w:rPr>
          <w:rFonts w:hint="eastAsia" w:ascii="仿宋" w:hAnsi="仿宋" w:eastAsia="仿宋" w:cs="仿宋"/>
          <w:color w:val="auto"/>
          <w:sz w:val="21"/>
          <w:szCs w:val="21"/>
        </w:rPr>
      </w:pPr>
      <w:r>
        <w:rPr>
          <w:rFonts w:hint="eastAsia" w:ascii="仿宋" w:hAnsi="仿宋" w:eastAsia="仿宋" w:cs="仿宋"/>
          <w:color w:val="auto"/>
          <w:sz w:val="21"/>
          <w:szCs w:val="21"/>
        </w:rPr>
        <w:t>签署日期：      年     月     日</w:t>
      </w:r>
    </w:p>
    <w:p w14:paraId="625E675C">
      <w:pPr>
        <w:spacing w:line="360" w:lineRule="auto"/>
        <w:ind w:firstLine="3780" w:firstLineChars="1350"/>
        <w:rPr>
          <w:rFonts w:hint="eastAsia" w:ascii="宋体" w:hAnsi="宋体"/>
          <w:color w:val="auto"/>
          <w:sz w:val="28"/>
          <w:szCs w:val="28"/>
        </w:rPr>
      </w:pPr>
    </w:p>
    <w:p w14:paraId="7BBA75FB">
      <w:pPr>
        <w:pageBreakBefore w:val="0"/>
        <w:kinsoku/>
        <w:topLinePunct w:val="0"/>
        <w:bidi w:val="0"/>
        <w:spacing w:before="42" w:line="232" w:lineRule="auto"/>
        <w:jc w:val="center"/>
        <w:outlineLvl w:val="3"/>
        <w:rPr>
          <w:rFonts w:ascii="仿宋" w:hAnsi="仿宋" w:eastAsia="仿宋" w:cs="仿宋"/>
          <w:b/>
          <w:bCs/>
          <w:spacing w:val="2"/>
          <w:sz w:val="24"/>
          <w:szCs w:val="24"/>
        </w:rPr>
      </w:pPr>
    </w:p>
    <w:p w14:paraId="37B7E579">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389810CA">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710C3175">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466CFEE7">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7E81FCB6">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3DA02CAF">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46CF9F23">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6C081D09">
      <w:pPr>
        <w:pageBreakBefore w:val="0"/>
        <w:kinsoku/>
        <w:topLinePunct w:val="0"/>
        <w:bidi w:val="0"/>
        <w:spacing w:before="42" w:line="232" w:lineRule="auto"/>
        <w:jc w:val="center"/>
        <w:outlineLvl w:val="3"/>
        <w:rPr>
          <w:rFonts w:hint="eastAsia" w:ascii="仿宋" w:hAnsi="仿宋" w:eastAsia="仿宋" w:cs="仿宋"/>
          <w:b/>
          <w:bCs/>
          <w:spacing w:val="2"/>
          <w:sz w:val="24"/>
          <w:szCs w:val="24"/>
          <w:lang w:val="en-US" w:eastAsia="zh-CN"/>
        </w:rPr>
      </w:pPr>
    </w:p>
    <w:p w14:paraId="2C95F527">
      <w:pPr>
        <w:pageBreakBefore w:val="0"/>
        <w:kinsoku/>
        <w:topLinePunct w:val="0"/>
        <w:bidi w:val="0"/>
        <w:spacing w:before="42" w:line="232" w:lineRule="auto"/>
        <w:jc w:val="center"/>
        <w:outlineLvl w:val="3"/>
        <w:rPr>
          <w:rFonts w:ascii="仿宋" w:hAnsi="仿宋" w:eastAsia="仿宋" w:cs="仿宋"/>
          <w:sz w:val="24"/>
          <w:szCs w:val="24"/>
        </w:rPr>
      </w:pPr>
      <w:r>
        <w:rPr>
          <w:rFonts w:hint="eastAsia" w:ascii="仿宋" w:hAnsi="仿宋" w:eastAsia="仿宋" w:cs="仿宋"/>
          <w:b/>
          <w:bCs/>
          <w:spacing w:val="2"/>
          <w:sz w:val="24"/>
          <w:szCs w:val="24"/>
          <w:lang w:val="en-US" w:eastAsia="zh-CN"/>
        </w:rPr>
        <w:t>13.</w:t>
      </w:r>
      <w:r>
        <w:rPr>
          <w:rFonts w:ascii="仿宋" w:hAnsi="仿宋" w:eastAsia="仿宋" w:cs="仿宋"/>
          <w:b/>
          <w:bCs/>
          <w:spacing w:val="2"/>
          <w:sz w:val="24"/>
          <w:szCs w:val="24"/>
        </w:rPr>
        <w:t>声明函</w:t>
      </w:r>
    </w:p>
    <w:p w14:paraId="7C51469D">
      <w:pPr>
        <w:pStyle w:val="5"/>
        <w:pageBreakBefore w:val="0"/>
        <w:kinsoku/>
        <w:topLinePunct w:val="0"/>
        <w:bidi w:val="0"/>
        <w:spacing w:line="388" w:lineRule="auto"/>
      </w:pPr>
    </w:p>
    <w:p w14:paraId="789088E6">
      <w:pPr>
        <w:spacing w:line="222" w:lineRule="auto"/>
        <w:jc w:val="center"/>
        <w:rPr>
          <w:rFonts w:hint="eastAsia" w:ascii="仿宋" w:hAnsi="仿宋" w:eastAsia="仿宋" w:cs="仿宋"/>
          <w:sz w:val="24"/>
          <w:szCs w:val="24"/>
          <w:lang w:eastAsia="zh-CN"/>
        </w:rPr>
      </w:pPr>
      <w:r>
        <w:rPr>
          <w:rFonts w:ascii="仿宋" w:hAnsi="仿宋" w:eastAsia="仿宋" w:cs="仿宋"/>
          <w:spacing w:val="-3"/>
          <w:sz w:val="24"/>
          <w:szCs w:val="24"/>
        </w:rPr>
        <w:t>（一）中小企业声明函</w:t>
      </w:r>
      <w:r>
        <w:rPr>
          <w:rFonts w:hint="eastAsia" w:ascii="仿宋" w:hAnsi="仿宋" w:eastAsia="仿宋" w:cs="仿宋"/>
          <w:spacing w:val="-3"/>
          <w:sz w:val="24"/>
          <w:szCs w:val="24"/>
          <w:lang w:eastAsia="zh-CN"/>
        </w:rPr>
        <w:t>（服务、工程）</w:t>
      </w:r>
    </w:p>
    <w:p w14:paraId="4E8F8CDC">
      <w:pPr>
        <w:pStyle w:val="5"/>
        <w:spacing w:line="243" w:lineRule="auto"/>
      </w:pPr>
    </w:p>
    <w:p w14:paraId="4C96DCA9">
      <w:pPr>
        <w:pStyle w:val="5"/>
        <w:spacing w:line="244" w:lineRule="auto"/>
      </w:pPr>
    </w:p>
    <w:p w14:paraId="7A044DA6">
      <w:pPr>
        <w:spacing w:before="65" w:line="543" w:lineRule="auto"/>
        <w:ind w:left="15" w:firstLine="444"/>
      </w:pPr>
      <w:r>
        <w:rPr>
          <w:rFonts w:ascii="仿宋" w:hAnsi="仿宋" w:eastAsia="仿宋" w:cs="仿宋"/>
          <w:spacing w:val="16"/>
          <w:sz w:val="20"/>
          <w:szCs w:val="20"/>
        </w:rPr>
        <w:t>本公司（联合体）</w:t>
      </w:r>
      <w:r>
        <w:rPr>
          <w:rFonts w:ascii="仿宋" w:hAnsi="仿宋" w:eastAsia="仿宋" w:cs="仿宋"/>
          <w:spacing w:val="-50"/>
          <w:sz w:val="20"/>
          <w:szCs w:val="20"/>
        </w:rPr>
        <w:t xml:space="preserve"> </w:t>
      </w:r>
      <w:r>
        <w:rPr>
          <w:rFonts w:ascii="仿宋" w:hAnsi="仿宋" w:eastAsia="仿宋" w:cs="仿宋"/>
          <w:spacing w:val="16"/>
          <w:sz w:val="20"/>
          <w:szCs w:val="20"/>
        </w:rPr>
        <w:t>郑重声明</w:t>
      </w:r>
      <w:r>
        <w:rPr>
          <w:rFonts w:ascii="仿宋" w:hAnsi="仿宋" w:eastAsia="仿宋" w:cs="仿宋"/>
          <w:spacing w:val="-57"/>
          <w:sz w:val="20"/>
          <w:szCs w:val="20"/>
        </w:rPr>
        <w:t xml:space="preserve"> </w:t>
      </w:r>
      <w:r>
        <w:rPr>
          <w:rFonts w:ascii="仿宋" w:hAnsi="仿宋" w:eastAsia="仿宋" w:cs="仿宋"/>
          <w:spacing w:val="16"/>
          <w:sz w:val="20"/>
          <w:szCs w:val="20"/>
        </w:rPr>
        <w:t>，根据《政府采购促进中</w:t>
      </w:r>
      <w:r>
        <w:rPr>
          <w:rFonts w:ascii="仿宋" w:hAnsi="仿宋" w:eastAsia="仿宋" w:cs="仿宋"/>
          <w:spacing w:val="15"/>
          <w:sz w:val="20"/>
          <w:szCs w:val="20"/>
        </w:rPr>
        <w:t>小企业发展管理办法》（财库[2020]46</w:t>
      </w:r>
      <w:r>
        <w:rPr>
          <w:rFonts w:ascii="仿宋" w:hAnsi="仿宋" w:eastAsia="仿宋" w:cs="仿宋"/>
          <w:spacing w:val="-15"/>
          <w:sz w:val="20"/>
          <w:szCs w:val="20"/>
        </w:rPr>
        <w:t xml:space="preserve"> </w:t>
      </w:r>
      <w:r>
        <w:rPr>
          <w:rFonts w:ascii="仿宋" w:hAnsi="仿宋" w:eastAsia="仿宋" w:cs="仿宋"/>
          <w:spacing w:val="15"/>
          <w:sz w:val="20"/>
          <w:szCs w:val="20"/>
        </w:rPr>
        <w:t>号）的规定，本公司（联合体）参加</w:t>
      </w:r>
      <w:r>
        <w:rPr>
          <w:rFonts w:ascii="仿宋" w:hAnsi="仿宋" w:eastAsia="仿宋" w:cs="仿宋"/>
          <w:spacing w:val="15"/>
          <w:sz w:val="20"/>
          <w:szCs w:val="20"/>
          <w:u w:val="single" w:color="auto"/>
        </w:rPr>
        <w:t>（单位名称）</w:t>
      </w:r>
      <w:r>
        <w:rPr>
          <w:rFonts w:ascii="仿宋" w:hAnsi="仿宋" w:eastAsia="仿宋" w:cs="仿宋"/>
          <w:spacing w:val="15"/>
          <w:sz w:val="20"/>
          <w:szCs w:val="20"/>
        </w:rPr>
        <w:t>的</w:t>
      </w:r>
      <w:r>
        <w:rPr>
          <w:rFonts w:ascii="仿宋" w:hAnsi="仿宋" w:eastAsia="仿宋" w:cs="仿宋"/>
          <w:spacing w:val="15"/>
          <w:sz w:val="20"/>
          <w:szCs w:val="20"/>
          <w:u w:val="single" w:color="auto"/>
        </w:rPr>
        <w:t>（项目名称）</w:t>
      </w:r>
      <w:r>
        <w:rPr>
          <w:rFonts w:ascii="仿宋" w:hAnsi="仿宋" w:eastAsia="仿宋" w:cs="仿宋"/>
          <w:spacing w:val="15"/>
          <w:sz w:val="20"/>
          <w:szCs w:val="20"/>
        </w:rPr>
        <w:t>采购活动</w:t>
      </w:r>
      <w:r>
        <w:rPr>
          <w:rFonts w:ascii="仿宋" w:hAnsi="仿宋" w:eastAsia="仿宋" w:cs="仿宋"/>
          <w:spacing w:val="-57"/>
          <w:sz w:val="20"/>
          <w:szCs w:val="20"/>
        </w:rPr>
        <w:t xml:space="preserve"> </w:t>
      </w:r>
      <w:r>
        <w:rPr>
          <w:rFonts w:ascii="仿宋" w:hAnsi="仿宋" w:eastAsia="仿宋" w:cs="仿宋"/>
          <w:spacing w:val="15"/>
          <w:sz w:val="20"/>
          <w:szCs w:val="20"/>
        </w:rPr>
        <w:t>，工程的施工单位全部为符合</w:t>
      </w:r>
      <w:r>
        <w:rPr>
          <w:rFonts w:ascii="仿宋" w:hAnsi="仿宋" w:eastAsia="仿宋" w:cs="仿宋"/>
          <w:sz w:val="20"/>
          <w:szCs w:val="20"/>
        </w:rPr>
        <w:t xml:space="preserve"> </w:t>
      </w:r>
      <w:r>
        <w:rPr>
          <w:rFonts w:ascii="仿宋" w:hAnsi="仿宋" w:eastAsia="仿宋" w:cs="仿宋"/>
          <w:spacing w:val="18"/>
          <w:sz w:val="20"/>
          <w:szCs w:val="20"/>
        </w:rPr>
        <w:t>政策要求的中小企业（或者：服务全部由符合政策要求的中小企业承接）。相关企业（含联合体中的</w:t>
      </w:r>
      <w:r>
        <w:rPr>
          <w:rFonts w:ascii="仿宋" w:hAnsi="仿宋" w:eastAsia="仿宋" w:cs="仿宋"/>
          <w:spacing w:val="15"/>
          <w:sz w:val="20"/>
          <w:szCs w:val="20"/>
        </w:rPr>
        <w:t>中小企业</w:t>
      </w:r>
      <w:r>
        <w:rPr>
          <w:rFonts w:ascii="仿宋" w:hAnsi="仿宋" w:eastAsia="仿宋" w:cs="仿宋"/>
          <w:spacing w:val="-51"/>
          <w:sz w:val="20"/>
          <w:szCs w:val="20"/>
        </w:rPr>
        <w:t xml:space="preserve"> </w:t>
      </w:r>
      <w:r>
        <w:rPr>
          <w:rFonts w:ascii="仿宋" w:hAnsi="仿宋" w:eastAsia="仿宋" w:cs="仿宋"/>
          <w:spacing w:val="15"/>
          <w:sz w:val="20"/>
          <w:szCs w:val="20"/>
        </w:rPr>
        <w:t>、签订分包意向协议的中小企业）的具体情况如下：</w:t>
      </w:r>
    </w:p>
    <w:p w14:paraId="530599BC">
      <w:pPr>
        <w:spacing w:before="65" w:line="543" w:lineRule="auto"/>
        <w:ind w:right="47"/>
        <w:jc w:val="left"/>
        <w:rPr>
          <w:rFonts w:ascii="仿宋" w:hAnsi="仿宋" w:eastAsia="仿宋" w:cs="仿宋"/>
          <w:sz w:val="20"/>
          <w:szCs w:val="20"/>
        </w:rPr>
      </w:pPr>
      <w:r>
        <w:rPr>
          <w:rFonts w:ascii="仿宋" w:hAnsi="仿宋" w:eastAsia="仿宋" w:cs="仿宋"/>
          <w:spacing w:val="17"/>
          <w:sz w:val="20"/>
          <w:szCs w:val="20"/>
        </w:rPr>
        <w:t>1.</w:t>
      </w:r>
      <w:r>
        <w:rPr>
          <w:rFonts w:ascii="仿宋" w:hAnsi="仿宋" w:eastAsia="仿宋" w:cs="仿宋"/>
          <w:spacing w:val="17"/>
          <w:sz w:val="20"/>
          <w:szCs w:val="20"/>
          <w:u w:val="single" w:color="auto"/>
        </w:rPr>
        <w:t>（标的名称</w:t>
      </w:r>
      <w:r>
        <w:rPr>
          <w:rFonts w:ascii="仿宋" w:hAnsi="仿宋" w:eastAsia="仿宋" w:cs="仿宋"/>
          <w:spacing w:val="3"/>
          <w:sz w:val="20"/>
          <w:szCs w:val="20"/>
          <w:u w:val="single" w:color="auto"/>
        </w:rPr>
        <w:t>）</w:t>
      </w:r>
      <w:r>
        <w:rPr>
          <w:rFonts w:ascii="仿宋" w:hAnsi="仿宋" w:eastAsia="仿宋" w:cs="仿宋"/>
          <w:spacing w:val="3"/>
          <w:sz w:val="20"/>
          <w:szCs w:val="20"/>
        </w:rPr>
        <w:t>，</w:t>
      </w:r>
      <w:r>
        <w:rPr>
          <w:rFonts w:ascii="仿宋" w:hAnsi="仿宋" w:eastAsia="仿宋" w:cs="仿宋"/>
          <w:spacing w:val="17"/>
          <w:sz w:val="20"/>
          <w:szCs w:val="20"/>
        </w:rPr>
        <w:t>属于</w:t>
      </w:r>
      <w:r>
        <w:rPr>
          <w:rFonts w:ascii="仿宋" w:hAnsi="仿宋" w:eastAsia="仿宋" w:cs="仿宋"/>
          <w:spacing w:val="17"/>
          <w:sz w:val="20"/>
          <w:szCs w:val="20"/>
          <w:u w:val="single" w:color="auto"/>
        </w:rPr>
        <w:t>（采购文件中明确的所属行业</w:t>
      </w:r>
      <w:r>
        <w:rPr>
          <w:rFonts w:ascii="仿宋" w:hAnsi="仿宋" w:eastAsia="仿宋" w:cs="仿宋"/>
          <w:spacing w:val="3"/>
          <w:sz w:val="20"/>
          <w:szCs w:val="20"/>
          <w:u w:val="single" w:color="auto"/>
        </w:rPr>
        <w:t>）</w:t>
      </w:r>
      <w:r>
        <w:rPr>
          <w:rFonts w:ascii="仿宋" w:hAnsi="仿宋" w:eastAsia="仿宋" w:cs="仿宋"/>
          <w:spacing w:val="-39"/>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7"/>
          <w:sz w:val="20"/>
          <w:szCs w:val="20"/>
        </w:rPr>
        <w:t>承建（</w:t>
      </w:r>
      <w:r>
        <w:rPr>
          <w:rFonts w:ascii="仿宋" w:hAnsi="仿宋" w:eastAsia="仿宋" w:cs="仿宋"/>
          <w:spacing w:val="16"/>
          <w:sz w:val="20"/>
          <w:szCs w:val="20"/>
        </w:rPr>
        <w:t>承接）</w:t>
      </w:r>
      <w:r>
        <w:rPr>
          <w:rFonts w:ascii="仿宋" w:hAnsi="仿宋" w:eastAsia="仿宋" w:cs="仿宋"/>
          <w:spacing w:val="-50"/>
          <w:sz w:val="20"/>
          <w:szCs w:val="20"/>
        </w:rPr>
        <w:t xml:space="preserve"> </w:t>
      </w:r>
      <w:r>
        <w:rPr>
          <w:rFonts w:ascii="仿宋" w:hAnsi="仿宋" w:eastAsia="仿宋" w:cs="仿宋"/>
          <w:spacing w:val="16"/>
          <w:sz w:val="20"/>
          <w:szCs w:val="20"/>
        </w:rPr>
        <w:t>企业为</w:t>
      </w:r>
      <w:r>
        <w:rPr>
          <w:rFonts w:ascii="仿宋" w:hAnsi="仿宋" w:eastAsia="仿宋" w:cs="仿宋"/>
          <w:spacing w:val="16"/>
          <w:sz w:val="20"/>
          <w:szCs w:val="20"/>
          <w:u w:val="single" w:color="auto"/>
        </w:rPr>
        <w:t>（企业名称</w:t>
      </w:r>
      <w:r>
        <w:rPr>
          <w:rFonts w:ascii="仿宋" w:hAnsi="仿宋" w:eastAsia="仿宋" w:cs="仿宋"/>
          <w:spacing w:val="3"/>
          <w:sz w:val="20"/>
          <w:szCs w:val="20"/>
          <w:u w:val="single" w:color="auto"/>
        </w:rPr>
        <w:t>）</w:t>
      </w:r>
      <w:r>
        <w:rPr>
          <w:rFonts w:ascii="仿宋" w:hAnsi="仿宋" w:eastAsia="仿宋" w:cs="仿宋"/>
          <w:spacing w:val="3"/>
          <w:sz w:val="20"/>
          <w:szCs w:val="20"/>
        </w:rPr>
        <w:t>，</w:t>
      </w:r>
      <w:r>
        <w:rPr>
          <w:rFonts w:ascii="仿宋" w:hAnsi="仿宋" w:eastAsia="仿宋" w:cs="仿宋"/>
          <w:spacing w:val="16"/>
          <w:sz w:val="20"/>
          <w:szCs w:val="20"/>
        </w:rPr>
        <w:t>从</w:t>
      </w:r>
      <w:r>
        <w:rPr>
          <w:rFonts w:ascii="仿宋" w:hAnsi="仿宋" w:eastAsia="仿宋" w:cs="仿宋"/>
          <w:spacing w:val="11"/>
          <w:sz w:val="20"/>
          <w:szCs w:val="20"/>
        </w:rPr>
        <w:t>业人员</w:t>
      </w:r>
      <w:r>
        <w:rPr>
          <w:rFonts w:ascii="仿宋" w:hAnsi="仿宋" w:eastAsia="仿宋" w:cs="仿宋"/>
          <w:spacing w:val="-88"/>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81"/>
          <w:sz w:val="20"/>
          <w:szCs w:val="20"/>
        </w:rPr>
        <w:t xml:space="preserve"> </w:t>
      </w:r>
      <w:r>
        <w:rPr>
          <w:rFonts w:hint="eastAsia" w:ascii="仿宋" w:hAnsi="仿宋" w:eastAsia="仿宋" w:cs="仿宋"/>
          <w:spacing w:val="17"/>
          <w:sz w:val="20"/>
          <w:szCs w:val="20"/>
          <w:lang w:eastAsia="zh-CN"/>
        </w:rPr>
        <w:t>人数</w:t>
      </w:r>
      <w:r>
        <w:rPr>
          <w:rFonts w:ascii="仿宋" w:hAnsi="仿宋" w:eastAsia="仿宋" w:cs="仿宋"/>
          <w:spacing w:val="17"/>
          <w:sz w:val="20"/>
          <w:szCs w:val="20"/>
        </w:rPr>
        <w:t xml:space="preserve"> </w:t>
      </w:r>
      <w:r>
        <w:rPr>
          <w:rFonts w:ascii="仿宋" w:hAnsi="仿宋" w:eastAsia="仿宋" w:cs="仿宋"/>
          <w:spacing w:val="11"/>
          <w:sz w:val="20"/>
          <w:szCs w:val="20"/>
        </w:rPr>
        <w:t>，</w:t>
      </w:r>
      <w:r>
        <w:rPr>
          <w:rFonts w:ascii="仿宋" w:hAnsi="仿宋" w:eastAsia="仿宋" w:cs="仿宋"/>
          <w:spacing w:val="-60"/>
          <w:sz w:val="20"/>
          <w:szCs w:val="20"/>
        </w:rPr>
        <w:t xml:space="preserve"> </w:t>
      </w:r>
      <w:r>
        <w:rPr>
          <w:rFonts w:ascii="仿宋" w:hAnsi="仿宋" w:eastAsia="仿宋" w:cs="仿宋"/>
          <w:spacing w:val="11"/>
          <w:sz w:val="20"/>
          <w:szCs w:val="20"/>
        </w:rPr>
        <w:t>营业收入为</w:t>
      </w:r>
      <w:r>
        <w:rPr>
          <w:rFonts w:ascii="仿宋" w:hAnsi="仿宋" w:eastAsia="仿宋" w:cs="仿宋"/>
          <w:spacing w:val="-88"/>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7"/>
          <w:sz w:val="20"/>
          <w:szCs w:val="20"/>
        </w:rPr>
        <w:t xml:space="preserve"> </w:t>
      </w:r>
      <w:r>
        <w:rPr>
          <w:rFonts w:ascii="仿宋" w:hAnsi="仿宋" w:eastAsia="仿宋" w:cs="仿宋"/>
          <w:spacing w:val="11"/>
          <w:sz w:val="20"/>
          <w:szCs w:val="20"/>
        </w:rPr>
        <w:t>，</w:t>
      </w:r>
      <w:r>
        <w:rPr>
          <w:rFonts w:ascii="仿宋" w:hAnsi="仿宋" w:eastAsia="仿宋" w:cs="仿宋"/>
          <w:spacing w:val="-58"/>
          <w:sz w:val="20"/>
          <w:szCs w:val="20"/>
        </w:rPr>
        <w:t xml:space="preserve"> </w:t>
      </w:r>
      <w:r>
        <w:rPr>
          <w:rFonts w:ascii="仿宋" w:hAnsi="仿宋" w:eastAsia="仿宋" w:cs="仿宋"/>
          <w:spacing w:val="11"/>
          <w:sz w:val="20"/>
          <w:szCs w:val="20"/>
        </w:rPr>
        <w:t>资产总额为</w:t>
      </w:r>
      <w:r>
        <w:rPr>
          <w:rFonts w:ascii="仿宋" w:hAnsi="仿宋" w:eastAsia="仿宋" w:cs="仿宋"/>
          <w:spacing w:val="-86"/>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7"/>
          <w:sz w:val="20"/>
          <w:szCs w:val="20"/>
        </w:rPr>
        <w:t xml:space="preserve"> </w:t>
      </w:r>
      <w:r>
        <w:rPr>
          <w:rFonts w:ascii="仿宋" w:hAnsi="仿宋" w:eastAsia="仿宋" w:cs="仿宋"/>
          <w:spacing w:val="11"/>
          <w:sz w:val="20"/>
          <w:szCs w:val="20"/>
        </w:rPr>
        <w:t>，属于（中型企业</w:t>
      </w:r>
      <w:r>
        <w:rPr>
          <w:rFonts w:ascii="仿宋" w:hAnsi="仿宋" w:eastAsia="仿宋" w:cs="仿宋"/>
          <w:spacing w:val="-57"/>
          <w:sz w:val="20"/>
          <w:szCs w:val="20"/>
        </w:rPr>
        <w:t xml:space="preserve"> </w:t>
      </w:r>
      <w:r>
        <w:rPr>
          <w:rFonts w:ascii="仿宋" w:hAnsi="仿宋" w:eastAsia="仿宋" w:cs="仿宋"/>
          <w:spacing w:val="11"/>
          <w:sz w:val="20"/>
          <w:szCs w:val="20"/>
        </w:rPr>
        <w:t>、小型企业</w:t>
      </w:r>
      <w:r>
        <w:rPr>
          <w:rFonts w:ascii="仿宋" w:hAnsi="仿宋" w:eastAsia="仿宋" w:cs="仿宋"/>
          <w:spacing w:val="-59"/>
          <w:sz w:val="20"/>
          <w:szCs w:val="20"/>
        </w:rPr>
        <w:t xml:space="preserve"> </w:t>
      </w:r>
      <w:r>
        <w:rPr>
          <w:rFonts w:ascii="仿宋" w:hAnsi="仿宋" w:eastAsia="仿宋" w:cs="仿宋"/>
          <w:spacing w:val="11"/>
          <w:sz w:val="20"/>
          <w:szCs w:val="20"/>
        </w:rPr>
        <w:t>、微型企业</w:t>
      </w:r>
      <w:r>
        <w:rPr>
          <w:rFonts w:ascii="仿宋" w:hAnsi="仿宋" w:eastAsia="仿宋" w:cs="仿宋"/>
          <w:spacing w:val="21"/>
          <w:sz w:val="20"/>
          <w:szCs w:val="20"/>
        </w:rPr>
        <w:t>）；</w:t>
      </w:r>
    </w:p>
    <w:p w14:paraId="4122B634">
      <w:pPr>
        <w:spacing w:before="65" w:line="543" w:lineRule="auto"/>
        <w:ind w:right="61"/>
        <w:jc w:val="left"/>
        <w:rPr>
          <w:rFonts w:ascii="仿宋" w:hAnsi="仿宋" w:eastAsia="仿宋" w:cs="仿宋"/>
          <w:sz w:val="20"/>
          <w:szCs w:val="20"/>
        </w:rPr>
      </w:pPr>
      <w:r>
        <w:rPr>
          <w:rFonts w:ascii="仿宋" w:hAnsi="仿宋" w:eastAsia="仿宋" w:cs="仿宋"/>
          <w:spacing w:val="20"/>
          <w:sz w:val="20"/>
          <w:szCs w:val="20"/>
        </w:rPr>
        <w:t xml:space="preserve">2. </w:t>
      </w:r>
      <w:r>
        <w:rPr>
          <w:rFonts w:ascii="仿宋" w:hAnsi="仿宋" w:eastAsia="仿宋" w:cs="仿宋"/>
          <w:spacing w:val="20"/>
          <w:sz w:val="20"/>
          <w:szCs w:val="20"/>
          <w:u w:val="single" w:color="auto"/>
        </w:rPr>
        <w:t>（标的名称</w:t>
      </w:r>
      <w:r>
        <w:rPr>
          <w:rFonts w:ascii="仿宋" w:hAnsi="仿宋" w:eastAsia="仿宋" w:cs="仿宋"/>
          <w:spacing w:val="9"/>
          <w:sz w:val="20"/>
          <w:szCs w:val="20"/>
          <w:u w:val="single" w:color="auto"/>
        </w:rPr>
        <w:t>）</w:t>
      </w:r>
      <w:r>
        <w:rPr>
          <w:rFonts w:ascii="仿宋" w:hAnsi="仿宋" w:eastAsia="仿宋" w:cs="仿宋"/>
          <w:spacing w:val="9"/>
          <w:sz w:val="20"/>
          <w:szCs w:val="20"/>
        </w:rPr>
        <w:t>，</w:t>
      </w:r>
      <w:r>
        <w:rPr>
          <w:rFonts w:ascii="仿宋" w:hAnsi="仿宋" w:eastAsia="仿宋" w:cs="仿宋"/>
          <w:spacing w:val="20"/>
          <w:sz w:val="20"/>
          <w:szCs w:val="20"/>
        </w:rPr>
        <w:t>属于</w:t>
      </w:r>
      <w:r>
        <w:rPr>
          <w:rFonts w:ascii="仿宋" w:hAnsi="仿宋" w:eastAsia="仿宋" w:cs="仿宋"/>
          <w:spacing w:val="20"/>
          <w:sz w:val="20"/>
          <w:szCs w:val="20"/>
          <w:u w:val="single" w:color="auto"/>
        </w:rPr>
        <w:t>（采购文件中明确的所属行业</w:t>
      </w:r>
      <w:r>
        <w:rPr>
          <w:rFonts w:ascii="仿宋" w:hAnsi="仿宋" w:eastAsia="仿宋" w:cs="仿宋"/>
          <w:spacing w:val="9"/>
          <w:sz w:val="20"/>
          <w:szCs w:val="20"/>
        </w:rPr>
        <w:t>）；</w:t>
      </w:r>
      <w:r>
        <w:rPr>
          <w:rFonts w:ascii="仿宋" w:hAnsi="仿宋" w:eastAsia="仿宋" w:cs="仿宋"/>
          <w:spacing w:val="20"/>
          <w:sz w:val="20"/>
          <w:szCs w:val="20"/>
        </w:rPr>
        <w:t>承建（承接）</w:t>
      </w:r>
      <w:r>
        <w:rPr>
          <w:rFonts w:ascii="仿宋" w:hAnsi="仿宋" w:eastAsia="仿宋" w:cs="仿宋"/>
          <w:spacing w:val="19"/>
          <w:sz w:val="20"/>
          <w:szCs w:val="20"/>
        </w:rPr>
        <w:t>企业为</w:t>
      </w:r>
      <w:r>
        <w:rPr>
          <w:rFonts w:ascii="仿宋" w:hAnsi="仿宋" w:eastAsia="仿宋" w:cs="仿宋"/>
          <w:spacing w:val="19"/>
          <w:sz w:val="20"/>
          <w:szCs w:val="20"/>
          <w:u w:val="single" w:color="auto"/>
        </w:rPr>
        <w:t>（企业名称</w:t>
      </w:r>
      <w:r>
        <w:rPr>
          <w:rFonts w:ascii="仿宋" w:hAnsi="仿宋" w:eastAsia="仿宋" w:cs="仿宋"/>
          <w:spacing w:val="9"/>
          <w:sz w:val="20"/>
          <w:szCs w:val="20"/>
          <w:u w:val="single" w:color="auto"/>
        </w:rPr>
        <w:t>）</w:t>
      </w:r>
      <w:r>
        <w:rPr>
          <w:rFonts w:ascii="仿宋" w:hAnsi="仿宋" w:eastAsia="仿宋" w:cs="仿宋"/>
          <w:spacing w:val="9"/>
          <w:sz w:val="20"/>
          <w:szCs w:val="20"/>
        </w:rPr>
        <w:t>，</w:t>
      </w:r>
      <w:r>
        <w:rPr>
          <w:rFonts w:ascii="仿宋" w:hAnsi="仿宋" w:eastAsia="仿宋" w:cs="仿宋"/>
          <w:spacing w:val="11"/>
          <w:sz w:val="20"/>
          <w:szCs w:val="20"/>
        </w:rPr>
        <w:t>从业人员</w:t>
      </w:r>
      <w:r>
        <w:rPr>
          <w:rFonts w:ascii="仿宋" w:hAnsi="仿宋" w:eastAsia="仿宋" w:cs="仿宋"/>
          <w:spacing w:val="-85"/>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2"/>
          <w:sz w:val="20"/>
          <w:szCs w:val="20"/>
        </w:rPr>
        <w:t xml:space="preserve"> </w:t>
      </w:r>
      <w:r>
        <w:rPr>
          <w:rFonts w:hint="eastAsia" w:ascii="仿宋" w:hAnsi="仿宋" w:eastAsia="仿宋" w:cs="仿宋"/>
          <w:spacing w:val="17"/>
          <w:sz w:val="20"/>
          <w:szCs w:val="20"/>
          <w:lang w:eastAsia="zh-CN"/>
        </w:rPr>
        <w:t>人数</w:t>
      </w:r>
      <w:r>
        <w:rPr>
          <w:rFonts w:ascii="仿宋" w:hAnsi="仿宋" w:eastAsia="仿宋" w:cs="仿宋"/>
          <w:spacing w:val="17"/>
          <w:sz w:val="20"/>
          <w:szCs w:val="20"/>
        </w:rPr>
        <w:t xml:space="preserve"> </w:t>
      </w:r>
      <w:r>
        <w:rPr>
          <w:rFonts w:ascii="仿宋" w:hAnsi="仿宋" w:eastAsia="仿宋" w:cs="仿宋"/>
          <w:spacing w:val="11"/>
          <w:sz w:val="20"/>
          <w:szCs w:val="20"/>
        </w:rPr>
        <w:t>，</w:t>
      </w:r>
      <w:r>
        <w:rPr>
          <w:rFonts w:ascii="仿宋" w:hAnsi="仿宋" w:eastAsia="仿宋" w:cs="仿宋"/>
          <w:spacing w:val="-60"/>
          <w:sz w:val="20"/>
          <w:szCs w:val="20"/>
        </w:rPr>
        <w:t xml:space="preserve"> </w:t>
      </w:r>
      <w:r>
        <w:rPr>
          <w:rFonts w:ascii="仿宋" w:hAnsi="仿宋" w:eastAsia="仿宋" w:cs="仿宋"/>
          <w:spacing w:val="11"/>
          <w:sz w:val="20"/>
          <w:szCs w:val="20"/>
        </w:rPr>
        <w:t>营业收入为</w:t>
      </w:r>
      <w:r>
        <w:rPr>
          <w:rFonts w:ascii="仿宋" w:hAnsi="仿宋" w:eastAsia="仿宋" w:cs="仿宋"/>
          <w:spacing w:val="-87"/>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7"/>
          <w:sz w:val="20"/>
          <w:szCs w:val="20"/>
        </w:rPr>
        <w:t xml:space="preserve"> </w:t>
      </w:r>
      <w:r>
        <w:rPr>
          <w:rFonts w:ascii="仿宋" w:hAnsi="仿宋" w:eastAsia="仿宋" w:cs="仿宋"/>
          <w:spacing w:val="11"/>
          <w:sz w:val="20"/>
          <w:szCs w:val="20"/>
        </w:rPr>
        <w:t>，</w:t>
      </w:r>
      <w:r>
        <w:rPr>
          <w:rFonts w:ascii="仿宋" w:hAnsi="仿宋" w:eastAsia="仿宋" w:cs="仿宋"/>
          <w:spacing w:val="-57"/>
          <w:sz w:val="20"/>
          <w:szCs w:val="20"/>
        </w:rPr>
        <w:t xml:space="preserve"> </w:t>
      </w:r>
      <w:r>
        <w:rPr>
          <w:rFonts w:ascii="仿宋" w:hAnsi="仿宋" w:eastAsia="仿宋" w:cs="仿宋"/>
          <w:spacing w:val="11"/>
          <w:sz w:val="20"/>
          <w:szCs w:val="20"/>
        </w:rPr>
        <w:t>资产总额为</w:t>
      </w:r>
      <w:r>
        <w:rPr>
          <w:rFonts w:ascii="仿宋" w:hAnsi="仿宋" w:eastAsia="仿宋" w:cs="仿宋"/>
          <w:spacing w:val="-86"/>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8"/>
          <w:sz w:val="20"/>
          <w:szCs w:val="20"/>
        </w:rPr>
        <w:t xml:space="preserve"> </w:t>
      </w:r>
      <w:r>
        <w:rPr>
          <w:rFonts w:ascii="仿宋" w:hAnsi="仿宋" w:eastAsia="仿宋" w:cs="仿宋"/>
          <w:spacing w:val="11"/>
          <w:sz w:val="20"/>
          <w:szCs w:val="20"/>
        </w:rPr>
        <w:t>，属于（中型企业、小型企业</w:t>
      </w:r>
      <w:r>
        <w:rPr>
          <w:rFonts w:ascii="仿宋" w:hAnsi="仿宋" w:eastAsia="仿宋" w:cs="仿宋"/>
          <w:spacing w:val="-59"/>
          <w:sz w:val="20"/>
          <w:szCs w:val="20"/>
        </w:rPr>
        <w:t xml:space="preserve"> </w:t>
      </w:r>
      <w:r>
        <w:rPr>
          <w:rFonts w:ascii="仿宋" w:hAnsi="仿宋" w:eastAsia="仿宋" w:cs="仿宋"/>
          <w:spacing w:val="11"/>
          <w:sz w:val="20"/>
          <w:szCs w:val="20"/>
        </w:rPr>
        <w:t>、微型企业</w:t>
      </w:r>
      <w:r>
        <w:rPr>
          <w:rFonts w:ascii="仿宋" w:hAnsi="仿宋" w:eastAsia="仿宋" w:cs="仿宋"/>
          <w:spacing w:val="26"/>
          <w:sz w:val="20"/>
          <w:szCs w:val="20"/>
        </w:rPr>
        <w:t>）；</w:t>
      </w:r>
    </w:p>
    <w:p w14:paraId="2FE75368">
      <w:pPr>
        <w:spacing w:before="65" w:line="328" w:lineRule="exact"/>
        <w:ind w:left="466"/>
        <w:rPr>
          <w:rFonts w:ascii="仿宋" w:hAnsi="仿宋" w:eastAsia="仿宋" w:cs="仿宋"/>
          <w:sz w:val="20"/>
          <w:szCs w:val="20"/>
        </w:rPr>
      </w:pPr>
      <w:r>
        <w:rPr>
          <w:rFonts w:ascii="仿宋" w:hAnsi="仿宋" w:eastAsia="仿宋" w:cs="仿宋"/>
          <w:spacing w:val="3"/>
          <w:position w:val="3"/>
          <w:sz w:val="20"/>
          <w:szCs w:val="20"/>
        </w:rPr>
        <w:t>……</w:t>
      </w:r>
    </w:p>
    <w:p w14:paraId="369B8A91">
      <w:pPr>
        <w:spacing w:before="260" w:line="588" w:lineRule="exact"/>
        <w:ind w:right="53"/>
        <w:jc w:val="left"/>
        <w:rPr>
          <w:rFonts w:ascii="仿宋" w:hAnsi="仿宋" w:eastAsia="仿宋" w:cs="仿宋"/>
          <w:spacing w:val="17"/>
          <w:position w:val="29"/>
          <w:sz w:val="20"/>
          <w:szCs w:val="20"/>
        </w:rPr>
      </w:pPr>
      <w:r>
        <w:rPr>
          <w:rFonts w:ascii="仿宋" w:hAnsi="仿宋" w:eastAsia="仿宋" w:cs="仿宋"/>
          <w:spacing w:val="17"/>
          <w:position w:val="29"/>
          <w:sz w:val="20"/>
          <w:szCs w:val="20"/>
        </w:rPr>
        <w:t>以上企业，不属于大企业的分支机构 ，不存在控股股东为大企业的情形，也不存在与大企业的负责人为同一人的情形。</w:t>
      </w:r>
    </w:p>
    <w:p w14:paraId="33064858">
      <w:pPr>
        <w:spacing w:before="66" w:line="229" w:lineRule="auto"/>
        <w:ind w:left="459"/>
        <w:rPr>
          <w:rFonts w:ascii="仿宋" w:hAnsi="仿宋" w:eastAsia="仿宋" w:cs="仿宋"/>
          <w:sz w:val="20"/>
          <w:szCs w:val="20"/>
        </w:rPr>
      </w:pPr>
      <w:r>
        <w:rPr>
          <w:rFonts w:ascii="仿宋" w:hAnsi="仿宋" w:eastAsia="仿宋" w:cs="仿宋"/>
          <w:spacing w:val="18"/>
          <w:sz w:val="20"/>
          <w:szCs w:val="20"/>
        </w:rPr>
        <w:t>本企业对上述声明内容的真实性负责。如有虚假，将依法</w:t>
      </w:r>
      <w:r>
        <w:rPr>
          <w:rFonts w:ascii="仿宋" w:hAnsi="仿宋" w:eastAsia="仿宋" w:cs="仿宋"/>
          <w:spacing w:val="17"/>
          <w:sz w:val="20"/>
          <w:szCs w:val="20"/>
        </w:rPr>
        <w:t>承担相应责任。</w:t>
      </w:r>
    </w:p>
    <w:p w14:paraId="3C2C19DA">
      <w:pPr>
        <w:pStyle w:val="5"/>
        <w:spacing w:line="327" w:lineRule="auto"/>
      </w:pPr>
    </w:p>
    <w:p w14:paraId="06F03B37">
      <w:pPr>
        <w:pStyle w:val="5"/>
        <w:spacing w:line="328" w:lineRule="auto"/>
      </w:pPr>
    </w:p>
    <w:p w14:paraId="60921A98">
      <w:pPr>
        <w:spacing w:before="66" w:line="226" w:lineRule="auto"/>
        <w:ind w:left="3178"/>
        <w:rPr>
          <w:rFonts w:ascii="仿宋" w:hAnsi="仿宋" w:eastAsia="仿宋" w:cs="仿宋"/>
          <w:sz w:val="20"/>
          <w:szCs w:val="20"/>
        </w:rPr>
      </w:pPr>
      <w:r>
        <w:rPr>
          <w:rFonts w:ascii="仿宋" w:hAnsi="仿宋" w:eastAsia="仿宋" w:cs="仿宋"/>
          <w:spacing w:val="7"/>
          <w:sz w:val="20"/>
          <w:szCs w:val="20"/>
        </w:rPr>
        <w:t>供应商名称（盖公章</w:t>
      </w:r>
      <w:r>
        <w:rPr>
          <w:rFonts w:ascii="仿宋" w:hAnsi="仿宋" w:eastAsia="仿宋" w:cs="仿宋"/>
          <w:spacing w:val="-6"/>
          <w:sz w:val="20"/>
          <w:szCs w:val="20"/>
        </w:rPr>
        <w:t>）</w:t>
      </w:r>
      <w:r>
        <w:rPr>
          <w:rFonts w:ascii="仿宋" w:hAnsi="仿宋" w:eastAsia="仿宋" w:cs="仿宋"/>
          <w:spacing w:val="-58"/>
          <w:sz w:val="20"/>
          <w:szCs w:val="20"/>
        </w:rPr>
        <w:t xml:space="preserve"> </w:t>
      </w:r>
      <w:r>
        <w:rPr>
          <w:rFonts w:ascii="仿宋" w:hAnsi="仿宋" w:eastAsia="仿宋" w:cs="仿宋"/>
          <w:spacing w:val="-6"/>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7"/>
          <w:sz w:val="20"/>
          <w:szCs w:val="20"/>
        </w:rPr>
        <w:t>_</w:t>
      </w:r>
    </w:p>
    <w:p w14:paraId="277DB63F">
      <w:pPr>
        <w:pStyle w:val="5"/>
        <w:spacing w:line="311" w:lineRule="auto"/>
      </w:pPr>
    </w:p>
    <w:p w14:paraId="44962BF0">
      <w:pPr>
        <w:spacing w:before="65" w:line="510" w:lineRule="auto"/>
        <w:ind w:firstLine="3210" w:firstLineChars="1500"/>
        <w:rPr>
          <w:rFonts w:ascii="仿宋" w:hAnsi="仿宋" w:eastAsia="仿宋" w:cs="仿宋"/>
          <w:sz w:val="20"/>
          <w:szCs w:val="20"/>
        </w:rPr>
      </w:pPr>
      <w:r>
        <w:rPr>
          <w:rFonts w:ascii="仿宋" w:hAnsi="仿宋" w:eastAsia="仿宋" w:cs="仿宋"/>
          <w:spacing w:val="7"/>
          <w:sz w:val="20"/>
          <w:szCs w:val="20"/>
        </w:rPr>
        <w:t>法定代表人或其授权委托人</w:t>
      </w:r>
      <w:r>
        <w:rPr>
          <w:rFonts w:hint="eastAsia" w:ascii="仿宋" w:hAnsi="仿宋" w:eastAsia="仿宋" w:cs="仿宋"/>
          <w:spacing w:val="7"/>
          <w:sz w:val="20"/>
          <w:szCs w:val="20"/>
          <w:lang w:eastAsia="zh-CN"/>
        </w:rPr>
        <w:t>（</w:t>
      </w:r>
      <w:r>
        <w:rPr>
          <w:rFonts w:ascii="仿宋" w:hAnsi="仿宋" w:eastAsia="仿宋" w:cs="仿宋"/>
          <w:spacing w:val="7"/>
          <w:sz w:val="20"/>
          <w:szCs w:val="20"/>
        </w:rPr>
        <w:t>签字</w:t>
      </w:r>
      <w:r>
        <w:rPr>
          <w:rFonts w:hint="eastAsia" w:ascii="仿宋" w:hAnsi="仿宋" w:eastAsia="仿宋" w:cs="仿宋"/>
          <w:spacing w:val="7"/>
          <w:sz w:val="20"/>
          <w:szCs w:val="20"/>
          <w:lang w:val="en-US" w:eastAsia="zh-Hans"/>
        </w:rPr>
        <w:t>或盖章</w:t>
      </w:r>
      <w:r>
        <w:rPr>
          <w:rFonts w:hint="eastAsia" w:ascii="仿宋" w:hAnsi="仿宋" w:eastAsia="仿宋" w:cs="仿宋"/>
          <w:spacing w:val="7"/>
          <w:sz w:val="20"/>
          <w:szCs w:val="20"/>
          <w:lang w:val="en-US" w:eastAsia="zh-CN"/>
        </w:rPr>
        <w:t>）</w:t>
      </w:r>
      <w:r>
        <w:rPr>
          <w:rFonts w:ascii="仿宋" w:hAnsi="仿宋" w:eastAsia="仿宋" w:cs="仿宋"/>
          <w:spacing w:val="7"/>
          <w:sz w:val="20"/>
          <w:szCs w:val="20"/>
        </w:rPr>
        <w:t>：</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_</w:t>
      </w:r>
    </w:p>
    <w:p w14:paraId="62D5CA40">
      <w:pPr>
        <w:pageBreakBefore w:val="0"/>
        <w:tabs>
          <w:tab w:val="left" w:pos="4935"/>
        </w:tabs>
        <w:kinsoku/>
        <w:topLinePunct w:val="0"/>
        <w:bidi w:val="0"/>
        <w:spacing w:before="1" w:line="230" w:lineRule="auto"/>
        <w:ind w:left="3989" w:firstLine="184" w:firstLineChars="100"/>
        <w:rPr>
          <w:rFonts w:ascii="仿宋" w:hAnsi="仿宋" w:eastAsia="仿宋" w:cs="仿宋"/>
          <w:sz w:val="20"/>
          <w:szCs w:val="20"/>
        </w:rPr>
      </w:pPr>
      <w:r>
        <w:rPr>
          <w:rFonts w:ascii="仿宋" w:hAnsi="仿宋" w:eastAsia="仿宋" w:cs="仿宋"/>
          <w:spacing w:val="-8"/>
          <w:sz w:val="20"/>
          <w:szCs w:val="20"/>
        </w:rPr>
        <w:t>年</w:t>
      </w:r>
      <w:r>
        <w:rPr>
          <w:rFonts w:ascii="仿宋" w:hAnsi="仿宋" w:eastAsia="仿宋" w:cs="仿宋"/>
          <w:spacing w:val="5"/>
          <w:sz w:val="20"/>
          <w:szCs w:val="20"/>
          <w:u w:val="none" w:color="auto"/>
        </w:rPr>
        <w:t xml:space="preserve">   </w:t>
      </w:r>
      <w:r>
        <w:rPr>
          <w:rFonts w:ascii="仿宋" w:hAnsi="仿宋" w:eastAsia="仿宋" w:cs="仿宋"/>
          <w:spacing w:val="-75"/>
          <w:sz w:val="20"/>
          <w:szCs w:val="20"/>
          <w:u w:val="none" w:color="auto"/>
        </w:rPr>
        <w:t xml:space="preserve"> </w:t>
      </w:r>
      <w:r>
        <w:rPr>
          <w:rFonts w:ascii="仿宋" w:hAnsi="仿宋" w:eastAsia="仿宋" w:cs="仿宋"/>
          <w:spacing w:val="-8"/>
          <w:sz w:val="20"/>
          <w:szCs w:val="20"/>
        </w:rPr>
        <w:t>月</w:t>
      </w:r>
      <w:r>
        <w:rPr>
          <w:rFonts w:ascii="仿宋" w:hAnsi="仿宋" w:eastAsia="仿宋" w:cs="仿宋"/>
          <w:spacing w:val="4"/>
          <w:sz w:val="20"/>
          <w:szCs w:val="20"/>
          <w:u w:val="none" w:color="auto"/>
        </w:rPr>
        <w:t xml:space="preserve">   </w:t>
      </w:r>
      <w:r>
        <w:rPr>
          <w:rFonts w:ascii="仿宋" w:hAnsi="仿宋" w:eastAsia="仿宋" w:cs="仿宋"/>
          <w:spacing w:val="-40"/>
          <w:sz w:val="20"/>
          <w:szCs w:val="20"/>
        </w:rPr>
        <w:t xml:space="preserve"> </w:t>
      </w:r>
      <w:r>
        <w:rPr>
          <w:rFonts w:ascii="仿宋" w:hAnsi="仿宋" w:eastAsia="仿宋" w:cs="仿宋"/>
          <w:spacing w:val="-8"/>
          <w:sz w:val="20"/>
          <w:szCs w:val="20"/>
        </w:rPr>
        <w:t>日</w:t>
      </w:r>
    </w:p>
    <w:p w14:paraId="4ECBD159">
      <w:pPr>
        <w:pStyle w:val="5"/>
        <w:pageBreakBefore w:val="0"/>
        <w:kinsoku/>
        <w:topLinePunct w:val="0"/>
        <w:bidi w:val="0"/>
        <w:spacing w:line="257" w:lineRule="auto"/>
      </w:pPr>
    </w:p>
    <w:p w14:paraId="40E779AA">
      <w:pPr>
        <w:pStyle w:val="5"/>
        <w:pageBreakBefore w:val="0"/>
        <w:kinsoku/>
        <w:topLinePunct w:val="0"/>
        <w:bidi w:val="0"/>
        <w:spacing w:line="257" w:lineRule="auto"/>
      </w:pPr>
    </w:p>
    <w:p w14:paraId="1BB847D6">
      <w:pPr>
        <w:pStyle w:val="5"/>
        <w:pageBreakBefore w:val="0"/>
        <w:kinsoku/>
        <w:topLinePunct w:val="0"/>
        <w:bidi w:val="0"/>
        <w:spacing w:line="257" w:lineRule="auto"/>
      </w:pPr>
    </w:p>
    <w:p w14:paraId="6EDF672A">
      <w:pPr>
        <w:pStyle w:val="5"/>
        <w:pageBreakBefore w:val="0"/>
        <w:kinsoku/>
        <w:topLinePunct w:val="0"/>
        <w:bidi w:val="0"/>
        <w:spacing w:line="257" w:lineRule="auto"/>
      </w:pPr>
    </w:p>
    <w:p w14:paraId="30F42F6F">
      <w:pPr>
        <w:pStyle w:val="18"/>
        <w:pageBreakBefore w:val="0"/>
        <w:kinsoku/>
        <w:topLinePunct w:val="0"/>
        <w:bidi w:val="0"/>
      </w:pPr>
    </w:p>
    <w:p w14:paraId="41725D6F">
      <w:pPr>
        <w:pageBreakBefore w:val="0"/>
        <w:kinsoku/>
        <w:topLinePunct w:val="0"/>
        <w:bidi w:val="0"/>
        <w:rPr>
          <w:rFonts w:hint="eastAsia"/>
        </w:rPr>
      </w:pPr>
    </w:p>
    <w:p w14:paraId="3D22B651">
      <w:pPr>
        <w:pageBreakBefore w:val="0"/>
        <w:kinsoku/>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250D8C58">
      <w:pPr>
        <w:pStyle w:val="5"/>
        <w:pageBreakBefore w:val="0"/>
        <w:kinsoku/>
        <w:topLinePunct w:val="0"/>
        <w:bidi w:val="0"/>
        <w:spacing w:line="245" w:lineRule="auto"/>
        <w:rPr>
          <w:rFonts w:hint="eastAsia" w:ascii="仿宋" w:hAnsi="仿宋" w:eastAsia="仿宋" w:cs="仿宋"/>
          <w:sz w:val="24"/>
          <w:szCs w:val="24"/>
        </w:rPr>
      </w:pPr>
    </w:p>
    <w:p w14:paraId="42DB717F">
      <w:pPr>
        <w:pStyle w:val="5"/>
        <w:pageBreakBefore w:val="0"/>
        <w:kinsoku/>
        <w:topLinePunct w:val="0"/>
        <w:bidi w:val="0"/>
        <w:spacing w:line="245" w:lineRule="auto"/>
        <w:rPr>
          <w:rFonts w:hint="eastAsia" w:ascii="仿宋" w:hAnsi="仿宋" w:eastAsia="仿宋" w:cs="仿宋"/>
          <w:sz w:val="24"/>
          <w:szCs w:val="24"/>
        </w:rPr>
      </w:pPr>
    </w:p>
    <w:p w14:paraId="041CD8C9">
      <w:pPr>
        <w:pageBreakBefore w:val="0"/>
        <w:kinsoku/>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w:t>
      </w:r>
      <w:r>
        <w:rPr>
          <w:rFonts w:hint="eastAsia" w:ascii="仿宋" w:hAnsi="仿宋" w:eastAsia="仿宋" w:cs="仿宋"/>
          <w:spacing w:val="37"/>
          <w:sz w:val="24"/>
          <w:szCs w:val="24"/>
        </w:rPr>
        <w:t xml:space="preserve"> </w:t>
      </w:r>
      <w:r>
        <w:rPr>
          <w:rFonts w:hint="eastAsia" w:ascii="仿宋" w:hAnsi="仿宋" w:eastAsia="仿宋" w:cs="仿宋"/>
          <w:spacing w:val="15"/>
          <w:sz w:val="24"/>
          <w:szCs w:val="24"/>
        </w:rPr>
        <w:t>141</w:t>
      </w:r>
      <w:r>
        <w:rPr>
          <w:rFonts w:hint="eastAsia" w:ascii="仿宋" w:hAnsi="仿宋" w:eastAsia="仿宋" w:cs="仿宋"/>
          <w:spacing w:val="-36"/>
          <w:sz w:val="24"/>
          <w:szCs w:val="24"/>
        </w:rPr>
        <w:t xml:space="preserve"> </w:t>
      </w:r>
      <w:r>
        <w:rPr>
          <w:rFonts w:hint="eastAsia" w:ascii="仿宋" w:hAnsi="仿宋" w:eastAsia="仿宋" w:cs="仿宋"/>
          <w:spacing w:val="15"/>
          <w:sz w:val="24"/>
          <w:szCs w:val="24"/>
        </w:rPr>
        <w:t>号）</w:t>
      </w:r>
      <w:r>
        <w:rPr>
          <w:rFonts w:hint="eastAsia" w:ascii="仿宋" w:hAnsi="仿宋" w:eastAsia="仿宋" w:cs="仿宋"/>
          <w:spacing w:val="-42"/>
          <w:sz w:val="24"/>
          <w:szCs w:val="24"/>
        </w:rPr>
        <w:t xml:space="preserve"> </w:t>
      </w:r>
      <w:r>
        <w:rPr>
          <w:rFonts w:hint="eastAsia" w:ascii="仿宋" w:hAnsi="仿宋" w:eastAsia="仿宋" w:cs="仿宋"/>
          <w:spacing w:val="15"/>
          <w:sz w:val="24"/>
          <w:szCs w:val="24"/>
        </w:rPr>
        <w:t>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z w:val="24"/>
          <w:szCs w:val="24"/>
        </w:rPr>
        <w:t xml:space="preserve"> </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5E6136F9">
      <w:pPr>
        <w:pStyle w:val="5"/>
        <w:pageBreakBefore w:val="0"/>
        <w:kinsoku/>
        <w:topLinePunct w:val="0"/>
        <w:bidi w:val="0"/>
        <w:spacing w:line="275" w:lineRule="auto"/>
        <w:rPr>
          <w:rFonts w:hint="eastAsia" w:ascii="仿宋" w:hAnsi="仿宋" w:eastAsia="仿宋" w:cs="仿宋"/>
          <w:sz w:val="24"/>
          <w:szCs w:val="24"/>
        </w:rPr>
      </w:pPr>
    </w:p>
    <w:p w14:paraId="4E8E7F1D">
      <w:pPr>
        <w:pageBreakBefore w:val="0"/>
        <w:kinsoku/>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3872586B">
      <w:pPr>
        <w:pStyle w:val="5"/>
        <w:pageBreakBefore w:val="0"/>
        <w:kinsoku/>
        <w:topLinePunct w:val="0"/>
        <w:bidi w:val="0"/>
        <w:spacing w:line="296" w:lineRule="auto"/>
        <w:rPr>
          <w:rFonts w:hint="eastAsia" w:ascii="仿宋" w:hAnsi="仿宋" w:eastAsia="仿宋" w:cs="仿宋"/>
          <w:sz w:val="24"/>
          <w:szCs w:val="24"/>
        </w:rPr>
      </w:pPr>
    </w:p>
    <w:p w14:paraId="6CCC7E79">
      <w:pPr>
        <w:pStyle w:val="5"/>
        <w:pageBreakBefore w:val="0"/>
        <w:kinsoku/>
        <w:topLinePunct w:val="0"/>
        <w:bidi w:val="0"/>
        <w:spacing w:line="296" w:lineRule="auto"/>
        <w:rPr>
          <w:rFonts w:hint="eastAsia" w:ascii="仿宋" w:hAnsi="仿宋" w:eastAsia="仿宋" w:cs="仿宋"/>
          <w:sz w:val="24"/>
          <w:szCs w:val="24"/>
        </w:rPr>
      </w:pPr>
    </w:p>
    <w:p w14:paraId="7F5CF849">
      <w:pPr>
        <w:pStyle w:val="5"/>
        <w:pageBreakBefore w:val="0"/>
        <w:kinsoku/>
        <w:topLinePunct w:val="0"/>
        <w:bidi w:val="0"/>
        <w:spacing w:line="297" w:lineRule="auto"/>
        <w:rPr>
          <w:rFonts w:hint="eastAsia" w:ascii="仿宋" w:hAnsi="仿宋" w:eastAsia="仿宋" w:cs="仿宋"/>
          <w:sz w:val="24"/>
          <w:szCs w:val="24"/>
        </w:rPr>
      </w:pPr>
    </w:p>
    <w:p w14:paraId="2C72CFDD">
      <w:pPr>
        <w:pStyle w:val="5"/>
        <w:pageBreakBefore w:val="0"/>
        <w:kinsoku/>
        <w:topLinePunct w:val="0"/>
        <w:bidi w:val="0"/>
        <w:spacing w:line="297" w:lineRule="auto"/>
        <w:rPr>
          <w:rFonts w:hint="eastAsia" w:ascii="仿宋" w:hAnsi="仿宋" w:eastAsia="仿宋" w:cs="仿宋"/>
          <w:sz w:val="24"/>
          <w:szCs w:val="24"/>
        </w:rPr>
      </w:pPr>
    </w:p>
    <w:p w14:paraId="2F402712">
      <w:pPr>
        <w:pageBreakBefore w:val="0"/>
        <w:kinsoku/>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rPr>
        <w:t>供应商名称（盖公章）：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4E0CF06F">
      <w:pPr>
        <w:pageBreakBefore w:val="0"/>
        <w:kinsoku/>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w:t>
      </w:r>
      <w:r>
        <w:rPr>
          <w:rFonts w:hint="eastAsia" w:ascii="仿宋" w:hAnsi="仿宋" w:eastAsia="仿宋" w:cs="仿宋"/>
          <w:spacing w:val="19"/>
          <w:sz w:val="24"/>
          <w:szCs w:val="24"/>
          <w:lang w:eastAsia="zh-CN"/>
        </w:rPr>
        <w:t>（</w:t>
      </w:r>
      <w:r>
        <w:rPr>
          <w:rFonts w:hint="eastAsia" w:ascii="仿宋" w:hAnsi="仿宋" w:eastAsia="仿宋" w:cs="仿宋"/>
          <w:spacing w:val="19"/>
          <w:sz w:val="24"/>
          <w:szCs w:val="24"/>
        </w:rPr>
        <w:t>签字</w:t>
      </w:r>
      <w:r>
        <w:rPr>
          <w:rFonts w:hint="eastAsia" w:ascii="仿宋" w:hAnsi="仿宋" w:eastAsia="仿宋" w:cs="仿宋"/>
          <w:spacing w:val="19"/>
          <w:sz w:val="24"/>
          <w:szCs w:val="24"/>
          <w:lang w:eastAsia="zh-CN"/>
        </w:rPr>
        <w:t>）</w:t>
      </w:r>
      <w:r>
        <w:rPr>
          <w:rFonts w:hint="eastAsia" w:ascii="仿宋" w:hAnsi="仿宋" w:eastAsia="仿宋" w:cs="仿宋"/>
          <w:spacing w:val="19"/>
          <w:sz w:val="24"/>
          <w:szCs w:val="24"/>
        </w:rPr>
        <w:t>：</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6AD0E562">
      <w:pPr>
        <w:pageBreakBefore w:val="0"/>
        <w:tabs>
          <w:tab w:val="left" w:pos="4665"/>
        </w:tabs>
        <w:kinsoku/>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648F5C7D">
      <w:pPr>
        <w:pStyle w:val="5"/>
        <w:pageBreakBefore w:val="0"/>
        <w:kinsoku/>
        <w:topLinePunct w:val="0"/>
        <w:bidi w:val="0"/>
        <w:spacing w:line="262" w:lineRule="auto"/>
        <w:rPr>
          <w:rFonts w:hint="eastAsia" w:ascii="仿宋" w:hAnsi="仿宋" w:eastAsia="仿宋" w:cs="仿宋"/>
          <w:sz w:val="24"/>
          <w:szCs w:val="24"/>
        </w:rPr>
      </w:pPr>
    </w:p>
    <w:p w14:paraId="107C9F86">
      <w:pPr>
        <w:pStyle w:val="5"/>
        <w:pageBreakBefore w:val="0"/>
        <w:kinsoku/>
        <w:topLinePunct w:val="0"/>
        <w:bidi w:val="0"/>
        <w:spacing w:line="262" w:lineRule="auto"/>
        <w:rPr>
          <w:rFonts w:hint="eastAsia" w:ascii="仿宋" w:hAnsi="仿宋" w:eastAsia="仿宋" w:cs="仿宋"/>
          <w:sz w:val="24"/>
          <w:szCs w:val="24"/>
        </w:rPr>
      </w:pPr>
    </w:p>
    <w:p w14:paraId="4698713D">
      <w:pPr>
        <w:pStyle w:val="5"/>
        <w:pageBreakBefore w:val="0"/>
        <w:kinsoku/>
        <w:topLinePunct w:val="0"/>
        <w:bidi w:val="0"/>
        <w:spacing w:line="263" w:lineRule="auto"/>
        <w:rPr>
          <w:rFonts w:hint="eastAsia" w:ascii="仿宋" w:hAnsi="仿宋" w:eastAsia="仿宋" w:cs="仿宋"/>
          <w:sz w:val="24"/>
          <w:szCs w:val="24"/>
        </w:rPr>
      </w:pPr>
    </w:p>
    <w:p w14:paraId="58BEEDC5">
      <w:pPr>
        <w:pageBreakBefore w:val="0"/>
        <w:kinsoku/>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rPr>
        <w:t>供应商不满足此要求则无须提供，一旦提供将视为满足其要求，如有虚假，将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3D7A1832">
      <w:pPr>
        <w:pageBreakBefore w:val="0"/>
        <w:kinsoku/>
        <w:topLinePunct w:val="0"/>
        <w:bidi w:val="0"/>
        <w:spacing w:line="233" w:lineRule="auto"/>
        <w:rPr>
          <w:rFonts w:ascii="宋体" w:hAnsi="宋体" w:eastAsia="宋体" w:cs="宋体"/>
          <w:sz w:val="24"/>
          <w:szCs w:val="24"/>
        </w:rPr>
        <w:sectPr>
          <w:footerReference r:id="rId13" w:type="default"/>
          <w:pgSz w:w="11905" w:h="16838"/>
          <w:pgMar w:top="1440" w:right="1786" w:bottom="1440" w:left="1786" w:header="850" w:footer="850" w:gutter="0"/>
          <w:pgNumType w:fmt="decimal"/>
          <w:cols w:space="0" w:num="1"/>
          <w:rtlGutter w:val="0"/>
          <w:docGrid w:linePitch="0" w:charSpace="0"/>
        </w:sectPr>
      </w:pPr>
    </w:p>
    <w:p w14:paraId="228C3242">
      <w:pPr>
        <w:pageBreakBefore w:val="0"/>
        <w:kinsoku/>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6740117E">
      <w:pPr>
        <w:pStyle w:val="5"/>
        <w:pageBreakBefore w:val="0"/>
        <w:kinsoku/>
        <w:topLinePunct w:val="0"/>
        <w:bidi w:val="0"/>
        <w:spacing w:line="296" w:lineRule="auto"/>
        <w:rPr>
          <w:sz w:val="24"/>
          <w:szCs w:val="24"/>
        </w:rPr>
      </w:pPr>
    </w:p>
    <w:p w14:paraId="209D1273">
      <w:pPr>
        <w:pStyle w:val="5"/>
        <w:pageBreakBefore w:val="0"/>
        <w:kinsoku/>
        <w:topLinePunct w:val="0"/>
        <w:bidi w:val="0"/>
        <w:spacing w:line="296" w:lineRule="auto"/>
        <w:rPr>
          <w:sz w:val="24"/>
          <w:szCs w:val="24"/>
        </w:rPr>
      </w:pPr>
    </w:p>
    <w:p w14:paraId="1D7D73A0">
      <w:pPr>
        <w:pageBreakBefore w:val="0"/>
        <w:kinsoku/>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w:t>
      </w:r>
      <w:r>
        <w:rPr>
          <w:rFonts w:ascii="仿宋" w:hAnsi="仿宋" w:eastAsia="仿宋" w:cs="仿宋"/>
          <w:spacing w:val="-59"/>
          <w:sz w:val="24"/>
          <w:szCs w:val="24"/>
        </w:rPr>
        <w:t xml:space="preserve"> </w:t>
      </w:r>
      <w:r>
        <w:rPr>
          <w:rFonts w:ascii="仿宋" w:hAnsi="仿宋" w:eastAsia="仿宋" w:cs="仿宋"/>
          <w:spacing w:val="11"/>
          <w:sz w:val="24"/>
          <w:szCs w:val="24"/>
        </w:rPr>
        <w:t>，根据《关于政府采购支持监狱企业发展有关问题的通知》（财</w:t>
      </w:r>
      <w:r>
        <w:rPr>
          <w:rFonts w:ascii="仿宋" w:hAnsi="仿宋" w:eastAsia="仿宋" w:cs="仿宋"/>
          <w:spacing w:val="10"/>
          <w:sz w:val="24"/>
          <w:szCs w:val="24"/>
        </w:rPr>
        <w:t>库〔2014〕 68</w:t>
      </w:r>
      <w:r>
        <w:rPr>
          <w:rFonts w:ascii="仿宋" w:hAnsi="仿宋" w:eastAsia="仿宋" w:cs="仿宋"/>
          <w:spacing w:val="-27"/>
          <w:sz w:val="24"/>
          <w:szCs w:val="24"/>
        </w:rPr>
        <w:t xml:space="preserve"> </w:t>
      </w:r>
      <w:r>
        <w:rPr>
          <w:rFonts w:ascii="仿宋" w:hAnsi="仿宋" w:eastAsia="仿宋" w:cs="仿宋"/>
          <w:spacing w:val="10"/>
          <w:sz w:val="24"/>
          <w:szCs w:val="24"/>
        </w:rPr>
        <w:t>号）</w:t>
      </w:r>
      <w:r>
        <w:rPr>
          <w:rFonts w:ascii="仿宋" w:hAnsi="仿宋" w:eastAsia="仿宋" w:cs="仿宋"/>
          <w:sz w:val="24"/>
          <w:szCs w:val="24"/>
        </w:rPr>
        <w:t xml:space="preserve"> </w:t>
      </w:r>
      <w:r>
        <w:rPr>
          <w:rFonts w:ascii="仿宋" w:hAnsi="仿宋" w:eastAsia="仿宋" w:cs="仿宋"/>
          <w:spacing w:val="17"/>
          <w:sz w:val="24"/>
          <w:szCs w:val="24"/>
        </w:rPr>
        <w:t>的规定</w:t>
      </w:r>
      <w:r>
        <w:rPr>
          <w:rFonts w:ascii="仿宋" w:hAnsi="仿宋" w:eastAsia="仿宋" w:cs="仿宋"/>
          <w:spacing w:val="-50"/>
          <w:sz w:val="24"/>
          <w:szCs w:val="24"/>
        </w:rPr>
        <w:t xml:space="preserve"> </w:t>
      </w:r>
      <w:r>
        <w:rPr>
          <w:rFonts w:ascii="仿宋" w:hAnsi="仿宋" w:eastAsia="仿宋" w:cs="仿宋"/>
          <w:spacing w:val="17"/>
          <w:sz w:val="24"/>
          <w:szCs w:val="24"/>
        </w:rPr>
        <w:t>，本单位为符合条件的监狱单位</w:t>
      </w:r>
      <w:r>
        <w:rPr>
          <w:rFonts w:ascii="仿宋" w:hAnsi="仿宋" w:eastAsia="仿宋" w:cs="仿宋"/>
          <w:spacing w:val="-57"/>
          <w:sz w:val="24"/>
          <w:szCs w:val="24"/>
        </w:rPr>
        <w:t xml:space="preserve"> </w:t>
      </w:r>
      <w:r>
        <w:rPr>
          <w:rFonts w:ascii="仿宋" w:hAnsi="仿宋" w:eastAsia="仿宋" w:cs="仿宋"/>
          <w:spacing w:val="17"/>
          <w:sz w:val="24"/>
          <w:szCs w:val="24"/>
        </w:rPr>
        <w:t>，且本单位参加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334A7CA4">
      <w:pPr>
        <w:pStyle w:val="5"/>
        <w:pageBreakBefore w:val="0"/>
        <w:kinsoku/>
        <w:topLinePunct w:val="0"/>
        <w:bidi w:val="0"/>
        <w:spacing w:line="308" w:lineRule="auto"/>
        <w:rPr>
          <w:sz w:val="24"/>
          <w:szCs w:val="24"/>
        </w:rPr>
      </w:pPr>
    </w:p>
    <w:p w14:paraId="135B3028">
      <w:pPr>
        <w:pageBreakBefore w:val="0"/>
        <w:kinsoku/>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w:t>
      </w:r>
      <w:r>
        <w:rPr>
          <w:rFonts w:ascii="仿宋" w:hAnsi="仿宋" w:eastAsia="仿宋" w:cs="仿宋"/>
          <w:spacing w:val="-42"/>
          <w:sz w:val="24"/>
          <w:szCs w:val="24"/>
        </w:rPr>
        <w:t xml:space="preserve"> </w:t>
      </w:r>
      <w:r>
        <w:rPr>
          <w:rFonts w:ascii="仿宋" w:hAnsi="仿宋" w:eastAsia="仿宋" w:cs="仿宋"/>
          <w:spacing w:val="17"/>
          <w:sz w:val="24"/>
          <w:szCs w:val="24"/>
        </w:rPr>
        <w:t>。如有虚假</w:t>
      </w:r>
      <w:r>
        <w:rPr>
          <w:rFonts w:ascii="仿宋" w:hAnsi="仿宋" w:eastAsia="仿宋" w:cs="仿宋"/>
          <w:spacing w:val="-59"/>
          <w:sz w:val="24"/>
          <w:szCs w:val="24"/>
        </w:rPr>
        <w:t xml:space="preserve"> </w:t>
      </w:r>
      <w:r>
        <w:rPr>
          <w:rFonts w:ascii="仿宋" w:hAnsi="仿宋" w:eastAsia="仿宋" w:cs="仿宋"/>
          <w:spacing w:val="17"/>
          <w:sz w:val="24"/>
          <w:szCs w:val="24"/>
        </w:rPr>
        <w:t>，将依法承担相应责任。</w:t>
      </w:r>
    </w:p>
    <w:p w14:paraId="4389B049">
      <w:pPr>
        <w:pStyle w:val="5"/>
        <w:pageBreakBefore w:val="0"/>
        <w:kinsoku/>
        <w:topLinePunct w:val="0"/>
        <w:bidi w:val="0"/>
        <w:spacing w:line="242" w:lineRule="auto"/>
        <w:rPr>
          <w:sz w:val="24"/>
          <w:szCs w:val="24"/>
        </w:rPr>
      </w:pPr>
    </w:p>
    <w:p w14:paraId="72E78C0E">
      <w:pPr>
        <w:pStyle w:val="5"/>
        <w:pageBreakBefore w:val="0"/>
        <w:kinsoku/>
        <w:topLinePunct w:val="0"/>
        <w:bidi w:val="0"/>
        <w:spacing w:line="243" w:lineRule="auto"/>
        <w:rPr>
          <w:sz w:val="24"/>
          <w:szCs w:val="24"/>
        </w:rPr>
      </w:pPr>
    </w:p>
    <w:p w14:paraId="7C4B8AC6">
      <w:pPr>
        <w:pStyle w:val="5"/>
        <w:pageBreakBefore w:val="0"/>
        <w:kinsoku/>
        <w:topLinePunct w:val="0"/>
        <w:bidi w:val="0"/>
        <w:spacing w:line="243" w:lineRule="auto"/>
        <w:rPr>
          <w:sz w:val="24"/>
          <w:szCs w:val="24"/>
        </w:rPr>
      </w:pPr>
    </w:p>
    <w:p w14:paraId="602D980E">
      <w:pPr>
        <w:pStyle w:val="5"/>
        <w:pageBreakBefore w:val="0"/>
        <w:kinsoku/>
        <w:topLinePunct w:val="0"/>
        <w:bidi w:val="0"/>
        <w:spacing w:line="243" w:lineRule="auto"/>
        <w:rPr>
          <w:sz w:val="24"/>
          <w:szCs w:val="24"/>
        </w:rPr>
      </w:pPr>
    </w:p>
    <w:p w14:paraId="536DD0F7">
      <w:pPr>
        <w:pStyle w:val="5"/>
        <w:pageBreakBefore w:val="0"/>
        <w:kinsoku/>
        <w:topLinePunct w:val="0"/>
        <w:bidi w:val="0"/>
        <w:spacing w:line="243" w:lineRule="auto"/>
        <w:rPr>
          <w:sz w:val="24"/>
          <w:szCs w:val="24"/>
        </w:rPr>
      </w:pPr>
    </w:p>
    <w:p w14:paraId="7259F94E">
      <w:pPr>
        <w:pStyle w:val="5"/>
        <w:pageBreakBefore w:val="0"/>
        <w:kinsoku/>
        <w:topLinePunct w:val="0"/>
        <w:bidi w:val="0"/>
        <w:spacing w:line="243" w:lineRule="auto"/>
        <w:rPr>
          <w:sz w:val="24"/>
          <w:szCs w:val="24"/>
        </w:rPr>
      </w:pPr>
    </w:p>
    <w:p w14:paraId="7DBA2EE5">
      <w:pPr>
        <w:pStyle w:val="5"/>
        <w:pageBreakBefore w:val="0"/>
        <w:kinsoku/>
        <w:topLinePunct w:val="0"/>
        <w:bidi w:val="0"/>
        <w:spacing w:line="243" w:lineRule="auto"/>
        <w:rPr>
          <w:sz w:val="24"/>
          <w:szCs w:val="24"/>
        </w:rPr>
      </w:pPr>
    </w:p>
    <w:p w14:paraId="3366D4D9">
      <w:pPr>
        <w:pStyle w:val="5"/>
        <w:pageBreakBefore w:val="0"/>
        <w:kinsoku/>
        <w:topLinePunct w:val="0"/>
        <w:bidi w:val="0"/>
        <w:spacing w:line="243" w:lineRule="auto"/>
        <w:rPr>
          <w:sz w:val="24"/>
          <w:szCs w:val="24"/>
        </w:rPr>
      </w:pPr>
    </w:p>
    <w:p w14:paraId="22A4C871">
      <w:pPr>
        <w:pageBreakBefore w:val="0"/>
        <w:kinsoku/>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供应商</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666C888A">
      <w:pPr>
        <w:pageBreakBefore w:val="0"/>
        <w:kinsoku/>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w:t>
      </w:r>
      <w:r>
        <w:rPr>
          <w:rFonts w:hint="eastAsia" w:ascii="仿宋" w:hAnsi="仿宋" w:eastAsia="仿宋" w:cs="仿宋"/>
          <w:spacing w:val="7"/>
          <w:sz w:val="24"/>
          <w:szCs w:val="24"/>
          <w:lang w:eastAsia="zh-CN"/>
        </w:rPr>
        <w:t>（</w:t>
      </w:r>
      <w:r>
        <w:rPr>
          <w:rFonts w:ascii="仿宋" w:hAnsi="仿宋" w:eastAsia="仿宋" w:cs="仿宋"/>
          <w:spacing w:val="7"/>
          <w:sz w:val="24"/>
          <w:szCs w:val="24"/>
        </w:rPr>
        <w:t>签字</w:t>
      </w:r>
      <w:r>
        <w:rPr>
          <w:rFonts w:hint="eastAsia" w:ascii="仿宋" w:hAnsi="仿宋" w:eastAsia="仿宋" w:cs="仿宋"/>
          <w:spacing w:val="7"/>
          <w:sz w:val="24"/>
          <w:szCs w:val="24"/>
          <w:lang w:val="en-US" w:eastAsia="zh-Hans"/>
        </w:rPr>
        <w:t>或盖章</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28F1DDD0">
      <w:pPr>
        <w:pageBreakBefore w:val="0"/>
        <w:tabs>
          <w:tab w:val="left" w:pos="4495"/>
        </w:tabs>
        <w:kinsoku/>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52696B43">
      <w:pPr>
        <w:pStyle w:val="5"/>
        <w:pageBreakBefore w:val="0"/>
        <w:kinsoku/>
        <w:topLinePunct w:val="0"/>
        <w:bidi w:val="0"/>
        <w:spacing w:line="255" w:lineRule="auto"/>
        <w:rPr>
          <w:sz w:val="24"/>
          <w:szCs w:val="24"/>
        </w:rPr>
      </w:pPr>
    </w:p>
    <w:p w14:paraId="6AE8438E">
      <w:pPr>
        <w:pStyle w:val="5"/>
        <w:pageBreakBefore w:val="0"/>
        <w:kinsoku/>
        <w:topLinePunct w:val="0"/>
        <w:bidi w:val="0"/>
        <w:spacing w:line="255" w:lineRule="auto"/>
        <w:rPr>
          <w:sz w:val="24"/>
          <w:szCs w:val="24"/>
        </w:rPr>
      </w:pPr>
    </w:p>
    <w:p w14:paraId="4D34E4A9">
      <w:pPr>
        <w:pStyle w:val="5"/>
        <w:pageBreakBefore w:val="0"/>
        <w:kinsoku/>
        <w:topLinePunct w:val="0"/>
        <w:bidi w:val="0"/>
        <w:spacing w:line="255" w:lineRule="auto"/>
        <w:rPr>
          <w:sz w:val="24"/>
          <w:szCs w:val="24"/>
        </w:rPr>
      </w:pPr>
    </w:p>
    <w:p w14:paraId="3DF4BBCF">
      <w:pPr>
        <w:pStyle w:val="5"/>
        <w:pageBreakBefore w:val="0"/>
        <w:kinsoku/>
        <w:topLinePunct w:val="0"/>
        <w:bidi w:val="0"/>
        <w:spacing w:line="256" w:lineRule="auto"/>
        <w:rPr>
          <w:sz w:val="24"/>
          <w:szCs w:val="24"/>
        </w:rPr>
      </w:pPr>
    </w:p>
    <w:p w14:paraId="5E92D9BD">
      <w:pPr>
        <w:pStyle w:val="5"/>
        <w:pageBreakBefore w:val="0"/>
        <w:kinsoku/>
        <w:topLinePunct w:val="0"/>
        <w:bidi w:val="0"/>
        <w:spacing w:line="256" w:lineRule="auto"/>
        <w:rPr>
          <w:sz w:val="24"/>
          <w:szCs w:val="24"/>
        </w:rPr>
      </w:pPr>
    </w:p>
    <w:p w14:paraId="4572EE42">
      <w:pPr>
        <w:pStyle w:val="5"/>
        <w:pageBreakBefore w:val="0"/>
        <w:kinsoku/>
        <w:topLinePunct w:val="0"/>
        <w:bidi w:val="0"/>
        <w:spacing w:line="256" w:lineRule="auto"/>
        <w:rPr>
          <w:sz w:val="24"/>
          <w:szCs w:val="24"/>
        </w:rPr>
      </w:pPr>
    </w:p>
    <w:p w14:paraId="63ADF64B">
      <w:pPr>
        <w:pageBreakBefore w:val="0"/>
        <w:kinsoku/>
        <w:topLinePunct w:val="0"/>
        <w:bidi w:val="0"/>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不满足此要求则无须提供，一旦提供将视为满足其要求，如有虚假，将依法承担相应责任。</w:t>
      </w:r>
    </w:p>
    <w:p w14:paraId="5172C504">
      <w:pPr>
        <w:pStyle w:val="2"/>
        <w:pageBreakBefore w:val="0"/>
        <w:numPr>
          <w:ilvl w:val="0"/>
          <w:numId w:val="0"/>
        </w:numPr>
        <w:kinsoku/>
        <w:topLinePunct w:val="0"/>
        <w:bidi w:val="0"/>
      </w:pPr>
    </w:p>
    <w:p w14:paraId="42F5708D">
      <w:pPr>
        <w:pStyle w:val="5"/>
        <w:pageBreakBefore w:val="0"/>
        <w:kinsoku/>
        <w:topLinePunct w:val="0"/>
        <w:bidi w:val="0"/>
        <w:spacing w:line="249" w:lineRule="auto"/>
        <w:rPr>
          <w:rFonts w:ascii="宋体" w:hAnsi="宋体" w:eastAsia="宋体" w:cs="宋体"/>
          <w:spacing w:val="-1"/>
          <w:sz w:val="18"/>
          <w:szCs w:val="18"/>
        </w:rPr>
      </w:pPr>
    </w:p>
    <w:p w14:paraId="05370E23">
      <w:pPr>
        <w:pStyle w:val="5"/>
        <w:pageBreakBefore w:val="0"/>
        <w:kinsoku/>
        <w:topLinePunct w:val="0"/>
        <w:bidi w:val="0"/>
        <w:spacing w:line="249" w:lineRule="auto"/>
        <w:rPr>
          <w:rFonts w:ascii="宋体" w:hAnsi="宋体" w:eastAsia="宋体" w:cs="宋体"/>
          <w:spacing w:val="-1"/>
          <w:sz w:val="18"/>
          <w:szCs w:val="18"/>
        </w:rPr>
      </w:pPr>
    </w:p>
    <w:p w14:paraId="7DFB843B">
      <w:pPr>
        <w:pStyle w:val="5"/>
        <w:pageBreakBefore w:val="0"/>
        <w:kinsoku/>
        <w:topLinePunct w:val="0"/>
        <w:bidi w:val="0"/>
        <w:spacing w:line="249" w:lineRule="auto"/>
        <w:rPr>
          <w:rFonts w:ascii="宋体" w:hAnsi="宋体" w:eastAsia="宋体" w:cs="宋体"/>
          <w:spacing w:val="-1"/>
          <w:sz w:val="18"/>
          <w:szCs w:val="18"/>
        </w:rPr>
      </w:pPr>
    </w:p>
    <w:p w14:paraId="7FEAB5C3">
      <w:pPr>
        <w:pStyle w:val="5"/>
        <w:pageBreakBefore w:val="0"/>
        <w:kinsoku/>
        <w:topLinePunct w:val="0"/>
        <w:bidi w:val="0"/>
        <w:spacing w:line="249" w:lineRule="auto"/>
        <w:rPr>
          <w:rFonts w:ascii="宋体" w:hAnsi="宋体" w:eastAsia="宋体" w:cs="宋体"/>
          <w:spacing w:val="-1"/>
          <w:sz w:val="18"/>
          <w:szCs w:val="18"/>
        </w:rPr>
      </w:pPr>
    </w:p>
    <w:p w14:paraId="7FACBFC2">
      <w:pPr>
        <w:pStyle w:val="5"/>
        <w:pageBreakBefore w:val="0"/>
        <w:kinsoku/>
        <w:topLinePunct w:val="0"/>
        <w:bidi w:val="0"/>
        <w:spacing w:line="249" w:lineRule="auto"/>
        <w:rPr>
          <w:rFonts w:ascii="宋体" w:hAnsi="宋体" w:eastAsia="宋体" w:cs="宋体"/>
          <w:spacing w:val="-1"/>
          <w:sz w:val="18"/>
          <w:szCs w:val="18"/>
        </w:rPr>
      </w:pPr>
    </w:p>
    <w:p w14:paraId="19CE602C">
      <w:pPr>
        <w:pStyle w:val="5"/>
        <w:pageBreakBefore w:val="0"/>
        <w:kinsoku/>
        <w:topLinePunct w:val="0"/>
        <w:bidi w:val="0"/>
        <w:spacing w:line="249" w:lineRule="auto"/>
        <w:rPr>
          <w:rFonts w:ascii="宋体" w:hAnsi="宋体" w:eastAsia="宋体" w:cs="宋体"/>
          <w:spacing w:val="-1"/>
          <w:sz w:val="18"/>
          <w:szCs w:val="18"/>
        </w:rPr>
      </w:pPr>
    </w:p>
    <w:p w14:paraId="2894E1AC">
      <w:pPr>
        <w:pStyle w:val="5"/>
        <w:pageBreakBefore w:val="0"/>
        <w:kinsoku/>
        <w:topLinePunct w:val="0"/>
        <w:bidi w:val="0"/>
        <w:spacing w:line="249" w:lineRule="auto"/>
        <w:rPr>
          <w:rFonts w:ascii="宋体" w:hAnsi="宋体" w:eastAsia="宋体" w:cs="宋体"/>
          <w:spacing w:val="-1"/>
          <w:sz w:val="18"/>
          <w:szCs w:val="18"/>
        </w:rPr>
      </w:pPr>
    </w:p>
    <w:p w14:paraId="1D05141E">
      <w:pPr>
        <w:pStyle w:val="5"/>
        <w:pageBreakBefore w:val="0"/>
        <w:kinsoku/>
        <w:topLinePunct w:val="0"/>
        <w:bidi w:val="0"/>
        <w:spacing w:line="249" w:lineRule="auto"/>
        <w:rPr>
          <w:rFonts w:ascii="宋体" w:hAnsi="宋体" w:eastAsia="宋体" w:cs="宋体"/>
          <w:spacing w:val="-1"/>
          <w:sz w:val="18"/>
          <w:szCs w:val="18"/>
        </w:rPr>
      </w:pPr>
    </w:p>
    <w:p w14:paraId="75AF967A">
      <w:pPr>
        <w:pStyle w:val="5"/>
        <w:pageBreakBefore w:val="0"/>
        <w:kinsoku/>
        <w:topLinePunct w:val="0"/>
        <w:bidi w:val="0"/>
        <w:spacing w:line="249" w:lineRule="auto"/>
        <w:rPr>
          <w:rFonts w:ascii="宋体" w:hAnsi="宋体" w:eastAsia="宋体" w:cs="宋体"/>
          <w:spacing w:val="-1"/>
          <w:sz w:val="18"/>
          <w:szCs w:val="18"/>
        </w:rPr>
      </w:pPr>
    </w:p>
    <w:p w14:paraId="3EB655B8">
      <w:pPr>
        <w:pStyle w:val="5"/>
        <w:pageBreakBefore w:val="0"/>
        <w:kinsoku/>
        <w:topLinePunct w:val="0"/>
        <w:bidi w:val="0"/>
        <w:spacing w:line="249" w:lineRule="auto"/>
        <w:rPr>
          <w:rFonts w:ascii="宋体" w:hAnsi="宋体" w:eastAsia="宋体" w:cs="宋体"/>
          <w:spacing w:val="-1"/>
          <w:sz w:val="18"/>
          <w:szCs w:val="18"/>
        </w:rPr>
      </w:pPr>
    </w:p>
    <w:p w14:paraId="71511337">
      <w:pPr>
        <w:pageBreakBefore w:val="0"/>
        <w:kinsoku/>
        <w:topLinePunct w:val="0"/>
        <w:bidi w:val="0"/>
        <w:spacing w:before="114" w:line="227" w:lineRule="auto"/>
        <w:ind w:left="3071"/>
        <w:outlineLvl w:val="0"/>
        <w:rPr>
          <w:rFonts w:ascii="宋体" w:hAnsi="宋体" w:eastAsia="宋体" w:cs="宋体"/>
          <w:sz w:val="31"/>
          <w:szCs w:val="31"/>
        </w:rPr>
      </w:pPr>
      <w:r>
        <w:rPr>
          <w:rFonts w:ascii="黑体" w:hAnsi="黑体" w:eastAsia="黑体" w:cs="黑体"/>
          <w:spacing w:val="8"/>
          <w:sz w:val="35"/>
          <w:szCs w:val="35"/>
          <w14:textOutline w14:w="6537" w14:cap="sq" w14:cmpd="sng">
            <w14:solidFill>
              <w14:srgbClr w14:val="000000"/>
            </w14:solidFill>
            <w14:prstDash w14:val="solid"/>
            <w14:bevel/>
          </w14:textOutline>
        </w:rPr>
        <w:t>第六章</w:t>
      </w:r>
      <w:r>
        <w:rPr>
          <w:rFonts w:ascii="黑体" w:hAnsi="黑体" w:eastAsia="黑体" w:cs="黑体"/>
          <w:spacing w:val="8"/>
          <w:sz w:val="35"/>
          <w:szCs w:val="35"/>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w:t>
      </w:r>
    </w:p>
    <w:p w14:paraId="253AD6C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3C65A9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79467606">
      <w:pPr>
        <w:pageBreakBefore w:val="0"/>
        <w:tabs>
          <w:tab w:val="left" w:pos="2597"/>
        </w:tabs>
        <w:kinsoku/>
        <w:topLinePunct w:val="0"/>
        <w:bidi w:val="0"/>
        <w:spacing w:before="56" w:line="187" w:lineRule="auto"/>
        <w:ind w:left="2482"/>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本格式条款仅作为双方签订合同时的参考</w:t>
      </w:r>
      <w:r>
        <w:rPr>
          <w:rFonts w:hint="eastAsia" w:ascii="微软雅黑" w:hAnsi="微软雅黑" w:eastAsia="微软雅黑" w:cs="微软雅黑"/>
          <w:spacing w:val="8"/>
          <w:sz w:val="23"/>
          <w:szCs w:val="23"/>
          <w:lang w:eastAsia="zh-CN"/>
        </w:rPr>
        <w:t>）</w:t>
      </w:r>
    </w:p>
    <w:p w14:paraId="2190C194">
      <w:pPr>
        <w:pageBreakBefore w:val="0"/>
        <w:kinsoku/>
        <w:topLinePunct w:val="0"/>
        <w:bidi w:val="0"/>
        <w:spacing w:before="73" w:line="192" w:lineRule="auto"/>
        <w:rPr>
          <w:rFonts w:ascii="微软雅黑" w:hAnsi="微软雅黑" w:eastAsia="微软雅黑" w:cs="微软雅黑"/>
          <w:sz w:val="23"/>
          <w:szCs w:val="23"/>
        </w:rPr>
      </w:pPr>
      <w:r>
        <w:rPr>
          <w:rFonts w:ascii="微软雅黑" w:hAnsi="微软雅黑" w:eastAsia="微软雅黑" w:cs="微软雅黑"/>
          <w:spacing w:val="-2"/>
          <w:sz w:val="23"/>
          <w:szCs w:val="23"/>
        </w:rPr>
        <w:t>合同</w:t>
      </w:r>
      <w:r>
        <w:rPr>
          <w:rFonts w:ascii="微软雅黑" w:hAnsi="微软雅黑" w:eastAsia="微软雅黑" w:cs="微软雅黑"/>
          <w:spacing w:val="-1"/>
          <w:sz w:val="23"/>
          <w:szCs w:val="23"/>
        </w:rPr>
        <w:t>编号：</w:t>
      </w:r>
    </w:p>
    <w:p w14:paraId="7AAF049B">
      <w:pPr>
        <w:pageBreakBefore w:val="0"/>
        <w:kinsoku/>
        <w:topLinePunct w:val="0"/>
        <w:bidi w:val="0"/>
        <w:spacing w:line="245" w:lineRule="auto"/>
        <w:rPr>
          <w:rFonts w:ascii="Arial"/>
          <w:sz w:val="21"/>
        </w:rPr>
      </w:pPr>
    </w:p>
    <w:p w14:paraId="27B4D671">
      <w:pPr>
        <w:pageBreakBefore w:val="0"/>
        <w:kinsoku/>
        <w:topLinePunct w:val="0"/>
        <w:bidi w:val="0"/>
        <w:spacing w:line="245" w:lineRule="auto"/>
        <w:rPr>
          <w:rFonts w:ascii="Arial"/>
          <w:sz w:val="21"/>
        </w:rPr>
      </w:pPr>
    </w:p>
    <w:p w14:paraId="68253D53">
      <w:pPr>
        <w:pageBreakBefore w:val="0"/>
        <w:kinsoku/>
        <w:topLinePunct w:val="0"/>
        <w:bidi w:val="0"/>
        <w:spacing w:line="245" w:lineRule="auto"/>
        <w:rPr>
          <w:rFonts w:ascii="Arial"/>
          <w:sz w:val="21"/>
        </w:rPr>
      </w:pPr>
    </w:p>
    <w:p w14:paraId="5E5B2D3D">
      <w:pPr>
        <w:pageBreakBefore w:val="0"/>
        <w:kinsoku/>
        <w:topLinePunct w:val="0"/>
        <w:bidi w:val="0"/>
        <w:spacing w:line="245" w:lineRule="auto"/>
        <w:rPr>
          <w:rFonts w:ascii="Arial"/>
          <w:sz w:val="21"/>
        </w:rPr>
      </w:pPr>
    </w:p>
    <w:p w14:paraId="54F78811">
      <w:pPr>
        <w:pageBreakBefore w:val="0"/>
        <w:kinsoku/>
        <w:topLinePunct w:val="0"/>
        <w:bidi w:val="0"/>
        <w:spacing w:line="246" w:lineRule="auto"/>
        <w:rPr>
          <w:rFonts w:ascii="Arial"/>
          <w:sz w:val="21"/>
        </w:rPr>
      </w:pPr>
    </w:p>
    <w:p w14:paraId="1BBE4C6A">
      <w:pPr>
        <w:pageBreakBefore w:val="0"/>
        <w:kinsoku/>
        <w:topLinePunct w:val="0"/>
        <w:bidi w:val="0"/>
        <w:spacing w:line="246" w:lineRule="auto"/>
        <w:rPr>
          <w:rFonts w:ascii="Arial"/>
          <w:sz w:val="21"/>
        </w:rPr>
      </w:pPr>
    </w:p>
    <w:p w14:paraId="69F50590">
      <w:pPr>
        <w:pageBreakBefore w:val="0"/>
        <w:kinsoku/>
        <w:topLinePunct w:val="0"/>
        <w:bidi w:val="0"/>
        <w:spacing w:line="246" w:lineRule="auto"/>
        <w:rPr>
          <w:rFonts w:ascii="Arial"/>
          <w:sz w:val="21"/>
        </w:rPr>
      </w:pPr>
    </w:p>
    <w:p w14:paraId="45B70301">
      <w:pPr>
        <w:pageBreakBefore w:val="0"/>
        <w:kinsoku/>
        <w:topLinePunct w:val="0"/>
        <w:bidi w:val="0"/>
        <w:spacing w:line="246" w:lineRule="auto"/>
        <w:rPr>
          <w:rFonts w:ascii="Arial"/>
          <w:sz w:val="21"/>
        </w:rPr>
      </w:pPr>
    </w:p>
    <w:p w14:paraId="575DEDB4">
      <w:pPr>
        <w:pageBreakBefore w:val="0"/>
        <w:kinsoku/>
        <w:topLinePunct w:val="0"/>
        <w:bidi w:val="0"/>
        <w:spacing w:before="180" w:line="189" w:lineRule="auto"/>
        <w:ind w:left="3167"/>
        <w:rPr>
          <w:rFonts w:ascii="微软雅黑" w:hAnsi="微软雅黑" w:eastAsia="微软雅黑" w:cs="微软雅黑"/>
          <w:sz w:val="42"/>
          <w:szCs w:val="42"/>
        </w:rPr>
      </w:pPr>
      <w:r>
        <w:rPr>
          <w:rFonts w:ascii="微软雅黑" w:hAnsi="微软雅黑" w:eastAsia="微软雅黑" w:cs="微软雅黑"/>
          <w:spacing w:val="21"/>
          <w:sz w:val="42"/>
          <w:szCs w:val="42"/>
        </w:rPr>
        <w:t>政府采购合同</w:t>
      </w:r>
    </w:p>
    <w:p w14:paraId="766F6B6A">
      <w:pPr>
        <w:pageBreakBefore w:val="0"/>
        <w:kinsoku/>
        <w:topLinePunct w:val="0"/>
        <w:bidi w:val="0"/>
        <w:spacing w:line="296" w:lineRule="auto"/>
        <w:rPr>
          <w:rFonts w:ascii="Arial"/>
          <w:sz w:val="21"/>
        </w:rPr>
      </w:pPr>
    </w:p>
    <w:p w14:paraId="6D075607">
      <w:pPr>
        <w:pageBreakBefore w:val="0"/>
        <w:kinsoku/>
        <w:topLinePunct w:val="0"/>
        <w:bidi w:val="0"/>
        <w:spacing w:line="297" w:lineRule="auto"/>
        <w:rPr>
          <w:rFonts w:ascii="Arial"/>
          <w:sz w:val="21"/>
        </w:rPr>
      </w:pPr>
    </w:p>
    <w:p w14:paraId="14699ADB">
      <w:pPr>
        <w:pageBreakBefore w:val="0"/>
        <w:kinsoku/>
        <w:topLinePunct w:val="0"/>
        <w:bidi w:val="0"/>
        <w:spacing w:line="297" w:lineRule="auto"/>
        <w:rPr>
          <w:rFonts w:ascii="Arial"/>
          <w:sz w:val="21"/>
        </w:rPr>
      </w:pPr>
    </w:p>
    <w:p w14:paraId="7178CE09">
      <w:pPr>
        <w:pageBreakBefore w:val="0"/>
        <w:tabs>
          <w:tab w:val="left" w:pos="4028"/>
        </w:tabs>
        <w:kinsoku/>
        <w:topLinePunct w:val="0"/>
        <w:bidi w:val="0"/>
        <w:spacing w:before="99" w:line="187" w:lineRule="auto"/>
        <w:ind w:left="3914"/>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 xml:space="preserve">        )</w:t>
      </w:r>
    </w:p>
    <w:p w14:paraId="0239F354">
      <w:pPr>
        <w:pageBreakBefore w:val="0"/>
        <w:kinsoku/>
        <w:topLinePunct w:val="0"/>
        <w:bidi w:val="0"/>
        <w:spacing w:line="265" w:lineRule="auto"/>
        <w:rPr>
          <w:rFonts w:ascii="Arial"/>
          <w:sz w:val="21"/>
        </w:rPr>
      </w:pPr>
    </w:p>
    <w:p w14:paraId="22385915">
      <w:pPr>
        <w:pageBreakBefore w:val="0"/>
        <w:kinsoku/>
        <w:topLinePunct w:val="0"/>
        <w:bidi w:val="0"/>
        <w:spacing w:line="266" w:lineRule="auto"/>
        <w:rPr>
          <w:rFonts w:ascii="Arial"/>
          <w:sz w:val="21"/>
        </w:rPr>
      </w:pPr>
    </w:p>
    <w:p w14:paraId="019D2081">
      <w:pPr>
        <w:pageBreakBefore w:val="0"/>
        <w:kinsoku/>
        <w:topLinePunct w:val="0"/>
        <w:bidi w:val="0"/>
        <w:spacing w:before="99" w:line="192" w:lineRule="auto"/>
        <w:ind w:left="3591"/>
        <w:rPr>
          <w:rFonts w:ascii="微软雅黑" w:hAnsi="微软雅黑" w:eastAsia="微软雅黑" w:cs="微软雅黑"/>
          <w:sz w:val="23"/>
          <w:szCs w:val="23"/>
        </w:rPr>
      </w:pPr>
      <w:r>
        <w:rPr>
          <w:rFonts w:ascii="微软雅黑" w:hAnsi="微软雅黑" w:eastAsia="微软雅黑" w:cs="微软雅黑"/>
          <w:spacing w:val="9"/>
          <w:sz w:val="23"/>
          <w:szCs w:val="23"/>
        </w:rPr>
        <w:t>第一部分 合同</w:t>
      </w:r>
      <w:r>
        <w:rPr>
          <w:rFonts w:ascii="微软雅黑" w:hAnsi="微软雅黑" w:eastAsia="微软雅黑" w:cs="微软雅黑"/>
          <w:spacing w:val="8"/>
          <w:sz w:val="23"/>
          <w:szCs w:val="23"/>
        </w:rPr>
        <w:t>书</w:t>
      </w:r>
    </w:p>
    <w:p w14:paraId="2A2EAA6B">
      <w:pPr>
        <w:pageBreakBefore w:val="0"/>
        <w:kinsoku/>
        <w:topLinePunct w:val="0"/>
        <w:bidi w:val="0"/>
        <w:spacing w:line="259" w:lineRule="auto"/>
        <w:rPr>
          <w:rFonts w:ascii="Arial"/>
          <w:sz w:val="21"/>
        </w:rPr>
      </w:pPr>
    </w:p>
    <w:p w14:paraId="6E419BFA">
      <w:pPr>
        <w:pageBreakBefore w:val="0"/>
        <w:kinsoku/>
        <w:topLinePunct w:val="0"/>
        <w:bidi w:val="0"/>
        <w:spacing w:line="259" w:lineRule="auto"/>
        <w:rPr>
          <w:rFonts w:ascii="Arial"/>
          <w:sz w:val="21"/>
        </w:rPr>
      </w:pPr>
    </w:p>
    <w:p w14:paraId="04AC089E">
      <w:pPr>
        <w:pageBreakBefore w:val="0"/>
        <w:kinsoku/>
        <w:topLinePunct w:val="0"/>
        <w:bidi w:val="0"/>
        <w:spacing w:line="260" w:lineRule="auto"/>
        <w:rPr>
          <w:rFonts w:ascii="Arial"/>
          <w:sz w:val="21"/>
        </w:rPr>
      </w:pPr>
    </w:p>
    <w:p w14:paraId="379AB959">
      <w:pPr>
        <w:pageBreakBefore w:val="0"/>
        <w:kinsoku/>
        <w:topLinePunct w:val="0"/>
        <w:bidi w:val="0"/>
        <w:spacing w:line="260" w:lineRule="auto"/>
        <w:rPr>
          <w:rFonts w:ascii="Arial"/>
          <w:sz w:val="21"/>
        </w:rPr>
      </w:pPr>
    </w:p>
    <w:p w14:paraId="0A1E9EA5">
      <w:pPr>
        <w:pageBreakBefore w:val="0"/>
        <w:kinsoku/>
        <w:topLinePunct w:val="0"/>
        <w:bidi w:val="0"/>
        <w:spacing w:before="99" w:line="191" w:lineRule="auto"/>
        <w:ind w:left="1015"/>
        <w:rPr>
          <w:rFonts w:ascii="微软雅黑" w:hAnsi="微软雅黑" w:eastAsia="微软雅黑" w:cs="微软雅黑"/>
          <w:sz w:val="23"/>
          <w:szCs w:val="23"/>
        </w:rPr>
      </w:pPr>
      <w:r>
        <w:rPr>
          <w:rFonts w:ascii="微软雅黑" w:hAnsi="微软雅黑" w:eastAsia="微软雅黑" w:cs="微软雅黑"/>
          <w:spacing w:val="2"/>
          <w:sz w:val="23"/>
          <w:szCs w:val="23"/>
        </w:rPr>
        <w:t>项目</w:t>
      </w:r>
      <w:r>
        <w:rPr>
          <w:rFonts w:ascii="微软雅黑" w:hAnsi="微软雅黑" w:eastAsia="微软雅黑" w:cs="微软雅黑"/>
          <w:spacing w:val="1"/>
          <w:sz w:val="23"/>
          <w:szCs w:val="23"/>
        </w:rPr>
        <w:t>名称：</w:t>
      </w:r>
    </w:p>
    <w:p w14:paraId="618BB262">
      <w:pPr>
        <w:pageBreakBefore w:val="0"/>
        <w:kinsoku/>
        <w:topLinePunct w:val="0"/>
        <w:bidi w:val="0"/>
        <w:spacing w:line="329" w:lineRule="auto"/>
        <w:rPr>
          <w:rFonts w:ascii="Arial"/>
          <w:sz w:val="21"/>
        </w:rPr>
      </w:pPr>
    </w:p>
    <w:p w14:paraId="1DA919CF">
      <w:pPr>
        <w:pageBreakBefore w:val="0"/>
        <w:kinsoku/>
        <w:topLinePunct w:val="0"/>
        <w:bidi w:val="0"/>
        <w:spacing w:line="329" w:lineRule="auto"/>
        <w:rPr>
          <w:rFonts w:ascii="Arial"/>
          <w:sz w:val="21"/>
        </w:rPr>
      </w:pPr>
    </w:p>
    <w:p w14:paraId="68919DCF">
      <w:pPr>
        <w:pageBreakBefore w:val="0"/>
        <w:kinsoku/>
        <w:topLinePunct w:val="0"/>
        <w:bidi w:val="0"/>
        <w:spacing w:before="99" w:line="192" w:lineRule="auto"/>
        <w:ind w:left="1071"/>
        <w:rPr>
          <w:rFonts w:ascii="微软雅黑" w:hAnsi="微软雅黑" w:eastAsia="微软雅黑" w:cs="微软雅黑"/>
          <w:sz w:val="23"/>
          <w:szCs w:val="23"/>
        </w:rPr>
      </w:pPr>
      <w:r>
        <w:rPr>
          <w:rFonts w:ascii="微软雅黑" w:hAnsi="微软雅黑" w:eastAsia="微软雅黑" w:cs="微软雅黑"/>
          <w:spacing w:val="-4"/>
          <w:sz w:val="23"/>
          <w:szCs w:val="23"/>
        </w:rPr>
        <w:t xml:space="preserve">甲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 xml:space="preserve">    方：</w:t>
      </w:r>
    </w:p>
    <w:p w14:paraId="098AA500">
      <w:pPr>
        <w:pageBreakBefore w:val="0"/>
        <w:kinsoku/>
        <w:topLinePunct w:val="0"/>
        <w:bidi w:val="0"/>
        <w:spacing w:line="334" w:lineRule="auto"/>
        <w:rPr>
          <w:rFonts w:ascii="Arial"/>
          <w:sz w:val="21"/>
        </w:rPr>
      </w:pPr>
    </w:p>
    <w:p w14:paraId="5928E73E">
      <w:pPr>
        <w:pageBreakBefore w:val="0"/>
        <w:kinsoku/>
        <w:topLinePunct w:val="0"/>
        <w:bidi w:val="0"/>
        <w:spacing w:line="334" w:lineRule="auto"/>
        <w:rPr>
          <w:rFonts w:ascii="Arial"/>
          <w:sz w:val="21"/>
        </w:rPr>
      </w:pPr>
    </w:p>
    <w:p w14:paraId="659D6059">
      <w:pPr>
        <w:pageBreakBefore w:val="0"/>
        <w:kinsoku/>
        <w:topLinePunct w:val="0"/>
        <w:bidi w:val="0"/>
        <w:spacing w:before="99" w:line="192" w:lineRule="auto"/>
        <w:ind w:left="1016"/>
        <w:rPr>
          <w:rFonts w:ascii="微软雅黑" w:hAnsi="微软雅黑" w:eastAsia="微软雅黑" w:cs="微软雅黑"/>
          <w:sz w:val="23"/>
          <w:szCs w:val="23"/>
        </w:rPr>
      </w:pPr>
      <w:r>
        <w:rPr>
          <w:rFonts w:ascii="微软雅黑" w:hAnsi="微软雅黑" w:eastAsia="微软雅黑" w:cs="微软雅黑"/>
          <w:spacing w:val="-1"/>
          <w:sz w:val="23"/>
          <w:szCs w:val="23"/>
        </w:rPr>
        <w:t>乙       方：</w:t>
      </w:r>
    </w:p>
    <w:p w14:paraId="24E235D3">
      <w:pPr>
        <w:pageBreakBefore w:val="0"/>
        <w:kinsoku/>
        <w:topLinePunct w:val="0"/>
        <w:bidi w:val="0"/>
        <w:spacing w:line="325" w:lineRule="auto"/>
        <w:rPr>
          <w:rFonts w:ascii="Arial"/>
          <w:sz w:val="21"/>
        </w:rPr>
      </w:pPr>
    </w:p>
    <w:p w14:paraId="078BB7CD">
      <w:pPr>
        <w:pageBreakBefore w:val="0"/>
        <w:kinsoku/>
        <w:topLinePunct w:val="0"/>
        <w:bidi w:val="0"/>
        <w:spacing w:line="325" w:lineRule="auto"/>
        <w:rPr>
          <w:rFonts w:ascii="Arial"/>
          <w:sz w:val="21"/>
        </w:rPr>
      </w:pPr>
    </w:p>
    <w:p w14:paraId="4B17780A">
      <w:pPr>
        <w:pageBreakBefore w:val="0"/>
        <w:kinsoku/>
        <w:topLinePunct w:val="0"/>
        <w:bidi w:val="0"/>
        <w:spacing w:before="100" w:line="195" w:lineRule="auto"/>
        <w:ind w:left="963"/>
        <w:rPr>
          <w:rFonts w:ascii="微软雅黑" w:hAnsi="微软雅黑" w:eastAsia="微软雅黑" w:cs="微软雅黑"/>
          <w:sz w:val="23"/>
          <w:szCs w:val="23"/>
        </w:rPr>
      </w:pPr>
      <w:r>
        <w:rPr>
          <w:rFonts w:ascii="微软雅黑" w:hAnsi="微软雅黑" w:eastAsia="微软雅黑" w:cs="微软雅黑"/>
          <w:spacing w:val="14"/>
          <w:sz w:val="23"/>
          <w:szCs w:val="23"/>
        </w:rPr>
        <w:t>签</w:t>
      </w:r>
      <w:r>
        <w:rPr>
          <w:rFonts w:ascii="微软雅黑" w:hAnsi="微软雅黑" w:eastAsia="微软雅黑" w:cs="微软雅黑"/>
          <w:spacing w:val="9"/>
          <w:sz w:val="23"/>
          <w:szCs w:val="23"/>
        </w:rPr>
        <w:t xml:space="preserve">  订 地：</w:t>
      </w:r>
    </w:p>
    <w:p w14:paraId="79691A69">
      <w:pPr>
        <w:pageBreakBefore w:val="0"/>
        <w:kinsoku/>
        <w:topLinePunct w:val="0"/>
        <w:bidi w:val="0"/>
        <w:spacing w:line="258" w:lineRule="auto"/>
        <w:rPr>
          <w:rFonts w:ascii="Arial"/>
          <w:sz w:val="21"/>
        </w:rPr>
      </w:pPr>
    </w:p>
    <w:p w14:paraId="3402E818">
      <w:pPr>
        <w:pageBreakBefore w:val="0"/>
        <w:kinsoku/>
        <w:topLinePunct w:val="0"/>
        <w:bidi w:val="0"/>
        <w:spacing w:line="258" w:lineRule="auto"/>
        <w:rPr>
          <w:rFonts w:ascii="Arial"/>
          <w:sz w:val="21"/>
        </w:rPr>
      </w:pPr>
    </w:p>
    <w:p w14:paraId="7CD55D8A">
      <w:pPr>
        <w:pageBreakBefore w:val="0"/>
        <w:kinsoku/>
        <w:topLinePunct w:val="0"/>
        <w:bidi w:val="0"/>
        <w:spacing w:line="258" w:lineRule="auto"/>
        <w:rPr>
          <w:rFonts w:ascii="Arial"/>
          <w:sz w:val="21"/>
        </w:rPr>
      </w:pPr>
    </w:p>
    <w:p w14:paraId="30E919E4">
      <w:pPr>
        <w:pageBreakBefore w:val="0"/>
        <w:kinsoku/>
        <w:topLinePunct w:val="0"/>
        <w:bidi w:val="0"/>
        <w:spacing w:line="258" w:lineRule="auto"/>
        <w:rPr>
          <w:rFonts w:ascii="Arial"/>
          <w:sz w:val="21"/>
        </w:rPr>
      </w:pPr>
    </w:p>
    <w:p w14:paraId="131EBCCE">
      <w:pPr>
        <w:pageBreakBefore w:val="0"/>
        <w:kinsoku/>
        <w:topLinePunct w:val="0"/>
        <w:bidi w:val="0"/>
        <w:spacing w:line="259" w:lineRule="auto"/>
        <w:rPr>
          <w:rFonts w:ascii="Arial"/>
          <w:sz w:val="21"/>
        </w:rPr>
      </w:pPr>
    </w:p>
    <w:p w14:paraId="0C215AC4">
      <w:pPr>
        <w:pageBreakBefore w:val="0"/>
        <w:kinsoku/>
        <w:topLinePunct w:val="0"/>
        <w:bidi w:val="0"/>
        <w:spacing w:line="259" w:lineRule="auto"/>
        <w:rPr>
          <w:rFonts w:ascii="Arial"/>
          <w:sz w:val="21"/>
        </w:rPr>
      </w:pPr>
    </w:p>
    <w:p w14:paraId="51FC946C">
      <w:pPr>
        <w:pageBreakBefore w:val="0"/>
        <w:kinsoku/>
        <w:topLinePunct w:val="0"/>
        <w:bidi w:val="0"/>
        <w:spacing w:line="259" w:lineRule="auto"/>
        <w:rPr>
          <w:rFonts w:ascii="Arial"/>
          <w:sz w:val="21"/>
        </w:rPr>
      </w:pPr>
    </w:p>
    <w:p w14:paraId="34091B05">
      <w:pPr>
        <w:pageBreakBefore w:val="0"/>
        <w:kinsoku/>
        <w:topLinePunct w:val="0"/>
        <w:bidi w:val="0"/>
        <w:spacing w:before="100" w:line="191" w:lineRule="auto"/>
        <w:ind w:left="963"/>
        <w:rPr>
          <w:rFonts w:ascii="微软雅黑" w:hAnsi="微软雅黑" w:eastAsia="微软雅黑" w:cs="微软雅黑"/>
          <w:sz w:val="23"/>
          <w:szCs w:val="23"/>
        </w:rPr>
      </w:pPr>
      <w:r>
        <w:rPr>
          <w:rFonts w:ascii="微软雅黑" w:hAnsi="微软雅黑" w:eastAsia="微软雅黑" w:cs="微软雅黑"/>
          <w:spacing w:val="-6"/>
          <w:sz w:val="23"/>
          <w:szCs w:val="23"/>
        </w:rPr>
        <w:t>签订日期：</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年</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 xml:space="preserve"> 月</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 xml:space="preserve"> 日</w:t>
      </w:r>
    </w:p>
    <w:p w14:paraId="09062A58">
      <w:pPr>
        <w:pageBreakBefore w:val="0"/>
        <w:kinsoku/>
        <w:topLinePunct w:val="0"/>
        <w:bidi w:val="0"/>
        <w:sectPr>
          <w:footerReference r:id="rId14" w:type="default"/>
          <w:pgSz w:w="11900" w:h="16838"/>
          <w:pgMar w:top="1066" w:right="1784" w:bottom="1219" w:left="1092" w:header="0" w:footer="1050" w:gutter="0"/>
          <w:pgNumType w:fmt="decimal"/>
          <w:cols w:space="720" w:num="1"/>
        </w:sectPr>
      </w:pPr>
    </w:p>
    <w:p w14:paraId="4F13C508">
      <w:pPr>
        <w:pageBreakBefore w:val="0"/>
        <w:kinsoku/>
        <w:topLinePunct w:val="0"/>
        <w:bidi w:val="0"/>
        <w:spacing w:before="260" w:line="337" w:lineRule="auto"/>
        <w:ind w:left="15" w:right="7" w:firstLine="497"/>
        <w:rPr>
          <w:rFonts w:hint="eastAsia" w:ascii="宋体" w:hAnsi="宋体" w:eastAsia="宋体" w:cs="宋体"/>
          <w:spacing w:val="2"/>
          <w:sz w:val="23"/>
          <w:szCs w:val="23"/>
        </w:rPr>
      </w:pPr>
      <w:r>
        <w:rPr>
          <w:rFonts w:hint="eastAsia" w:ascii="宋体" w:hAnsi="宋体" w:eastAsia="宋体" w:cs="宋体"/>
          <w:spacing w:val="2"/>
          <w:sz w:val="23"/>
          <w:szCs w:val="23"/>
          <w:u w:val="single"/>
        </w:rPr>
        <w:tab/>
      </w:r>
      <w:r>
        <w:rPr>
          <w:rFonts w:hint="eastAsia" w:ascii="宋体" w:hAnsi="宋体" w:eastAsia="宋体" w:cs="宋体"/>
          <w:spacing w:val="2"/>
          <w:sz w:val="23"/>
          <w:szCs w:val="23"/>
          <w:u w:val="single"/>
        </w:rPr>
        <w:t>年         月         日</w:t>
      </w:r>
      <w:r>
        <w:rPr>
          <w:rFonts w:hint="eastAsia" w:ascii="宋体" w:hAnsi="宋体" w:eastAsia="宋体" w:cs="宋体"/>
          <w:spacing w:val="2"/>
          <w:sz w:val="23"/>
          <w:szCs w:val="23"/>
          <w:u w:val="single"/>
          <w:lang w:eastAsia="zh-CN"/>
        </w:rPr>
        <w:t>，</w:t>
      </w:r>
      <w:r>
        <w:rPr>
          <w:rFonts w:hint="eastAsia" w:ascii="宋体" w:hAnsi="宋体" w:eastAsia="宋体" w:cs="宋体"/>
          <w:spacing w:val="2"/>
          <w:sz w:val="23"/>
          <w:szCs w:val="23"/>
          <w:u w:val="single"/>
        </w:rPr>
        <w:t xml:space="preserve">                </w:t>
      </w:r>
      <w:r>
        <w:rPr>
          <w:rFonts w:hint="eastAsia" w:ascii="宋体" w:hAnsi="宋体" w:eastAsia="宋体" w:cs="宋体"/>
          <w:spacing w:val="2"/>
          <w:sz w:val="23"/>
          <w:szCs w:val="23"/>
          <w:u w:val="single"/>
          <w:lang w:eastAsia="zh-CN"/>
        </w:rPr>
        <w:t>（</w:t>
      </w:r>
      <w:r>
        <w:rPr>
          <w:rFonts w:hint="eastAsia" w:ascii="宋体" w:hAnsi="宋体" w:eastAsia="宋体" w:cs="宋体"/>
          <w:spacing w:val="2"/>
          <w:sz w:val="23"/>
          <w:szCs w:val="23"/>
        </w:rPr>
        <w:t>采购人</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以</w:t>
      </w:r>
      <w:r>
        <w:rPr>
          <w:rFonts w:hint="eastAsia" w:ascii="宋体" w:hAnsi="宋体" w:eastAsia="宋体" w:cs="宋体"/>
          <w:spacing w:val="2"/>
          <w:sz w:val="23"/>
          <w:szCs w:val="23"/>
          <w:u w:val="single"/>
        </w:rPr>
        <w:t xml:space="preserve">             </w:t>
      </w:r>
      <w:r>
        <w:rPr>
          <w:rFonts w:hint="eastAsia" w:ascii="宋体" w:hAnsi="宋体" w:eastAsia="宋体" w:cs="宋体"/>
          <w:spacing w:val="2"/>
          <w:sz w:val="23"/>
          <w:szCs w:val="23"/>
        </w:rPr>
        <w:t>( 采购方式</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 xml:space="preserve"> 对</w:t>
      </w:r>
      <w:r>
        <w:rPr>
          <w:rFonts w:hint="eastAsia" w:ascii="宋体" w:hAnsi="宋体" w:eastAsia="宋体" w:cs="宋体"/>
          <w:spacing w:val="2"/>
          <w:sz w:val="23"/>
          <w:szCs w:val="23"/>
          <w:u w:val="single"/>
        </w:rPr>
        <w:t xml:space="preserve">         ( 项目名称</w:t>
      </w:r>
      <w:r>
        <w:rPr>
          <w:rFonts w:hint="eastAsia" w:ascii="宋体" w:hAnsi="宋体" w:eastAsia="宋体" w:cs="宋体"/>
          <w:spacing w:val="2"/>
          <w:sz w:val="23"/>
          <w:szCs w:val="23"/>
          <w:u w:val="single"/>
          <w:lang w:eastAsia="zh-CN"/>
        </w:rPr>
        <w:t>）</w:t>
      </w:r>
      <w:r>
        <w:rPr>
          <w:rFonts w:hint="eastAsia" w:ascii="宋体" w:hAnsi="宋体" w:eastAsia="宋体" w:cs="宋体"/>
          <w:spacing w:val="2"/>
          <w:sz w:val="23"/>
          <w:szCs w:val="23"/>
          <w:u w:val="single"/>
        </w:rPr>
        <w:t xml:space="preserve"> </w:t>
      </w:r>
      <w:r>
        <w:rPr>
          <w:rFonts w:hint="eastAsia" w:ascii="宋体" w:hAnsi="宋体" w:eastAsia="宋体" w:cs="宋体"/>
          <w:spacing w:val="2"/>
          <w:sz w:val="23"/>
          <w:szCs w:val="23"/>
        </w:rPr>
        <w:t>进行了采购 。经</w:t>
      </w:r>
      <w:r>
        <w:rPr>
          <w:rFonts w:hint="eastAsia" w:ascii="宋体" w:hAnsi="宋体" w:eastAsia="宋体" w:cs="宋体"/>
          <w:spacing w:val="2"/>
          <w:sz w:val="23"/>
          <w:szCs w:val="23"/>
          <w:lang w:eastAsia="zh-CN"/>
        </w:rPr>
        <w:t>评审</w:t>
      </w:r>
      <w:r>
        <w:rPr>
          <w:rFonts w:hint="eastAsia" w:ascii="宋体" w:hAnsi="宋体" w:eastAsia="宋体" w:cs="宋体"/>
          <w:spacing w:val="2"/>
          <w:sz w:val="23"/>
          <w:szCs w:val="23"/>
        </w:rPr>
        <w:t>委员会</w:t>
      </w:r>
      <w:r>
        <w:rPr>
          <w:rFonts w:hint="eastAsia" w:ascii="宋体" w:hAnsi="宋体" w:eastAsia="宋体" w:cs="宋体"/>
          <w:spacing w:val="2"/>
          <w:sz w:val="23"/>
          <w:szCs w:val="23"/>
          <w:lang w:val="en-US" w:eastAsia="zh-CN"/>
        </w:rPr>
        <w:t>。</w:t>
      </w:r>
      <w:r>
        <w:rPr>
          <w:rFonts w:hint="eastAsia" w:ascii="宋体" w:hAnsi="宋体" w:eastAsia="宋体" w:cs="宋体"/>
          <w:spacing w:val="2"/>
          <w:sz w:val="23"/>
          <w:szCs w:val="23"/>
        </w:rPr>
        <w:t>评定</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u w:val="single"/>
        </w:rPr>
        <w:t xml:space="preserve">               公司 </w:t>
      </w:r>
      <w:r>
        <w:rPr>
          <w:rFonts w:hint="eastAsia" w:ascii="宋体" w:hAnsi="宋体" w:eastAsia="宋体" w:cs="宋体"/>
          <w:spacing w:val="2"/>
          <w:sz w:val="23"/>
          <w:szCs w:val="23"/>
        </w:rPr>
        <w:t>为该项目</w:t>
      </w:r>
      <w:r>
        <w:rPr>
          <w:rFonts w:hint="eastAsia" w:ascii="宋体" w:hAnsi="宋体" w:eastAsia="宋体" w:cs="宋体"/>
          <w:spacing w:val="2"/>
          <w:sz w:val="23"/>
          <w:szCs w:val="23"/>
          <w:lang w:eastAsia="zh-CN"/>
        </w:rPr>
        <w:t>成交供应商</w:t>
      </w:r>
      <w:r>
        <w:rPr>
          <w:rFonts w:hint="eastAsia" w:ascii="宋体" w:hAnsi="宋体" w:eastAsia="宋体" w:cs="宋体"/>
          <w:spacing w:val="2"/>
          <w:sz w:val="23"/>
          <w:szCs w:val="23"/>
        </w:rPr>
        <w:t>。现于</w:t>
      </w:r>
      <w:r>
        <w:rPr>
          <w:rFonts w:hint="eastAsia" w:ascii="宋体" w:hAnsi="宋体" w:eastAsia="宋体" w:cs="宋体"/>
          <w:spacing w:val="2"/>
          <w:sz w:val="23"/>
          <w:szCs w:val="23"/>
          <w:lang w:eastAsia="zh-CN"/>
        </w:rPr>
        <w:t>成交通知书</w:t>
      </w:r>
      <w:r>
        <w:rPr>
          <w:rFonts w:hint="eastAsia" w:ascii="宋体" w:hAnsi="宋体" w:eastAsia="宋体" w:cs="宋体"/>
          <w:spacing w:val="2"/>
          <w:sz w:val="23"/>
          <w:szCs w:val="23"/>
        </w:rPr>
        <w:t>发出之日起三十日内</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 xml:space="preserve">  按照采购文件确定的事项签订本合同。</w:t>
      </w:r>
    </w:p>
    <w:p w14:paraId="4D4B090D">
      <w:pPr>
        <w:pageBreakBefore w:val="0"/>
        <w:kinsoku/>
        <w:topLinePunct w:val="0"/>
        <w:bidi w:val="0"/>
        <w:spacing w:line="326" w:lineRule="auto"/>
        <w:rPr>
          <w:rFonts w:hint="eastAsia" w:ascii="宋体" w:hAnsi="宋体" w:eastAsia="宋体" w:cs="宋体"/>
          <w:sz w:val="21"/>
        </w:rPr>
      </w:pPr>
    </w:p>
    <w:p w14:paraId="18E71A08">
      <w:pPr>
        <w:pageBreakBefore w:val="0"/>
        <w:kinsoku/>
        <w:topLinePunct w:val="0"/>
        <w:bidi w:val="0"/>
        <w:spacing w:before="98" w:line="334" w:lineRule="auto"/>
        <w:ind w:left="26" w:firstLine="465"/>
        <w:rPr>
          <w:rFonts w:hint="eastAsia" w:ascii="宋体" w:hAnsi="宋体" w:eastAsia="宋体" w:cs="宋体"/>
          <w:sz w:val="23"/>
          <w:szCs w:val="23"/>
        </w:rPr>
      </w:pPr>
      <w:r>
        <w:rPr>
          <w:rFonts w:hint="eastAsia" w:ascii="宋体" w:hAnsi="宋体" w:eastAsia="宋体" w:cs="宋体"/>
          <w:spacing w:val="-1"/>
          <w:sz w:val="23"/>
          <w:szCs w:val="23"/>
        </w:rPr>
        <w:t>根据《</w:t>
      </w:r>
      <w:r>
        <w:rPr>
          <w:rFonts w:hint="eastAsia" w:ascii="宋体" w:hAnsi="宋体" w:eastAsia="宋体" w:cs="宋体"/>
          <w:spacing w:val="-1"/>
          <w:sz w:val="23"/>
          <w:szCs w:val="23"/>
          <w:lang w:eastAsia="zh-CN"/>
        </w:rPr>
        <w:t>中华人民共和国劳动合同法》《</w:t>
      </w:r>
      <w:r>
        <w:rPr>
          <w:rFonts w:hint="eastAsia" w:ascii="宋体" w:hAnsi="宋体" w:eastAsia="宋体" w:cs="宋体"/>
          <w:spacing w:val="-1"/>
          <w:sz w:val="23"/>
          <w:szCs w:val="23"/>
        </w:rPr>
        <w:t>中华人民共和国政府采购法》等相关法律法规之规定</w:t>
      </w:r>
      <w:r>
        <w:rPr>
          <w:rFonts w:hint="eastAsia" w:ascii="宋体" w:hAnsi="宋体" w:eastAsia="宋体" w:cs="宋体"/>
          <w:sz w:val="23"/>
          <w:szCs w:val="23"/>
          <w:lang w:eastAsia="zh-CN"/>
        </w:rPr>
        <w:t>，</w:t>
      </w:r>
      <w:r>
        <w:rPr>
          <w:rFonts w:hint="eastAsia" w:ascii="宋体" w:hAnsi="宋体" w:eastAsia="宋体" w:cs="宋体"/>
          <w:sz w:val="23"/>
          <w:szCs w:val="23"/>
        </w:rPr>
        <w:t xml:space="preserve">   按 </w:t>
      </w:r>
      <w:r>
        <w:rPr>
          <w:rFonts w:hint="eastAsia" w:ascii="宋体" w:hAnsi="宋体" w:eastAsia="宋体" w:cs="宋体"/>
          <w:spacing w:val="-16"/>
          <w:sz w:val="23"/>
          <w:szCs w:val="23"/>
        </w:rPr>
        <w:t>照</w:t>
      </w:r>
      <w:r>
        <w:rPr>
          <w:rFonts w:hint="eastAsia" w:ascii="宋体" w:hAnsi="宋体" w:eastAsia="宋体" w:cs="宋体"/>
          <w:spacing w:val="-11"/>
          <w:sz w:val="23"/>
          <w:szCs w:val="23"/>
        </w:rPr>
        <w:t>平</w:t>
      </w:r>
      <w:r>
        <w:rPr>
          <w:rFonts w:hint="eastAsia" w:ascii="宋体" w:hAnsi="宋体" w:eastAsia="宋体" w:cs="宋体"/>
          <w:spacing w:val="-8"/>
          <w:sz w:val="23"/>
          <w:szCs w:val="23"/>
        </w:rPr>
        <w:t>等、   自愿、公平和诚实信用的原则</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 xml:space="preserve">  经</w:t>
      </w:r>
      <w:r>
        <w:rPr>
          <w:rFonts w:hint="eastAsia" w:ascii="宋体" w:hAnsi="宋体" w:eastAsia="宋体" w:cs="宋体"/>
          <w:spacing w:val="-8"/>
          <w:sz w:val="23"/>
          <w:szCs w:val="23"/>
          <w:u w:val="single" w:color="auto"/>
        </w:rPr>
        <w:t xml:space="preserve">        </w:t>
      </w:r>
      <w:r>
        <w:rPr>
          <w:rFonts w:hint="eastAsia" w:ascii="宋体" w:hAnsi="宋体" w:eastAsia="宋体" w:cs="宋体"/>
          <w:spacing w:val="-8"/>
          <w:sz w:val="23"/>
          <w:szCs w:val="23"/>
        </w:rPr>
        <w:t xml:space="preserve"> </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以下简称：   甲方</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和</w:t>
      </w:r>
      <w:r>
        <w:rPr>
          <w:rFonts w:hint="eastAsia" w:ascii="宋体" w:hAnsi="宋体" w:eastAsia="宋体" w:cs="宋体"/>
          <w:spacing w:val="-8"/>
          <w:sz w:val="23"/>
          <w:szCs w:val="23"/>
          <w:u w:val="single" w:color="auto"/>
        </w:rPr>
        <w:t xml:space="preserve">        </w:t>
      </w:r>
      <w:r>
        <w:rPr>
          <w:rFonts w:hint="eastAsia" w:ascii="宋体" w:hAnsi="宋体" w:eastAsia="宋体" w:cs="宋体"/>
          <w:spacing w:val="-8"/>
          <w:sz w:val="23"/>
          <w:szCs w:val="23"/>
        </w:rPr>
        <w:t xml:space="preserve"> </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以下简称：  乙方</w:t>
      </w:r>
      <w:r>
        <w:rPr>
          <w:rFonts w:hint="eastAsia" w:ascii="宋体" w:hAnsi="宋体" w:eastAsia="宋体" w:cs="宋体"/>
          <w:spacing w:val="-8"/>
          <w:sz w:val="23"/>
          <w:szCs w:val="23"/>
          <w:lang w:eastAsia="zh-CN"/>
        </w:rPr>
        <w:t>）</w:t>
      </w:r>
    </w:p>
    <w:p w14:paraId="4C0A1270">
      <w:pPr>
        <w:pageBreakBefore w:val="0"/>
        <w:kinsoku/>
        <w:topLinePunct w:val="0"/>
        <w:bidi w:val="0"/>
        <w:spacing w:line="191" w:lineRule="auto"/>
        <w:ind w:left="24"/>
        <w:rPr>
          <w:rFonts w:hint="eastAsia" w:ascii="宋体" w:hAnsi="宋体" w:eastAsia="宋体" w:cs="宋体"/>
          <w:sz w:val="23"/>
          <w:szCs w:val="23"/>
        </w:rPr>
      </w:pPr>
      <w:r>
        <w:rPr>
          <w:rFonts w:hint="eastAsia" w:ascii="宋体" w:hAnsi="宋体" w:eastAsia="宋体" w:cs="宋体"/>
          <w:spacing w:val="-4"/>
          <w:sz w:val="23"/>
          <w:szCs w:val="23"/>
        </w:rPr>
        <w:t>协商一致</w:t>
      </w:r>
      <w:r>
        <w:rPr>
          <w:rFonts w:hint="eastAsia" w:ascii="宋体" w:hAnsi="宋体" w:eastAsia="宋体" w:cs="宋体"/>
          <w:spacing w:val="-4"/>
          <w:sz w:val="23"/>
          <w:szCs w:val="23"/>
          <w:lang w:eastAsia="zh-CN"/>
        </w:rPr>
        <w:t>，</w:t>
      </w:r>
      <w:r>
        <w:rPr>
          <w:rFonts w:hint="eastAsia" w:ascii="宋体" w:hAnsi="宋体" w:eastAsia="宋体" w:cs="宋体"/>
          <w:spacing w:val="-4"/>
          <w:sz w:val="23"/>
          <w:szCs w:val="23"/>
        </w:rPr>
        <w:t xml:space="preserve">  约定以</w:t>
      </w:r>
      <w:r>
        <w:rPr>
          <w:rFonts w:hint="eastAsia" w:ascii="宋体" w:hAnsi="宋体" w:eastAsia="宋体" w:cs="宋体"/>
          <w:spacing w:val="-3"/>
          <w:sz w:val="23"/>
          <w:szCs w:val="23"/>
        </w:rPr>
        <w:t>下</w:t>
      </w:r>
      <w:r>
        <w:rPr>
          <w:rFonts w:hint="eastAsia" w:ascii="宋体" w:hAnsi="宋体" w:eastAsia="宋体" w:cs="宋体"/>
          <w:spacing w:val="-2"/>
          <w:sz w:val="23"/>
          <w:szCs w:val="23"/>
        </w:rPr>
        <w:t>合同条款</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以兹共同遵守、全面履行。</w:t>
      </w:r>
    </w:p>
    <w:p w14:paraId="2E12295D">
      <w:pPr>
        <w:pageBreakBefore w:val="0"/>
        <w:kinsoku/>
        <w:topLinePunct w:val="0"/>
        <w:bidi w:val="0"/>
        <w:spacing w:before="246" w:line="192" w:lineRule="auto"/>
        <w:ind w:left="528"/>
        <w:outlineLvl w:val="0"/>
        <w:rPr>
          <w:rFonts w:hint="eastAsia" w:ascii="宋体" w:hAnsi="宋体" w:eastAsia="宋体" w:cs="宋体"/>
          <w:sz w:val="23"/>
          <w:szCs w:val="23"/>
        </w:rPr>
      </w:pPr>
      <w:r>
        <w:rPr>
          <w:rFonts w:hint="eastAsia" w:ascii="宋体" w:hAnsi="宋体" w:eastAsia="宋体" w:cs="宋体"/>
          <w:spacing w:val="9"/>
          <w:sz w:val="23"/>
          <w:szCs w:val="23"/>
        </w:rPr>
        <w:t>1.1 合同组成部分</w:t>
      </w:r>
    </w:p>
    <w:p w14:paraId="479DA361">
      <w:pPr>
        <w:pageBreakBefore w:val="0"/>
        <w:kinsoku/>
        <w:topLinePunct w:val="0"/>
        <w:bidi w:val="0"/>
        <w:spacing w:before="260" w:line="337" w:lineRule="auto"/>
        <w:ind w:left="15" w:right="7" w:firstLine="497"/>
        <w:rPr>
          <w:rFonts w:hint="eastAsia" w:ascii="宋体" w:hAnsi="宋体" w:eastAsia="宋体" w:cs="宋体"/>
          <w:sz w:val="23"/>
          <w:szCs w:val="23"/>
        </w:rPr>
      </w:pPr>
      <w:r>
        <w:rPr>
          <w:rFonts w:hint="eastAsia" w:ascii="宋体" w:hAnsi="宋体" w:eastAsia="宋体" w:cs="宋体"/>
          <w:spacing w:val="2"/>
          <w:sz w:val="23"/>
          <w:szCs w:val="23"/>
        </w:rPr>
        <w:t>下列文件为本合同的组成部分</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并构成一个整体</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需综合解</w:t>
      </w:r>
      <w:r>
        <w:rPr>
          <w:rFonts w:hint="eastAsia" w:ascii="宋体" w:hAnsi="宋体" w:eastAsia="宋体" w:cs="宋体"/>
          <w:spacing w:val="1"/>
          <w:sz w:val="23"/>
          <w:szCs w:val="23"/>
        </w:rPr>
        <w:t>释、相互补充。如果下列文件内 容</w:t>
      </w:r>
      <w:r>
        <w:rPr>
          <w:rFonts w:hint="eastAsia" w:ascii="宋体" w:hAnsi="宋体" w:eastAsia="宋体" w:cs="宋体"/>
          <w:sz w:val="23"/>
          <w:szCs w:val="23"/>
        </w:rPr>
        <w:t xml:space="preserve"> </w:t>
      </w:r>
      <w:r>
        <w:rPr>
          <w:rFonts w:hint="eastAsia" w:ascii="宋体" w:hAnsi="宋体" w:eastAsia="宋体" w:cs="宋体"/>
          <w:spacing w:val="4"/>
          <w:sz w:val="23"/>
          <w:szCs w:val="23"/>
        </w:rPr>
        <w:t>出现不一致的情形</w:t>
      </w:r>
      <w:r>
        <w:rPr>
          <w:rFonts w:hint="eastAsia" w:ascii="宋体" w:hAnsi="宋体" w:eastAsia="宋体" w:cs="宋体"/>
          <w:spacing w:val="4"/>
          <w:sz w:val="23"/>
          <w:szCs w:val="23"/>
          <w:lang w:eastAsia="zh-CN"/>
        </w:rPr>
        <w:t>，</w:t>
      </w:r>
      <w:r>
        <w:rPr>
          <w:rFonts w:hint="eastAsia" w:ascii="宋体" w:hAnsi="宋体" w:eastAsia="宋体" w:cs="宋体"/>
          <w:spacing w:val="4"/>
          <w:sz w:val="23"/>
          <w:szCs w:val="23"/>
        </w:rPr>
        <w:t>那</w:t>
      </w:r>
      <w:r>
        <w:rPr>
          <w:rFonts w:hint="eastAsia" w:ascii="宋体" w:hAnsi="宋体" w:eastAsia="宋体" w:cs="宋体"/>
          <w:spacing w:val="2"/>
          <w:sz w:val="23"/>
          <w:szCs w:val="23"/>
        </w:rPr>
        <w:t>么在保证按照采购文件确定的事项的前提下</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 xml:space="preserve">  组成本合同的多个文件的</w:t>
      </w:r>
      <w:r>
        <w:rPr>
          <w:rFonts w:hint="eastAsia" w:ascii="宋体" w:hAnsi="宋体" w:eastAsia="宋体" w:cs="宋体"/>
          <w:sz w:val="23"/>
          <w:szCs w:val="23"/>
        </w:rPr>
        <w:t xml:space="preserve">   </w:t>
      </w:r>
      <w:r>
        <w:rPr>
          <w:rFonts w:hint="eastAsia" w:ascii="宋体" w:hAnsi="宋体" w:eastAsia="宋体" w:cs="宋体"/>
          <w:spacing w:val="9"/>
          <w:sz w:val="23"/>
          <w:szCs w:val="23"/>
        </w:rPr>
        <w:t>优</w:t>
      </w:r>
      <w:r>
        <w:rPr>
          <w:rFonts w:hint="eastAsia" w:ascii="宋体" w:hAnsi="宋体" w:eastAsia="宋体" w:cs="宋体"/>
          <w:spacing w:val="6"/>
          <w:sz w:val="23"/>
          <w:szCs w:val="23"/>
        </w:rPr>
        <w:t>先适用顺序如下：</w:t>
      </w:r>
    </w:p>
    <w:p w14:paraId="73CA89B1">
      <w:pPr>
        <w:pageBreakBefore w:val="0"/>
        <w:kinsoku/>
        <w:topLinePunct w:val="0"/>
        <w:bidi w:val="0"/>
        <w:spacing w:line="559" w:lineRule="exact"/>
        <w:ind w:left="528"/>
        <w:rPr>
          <w:rFonts w:hint="eastAsia" w:ascii="宋体" w:hAnsi="宋体" w:eastAsia="宋体" w:cs="宋体"/>
          <w:sz w:val="23"/>
          <w:szCs w:val="23"/>
        </w:rPr>
      </w:pPr>
      <w:r>
        <w:rPr>
          <w:rFonts w:hint="eastAsia" w:ascii="宋体" w:hAnsi="宋体" w:eastAsia="宋体" w:cs="宋体"/>
          <w:spacing w:val="15"/>
          <w:position w:val="25"/>
          <w:sz w:val="23"/>
          <w:szCs w:val="23"/>
        </w:rPr>
        <w:t>1</w:t>
      </w:r>
      <w:r>
        <w:rPr>
          <w:rFonts w:hint="eastAsia" w:ascii="宋体" w:hAnsi="宋体" w:eastAsia="宋体" w:cs="宋体"/>
          <w:spacing w:val="10"/>
          <w:position w:val="25"/>
          <w:sz w:val="23"/>
          <w:szCs w:val="23"/>
        </w:rPr>
        <w:t>.1.1 本合同及其补充合同、变更协议；</w:t>
      </w:r>
    </w:p>
    <w:p w14:paraId="30AB4443">
      <w:pPr>
        <w:pageBreakBefore w:val="0"/>
        <w:kinsoku/>
        <w:topLinePunct w:val="0"/>
        <w:bidi w:val="0"/>
        <w:spacing w:line="191" w:lineRule="auto"/>
        <w:ind w:left="528"/>
        <w:rPr>
          <w:rFonts w:hint="eastAsia" w:ascii="宋体" w:hAnsi="宋体" w:eastAsia="宋体" w:cs="宋体"/>
          <w:sz w:val="23"/>
          <w:szCs w:val="23"/>
        </w:rPr>
      </w:pPr>
      <w:r>
        <w:rPr>
          <w:rFonts w:hint="eastAsia" w:ascii="宋体" w:hAnsi="宋体" w:eastAsia="宋体" w:cs="宋体"/>
          <w:spacing w:val="4"/>
          <w:sz w:val="23"/>
          <w:szCs w:val="23"/>
        </w:rPr>
        <w:t>1</w:t>
      </w:r>
      <w:r>
        <w:rPr>
          <w:rFonts w:hint="eastAsia" w:ascii="宋体" w:hAnsi="宋体" w:eastAsia="宋体" w:cs="宋体"/>
          <w:spacing w:val="3"/>
          <w:sz w:val="23"/>
          <w:szCs w:val="23"/>
        </w:rPr>
        <w:t>.</w:t>
      </w:r>
      <w:r>
        <w:rPr>
          <w:rFonts w:hint="eastAsia" w:ascii="宋体" w:hAnsi="宋体" w:eastAsia="宋体" w:cs="宋体"/>
          <w:spacing w:val="2"/>
          <w:sz w:val="23"/>
          <w:szCs w:val="23"/>
        </w:rPr>
        <w:t xml:space="preserve">1.2   </w:t>
      </w:r>
      <w:r>
        <w:rPr>
          <w:rFonts w:hint="eastAsia" w:ascii="宋体" w:hAnsi="宋体" w:eastAsia="宋体" w:cs="宋体"/>
          <w:spacing w:val="2"/>
          <w:sz w:val="23"/>
          <w:szCs w:val="23"/>
          <w:lang w:eastAsia="zh-CN"/>
        </w:rPr>
        <w:t>成交通知书</w:t>
      </w:r>
      <w:r>
        <w:rPr>
          <w:rFonts w:hint="eastAsia" w:ascii="宋体" w:hAnsi="宋体" w:eastAsia="宋体" w:cs="宋体"/>
          <w:spacing w:val="2"/>
          <w:sz w:val="23"/>
          <w:szCs w:val="23"/>
        </w:rPr>
        <w:t>；</w:t>
      </w:r>
    </w:p>
    <w:p w14:paraId="6F8136C9">
      <w:pPr>
        <w:pageBreakBefore w:val="0"/>
        <w:kinsoku/>
        <w:topLinePunct w:val="0"/>
        <w:bidi w:val="0"/>
        <w:spacing w:before="245" w:line="557" w:lineRule="exact"/>
        <w:ind w:left="528"/>
        <w:rPr>
          <w:rFonts w:hint="eastAsia" w:ascii="宋体" w:hAnsi="宋体" w:eastAsia="宋体" w:cs="宋体"/>
          <w:sz w:val="23"/>
          <w:szCs w:val="23"/>
        </w:rPr>
      </w:pPr>
      <w:r>
        <w:rPr>
          <w:rFonts w:hint="eastAsia" w:ascii="宋体" w:hAnsi="宋体" w:eastAsia="宋体" w:cs="宋体"/>
          <w:spacing w:val="26"/>
          <w:position w:val="25"/>
          <w:sz w:val="23"/>
          <w:szCs w:val="23"/>
        </w:rPr>
        <w:t>1</w:t>
      </w:r>
      <w:r>
        <w:rPr>
          <w:rFonts w:hint="eastAsia" w:ascii="宋体" w:hAnsi="宋体" w:eastAsia="宋体" w:cs="宋体"/>
          <w:spacing w:val="14"/>
          <w:position w:val="25"/>
          <w:sz w:val="23"/>
          <w:szCs w:val="23"/>
        </w:rPr>
        <w:t>.</w:t>
      </w:r>
      <w:r>
        <w:rPr>
          <w:rFonts w:hint="eastAsia" w:ascii="宋体" w:hAnsi="宋体" w:eastAsia="宋体" w:cs="宋体"/>
          <w:spacing w:val="13"/>
          <w:position w:val="25"/>
          <w:sz w:val="23"/>
          <w:szCs w:val="23"/>
        </w:rPr>
        <w:t xml:space="preserve">1.3 </w:t>
      </w:r>
      <w:r>
        <w:rPr>
          <w:rFonts w:hint="eastAsia" w:ascii="宋体" w:hAnsi="宋体" w:eastAsia="宋体" w:cs="宋体"/>
          <w:spacing w:val="13"/>
          <w:position w:val="25"/>
          <w:sz w:val="23"/>
          <w:szCs w:val="23"/>
          <w:lang w:eastAsia="zh-CN"/>
        </w:rPr>
        <w:t>响应文件（</w:t>
      </w:r>
      <w:r>
        <w:rPr>
          <w:rFonts w:hint="eastAsia" w:ascii="宋体" w:hAnsi="宋体" w:eastAsia="宋体" w:cs="宋体"/>
          <w:spacing w:val="13"/>
          <w:position w:val="25"/>
          <w:sz w:val="23"/>
          <w:szCs w:val="23"/>
        </w:rPr>
        <w:t>含澄清或者说明文件</w:t>
      </w:r>
      <w:r>
        <w:rPr>
          <w:rFonts w:hint="eastAsia" w:ascii="宋体" w:hAnsi="宋体" w:eastAsia="宋体" w:cs="宋体"/>
          <w:spacing w:val="13"/>
          <w:position w:val="25"/>
          <w:sz w:val="23"/>
          <w:szCs w:val="23"/>
          <w:lang w:eastAsia="zh-CN"/>
        </w:rPr>
        <w:t>）</w:t>
      </w:r>
      <w:r>
        <w:rPr>
          <w:rFonts w:hint="eastAsia" w:ascii="宋体" w:hAnsi="宋体" w:eastAsia="宋体" w:cs="宋体"/>
          <w:spacing w:val="13"/>
          <w:position w:val="25"/>
          <w:sz w:val="23"/>
          <w:szCs w:val="23"/>
        </w:rPr>
        <w:t xml:space="preserve">  ；</w:t>
      </w:r>
    </w:p>
    <w:p w14:paraId="687FCF6F">
      <w:pPr>
        <w:pageBreakBefore w:val="0"/>
        <w:kinsoku/>
        <w:topLinePunct w:val="0"/>
        <w:bidi w:val="0"/>
        <w:spacing w:before="1" w:line="186" w:lineRule="auto"/>
        <w:ind w:left="528"/>
        <w:rPr>
          <w:rFonts w:hint="eastAsia" w:ascii="宋体" w:hAnsi="宋体" w:eastAsia="宋体" w:cs="宋体"/>
          <w:sz w:val="23"/>
          <w:szCs w:val="23"/>
        </w:rPr>
      </w:pPr>
      <w:r>
        <w:rPr>
          <w:rFonts w:hint="eastAsia" w:ascii="宋体" w:hAnsi="宋体" w:eastAsia="宋体" w:cs="宋体"/>
          <w:spacing w:val="26"/>
          <w:sz w:val="23"/>
          <w:szCs w:val="23"/>
        </w:rPr>
        <w:t>1</w:t>
      </w:r>
      <w:r>
        <w:rPr>
          <w:rFonts w:hint="eastAsia" w:ascii="宋体" w:hAnsi="宋体" w:eastAsia="宋体" w:cs="宋体"/>
          <w:spacing w:val="14"/>
          <w:sz w:val="23"/>
          <w:szCs w:val="23"/>
        </w:rPr>
        <w:t>.</w:t>
      </w:r>
      <w:r>
        <w:rPr>
          <w:rFonts w:hint="eastAsia" w:ascii="宋体" w:hAnsi="宋体" w:eastAsia="宋体" w:cs="宋体"/>
          <w:spacing w:val="13"/>
          <w:sz w:val="23"/>
          <w:szCs w:val="23"/>
        </w:rPr>
        <w:t xml:space="preserve">1.4 </w:t>
      </w:r>
      <w:r>
        <w:rPr>
          <w:rFonts w:hint="eastAsia" w:ascii="宋体" w:hAnsi="宋体" w:eastAsia="宋体" w:cs="宋体"/>
          <w:spacing w:val="13"/>
          <w:sz w:val="23"/>
          <w:szCs w:val="23"/>
          <w:lang w:eastAsia="zh-CN"/>
        </w:rPr>
        <w:t>磋商文件（</w:t>
      </w:r>
      <w:r>
        <w:rPr>
          <w:rFonts w:hint="eastAsia" w:ascii="宋体" w:hAnsi="宋体" w:eastAsia="宋体" w:cs="宋体"/>
          <w:spacing w:val="13"/>
          <w:sz w:val="23"/>
          <w:szCs w:val="23"/>
        </w:rPr>
        <w:t>含澄清或者修改文件</w:t>
      </w:r>
      <w:r>
        <w:rPr>
          <w:rFonts w:hint="eastAsia" w:ascii="宋体" w:hAnsi="宋体" w:eastAsia="宋体" w:cs="宋体"/>
          <w:spacing w:val="13"/>
          <w:sz w:val="23"/>
          <w:szCs w:val="23"/>
          <w:lang w:eastAsia="zh-CN"/>
        </w:rPr>
        <w:t>）</w:t>
      </w:r>
      <w:r>
        <w:rPr>
          <w:rFonts w:hint="eastAsia" w:ascii="宋体" w:hAnsi="宋体" w:eastAsia="宋体" w:cs="宋体"/>
          <w:spacing w:val="13"/>
          <w:sz w:val="23"/>
          <w:szCs w:val="23"/>
        </w:rPr>
        <w:t xml:space="preserve">  ；</w:t>
      </w:r>
    </w:p>
    <w:p w14:paraId="347C0EE8">
      <w:pPr>
        <w:pageBreakBefore w:val="0"/>
        <w:kinsoku/>
        <w:topLinePunct w:val="0"/>
        <w:bidi w:val="0"/>
        <w:spacing w:before="254" w:line="192" w:lineRule="auto"/>
        <w:ind w:left="528"/>
        <w:rPr>
          <w:rFonts w:hint="eastAsia" w:ascii="宋体" w:hAnsi="宋体" w:eastAsia="宋体" w:cs="宋体"/>
          <w:sz w:val="23"/>
          <w:szCs w:val="23"/>
        </w:rPr>
      </w:pPr>
      <w:r>
        <w:rPr>
          <w:rFonts w:hint="eastAsia" w:ascii="宋体" w:hAnsi="宋体" w:eastAsia="宋体" w:cs="宋体"/>
          <w:spacing w:val="18"/>
          <w:sz w:val="23"/>
          <w:szCs w:val="23"/>
        </w:rPr>
        <w:t>1</w:t>
      </w:r>
      <w:r>
        <w:rPr>
          <w:rFonts w:hint="eastAsia" w:ascii="宋体" w:hAnsi="宋体" w:eastAsia="宋体" w:cs="宋体"/>
          <w:spacing w:val="11"/>
          <w:sz w:val="23"/>
          <w:szCs w:val="23"/>
        </w:rPr>
        <w:t>.</w:t>
      </w:r>
      <w:r>
        <w:rPr>
          <w:rFonts w:hint="eastAsia" w:ascii="宋体" w:hAnsi="宋体" w:eastAsia="宋体" w:cs="宋体"/>
          <w:spacing w:val="9"/>
          <w:sz w:val="23"/>
          <w:szCs w:val="23"/>
        </w:rPr>
        <w:t>1.5 其他相关采购文件。</w:t>
      </w:r>
    </w:p>
    <w:p w14:paraId="207FA085">
      <w:pPr>
        <w:pageBreakBefore w:val="0"/>
        <w:kinsoku/>
        <w:topLinePunct w:val="0"/>
        <w:bidi w:val="0"/>
        <w:spacing w:before="254" w:line="193" w:lineRule="auto"/>
        <w:ind w:left="528"/>
        <w:outlineLvl w:val="0"/>
        <w:rPr>
          <w:rFonts w:hint="eastAsia" w:ascii="宋体" w:hAnsi="宋体" w:eastAsia="宋体" w:cs="宋体"/>
          <w:sz w:val="23"/>
          <w:szCs w:val="23"/>
        </w:rPr>
      </w:pPr>
      <w:r>
        <w:rPr>
          <w:rFonts w:hint="eastAsia" w:ascii="宋体" w:hAnsi="宋体" w:eastAsia="宋体" w:cs="宋体"/>
          <w:spacing w:val="1"/>
          <w:sz w:val="23"/>
          <w:szCs w:val="23"/>
        </w:rPr>
        <w:t>1</w:t>
      </w:r>
      <w:r>
        <w:rPr>
          <w:rFonts w:hint="eastAsia" w:ascii="宋体" w:hAnsi="宋体" w:eastAsia="宋体" w:cs="宋体"/>
          <w:sz w:val="23"/>
          <w:szCs w:val="23"/>
        </w:rPr>
        <w:t>.2  标的</w:t>
      </w:r>
    </w:p>
    <w:p w14:paraId="5250D439">
      <w:pPr>
        <w:pageBreakBefore w:val="0"/>
        <w:kinsoku/>
        <w:topLinePunct w:val="0"/>
        <w:bidi w:val="0"/>
        <w:spacing w:before="237" w:line="191" w:lineRule="auto"/>
        <w:ind w:left="550"/>
        <w:rPr>
          <w:rFonts w:hint="eastAsia" w:ascii="宋体" w:hAnsi="宋体" w:eastAsia="宋体" w:cs="宋体"/>
          <w:sz w:val="23"/>
          <w:szCs w:val="23"/>
        </w:rPr>
      </w:pPr>
      <w:r>
        <w:rPr>
          <w:rFonts w:hint="eastAsia" w:ascii="宋体" w:hAnsi="宋体" w:eastAsia="宋体" w:cs="宋体"/>
          <w:spacing w:val="-7"/>
          <w:sz w:val="23"/>
          <w:szCs w:val="23"/>
        </w:rPr>
        <w:t>1</w:t>
      </w:r>
      <w:r>
        <w:rPr>
          <w:rFonts w:hint="eastAsia" w:ascii="宋体" w:hAnsi="宋体" w:eastAsia="宋体" w:cs="宋体"/>
          <w:spacing w:val="-4"/>
          <w:sz w:val="23"/>
          <w:szCs w:val="23"/>
        </w:rPr>
        <w:t>.2.1 标的名称：               ；</w:t>
      </w:r>
    </w:p>
    <w:p w14:paraId="500CA7EC">
      <w:pPr>
        <w:pageBreakBefore w:val="0"/>
        <w:kinsoku/>
        <w:topLinePunct w:val="0"/>
        <w:bidi w:val="0"/>
        <w:spacing w:before="244" w:line="341" w:lineRule="auto"/>
        <w:ind w:left="528" w:right="1737"/>
        <w:rPr>
          <w:rFonts w:hint="eastAsia" w:ascii="宋体" w:hAnsi="宋体" w:eastAsia="宋体" w:cs="宋体"/>
          <w:sz w:val="23"/>
          <w:szCs w:val="23"/>
        </w:rPr>
      </w:pPr>
      <w:r>
        <w:rPr>
          <w:rFonts w:hint="eastAsia" w:ascii="宋体" w:hAnsi="宋体" w:eastAsia="宋体" w:cs="宋体"/>
          <w:spacing w:val="1"/>
          <w:sz w:val="23"/>
          <w:szCs w:val="23"/>
        </w:rPr>
        <w:t xml:space="preserve">1.2.2 标的数量：  </w:t>
      </w:r>
      <w:r>
        <w:rPr>
          <w:rFonts w:hint="eastAsia" w:ascii="宋体" w:hAnsi="宋体" w:eastAsia="宋体" w:cs="宋体"/>
          <w:spacing w:val="1"/>
          <w:sz w:val="23"/>
          <w:szCs w:val="23"/>
          <w:u w:val="single" w:color="auto"/>
        </w:rPr>
        <w:t xml:space="preserve">见明细                                            </w:t>
      </w:r>
      <w:r>
        <w:rPr>
          <w:rFonts w:hint="eastAsia" w:ascii="宋体" w:hAnsi="宋体" w:eastAsia="宋体" w:cs="宋体"/>
          <w:sz w:val="23"/>
          <w:szCs w:val="23"/>
        </w:rPr>
        <w:t xml:space="preserve"> </w:t>
      </w:r>
      <w:r>
        <w:rPr>
          <w:rFonts w:hint="eastAsia" w:ascii="宋体" w:hAnsi="宋体" w:eastAsia="宋体" w:cs="宋体"/>
          <w:spacing w:val="-1"/>
          <w:sz w:val="23"/>
          <w:szCs w:val="23"/>
        </w:rPr>
        <w:t>1.2.3 标的质量：</w:t>
      </w:r>
      <w:r>
        <w:rPr>
          <w:rFonts w:hint="eastAsia" w:ascii="宋体" w:hAnsi="宋体" w:eastAsia="宋体" w:cs="宋体"/>
          <w:spacing w:val="-1"/>
          <w:sz w:val="23"/>
          <w:szCs w:val="23"/>
          <w:u w:val="single" w:color="auto"/>
        </w:rPr>
        <w:t xml:space="preserve">                                                  </w:t>
      </w:r>
    </w:p>
    <w:p w14:paraId="693671D0">
      <w:pPr>
        <w:pageBreakBefore w:val="0"/>
        <w:kinsoku/>
        <w:topLinePunct w:val="0"/>
        <w:bidi w:val="0"/>
        <w:spacing w:line="191" w:lineRule="auto"/>
        <w:ind w:left="528"/>
        <w:outlineLvl w:val="0"/>
        <w:rPr>
          <w:rFonts w:hint="eastAsia" w:ascii="宋体" w:hAnsi="宋体" w:eastAsia="宋体" w:cs="宋体"/>
          <w:sz w:val="23"/>
          <w:szCs w:val="23"/>
        </w:rPr>
      </w:pPr>
      <w:r>
        <w:rPr>
          <w:rFonts w:hint="eastAsia" w:ascii="宋体" w:hAnsi="宋体" w:eastAsia="宋体" w:cs="宋体"/>
          <w:spacing w:val="-1"/>
          <w:sz w:val="23"/>
          <w:szCs w:val="23"/>
        </w:rPr>
        <w:t>1</w:t>
      </w:r>
      <w:r>
        <w:rPr>
          <w:rFonts w:hint="eastAsia" w:ascii="宋体" w:hAnsi="宋体" w:eastAsia="宋体" w:cs="宋体"/>
          <w:sz w:val="23"/>
          <w:szCs w:val="23"/>
        </w:rPr>
        <w:t>.3  价款</w:t>
      </w:r>
    </w:p>
    <w:p w14:paraId="4B24CE29">
      <w:pPr>
        <w:pageBreakBefore w:val="0"/>
        <w:kinsoku/>
        <w:topLinePunct w:val="0"/>
        <w:bidi w:val="0"/>
        <w:spacing w:before="254" w:line="333" w:lineRule="auto"/>
        <w:ind w:left="507"/>
        <w:rPr>
          <w:rFonts w:hint="eastAsia" w:ascii="宋体" w:hAnsi="宋体" w:eastAsia="宋体" w:cs="宋体"/>
          <w:sz w:val="23"/>
          <w:szCs w:val="23"/>
        </w:rPr>
      </w:pPr>
      <w:r>
        <w:rPr>
          <w:rFonts w:hint="eastAsia" w:ascii="宋体" w:hAnsi="宋体" w:eastAsia="宋体" w:cs="宋体"/>
          <w:spacing w:val="-6"/>
          <w:sz w:val="23"/>
          <w:szCs w:val="23"/>
        </w:rPr>
        <w:t>本合同总价为：  ￥</w:t>
      </w:r>
      <w:r>
        <w:rPr>
          <w:rFonts w:hint="eastAsia" w:ascii="宋体" w:hAnsi="宋体" w:eastAsia="宋体" w:cs="宋体"/>
          <w:spacing w:val="-6"/>
          <w:sz w:val="23"/>
          <w:szCs w:val="23"/>
          <w:u w:val="single" w:color="auto"/>
        </w:rPr>
        <w:t xml:space="preserve">            </w:t>
      </w:r>
      <w:r>
        <w:rPr>
          <w:rFonts w:hint="eastAsia" w:ascii="宋体" w:hAnsi="宋体" w:eastAsia="宋体" w:cs="宋体"/>
          <w:spacing w:val="-6"/>
          <w:sz w:val="23"/>
          <w:szCs w:val="23"/>
        </w:rPr>
        <w:t>元</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rPr>
        <w:t>大写：</w:t>
      </w:r>
      <w:r>
        <w:rPr>
          <w:rFonts w:hint="eastAsia"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eastAsia="zh-CN"/>
        </w:rPr>
        <w:t>）</w:t>
      </w:r>
      <w:r>
        <w:rPr>
          <w:rFonts w:hint="eastAsia" w:ascii="宋体" w:hAnsi="宋体" w:eastAsia="宋体" w:cs="宋体"/>
          <w:spacing w:val="-6"/>
          <w:sz w:val="23"/>
          <w:szCs w:val="23"/>
        </w:rPr>
        <w:t xml:space="preserve">  </w:t>
      </w:r>
      <w:r>
        <w:rPr>
          <w:rFonts w:hint="eastAsia" w:ascii="宋体" w:hAnsi="宋体" w:eastAsia="宋体" w:cs="宋体"/>
          <w:spacing w:val="-3"/>
          <w:sz w:val="23"/>
          <w:szCs w:val="23"/>
        </w:rPr>
        <w:t>。</w:t>
      </w:r>
    </w:p>
    <w:p w14:paraId="24CB58FD">
      <w:pPr>
        <w:pageBreakBefore w:val="0"/>
        <w:kinsoku/>
        <w:topLinePunct w:val="0"/>
        <w:bidi w:val="0"/>
        <w:spacing w:before="1" w:line="190" w:lineRule="auto"/>
        <w:ind w:left="504"/>
        <w:rPr>
          <w:rFonts w:hint="eastAsia" w:ascii="宋体" w:hAnsi="宋体" w:eastAsia="宋体" w:cs="宋体"/>
          <w:sz w:val="23"/>
          <w:szCs w:val="23"/>
        </w:rPr>
      </w:pPr>
      <w:r>
        <w:rPr>
          <w:rFonts w:hint="eastAsia" w:ascii="宋体" w:hAnsi="宋体" w:eastAsia="宋体" w:cs="宋体"/>
          <w:spacing w:val="3"/>
          <w:sz w:val="23"/>
          <w:szCs w:val="23"/>
        </w:rPr>
        <w:t>分</w:t>
      </w:r>
      <w:r>
        <w:rPr>
          <w:rFonts w:hint="eastAsia" w:ascii="宋体" w:hAnsi="宋体" w:eastAsia="宋体" w:cs="宋体"/>
          <w:spacing w:val="2"/>
          <w:sz w:val="23"/>
          <w:szCs w:val="23"/>
        </w:rPr>
        <w:t>项价格为：</w:t>
      </w:r>
    </w:p>
    <w:p w14:paraId="7616A503">
      <w:pPr>
        <w:pageBreakBefore w:val="0"/>
        <w:kinsoku/>
        <w:topLinePunct w:val="0"/>
        <w:bidi w:val="0"/>
        <w:rPr>
          <w:rFonts w:hint="eastAsia" w:ascii="宋体" w:hAnsi="宋体" w:eastAsia="宋体" w:cs="宋体"/>
        </w:rPr>
        <w:sectPr>
          <w:headerReference r:id="rId15" w:type="default"/>
          <w:footerReference r:id="rId16" w:type="default"/>
          <w:pgSz w:w="12235" w:h="15818"/>
          <w:pgMar w:top="1923" w:right="1067" w:bottom="960" w:left="1079" w:header="1909" w:footer="791" w:gutter="0"/>
          <w:pgNumType w:fmt="decimal"/>
          <w:cols w:space="720" w:num="1"/>
        </w:sectPr>
      </w:pPr>
    </w:p>
    <w:p w14:paraId="38047ABD">
      <w:pPr>
        <w:pageBreakBefore w:val="0"/>
        <w:kinsoku/>
        <w:topLinePunct w:val="0"/>
        <w:bidi w:val="0"/>
        <w:spacing w:before="240" w:line="341" w:lineRule="auto"/>
        <w:ind w:left="515" w:right="1745"/>
        <w:rPr>
          <w:rFonts w:hint="eastAsia" w:ascii="宋体" w:hAnsi="宋体" w:eastAsia="宋体" w:cs="宋体"/>
          <w:spacing w:val="-1"/>
          <w:sz w:val="23"/>
          <w:szCs w:val="23"/>
        </w:rPr>
      </w:pPr>
      <w:r>
        <w:rPr>
          <w:rFonts w:hint="eastAsia" w:ascii="宋体" w:hAnsi="宋体" w:eastAsia="宋体" w:cs="宋体"/>
          <w:spacing w:val="-1"/>
          <w:sz w:val="23"/>
          <w:szCs w:val="23"/>
        </w:rPr>
        <w:t>1.4 付款方式和发票开具方式</w:t>
      </w:r>
    </w:p>
    <w:p w14:paraId="46778BE4">
      <w:pPr>
        <w:pageBreakBefore w:val="0"/>
        <w:kinsoku/>
        <w:topLinePunct w:val="0"/>
        <w:bidi w:val="0"/>
        <w:spacing w:before="240" w:line="341" w:lineRule="auto"/>
        <w:ind w:left="515" w:right="1745"/>
        <w:rPr>
          <w:rFonts w:hint="eastAsia" w:ascii="宋体" w:hAnsi="宋体" w:eastAsia="宋体" w:cs="宋体"/>
          <w:spacing w:val="-1"/>
          <w:sz w:val="23"/>
          <w:szCs w:val="23"/>
          <w:lang w:eastAsia="zh-CN"/>
        </w:rPr>
      </w:pPr>
      <w:r>
        <w:rPr>
          <w:rFonts w:hint="eastAsia" w:ascii="宋体" w:hAnsi="宋体" w:eastAsia="宋体" w:cs="宋体"/>
          <w:spacing w:val="-1"/>
          <w:sz w:val="23"/>
          <w:szCs w:val="23"/>
        </w:rPr>
        <w:t xml:space="preserve">1.4.1付款方式：   甲乙双方签订合同时约定 </w:t>
      </w:r>
      <w:r>
        <w:rPr>
          <w:rFonts w:hint="eastAsia" w:ascii="宋体" w:hAnsi="宋体" w:eastAsia="宋体" w:cs="宋体"/>
          <w:spacing w:val="-1"/>
          <w:sz w:val="23"/>
          <w:szCs w:val="23"/>
          <w:lang w:eastAsia="zh-CN"/>
        </w:rPr>
        <w:t>;</w:t>
      </w:r>
    </w:p>
    <w:p w14:paraId="5B461086">
      <w:pPr>
        <w:pageBreakBefore w:val="0"/>
        <w:kinsoku/>
        <w:topLinePunct w:val="0"/>
        <w:bidi w:val="0"/>
        <w:spacing w:before="240" w:line="341" w:lineRule="auto"/>
        <w:ind w:left="515" w:right="1745"/>
        <w:rPr>
          <w:rFonts w:hint="eastAsia" w:ascii="宋体" w:hAnsi="宋体" w:eastAsia="宋体" w:cs="宋体"/>
          <w:sz w:val="23"/>
          <w:szCs w:val="23"/>
        </w:rPr>
      </w:pPr>
      <w:r>
        <w:rPr>
          <w:rFonts w:hint="eastAsia" w:ascii="宋体" w:hAnsi="宋体" w:eastAsia="宋体" w:cs="宋体"/>
          <w:spacing w:val="-1"/>
          <w:sz w:val="23"/>
          <w:szCs w:val="23"/>
        </w:rPr>
        <w:t>1.4.2 发票开具方式：</w:t>
      </w:r>
      <w:r>
        <w:rPr>
          <w:rFonts w:hint="eastAsia" w:ascii="宋体" w:hAnsi="宋体" w:eastAsia="宋体" w:cs="宋体"/>
          <w:spacing w:val="-1"/>
          <w:sz w:val="23"/>
          <w:szCs w:val="23"/>
          <w:u w:val="single" w:color="auto"/>
        </w:rPr>
        <w:t xml:space="preserve">           </w:t>
      </w:r>
      <w:r>
        <w:rPr>
          <w:rFonts w:hint="eastAsia" w:ascii="宋体" w:hAnsi="宋体" w:eastAsia="宋体" w:cs="宋体"/>
          <w:sz w:val="23"/>
          <w:szCs w:val="23"/>
          <w:u w:val="single" w:color="auto"/>
        </w:rPr>
        <w:t xml:space="preserve">                                                  </w:t>
      </w:r>
    </w:p>
    <w:p w14:paraId="1F17F44D">
      <w:pPr>
        <w:pageBreakBefore w:val="0"/>
        <w:kinsoku/>
        <w:topLinePunct w:val="0"/>
        <w:bidi w:val="0"/>
        <w:spacing w:before="244" w:line="191" w:lineRule="auto"/>
        <w:ind w:left="515"/>
        <w:outlineLvl w:val="0"/>
        <w:rPr>
          <w:rFonts w:hint="eastAsia" w:ascii="宋体" w:hAnsi="宋体" w:eastAsia="宋体" w:cs="宋体"/>
          <w:sz w:val="23"/>
          <w:szCs w:val="23"/>
        </w:rPr>
      </w:pPr>
      <w:r>
        <w:rPr>
          <w:rFonts w:hint="eastAsia" w:ascii="宋体" w:hAnsi="宋体" w:eastAsia="宋体" w:cs="宋体"/>
          <w:spacing w:val="18"/>
          <w:sz w:val="23"/>
          <w:szCs w:val="23"/>
        </w:rPr>
        <w:t>1</w:t>
      </w:r>
      <w:r>
        <w:rPr>
          <w:rFonts w:hint="eastAsia" w:ascii="宋体" w:hAnsi="宋体" w:eastAsia="宋体" w:cs="宋体"/>
          <w:spacing w:val="9"/>
          <w:sz w:val="23"/>
          <w:szCs w:val="23"/>
        </w:rPr>
        <w:t>.5 履行期限、地点和方式</w:t>
      </w:r>
    </w:p>
    <w:p w14:paraId="366D9E66">
      <w:pPr>
        <w:pageBreakBefore w:val="0"/>
        <w:kinsoku/>
        <w:topLinePunct w:val="0"/>
        <w:bidi w:val="0"/>
        <w:spacing w:before="240" w:line="341" w:lineRule="auto"/>
        <w:ind w:left="515" w:right="1745"/>
        <w:rPr>
          <w:rFonts w:hint="eastAsia" w:ascii="宋体" w:hAnsi="宋体" w:eastAsia="宋体" w:cs="宋体"/>
          <w:sz w:val="23"/>
          <w:szCs w:val="23"/>
        </w:rPr>
      </w:pPr>
      <w:r>
        <w:rPr>
          <w:rFonts w:hint="eastAsia" w:ascii="宋体" w:hAnsi="宋体" w:eastAsia="宋体" w:cs="宋体"/>
          <w:spacing w:val="-1"/>
          <w:sz w:val="23"/>
          <w:szCs w:val="23"/>
        </w:rPr>
        <w:t>1.5.1 履行期限：</w:t>
      </w:r>
      <w:r>
        <w:rPr>
          <w:rFonts w:hint="eastAsia" w:ascii="宋体" w:hAnsi="宋体" w:eastAsia="宋体" w:cs="宋体"/>
          <w:spacing w:val="-1"/>
          <w:sz w:val="23"/>
          <w:szCs w:val="23"/>
          <w:u w:val="single" w:color="auto"/>
        </w:rPr>
        <w:t xml:space="preserve">                                                               </w:t>
      </w:r>
      <w:r>
        <w:rPr>
          <w:rFonts w:hint="eastAsia" w:ascii="宋体" w:hAnsi="宋体" w:eastAsia="宋体" w:cs="宋体"/>
          <w:sz w:val="23"/>
          <w:szCs w:val="23"/>
          <w:u w:val="single" w:color="auto"/>
        </w:rPr>
        <w:t xml:space="preserve">                        </w:t>
      </w:r>
      <w:r>
        <w:rPr>
          <w:rFonts w:hint="eastAsia" w:ascii="宋体" w:hAnsi="宋体" w:eastAsia="宋体" w:cs="宋体"/>
          <w:spacing w:val="1"/>
          <w:sz w:val="23"/>
          <w:szCs w:val="23"/>
        </w:rPr>
        <w:t xml:space="preserve">1.5.2 履行地点：  </w:t>
      </w:r>
      <w:r>
        <w:rPr>
          <w:rFonts w:hint="eastAsia" w:ascii="宋体" w:hAnsi="宋体" w:eastAsia="宋体" w:cs="宋体"/>
          <w:spacing w:val="1"/>
          <w:sz w:val="23"/>
          <w:szCs w:val="23"/>
          <w:u w:val="single" w:color="auto"/>
        </w:rPr>
        <w:t xml:space="preserve"> 甲方指定地点                       </w:t>
      </w:r>
      <w:r>
        <w:rPr>
          <w:rFonts w:hint="eastAsia" w:ascii="宋体" w:hAnsi="宋体" w:eastAsia="宋体" w:cs="宋体"/>
          <w:sz w:val="23"/>
          <w:szCs w:val="23"/>
          <w:u w:val="single" w:color="auto"/>
        </w:rPr>
        <w:t xml:space="preserve">                                       </w:t>
      </w:r>
      <w:r>
        <w:rPr>
          <w:rFonts w:hint="eastAsia" w:ascii="宋体" w:hAnsi="宋体" w:eastAsia="宋体" w:cs="宋体"/>
          <w:sz w:val="23"/>
          <w:szCs w:val="23"/>
        </w:rPr>
        <w:t xml:space="preserve"> </w:t>
      </w:r>
      <w:r>
        <w:rPr>
          <w:rFonts w:hint="eastAsia" w:ascii="宋体" w:hAnsi="宋体" w:eastAsia="宋体" w:cs="宋体"/>
          <w:spacing w:val="1"/>
          <w:sz w:val="23"/>
          <w:szCs w:val="23"/>
        </w:rPr>
        <w:t xml:space="preserve">1.5.3 履行方式：  </w:t>
      </w:r>
      <w:r>
        <w:rPr>
          <w:rFonts w:hint="eastAsia" w:ascii="宋体" w:hAnsi="宋体" w:eastAsia="宋体" w:cs="宋体"/>
          <w:spacing w:val="1"/>
          <w:sz w:val="23"/>
          <w:szCs w:val="23"/>
          <w:u w:val="single" w:color="auto"/>
        </w:rPr>
        <w:t xml:space="preserve"> 甲方指定方式                       </w:t>
      </w:r>
      <w:r>
        <w:rPr>
          <w:rFonts w:hint="eastAsia" w:ascii="宋体" w:hAnsi="宋体" w:eastAsia="宋体" w:cs="宋体"/>
          <w:sz w:val="23"/>
          <w:szCs w:val="23"/>
          <w:u w:val="single" w:color="auto"/>
        </w:rPr>
        <w:t xml:space="preserve">                                       </w:t>
      </w:r>
    </w:p>
    <w:p w14:paraId="1E049E94">
      <w:pPr>
        <w:pageBreakBefore w:val="0"/>
        <w:kinsoku/>
        <w:topLinePunct w:val="0"/>
        <w:bidi w:val="0"/>
        <w:spacing w:before="2" w:line="191" w:lineRule="auto"/>
        <w:ind w:left="515"/>
        <w:outlineLvl w:val="0"/>
        <w:rPr>
          <w:rFonts w:hint="eastAsia" w:ascii="宋体" w:hAnsi="宋体" w:eastAsia="宋体" w:cs="宋体"/>
          <w:sz w:val="23"/>
          <w:szCs w:val="23"/>
        </w:rPr>
      </w:pPr>
      <w:r>
        <w:rPr>
          <w:rFonts w:hint="eastAsia" w:ascii="宋体" w:hAnsi="宋体" w:eastAsia="宋体" w:cs="宋体"/>
          <w:spacing w:val="10"/>
          <w:sz w:val="23"/>
          <w:szCs w:val="23"/>
        </w:rPr>
        <w:t>1</w:t>
      </w:r>
      <w:r>
        <w:rPr>
          <w:rFonts w:hint="eastAsia" w:ascii="宋体" w:hAnsi="宋体" w:eastAsia="宋体" w:cs="宋体"/>
          <w:spacing w:val="8"/>
          <w:sz w:val="23"/>
          <w:szCs w:val="23"/>
        </w:rPr>
        <w:t>.6 违约责任</w:t>
      </w:r>
    </w:p>
    <w:p w14:paraId="6F805F2D">
      <w:pPr>
        <w:pageBreakBefore w:val="0"/>
        <w:kinsoku/>
        <w:topLinePunct w:val="0"/>
        <w:bidi w:val="0"/>
        <w:spacing w:before="256" w:line="340" w:lineRule="auto"/>
        <w:ind w:left="2" w:firstLine="512"/>
        <w:rPr>
          <w:rFonts w:hint="eastAsia" w:ascii="宋体" w:hAnsi="宋体" w:eastAsia="宋体" w:cs="宋体"/>
          <w:sz w:val="23"/>
          <w:szCs w:val="23"/>
        </w:rPr>
      </w:pPr>
      <w:r>
        <w:rPr>
          <w:rFonts w:hint="eastAsia" w:ascii="宋体" w:hAnsi="宋体" w:eastAsia="宋体" w:cs="宋体"/>
          <w:spacing w:val="4"/>
          <w:sz w:val="23"/>
          <w:szCs w:val="23"/>
        </w:rPr>
        <w:t>1.6.1  除不可抗</w:t>
      </w:r>
      <w:r>
        <w:rPr>
          <w:rFonts w:hint="eastAsia" w:ascii="宋体" w:hAnsi="宋体" w:eastAsia="宋体" w:cs="宋体"/>
          <w:spacing w:val="3"/>
          <w:sz w:val="23"/>
          <w:szCs w:val="23"/>
        </w:rPr>
        <w:t>力</w:t>
      </w:r>
      <w:r>
        <w:rPr>
          <w:rFonts w:hint="eastAsia" w:ascii="宋体" w:hAnsi="宋体" w:eastAsia="宋体" w:cs="宋体"/>
          <w:spacing w:val="2"/>
          <w:sz w:val="23"/>
          <w:szCs w:val="23"/>
        </w:rPr>
        <w:t>外</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任何一方未能履行本合同约定的其他主要义务</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经催告后在合理期限</w:t>
      </w:r>
      <w:r>
        <w:rPr>
          <w:rFonts w:hint="eastAsia" w:ascii="宋体" w:hAnsi="宋体" w:eastAsia="宋体" w:cs="宋体"/>
          <w:spacing w:val="3"/>
          <w:sz w:val="23"/>
          <w:szCs w:val="23"/>
        </w:rPr>
        <w:t>内仍未履行的</w:t>
      </w:r>
      <w:r>
        <w:rPr>
          <w:rFonts w:hint="eastAsia" w:ascii="宋体" w:hAnsi="宋体" w:eastAsia="宋体" w:cs="宋体"/>
          <w:spacing w:val="3"/>
          <w:sz w:val="23"/>
          <w:szCs w:val="23"/>
          <w:lang w:eastAsia="zh-CN"/>
        </w:rPr>
        <w:t>，</w:t>
      </w:r>
      <w:r>
        <w:rPr>
          <w:rFonts w:hint="eastAsia" w:ascii="宋体" w:hAnsi="宋体" w:eastAsia="宋体" w:cs="宋体"/>
          <w:spacing w:val="3"/>
          <w:sz w:val="23"/>
          <w:szCs w:val="23"/>
        </w:rPr>
        <w:t>或者任何一方有其他违约行为致使不能实现合同目的的</w:t>
      </w:r>
      <w:r>
        <w:rPr>
          <w:rFonts w:hint="eastAsia" w:ascii="宋体" w:hAnsi="宋体" w:eastAsia="宋体" w:cs="宋体"/>
          <w:spacing w:val="3"/>
          <w:sz w:val="23"/>
          <w:szCs w:val="23"/>
          <w:lang w:eastAsia="zh-CN"/>
        </w:rPr>
        <w:t>，</w:t>
      </w:r>
      <w:r>
        <w:rPr>
          <w:rFonts w:hint="eastAsia" w:ascii="宋体" w:hAnsi="宋体" w:eastAsia="宋体" w:cs="宋体"/>
          <w:spacing w:val="3"/>
          <w:sz w:val="23"/>
          <w:szCs w:val="23"/>
        </w:rPr>
        <w:t>或者任何一方有腐败</w:t>
      </w:r>
      <w:r>
        <w:rPr>
          <w:rFonts w:hint="eastAsia" w:ascii="宋体" w:hAnsi="宋体" w:eastAsia="宋体" w:cs="宋体"/>
          <w:spacing w:val="1"/>
          <w:sz w:val="23"/>
          <w:szCs w:val="23"/>
        </w:rPr>
        <w:t>行</w:t>
      </w:r>
      <w:r>
        <w:rPr>
          <w:rFonts w:hint="eastAsia" w:ascii="宋体" w:hAnsi="宋体" w:eastAsia="宋体" w:cs="宋体"/>
          <w:spacing w:val="18"/>
          <w:sz w:val="23"/>
          <w:szCs w:val="23"/>
        </w:rPr>
        <w:t>为</w:t>
      </w:r>
      <w:r>
        <w:rPr>
          <w:rFonts w:hint="eastAsia" w:ascii="宋体" w:hAnsi="宋体" w:eastAsia="宋体" w:cs="宋体"/>
          <w:spacing w:val="18"/>
          <w:sz w:val="23"/>
          <w:szCs w:val="23"/>
          <w:lang w:eastAsia="zh-CN"/>
        </w:rPr>
        <w:t>（</w:t>
      </w:r>
      <w:r>
        <w:rPr>
          <w:rFonts w:hint="eastAsia" w:ascii="宋体" w:hAnsi="宋体" w:eastAsia="宋体" w:cs="宋体"/>
          <w:spacing w:val="18"/>
          <w:sz w:val="23"/>
          <w:szCs w:val="23"/>
        </w:rPr>
        <w:t>即</w:t>
      </w:r>
      <w:r>
        <w:rPr>
          <w:rFonts w:hint="eastAsia" w:ascii="宋体" w:hAnsi="宋体" w:eastAsia="宋体" w:cs="宋体"/>
          <w:spacing w:val="11"/>
          <w:sz w:val="23"/>
          <w:szCs w:val="23"/>
        </w:rPr>
        <w:t>：</w:t>
      </w:r>
      <w:r>
        <w:rPr>
          <w:rFonts w:hint="eastAsia" w:ascii="宋体" w:hAnsi="宋体" w:eastAsia="宋体" w:cs="宋体"/>
          <w:spacing w:val="9"/>
          <w:sz w:val="23"/>
          <w:szCs w:val="23"/>
        </w:rPr>
        <w:t>提供或给予或接受或索取任何财物或其他好处或者采取其他不正当手段来影响对方当事</w:t>
      </w:r>
      <w:r>
        <w:rPr>
          <w:rFonts w:hint="eastAsia" w:ascii="宋体" w:hAnsi="宋体" w:eastAsia="宋体" w:cs="宋体"/>
          <w:spacing w:val="8"/>
          <w:sz w:val="23"/>
          <w:szCs w:val="23"/>
        </w:rPr>
        <w:t>人在合同签订、履行过程中的行为</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或者欺诈行为</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即：以谎报事实或隐瞒真相的方法来影</w:t>
      </w:r>
      <w:r>
        <w:rPr>
          <w:rFonts w:hint="eastAsia" w:ascii="宋体" w:hAnsi="宋体" w:eastAsia="宋体" w:cs="宋体"/>
          <w:spacing w:val="7"/>
          <w:sz w:val="23"/>
          <w:szCs w:val="23"/>
        </w:rPr>
        <w:t>响</w:t>
      </w:r>
      <w:r>
        <w:rPr>
          <w:rFonts w:hint="eastAsia" w:ascii="宋体" w:hAnsi="宋体" w:eastAsia="宋体" w:cs="宋体"/>
          <w:sz w:val="23"/>
          <w:szCs w:val="23"/>
        </w:rPr>
        <w:t>对</w:t>
      </w:r>
      <w:r>
        <w:rPr>
          <w:rFonts w:hint="eastAsia" w:ascii="宋体" w:hAnsi="宋体" w:eastAsia="宋体" w:cs="宋体"/>
          <w:spacing w:val="10"/>
          <w:sz w:val="23"/>
          <w:szCs w:val="23"/>
        </w:rPr>
        <w:t>方当事人</w:t>
      </w:r>
      <w:r>
        <w:rPr>
          <w:rFonts w:hint="eastAsia" w:ascii="宋体" w:hAnsi="宋体" w:eastAsia="宋体" w:cs="宋体"/>
          <w:spacing w:val="7"/>
          <w:sz w:val="23"/>
          <w:szCs w:val="23"/>
        </w:rPr>
        <w:t>在</w:t>
      </w:r>
      <w:r>
        <w:rPr>
          <w:rFonts w:hint="eastAsia" w:ascii="宋体" w:hAnsi="宋体" w:eastAsia="宋体" w:cs="宋体"/>
          <w:spacing w:val="5"/>
          <w:sz w:val="23"/>
          <w:szCs w:val="23"/>
        </w:rPr>
        <w:t>合同签订、履行过程中的行为</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rPr>
        <w:t>的</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rPr>
        <w:t>对方当事人可以书面通知违约方解除本合同；</w:t>
      </w:r>
    </w:p>
    <w:p w14:paraId="0AF83C9C">
      <w:pPr>
        <w:pageBreakBefore w:val="0"/>
        <w:kinsoku/>
        <w:topLinePunct w:val="0"/>
        <w:bidi w:val="0"/>
        <w:spacing w:line="340" w:lineRule="auto"/>
        <w:ind w:left="10" w:right="2" w:firstLine="505"/>
        <w:rPr>
          <w:rFonts w:hint="eastAsia" w:ascii="宋体" w:hAnsi="宋体" w:eastAsia="宋体" w:cs="宋体"/>
          <w:sz w:val="23"/>
          <w:szCs w:val="23"/>
        </w:rPr>
      </w:pPr>
      <w:r>
        <w:rPr>
          <w:rFonts w:hint="eastAsia" w:ascii="宋体" w:hAnsi="宋体" w:eastAsia="宋体" w:cs="宋体"/>
          <w:spacing w:val="14"/>
          <w:sz w:val="23"/>
          <w:szCs w:val="23"/>
        </w:rPr>
        <w:t>1</w:t>
      </w:r>
      <w:r>
        <w:rPr>
          <w:rFonts w:hint="eastAsia" w:ascii="宋体" w:hAnsi="宋体" w:eastAsia="宋体" w:cs="宋体"/>
          <w:spacing w:val="8"/>
          <w:sz w:val="23"/>
          <w:szCs w:val="23"/>
        </w:rPr>
        <w:t>.</w:t>
      </w:r>
      <w:r>
        <w:rPr>
          <w:rFonts w:hint="eastAsia" w:ascii="宋体" w:hAnsi="宋体" w:eastAsia="宋体" w:cs="宋体"/>
          <w:spacing w:val="7"/>
          <w:sz w:val="23"/>
          <w:szCs w:val="23"/>
        </w:rPr>
        <w:t>6.2 任何一方按照前述约定要求违约方支付违约金的同时</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仍有权要求违约方继续履行合</w:t>
      </w:r>
      <w:r>
        <w:rPr>
          <w:rFonts w:hint="eastAsia" w:ascii="宋体" w:hAnsi="宋体" w:eastAsia="宋体" w:cs="宋体"/>
          <w:spacing w:val="4"/>
          <w:sz w:val="23"/>
          <w:szCs w:val="23"/>
        </w:rPr>
        <w:t>同、采取补救</w:t>
      </w:r>
      <w:r>
        <w:rPr>
          <w:rFonts w:hint="eastAsia" w:ascii="宋体" w:hAnsi="宋体" w:eastAsia="宋体" w:cs="宋体"/>
          <w:spacing w:val="2"/>
          <w:sz w:val="23"/>
          <w:szCs w:val="23"/>
        </w:rPr>
        <w:t>措施</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并有权按照己方实际损失情况要求违约方赔偿损失；任何一方按照前述约定要</w:t>
      </w:r>
      <w:r>
        <w:rPr>
          <w:rFonts w:hint="eastAsia" w:ascii="宋体" w:hAnsi="宋体" w:eastAsia="宋体" w:cs="宋体"/>
          <w:spacing w:val="10"/>
          <w:sz w:val="23"/>
          <w:szCs w:val="23"/>
        </w:rPr>
        <w:t>求解除本</w:t>
      </w:r>
      <w:r>
        <w:rPr>
          <w:rFonts w:hint="eastAsia" w:ascii="宋体" w:hAnsi="宋体" w:eastAsia="宋体" w:cs="宋体"/>
          <w:spacing w:val="8"/>
          <w:sz w:val="23"/>
          <w:szCs w:val="23"/>
        </w:rPr>
        <w:t>合</w:t>
      </w:r>
      <w:r>
        <w:rPr>
          <w:rFonts w:hint="eastAsia" w:ascii="宋体" w:hAnsi="宋体" w:eastAsia="宋体" w:cs="宋体"/>
          <w:spacing w:val="5"/>
          <w:sz w:val="23"/>
          <w:szCs w:val="23"/>
        </w:rPr>
        <w:t>同的同时</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rPr>
        <w:t>仍有权要求违约方支付违约金和按照己方实际损失情况要求违约方赔偿</w:t>
      </w:r>
      <w:r>
        <w:rPr>
          <w:rFonts w:hint="eastAsia" w:ascii="宋体" w:hAnsi="宋体" w:eastAsia="宋体" w:cs="宋体"/>
          <w:spacing w:val="6"/>
          <w:sz w:val="23"/>
          <w:szCs w:val="23"/>
        </w:rPr>
        <w:t>损失；且守约方行使的任何权利救济方式均不视为其放弃了其他法定或者约定的权利救济方</w:t>
      </w:r>
      <w:r>
        <w:rPr>
          <w:rFonts w:hint="eastAsia" w:ascii="宋体" w:hAnsi="宋体" w:eastAsia="宋体" w:cs="宋体"/>
          <w:spacing w:val="5"/>
          <w:sz w:val="23"/>
          <w:szCs w:val="23"/>
        </w:rPr>
        <w:t>式</w:t>
      </w:r>
      <w:r>
        <w:rPr>
          <w:rFonts w:hint="eastAsia" w:ascii="宋体" w:hAnsi="宋体" w:eastAsia="宋体" w:cs="宋体"/>
          <w:sz w:val="23"/>
          <w:szCs w:val="23"/>
        </w:rPr>
        <w:t>；</w:t>
      </w:r>
    </w:p>
    <w:p w14:paraId="545905E5">
      <w:pPr>
        <w:pageBreakBefore w:val="0"/>
        <w:kinsoku/>
        <w:topLinePunct w:val="0"/>
        <w:bidi w:val="0"/>
        <w:spacing w:line="346" w:lineRule="auto"/>
        <w:rPr>
          <w:rFonts w:hint="eastAsia" w:ascii="宋体" w:hAnsi="宋体" w:eastAsia="宋体" w:cs="宋体"/>
          <w:sz w:val="21"/>
        </w:rPr>
      </w:pPr>
      <w:r>
        <w:rPr>
          <w:rFonts w:hint="eastAsia" w:ascii="宋体" w:hAnsi="宋体" w:eastAsia="宋体" w:cs="宋体"/>
          <w:spacing w:val="4"/>
          <w:sz w:val="23"/>
          <w:szCs w:val="23"/>
        </w:rPr>
        <w:t>1</w:t>
      </w:r>
      <w:r>
        <w:rPr>
          <w:rFonts w:hint="eastAsia" w:ascii="宋体" w:hAnsi="宋体" w:eastAsia="宋体" w:cs="宋体"/>
          <w:spacing w:val="2"/>
          <w:sz w:val="23"/>
          <w:szCs w:val="23"/>
        </w:rPr>
        <w:t>.6.3  除前述约定外</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除不可抗力外</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任何一方未能履行本合同约定的义务</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对方当事人均有</w:t>
      </w:r>
      <w:r>
        <w:rPr>
          <w:rFonts w:hint="eastAsia" w:ascii="宋体" w:hAnsi="宋体" w:eastAsia="宋体" w:cs="宋体"/>
          <w:spacing w:val="6"/>
          <w:sz w:val="23"/>
          <w:szCs w:val="23"/>
        </w:rPr>
        <w:t>权要求继续履行、采取补救措施或者赔偿损失等</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rPr>
        <w:t>且对方当事人行使的任何权利救济方式</w:t>
      </w:r>
      <w:r>
        <w:rPr>
          <w:rFonts w:hint="eastAsia" w:ascii="宋体" w:hAnsi="宋体" w:eastAsia="宋体" w:cs="宋体"/>
          <w:spacing w:val="4"/>
          <w:sz w:val="23"/>
          <w:szCs w:val="23"/>
        </w:rPr>
        <w:t>均</w:t>
      </w:r>
      <w:r>
        <w:rPr>
          <w:rFonts w:hint="eastAsia" w:ascii="宋体" w:hAnsi="宋体" w:eastAsia="宋体" w:cs="宋体"/>
          <w:sz w:val="23"/>
          <w:szCs w:val="23"/>
        </w:rPr>
        <w:t>不</w:t>
      </w:r>
      <w:r>
        <w:rPr>
          <w:rFonts w:hint="eastAsia" w:ascii="宋体" w:hAnsi="宋体" w:eastAsia="宋体" w:cs="宋体"/>
          <w:spacing w:val="13"/>
          <w:sz w:val="23"/>
          <w:szCs w:val="23"/>
        </w:rPr>
        <w:t>视</w:t>
      </w:r>
      <w:r>
        <w:rPr>
          <w:rFonts w:hint="eastAsia" w:ascii="宋体" w:hAnsi="宋体" w:eastAsia="宋体" w:cs="宋体"/>
          <w:spacing w:val="7"/>
          <w:sz w:val="23"/>
          <w:szCs w:val="23"/>
        </w:rPr>
        <w:t>为其放弃了其他法定或者约定的权利救济方式；</w:t>
      </w:r>
    </w:p>
    <w:p w14:paraId="13DBD702">
      <w:pPr>
        <w:pageBreakBefore w:val="0"/>
        <w:kinsoku/>
        <w:topLinePunct w:val="0"/>
        <w:bidi w:val="0"/>
        <w:spacing w:before="99" w:line="336" w:lineRule="auto"/>
        <w:ind w:left="4" w:right="2" w:firstLine="509"/>
        <w:rPr>
          <w:rFonts w:hint="eastAsia" w:ascii="宋体" w:hAnsi="宋体" w:eastAsia="宋体" w:cs="宋体"/>
          <w:sz w:val="23"/>
          <w:szCs w:val="23"/>
        </w:rPr>
      </w:pPr>
      <w:r>
        <w:rPr>
          <w:rFonts w:hint="eastAsia" w:ascii="宋体" w:hAnsi="宋体" w:eastAsia="宋体" w:cs="宋体"/>
          <w:spacing w:val="14"/>
          <w:sz w:val="23"/>
          <w:szCs w:val="23"/>
        </w:rPr>
        <w:t>1</w:t>
      </w:r>
      <w:r>
        <w:rPr>
          <w:rFonts w:hint="eastAsia" w:ascii="宋体" w:hAnsi="宋体" w:eastAsia="宋体" w:cs="宋体"/>
          <w:spacing w:val="8"/>
          <w:sz w:val="23"/>
          <w:szCs w:val="23"/>
        </w:rPr>
        <w:t>.</w:t>
      </w:r>
      <w:r>
        <w:rPr>
          <w:rFonts w:hint="eastAsia" w:ascii="宋体" w:hAnsi="宋体" w:eastAsia="宋体" w:cs="宋体"/>
          <w:spacing w:val="7"/>
          <w:sz w:val="23"/>
          <w:szCs w:val="23"/>
        </w:rPr>
        <w:t>6.4 如果出现政府采购监督管理部门在处理投诉事项期间</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书面通知甲方暂停采购活动的</w:t>
      </w:r>
      <w:r>
        <w:rPr>
          <w:rFonts w:hint="eastAsia" w:ascii="宋体" w:hAnsi="宋体" w:eastAsia="宋体" w:cs="宋体"/>
          <w:spacing w:val="-1"/>
          <w:sz w:val="23"/>
          <w:szCs w:val="23"/>
        </w:rPr>
        <w:t>情形</w:t>
      </w:r>
      <w:r>
        <w:rPr>
          <w:rFonts w:hint="eastAsia" w:ascii="宋体" w:hAnsi="宋体" w:eastAsia="宋体" w:cs="宋体"/>
          <w:spacing w:val="-1"/>
          <w:sz w:val="23"/>
          <w:szCs w:val="23"/>
          <w:lang w:eastAsia="zh-CN"/>
        </w:rPr>
        <w:t>，</w:t>
      </w:r>
      <w:r>
        <w:rPr>
          <w:rFonts w:hint="eastAsia" w:ascii="宋体" w:hAnsi="宋体" w:eastAsia="宋体" w:cs="宋体"/>
          <w:spacing w:val="-1"/>
          <w:sz w:val="23"/>
          <w:szCs w:val="23"/>
        </w:rPr>
        <w:t>或者询问或质疑事项可能影响中标结果的</w:t>
      </w:r>
      <w:r>
        <w:rPr>
          <w:rFonts w:hint="eastAsia" w:ascii="宋体" w:hAnsi="宋体" w:eastAsia="宋体" w:cs="宋体"/>
          <w:spacing w:val="-1"/>
          <w:sz w:val="23"/>
          <w:szCs w:val="23"/>
          <w:lang w:eastAsia="zh-CN"/>
        </w:rPr>
        <w:t>，</w:t>
      </w:r>
      <w:r>
        <w:rPr>
          <w:rFonts w:hint="eastAsia" w:ascii="宋体" w:hAnsi="宋体" w:eastAsia="宋体" w:cs="宋体"/>
          <w:spacing w:val="-1"/>
          <w:sz w:val="23"/>
          <w:szCs w:val="23"/>
        </w:rPr>
        <w:t>导致甲方</w:t>
      </w:r>
      <w:r>
        <w:rPr>
          <w:rFonts w:hint="eastAsia" w:ascii="宋体" w:hAnsi="宋体" w:eastAsia="宋体" w:cs="宋体"/>
          <w:sz w:val="23"/>
          <w:szCs w:val="23"/>
        </w:rPr>
        <w:t>中止履行合同的情形</w:t>
      </w:r>
      <w:r>
        <w:rPr>
          <w:rFonts w:hint="eastAsia" w:ascii="宋体" w:hAnsi="宋体" w:eastAsia="宋体" w:cs="宋体"/>
          <w:sz w:val="23"/>
          <w:szCs w:val="23"/>
          <w:lang w:eastAsia="zh-CN"/>
        </w:rPr>
        <w:t>，</w:t>
      </w:r>
      <w:r>
        <w:rPr>
          <w:rFonts w:hint="eastAsia" w:ascii="宋体" w:hAnsi="宋体" w:eastAsia="宋体" w:cs="宋体"/>
          <w:sz w:val="23"/>
          <w:szCs w:val="23"/>
        </w:rPr>
        <w:t>均不视为甲方</w:t>
      </w:r>
      <w:r>
        <w:rPr>
          <w:rFonts w:hint="eastAsia" w:ascii="宋体" w:hAnsi="宋体" w:eastAsia="宋体" w:cs="宋体"/>
          <w:spacing w:val="1"/>
          <w:sz w:val="23"/>
          <w:szCs w:val="23"/>
        </w:rPr>
        <w:t>违约。</w:t>
      </w:r>
    </w:p>
    <w:p w14:paraId="4842476C">
      <w:pPr>
        <w:pageBreakBefore w:val="0"/>
        <w:kinsoku/>
        <w:topLinePunct w:val="0"/>
        <w:bidi w:val="0"/>
        <w:spacing w:line="191" w:lineRule="auto"/>
        <w:ind w:left="516"/>
        <w:outlineLvl w:val="0"/>
        <w:rPr>
          <w:rFonts w:hint="eastAsia" w:ascii="宋体" w:hAnsi="宋体" w:eastAsia="宋体" w:cs="宋体"/>
          <w:sz w:val="23"/>
          <w:szCs w:val="23"/>
        </w:rPr>
      </w:pPr>
      <w:r>
        <w:rPr>
          <w:rFonts w:hint="eastAsia" w:ascii="宋体" w:hAnsi="宋体" w:eastAsia="宋体" w:cs="宋体"/>
          <w:spacing w:val="16"/>
          <w:sz w:val="23"/>
          <w:szCs w:val="23"/>
        </w:rPr>
        <w:t>1</w:t>
      </w:r>
      <w:r>
        <w:rPr>
          <w:rFonts w:hint="eastAsia" w:ascii="宋体" w:hAnsi="宋体" w:eastAsia="宋体" w:cs="宋体"/>
          <w:spacing w:val="8"/>
          <w:sz w:val="23"/>
          <w:szCs w:val="23"/>
        </w:rPr>
        <w:t>.7 合同争议的解决</w:t>
      </w:r>
    </w:p>
    <w:p w14:paraId="596A22A7">
      <w:pPr>
        <w:pageBreakBefore w:val="0"/>
        <w:kinsoku/>
        <w:topLinePunct w:val="0"/>
        <w:bidi w:val="0"/>
        <w:spacing w:before="223" w:line="347" w:lineRule="auto"/>
        <w:ind w:left="8" w:firstLine="508"/>
        <w:rPr>
          <w:rFonts w:hint="eastAsia" w:ascii="宋体" w:hAnsi="宋体" w:eastAsia="宋体" w:cs="宋体"/>
          <w:sz w:val="23"/>
          <w:szCs w:val="23"/>
        </w:rPr>
      </w:pPr>
      <w:r>
        <w:rPr>
          <w:rFonts w:hint="eastAsia" w:ascii="宋体" w:hAnsi="宋体" w:eastAsia="宋体" w:cs="宋体"/>
          <w:spacing w:val="2"/>
          <w:sz w:val="23"/>
          <w:szCs w:val="23"/>
        </w:rPr>
        <w:t>本合同履行过程中发生的任何争议</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双方当事人均可通过和解或者调解解决；不愿</w:t>
      </w:r>
      <w:r>
        <w:rPr>
          <w:rFonts w:hint="eastAsia" w:ascii="宋体" w:hAnsi="宋体" w:eastAsia="宋体" w:cs="宋体"/>
          <w:spacing w:val="1"/>
          <w:sz w:val="23"/>
          <w:szCs w:val="23"/>
        </w:rPr>
        <w:t>和</w:t>
      </w:r>
      <w:r>
        <w:rPr>
          <w:rFonts w:hint="eastAsia" w:ascii="宋体" w:hAnsi="宋体" w:eastAsia="宋体" w:cs="宋体"/>
          <w:sz w:val="23"/>
          <w:szCs w:val="23"/>
        </w:rPr>
        <w:t>解、调</w:t>
      </w:r>
      <w:r>
        <w:rPr>
          <w:rFonts w:hint="eastAsia" w:ascii="宋体" w:hAnsi="宋体" w:eastAsia="宋体" w:cs="宋体"/>
          <w:spacing w:val="3"/>
          <w:sz w:val="23"/>
          <w:szCs w:val="23"/>
        </w:rPr>
        <w:t>解</w:t>
      </w:r>
      <w:r>
        <w:rPr>
          <w:rFonts w:hint="eastAsia" w:ascii="宋体" w:hAnsi="宋体" w:eastAsia="宋体" w:cs="宋体"/>
          <w:spacing w:val="2"/>
          <w:sz w:val="23"/>
          <w:szCs w:val="23"/>
        </w:rPr>
        <w:t>或者和解、调解不成的</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可以选择下列第</w:t>
      </w:r>
      <w:r>
        <w:rPr>
          <w:rFonts w:hint="eastAsia" w:ascii="宋体" w:hAnsi="宋体" w:eastAsia="宋体" w:cs="宋体"/>
          <w:spacing w:val="2"/>
          <w:sz w:val="23"/>
          <w:szCs w:val="23"/>
          <w:u w:val="single" w:color="auto"/>
        </w:rPr>
        <w:t>二</w:t>
      </w:r>
      <w:r>
        <w:rPr>
          <w:rFonts w:hint="eastAsia" w:ascii="宋体" w:hAnsi="宋体" w:eastAsia="宋体" w:cs="宋体"/>
          <w:spacing w:val="2"/>
          <w:sz w:val="23"/>
          <w:szCs w:val="23"/>
        </w:rPr>
        <w:t>种方式解决：</w:t>
      </w:r>
    </w:p>
    <w:p w14:paraId="53790DD3">
      <w:pPr>
        <w:pageBreakBefore w:val="0"/>
        <w:kinsoku/>
        <w:topLinePunct w:val="0"/>
        <w:bidi w:val="0"/>
        <w:spacing w:before="1" w:line="190" w:lineRule="auto"/>
        <w:ind w:left="516"/>
        <w:rPr>
          <w:rFonts w:hint="eastAsia" w:ascii="宋体" w:hAnsi="宋体" w:eastAsia="宋体" w:cs="宋体"/>
          <w:sz w:val="23"/>
          <w:szCs w:val="23"/>
        </w:rPr>
      </w:pPr>
      <w:r>
        <w:rPr>
          <w:rFonts w:hint="eastAsia" w:ascii="宋体" w:hAnsi="宋体" w:eastAsia="宋体" w:cs="宋体"/>
          <w:spacing w:val="7"/>
          <w:sz w:val="23"/>
          <w:szCs w:val="23"/>
        </w:rPr>
        <w:t>1.7.1 将争议提交</w:t>
      </w:r>
      <w:r>
        <w:rPr>
          <w:rFonts w:hint="eastAsia" w:ascii="宋体" w:hAnsi="宋体" w:eastAsia="宋体" w:cs="宋体"/>
          <w:spacing w:val="7"/>
          <w:sz w:val="23"/>
          <w:szCs w:val="23"/>
          <w:u w:val="single" w:color="auto"/>
        </w:rPr>
        <w:t xml:space="preserve">        </w:t>
      </w:r>
      <w:r>
        <w:rPr>
          <w:rFonts w:hint="eastAsia" w:ascii="宋体" w:hAnsi="宋体" w:eastAsia="宋体" w:cs="宋体"/>
          <w:spacing w:val="7"/>
          <w:sz w:val="23"/>
          <w:szCs w:val="23"/>
        </w:rPr>
        <w:t xml:space="preserve"> 仲裁委员会依申请仲裁时其现行有效的仲裁规则裁决</w:t>
      </w:r>
      <w:r>
        <w:rPr>
          <w:rFonts w:hint="eastAsia" w:ascii="宋体" w:hAnsi="宋体" w:eastAsia="宋体" w:cs="宋体"/>
          <w:spacing w:val="3"/>
          <w:sz w:val="23"/>
          <w:szCs w:val="23"/>
        </w:rPr>
        <w:t>；</w:t>
      </w:r>
    </w:p>
    <w:p w14:paraId="436EB63F">
      <w:pPr>
        <w:pageBreakBefore w:val="0"/>
        <w:kinsoku/>
        <w:topLinePunct w:val="0"/>
        <w:bidi w:val="0"/>
        <w:spacing w:before="242" w:line="192" w:lineRule="auto"/>
        <w:ind w:left="516"/>
        <w:rPr>
          <w:rFonts w:hint="eastAsia" w:ascii="宋体" w:hAnsi="宋体" w:eastAsia="宋体" w:cs="宋体"/>
          <w:sz w:val="23"/>
          <w:szCs w:val="23"/>
        </w:rPr>
      </w:pPr>
      <w:r>
        <w:rPr>
          <w:rFonts w:hint="eastAsia" w:ascii="宋体" w:hAnsi="宋体" w:eastAsia="宋体" w:cs="宋体"/>
          <w:spacing w:val="8"/>
          <w:sz w:val="23"/>
          <w:szCs w:val="23"/>
        </w:rPr>
        <w:t>1</w:t>
      </w:r>
      <w:r>
        <w:rPr>
          <w:rFonts w:hint="eastAsia" w:ascii="宋体" w:hAnsi="宋体" w:eastAsia="宋体" w:cs="宋体"/>
          <w:spacing w:val="5"/>
          <w:sz w:val="23"/>
          <w:szCs w:val="23"/>
        </w:rPr>
        <w:t>.7.2  向</w:t>
      </w:r>
      <w:r>
        <w:rPr>
          <w:rFonts w:hint="eastAsia" w:ascii="宋体" w:hAnsi="宋体" w:eastAsia="宋体" w:cs="宋体"/>
          <w:spacing w:val="5"/>
          <w:sz w:val="23"/>
          <w:szCs w:val="23"/>
          <w:u w:val="single" w:color="auto"/>
        </w:rPr>
        <w:t>合同履行地</w:t>
      </w:r>
      <w:r>
        <w:rPr>
          <w:rFonts w:hint="eastAsia" w:ascii="宋体" w:hAnsi="宋体" w:eastAsia="宋体" w:cs="宋体"/>
          <w:spacing w:val="5"/>
          <w:sz w:val="23"/>
          <w:szCs w:val="23"/>
        </w:rPr>
        <w:t>人民法院起诉。</w:t>
      </w:r>
    </w:p>
    <w:p w14:paraId="6A1337A3">
      <w:pPr>
        <w:pageBreakBefore w:val="0"/>
        <w:kinsoku/>
        <w:topLinePunct w:val="0"/>
        <w:bidi w:val="0"/>
        <w:spacing w:before="53" w:line="191" w:lineRule="auto"/>
        <w:ind w:left="516"/>
        <w:outlineLvl w:val="0"/>
        <w:rPr>
          <w:rFonts w:hint="eastAsia" w:ascii="宋体" w:hAnsi="宋体" w:eastAsia="宋体" w:cs="宋体"/>
          <w:sz w:val="23"/>
          <w:szCs w:val="23"/>
        </w:rPr>
      </w:pPr>
      <w:r>
        <w:rPr>
          <w:rFonts w:hint="eastAsia" w:ascii="宋体" w:hAnsi="宋体" w:eastAsia="宋体" w:cs="宋体"/>
          <w:spacing w:val="8"/>
          <w:sz w:val="23"/>
          <w:szCs w:val="23"/>
        </w:rPr>
        <w:t>1.8 合同生</w:t>
      </w:r>
      <w:r>
        <w:rPr>
          <w:rFonts w:hint="eastAsia" w:ascii="宋体" w:hAnsi="宋体" w:eastAsia="宋体" w:cs="宋体"/>
          <w:spacing w:val="7"/>
          <w:sz w:val="23"/>
          <w:szCs w:val="23"/>
        </w:rPr>
        <w:t>效</w:t>
      </w:r>
    </w:p>
    <w:p w14:paraId="58D0EAF1">
      <w:pPr>
        <w:pageBreakBefore w:val="0"/>
        <w:kinsoku/>
        <w:topLinePunct w:val="0"/>
        <w:bidi w:val="0"/>
        <w:spacing w:before="243" w:line="191" w:lineRule="auto"/>
        <w:ind w:left="494"/>
        <w:rPr>
          <w:rFonts w:hint="eastAsia" w:ascii="宋体" w:hAnsi="宋体" w:eastAsia="宋体" w:cs="宋体"/>
          <w:sz w:val="23"/>
          <w:szCs w:val="23"/>
        </w:rPr>
      </w:pPr>
      <w:r>
        <w:rPr>
          <w:rFonts w:hint="eastAsia" w:ascii="宋体" w:hAnsi="宋体" w:eastAsia="宋体" w:cs="宋体"/>
          <w:spacing w:val="9"/>
          <w:sz w:val="23"/>
          <w:szCs w:val="23"/>
        </w:rPr>
        <w:t>本</w:t>
      </w:r>
      <w:r>
        <w:rPr>
          <w:rFonts w:hint="eastAsia" w:ascii="宋体" w:hAnsi="宋体" w:eastAsia="宋体" w:cs="宋体"/>
          <w:spacing w:val="7"/>
          <w:sz w:val="23"/>
          <w:szCs w:val="23"/>
        </w:rPr>
        <w:t>合同自双方当事人盖章或者签字时生效。</w:t>
      </w:r>
    </w:p>
    <w:p w14:paraId="12B33129">
      <w:pPr>
        <w:pageBreakBefore w:val="0"/>
        <w:kinsoku/>
        <w:topLinePunct w:val="0"/>
        <w:bidi w:val="0"/>
        <w:rPr>
          <w:rFonts w:hint="eastAsia" w:ascii="宋体" w:hAnsi="宋体" w:eastAsia="宋体" w:cs="宋体"/>
        </w:rPr>
      </w:pPr>
    </w:p>
    <w:p w14:paraId="0805157E">
      <w:pPr>
        <w:pageBreakBefore w:val="0"/>
        <w:kinsoku/>
        <w:topLinePunct w:val="0"/>
        <w:bidi w:val="0"/>
        <w:spacing w:before="1" w:line="190" w:lineRule="auto"/>
        <w:ind w:left="516"/>
        <w:rPr>
          <w:rFonts w:hint="eastAsia" w:ascii="宋体" w:hAnsi="宋体" w:eastAsia="宋体" w:cs="宋体"/>
          <w:spacing w:val="7"/>
          <w:sz w:val="23"/>
          <w:szCs w:val="23"/>
        </w:rPr>
      </w:pPr>
    </w:p>
    <w:p w14:paraId="755D612E">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甲方：</w:t>
      </w:r>
      <w:r>
        <w:rPr>
          <w:rFonts w:hint="eastAsia" w:ascii="宋体" w:hAnsi="宋体" w:eastAsia="宋体" w:cs="宋体"/>
          <w:spacing w:val="7"/>
          <w:sz w:val="23"/>
          <w:szCs w:val="23"/>
          <w:lang w:val="en-US" w:eastAsia="zh-CN"/>
        </w:rPr>
        <w:t xml:space="preserve">                                                  乙</w:t>
      </w:r>
      <w:r>
        <w:rPr>
          <w:rFonts w:hint="eastAsia" w:ascii="宋体" w:hAnsi="宋体" w:eastAsia="宋体" w:cs="宋体"/>
          <w:spacing w:val="7"/>
          <w:sz w:val="23"/>
          <w:szCs w:val="23"/>
        </w:rPr>
        <w:t>方：</w:t>
      </w:r>
    </w:p>
    <w:p w14:paraId="39385498">
      <w:pPr>
        <w:pageBreakBefore w:val="0"/>
        <w:kinsoku/>
        <w:topLinePunct w:val="0"/>
        <w:bidi w:val="0"/>
        <w:spacing w:before="1" w:line="190" w:lineRule="auto"/>
        <w:ind w:left="516"/>
        <w:rPr>
          <w:rFonts w:hint="eastAsia" w:ascii="宋体" w:hAnsi="宋体" w:eastAsia="宋体" w:cs="宋体"/>
          <w:spacing w:val="7"/>
          <w:sz w:val="23"/>
          <w:szCs w:val="23"/>
        </w:rPr>
      </w:pPr>
    </w:p>
    <w:p w14:paraId="3165F52D">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法定代表人或授权代表</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签字</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 xml:space="preserve">  ：</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法定代表人或授权代表</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签字</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 xml:space="preserve">  ：</w:t>
      </w:r>
    </w:p>
    <w:p w14:paraId="05C6485A">
      <w:pPr>
        <w:pageBreakBefore w:val="0"/>
        <w:kinsoku/>
        <w:topLinePunct w:val="0"/>
        <w:bidi w:val="0"/>
        <w:spacing w:before="1" w:line="190" w:lineRule="auto"/>
        <w:ind w:left="516"/>
        <w:rPr>
          <w:rFonts w:hint="eastAsia" w:ascii="宋体" w:hAnsi="宋体" w:eastAsia="宋体" w:cs="宋体"/>
          <w:spacing w:val="7"/>
          <w:sz w:val="23"/>
          <w:szCs w:val="23"/>
        </w:rPr>
      </w:pPr>
    </w:p>
    <w:p w14:paraId="18C9E5B9">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联系人：</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联系人：</w:t>
      </w:r>
    </w:p>
    <w:p w14:paraId="2B7EC730">
      <w:pPr>
        <w:pageBreakBefore w:val="0"/>
        <w:kinsoku/>
        <w:topLinePunct w:val="0"/>
        <w:bidi w:val="0"/>
        <w:spacing w:before="1" w:line="190" w:lineRule="auto"/>
        <w:ind w:left="516"/>
        <w:rPr>
          <w:rFonts w:hint="eastAsia" w:ascii="宋体" w:hAnsi="宋体" w:eastAsia="宋体" w:cs="宋体"/>
          <w:spacing w:val="7"/>
          <w:sz w:val="23"/>
          <w:szCs w:val="23"/>
        </w:rPr>
      </w:pPr>
    </w:p>
    <w:p w14:paraId="74C8D1B9">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电话</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电话</w:t>
      </w:r>
      <w:r>
        <w:rPr>
          <w:rFonts w:hint="eastAsia" w:ascii="宋体" w:hAnsi="宋体" w:eastAsia="宋体" w:cs="宋体"/>
          <w:spacing w:val="7"/>
          <w:sz w:val="23"/>
          <w:szCs w:val="23"/>
          <w:lang w:eastAsia="zh-CN"/>
        </w:rPr>
        <w:t>：</w:t>
      </w:r>
    </w:p>
    <w:p w14:paraId="17DE026A">
      <w:pPr>
        <w:pageBreakBefore w:val="0"/>
        <w:kinsoku/>
        <w:topLinePunct w:val="0"/>
        <w:bidi w:val="0"/>
        <w:spacing w:before="1" w:line="190" w:lineRule="auto"/>
        <w:ind w:left="516"/>
        <w:rPr>
          <w:rFonts w:hint="eastAsia" w:ascii="宋体" w:hAnsi="宋体" w:eastAsia="宋体" w:cs="宋体"/>
          <w:spacing w:val="7"/>
          <w:sz w:val="23"/>
          <w:szCs w:val="23"/>
        </w:rPr>
      </w:pPr>
    </w:p>
    <w:p w14:paraId="3ECA1C44">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电子邮箱：</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电子邮箱：</w:t>
      </w:r>
    </w:p>
    <w:p w14:paraId="1D5B89F1">
      <w:pPr>
        <w:pageBreakBefore w:val="0"/>
        <w:kinsoku/>
        <w:topLinePunct w:val="0"/>
        <w:bidi w:val="0"/>
        <w:spacing w:before="1" w:line="190" w:lineRule="auto"/>
        <w:ind w:left="516"/>
        <w:rPr>
          <w:rFonts w:hint="eastAsia" w:ascii="宋体" w:hAnsi="宋体" w:eastAsia="宋体" w:cs="宋体"/>
          <w:spacing w:val="7"/>
          <w:sz w:val="23"/>
          <w:szCs w:val="23"/>
        </w:rPr>
      </w:pPr>
    </w:p>
    <w:p w14:paraId="04843A9D">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开户银行：</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开户银行：</w:t>
      </w:r>
    </w:p>
    <w:p w14:paraId="5C98C191">
      <w:pPr>
        <w:pageBreakBefore w:val="0"/>
        <w:kinsoku/>
        <w:topLinePunct w:val="0"/>
        <w:bidi w:val="0"/>
        <w:spacing w:before="1" w:line="190" w:lineRule="auto"/>
        <w:ind w:left="516"/>
        <w:rPr>
          <w:rFonts w:hint="eastAsia" w:ascii="宋体" w:hAnsi="宋体" w:eastAsia="宋体" w:cs="宋体"/>
          <w:spacing w:val="7"/>
          <w:sz w:val="23"/>
          <w:szCs w:val="23"/>
        </w:rPr>
      </w:pPr>
    </w:p>
    <w:p w14:paraId="2974A997">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开户名称：</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开户名称：</w:t>
      </w:r>
    </w:p>
    <w:p w14:paraId="787D61C5">
      <w:pPr>
        <w:pageBreakBefore w:val="0"/>
        <w:kinsoku/>
        <w:topLinePunct w:val="0"/>
        <w:bidi w:val="0"/>
        <w:spacing w:before="1" w:line="190" w:lineRule="auto"/>
        <w:ind w:left="516"/>
        <w:rPr>
          <w:rFonts w:hint="eastAsia" w:ascii="宋体" w:hAnsi="宋体" w:eastAsia="宋体" w:cs="宋体"/>
          <w:spacing w:val="7"/>
          <w:sz w:val="23"/>
          <w:szCs w:val="23"/>
        </w:rPr>
      </w:pPr>
    </w:p>
    <w:p w14:paraId="61C64A6B">
      <w:pPr>
        <w:pageBreakBefore w:val="0"/>
        <w:kinsoku/>
        <w:topLinePunct w:val="0"/>
        <w:bidi w:val="0"/>
        <w:spacing w:before="1" w:line="190" w:lineRule="auto"/>
        <w:ind w:left="516"/>
        <w:rPr>
          <w:rFonts w:hint="eastAsia" w:ascii="宋体" w:hAnsi="宋体" w:eastAsia="宋体" w:cs="宋体"/>
          <w:spacing w:val="7"/>
          <w:sz w:val="23"/>
          <w:szCs w:val="23"/>
        </w:rPr>
      </w:pPr>
      <w:r>
        <w:rPr>
          <w:rFonts w:hint="eastAsia" w:ascii="宋体" w:hAnsi="宋体" w:eastAsia="宋体" w:cs="宋体"/>
          <w:spacing w:val="7"/>
          <w:sz w:val="23"/>
          <w:szCs w:val="23"/>
        </w:rPr>
        <w:t>开户账号：</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开户账号：</w:t>
      </w:r>
    </w:p>
    <w:p w14:paraId="5A23607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8"/>
          <w:szCs w:val="36"/>
          <w:lang w:val="en-US" w:eastAsia="zh-CN"/>
        </w:rPr>
      </w:pPr>
    </w:p>
    <w:p w14:paraId="3CD88C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8"/>
          <w:szCs w:val="28"/>
          <w:highlight w:val="none"/>
          <w:lang w:val="en-US" w:eastAsia="zh-CN"/>
        </w:rPr>
        <w:sectPr>
          <w:pgSz w:w="11906" w:h="16838"/>
          <w:pgMar w:top="1417" w:right="1440" w:bottom="1440" w:left="1440" w:header="851" w:footer="992" w:gutter="0"/>
          <w:pgNumType w:fmt="decimal"/>
          <w:cols w:space="720" w:num="1"/>
          <w:docGrid w:linePitch="312" w:charSpace="0"/>
        </w:sectPr>
      </w:pPr>
      <w:r>
        <w:rPr>
          <w:rFonts w:hint="eastAsia" w:ascii="宋体" w:hAnsi="宋体" w:eastAsia="宋体" w:cs="宋体"/>
          <w:b/>
          <w:color w:val="auto"/>
          <w:sz w:val="28"/>
          <w:szCs w:val="28"/>
          <w:highlight w:val="none"/>
          <w:lang w:val="en-US" w:eastAsia="zh-CN"/>
        </w:rPr>
        <w:t>以上合同文本为合同样稿，最终稿由甲乙双方协商后确定</w:t>
      </w:r>
    </w:p>
    <w:p w14:paraId="3643B5AD">
      <w:pPr>
        <w:widowControl/>
        <w:spacing w:line="500" w:lineRule="exact"/>
        <w:jc w:val="center"/>
        <w:rPr>
          <w:rFonts w:hint="eastAsia" w:ascii="宋体" w:hAnsi="宋体"/>
          <w:b/>
          <w:bCs/>
          <w:color w:val="auto"/>
          <w:sz w:val="36"/>
          <w:szCs w:val="36"/>
          <w:highlight w:val="none"/>
        </w:rPr>
      </w:pPr>
      <w:r>
        <w:rPr>
          <w:rFonts w:hint="eastAsia" w:ascii="宋体" w:hAnsi="宋体"/>
          <w:b/>
          <w:bCs/>
          <w:color w:val="auto"/>
          <w:sz w:val="36"/>
          <w:szCs w:val="36"/>
          <w:highlight w:val="none"/>
        </w:rPr>
        <w:t>招标代理协议书</w:t>
      </w:r>
    </w:p>
    <w:p w14:paraId="45052F1E">
      <w:pPr>
        <w:pStyle w:val="4"/>
        <w:rPr>
          <w:color w:val="auto"/>
          <w:sz w:val="8"/>
          <w:szCs w:val="8"/>
          <w:highlight w:val="none"/>
        </w:rPr>
      </w:pPr>
    </w:p>
    <w:p w14:paraId="72DA58C6">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甲 方（委托单位）：</w:t>
      </w:r>
      <w:r>
        <w:rPr>
          <w:rFonts w:hint="eastAsia" w:ascii="宋体" w:hAnsi="宋体" w:eastAsia="宋体" w:cs="宋体"/>
          <w:bCs/>
          <w:color w:val="auto"/>
          <w:sz w:val="28"/>
          <w:szCs w:val="28"/>
          <w:u w:val="single"/>
          <w:lang w:val="en-US" w:eastAsia="zh-CN"/>
        </w:rPr>
        <w:t xml:space="preserve"> </w:t>
      </w:r>
      <w:r>
        <w:rPr>
          <w:rFonts w:hint="eastAsia" w:ascii="宋体" w:hAnsi="宋体" w:cs="宋体"/>
          <w:bCs/>
          <w:color w:val="auto"/>
          <w:sz w:val="28"/>
          <w:szCs w:val="28"/>
          <w:u w:val="single"/>
          <w:lang w:val="en-US" w:eastAsia="zh-CN"/>
        </w:rPr>
        <w:t>柯坪县自然资源局</w:t>
      </w:r>
      <w:r>
        <w:rPr>
          <w:rFonts w:hint="eastAsia" w:ascii="宋体" w:hAnsi="宋体" w:eastAsia="宋体" w:cs="宋体"/>
          <w:bCs/>
          <w:color w:val="auto"/>
          <w:sz w:val="28"/>
          <w:szCs w:val="28"/>
          <w:u w:val="single"/>
          <w:lang w:val="en-US" w:eastAsia="zh-CN"/>
        </w:rPr>
        <w:t xml:space="preserve">                                       </w:t>
      </w:r>
    </w:p>
    <w:p w14:paraId="40D3F5C3">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rPr>
        <w:t>乙 方（招标机构）：</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lang w:eastAsia="zh-CN"/>
        </w:rPr>
        <w:t>阿克苏疆山项目管理有限公司</w:t>
      </w:r>
      <w:r>
        <w:rPr>
          <w:rFonts w:hint="eastAsia" w:ascii="宋体" w:hAnsi="宋体" w:eastAsia="宋体" w:cs="宋体"/>
          <w:bCs/>
          <w:color w:val="auto"/>
          <w:sz w:val="28"/>
          <w:szCs w:val="28"/>
          <w:u w:val="single"/>
          <w:lang w:val="en-US" w:eastAsia="zh-CN"/>
        </w:rPr>
        <w:t xml:space="preserve">                          </w:t>
      </w:r>
    </w:p>
    <w:p w14:paraId="2AF5769D">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rPr>
        <w:t>委   托  时   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202</w:t>
      </w:r>
      <w:r>
        <w:rPr>
          <w:rFonts w:hint="eastAsia" w:ascii="宋体" w:hAnsi="宋体" w:cs="宋体"/>
          <w:bCs/>
          <w:color w:val="auto"/>
          <w:sz w:val="28"/>
          <w:szCs w:val="28"/>
          <w:u w:val="single"/>
          <w:lang w:val="en-US" w:eastAsia="zh-CN"/>
        </w:rPr>
        <w:t>5</w:t>
      </w:r>
      <w:r>
        <w:rPr>
          <w:rFonts w:hint="eastAsia" w:ascii="宋体" w:hAnsi="宋体" w:eastAsia="宋体" w:cs="宋体"/>
          <w:bCs/>
          <w:color w:val="auto"/>
          <w:sz w:val="28"/>
          <w:szCs w:val="28"/>
          <w:u w:val="single"/>
          <w:lang w:val="en-US" w:eastAsia="zh-CN"/>
        </w:rPr>
        <w:t>年</w:t>
      </w:r>
      <w:r>
        <w:rPr>
          <w:rFonts w:hint="eastAsia" w:ascii="宋体" w:hAnsi="宋体" w:cs="宋体"/>
          <w:bCs/>
          <w:color w:val="auto"/>
          <w:sz w:val="28"/>
          <w:szCs w:val="28"/>
          <w:u w:val="single"/>
          <w:lang w:val="en-US" w:eastAsia="zh-CN"/>
        </w:rPr>
        <w:t>02</w:t>
      </w:r>
      <w:r>
        <w:rPr>
          <w:rFonts w:hint="eastAsia" w:ascii="宋体" w:hAnsi="宋体" w:eastAsia="宋体" w:cs="宋体"/>
          <w:bCs/>
          <w:color w:val="auto"/>
          <w:sz w:val="28"/>
          <w:szCs w:val="28"/>
          <w:u w:val="single"/>
          <w:lang w:val="en-US" w:eastAsia="zh-CN"/>
        </w:rPr>
        <w:t>月</w:t>
      </w:r>
      <w:r>
        <w:rPr>
          <w:rFonts w:hint="eastAsia" w:ascii="宋体" w:hAnsi="宋体" w:cs="宋体"/>
          <w:bCs/>
          <w:color w:val="auto"/>
          <w:sz w:val="28"/>
          <w:szCs w:val="28"/>
          <w:u w:val="single"/>
          <w:lang w:val="en-US" w:eastAsia="zh-CN"/>
        </w:rPr>
        <w:t>06</w:t>
      </w:r>
      <w:r>
        <w:rPr>
          <w:rFonts w:hint="eastAsia" w:ascii="宋体" w:hAnsi="宋体" w:eastAsia="宋体" w:cs="宋体"/>
          <w:bCs/>
          <w:color w:val="auto"/>
          <w:sz w:val="28"/>
          <w:szCs w:val="28"/>
          <w:u w:val="single"/>
          <w:lang w:val="en-US" w:eastAsia="zh-CN"/>
        </w:rPr>
        <w:t xml:space="preserve">日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 xml:space="preserve">    </w:t>
      </w:r>
    </w:p>
    <w:p w14:paraId="7CEA05DD">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bCs/>
          <w:color w:val="auto"/>
          <w:sz w:val="28"/>
          <w:szCs w:val="28"/>
        </w:rPr>
        <w:t xml:space="preserve">委   托  </w:t>
      </w:r>
      <w:r>
        <w:rPr>
          <w:rFonts w:hint="eastAsia" w:ascii="宋体" w:hAnsi="宋体" w:eastAsia="宋体" w:cs="宋体"/>
          <w:bCs/>
          <w:color w:val="auto"/>
          <w:sz w:val="28"/>
          <w:szCs w:val="28"/>
          <w:lang w:eastAsia="zh-CN"/>
        </w:rPr>
        <w:t>事</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项</w:t>
      </w:r>
      <w:r>
        <w:rPr>
          <w:rFonts w:hint="eastAsia" w:ascii="宋体" w:hAnsi="宋体" w:eastAsia="宋体" w:cs="宋体"/>
          <w:bCs/>
          <w:color w:val="auto"/>
          <w:sz w:val="28"/>
          <w:szCs w:val="28"/>
        </w:rPr>
        <w:t>：</w:t>
      </w:r>
      <w:r>
        <w:rPr>
          <w:rFonts w:hint="eastAsia" w:ascii="宋体" w:hAnsi="宋体" w:cs="宋体"/>
          <w:bCs/>
          <w:color w:val="auto"/>
          <w:sz w:val="28"/>
          <w:szCs w:val="28"/>
          <w:u w:val="single"/>
          <w:lang w:val="en-US" w:eastAsia="zh-CN"/>
        </w:rPr>
        <w:t>柯坪县自然资源局</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none"/>
          <w:lang w:val="en-US" w:eastAsia="zh-CN"/>
        </w:rPr>
        <w:t>（甲方）</w:t>
      </w:r>
      <w:r>
        <w:rPr>
          <w:rFonts w:hint="eastAsia" w:ascii="宋体" w:hAnsi="宋体" w:eastAsia="宋体" w:cs="宋体"/>
          <w:color w:val="auto"/>
          <w:sz w:val="28"/>
          <w:szCs w:val="28"/>
          <w:u w:val="none"/>
          <w:lang w:val="en-US" w:eastAsia="zh-CN"/>
        </w:rPr>
        <w:t xml:space="preserve">对 </w:t>
      </w:r>
      <w:r>
        <w:rPr>
          <w:rFonts w:hint="eastAsia" w:ascii="宋体" w:hAnsi="宋体" w:cs="宋体"/>
          <w:color w:val="auto"/>
          <w:sz w:val="28"/>
          <w:szCs w:val="28"/>
          <w:u w:val="single"/>
          <w:lang w:val="en-US" w:eastAsia="zh-CN"/>
        </w:rPr>
        <w:t>柯坪县“十五五”自然资源规划修编项目（二次）</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（项目名称）</w:t>
      </w:r>
      <w:r>
        <w:rPr>
          <w:rFonts w:hint="eastAsia" w:ascii="宋体" w:hAnsi="宋体" w:eastAsia="宋体" w:cs="宋体"/>
          <w:color w:val="auto"/>
          <w:sz w:val="28"/>
          <w:szCs w:val="28"/>
          <w:u w:val="none"/>
        </w:rPr>
        <w:t>按</w:t>
      </w:r>
      <w:r>
        <w:rPr>
          <w:rFonts w:hint="eastAsia" w:ascii="宋体" w:hAnsi="宋体" w:eastAsia="宋体" w:cs="宋体"/>
          <w:color w:val="auto"/>
          <w:sz w:val="28"/>
          <w:szCs w:val="28"/>
          <w:u w:val="none"/>
          <w:lang w:eastAsia="zh-CN"/>
        </w:rPr>
        <w:t>照</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竞争性磋商</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方式进行采购</w:t>
      </w:r>
      <w:r>
        <w:rPr>
          <w:rFonts w:hint="eastAsia" w:ascii="宋体" w:hAnsi="宋体" w:eastAsia="宋体" w:cs="宋体"/>
          <w:color w:val="auto"/>
          <w:sz w:val="28"/>
          <w:szCs w:val="28"/>
        </w:rPr>
        <w:t>，由</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bCs/>
          <w:color w:val="auto"/>
          <w:sz w:val="28"/>
          <w:szCs w:val="28"/>
          <w:u w:val="single"/>
          <w:lang w:eastAsia="zh-CN"/>
        </w:rPr>
        <w:t>阿克苏疆山项目管理有限公司</w:t>
      </w:r>
      <w:r>
        <w:rPr>
          <w:rFonts w:hint="eastAsia" w:ascii="宋体" w:hAnsi="宋体" w:eastAsia="宋体" w:cs="宋体"/>
          <w:color w:val="auto"/>
          <w:sz w:val="28"/>
          <w:szCs w:val="28"/>
        </w:rPr>
        <w:t>为</w:t>
      </w:r>
      <w:r>
        <w:rPr>
          <w:rFonts w:hint="eastAsia" w:ascii="宋体" w:hAnsi="宋体" w:eastAsia="宋体" w:cs="宋体"/>
          <w:color w:val="auto"/>
          <w:sz w:val="28"/>
          <w:szCs w:val="28"/>
          <w:lang w:eastAsia="zh-CN"/>
        </w:rPr>
        <w:t>本项目</w:t>
      </w:r>
      <w:r>
        <w:rPr>
          <w:rFonts w:hint="eastAsia" w:ascii="宋体" w:hAnsi="宋体" w:eastAsia="宋体" w:cs="宋体"/>
          <w:color w:val="auto"/>
          <w:sz w:val="28"/>
          <w:szCs w:val="28"/>
          <w:lang w:val="en-US" w:eastAsia="zh-CN"/>
        </w:rPr>
        <w:t>代理</w:t>
      </w:r>
      <w:r>
        <w:rPr>
          <w:rFonts w:hint="eastAsia" w:ascii="宋体" w:hAnsi="宋体" w:eastAsia="宋体" w:cs="宋体"/>
          <w:color w:val="auto"/>
          <w:sz w:val="28"/>
          <w:szCs w:val="28"/>
        </w:rPr>
        <w:t>方。甲乙双方经协商一致，达成如下协议：</w:t>
      </w:r>
    </w:p>
    <w:p w14:paraId="3ABEF6E4">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一、总则</w:t>
      </w:r>
    </w:p>
    <w:p w14:paraId="743D9A5B">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 双方根据国家法律规定建立委托代理关系，双方严格遵守和执行国家各项方针政策和有关</w:t>
      </w:r>
      <w:r>
        <w:rPr>
          <w:rFonts w:hint="eastAsia" w:ascii="宋体" w:hAnsi="宋体" w:eastAsia="宋体" w:cs="宋体"/>
          <w:color w:val="auto"/>
          <w:sz w:val="28"/>
          <w:szCs w:val="28"/>
          <w:lang w:eastAsia="zh-CN"/>
        </w:rPr>
        <w:t>法律法规</w:t>
      </w:r>
      <w:r>
        <w:rPr>
          <w:rFonts w:hint="eastAsia" w:ascii="宋体" w:hAnsi="宋体" w:eastAsia="宋体" w:cs="宋体"/>
          <w:color w:val="auto"/>
          <w:sz w:val="28"/>
          <w:szCs w:val="28"/>
        </w:rPr>
        <w:t>和条例规定。</w:t>
      </w:r>
    </w:p>
    <w:p w14:paraId="3F790CFB">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 双方严格按照《中华人民共和国政府采购法》及其实施条例的规定实施本次招标。</w:t>
      </w:r>
    </w:p>
    <w:p w14:paraId="3F9C5321">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 双方本着密切配合、分工协作、保证质量、按期完成的原则，共同做好本项目的招标工作。</w:t>
      </w:r>
    </w:p>
    <w:p w14:paraId="2DCF8083">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二、委托范围</w:t>
      </w:r>
    </w:p>
    <w:p w14:paraId="0FFF2A18">
      <w:pPr>
        <w:keepNext w:val="0"/>
        <w:keepLines w:val="0"/>
        <w:pageBreakBefore w:val="0"/>
        <w:kinsoku/>
        <w:wordWrap/>
        <w:overflowPunct/>
        <w:topLinePunct w:val="0"/>
        <w:autoSpaceDE/>
        <w:autoSpaceDN/>
        <w:bidi w:val="0"/>
        <w:adjustRightInd/>
        <w:snapToGrid/>
        <w:spacing w:line="540" w:lineRule="exact"/>
        <w:textAlignment w:val="auto"/>
        <w:outlineLvl w:val="9"/>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rPr>
        <w:t>甲方委托乙方代理招标的具体内容</w:t>
      </w:r>
      <w:r>
        <w:rPr>
          <w:rFonts w:hint="eastAsia" w:ascii="宋体" w:hAnsi="宋体" w:eastAsia="宋体" w:cs="宋体"/>
          <w:color w:val="auto"/>
          <w:sz w:val="28"/>
          <w:szCs w:val="28"/>
          <w:lang w:val="en-US" w:eastAsia="zh-CN"/>
        </w:rPr>
        <w:t>为</w:t>
      </w:r>
      <w:r>
        <w:rPr>
          <w:rFonts w:hint="eastAsia" w:ascii="宋体" w:hAnsi="宋体" w:eastAsia="宋体" w:cs="宋体"/>
          <w:color w:val="auto"/>
          <w:sz w:val="28"/>
          <w:szCs w:val="28"/>
        </w:rPr>
        <w:t>：</w:t>
      </w:r>
      <w:r>
        <w:rPr>
          <w:rFonts w:hint="eastAsia" w:ascii="宋体" w:hAnsi="宋体" w:eastAsia="宋体" w:cs="宋体"/>
          <w:color w:val="auto"/>
          <w:sz w:val="28"/>
          <w:szCs w:val="28"/>
          <w:u w:val="single"/>
          <w:lang w:val="en-US" w:eastAsia="zh-CN"/>
        </w:rPr>
        <w:t xml:space="preserve"> 1.根据国家、自治区、地区等相关文件精神和技术规范，结合柯坪城镇发展实际需求，对已定城镇开发边界进行适当优化调整，完善城镇功能，提升人居环境品质，优化空间的区域边界。（具体参数详见磋商文件） </w:t>
      </w:r>
      <w:r>
        <w:rPr>
          <w:rFonts w:hint="eastAsia" w:ascii="宋体" w:hAnsi="宋体" w:cs="宋体"/>
          <w:color w:val="auto"/>
          <w:sz w:val="28"/>
          <w:szCs w:val="28"/>
          <w:u w:val="single"/>
          <w:lang w:val="en-US" w:eastAsia="zh-CN"/>
        </w:rPr>
        <w:t xml:space="preserve">                       </w:t>
      </w:r>
    </w:p>
    <w:p w14:paraId="33A08C61">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lang w:val="en-US" w:eastAsia="zh-CN"/>
        </w:rPr>
        <w:t>项目投资额：</w:t>
      </w:r>
      <w:r>
        <w:rPr>
          <w:rFonts w:hint="eastAsia" w:ascii="宋体" w:hAnsi="宋体" w:eastAsia="宋体" w:cs="宋体"/>
          <w:b w:val="0"/>
          <w:bCs w:val="0"/>
          <w:color w:val="auto"/>
          <w:sz w:val="28"/>
          <w:szCs w:val="28"/>
          <w:u w:val="single"/>
          <w:lang w:val="en-US" w:eastAsia="zh-CN"/>
        </w:rPr>
        <w:t xml:space="preserve"> </w:t>
      </w:r>
      <w:r>
        <w:rPr>
          <w:rFonts w:hint="eastAsia" w:ascii="宋体" w:hAnsi="宋体" w:cs="宋体"/>
          <w:b w:val="0"/>
          <w:bCs w:val="0"/>
          <w:color w:val="auto"/>
          <w:sz w:val="28"/>
          <w:szCs w:val="28"/>
          <w:u w:val="single"/>
          <w:lang w:val="en-US" w:eastAsia="zh-CN"/>
        </w:rPr>
        <w:t>1400000.00</w:t>
      </w:r>
      <w:r>
        <w:rPr>
          <w:rFonts w:hint="eastAsia" w:ascii="宋体" w:hAnsi="宋体" w:eastAsia="宋体" w:cs="宋体"/>
          <w:b w:val="0"/>
          <w:bCs w:val="0"/>
          <w:color w:val="auto"/>
          <w:sz w:val="28"/>
          <w:szCs w:val="28"/>
          <w:lang w:val="en-US" w:eastAsia="zh-CN"/>
        </w:rPr>
        <w:t>元</w:t>
      </w:r>
    </w:p>
    <w:p w14:paraId="51329C67">
      <w:pPr>
        <w:pStyle w:val="11"/>
        <w:numPr>
          <w:ilvl w:val="0"/>
          <w:numId w:val="0"/>
        </w:numPr>
        <w:jc w:val="left"/>
        <w:rPr>
          <w:rFonts w:hint="eastAsia" w:ascii="宋体" w:hAnsi="宋体" w:eastAsia="宋体" w:cs="宋体"/>
          <w:b w:val="0"/>
          <w:bCs w:val="0"/>
          <w:color w:val="000000"/>
          <w:sz w:val="28"/>
          <w:szCs w:val="28"/>
          <w:shd w:val="clear" w:color="auto" w:fill="auto"/>
          <w:lang w:val="en-US" w:eastAsia="zh-CN"/>
        </w:rPr>
      </w:pPr>
      <w:r>
        <w:rPr>
          <w:rFonts w:hint="eastAsia" w:ascii="宋体" w:hAnsi="宋体" w:eastAsia="宋体" w:cs="宋体"/>
          <w:b/>
          <w:bCs/>
          <w:color w:val="auto"/>
          <w:sz w:val="28"/>
          <w:szCs w:val="28"/>
          <w:lang w:val="en-US" w:eastAsia="zh-CN"/>
        </w:rPr>
        <w:t>三、招标代理服务费</w:t>
      </w:r>
    </w:p>
    <w:p w14:paraId="0BF30AEE">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招标代理服务费的支付，采用以下第</w:t>
      </w:r>
      <w:r>
        <w:rPr>
          <w:rFonts w:hint="eastAsia" w:ascii="宋体" w:hAnsi="宋体" w:eastAsia="宋体" w:cs="宋体"/>
          <w:b/>
          <w:bCs/>
          <w:color w:val="auto"/>
          <w:sz w:val="28"/>
          <w:szCs w:val="28"/>
          <w:u w:val="single"/>
          <w:lang w:val="en-US" w:eastAsia="zh-CN"/>
        </w:rPr>
        <w:t xml:space="preserve"> （1） </w:t>
      </w:r>
      <w:r>
        <w:rPr>
          <w:rFonts w:hint="eastAsia" w:ascii="宋体" w:hAnsi="宋体" w:eastAsia="宋体" w:cs="宋体"/>
          <w:b/>
          <w:bCs/>
          <w:color w:val="auto"/>
          <w:sz w:val="28"/>
          <w:szCs w:val="28"/>
          <w:lang w:val="en-US" w:eastAsia="zh-CN"/>
        </w:rPr>
        <w:t>方式。</w:t>
      </w:r>
    </w:p>
    <w:p w14:paraId="2E68CCD2">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rPr>
        <w:t>由委托人支付。</w:t>
      </w:r>
      <w:r>
        <w:rPr>
          <w:rFonts w:hint="eastAsia" w:ascii="宋体" w:hAnsi="宋体" w:eastAsia="宋体" w:cs="宋体"/>
          <w:color w:val="auto"/>
          <w:sz w:val="28"/>
          <w:szCs w:val="28"/>
          <w:u w:val="single"/>
          <w:lang w:val="en-US" w:eastAsia="zh-CN"/>
        </w:rPr>
        <w:t xml:space="preserve"> 参照发改价格〔2015〕299号文件，收取代理服务费，由采购人向采购代理机构交纳代理服务费。</w:t>
      </w:r>
      <w:r>
        <w:rPr>
          <w:rFonts w:hint="eastAsia" w:ascii="宋体" w:hAnsi="宋体" w:cs="宋体"/>
          <w:color w:val="auto"/>
          <w:sz w:val="28"/>
          <w:szCs w:val="28"/>
          <w:u w:val="single"/>
          <w:lang w:val="en-US" w:eastAsia="zh-CN"/>
        </w:rPr>
        <w:t xml:space="preserve">                                   </w:t>
      </w:r>
    </w:p>
    <w:p w14:paraId="00E366DA">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w:t>
      </w:r>
      <w:r>
        <w:rPr>
          <w:rFonts w:hint="eastAsia" w:ascii="宋体" w:hAnsi="宋体" w:eastAsia="宋体" w:cs="宋体"/>
          <w:color w:val="auto"/>
          <w:sz w:val="28"/>
          <w:szCs w:val="28"/>
        </w:rPr>
        <w:t>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约定，由中标人支付。</w:t>
      </w:r>
    </w:p>
    <w:p w14:paraId="1C79858A">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b/>
          <w:bCs/>
          <w:color w:val="000000"/>
          <w:sz w:val="28"/>
          <w:szCs w:val="28"/>
          <w:shd w:val="clear" w:color="auto" w:fill="auto"/>
          <w:lang w:val="en-US" w:eastAsia="zh-CN"/>
        </w:rPr>
      </w:pPr>
      <w:r>
        <w:rPr>
          <w:rFonts w:hint="eastAsia" w:ascii="宋体" w:hAnsi="宋体" w:eastAsia="宋体" w:cs="宋体"/>
          <w:b/>
          <w:bCs/>
          <w:color w:val="000000"/>
          <w:sz w:val="28"/>
          <w:szCs w:val="28"/>
          <w:shd w:val="clear" w:color="auto" w:fill="auto"/>
          <w:lang w:val="en-US" w:eastAsia="zh-CN"/>
        </w:rPr>
        <w:t>招标代理服务费收费标准及金额：代理报酬依据按国家计委计价格〔2002〕1980号、发改办价格〔2003〕857号、发改价格〔2011〕534号、发改价格〔2015〕299号文取费，以中标价为基数计取。招标工作完成后向招标代理机构一次性付清。</w:t>
      </w:r>
    </w:p>
    <w:p w14:paraId="0CD30E68">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、双方责任</w:t>
      </w:r>
    </w:p>
    <w:p w14:paraId="00E9D0BB">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1. 甲方的责任</w:t>
      </w:r>
    </w:p>
    <w:p w14:paraId="67906B77">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 甲方负责向有关部门办理项目审批手续。甲方负责向乙方提供委托招标项目的背景情况、项目批准文件（复印件）和项目招标所</w:t>
      </w:r>
      <w:r>
        <w:rPr>
          <w:rFonts w:hint="eastAsia" w:ascii="宋体" w:hAnsi="宋体" w:eastAsia="宋体" w:cs="宋体"/>
          <w:color w:val="auto"/>
          <w:sz w:val="28"/>
          <w:szCs w:val="28"/>
          <w:lang w:eastAsia="zh-CN"/>
        </w:rPr>
        <w:t>必需的</w:t>
      </w:r>
      <w:r>
        <w:rPr>
          <w:rFonts w:hint="eastAsia" w:ascii="宋体" w:hAnsi="宋体" w:eastAsia="宋体" w:cs="宋体"/>
          <w:color w:val="auto"/>
          <w:sz w:val="28"/>
          <w:szCs w:val="28"/>
        </w:rPr>
        <w:t>技术资料，如委托设备招标时，必须有设备的详细清单、技术参数、安装调试及使用要求、合同特殊条款等资料，并与乙方一起就招标所需进行调研。</w:t>
      </w:r>
    </w:p>
    <w:p w14:paraId="5BCF4F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 甲方负责向乙方提供招标项目所需资金落实情况的证明。</w:t>
      </w:r>
    </w:p>
    <w:p w14:paraId="54D48B4F">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(3)</w:t>
      </w:r>
      <w:r>
        <w:rPr>
          <w:rFonts w:hint="eastAsia" w:ascii="宋体" w:hAnsi="宋体" w:eastAsia="宋体" w:cs="宋体"/>
          <w:color w:val="auto"/>
          <w:sz w:val="28"/>
          <w:szCs w:val="28"/>
        </w:rPr>
        <w:t>甲乙双方共同负责招标文件的编制工作。乙方对编制招标文件负总责，但在编制过程中甲乙双方必须紧密分工合作。对招标文件中的商务部分，以乙方为主，甲方协助；技术部分，以甲方为主，乙方协助。如甲方确无编制招标文</w:t>
      </w:r>
      <w:r>
        <w:rPr>
          <w:rFonts w:hint="eastAsia" w:ascii="宋体" w:hAnsi="宋体" w:eastAsia="宋体" w:cs="宋体"/>
          <w:color w:val="auto"/>
          <w:sz w:val="28"/>
          <w:szCs w:val="28"/>
          <w:lang w:eastAsia="zh-CN"/>
        </w:rPr>
        <w:t>件和</w:t>
      </w:r>
      <w:r>
        <w:rPr>
          <w:rFonts w:hint="eastAsia" w:ascii="宋体" w:hAnsi="宋体" w:eastAsia="宋体" w:cs="宋体"/>
          <w:color w:val="auto"/>
          <w:sz w:val="28"/>
          <w:szCs w:val="28"/>
        </w:rPr>
        <w:t>技术标书的条件，可由乙方编制，但甲方必须向乙方按时提供技术标书所需的完整的技术资料和要求。</w:t>
      </w:r>
    </w:p>
    <w:p w14:paraId="642E418E">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甲方协助乙方进行有关招标文件的澄清、答疑和修改工作。</w:t>
      </w:r>
    </w:p>
    <w:p w14:paraId="7EB637D2">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编制好的招标文件，必须经双方签字认可后方为有效，才可对外发售。</w:t>
      </w:r>
    </w:p>
    <w:p w14:paraId="6545C95B">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(4)</w:t>
      </w:r>
      <w:r>
        <w:rPr>
          <w:rFonts w:hint="eastAsia" w:ascii="宋体" w:hAnsi="宋体" w:eastAsia="宋体" w:cs="宋体"/>
          <w:color w:val="auto"/>
          <w:sz w:val="28"/>
          <w:szCs w:val="28"/>
        </w:rPr>
        <w:t>甲乙双方共同组织为项目招标必须进行的技术交流活动。</w:t>
      </w:r>
    </w:p>
    <w:p w14:paraId="2D3DBD80">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(5)</w:t>
      </w:r>
      <w:r>
        <w:rPr>
          <w:rFonts w:hint="eastAsia" w:ascii="宋体" w:hAnsi="宋体" w:eastAsia="宋体" w:cs="宋体"/>
          <w:color w:val="auto"/>
          <w:sz w:val="28"/>
          <w:szCs w:val="28"/>
        </w:rPr>
        <w:t>参加开标会。</w:t>
      </w:r>
    </w:p>
    <w:p w14:paraId="13A082B9">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 协助乙方组建评标委员会。代表甲方推荐专家和评标委员会成员名单。对乙方筹组的评标委员会成员和拟聘的专家名单进行确认。</w:t>
      </w:r>
    </w:p>
    <w:p w14:paraId="530E8C9B">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(7)</w:t>
      </w:r>
      <w:r>
        <w:rPr>
          <w:rFonts w:hint="eastAsia" w:ascii="宋体" w:hAnsi="宋体" w:eastAsia="宋体" w:cs="宋体"/>
          <w:color w:val="auto"/>
          <w:sz w:val="28"/>
          <w:szCs w:val="28"/>
        </w:rPr>
        <w:t>根据乙方提供的评标报告和中标候选人，确定中标人。</w:t>
      </w:r>
    </w:p>
    <w:p w14:paraId="3E5F4314">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(8)</w:t>
      </w:r>
      <w:r>
        <w:rPr>
          <w:rFonts w:hint="eastAsia" w:ascii="宋体" w:hAnsi="宋体" w:eastAsia="宋体" w:cs="宋体"/>
          <w:color w:val="auto"/>
          <w:sz w:val="28"/>
          <w:szCs w:val="28"/>
        </w:rPr>
        <w:t>根据乙方发出的中标通知书，与中标人签订合同。</w:t>
      </w:r>
    </w:p>
    <w:p w14:paraId="2D713ACD">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(9)</w:t>
      </w:r>
      <w:r>
        <w:rPr>
          <w:rFonts w:hint="eastAsia" w:ascii="宋体" w:hAnsi="宋体" w:eastAsia="宋体" w:cs="宋体"/>
          <w:color w:val="auto"/>
          <w:sz w:val="28"/>
          <w:szCs w:val="28"/>
        </w:rPr>
        <w:t>对评标内容保密，并监督招标全过程。</w:t>
      </w:r>
    </w:p>
    <w:p w14:paraId="72C31C08">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eastAsia="zh-CN"/>
        </w:rPr>
        <w:t>(10)</w:t>
      </w:r>
      <w:r>
        <w:rPr>
          <w:rFonts w:hint="eastAsia" w:ascii="宋体" w:hAnsi="宋体" w:eastAsia="宋体" w:cs="宋体"/>
          <w:b w:val="0"/>
          <w:bCs w:val="0"/>
          <w:color w:val="auto"/>
          <w:sz w:val="28"/>
          <w:szCs w:val="28"/>
          <w:lang w:val="en-US" w:eastAsia="zh-CN"/>
        </w:rPr>
        <w:t>招标代理费由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采购人支付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5CE72FE7">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 乙方的责任</w:t>
      </w:r>
    </w:p>
    <w:p w14:paraId="059805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（1）乙方负责组成专项工作组，承办此次招标。按照甲方的委托，精心组织本项目的招标工作，并向甲方通报招标计划和进度，保证招标计划的顺利实施。乙方负责指定一名项目经理，代表乙方</w:t>
      </w:r>
      <w:r>
        <w:rPr>
          <w:rFonts w:hint="eastAsia" w:ascii="宋体" w:hAnsi="宋体" w:eastAsia="宋体" w:cs="宋体"/>
          <w:color w:val="auto"/>
          <w:sz w:val="28"/>
          <w:szCs w:val="28"/>
          <w:lang w:eastAsia="zh-CN"/>
        </w:rPr>
        <w:t>联系</w:t>
      </w:r>
      <w:r>
        <w:rPr>
          <w:rFonts w:hint="eastAsia" w:ascii="宋体" w:hAnsi="宋体" w:eastAsia="宋体" w:cs="宋体"/>
          <w:color w:val="auto"/>
          <w:sz w:val="28"/>
          <w:szCs w:val="28"/>
        </w:rPr>
        <w:t>和处理招标过程中的有关具体事宜，接受和签收甲方提供的招标所需背景情况、资料、目标、数据及具体要求等。与甲方一起就招标所需进行调研。</w:t>
      </w:r>
    </w:p>
    <w:p w14:paraId="0D0BEC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w:t>
      </w:r>
      <w:r>
        <w:rPr>
          <w:rFonts w:hint="eastAsia" w:ascii="宋体" w:hAnsi="宋体" w:eastAsia="宋体" w:cs="宋体"/>
          <w:color w:val="auto"/>
          <w:sz w:val="28"/>
          <w:szCs w:val="28"/>
        </w:rPr>
        <w:t>甲乙双方共同负责招标文件的编制工作。在甲方的协助下，乙方对编制招标文件负总责。乙方负责对全部招标文件的综合编制、汇总、审核、印刷、装订、发售和解释工作。如果是国际招标，还须负责招标文件的</w:t>
      </w:r>
      <w:r>
        <w:rPr>
          <w:rFonts w:hint="eastAsia" w:ascii="宋体" w:hAnsi="宋体" w:eastAsia="宋体" w:cs="宋体"/>
          <w:color w:val="auto"/>
          <w:sz w:val="28"/>
          <w:szCs w:val="28"/>
          <w:lang w:eastAsia="zh-CN"/>
        </w:rPr>
        <w:t>英文翻译</w:t>
      </w:r>
      <w:r>
        <w:rPr>
          <w:rFonts w:hint="eastAsia" w:ascii="宋体" w:hAnsi="宋体" w:eastAsia="宋体" w:cs="宋体"/>
          <w:color w:val="auto"/>
          <w:sz w:val="28"/>
          <w:szCs w:val="28"/>
        </w:rPr>
        <w:t>，负责招标文件向有关审批部门的送审等工作。但在编制过程中甲乙双方必须紧密分工合作，对招标文件中的商务部分，以乙方为主，甲方协助；技术部分，以甲方为主，乙方协助。如甲方确无编制招标文件技术标书的条件，经甲方提出，可由乙方编制，但甲方必须向乙</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按时提供技术标书所需的完整的技术资料和有关技术使用要求等方面的材料。乙方汇总编制好的招标文件，需经甲方签字认可后方为有效，才能对外发售。</w:t>
      </w:r>
    </w:p>
    <w:p w14:paraId="7632DC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（3）乙方负责刊登招标公告或发送投标邀请书。</w:t>
      </w:r>
    </w:p>
    <w:p w14:paraId="6B8048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（4）乙方负责组建评标委员会，与甲方共同研究确定评标委员会的人员组成。对经双方确认的评标委员会成员和评标专家的邀请与聘任工作，由乙方负责。</w:t>
      </w:r>
    </w:p>
    <w:p w14:paraId="59E41E77">
      <w:pPr>
        <w:keepNext w:val="0"/>
        <w:keepLines w:val="0"/>
        <w:pageBreakBefore w:val="0"/>
        <w:widowControl w:val="0"/>
        <w:kinsoku/>
        <w:wordWrap/>
        <w:overflowPunct/>
        <w:topLinePunct w:val="0"/>
        <w:autoSpaceDE/>
        <w:autoSpaceDN/>
        <w:bidi w:val="0"/>
        <w:adjustRightInd/>
        <w:snapToGrid/>
        <w:spacing w:line="560" w:lineRule="exact"/>
        <w:ind w:left="-178" w:firstLine="730" w:firstLineChars="261"/>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（5）乙方根据实际需要，负责</w:t>
      </w:r>
      <w:r>
        <w:rPr>
          <w:rFonts w:hint="eastAsia" w:ascii="宋体" w:hAnsi="宋体" w:eastAsia="宋体" w:cs="宋体"/>
          <w:color w:val="auto"/>
          <w:sz w:val="28"/>
          <w:szCs w:val="28"/>
          <w:lang w:eastAsia="zh-CN"/>
        </w:rPr>
        <w:t>联系</w:t>
      </w:r>
      <w:r>
        <w:rPr>
          <w:rFonts w:hint="eastAsia" w:ascii="宋体" w:hAnsi="宋体" w:eastAsia="宋体" w:cs="宋体"/>
          <w:color w:val="auto"/>
          <w:sz w:val="28"/>
          <w:szCs w:val="28"/>
        </w:rPr>
        <w:t>公证机关，对开标过程进行监督与公证。</w:t>
      </w:r>
    </w:p>
    <w:p w14:paraId="6314EB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（6）乙方负责与甲方协商</w:t>
      </w:r>
      <w:r>
        <w:rPr>
          <w:rFonts w:hint="eastAsia" w:ascii="宋体" w:hAnsi="宋体" w:eastAsia="宋体" w:cs="宋体"/>
          <w:color w:val="auto"/>
          <w:sz w:val="28"/>
          <w:szCs w:val="28"/>
          <w:lang w:eastAsia="zh-CN"/>
        </w:rPr>
        <w:t>制定</w:t>
      </w:r>
      <w:r>
        <w:rPr>
          <w:rFonts w:hint="eastAsia" w:ascii="宋体" w:hAnsi="宋体" w:eastAsia="宋体" w:cs="宋体"/>
          <w:color w:val="auto"/>
          <w:sz w:val="28"/>
          <w:szCs w:val="28"/>
        </w:rPr>
        <w:t>评标标准和评标办法（方案），供评标委员会选用。</w:t>
      </w:r>
    </w:p>
    <w:p w14:paraId="0026E5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（7）乙方负责与甲方协商确定开标程序，负责组织开标大会。</w:t>
      </w:r>
    </w:p>
    <w:p w14:paraId="768BD6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8）乙方负责组织评标委员会进行评标，负责安排评标活动的有关事宜。乙方根据评标委员会提出的书面评标报告，向甲方推荐中标候选人，由甲方确定中标人；或依照甲方的要求，授权评标委员会直接确定中标人。乙方负责整理编写评标报告，经甲方同意签字盖章后，联名报送有关行政主管部门审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最终确定中标人。</w:t>
      </w:r>
    </w:p>
    <w:p w14:paraId="53D1BFB5">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（9）乙方负责向中标人发出《中标通知书》并通知中标方与甲方洽谈签订合同。</w:t>
      </w:r>
    </w:p>
    <w:p w14:paraId="6D5EB0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（10）乙方负责向未中标单位发出《未中标通知书》。</w:t>
      </w:r>
    </w:p>
    <w:p w14:paraId="226086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（11）乙方负责在政府采购网上发布中标结果公告。</w:t>
      </w:r>
    </w:p>
    <w:p w14:paraId="5594E9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(12)</w:t>
      </w:r>
      <w:r>
        <w:rPr>
          <w:rFonts w:hint="eastAsia" w:ascii="宋体" w:hAnsi="宋体" w:eastAsia="宋体" w:cs="宋体"/>
          <w:color w:val="auto"/>
          <w:sz w:val="28"/>
          <w:szCs w:val="28"/>
        </w:rPr>
        <w:t>对评标内容保密。</w:t>
      </w:r>
    </w:p>
    <w:p w14:paraId="786D04C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、有关经费问题</w:t>
      </w:r>
    </w:p>
    <w:p w14:paraId="439027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乙方承担招标过程中所发生的各项费用。</w:t>
      </w:r>
    </w:p>
    <w:p w14:paraId="11F3F4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招标代理服务费由中标人支付。</w:t>
      </w:r>
    </w:p>
    <w:p w14:paraId="5ACF8D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招标文件收入归乙方所有。</w:t>
      </w:r>
    </w:p>
    <w:p w14:paraId="3358BC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招标代理机构中选通知已发出或甲乙双方签订委托协议后，由于甲方原因停止招标的，甲方应给予乙方一定的费用补偿，具体金额为</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。（不得低于乙方的前期投入成本）</w:t>
      </w:r>
    </w:p>
    <w:p w14:paraId="706B31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乙方发出招标文件后，由于有效投标人不构成竞争或其他原因而需要重新组织招标的，招标服务费应在原有基础上增补</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，具体金额由双方协商决定。</w:t>
      </w:r>
    </w:p>
    <w:p w14:paraId="09222370">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六</w:t>
      </w:r>
      <w:r>
        <w:rPr>
          <w:rFonts w:hint="eastAsia" w:ascii="宋体" w:hAnsi="宋体" w:eastAsia="宋体" w:cs="宋体"/>
          <w:b/>
          <w:color w:val="auto"/>
          <w:sz w:val="28"/>
          <w:szCs w:val="28"/>
        </w:rPr>
        <w:t>、其他</w:t>
      </w:r>
    </w:p>
    <w:p w14:paraId="3B991A63">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 本协议书</w:t>
      </w:r>
      <w:r>
        <w:rPr>
          <w:rFonts w:hint="eastAsia" w:ascii="宋体" w:hAnsi="宋体" w:eastAsia="宋体" w:cs="宋体"/>
          <w:color w:val="auto"/>
          <w:sz w:val="28"/>
          <w:szCs w:val="28"/>
          <w:lang w:eastAsia="zh-CN"/>
        </w:rPr>
        <w:t>一式四份</w:t>
      </w:r>
      <w:r>
        <w:rPr>
          <w:rFonts w:hint="eastAsia" w:ascii="宋体" w:hAnsi="宋体" w:eastAsia="宋体" w:cs="宋体"/>
          <w:color w:val="auto"/>
          <w:sz w:val="28"/>
          <w:szCs w:val="28"/>
        </w:rPr>
        <w:t>，甲、乙双方各执</w:t>
      </w:r>
      <w:r>
        <w:rPr>
          <w:rFonts w:hint="eastAsia" w:ascii="宋体" w:hAnsi="宋体" w:cs="宋体"/>
          <w:color w:val="auto"/>
          <w:sz w:val="28"/>
          <w:szCs w:val="28"/>
          <w:lang w:eastAsia="zh-CN"/>
        </w:rPr>
        <w:t>贰</w:t>
      </w:r>
      <w:r>
        <w:rPr>
          <w:rFonts w:hint="eastAsia" w:ascii="宋体" w:hAnsi="宋体" w:eastAsia="宋体" w:cs="宋体"/>
          <w:color w:val="auto"/>
          <w:sz w:val="28"/>
          <w:szCs w:val="28"/>
        </w:rPr>
        <w:t>份，由法定代表人或法人授权代表签字（盖章）后生效。</w:t>
      </w:r>
    </w:p>
    <w:p w14:paraId="1F4E9B32">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 未尽事宜，由双方协商解决。</w:t>
      </w:r>
    </w:p>
    <w:p w14:paraId="322C9DF9">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 本协议执行期间，如遇国家颁布新的法律或规定与本协议相矛盾，以国家法律规定为准。</w:t>
      </w:r>
    </w:p>
    <w:p w14:paraId="587E0EFC">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4.本协议对双方均具有法律效力。如执行中发生争议，双方可协商解决，也可以依法向人民法院提起</w:t>
      </w:r>
    </w:p>
    <w:p w14:paraId="56C9A501">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5.合同订立</w:t>
      </w:r>
    </w:p>
    <w:p w14:paraId="7EC54B40">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合同订立地点：</w:t>
      </w:r>
      <w:r>
        <w:rPr>
          <w:rFonts w:hint="eastAsia" w:ascii="宋体" w:hAnsi="宋体" w:cs="宋体"/>
          <w:bCs/>
          <w:color w:val="auto"/>
          <w:sz w:val="28"/>
          <w:szCs w:val="28"/>
          <w:u w:val="single"/>
          <w:lang w:val="en-US" w:eastAsia="zh-CN"/>
        </w:rPr>
        <w:t>柯坪县自然资源局</w:t>
      </w:r>
      <w:r>
        <w:rPr>
          <w:rFonts w:hint="eastAsia" w:ascii="宋体" w:hAnsi="宋体" w:eastAsia="宋体" w:cs="宋体"/>
          <w:color w:val="auto"/>
          <w:kern w:val="2"/>
          <w:sz w:val="28"/>
          <w:szCs w:val="28"/>
          <w:u w:val="single"/>
          <w:lang w:val="en-US" w:eastAsia="zh-CN" w:bidi="ar-SA"/>
        </w:rPr>
        <w:t xml:space="preserve"> </w:t>
      </w:r>
    </w:p>
    <w:p w14:paraId="1C01E13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6.合同生效</w:t>
      </w:r>
    </w:p>
    <w:p w14:paraId="106C2B11">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本合同双方约定 </w:t>
      </w:r>
      <w:r>
        <w:rPr>
          <w:rFonts w:hint="eastAsia" w:ascii="宋体" w:hAnsi="宋体" w:eastAsia="宋体" w:cs="宋体"/>
          <w:color w:val="auto"/>
          <w:kern w:val="2"/>
          <w:sz w:val="28"/>
          <w:szCs w:val="28"/>
          <w:u w:val="single"/>
          <w:lang w:val="en-US" w:eastAsia="zh-CN" w:bidi="ar-SA"/>
        </w:rPr>
        <w:t xml:space="preserve"> 签字盖章 </w:t>
      </w:r>
      <w:r>
        <w:rPr>
          <w:rFonts w:hint="eastAsia" w:ascii="宋体" w:hAnsi="宋体" w:eastAsia="宋体" w:cs="宋体"/>
          <w:color w:val="auto"/>
          <w:kern w:val="2"/>
          <w:sz w:val="28"/>
          <w:szCs w:val="28"/>
          <w:lang w:val="en-US" w:eastAsia="zh-CN" w:bidi="ar-SA"/>
        </w:rPr>
        <w:t xml:space="preserve"> 后生效。</w:t>
      </w:r>
    </w:p>
    <w:p w14:paraId="7E984B9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8"/>
          <w:szCs w:val="28"/>
        </w:rPr>
      </w:pPr>
    </w:p>
    <w:p w14:paraId="710AD442">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3BA5537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受托人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1A9BBF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p>
    <w:p w14:paraId="42830D8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val="en-US" w:eastAsia="zh-CN"/>
        </w:rPr>
        <w:t xml:space="preserve">                         法定代表人</w:t>
      </w:r>
    </w:p>
    <w:p w14:paraId="6A0D22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或授权委托人（</w:t>
      </w:r>
      <w:r>
        <w:rPr>
          <w:rFonts w:hint="eastAsia" w:ascii="宋体" w:hAnsi="宋体" w:eastAsia="宋体" w:cs="宋体"/>
          <w:color w:val="auto"/>
          <w:sz w:val="28"/>
          <w:szCs w:val="28"/>
        </w:rPr>
        <w:t xml:space="preserve">签字或盖章〕：     </w:t>
      </w:r>
      <w:r>
        <w:rPr>
          <w:rFonts w:hint="eastAsia" w:ascii="宋体" w:hAnsi="宋体" w:eastAsia="宋体" w:cs="宋体"/>
          <w:color w:val="auto"/>
          <w:sz w:val="28"/>
          <w:szCs w:val="28"/>
          <w:lang w:val="en-US" w:eastAsia="zh-CN"/>
        </w:rPr>
        <w:t xml:space="preserve">   或授权委托人（</w:t>
      </w:r>
      <w:r>
        <w:rPr>
          <w:rFonts w:hint="eastAsia" w:ascii="宋体" w:hAnsi="宋体" w:eastAsia="宋体" w:cs="宋体"/>
          <w:color w:val="auto"/>
          <w:sz w:val="28"/>
          <w:szCs w:val="28"/>
        </w:rPr>
        <w:t>签字或盖章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1ACE0AF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6657D8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邮政编码：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邮政编</w:t>
      </w:r>
      <w:r>
        <w:rPr>
          <w:rFonts w:hint="eastAsia" w:ascii="宋体" w:hAnsi="宋体" w:eastAsia="宋体" w:cs="宋体"/>
          <w:color w:val="auto"/>
          <w:sz w:val="28"/>
          <w:szCs w:val="28"/>
          <w:lang w:eastAsia="zh-CN"/>
        </w:rPr>
        <w:t>号：</w:t>
      </w:r>
      <w:r>
        <w:rPr>
          <w:rFonts w:hint="eastAsia" w:ascii="宋体" w:hAnsi="宋体" w:eastAsia="宋体" w:cs="宋体"/>
          <w:color w:val="auto"/>
          <w:sz w:val="28"/>
          <w:szCs w:val="28"/>
          <w:lang w:val="en-US" w:eastAsia="zh-CN"/>
        </w:rPr>
        <w:t>843000</w:t>
      </w:r>
    </w:p>
    <w:p w14:paraId="2D6891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p>
    <w:p w14:paraId="3F6FF58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联系电话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w:t>
      </w:r>
    </w:p>
    <w:p w14:paraId="78370C24">
      <w:pPr>
        <w:rPr>
          <w:rFonts w:hint="eastAsia"/>
          <w:color w:val="auto"/>
          <w:highlight w:val="none"/>
        </w:rPr>
      </w:pPr>
    </w:p>
    <w:p w14:paraId="1D2ECD46"/>
    <w:p w14:paraId="71E27DB2">
      <w:pPr>
        <w:rPr>
          <w:rFonts w:hint="eastAsia"/>
          <w:color w:val="auto"/>
          <w:highlight w:val="none"/>
        </w:rPr>
      </w:pPr>
    </w:p>
    <w:p w14:paraId="288ECFCE">
      <w:pPr>
        <w:rPr>
          <w:rFonts w:hint="eastAsia"/>
          <w:color w:val="auto"/>
          <w:highlight w:val="none"/>
        </w:rPr>
      </w:pPr>
    </w:p>
    <w:p w14:paraId="6958AE73"/>
    <w:p w14:paraId="714E4662">
      <w:pPr>
        <w:pStyle w:val="4"/>
      </w:pPr>
    </w:p>
    <w:p w14:paraId="20016A6B">
      <w:pPr>
        <w:pageBreakBefore w:val="0"/>
        <w:kinsoku/>
        <w:topLinePunct w:val="0"/>
        <w:bidi w:val="0"/>
        <w:spacing w:before="263" w:line="220" w:lineRule="auto"/>
        <w:rPr>
          <w:rFonts w:ascii="宋体" w:hAnsi="宋体" w:eastAsia="宋体" w:cs="宋体"/>
          <w:sz w:val="28"/>
          <w:szCs w:val="28"/>
        </w:rPr>
      </w:pPr>
    </w:p>
    <w:sectPr>
      <w:footerReference r:id="rId17" w:type="default"/>
      <w:pgSz w:w="11905" w:h="16838"/>
      <w:pgMar w:top="1276" w:right="1814" w:bottom="1276" w:left="1814" w:header="567" w:footer="56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8F1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3F83C">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F3F83C">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4DAC">
    <w:pPr>
      <w:spacing w:before="74" w:line="174"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E8C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149D7">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B149D7">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989D">
    <w:pPr>
      <w:spacing w:after="168" w:line="43"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51056">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051056">
                    <w:pPr>
                      <w:pStyle w:val="9"/>
                    </w:pPr>
                    <w:r>
                      <w:fldChar w:fldCharType="begin"/>
                    </w:r>
                    <w:r>
                      <w:instrText xml:space="preserve"> PAGE  \* MERGEFORMAT </w:instrText>
                    </w:r>
                    <w:r>
                      <w:fldChar w:fldCharType="separate"/>
                    </w:r>
                    <w:r>
                      <w:t>64</w:t>
                    </w:r>
                    <w:r>
                      <w:fldChar w:fldCharType="end"/>
                    </w:r>
                  </w:p>
                </w:txbxContent>
              </v:textbox>
            </v:shape>
          </w:pict>
        </mc:Fallback>
      </mc:AlternateContent>
    </w:r>
  </w:p>
  <w:p w14:paraId="4A1FDBF7">
    <w:pPr>
      <w:spacing w:line="176" w:lineRule="auto"/>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DE2D">
    <w:pPr>
      <w:spacing w:after="168" w:line="43"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E3147">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AE3147">
                    <w:pPr>
                      <w:pStyle w:val="9"/>
                    </w:pPr>
                    <w:r>
                      <w:fldChar w:fldCharType="begin"/>
                    </w:r>
                    <w:r>
                      <w:instrText xml:space="preserve"> PAGE  \* MERGEFORMAT </w:instrText>
                    </w:r>
                    <w:r>
                      <w:fldChar w:fldCharType="separate"/>
                    </w:r>
                    <w:r>
                      <w:t>65</w:t>
                    </w:r>
                    <w:r>
                      <w:fldChar w:fldCharType="end"/>
                    </w:r>
                  </w:p>
                </w:txbxContent>
              </v:textbox>
            </v:shape>
          </w:pict>
        </mc:Fallback>
      </mc:AlternateContent>
    </w:r>
  </w:p>
  <w:p w14:paraId="09603CFB">
    <w:pPr>
      <w:spacing w:line="176" w:lineRule="auto"/>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033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2221E">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A2221E">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A01C">
    <w:pPr>
      <w:spacing w:after="170" w:line="43"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2DA84">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BB2DA84">
                    <w:pPr>
                      <w:pStyle w:val="9"/>
                    </w:pPr>
                    <w:r>
                      <w:fldChar w:fldCharType="begin"/>
                    </w:r>
                    <w:r>
                      <w:instrText xml:space="preserve"> PAGE  \* MERGEFORMAT </w:instrText>
                    </w:r>
                    <w:r>
                      <w:fldChar w:fldCharType="separate"/>
                    </w:r>
                    <w:r>
                      <w:t>71</w:t>
                    </w:r>
                    <w:r>
                      <w:fldChar w:fldCharType="end"/>
                    </w:r>
                  </w:p>
                </w:txbxContent>
              </v:textbox>
            </v:shape>
          </w:pict>
        </mc:Fallback>
      </mc:AlternateContent>
    </w:r>
  </w:p>
  <w:p w14:paraId="4D12ED91">
    <w:pPr>
      <w:spacing w:line="173"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0111">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19CA6">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419CA6">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E1E3">
    <w:pPr>
      <w:spacing w:line="183" w:lineRule="auto"/>
      <w:ind w:left="438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6852A">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96852A">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219A">
    <w:pPr>
      <w:spacing w:line="184" w:lineRule="auto"/>
      <w:ind w:left="4955"/>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CD6C3">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ACD6C3">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2C11">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7557">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8F86">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9EE26"/>
    <w:multiLevelType w:val="singleLevel"/>
    <w:tmpl w:val="4EE9EE2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k5MGMyMGE3NzgzNTQ5NWY5OTQ2YjYwNzEzZTc5ZDgifQ=="/>
  </w:docVars>
  <w:rsids>
    <w:rsidRoot w:val="00000000"/>
    <w:rsid w:val="006360BD"/>
    <w:rsid w:val="006A331F"/>
    <w:rsid w:val="01C30F4E"/>
    <w:rsid w:val="022C3E83"/>
    <w:rsid w:val="0241242E"/>
    <w:rsid w:val="02B16063"/>
    <w:rsid w:val="03B863D4"/>
    <w:rsid w:val="03D746CC"/>
    <w:rsid w:val="03F6528C"/>
    <w:rsid w:val="0568106E"/>
    <w:rsid w:val="06673873"/>
    <w:rsid w:val="06DF7A00"/>
    <w:rsid w:val="07894D94"/>
    <w:rsid w:val="080C703A"/>
    <w:rsid w:val="08624EAC"/>
    <w:rsid w:val="08A802CF"/>
    <w:rsid w:val="091B7B67"/>
    <w:rsid w:val="09C53F74"/>
    <w:rsid w:val="0A56785C"/>
    <w:rsid w:val="0A8C4462"/>
    <w:rsid w:val="0ACC7ABB"/>
    <w:rsid w:val="0B204BAA"/>
    <w:rsid w:val="0BCB0FBA"/>
    <w:rsid w:val="0C0A7891"/>
    <w:rsid w:val="0C8C0749"/>
    <w:rsid w:val="0D500C6D"/>
    <w:rsid w:val="0D63785F"/>
    <w:rsid w:val="0D894C89"/>
    <w:rsid w:val="0E0C4665"/>
    <w:rsid w:val="0E6C4283"/>
    <w:rsid w:val="102E1F20"/>
    <w:rsid w:val="10302BA9"/>
    <w:rsid w:val="103802B3"/>
    <w:rsid w:val="111D4D94"/>
    <w:rsid w:val="113118BF"/>
    <w:rsid w:val="11EA07B6"/>
    <w:rsid w:val="12411FD6"/>
    <w:rsid w:val="12B10E5E"/>
    <w:rsid w:val="138E4DA7"/>
    <w:rsid w:val="13AA1288"/>
    <w:rsid w:val="13D1564A"/>
    <w:rsid w:val="140627FC"/>
    <w:rsid w:val="144E2788"/>
    <w:rsid w:val="14A77623"/>
    <w:rsid w:val="14EC25CE"/>
    <w:rsid w:val="14FF5B54"/>
    <w:rsid w:val="15001FCE"/>
    <w:rsid w:val="15F15AC1"/>
    <w:rsid w:val="15FE5EDE"/>
    <w:rsid w:val="169A5732"/>
    <w:rsid w:val="172F4AF3"/>
    <w:rsid w:val="179D539B"/>
    <w:rsid w:val="17AB2BC0"/>
    <w:rsid w:val="17C47B21"/>
    <w:rsid w:val="17D778F6"/>
    <w:rsid w:val="17E64423"/>
    <w:rsid w:val="181109B7"/>
    <w:rsid w:val="18741C39"/>
    <w:rsid w:val="18A44B4E"/>
    <w:rsid w:val="19045B0B"/>
    <w:rsid w:val="19170B59"/>
    <w:rsid w:val="19D9750D"/>
    <w:rsid w:val="1A3E6C81"/>
    <w:rsid w:val="1A824F3A"/>
    <w:rsid w:val="1B267FBB"/>
    <w:rsid w:val="1B801CC8"/>
    <w:rsid w:val="1B846C34"/>
    <w:rsid w:val="1BFD50DB"/>
    <w:rsid w:val="1C031914"/>
    <w:rsid w:val="1C1465EC"/>
    <w:rsid w:val="1D5A37B5"/>
    <w:rsid w:val="1E277299"/>
    <w:rsid w:val="1EB20006"/>
    <w:rsid w:val="1F625134"/>
    <w:rsid w:val="1F7532BF"/>
    <w:rsid w:val="1FBE09D8"/>
    <w:rsid w:val="1FC62A11"/>
    <w:rsid w:val="1FE94B65"/>
    <w:rsid w:val="22193154"/>
    <w:rsid w:val="22715501"/>
    <w:rsid w:val="243303ED"/>
    <w:rsid w:val="243A6685"/>
    <w:rsid w:val="24F6231C"/>
    <w:rsid w:val="25473008"/>
    <w:rsid w:val="25643BBA"/>
    <w:rsid w:val="26985C75"/>
    <w:rsid w:val="27363334"/>
    <w:rsid w:val="27523B18"/>
    <w:rsid w:val="276E48D2"/>
    <w:rsid w:val="2785792D"/>
    <w:rsid w:val="27A42993"/>
    <w:rsid w:val="27DC0AE4"/>
    <w:rsid w:val="2927172A"/>
    <w:rsid w:val="29AE234C"/>
    <w:rsid w:val="29DB01C2"/>
    <w:rsid w:val="2A532558"/>
    <w:rsid w:val="2A7033B3"/>
    <w:rsid w:val="2B253DEB"/>
    <w:rsid w:val="2B5067BC"/>
    <w:rsid w:val="2BAF7B59"/>
    <w:rsid w:val="2C411A3E"/>
    <w:rsid w:val="2C426C66"/>
    <w:rsid w:val="2C6113B8"/>
    <w:rsid w:val="2D574004"/>
    <w:rsid w:val="2E187C37"/>
    <w:rsid w:val="2E4C78E1"/>
    <w:rsid w:val="2F9027ED"/>
    <w:rsid w:val="2FFE4B4C"/>
    <w:rsid w:val="3148438F"/>
    <w:rsid w:val="31B71C9E"/>
    <w:rsid w:val="324E7BE0"/>
    <w:rsid w:val="326351F9"/>
    <w:rsid w:val="33A95A17"/>
    <w:rsid w:val="33D72BCA"/>
    <w:rsid w:val="33DC6A26"/>
    <w:rsid w:val="341049FF"/>
    <w:rsid w:val="34861547"/>
    <w:rsid w:val="35281527"/>
    <w:rsid w:val="354F721F"/>
    <w:rsid w:val="35851C2B"/>
    <w:rsid w:val="36641DC2"/>
    <w:rsid w:val="36CE5337"/>
    <w:rsid w:val="36EF34FF"/>
    <w:rsid w:val="371745F4"/>
    <w:rsid w:val="37F6116E"/>
    <w:rsid w:val="38C61DEC"/>
    <w:rsid w:val="39736EA6"/>
    <w:rsid w:val="39900FC9"/>
    <w:rsid w:val="399D145A"/>
    <w:rsid w:val="39B50289"/>
    <w:rsid w:val="3A075EFA"/>
    <w:rsid w:val="3A306308"/>
    <w:rsid w:val="3C410FB0"/>
    <w:rsid w:val="3C663D2A"/>
    <w:rsid w:val="3DDA6CB7"/>
    <w:rsid w:val="3E3768DD"/>
    <w:rsid w:val="3E452870"/>
    <w:rsid w:val="3E643326"/>
    <w:rsid w:val="3E8973E0"/>
    <w:rsid w:val="3EB92D70"/>
    <w:rsid w:val="40206BE3"/>
    <w:rsid w:val="409B1E8D"/>
    <w:rsid w:val="40DC63FC"/>
    <w:rsid w:val="41872CB2"/>
    <w:rsid w:val="42500858"/>
    <w:rsid w:val="429813C4"/>
    <w:rsid w:val="42D40179"/>
    <w:rsid w:val="4315253F"/>
    <w:rsid w:val="44A409D6"/>
    <w:rsid w:val="458D6CC8"/>
    <w:rsid w:val="45D1235A"/>
    <w:rsid w:val="486067C3"/>
    <w:rsid w:val="487F0B87"/>
    <w:rsid w:val="48F549A5"/>
    <w:rsid w:val="4992760D"/>
    <w:rsid w:val="499907DA"/>
    <w:rsid w:val="49EB25FE"/>
    <w:rsid w:val="4A5760AD"/>
    <w:rsid w:val="4A6E042A"/>
    <w:rsid w:val="4AD21992"/>
    <w:rsid w:val="4B077974"/>
    <w:rsid w:val="4D4E01B7"/>
    <w:rsid w:val="4D6D5452"/>
    <w:rsid w:val="4DB65EA0"/>
    <w:rsid w:val="4E47556D"/>
    <w:rsid w:val="4E8F36DE"/>
    <w:rsid w:val="4E9402E9"/>
    <w:rsid w:val="4F00019C"/>
    <w:rsid w:val="4F0A2E10"/>
    <w:rsid w:val="4F1C324D"/>
    <w:rsid w:val="4F6939F7"/>
    <w:rsid w:val="50026FE7"/>
    <w:rsid w:val="500C09D2"/>
    <w:rsid w:val="50322B6F"/>
    <w:rsid w:val="50C91618"/>
    <w:rsid w:val="50D96E8E"/>
    <w:rsid w:val="516D5D9B"/>
    <w:rsid w:val="51BD136F"/>
    <w:rsid w:val="52120376"/>
    <w:rsid w:val="52B7716F"/>
    <w:rsid w:val="53B67427"/>
    <w:rsid w:val="54B75204"/>
    <w:rsid w:val="552C5BF2"/>
    <w:rsid w:val="56F94C94"/>
    <w:rsid w:val="57F64097"/>
    <w:rsid w:val="583D3C73"/>
    <w:rsid w:val="58403763"/>
    <w:rsid w:val="58405511"/>
    <w:rsid w:val="584D7242"/>
    <w:rsid w:val="58A2268D"/>
    <w:rsid w:val="58E230FD"/>
    <w:rsid w:val="59007B03"/>
    <w:rsid w:val="5A3B68D8"/>
    <w:rsid w:val="5ACF2F99"/>
    <w:rsid w:val="5AD7215D"/>
    <w:rsid w:val="5B647768"/>
    <w:rsid w:val="5C7F2AAC"/>
    <w:rsid w:val="5CAE3391"/>
    <w:rsid w:val="5D754E8B"/>
    <w:rsid w:val="5DED33BD"/>
    <w:rsid w:val="5E145B81"/>
    <w:rsid w:val="5E8A398A"/>
    <w:rsid w:val="5F383D7A"/>
    <w:rsid w:val="5F79574A"/>
    <w:rsid w:val="5FD96238"/>
    <w:rsid w:val="5FF9014B"/>
    <w:rsid w:val="60680979"/>
    <w:rsid w:val="60762418"/>
    <w:rsid w:val="61415A5F"/>
    <w:rsid w:val="61F23D20"/>
    <w:rsid w:val="626F3907"/>
    <w:rsid w:val="627B2BFA"/>
    <w:rsid w:val="62D865F2"/>
    <w:rsid w:val="636837DF"/>
    <w:rsid w:val="63AD6150"/>
    <w:rsid w:val="64A16C91"/>
    <w:rsid w:val="65534AD5"/>
    <w:rsid w:val="658426A5"/>
    <w:rsid w:val="658D6813"/>
    <w:rsid w:val="66546D57"/>
    <w:rsid w:val="66ED1A86"/>
    <w:rsid w:val="68654DE9"/>
    <w:rsid w:val="69677B04"/>
    <w:rsid w:val="69E20907"/>
    <w:rsid w:val="6AE009A2"/>
    <w:rsid w:val="6BA936A1"/>
    <w:rsid w:val="6BCB7ABB"/>
    <w:rsid w:val="6C993192"/>
    <w:rsid w:val="6DBE4C67"/>
    <w:rsid w:val="6DDC464C"/>
    <w:rsid w:val="6E8A3FD5"/>
    <w:rsid w:val="6F960E0D"/>
    <w:rsid w:val="70295F76"/>
    <w:rsid w:val="706B5CC1"/>
    <w:rsid w:val="70B30221"/>
    <w:rsid w:val="71124A12"/>
    <w:rsid w:val="721E46BD"/>
    <w:rsid w:val="724A5A19"/>
    <w:rsid w:val="72974A54"/>
    <w:rsid w:val="72BD3ED6"/>
    <w:rsid w:val="730648B7"/>
    <w:rsid w:val="73204DFE"/>
    <w:rsid w:val="73443C12"/>
    <w:rsid w:val="73675D4A"/>
    <w:rsid w:val="737722D7"/>
    <w:rsid w:val="738E2DDF"/>
    <w:rsid w:val="73AA6208"/>
    <w:rsid w:val="74161AF0"/>
    <w:rsid w:val="751A73BE"/>
    <w:rsid w:val="755F2CCE"/>
    <w:rsid w:val="756C4FA9"/>
    <w:rsid w:val="75B26B58"/>
    <w:rsid w:val="75E672A0"/>
    <w:rsid w:val="76281FC7"/>
    <w:rsid w:val="76AA3530"/>
    <w:rsid w:val="77297B97"/>
    <w:rsid w:val="772B09DE"/>
    <w:rsid w:val="77447D69"/>
    <w:rsid w:val="77B27DE0"/>
    <w:rsid w:val="78280DF2"/>
    <w:rsid w:val="783E7867"/>
    <w:rsid w:val="79057F76"/>
    <w:rsid w:val="796055BB"/>
    <w:rsid w:val="799A6D1F"/>
    <w:rsid w:val="7A2D36EF"/>
    <w:rsid w:val="7AAF05A8"/>
    <w:rsid w:val="7B0A6CF0"/>
    <w:rsid w:val="7B0F59D4"/>
    <w:rsid w:val="7BFE3CD9"/>
    <w:rsid w:val="7C665BBF"/>
    <w:rsid w:val="7C93052B"/>
    <w:rsid w:val="7CF6329A"/>
    <w:rsid w:val="7D736FFB"/>
    <w:rsid w:val="7D91302E"/>
    <w:rsid w:val="7DB165C4"/>
    <w:rsid w:val="7E30220C"/>
    <w:rsid w:val="7E364F49"/>
    <w:rsid w:val="7E413C0D"/>
    <w:rsid w:val="7E9A7122"/>
    <w:rsid w:val="7F1D7072"/>
    <w:rsid w:val="7F24401B"/>
    <w:rsid w:val="7F2B188D"/>
    <w:rsid w:val="7F2D4072"/>
    <w:rsid w:val="7F480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3"/>
    <w:qFormat/>
    <w:uiPriority w:val="0"/>
    <w:pPr>
      <w:keepNext/>
      <w:keepLines/>
      <w:spacing w:before="260" w:beforeLines="0" w:after="260" w:afterLines="0" w:line="416"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unhideWhenUsed/>
    <w:qFormat/>
    <w:uiPriority w:val="99"/>
    <w:pPr>
      <w:spacing w:before="120"/>
    </w:pPr>
    <w:rPr>
      <w:rFonts w:ascii="Cambria" w:hAnsi="Cambria" w:cs="Times New Roman"/>
      <w:sz w:val="24"/>
      <w:szCs w:val="24"/>
    </w:r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spacing w:after="120"/>
      <w:ind w:left="420" w:leftChars="20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Plain Text"/>
    <w:basedOn w:val="1"/>
    <w:next w:val="5"/>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6"/>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HTML Sample"/>
    <w:basedOn w:val="14"/>
    <w:autoRedefine/>
    <w:qFormat/>
    <w:uiPriority w:val="0"/>
    <w:rPr>
      <w:rFonts w:ascii="Courier New" w:hAnsi="Courier New"/>
    </w:rPr>
  </w:style>
  <w:style w:type="paragraph" w:customStyle="1" w:styleId="18">
    <w:name w:val="Default"/>
    <w:basedOn w:val="8"/>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仿宋" w:hAnsi="仿宋" w:eastAsia="仿宋" w:cs="仿宋"/>
      <w:sz w:val="24"/>
      <w:szCs w:val="24"/>
      <w:lang w:val="en-US" w:eastAsia="en-US" w:bidi="ar-SA"/>
    </w:rPr>
  </w:style>
  <w:style w:type="character" w:customStyle="1" w:styleId="21">
    <w:name w:val="font61"/>
    <w:basedOn w:val="14"/>
    <w:autoRedefine/>
    <w:qFormat/>
    <w:uiPriority w:val="0"/>
    <w:rPr>
      <w:rFonts w:ascii="方正小标宋简体" w:hAnsi="方正小标宋简体" w:eastAsia="方正小标宋简体" w:cs="方正小标宋简体"/>
      <w:color w:val="000000"/>
      <w:sz w:val="40"/>
      <w:szCs w:val="40"/>
      <w:u w:val="none"/>
    </w:rPr>
  </w:style>
  <w:style w:type="character" w:customStyle="1" w:styleId="22">
    <w:name w:val="font71"/>
    <w:basedOn w:val="14"/>
    <w:autoRedefine/>
    <w:qFormat/>
    <w:uiPriority w:val="0"/>
    <w:rPr>
      <w:rFonts w:hint="default" w:ascii="方正小标宋简体" w:hAnsi="方正小标宋简体" w:eastAsia="方正小标宋简体" w:cs="方正小标宋简体"/>
      <w:color w:val="000000"/>
      <w:sz w:val="20"/>
      <w:szCs w:val="20"/>
      <w:u w:val="none"/>
    </w:rPr>
  </w:style>
  <w:style w:type="character" w:customStyle="1" w:styleId="23">
    <w:name w:val="font81"/>
    <w:basedOn w:val="14"/>
    <w:autoRedefine/>
    <w:qFormat/>
    <w:uiPriority w:val="0"/>
    <w:rPr>
      <w:rFonts w:ascii="方正仿宋_GB2312" w:hAnsi="方正仿宋_GB2312" w:eastAsia="方正仿宋_GB2312" w:cs="方正仿宋_GB2312"/>
      <w:color w:val="000000"/>
      <w:sz w:val="20"/>
      <w:szCs w:val="20"/>
      <w:u w:val="none"/>
    </w:rPr>
  </w:style>
  <w:style w:type="character" w:customStyle="1" w:styleId="24">
    <w:name w:val="font31"/>
    <w:basedOn w:val="14"/>
    <w:autoRedefine/>
    <w:qFormat/>
    <w:uiPriority w:val="0"/>
    <w:rPr>
      <w:rFonts w:hint="default" w:ascii="Times New Roman" w:hAnsi="Times New Roman" w:cs="Times New Roman"/>
      <w:color w:val="000000"/>
      <w:sz w:val="20"/>
      <w:szCs w:val="20"/>
      <w:u w:val="none"/>
    </w:rPr>
  </w:style>
  <w:style w:type="character" w:customStyle="1" w:styleId="25">
    <w:name w:val="font91"/>
    <w:basedOn w:val="14"/>
    <w:autoRedefine/>
    <w:qFormat/>
    <w:uiPriority w:val="0"/>
    <w:rPr>
      <w:rFonts w:hint="default" w:ascii="Times New Roman" w:hAnsi="Times New Roman" w:cs="Times New Roman"/>
      <w:color w:val="000000"/>
      <w:sz w:val="20"/>
      <w:szCs w:val="20"/>
      <w:u w:val="none"/>
      <w:vertAlign w:val="superscript"/>
    </w:rPr>
  </w:style>
  <w:style w:type="character" w:customStyle="1" w:styleId="26">
    <w:name w:val="font101"/>
    <w:basedOn w:val="14"/>
    <w:autoRedefine/>
    <w:qFormat/>
    <w:uiPriority w:val="0"/>
    <w:rPr>
      <w:rFonts w:hint="default" w:ascii="Times New Roman" w:hAnsi="Times New Roman" w:cs="Times New Roman"/>
      <w:color w:val="000000"/>
      <w:sz w:val="20"/>
      <w:szCs w:val="20"/>
      <w:u w:val="none"/>
      <w:vertAlign w:val="subscript"/>
    </w:rPr>
  </w:style>
  <w:style w:type="character" w:customStyle="1" w:styleId="27">
    <w:name w:val="font112"/>
    <w:basedOn w:val="14"/>
    <w:autoRedefine/>
    <w:qFormat/>
    <w:uiPriority w:val="0"/>
    <w:rPr>
      <w:rFonts w:hint="default" w:ascii="方正仿宋_GB2312" w:hAnsi="方正仿宋_GB2312" w:eastAsia="方正仿宋_GB2312" w:cs="方正仿宋_GB2312"/>
      <w:color w:val="000000"/>
      <w:sz w:val="20"/>
      <w:szCs w:val="20"/>
      <w:u w:val="none"/>
      <w:vertAlign w:val="subscript"/>
    </w:rPr>
  </w:style>
  <w:style w:type="character" w:customStyle="1" w:styleId="28">
    <w:name w:val="font51"/>
    <w:basedOn w:val="14"/>
    <w:autoRedefine/>
    <w:qFormat/>
    <w:uiPriority w:val="0"/>
    <w:rPr>
      <w:rFonts w:hint="default" w:ascii="Times New Roman" w:hAnsi="Times New Roman" w:cs="Times New Roman"/>
      <w:color w:val="000000"/>
      <w:sz w:val="18"/>
      <w:szCs w:val="18"/>
      <w:u w:val="none"/>
    </w:rPr>
  </w:style>
  <w:style w:type="character" w:customStyle="1" w:styleId="29">
    <w:name w:val="font41"/>
    <w:basedOn w:val="14"/>
    <w:autoRedefine/>
    <w:qFormat/>
    <w:uiPriority w:val="0"/>
    <w:rPr>
      <w:rFonts w:hint="default" w:ascii="方正仿宋_GB2312" w:hAnsi="方正仿宋_GB2312" w:eastAsia="方正仿宋_GB2312" w:cs="方正仿宋_GB2312"/>
      <w:color w:val="000000"/>
      <w:sz w:val="18"/>
      <w:szCs w:val="18"/>
      <w:u w:val="none"/>
    </w:rPr>
  </w:style>
  <w:style w:type="character" w:customStyle="1" w:styleId="30">
    <w:name w:val="font121"/>
    <w:basedOn w:val="14"/>
    <w:autoRedefine/>
    <w:qFormat/>
    <w:uiPriority w:val="0"/>
    <w:rPr>
      <w:rFonts w:hint="default" w:ascii="Times New Roman" w:hAnsi="Times New Roman" w:cs="Times New Roman"/>
      <w:color w:val="000000"/>
      <w:sz w:val="18"/>
      <w:szCs w:val="18"/>
      <w:u w:val="none"/>
      <w:vertAlign w:val="subscript"/>
    </w:rPr>
  </w:style>
  <w:style w:type="paragraph" w:customStyle="1" w:styleId="31">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paragraph" w:customStyle="1" w:styleId="32">
    <w:name w:val="_Style 5"/>
    <w:basedOn w:val="1"/>
    <w:qFormat/>
    <w:uiPriority w:val="1"/>
    <w:pPr>
      <w:ind w:left="1040" w:firstLine="559"/>
    </w:pPr>
    <w:rPr>
      <w:rFonts w:ascii="宋体" w:hAnsi="宋体" w:eastAsia="宋体" w:cs="宋体"/>
      <w:lang w:val="zh-CN" w:eastAsia="zh-CN" w:bidi="zh-CN"/>
    </w:rPr>
  </w:style>
  <w:style w:type="character" w:customStyle="1" w:styleId="33">
    <w:name w:val="样式 仿宋"/>
    <w:qFormat/>
    <w:uiPriority w:val="0"/>
    <w:rPr>
      <w:rFonts w:ascii="仿宋" w:hAnsi="仿宋" w:eastAsia="仿宋"/>
      <w:kern w:val="1"/>
    </w:rPr>
  </w:style>
  <w:style w:type="paragraph" w:customStyle="1" w:styleId="34">
    <w:name w:val="标书正文"/>
    <w:basedOn w:val="1"/>
    <w:qFormat/>
    <w:uiPriority w:val="0"/>
    <w:pPr>
      <w:spacing w:line="360" w:lineRule="auto"/>
      <w:ind w:firstLine="497" w:firstLineChars="207"/>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6256</Words>
  <Characters>6932</Characters>
  <TotalTime>40</TotalTime>
  <ScaleCrop>false</ScaleCrop>
  <LinksUpToDate>false</LinksUpToDate>
  <CharactersWithSpaces>7218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2024-04-22T12:41:00Z</dcterms:created>
  <dc:creator>USER</dc:creator>
  <cp:lastModifiedBy>.+『猫•腻』</cp:lastModifiedBy>
  <cp:lastPrinted>2024-09-12T09:10:00Z</cp:lastPrinted>
  <dcterms:modified xsi:type="dcterms:W3CDTF">2025-03-10T11:05:12Z</dcterms:modified>
  <dc:title>政协统办一号楼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2024-04-22T15:33:46Z</vt:filetime>
  </property>
  <property fmtid="{D5CDD505-2E9C-101B-9397-08002B2CF9AE}" pid="4" name="KSOProductBuildVer">
    <vt:lpwstr>2052-12.1.0.20305</vt:lpwstr>
  </property>
  <property fmtid="{D5CDD505-2E9C-101B-9397-08002B2CF9AE}" pid="5" name="ICV">
    <vt:lpwstr>ED981944D36C459088764A4DDACDE50B_13</vt:lpwstr>
  </property>
  <property fmtid="{D5CDD505-2E9C-101B-9397-08002B2CF9AE}" pid="6" name="KSOTemplateDocerSaveRecord">
    <vt:lpwstr>eyJoZGlkIjoiNzk5MGMyMGE3NzgzNTQ5NWY5OTQ2YjYwNzEzZTc5ZDgiLCJ1c2VySWQiOiI1MjMzMDYxODIifQ==</vt:lpwstr>
  </property>
</Properties>
</file>