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2956E">
      <w:pPr>
        <w:pStyle w:val="7"/>
        <w:keepLines w:val="0"/>
        <w:pageBreakBefore w:val="0"/>
        <w:kinsoku/>
        <w:wordWrap/>
        <w:overflowPunct/>
        <w:topLinePunct w:val="0"/>
        <w:bidi w:val="0"/>
        <w:spacing w:line="275" w:lineRule="auto"/>
        <w:jc w:val="center"/>
      </w:pPr>
      <w:r>
        <w:rPr>
          <w:rFonts w:hint="eastAsia" w:ascii="仿宋" w:hAnsi="仿宋" w:eastAsia="仿宋" w:cs="仿宋"/>
          <w:b/>
          <w:bCs/>
          <w:snapToGrid w:val="0"/>
          <w:color w:val="000000"/>
          <w:spacing w:val="-38"/>
          <w:kern w:val="0"/>
          <w:sz w:val="64"/>
          <w:szCs w:val="64"/>
          <w:lang w:val="en-US" w:eastAsia="zh-CN" w:bidi="ar-SA"/>
        </w:rPr>
        <w:t>“2025年阿瓦提县人民医院门诊改造及设备项目”检验科和肾病血液科采购一批医疗设备</w:t>
      </w:r>
    </w:p>
    <w:p w14:paraId="75C491B2">
      <w:pPr>
        <w:pStyle w:val="7"/>
        <w:keepLines w:val="0"/>
        <w:pageBreakBefore w:val="0"/>
        <w:kinsoku/>
        <w:wordWrap/>
        <w:overflowPunct/>
        <w:topLinePunct w:val="0"/>
        <w:bidi w:val="0"/>
        <w:spacing w:line="275" w:lineRule="auto"/>
      </w:pPr>
    </w:p>
    <w:p w14:paraId="6E481CD1">
      <w:pPr>
        <w:pStyle w:val="7"/>
        <w:keepLines w:val="0"/>
        <w:pageBreakBefore w:val="0"/>
        <w:kinsoku/>
        <w:wordWrap/>
        <w:overflowPunct/>
        <w:topLinePunct w:val="0"/>
        <w:bidi w:val="0"/>
        <w:spacing w:line="275" w:lineRule="auto"/>
      </w:pPr>
    </w:p>
    <w:p w14:paraId="77429A98">
      <w:pPr>
        <w:pStyle w:val="7"/>
        <w:keepLines w:val="0"/>
        <w:pageBreakBefore w:val="0"/>
        <w:kinsoku/>
        <w:wordWrap/>
        <w:overflowPunct/>
        <w:topLinePunct w:val="0"/>
        <w:bidi w:val="0"/>
        <w:spacing w:line="275" w:lineRule="auto"/>
      </w:pPr>
    </w:p>
    <w:p w14:paraId="3285D62E">
      <w:pPr>
        <w:pStyle w:val="7"/>
        <w:keepLines w:val="0"/>
        <w:pageBreakBefore w:val="0"/>
        <w:kinsoku/>
        <w:wordWrap/>
        <w:overflowPunct/>
        <w:topLinePunct w:val="0"/>
        <w:bidi w:val="0"/>
        <w:spacing w:line="275" w:lineRule="auto"/>
      </w:pPr>
    </w:p>
    <w:p w14:paraId="4F1C60EB">
      <w:pPr>
        <w:keepLines w:val="0"/>
        <w:pageBreakBefore w:val="0"/>
        <w:kinsoku/>
        <w:wordWrap/>
        <w:overflowPunct/>
        <w:topLinePunct w:val="0"/>
        <w:bidi w:val="0"/>
      </w:pPr>
    </w:p>
    <w:p w14:paraId="2FFB8773">
      <w:pPr>
        <w:keepLines w:val="0"/>
        <w:pageBreakBefore w:val="0"/>
        <w:kinsoku/>
        <w:wordWrap/>
        <w:overflowPunct/>
        <w:topLinePunct w:val="0"/>
        <w:bidi w:val="0"/>
      </w:pPr>
    </w:p>
    <w:p w14:paraId="4FF8C506">
      <w:pPr>
        <w:pStyle w:val="7"/>
        <w:keepLines w:val="0"/>
        <w:pageBreakBefore w:val="0"/>
        <w:kinsoku/>
        <w:wordWrap/>
        <w:overflowPunct/>
        <w:topLinePunct w:val="0"/>
        <w:bidi w:val="0"/>
        <w:spacing w:line="275" w:lineRule="auto"/>
      </w:pPr>
    </w:p>
    <w:p w14:paraId="70A796AA">
      <w:pPr>
        <w:keepLines w:val="0"/>
        <w:pageBreakBefore w:val="0"/>
        <w:kinsoku/>
        <w:wordWrap/>
        <w:overflowPunct/>
        <w:topLinePunct w:val="0"/>
        <w:bidi w:val="0"/>
        <w:spacing w:before="208" w:line="222" w:lineRule="auto"/>
        <w:jc w:val="center"/>
        <w:outlineLvl w:val="0"/>
        <w:rPr>
          <w:rFonts w:ascii="仿宋" w:hAnsi="仿宋" w:eastAsia="仿宋" w:cs="仿宋"/>
          <w:sz w:val="64"/>
          <w:szCs w:val="64"/>
        </w:rPr>
      </w:pPr>
      <w:r>
        <w:rPr>
          <w:rFonts w:ascii="仿宋" w:hAnsi="仿宋" w:eastAsia="仿宋" w:cs="仿宋"/>
          <w:b/>
          <w:bCs/>
          <w:spacing w:val="-38"/>
          <w:sz w:val="64"/>
          <w:szCs w:val="64"/>
        </w:rPr>
        <w:t>招</w:t>
      </w:r>
      <w:r>
        <w:rPr>
          <w:rFonts w:ascii="仿宋" w:hAnsi="仿宋" w:eastAsia="仿宋" w:cs="仿宋"/>
          <w:spacing w:val="169"/>
          <w:sz w:val="64"/>
          <w:szCs w:val="64"/>
        </w:rPr>
        <w:t xml:space="preserve"> </w:t>
      </w:r>
      <w:r>
        <w:rPr>
          <w:rFonts w:ascii="仿宋" w:hAnsi="仿宋" w:eastAsia="仿宋" w:cs="仿宋"/>
          <w:b/>
          <w:bCs/>
          <w:spacing w:val="-38"/>
          <w:sz w:val="64"/>
          <w:szCs w:val="64"/>
        </w:rPr>
        <w:t>标</w:t>
      </w:r>
      <w:r>
        <w:rPr>
          <w:rFonts w:ascii="仿宋" w:hAnsi="仿宋" w:eastAsia="仿宋" w:cs="仿宋"/>
          <w:spacing w:val="171"/>
          <w:sz w:val="64"/>
          <w:szCs w:val="64"/>
        </w:rPr>
        <w:t xml:space="preserve"> </w:t>
      </w:r>
      <w:r>
        <w:rPr>
          <w:rFonts w:ascii="仿宋" w:hAnsi="仿宋" w:eastAsia="仿宋" w:cs="仿宋"/>
          <w:b/>
          <w:bCs/>
          <w:spacing w:val="-38"/>
          <w:sz w:val="64"/>
          <w:szCs w:val="64"/>
        </w:rPr>
        <w:t>文</w:t>
      </w:r>
      <w:r>
        <w:rPr>
          <w:rFonts w:ascii="仿宋" w:hAnsi="仿宋" w:eastAsia="仿宋" w:cs="仿宋"/>
          <w:spacing w:val="170"/>
          <w:sz w:val="64"/>
          <w:szCs w:val="64"/>
        </w:rPr>
        <w:t xml:space="preserve"> </w:t>
      </w:r>
      <w:r>
        <w:rPr>
          <w:rFonts w:ascii="仿宋" w:hAnsi="仿宋" w:eastAsia="仿宋" w:cs="仿宋"/>
          <w:b/>
          <w:bCs/>
          <w:spacing w:val="-38"/>
          <w:sz w:val="64"/>
          <w:szCs w:val="64"/>
        </w:rPr>
        <w:t>件</w:t>
      </w:r>
    </w:p>
    <w:p w14:paraId="71159A70">
      <w:pPr>
        <w:pStyle w:val="7"/>
        <w:keepLines w:val="0"/>
        <w:pageBreakBefore w:val="0"/>
        <w:kinsoku/>
        <w:wordWrap/>
        <w:overflowPunct/>
        <w:topLinePunct w:val="0"/>
        <w:bidi w:val="0"/>
        <w:spacing w:line="287" w:lineRule="auto"/>
      </w:pPr>
    </w:p>
    <w:p w14:paraId="18F1B668">
      <w:pPr>
        <w:pStyle w:val="7"/>
        <w:keepLines w:val="0"/>
        <w:pageBreakBefore w:val="0"/>
        <w:kinsoku/>
        <w:wordWrap/>
        <w:overflowPunct/>
        <w:topLinePunct w:val="0"/>
        <w:bidi w:val="0"/>
        <w:spacing w:line="287" w:lineRule="auto"/>
      </w:pPr>
    </w:p>
    <w:p w14:paraId="21C42051">
      <w:pPr>
        <w:pStyle w:val="7"/>
        <w:keepLines w:val="0"/>
        <w:pageBreakBefore w:val="0"/>
        <w:kinsoku/>
        <w:wordWrap/>
        <w:overflowPunct/>
        <w:topLinePunct w:val="0"/>
        <w:bidi w:val="0"/>
        <w:spacing w:line="288" w:lineRule="auto"/>
      </w:pPr>
    </w:p>
    <w:p w14:paraId="743AAB1B">
      <w:pPr>
        <w:pStyle w:val="7"/>
        <w:keepLines w:val="0"/>
        <w:pageBreakBefore w:val="0"/>
        <w:kinsoku/>
        <w:wordWrap/>
        <w:overflowPunct/>
        <w:topLinePunct w:val="0"/>
        <w:bidi w:val="0"/>
        <w:spacing w:line="288" w:lineRule="auto"/>
      </w:pPr>
    </w:p>
    <w:p w14:paraId="037553B6">
      <w:pPr>
        <w:pStyle w:val="7"/>
        <w:keepLines w:val="0"/>
        <w:pageBreakBefore w:val="0"/>
        <w:kinsoku/>
        <w:wordWrap/>
        <w:overflowPunct/>
        <w:topLinePunct w:val="0"/>
        <w:bidi w:val="0"/>
        <w:spacing w:line="288" w:lineRule="auto"/>
      </w:pPr>
    </w:p>
    <w:p w14:paraId="5315A49F">
      <w:pPr>
        <w:pStyle w:val="7"/>
        <w:keepLines w:val="0"/>
        <w:pageBreakBefore w:val="0"/>
        <w:kinsoku/>
        <w:wordWrap/>
        <w:overflowPunct/>
        <w:topLinePunct w:val="0"/>
        <w:bidi w:val="0"/>
        <w:spacing w:line="255" w:lineRule="auto"/>
      </w:pPr>
    </w:p>
    <w:p w14:paraId="6CA81EC4">
      <w:pPr>
        <w:pStyle w:val="7"/>
        <w:keepLines w:val="0"/>
        <w:pageBreakBefore w:val="0"/>
        <w:kinsoku/>
        <w:wordWrap/>
        <w:overflowPunct/>
        <w:topLinePunct w:val="0"/>
        <w:bidi w:val="0"/>
        <w:spacing w:line="255" w:lineRule="auto"/>
      </w:pPr>
    </w:p>
    <w:p w14:paraId="0D3C5E21">
      <w:pPr>
        <w:keepLines w:val="0"/>
        <w:pageBreakBefore w:val="0"/>
        <w:kinsoku/>
        <w:wordWrap/>
        <w:overflowPunct/>
        <w:topLinePunct w:val="0"/>
        <w:bidi w:val="0"/>
      </w:pPr>
    </w:p>
    <w:p w14:paraId="600F30F9">
      <w:pPr>
        <w:keepLines w:val="0"/>
        <w:pageBreakBefore w:val="0"/>
        <w:kinsoku/>
        <w:wordWrap/>
        <w:overflowPunct/>
        <w:topLinePunct w:val="0"/>
        <w:bidi w:val="0"/>
      </w:pPr>
    </w:p>
    <w:p w14:paraId="7B7FEA18">
      <w:pPr>
        <w:pStyle w:val="7"/>
        <w:keepLines w:val="0"/>
        <w:pageBreakBefore w:val="0"/>
        <w:kinsoku/>
        <w:wordWrap/>
        <w:overflowPunct/>
        <w:topLinePunct w:val="0"/>
        <w:bidi w:val="0"/>
        <w:spacing w:line="255" w:lineRule="auto"/>
      </w:pPr>
    </w:p>
    <w:p w14:paraId="1B5C792B">
      <w:pPr>
        <w:pStyle w:val="7"/>
        <w:keepLines w:val="0"/>
        <w:pageBreakBefore w:val="0"/>
        <w:kinsoku/>
        <w:wordWrap/>
        <w:overflowPunct/>
        <w:topLinePunct w:val="0"/>
        <w:bidi w:val="0"/>
        <w:spacing w:line="255" w:lineRule="auto"/>
      </w:pPr>
    </w:p>
    <w:p w14:paraId="5022B7F6">
      <w:pPr>
        <w:pStyle w:val="7"/>
        <w:keepLines w:val="0"/>
        <w:pageBreakBefore w:val="0"/>
        <w:kinsoku/>
        <w:wordWrap/>
        <w:overflowPunct/>
        <w:topLinePunct w:val="0"/>
        <w:bidi w:val="0"/>
        <w:spacing w:line="255" w:lineRule="auto"/>
      </w:pPr>
    </w:p>
    <w:p w14:paraId="27ABDFEA">
      <w:pPr>
        <w:pStyle w:val="7"/>
        <w:keepLines w:val="0"/>
        <w:pageBreakBefore w:val="0"/>
        <w:kinsoku/>
        <w:wordWrap/>
        <w:overflowPunct/>
        <w:topLinePunct w:val="0"/>
        <w:bidi w:val="0"/>
        <w:spacing w:line="255" w:lineRule="auto"/>
      </w:pPr>
    </w:p>
    <w:p w14:paraId="7E8AF229">
      <w:pPr>
        <w:keepLines w:val="0"/>
        <w:pageBreakBefore w:val="0"/>
        <w:kinsoku/>
        <w:wordWrap/>
        <w:overflowPunct/>
        <w:topLinePunct w:val="0"/>
        <w:bidi w:val="0"/>
        <w:spacing w:before="108" w:line="224" w:lineRule="auto"/>
        <w:ind w:left="924"/>
        <w:rPr>
          <w:rFonts w:hint="default" w:ascii="仿宋" w:hAnsi="仿宋" w:eastAsia="仿宋" w:cs="仿宋"/>
          <w:sz w:val="33"/>
          <w:szCs w:val="33"/>
          <w:lang w:val="en-US" w:eastAsia="zh-CN"/>
        </w:rPr>
      </w:pPr>
      <w:r>
        <w:rPr>
          <w:rFonts w:ascii="仿宋" w:hAnsi="仿宋" w:eastAsia="仿宋" w:cs="仿宋"/>
          <w:b/>
          <w:bCs/>
          <w:spacing w:val="23"/>
          <w:sz w:val="33"/>
          <w:szCs w:val="33"/>
        </w:rPr>
        <w:t>项目编号：</w:t>
      </w:r>
      <w:r>
        <w:rPr>
          <w:rFonts w:hint="eastAsia" w:ascii="仿宋" w:hAnsi="仿宋" w:eastAsia="仿宋" w:cs="仿宋"/>
          <w:b/>
          <w:bCs/>
          <w:spacing w:val="23"/>
          <w:sz w:val="33"/>
          <w:szCs w:val="33"/>
          <w:highlight w:val="none"/>
          <w:lang w:eastAsia="zh-CN"/>
        </w:rPr>
        <w:t>20240766</w:t>
      </w:r>
    </w:p>
    <w:p w14:paraId="54D21DE5">
      <w:pPr>
        <w:pStyle w:val="7"/>
        <w:keepLines w:val="0"/>
        <w:pageBreakBefore w:val="0"/>
        <w:kinsoku/>
        <w:wordWrap/>
        <w:overflowPunct/>
        <w:topLinePunct w:val="0"/>
        <w:bidi w:val="0"/>
        <w:spacing w:line="415" w:lineRule="auto"/>
      </w:pPr>
    </w:p>
    <w:p w14:paraId="348F5896">
      <w:pPr>
        <w:keepLines w:val="0"/>
        <w:pageBreakBefore w:val="0"/>
        <w:kinsoku/>
        <w:wordWrap/>
        <w:overflowPunct/>
        <w:topLinePunct w:val="0"/>
        <w:bidi w:val="0"/>
        <w:spacing w:before="108" w:line="221" w:lineRule="auto"/>
        <w:ind w:left="924"/>
      </w:pPr>
      <w:r>
        <w:rPr>
          <w:rFonts w:ascii="仿宋" w:hAnsi="仿宋" w:eastAsia="仿宋" w:cs="仿宋"/>
          <w:b/>
          <w:bCs/>
          <w:spacing w:val="37"/>
          <w:sz w:val="33"/>
          <w:szCs w:val="33"/>
        </w:rPr>
        <w:t>采购人：</w:t>
      </w:r>
      <w:r>
        <w:rPr>
          <w:rFonts w:hint="eastAsia" w:ascii="仿宋" w:hAnsi="仿宋" w:eastAsia="仿宋" w:cs="仿宋"/>
          <w:b/>
          <w:bCs/>
          <w:spacing w:val="37"/>
          <w:sz w:val="33"/>
          <w:szCs w:val="33"/>
          <w:lang w:eastAsia="zh-CN"/>
        </w:rPr>
        <w:t>阿瓦提县人民医院</w:t>
      </w:r>
    </w:p>
    <w:p w14:paraId="37A51D79">
      <w:pPr>
        <w:keepLines w:val="0"/>
        <w:pageBreakBefore w:val="0"/>
        <w:kinsoku/>
        <w:wordWrap/>
        <w:overflowPunct/>
        <w:topLinePunct w:val="0"/>
        <w:bidi w:val="0"/>
        <w:spacing w:before="107" w:line="222" w:lineRule="auto"/>
        <w:ind w:left="924"/>
        <w:rPr>
          <w:rFonts w:hint="eastAsia" w:ascii="仿宋" w:hAnsi="仿宋" w:eastAsia="仿宋" w:cs="仿宋"/>
          <w:b/>
          <w:bCs/>
          <w:spacing w:val="24"/>
          <w:sz w:val="33"/>
          <w:szCs w:val="33"/>
          <w:lang w:eastAsia="zh-CN"/>
        </w:rPr>
      </w:pPr>
    </w:p>
    <w:p w14:paraId="12A2A771">
      <w:pPr>
        <w:keepLines w:val="0"/>
        <w:pageBreakBefore w:val="0"/>
        <w:kinsoku/>
        <w:wordWrap/>
        <w:overflowPunct/>
        <w:topLinePunct w:val="0"/>
        <w:bidi w:val="0"/>
        <w:spacing w:before="107" w:line="222" w:lineRule="auto"/>
        <w:ind w:left="924"/>
        <w:rPr>
          <w:rFonts w:hint="eastAsia" w:ascii="仿宋" w:hAnsi="仿宋" w:eastAsia="仿宋" w:cs="仿宋"/>
          <w:sz w:val="33"/>
          <w:szCs w:val="33"/>
          <w:lang w:eastAsia="zh-CN"/>
        </w:rPr>
      </w:pPr>
      <w:r>
        <w:rPr>
          <w:rFonts w:hint="eastAsia" w:ascii="仿宋" w:hAnsi="仿宋" w:eastAsia="仿宋" w:cs="仿宋"/>
          <w:b/>
          <w:bCs/>
          <w:spacing w:val="24"/>
          <w:sz w:val="33"/>
          <w:szCs w:val="33"/>
          <w:lang w:eastAsia="zh-CN"/>
        </w:rPr>
        <w:t>采购</w:t>
      </w:r>
      <w:r>
        <w:rPr>
          <w:rFonts w:ascii="仿宋" w:hAnsi="仿宋" w:eastAsia="仿宋" w:cs="仿宋"/>
          <w:b/>
          <w:bCs/>
          <w:spacing w:val="24"/>
          <w:sz w:val="33"/>
          <w:szCs w:val="33"/>
        </w:rPr>
        <w:t>代理机构：</w:t>
      </w:r>
      <w:r>
        <w:rPr>
          <w:rFonts w:hint="eastAsia" w:ascii="仿宋" w:hAnsi="仿宋" w:eastAsia="仿宋" w:cs="仿宋"/>
          <w:b/>
          <w:bCs/>
          <w:spacing w:val="24"/>
          <w:sz w:val="33"/>
          <w:szCs w:val="33"/>
          <w:lang w:eastAsia="zh-CN"/>
        </w:rPr>
        <w:t>阿克苏疆山项目管理有限公司</w:t>
      </w:r>
    </w:p>
    <w:p w14:paraId="2DBBF646">
      <w:pPr>
        <w:pStyle w:val="7"/>
        <w:keepLines w:val="0"/>
        <w:pageBreakBefore w:val="0"/>
        <w:kinsoku/>
        <w:wordWrap/>
        <w:overflowPunct/>
        <w:topLinePunct w:val="0"/>
        <w:bidi w:val="0"/>
        <w:spacing w:line="423" w:lineRule="auto"/>
      </w:pPr>
    </w:p>
    <w:p w14:paraId="580F3331">
      <w:pPr>
        <w:keepLines w:val="0"/>
        <w:pageBreakBefore w:val="0"/>
        <w:kinsoku/>
        <w:wordWrap/>
        <w:overflowPunct/>
        <w:topLinePunct w:val="0"/>
        <w:bidi w:val="0"/>
        <w:spacing w:before="108" w:line="222" w:lineRule="auto"/>
        <w:ind w:left="984"/>
        <w:rPr>
          <w:rFonts w:ascii="仿宋" w:hAnsi="仿宋" w:eastAsia="仿宋" w:cs="仿宋"/>
          <w:sz w:val="33"/>
          <w:szCs w:val="33"/>
        </w:rPr>
      </w:pPr>
      <w:r>
        <w:rPr>
          <w:rFonts w:ascii="仿宋" w:hAnsi="仿宋" w:eastAsia="仿宋" w:cs="仿宋"/>
          <w:b/>
          <w:bCs/>
          <w:spacing w:val="23"/>
          <w:sz w:val="33"/>
          <w:szCs w:val="33"/>
        </w:rPr>
        <w:t>日</w:t>
      </w:r>
      <w:r>
        <w:rPr>
          <w:rFonts w:ascii="仿宋" w:hAnsi="仿宋" w:eastAsia="仿宋" w:cs="仿宋"/>
          <w:spacing w:val="23"/>
          <w:sz w:val="33"/>
          <w:szCs w:val="33"/>
        </w:rPr>
        <w:t xml:space="preserve">    </w:t>
      </w:r>
      <w:r>
        <w:rPr>
          <w:rFonts w:ascii="宋体" w:hAnsi="宋体" w:eastAsia="宋体" w:cs="宋体"/>
          <w:b/>
          <w:bCs/>
          <w:spacing w:val="23"/>
          <w:sz w:val="33"/>
          <w:szCs w:val="33"/>
        </w:rPr>
        <w:t>期</w:t>
      </w:r>
      <w:r>
        <w:rPr>
          <w:rFonts w:ascii="仿宋" w:hAnsi="仿宋" w:eastAsia="仿宋" w:cs="仿宋"/>
          <w:b/>
          <w:bCs/>
          <w:spacing w:val="23"/>
          <w:sz w:val="33"/>
          <w:szCs w:val="33"/>
        </w:rPr>
        <w:t>：</w:t>
      </w:r>
      <w:r>
        <w:rPr>
          <w:rFonts w:hint="eastAsia" w:ascii="仿宋" w:hAnsi="仿宋" w:eastAsia="仿宋" w:cs="仿宋"/>
          <w:b/>
          <w:bCs/>
          <w:spacing w:val="23"/>
          <w:sz w:val="33"/>
          <w:szCs w:val="33"/>
          <w:lang w:val="en-US" w:eastAsia="zh-CN"/>
        </w:rPr>
        <w:t>2025</w:t>
      </w:r>
      <w:r>
        <w:rPr>
          <w:rFonts w:ascii="仿宋" w:hAnsi="仿宋" w:eastAsia="仿宋" w:cs="仿宋"/>
          <w:b/>
          <w:bCs/>
          <w:spacing w:val="23"/>
          <w:sz w:val="33"/>
          <w:szCs w:val="33"/>
        </w:rPr>
        <w:t>年</w:t>
      </w:r>
      <w:r>
        <w:rPr>
          <w:rFonts w:hint="eastAsia" w:ascii="仿宋" w:hAnsi="仿宋" w:eastAsia="仿宋" w:cs="仿宋"/>
          <w:b/>
          <w:bCs/>
          <w:spacing w:val="23"/>
          <w:sz w:val="33"/>
          <w:szCs w:val="33"/>
          <w:lang w:val="en-US" w:eastAsia="zh-CN"/>
        </w:rPr>
        <w:t>01</w:t>
      </w:r>
      <w:r>
        <w:rPr>
          <w:rFonts w:ascii="仿宋" w:hAnsi="仿宋" w:eastAsia="仿宋" w:cs="仿宋"/>
          <w:b/>
          <w:bCs/>
          <w:spacing w:val="23"/>
          <w:sz w:val="33"/>
          <w:szCs w:val="33"/>
        </w:rPr>
        <w:t>月</w:t>
      </w:r>
    </w:p>
    <w:p w14:paraId="031F4E82">
      <w:pPr>
        <w:keepLines w:val="0"/>
        <w:pageBreakBefore w:val="0"/>
        <w:kinsoku/>
        <w:wordWrap/>
        <w:overflowPunct/>
        <w:topLinePunct w:val="0"/>
        <w:bidi w:val="0"/>
        <w:spacing w:line="222" w:lineRule="auto"/>
        <w:rPr>
          <w:rFonts w:ascii="仿宋" w:hAnsi="仿宋" w:eastAsia="仿宋" w:cs="仿宋"/>
          <w:sz w:val="33"/>
          <w:szCs w:val="33"/>
        </w:rPr>
        <w:sectPr>
          <w:footerReference r:id="rId5" w:type="default"/>
          <w:pgSz w:w="11910" w:h="16840"/>
          <w:pgMar w:top="1440" w:right="1080" w:bottom="1440" w:left="1080" w:header="850" w:footer="850" w:gutter="0"/>
          <w:cols w:space="720" w:num="1"/>
        </w:sectPr>
      </w:pPr>
    </w:p>
    <w:sdt>
      <w:sdtPr>
        <w:rPr>
          <w:rFonts w:ascii="仿宋" w:hAnsi="仿宋" w:eastAsia="仿宋" w:cs="仿宋"/>
          <w:sz w:val="28"/>
          <w:szCs w:val="28"/>
        </w:rPr>
        <w:id w:val="9"/>
      </w:sdtPr>
      <w:sdtEndPr>
        <w:rPr>
          <w:rFonts w:ascii="仿宋" w:hAnsi="仿宋" w:eastAsia="仿宋" w:cs="仿宋"/>
          <w:sz w:val="24"/>
          <w:szCs w:val="24"/>
        </w:rPr>
      </w:sdtEndPr>
      <w:sdtContent>
        <w:p w14:paraId="3481A9EE">
          <w:pPr>
            <w:keepLines w:val="0"/>
            <w:pageBreakBefore w:val="0"/>
            <w:kinsoku/>
            <w:wordWrap/>
            <w:overflowPunct/>
            <w:topLinePunct w:val="0"/>
            <w:bidi w:val="0"/>
            <w:spacing w:before="91" w:line="224" w:lineRule="auto"/>
            <w:ind w:left="4109"/>
            <w:rPr>
              <w:rFonts w:ascii="仿宋" w:hAnsi="仿宋" w:eastAsia="仿宋" w:cs="仿宋"/>
              <w:sz w:val="28"/>
              <w:szCs w:val="28"/>
            </w:rPr>
          </w:pPr>
          <w:r>
            <w:rPr>
              <w:rFonts w:ascii="仿宋" w:hAnsi="仿宋" w:eastAsia="仿宋" w:cs="仿宋"/>
              <w:b/>
              <w:bCs/>
              <w:spacing w:val="-37"/>
              <w:sz w:val="28"/>
              <w:szCs w:val="28"/>
            </w:rPr>
            <w:t>目</w:t>
          </w:r>
          <w:r>
            <w:rPr>
              <w:rFonts w:ascii="仿宋" w:hAnsi="仿宋" w:eastAsia="仿宋" w:cs="仿宋"/>
              <w:spacing w:val="27"/>
              <w:sz w:val="28"/>
              <w:szCs w:val="28"/>
            </w:rPr>
            <w:t xml:space="preserve"> </w:t>
          </w:r>
          <w:r>
            <w:rPr>
              <w:rFonts w:ascii="仿宋" w:hAnsi="仿宋" w:eastAsia="仿宋" w:cs="仿宋"/>
              <w:b/>
              <w:bCs/>
              <w:spacing w:val="-37"/>
              <w:sz w:val="28"/>
              <w:szCs w:val="28"/>
            </w:rPr>
            <w:t>录</w:t>
          </w:r>
        </w:p>
        <w:p w14:paraId="52A50466">
          <w:pPr>
            <w:pStyle w:val="7"/>
            <w:keepLines w:val="0"/>
            <w:pageBreakBefore w:val="0"/>
            <w:kinsoku/>
            <w:wordWrap/>
            <w:overflowPunct/>
            <w:topLinePunct w:val="0"/>
            <w:bidi w:val="0"/>
            <w:spacing w:line="286" w:lineRule="auto"/>
          </w:pPr>
        </w:p>
        <w:p w14:paraId="5991B1B0">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"bookmark1" </w:instrText>
          </w:r>
          <w:r>
            <w:rPr>
              <w:sz w:val="28"/>
              <w:szCs w:val="28"/>
            </w:rPr>
            <w:fldChar w:fldCharType="separate"/>
          </w:r>
          <w:r>
            <w:rPr>
              <w:sz w:val="28"/>
              <w:szCs w:val="28"/>
            </w:rPr>
            <w:t>第一章 招标公告</w:t>
          </w:r>
          <w:r>
            <w:rPr>
              <w:sz w:val="28"/>
              <w:szCs w:val="28"/>
            </w:rPr>
            <w:fldChar w:fldCharType="end"/>
          </w:r>
        </w:p>
        <w:p w14:paraId="57616D9B">
          <w:pPr>
            <w:keepLines w:val="0"/>
            <w:pageBreakBefore w:val="0"/>
            <w:tabs>
              <w:tab w:val="right" w:leader="dot" w:pos="8542"/>
            </w:tabs>
            <w:kinsoku/>
            <w:wordWrap/>
            <w:overflowPunct/>
            <w:topLinePunct w:val="0"/>
            <w:bidi w:val="0"/>
            <w:spacing w:before="65" w:line="231" w:lineRule="auto"/>
            <w:ind w:left="265"/>
            <w:rPr>
              <w:sz w:val="28"/>
              <w:szCs w:val="28"/>
            </w:rPr>
          </w:pPr>
        </w:p>
        <w:p w14:paraId="1A58EB0D">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"bookmark2" </w:instrText>
          </w:r>
          <w:r>
            <w:rPr>
              <w:sz w:val="28"/>
              <w:szCs w:val="28"/>
            </w:rPr>
            <w:fldChar w:fldCharType="separate"/>
          </w:r>
          <w:r>
            <w:rPr>
              <w:sz w:val="28"/>
              <w:szCs w:val="28"/>
            </w:rPr>
            <w:t xml:space="preserve">第二章  </w:t>
          </w:r>
          <w:r>
            <w:rPr>
              <w:rFonts w:hint="eastAsia" w:eastAsia="宋体"/>
              <w:sz w:val="28"/>
              <w:szCs w:val="28"/>
              <w:lang w:eastAsia="zh-CN"/>
            </w:rPr>
            <w:t>投标人</w:t>
          </w:r>
          <w:r>
            <w:rPr>
              <w:sz w:val="28"/>
              <w:szCs w:val="28"/>
            </w:rPr>
            <w:t xml:space="preserve">须知 </w:t>
          </w:r>
          <w:r>
            <w:rPr>
              <w:sz w:val="28"/>
              <w:szCs w:val="28"/>
            </w:rPr>
            <w:fldChar w:fldCharType="end"/>
          </w:r>
        </w:p>
        <w:p w14:paraId="0C8BA76F">
          <w:pPr>
            <w:keepLines w:val="0"/>
            <w:pageBreakBefore w:val="0"/>
            <w:tabs>
              <w:tab w:val="right" w:leader="dot" w:pos="8542"/>
            </w:tabs>
            <w:kinsoku/>
            <w:wordWrap/>
            <w:overflowPunct/>
            <w:topLinePunct w:val="0"/>
            <w:bidi w:val="0"/>
            <w:spacing w:before="65" w:line="231" w:lineRule="auto"/>
            <w:ind w:left="265"/>
            <w:rPr>
              <w:sz w:val="28"/>
              <w:szCs w:val="28"/>
            </w:rPr>
          </w:pPr>
        </w:p>
        <w:p w14:paraId="604792BC">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"bookmark3" </w:instrText>
          </w:r>
          <w:r>
            <w:rPr>
              <w:sz w:val="28"/>
              <w:szCs w:val="28"/>
            </w:rPr>
            <w:fldChar w:fldCharType="separate"/>
          </w:r>
          <w:r>
            <w:rPr>
              <w:sz w:val="28"/>
              <w:szCs w:val="28"/>
            </w:rPr>
            <w:t>第三章  评标办法</w:t>
          </w:r>
          <w:r>
            <w:rPr>
              <w:sz w:val="28"/>
              <w:szCs w:val="28"/>
            </w:rPr>
            <w:fldChar w:fldCharType="end"/>
          </w:r>
        </w:p>
        <w:p w14:paraId="1F648E7D">
          <w:pPr>
            <w:keepLines w:val="0"/>
            <w:pageBreakBefore w:val="0"/>
            <w:tabs>
              <w:tab w:val="right" w:leader="dot" w:pos="8542"/>
            </w:tabs>
            <w:kinsoku/>
            <w:wordWrap/>
            <w:overflowPunct/>
            <w:topLinePunct w:val="0"/>
            <w:bidi w:val="0"/>
            <w:spacing w:before="65" w:line="231" w:lineRule="auto"/>
            <w:ind w:left="265"/>
            <w:rPr>
              <w:sz w:val="28"/>
              <w:szCs w:val="28"/>
            </w:rPr>
          </w:pPr>
        </w:p>
        <w:p w14:paraId="56C4670C">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"bookmark4" </w:instrText>
          </w:r>
          <w:r>
            <w:rPr>
              <w:sz w:val="28"/>
              <w:szCs w:val="28"/>
            </w:rPr>
            <w:fldChar w:fldCharType="separate"/>
          </w:r>
          <w:r>
            <w:rPr>
              <w:sz w:val="28"/>
              <w:szCs w:val="28"/>
            </w:rPr>
            <w:t xml:space="preserve">第四章  合同条款 </w:t>
          </w:r>
          <w:r>
            <w:rPr>
              <w:sz w:val="28"/>
              <w:szCs w:val="28"/>
            </w:rPr>
            <w:fldChar w:fldCharType="end"/>
          </w:r>
        </w:p>
        <w:p w14:paraId="3B4CE39E">
          <w:pPr>
            <w:keepLines w:val="0"/>
            <w:pageBreakBefore w:val="0"/>
            <w:tabs>
              <w:tab w:val="right" w:leader="dot" w:pos="8542"/>
            </w:tabs>
            <w:kinsoku/>
            <w:wordWrap/>
            <w:overflowPunct/>
            <w:topLinePunct w:val="0"/>
            <w:bidi w:val="0"/>
            <w:spacing w:before="65" w:line="231" w:lineRule="auto"/>
            <w:ind w:left="265"/>
            <w:rPr>
              <w:sz w:val="28"/>
              <w:szCs w:val="28"/>
            </w:rPr>
          </w:pPr>
        </w:p>
        <w:p w14:paraId="13B9CC6B">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"bookmark5" </w:instrText>
          </w:r>
          <w:r>
            <w:rPr>
              <w:sz w:val="28"/>
              <w:szCs w:val="28"/>
            </w:rPr>
            <w:fldChar w:fldCharType="separate"/>
          </w:r>
          <w:r>
            <w:rPr>
              <w:sz w:val="28"/>
              <w:szCs w:val="28"/>
            </w:rPr>
            <w:t>第五章  采购需求及技术</w:t>
          </w:r>
          <w:r>
            <w:rPr>
              <w:rFonts w:hint="eastAsia" w:eastAsia="宋体"/>
              <w:sz w:val="28"/>
              <w:szCs w:val="28"/>
              <w:lang w:eastAsia="zh-CN"/>
            </w:rPr>
            <w:t>要求</w:t>
          </w:r>
          <w:r>
            <w:rPr>
              <w:sz w:val="28"/>
              <w:szCs w:val="28"/>
            </w:rPr>
            <w:fldChar w:fldCharType="end"/>
          </w:r>
        </w:p>
        <w:p w14:paraId="495B37B8">
          <w:pPr>
            <w:keepLines w:val="0"/>
            <w:pageBreakBefore w:val="0"/>
            <w:tabs>
              <w:tab w:val="right" w:leader="dot" w:pos="8542"/>
            </w:tabs>
            <w:kinsoku/>
            <w:wordWrap/>
            <w:overflowPunct/>
            <w:topLinePunct w:val="0"/>
            <w:bidi w:val="0"/>
            <w:spacing w:before="65" w:line="231" w:lineRule="auto"/>
            <w:ind w:left="265"/>
            <w:rPr>
              <w:sz w:val="28"/>
              <w:szCs w:val="28"/>
            </w:rPr>
          </w:pPr>
        </w:p>
        <w:p w14:paraId="66BFE8D6">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"bookmark6" </w:instrText>
          </w:r>
          <w:r>
            <w:rPr>
              <w:sz w:val="28"/>
              <w:szCs w:val="28"/>
            </w:rPr>
            <w:fldChar w:fldCharType="separate"/>
          </w:r>
          <w:r>
            <w:rPr>
              <w:sz w:val="28"/>
              <w:szCs w:val="28"/>
            </w:rPr>
            <w:t>第六章 投标文件格式</w:t>
          </w:r>
          <w:r>
            <w:rPr>
              <w:sz w:val="28"/>
              <w:szCs w:val="28"/>
            </w:rPr>
            <w:fldChar w:fldCharType="end"/>
          </w:r>
        </w:p>
        <w:p w14:paraId="674390F6">
          <w:pPr>
            <w:keepLines w:val="0"/>
            <w:pageBreakBefore w:val="0"/>
            <w:tabs>
              <w:tab w:val="right" w:leader="dot" w:pos="8542"/>
            </w:tabs>
            <w:kinsoku/>
            <w:wordWrap/>
            <w:overflowPunct/>
            <w:topLinePunct w:val="0"/>
            <w:bidi w:val="0"/>
            <w:spacing w:before="65" w:line="231" w:lineRule="auto"/>
            <w:ind w:left="265"/>
            <w:rPr>
              <w:rFonts w:hint="eastAsia"/>
              <w:sz w:val="28"/>
              <w:szCs w:val="28"/>
              <w:lang w:val="en-US" w:eastAsia="zh-CN"/>
            </w:rPr>
          </w:pPr>
        </w:p>
        <w:p w14:paraId="01EB3467">
          <w:pPr>
            <w:keepLines w:val="0"/>
            <w:pageBreakBefore w:val="0"/>
            <w:tabs>
              <w:tab w:val="right" w:leader="dot" w:pos="8542"/>
            </w:tabs>
            <w:kinsoku/>
            <w:wordWrap/>
            <w:overflowPunct/>
            <w:topLinePunct w:val="0"/>
            <w:bidi w:val="0"/>
            <w:spacing w:before="65" w:line="231" w:lineRule="auto"/>
            <w:ind w:left="265"/>
            <w:rPr>
              <w:rFonts w:ascii="仿宋" w:hAnsi="仿宋" w:eastAsia="仿宋" w:cs="仿宋"/>
              <w:sz w:val="24"/>
              <w:szCs w:val="24"/>
            </w:rPr>
          </w:pPr>
        </w:p>
      </w:sdtContent>
    </w:sdt>
    <w:p w14:paraId="0B1AD46F">
      <w:pPr>
        <w:keepLines w:val="0"/>
        <w:pageBreakBefore w:val="0"/>
        <w:kinsoku/>
        <w:wordWrap/>
        <w:overflowPunct/>
        <w:topLinePunct w:val="0"/>
        <w:bidi w:val="0"/>
        <w:rPr>
          <w:rFonts w:ascii="Arial" w:hAnsi="Arial" w:eastAsia="Arial" w:cs="Arial"/>
          <w:snapToGrid w:val="0"/>
          <w:color w:val="000000"/>
          <w:kern w:val="0"/>
          <w:sz w:val="21"/>
          <w:szCs w:val="21"/>
          <w:lang w:val="en-US" w:eastAsia="en-US" w:bidi="ar-SA"/>
        </w:rPr>
      </w:pPr>
    </w:p>
    <w:p w14:paraId="63B49436">
      <w:pPr>
        <w:keepLines w:val="0"/>
        <w:pageBreakBefore w:val="0"/>
        <w:kinsoku/>
        <w:wordWrap/>
        <w:overflowPunct/>
        <w:topLinePunct w:val="0"/>
        <w:bidi w:val="0"/>
        <w:rPr>
          <w:lang w:val="en-US" w:eastAsia="en-US"/>
        </w:rPr>
      </w:pPr>
    </w:p>
    <w:p w14:paraId="5EE51813">
      <w:pPr>
        <w:keepLines w:val="0"/>
        <w:pageBreakBefore w:val="0"/>
        <w:kinsoku/>
        <w:wordWrap/>
        <w:overflowPunct/>
        <w:topLinePunct w:val="0"/>
        <w:bidi w:val="0"/>
        <w:rPr>
          <w:lang w:val="en-US" w:eastAsia="en-US"/>
        </w:rPr>
      </w:pPr>
    </w:p>
    <w:p w14:paraId="3DC3E7F7">
      <w:pPr>
        <w:keepLines w:val="0"/>
        <w:pageBreakBefore w:val="0"/>
        <w:kinsoku/>
        <w:wordWrap/>
        <w:overflowPunct/>
        <w:topLinePunct w:val="0"/>
        <w:bidi w:val="0"/>
        <w:rPr>
          <w:lang w:val="en-US" w:eastAsia="en-US"/>
        </w:rPr>
      </w:pPr>
    </w:p>
    <w:p w14:paraId="4FA5B2E7">
      <w:pPr>
        <w:keepLines w:val="0"/>
        <w:pageBreakBefore w:val="0"/>
        <w:kinsoku/>
        <w:wordWrap/>
        <w:overflowPunct/>
        <w:topLinePunct w:val="0"/>
        <w:bidi w:val="0"/>
        <w:rPr>
          <w:lang w:val="en-US" w:eastAsia="en-US"/>
        </w:rPr>
      </w:pPr>
    </w:p>
    <w:p w14:paraId="4A97D683">
      <w:pPr>
        <w:keepLines w:val="0"/>
        <w:pageBreakBefore w:val="0"/>
        <w:kinsoku/>
        <w:wordWrap/>
        <w:overflowPunct/>
        <w:topLinePunct w:val="0"/>
        <w:bidi w:val="0"/>
        <w:rPr>
          <w:lang w:val="en-US" w:eastAsia="en-US"/>
        </w:rPr>
      </w:pPr>
    </w:p>
    <w:p w14:paraId="15264491">
      <w:pPr>
        <w:keepLines w:val="0"/>
        <w:pageBreakBefore w:val="0"/>
        <w:kinsoku/>
        <w:wordWrap/>
        <w:overflowPunct/>
        <w:topLinePunct w:val="0"/>
        <w:bidi w:val="0"/>
        <w:rPr>
          <w:lang w:val="en-US" w:eastAsia="en-US"/>
        </w:rPr>
      </w:pPr>
    </w:p>
    <w:p w14:paraId="075B4371">
      <w:pPr>
        <w:keepLines w:val="0"/>
        <w:pageBreakBefore w:val="0"/>
        <w:kinsoku/>
        <w:wordWrap/>
        <w:overflowPunct/>
        <w:topLinePunct w:val="0"/>
        <w:bidi w:val="0"/>
        <w:rPr>
          <w:lang w:val="en-US" w:eastAsia="en-US"/>
        </w:rPr>
      </w:pPr>
    </w:p>
    <w:p w14:paraId="1D0EA5D1">
      <w:pPr>
        <w:keepLines w:val="0"/>
        <w:pageBreakBefore w:val="0"/>
        <w:kinsoku/>
        <w:wordWrap/>
        <w:overflowPunct/>
        <w:topLinePunct w:val="0"/>
        <w:bidi w:val="0"/>
        <w:rPr>
          <w:lang w:val="en-US" w:eastAsia="en-US"/>
        </w:rPr>
      </w:pPr>
    </w:p>
    <w:p w14:paraId="5E7D45A3">
      <w:pPr>
        <w:keepLines w:val="0"/>
        <w:pageBreakBefore w:val="0"/>
        <w:kinsoku/>
        <w:wordWrap/>
        <w:overflowPunct/>
        <w:topLinePunct w:val="0"/>
        <w:bidi w:val="0"/>
        <w:rPr>
          <w:lang w:val="en-US" w:eastAsia="en-US"/>
        </w:rPr>
      </w:pPr>
    </w:p>
    <w:p w14:paraId="3BDE2B39">
      <w:pPr>
        <w:keepLines w:val="0"/>
        <w:pageBreakBefore w:val="0"/>
        <w:kinsoku/>
        <w:wordWrap/>
        <w:overflowPunct/>
        <w:topLinePunct w:val="0"/>
        <w:bidi w:val="0"/>
        <w:rPr>
          <w:lang w:val="en-US" w:eastAsia="en-US"/>
        </w:rPr>
      </w:pPr>
    </w:p>
    <w:p w14:paraId="5388CE7E">
      <w:pPr>
        <w:keepLines w:val="0"/>
        <w:pageBreakBefore w:val="0"/>
        <w:kinsoku/>
        <w:wordWrap/>
        <w:overflowPunct/>
        <w:topLinePunct w:val="0"/>
        <w:bidi w:val="0"/>
        <w:rPr>
          <w:lang w:val="en-US" w:eastAsia="en-US"/>
        </w:rPr>
      </w:pPr>
    </w:p>
    <w:p w14:paraId="452E3828">
      <w:pPr>
        <w:keepLines w:val="0"/>
        <w:pageBreakBefore w:val="0"/>
        <w:kinsoku/>
        <w:wordWrap/>
        <w:overflowPunct/>
        <w:topLinePunct w:val="0"/>
        <w:bidi w:val="0"/>
        <w:rPr>
          <w:lang w:val="en-US" w:eastAsia="en-US"/>
        </w:rPr>
      </w:pPr>
    </w:p>
    <w:p w14:paraId="77A7CD35">
      <w:pPr>
        <w:keepLines w:val="0"/>
        <w:pageBreakBefore w:val="0"/>
        <w:kinsoku/>
        <w:wordWrap/>
        <w:overflowPunct/>
        <w:topLinePunct w:val="0"/>
        <w:bidi w:val="0"/>
        <w:rPr>
          <w:lang w:val="en-US" w:eastAsia="en-US"/>
        </w:rPr>
      </w:pPr>
    </w:p>
    <w:p w14:paraId="2B4BB5C1">
      <w:pPr>
        <w:keepLines w:val="0"/>
        <w:pageBreakBefore w:val="0"/>
        <w:kinsoku/>
        <w:wordWrap/>
        <w:overflowPunct/>
        <w:topLinePunct w:val="0"/>
        <w:bidi w:val="0"/>
        <w:rPr>
          <w:lang w:val="en-US" w:eastAsia="en-US"/>
        </w:rPr>
      </w:pPr>
    </w:p>
    <w:p w14:paraId="3D436B07">
      <w:pPr>
        <w:keepLines w:val="0"/>
        <w:pageBreakBefore w:val="0"/>
        <w:kinsoku/>
        <w:wordWrap/>
        <w:overflowPunct/>
        <w:topLinePunct w:val="0"/>
        <w:bidi w:val="0"/>
        <w:rPr>
          <w:lang w:val="en-US" w:eastAsia="en-US"/>
        </w:rPr>
      </w:pPr>
    </w:p>
    <w:p w14:paraId="05CDF6DE">
      <w:pPr>
        <w:keepLines w:val="0"/>
        <w:pageBreakBefore w:val="0"/>
        <w:kinsoku/>
        <w:wordWrap/>
        <w:overflowPunct/>
        <w:topLinePunct w:val="0"/>
        <w:bidi w:val="0"/>
        <w:rPr>
          <w:lang w:val="en-US" w:eastAsia="en-US"/>
        </w:rPr>
      </w:pPr>
    </w:p>
    <w:p w14:paraId="656FFDA7">
      <w:pPr>
        <w:keepLines w:val="0"/>
        <w:pageBreakBefore w:val="0"/>
        <w:kinsoku/>
        <w:wordWrap/>
        <w:overflowPunct/>
        <w:topLinePunct w:val="0"/>
        <w:bidi w:val="0"/>
        <w:rPr>
          <w:lang w:val="en-US" w:eastAsia="en-US"/>
        </w:rPr>
      </w:pPr>
    </w:p>
    <w:p w14:paraId="2307120D">
      <w:pPr>
        <w:keepLines w:val="0"/>
        <w:pageBreakBefore w:val="0"/>
        <w:kinsoku/>
        <w:wordWrap/>
        <w:overflowPunct/>
        <w:topLinePunct w:val="0"/>
        <w:bidi w:val="0"/>
        <w:rPr>
          <w:lang w:val="en-US" w:eastAsia="en-US"/>
        </w:rPr>
      </w:pPr>
    </w:p>
    <w:p w14:paraId="719D7E4F">
      <w:pPr>
        <w:keepLines w:val="0"/>
        <w:pageBreakBefore w:val="0"/>
        <w:kinsoku/>
        <w:wordWrap/>
        <w:overflowPunct/>
        <w:topLinePunct w:val="0"/>
        <w:bidi w:val="0"/>
        <w:rPr>
          <w:lang w:val="en-US" w:eastAsia="en-US"/>
        </w:rPr>
      </w:pPr>
    </w:p>
    <w:p w14:paraId="7DEB1E9C">
      <w:pPr>
        <w:keepLines w:val="0"/>
        <w:pageBreakBefore w:val="0"/>
        <w:kinsoku/>
        <w:wordWrap/>
        <w:overflowPunct/>
        <w:topLinePunct w:val="0"/>
        <w:bidi w:val="0"/>
        <w:rPr>
          <w:lang w:val="en-US" w:eastAsia="en-US"/>
        </w:rPr>
      </w:pPr>
    </w:p>
    <w:p w14:paraId="21FED4CB">
      <w:pPr>
        <w:keepLines w:val="0"/>
        <w:pageBreakBefore w:val="0"/>
        <w:kinsoku/>
        <w:wordWrap/>
        <w:overflowPunct/>
        <w:topLinePunct w:val="0"/>
        <w:bidi w:val="0"/>
        <w:rPr>
          <w:lang w:val="en-US" w:eastAsia="en-US"/>
        </w:rPr>
      </w:pPr>
    </w:p>
    <w:p w14:paraId="458615CC">
      <w:pPr>
        <w:keepLines w:val="0"/>
        <w:pageBreakBefore w:val="0"/>
        <w:kinsoku/>
        <w:wordWrap/>
        <w:overflowPunct/>
        <w:topLinePunct w:val="0"/>
        <w:bidi w:val="0"/>
        <w:rPr>
          <w:lang w:val="en-US" w:eastAsia="en-US"/>
        </w:rPr>
      </w:pPr>
    </w:p>
    <w:p w14:paraId="38FAB290">
      <w:pPr>
        <w:keepLines w:val="0"/>
        <w:pageBreakBefore w:val="0"/>
        <w:tabs>
          <w:tab w:val="center" w:pos="4873"/>
        </w:tabs>
        <w:kinsoku/>
        <w:wordWrap/>
        <w:overflowPunct/>
        <w:topLinePunct w:val="0"/>
        <w:bidi w:val="0"/>
        <w:jc w:val="left"/>
        <w:rPr>
          <w:rFonts w:hint="eastAsia" w:eastAsia="宋体"/>
          <w:lang w:val="en-US" w:eastAsia="zh-CN"/>
        </w:rPr>
        <w:sectPr>
          <w:pgSz w:w="11906" w:h="16839"/>
          <w:pgMar w:top="1440" w:right="1080" w:bottom="1440" w:left="1080" w:header="850" w:footer="850" w:gutter="0"/>
          <w:cols w:space="720" w:num="1"/>
        </w:sectPr>
      </w:pPr>
    </w:p>
    <w:p w14:paraId="2D448B56">
      <w:pPr>
        <w:pStyle w:val="7"/>
        <w:keepLines w:val="0"/>
        <w:pageBreakBefore w:val="0"/>
        <w:kinsoku/>
        <w:wordWrap/>
        <w:overflowPunct/>
        <w:topLinePunct w:val="0"/>
        <w:bidi w:val="0"/>
        <w:spacing w:line="364" w:lineRule="auto"/>
      </w:pPr>
    </w:p>
    <w:p w14:paraId="378A678E">
      <w:pPr>
        <w:keepLines w:val="0"/>
        <w:pageBreakBefore w:val="0"/>
        <w:numPr>
          <w:ilvl w:val="0"/>
          <w:numId w:val="1"/>
        </w:numPr>
        <w:kinsoku/>
        <w:wordWrap/>
        <w:overflowPunct/>
        <w:topLinePunct w:val="0"/>
        <w:bidi w:val="0"/>
        <w:spacing w:before="97" w:line="222" w:lineRule="auto"/>
        <w:jc w:val="center"/>
        <w:rPr>
          <w:rFonts w:ascii="仿宋" w:hAnsi="仿宋" w:eastAsia="仿宋" w:cs="仿宋"/>
          <w:b/>
          <w:bCs/>
          <w:spacing w:val="-10"/>
          <w:sz w:val="30"/>
          <w:szCs w:val="30"/>
        </w:rPr>
      </w:pPr>
      <w:r>
        <w:rPr>
          <w:rFonts w:ascii="仿宋" w:hAnsi="仿宋" w:eastAsia="仿宋" w:cs="仿宋"/>
          <w:b/>
          <w:bCs/>
          <w:spacing w:val="-10"/>
          <w:sz w:val="30"/>
          <w:szCs w:val="30"/>
        </w:rPr>
        <w:t>招标公告</w:t>
      </w:r>
    </w:p>
    <w:p w14:paraId="3D5AD44F">
      <w:pPr>
        <w:keepLines w:val="0"/>
        <w:pageBreakBefore w:val="0"/>
        <w:numPr>
          <w:ilvl w:val="0"/>
          <w:numId w:val="0"/>
        </w:numPr>
        <w:kinsoku/>
        <w:wordWrap/>
        <w:overflowPunct/>
        <w:topLinePunct w:val="0"/>
        <w:autoSpaceDE w:val="0"/>
        <w:autoSpaceDN w:val="0"/>
        <w:bidi w:val="0"/>
        <w:adjustRightInd w:val="0"/>
        <w:snapToGrid w:val="0"/>
        <w:spacing w:before="97" w:line="222" w:lineRule="auto"/>
        <w:jc w:val="center"/>
        <w:textAlignment w:val="baseline"/>
        <w:rPr>
          <w:rFonts w:ascii="仿宋" w:hAnsi="仿宋" w:eastAsia="仿宋" w:cs="仿宋"/>
          <w:b/>
          <w:bCs/>
          <w:spacing w:val="-10"/>
          <w:sz w:val="36"/>
          <w:szCs w:val="36"/>
        </w:rPr>
      </w:pPr>
      <w:r>
        <w:rPr>
          <w:rFonts w:hint="eastAsia" w:ascii="仿宋" w:hAnsi="仿宋" w:eastAsia="仿宋" w:cs="仿宋"/>
          <w:b/>
          <w:bCs/>
          <w:i w:val="0"/>
          <w:iCs w:val="0"/>
          <w:caps w:val="0"/>
          <w:color w:val="000000"/>
          <w:spacing w:val="0"/>
          <w:sz w:val="36"/>
          <w:szCs w:val="36"/>
          <w:lang w:eastAsia="zh-CN"/>
        </w:rPr>
        <w:t>“2025年阿瓦提县人民医院门诊改造及设备项目”检验科和肾病血液科采购一批医疗设备公开招标公告</w:t>
      </w:r>
    </w:p>
    <w:p w14:paraId="211B0C6F">
      <w:pPr>
        <w:keepLines w:val="0"/>
        <w:pageBreakBefore w:val="0"/>
        <w:kinsoku/>
        <w:wordWrap/>
        <w:overflowPunct/>
        <w:topLinePunct w:val="0"/>
        <w:bidi w:val="0"/>
        <w:spacing w:before="26"/>
      </w:pPr>
    </w:p>
    <w:tbl>
      <w:tblPr>
        <w:tblStyle w:val="25"/>
        <w:tblW w:w="95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14:paraId="60A8046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0" w:hRule="atLeast"/>
          <w:jc w:val="center"/>
        </w:trPr>
        <w:tc>
          <w:tcPr>
            <w:tcW w:w="9520" w:type="dxa"/>
            <w:vAlign w:val="top"/>
          </w:tcPr>
          <w:p w14:paraId="26CD362A">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项目概况</w:t>
            </w:r>
          </w:p>
          <w:p w14:paraId="1AC99631">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0"/>
            </w:pPr>
            <w:r>
              <w:rPr>
                <w:rFonts w:hint="eastAsia" w:ascii="仿宋" w:hAnsi="仿宋" w:eastAsia="仿宋" w:cs="仿宋"/>
                <w:i w:val="0"/>
                <w:iCs w:val="0"/>
                <w:caps w:val="0"/>
                <w:color w:val="000000"/>
                <w:spacing w:val="0"/>
                <w:sz w:val="27"/>
                <w:szCs w:val="27"/>
                <w:lang w:eastAsia="zh-CN"/>
              </w:rPr>
              <w:t>“2025年阿瓦提县人民医院门诊改造及设备项目”检验科和肾病血液科采购一批医疗设备</w:t>
            </w:r>
            <w:r>
              <w:rPr>
                <w:rFonts w:hint="eastAsia" w:ascii="仿宋" w:hAnsi="仿宋" w:eastAsia="仿宋" w:cs="仿宋"/>
                <w:i w:val="0"/>
                <w:iCs w:val="0"/>
                <w:caps w:val="0"/>
                <w:color w:val="000000"/>
                <w:spacing w:val="0"/>
                <w:sz w:val="27"/>
                <w:szCs w:val="27"/>
              </w:rPr>
              <w:t>招标项目的潜在</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应在政采云平台线上获取招标文件，并于</w:t>
            </w:r>
            <w:r>
              <w:rPr>
                <w:rFonts w:hint="eastAsia" w:ascii="仿宋" w:hAnsi="仿宋" w:eastAsia="仿宋" w:cs="仿宋"/>
                <w:i w:val="0"/>
                <w:iCs w:val="0"/>
                <w:caps w:val="0"/>
                <w:color w:val="000000"/>
                <w:spacing w:val="0"/>
                <w:sz w:val="27"/>
                <w:szCs w:val="27"/>
                <w:lang w:eastAsia="zh-CN"/>
              </w:rPr>
              <w:t>2025年01月27日11:</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lang w:eastAsia="zh-CN"/>
              </w:rPr>
              <w:t>0</w:t>
            </w:r>
            <w:r>
              <w:rPr>
                <w:rFonts w:hint="eastAsia" w:ascii="仿宋" w:hAnsi="仿宋" w:eastAsia="仿宋" w:cs="仿宋"/>
                <w:i w:val="0"/>
                <w:iCs w:val="0"/>
                <w:caps w:val="0"/>
                <w:color w:val="000000"/>
                <w:spacing w:val="0"/>
                <w:sz w:val="27"/>
                <w:szCs w:val="27"/>
              </w:rPr>
              <w:t>（北京时间）前递交投标文件。</w:t>
            </w:r>
          </w:p>
        </w:tc>
      </w:tr>
    </w:tbl>
    <w:p w14:paraId="5AD5D2A6">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一、项目基本情况</w:t>
      </w:r>
    </w:p>
    <w:p w14:paraId="5ABB9734">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lang w:eastAsia="zh-CN"/>
        </w:rPr>
        <w:t>20240766</w:t>
      </w:r>
    </w:p>
    <w:p w14:paraId="18420D73">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“2025年阿瓦提县人民医院门诊改造及设备项目”检验科和肾病血液科采购一批医疗设备</w:t>
      </w:r>
    </w:p>
    <w:p w14:paraId="3C7802D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14:paraId="73901F89">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3725000.00</w:t>
      </w:r>
    </w:p>
    <w:p w14:paraId="7547D648">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3725000.00</w:t>
      </w:r>
    </w:p>
    <w:p w14:paraId="7E4B42E4">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w:t>
      </w:r>
    </w:p>
    <w:p w14:paraId="1879FB62">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snapToGrid w:val="0"/>
          <w:color w:val="000000"/>
          <w:spacing w:val="0"/>
          <w:kern w:val="0"/>
          <w:sz w:val="28"/>
          <w:szCs w:val="28"/>
          <w:lang w:val="en-US" w:eastAsia="zh-CN" w:bidi="ar"/>
        </w:rPr>
        <w:t>标项一   </w:t>
      </w:r>
    </w:p>
    <w:p w14:paraId="4CC0922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标项名称</w:t>
      </w:r>
      <w:r>
        <w:rPr>
          <w:rFonts w:hint="eastAsia" w:ascii="仿宋" w:hAnsi="仿宋" w:eastAsia="仿宋" w:cs="仿宋"/>
          <w:i w:val="0"/>
          <w:iCs w:val="0"/>
          <w:caps w:val="0"/>
          <w:color w:val="000000"/>
          <w:spacing w:val="0"/>
          <w:sz w:val="27"/>
          <w:szCs w:val="27"/>
          <w:lang w:eastAsia="zh-CN"/>
        </w:rPr>
        <w:t>：“2025年阿瓦提县人民医院门诊改造及设备项目”检验科和肾病血液科采购一批医疗设备</w:t>
      </w:r>
    </w:p>
    <w:p w14:paraId="6BE716B9">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数量</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1</w:t>
      </w:r>
    </w:p>
    <w:p w14:paraId="4CE6466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3725000.00</w:t>
      </w:r>
    </w:p>
    <w:p w14:paraId="7B8B50AE">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简要规格描述或项目基本概况介绍、用途：</w:t>
      </w:r>
      <w:bookmarkStart w:id="0" w:name="OLE_LINK7"/>
      <w:r>
        <w:rPr>
          <w:rFonts w:hint="eastAsia" w:ascii="仿宋" w:hAnsi="仿宋" w:eastAsia="仿宋" w:cs="仿宋"/>
          <w:i w:val="0"/>
          <w:iCs w:val="0"/>
          <w:caps w:val="0"/>
          <w:color w:val="000000"/>
          <w:spacing w:val="0"/>
          <w:sz w:val="27"/>
          <w:szCs w:val="27"/>
          <w:lang w:val="en-US" w:eastAsia="zh-CN"/>
        </w:rPr>
        <w:t>“2025年阿瓦提县人民医院门诊改造及设备项目”检验科和肾病血液科采购一批医疗设备（详见招标文件）</w:t>
      </w:r>
    </w:p>
    <w:bookmarkEnd w:id="0"/>
    <w:p w14:paraId="574C57F6">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   备注：</w:t>
      </w:r>
      <w:r>
        <w:rPr>
          <w:rFonts w:hint="eastAsia" w:ascii="仿宋" w:hAnsi="仿宋" w:eastAsia="仿宋" w:cs="仿宋"/>
          <w:i w:val="0"/>
          <w:iCs w:val="0"/>
          <w:caps w:val="0"/>
          <w:color w:val="auto"/>
          <w:spacing w:val="0"/>
          <w:sz w:val="27"/>
          <w:szCs w:val="27"/>
          <w:lang w:val="en-US" w:eastAsia="zh-CN"/>
        </w:rPr>
        <w:t>/</w:t>
      </w:r>
    </w:p>
    <w:p w14:paraId="3D8F12F3">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color w:val="auto"/>
        </w:rPr>
      </w:pPr>
      <w:r>
        <w:rPr>
          <w:rFonts w:hint="eastAsia" w:ascii="仿宋" w:hAnsi="仿宋" w:eastAsia="仿宋" w:cs="仿宋"/>
          <w:i w:val="0"/>
          <w:iCs w:val="0"/>
          <w:caps w:val="0"/>
          <w:color w:val="auto"/>
          <w:spacing w:val="0"/>
          <w:sz w:val="27"/>
          <w:szCs w:val="27"/>
        </w:rPr>
        <w:t>合同履约期限</w:t>
      </w:r>
      <w:r>
        <w:rPr>
          <w:rFonts w:hint="eastAsia" w:ascii="仿宋" w:hAnsi="仿宋" w:eastAsia="仿宋" w:cs="仿宋"/>
          <w:i w:val="0"/>
          <w:iCs w:val="0"/>
          <w:caps w:val="0"/>
          <w:color w:val="auto"/>
          <w:spacing w:val="0"/>
          <w:sz w:val="27"/>
          <w:szCs w:val="27"/>
          <w:lang w:eastAsia="zh-CN"/>
        </w:rPr>
        <w:t>：标项 1，自合同签订之日起10个工作日内。</w:t>
      </w:r>
    </w:p>
    <w:p w14:paraId="5F1E1B7D">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14:paraId="79E8CF7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pPr>
      <w:r>
        <w:rPr>
          <w:rStyle w:val="19"/>
          <w:rFonts w:ascii="黑体" w:hAnsi="宋体" w:eastAsia="黑体" w:cs="黑体"/>
          <w:i w:val="0"/>
          <w:iCs w:val="0"/>
          <w:caps w:val="0"/>
          <w:color w:val="000000"/>
          <w:spacing w:val="0"/>
          <w:sz w:val="27"/>
          <w:szCs w:val="27"/>
        </w:rPr>
        <w:t>二、申请人的资格要求：</w:t>
      </w:r>
    </w:p>
    <w:p w14:paraId="4BC87568">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14:paraId="6F68F439">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2.落实政府采购政策需满足的资格要求：标项1：</w:t>
      </w:r>
    </w:p>
    <w:p w14:paraId="1FFDDD34">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（1）《新疆维吾尔自治区政府采购促进中小企业发展管理实施办法》（新财规〔2021〕6号）； </w:t>
      </w:r>
    </w:p>
    <w:p w14:paraId="68E21E6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（2）《财政部、司法部关于政府采购支持监狱企业发展有关问题的通知》（财库〔2014〕68号）； </w:t>
      </w:r>
    </w:p>
    <w:p w14:paraId="70806E5E">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xml:space="preserve">（3）财政部 生态环境部关于印发环境标志产品政府采购品目清单的通知（财库〔2019〕18号）； </w:t>
      </w:r>
    </w:p>
    <w:p w14:paraId="327FF1B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（4）《财政部 民政部 中国残疾人联合会关于促进残疾人就业政府采购政策的通知》财库〔2017〕141号；</w:t>
      </w:r>
    </w:p>
    <w:p w14:paraId="7FCEA6DC">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15A7DCB1">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3.本项目的特定资格要求：</w:t>
      </w:r>
    </w:p>
    <w:p w14:paraId="79196A3D">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【标项1】</w:t>
      </w:r>
    </w:p>
    <w:p w14:paraId="7C3F793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lang w:eastAsia="zh-CN"/>
        </w:rPr>
        <w:t>投标人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71514984">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三、获取招标文件</w:t>
      </w:r>
    </w:p>
    <w:p w14:paraId="3195F9C7">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时间：202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01</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07</w:t>
      </w:r>
      <w:r>
        <w:rPr>
          <w:rFonts w:hint="eastAsia" w:ascii="仿宋" w:hAnsi="仿宋" w:eastAsia="仿宋" w:cs="仿宋"/>
          <w:i w:val="0"/>
          <w:iCs w:val="0"/>
          <w:caps w:val="0"/>
          <w:color w:val="000000"/>
          <w:spacing w:val="0"/>
          <w:sz w:val="27"/>
          <w:szCs w:val="27"/>
        </w:rPr>
        <w:t>日至202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01</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14</w:t>
      </w:r>
      <w:r>
        <w:rPr>
          <w:rFonts w:hint="eastAsia" w:ascii="仿宋" w:hAnsi="仿宋" w:eastAsia="仿宋" w:cs="仿宋"/>
          <w:i w:val="0"/>
          <w:iCs w:val="0"/>
          <w:caps w:val="0"/>
          <w:color w:val="000000"/>
          <w:spacing w:val="0"/>
          <w:sz w:val="27"/>
          <w:szCs w:val="27"/>
        </w:rPr>
        <w:t>日，每天上午10:00至14:00，下午1</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0至</w:t>
      </w:r>
      <w:r>
        <w:rPr>
          <w:rFonts w:hint="eastAsia" w:ascii="仿宋" w:hAnsi="仿宋" w:eastAsia="仿宋" w:cs="仿宋"/>
          <w:i w:val="0"/>
          <w:iCs w:val="0"/>
          <w:caps w:val="0"/>
          <w:color w:val="000000"/>
          <w:spacing w:val="0"/>
          <w:sz w:val="27"/>
          <w:szCs w:val="27"/>
          <w:lang w:val="en-US" w:eastAsia="zh-CN"/>
        </w:rPr>
        <w:t>19</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30</w:t>
      </w:r>
      <w:r>
        <w:rPr>
          <w:rFonts w:hint="eastAsia" w:ascii="仿宋" w:hAnsi="仿宋" w:eastAsia="仿宋" w:cs="仿宋"/>
          <w:i w:val="0"/>
          <w:iCs w:val="0"/>
          <w:caps w:val="0"/>
          <w:color w:val="000000"/>
          <w:spacing w:val="0"/>
          <w:sz w:val="27"/>
          <w:szCs w:val="27"/>
        </w:rPr>
        <w:t>（北京时间，法定节假日除外）</w:t>
      </w:r>
    </w:p>
    <w:p w14:paraId="3B38B333">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地点：政采云平台线上</w:t>
      </w:r>
    </w:p>
    <w:p w14:paraId="382156E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方式：</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登录政采云平台https://www.zcygov.cn/在线申请获取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（进入“项目采购”应用，在获取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菜单中选择项目，申请获取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），或者点击采购公告底部潜在</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”，页面跳转后</w:t>
      </w:r>
      <w:r>
        <w:rPr>
          <w:rFonts w:hint="eastAsia" w:ascii="仿宋" w:hAnsi="仿宋" w:eastAsia="仿宋" w:cs="仿宋"/>
          <w:i w:val="0"/>
          <w:iCs w:val="0"/>
          <w:caps w:val="0"/>
          <w:color w:val="000000"/>
          <w:spacing w:val="0"/>
          <w:sz w:val="27"/>
          <w:szCs w:val="27"/>
          <w:lang w:eastAsia="zh-CN"/>
        </w:rPr>
        <w:t>登录</w:t>
      </w:r>
      <w:r>
        <w:rPr>
          <w:rFonts w:hint="eastAsia" w:ascii="仿宋" w:hAnsi="仿宋" w:eastAsia="仿宋" w:cs="仿宋"/>
          <w:i w:val="0"/>
          <w:iCs w:val="0"/>
          <w:caps w:val="0"/>
          <w:color w:val="000000"/>
          <w:spacing w:val="0"/>
          <w:sz w:val="27"/>
          <w:szCs w:val="27"/>
        </w:rPr>
        <w:t>，直接获取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w:t>
      </w:r>
    </w:p>
    <w:p w14:paraId="390604E3">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售价（元）：0</w:t>
      </w:r>
    </w:p>
    <w:p w14:paraId="3293A682">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四、提交投标文件截止时间、开标时间和地点</w:t>
      </w:r>
    </w:p>
    <w:p w14:paraId="3F8C70E9">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提交投标文件截止时间：</w:t>
      </w:r>
      <w:r>
        <w:rPr>
          <w:rFonts w:hint="eastAsia" w:ascii="仿宋" w:hAnsi="仿宋" w:eastAsia="仿宋" w:cs="仿宋"/>
          <w:i w:val="0"/>
          <w:iCs w:val="0"/>
          <w:caps w:val="0"/>
          <w:color w:val="000000"/>
          <w:spacing w:val="0"/>
          <w:sz w:val="27"/>
          <w:szCs w:val="27"/>
          <w:lang w:eastAsia="zh-CN"/>
        </w:rPr>
        <w:t>2025年01月27日</w:t>
      </w:r>
      <w:r>
        <w:rPr>
          <w:rFonts w:hint="eastAsia" w:ascii="仿宋" w:hAnsi="仿宋" w:eastAsia="仿宋" w:cs="仿宋"/>
          <w:i w:val="0"/>
          <w:iCs w:val="0"/>
          <w:caps w:val="0"/>
          <w:color w:val="000000"/>
          <w:spacing w:val="0"/>
          <w:sz w:val="27"/>
          <w:szCs w:val="27"/>
        </w:rPr>
        <w:t>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0（北京时间）</w:t>
      </w:r>
    </w:p>
    <w:p w14:paraId="1691DD3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投标地点：请登录政采云投标客户端投标</w:t>
      </w:r>
    </w:p>
    <w:p w14:paraId="5CF5A969">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开标时间：</w:t>
      </w:r>
      <w:r>
        <w:rPr>
          <w:rFonts w:hint="eastAsia" w:ascii="仿宋" w:hAnsi="仿宋" w:eastAsia="仿宋" w:cs="仿宋"/>
          <w:i w:val="0"/>
          <w:iCs w:val="0"/>
          <w:caps w:val="0"/>
          <w:color w:val="000000"/>
          <w:spacing w:val="0"/>
          <w:sz w:val="27"/>
          <w:szCs w:val="27"/>
          <w:lang w:eastAsia="zh-CN"/>
        </w:rPr>
        <w:t>2025年01月27日</w:t>
      </w:r>
      <w:r>
        <w:rPr>
          <w:rFonts w:hint="eastAsia" w:ascii="仿宋" w:hAnsi="仿宋" w:eastAsia="仿宋" w:cs="仿宋"/>
          <w:i w:val="0"/>
          <w:iCs w:val="0"/>
          <w:caps w:val="0"/>
          <w:color w:val="000000"/>
          <w:spacing w:val="0"/>
          <w:sz w:val="27"/>
          <w:szCs w:val="27"/>
        </w:rPr>
        <w:t>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0（北京时间）</w:t>
      </w:r>
    </w:p>
    <w:p w14:paraId="2DB84CAD">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开标地点：</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登录政采云平台https://www.zcygov.cn/，进入“项目采购-开标评标-右边选择对应项目点击“进入项目”进入开标大厅。</w:t>
      </w:r>
    </w:p>
    <w:p w14:paraId="780440F2">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19"/>
          <w:rFonts w:ascii="黑体" w:hAnsi="宋体" w:eastAsia="黑体" w:cs="黑体"/>
          <w:i w:val="0"/>
          <w:iCs w:val="0"/>
          <w:caps w:val="0"/>
          <w:color w:val="000000"/>
          <w:spacing w:val="0"/>
          <w:sz w:val="27"/>
          <w:szCs w:val="27"/>
        </w:rPr>
        <w:t>五、公告期限</w:t>
      </w:r>
    </w:p>
    <w:p w14:paraId="1B498626">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自本公告发布之日起</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个工作日。</w:t>
      </w:r>
    </w:p>
    <w:p w14:paraId="1E99B3F5">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19"/>
          <w:rFonts w:ascii="黑体" w:hAnsi="宋体" w:eastAsia="黑体" w:cs="黑体"/>
          <w:i w:val="0"/>
          <w:iCs w:val="0"/>
          <w:caps w:val="0"/>
          <w:color w:val="000000"/>
          <w:spacing w:val="0"/>
          <w:sz w:val="27"/>
          <w:szCs w:val="27"/>
        </w:rPr>
        <w:t>六、其他补充事宜</w:t>
      </w:r>
    </w:p>
    <w:p w14:paraId="7CE21BB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1、本次公告在新疆政府采购网、阿克苏地区行政公署网、阿瓦提县人民政府网发布；</w:t>
      </w:r>
    </w:p>
    <w:p w14:paraId="0BF82154">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2、请</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随时关注本项目的变更、答疑、澄清文件；</w:t>
      </w:r>
    </w:p>
    <w:p w14:paraId="05BF8BDD">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3、本项目实行电子招投标，投标人须登录政采云平台申请获取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lang w:val="en-US" w:eastAsia="zh-CN"/>
        </w:rPr>
        <w:t>，并通过政采云电子投标客户端制作</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，同时自行承担与投标有关的一切费用；</w:t>
      </w:r>
    </w:p>
    <w:p w14:paraId="60C0CD38">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4、各投标人应在开标前确保成为新疆维吾尔自治区政府采购网正式注册入库投标人，并完成CA数字证书申领。因未注册入库、未办理CA数字证书等原因造成无法投标或投标失败等后果由</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自行承担；</w:t>
      </w:r>
    </w:p>
    <w:p w14:paraId="3346E82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可前往新疆政府采购网（http://www.ccgp-xinjiang.gov.cn/）下载专区，下载政采云电子投标客户端，安装完成后，可通过账号密码或CA登录客户端进行</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制作。在使用政采云电子投标客户端时，建议使用WIN7及以上操作系统。如有问题可拨打政采云客户服务热线95763进行咨询；</w:t>
      </w:r>
    </w:p>
    <w:p w14:paraId="45D1C98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6、本项目采用不见面开标，</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须在投标截止时间前通过CA在政采云平台上传加密的电子</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w:t>
      </w:r>
    </w:p>
    <w:p w14:paraId="1D55A35E">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 7、</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在开标前须提前配置好电脑浏览器（建议使用360浏览器或谷歌浏览器），开标时请使用制作加密电子</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的CA锁进行解密及报价确认。本项目</w:t>
      </w:r>
      <w:r>
        <w:rPr>
          <w:rFonts w:hint="eastAsia" w:ascii="仿宋" w:hAnsi="仿宋" w:eastAsia="仿宋" w:cs="仿宋"/>
          <w:i w:val="0"/>
          <w:iCs w:val="0"/>
          <w:caps w:val="0"/>
          <w:color w:val="000000"/>
          <w:spacing w:val="0"/>
          <w:sz w:val="27"/>
          <w:szCs w:val="27"/>
          <w:lang w:eastAsia="zh-CN"/>
        </w:rPr>
        <w:t>投标文件</w:t>
      </w:r>
      <w:r>
        <w:rPr>
          <w:rFonts w:hint="eastAsia" w:ascii="仿宋" w:hAnsi="仿宋" w:eastAsia="仿宋" w:cs="仿宋"/>
          <w:i w:val="0"/>
          <w:iCs w:val="0"/>
          <w:caps w:val="0"/>
          <w:color w:val="000000"/>
          <w:spacing w:val="0"/>
          <w:sz w:val="27"/>
          <w:szCs w:val="27"/>
          <w:lang w:val="en-US" w:eastAsia="zh-CN"/>
        </w:rPr>
        <w:t>解密时间定为30分钟，如因自身原因导致无法正常解密，后果由</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lang w:val="en-US" w:eastAsia="zh-CN"/>
        </w:rPr>
        <w:t>自行承担。</w:t>
      </w:r>
    </w:p>
    <w:p w14:paraId="2F18D1D2">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特别提示：</w:t>
      </w:r>
    </w:p>
    <w:p w14:paraId="5ECD1485">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1、采购限额标准以上，200万元以下的货物和服务采购项目、400万元以下的工程采购项目，适宜由中小企业提供的，采购人应当专门面向中小企业采购。</w:t>
      </w:r>
    </w:p>
    <w:p w14:paraId="4ED498C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2、超过200万元的货物和服务采购项目，预留该部分采购项目预算总额的30%以上专门面向中小企业采购，其中预留给小微企业的比例不低于60%。</w:t>
      </w:r>
    </w:p>
    <w:p w14:paraId="5D0E35DE">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3、超过400万元的工程采购项目中适宜由中小企业提供的，预留该部分采购项目预算总额的40%以上专门面向中小企业采购，其中预留给小微企业的比例不低于60%。</w:t>
      </w:r>
    </w:p>
    <w:p w14:paraId="374E7D3C">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445A1B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9FF5289">
      <w:pPr>
        <w:pStyle w:val="14"/>
        <w:keepNext w:val="0"/>
        <w:keepLines w:val="0"/>
        <w:pageBreakBefore w:val="0"/>
        <w:widowControl/>
        <w:suppressLineNumbers w:val="0"/>
        <w:kinsoku/>
        <w:wordWrap/>
        <w:overflowPunct/>
        <w:topLinePunct w:val="0"/>
        <w:bidi w:val="0"/>
        <w:spacing w:before="255" w:beforeAutospacing="0" w:after="255" w:afterAutospacing="0" w:line="480" w:lineRule="atLeast"/>
        <w:ind w:left="0" w:right="0" w:firstLine="0"/>
        <w:jc w:val="both"/>
        <w:rPr>
          <w:rFonts w:ascii="黑体" w:hAnsi="宋体" w:eastAsia="黑体" w:cs="黑体"/>
          <w:i w:val="0"/>
          <w:iCs w:val="0"/>
          <w:caps w:val="0"/>
          <w:color w:val="000000"/>
          <w:spacing w:val="0"/>
          <w:sz w:val="31"/>
          <w:szCs w:val="31"/>
        </w:rPr>
      </w:pPr>
      <w:r>
        <w:rPr>
          <w:rStyle w:val="19"/>
          <w:rFonts w:ascii="黑体" w:hAnsi="宋体" w:eastAsia="黑体" w:cs="黑体"/>
          <w:i w:val="0"/>
          <w:iCs w:val="0"/>
          <w:caps w:val="0"/>
          <w:color w:val="000000"/>
          <w:spacing w:val="0"/>
          <w:sz w:val="27"/>
          <w:szCs w:val="27"/>
        </w:rPr>
        <w:t>七、对本次采购提出询问，请按以下方式联系</w:t>
      </w:r>
    </w:p>
    <w:p w14:paraId="20133697">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1.采购人信息</w:t>
      </w:r>
    </w:p>
    <w:p w14:paraId="19060BEA">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阿瓦提县人民医院</w:t>
      </w:r>
    </w:p>
    <w:p w14:paraId="18C6AC3A">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阿瓦提县拥军路30号</w:t>
      </w:r>
    </w:p>
    <w:p w14:paraId="6A58BE91">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18293566306</w:t>
      </w:r>
    </w:p>
    <w:p w14:paraId="2C0CBFAD">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2.采购代理机构信息</w:t>
      </w:r>
    </w:p>
    <w:p w14:paraId="71C5CE6B">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阿克苏疆山项目管理有限公司</w:t>
      </w:r>
    </w:p>
    <w:p w14:paraId="4B95B722">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阿克苏市采荷路1号云山悦府12号楼2单元202室</w:t>
      </w:r>
    </w:p>
    <w:p w14:paraId="7E2D82D5">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13369873111</w:t>
      </w:r>
    </w:p>
    <w:p w14:paraId="68150C6D">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3.项目联系方式</w:t>
      </w:r>
    </w:p>
    <w:p w14:paraId="3F68FBA6">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Style w:val="21"/>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项目联系人：</w:t>
      </w:r>
      <w:r>
        <w:rPr>
          <w:rStyle w:val="21"/>
          <w:rFonts w:hint="eastAsia" w:ascii="仿宋" w:hAnsi="仿宋" w:eastAsia="仿宋" w:cs="仿宋"/>
          <w:i w:val="0"/>
          <w:iCs w:val="0"/>
          <w:caps w:val="0"/>
          <w:color w:val="000000"/>
          <w:spacing w:val="0"/>
          <w:sz w:val="27"/>
          <w:szCs w:val="27"/>
          <w:lang w:eastAsia="zh-CN"/>
        </w:rPr>
        <w:t>刘润利</w:t>
      </w:r>
    </w:p>
    <w:p w14:paraId="7096F8CD">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hint="default" w:ascii="仿宋" w:hAnsi="仿宋" w:eastAsia="仿宋" w:cs="仿宋"/>
          <w:sz w:val="24"/>
          <w:szCs w:val="24"/>
          <w:lang w:val="en-US"/>
        </w:rPr>
        <w:sectPr>
          <w:footerReference r:id="rId6" w:type="default"/>
          <w:pgSz w:w="11906" w:h="16839"/>
          <w:pgMar w:top="1440" w:right="1080" w:bottom="1440" w:left="1080" w:header="850" w:footer="850" w:gutter="0"/>
          <w:pgNumType w:fmt="decimal" w:start="1"/>
          <w:cols w:space="720" w:num="1"/>
        </w:sectPr>
      </w:pPr>
      <w:r>
        <w:rPr>
          <w:rFonts w:hint="eastAsia" w:ascii="仿宋" w:hAnsi="仿宋" w:eastAsia="仿宋" w:cs="仿宋"/>
          <w:i w:val="0"/>
          <w:iCs w:val="0"/>
          <w:caps w:val="0"/>
          <w:color w:val="000000"/>
          <w:spacing w:val="0"/>
          <w:sz w:val="27"/>
          <w:szCs w:val="27"/>
        </w:rPr>
        <w:t>电 话：</w:t>
      </w:r>
      <w:r>
        <w:rPr>
          <w:rFonts w:hint="eastAsia" w:ascii="仿宋" w:hAnsi="仿宋" w:eastAsia="仿宋" w:cs="仿宋"/>
          <w:i w:val="0"/>
          <w:iCs w:val="0"/>
          <w:caps w:val="0"/>
          <w:color w:val="000000"/>
          <w:spacing w:val="0"/>
          <w:sz w:val="27"/>
          <w:szCs w:val="27"/>
          <w:lang w:val="en-US" w:eastAsia="zh-CN"/>
        </w:rPr>
        <w:t>13369873111</w:t>
      </w:r>
    </w:p>
    <w:p w14:paraId="43203568">
      <w:pPr>
        <w:keepLines w:val="0"/>
        <w:pageBreakBefore w:val="0"/>
        <w:kinsoku/>
        <w:wordWrap/>
        <w:overflowPunct/>
        <w:topLinePunct w:val="0"/>
        <w:bidi w:val="0"/>
        <w:spacing w:before="117" w:line="230" w:lineRule="auto"/>
        <w:ind w:left="3487"/>
        <w:rPr>
          <w:rFonts w:ascii="仿宋" w:hAnsi="仿宋" w:eastAsia="仿宋" w:cs="仿宋"/>
          <w:sz w:val="31"/>
          <w:szCs w:val="31"/>
        </w:rPr>
      </w:pPr>
      <w:r>
        <w:rPr>
          <w:rFonts w:ascii="仿宋" w:hAnsi="仿宋" w:eastAsia="仿宋" w:cs="仿宋"/>
          <w:b/>
          <w:bCs/>
          <w:sz w:val="31"/>
          <w:szCs w:val="31"/>
        </w:rPr>
        <w:t>第二章</w:t>
      </w:r>
      <w:r>
        <w:rPr>
          <w:rFonts w:ascii="仿宋" w:hAnsi="仿宋" w:eastAsia="仿宋" w:cs="仿宋"/>
          <w:spacing w:val="17"/>
          <w:sz w:val="31"/>
          <w:szCs w:val="31"/>
        </w:rPr>
        <w:t xml:space="preserve">  </w:t>
      </w:r>
      <w:r>
        <w:rPr>
          <w:rFonts w:hint="eastAsia" w:ascii="仿宋" w:hAnsi="仿宋" w:eastAsia="仿宋" w:cs="仿宋"/>
          <w:b/>
          <w:bCs/>
          <w:sz w:val="31"/>
          <w:szCs w:val="31"/>
          <w:lang w:eastAsia="zh-CN"/>
        </w:rPr>
        <w:t>投标人</w:t>
      </w:r>
      <w:r>
        <w:rPr>
          <w:rFonts w:ascii="仿宋" w:hAnsi="仿宋" w:eastAsia="仿宋" w:cs="仿宋"/>
          <w:b/>
          <w:bCs/>
          <w:sz w:val="31"/>
          <w:szCs w:val="31"/>
        </w:rPr>
        <w:t>须知</w:t>
      </w:r>
    </w:p>
    <w:p w14:paraId="2838F040">
      <w:pPr>
        <w:keepLines w:val="0"/>
        <w:pageBreakBefore w:val="0"/>
        <w:kinsoku/>
        <w:wordWrap/>
        <w:overflowPunct/>
        <w:topLinePunct w:val="0"/>
        <w:bidi w:val="0"/>
        <w:spacing w:line="222" w:lineRule="auto"/>
        <w:ind w:left="3792"/>
        <w:rPr>
          <w:rFonts w:ascii="仿宋" w:hAnsi="仿宋" w:eastAsia="仿宋" w:cs="仿宋"/>
          <w:sz w:val="28"/>
          <w:szCs w:val="28"/>
        </w:rPr>
      </w:pPr>
      <w:r>
        <w:rPr>
          <w:rFonts w:hint="eastAsia" w:ascii="仿宋" w:hAnsi="仿宋" w:eastAsia="仿宋" w:cs="仿宋"/>
          <w:b/>
          <w:bCs/>
          <w:spacing w:val="-5"/>
          <w:sz w:val="28"/>
          <w:szCs w:val="28"/>
          <w:lang w:eastAsia="zh-CN"/>
        </w:rPr>
        <w:t>投标人</w:t>
      </w:r>
      <w:r>
        <w:rPr>
          <w:rFonts w:ascii="仿宋" w:hAnsi="仿宋" w:eastAsia="仿宋" w:cs="仿宋"/>
          <w:b/>
          <w:bCs/>
          <w:spacing w:val="-5"/>
          <w:sz w:val="28"/>
          <w:szCs w:val="28"/>
        </w:rPr>
        <w:t>须知前附表</w:t>
      </w:r>
    </w:p>
    <w:p w14:paraId="5AF31758">
      <w:pPr>
        <w:keepLines w:val="0"/>
        <w:pageBreakBefore w:val="0"/>
        <w:kinsoku/>
        <w:wordWrap/>
        <w:overflowPunct/>
        <w:topLinePunct w:val="0"/>
        <w:bidi w:val="0"/>
        <w:spacing w:line="40" w:lineRule="exact"/>
      </w:pPr>
    </w:p>
    <w:tbl>
      <w:tblPr>
        <w:tblStyle w:val="25"/>
        <w:tblW w:w="974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0"/>
        <w:gridCol w:w="1485"/>
        <w:gridCol w:w="7831"/>
      </w:tblGrid>
      <w:tr w14:paraId="4B7D9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tcBorders>
            <w:vAlign w:val="top"/>
          </w:tcPr>
          <w:p w14:paraId="60467602">
            <w:pPr>
              <w:pStyle w:val="26"/>
              <w:keepLines w:val="0"/>
              <w:pageBreakBefore w:val="0"/>
              <w:kinsoku/>
              <w:wordWrap/>
              <w:overflowPunct/>
              <w:topLinePunct w:val="0"/>
              <w:bidi w:val="0"/>
              <w:spacing w:before="185" w:line="222" w:lineRule="auto"/>
              <w:ind w:left="151"/>
            </w:pPr>
            <w:r>
              <w:rPr>
                <w:b/>
                <w:bCs/>
                <w:spacing w:val="-11"/>
              </w:rPr>
              <w:t>序号</w:t>
            </w:r>
          </w:p>
        </w:tc>
        <w:tc>
          <w:tcPr>
            <w:tcW w:w="1485" w:type="dxa"/>
            <w:tcBorders>
              <w:top w:val="single" w:color="000000" w:sz="4" w:space="0"/>
            </w:tcBorders>
            <w:vAlign w:val="top"/>
          </w:tcPr>
          <w:p w14:paraId="35E879C5">
            <w:pPr>
              <w:pStyle w:val="26"/>
              <w:keepLines w:val="0"/>
              <w:pageBreakBefore w:val="0"/>
              <w:kinsoku/>
              <w:wordWrap/>
              <w:overflowPunct/>
              <w:topLinePunct w:val="0"/>
              <w:bidi w:val="0"/>
              <w:spacing w:before="185" w:line="221" w:lineRule="auto"/>
              <w:ind w:left="524"/>
            </w:pPr>
            <w:r>
              <w:rPr>
                <w:b/>
                <w:bCs/>
                <w:spacing w:val="-7"/>
              </w:rPr>
              <w:t>条款名称</w:t>
            </w:r>
          </w:p>
        </w:tc>
        <w:tc>
          <w:tcPr>
            <w:tcW w:w="7831" w:type="dxa"/>
            <w:tcBorders>
              <w:top w:val="single" w:color="000000" w:sz="4" w:space="0"/>
              <w:right w:val="single" w:color="000000" w:sz="4" w:space="0"/>
            </w:tcBorders>
            <w:vAlign w:val="center"/>
          </w:tcPr>
          <w:p w14:paraId="6EF2C9A4">
            <w:pPr>
              <w:pStyle w:val="26"/>
              <w:keepLines w:val="0"/>
              <w:pageBreakBefore w:val="0"/>
              <w:kinsoku/>
              <w:wordWrap/>
              <w:overflowPunct/>
              <w:topLinePunct w:val="0"/>
              <w:bidi w:val="0"/>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48C30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0" w:type="auto"/>
            <w:tcBorders>
              <w:left w:val="single" w:color="000000" w:sz="4" w:space="0"/>
            </w:tcBorders>
            <w:vAlign w:val="center"/>
          </w:tcPr>
          <w:p w14:paraId="48696B07">
            <w:pPr>
              <w:pStyle w:val="26"/>
              <w:keepLines w:val="0"/>
              <w:pageBreakBefore w:val="0"/>
              <w:kinsoku/>
              <w:wordWrap/>
              <w:overflowPunct/>
              <w:topLinePunct w:val="0"/>
              <w:bidi w:val="0"/>
              <w:spacing w:before="78" w:line="181" w:lineRule="auto"/>
              <w:jc w:val="center"/>
            </w:pPr>
            <w:r>
              <w:t>1</w:t>
            </w:r>
          </w:p>
        </w:tc>
        <w:tc>
          <w:tcPr>
            <w:tcW w:w="1485" w:type="dxa"/>
            <w:vAlign w:val="center"/>
          </w:tcPr>
          <w:p w14:paraId="1EEE2E36">
            <w:pPr>
              <w:keepLines w:val="0"/>
              <w:pageBreakBefore w:val="0"/>
              <w:kinsoku/>
              <w:wordWrap/>
              <w:overflowPunct/>
              <w:topLinePunct w:val="0"/>
              <w:bidi w:val="0"/>
              <w:spacing w:before="247" w:line="220" w:lineRule="auto"/>
              <w:jc w:val="center"/>
            </w:pPr>
            <w:r>
              <w:rPr>
                <w:rFonts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7831" w:type="dxa"/>
            <w:tcBorders>
              <w:right w:val="single" w:color="000000" w:sz="4" w:space="0"/>
            </w:tcBorders>
            <w:vAlign w:val="center"/>
          </w:tcPr>
          <w:p w14:paraId="706F3F70">
            <w:pPr>
              <w:keepLines w:val="0"/>
              <w:pageBreakBefore w:val="0"/>
              <w:kinsoku/>
              <w:wordWrap/>
              <w:overflowPunct/>
              <w:topLinePunct w:val="0"/>
              <w:bidi w:val="0"/>
              <w:spacing w:before="65" w:line="250" w:lineRule="auto"/>
              <w:ind w:left="120" w:right="119" w:firstLine="3"/>
              <w:jc w:val="both"/>
              <w:rPr>
                <w:rFonts w:hint="eastAsia" w:eastAsia="仿宋"/>
                <w:lang w:eastAsia="zh-CN"/>
              </w:rPr>
            </w:pPr>
            <w:r>
              <w:rPr>
                <w:rFonts w:hint="eastAsia" w:ascii="仿宋" w:hAnsi="仿宋" w:eastAsia="仿宋" w:cs="仿宋"/>
                <w:snapToGrid w:val="0"/>
                <w:color w:val="000000"/>
                <w:spacing w:val="-1"/>
                <w:kern w:val="0"/>
                <w:sz w:val="24"/>
                <w:szCs w:val="24"/>
                <w:lang w:val="en-US" w:eastAsia="zh-CN" w:bidi="ar-SA"/>
              </w:rPr>
              <w:t>“2025年阿瓦提县人民医院门诊改造及设备项目”检验科和肾病血液科采购一批医疗设备</w:t>
            </w:r>
          </w:p>
        </w:tc>
      </w:tr>
      <w:tr w14:paraId="3423F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0" w:type="auto"/>
            <w:tcBorders>
              <w:left w:val="single" w:color="000000" w:sz="4" w:space="0"/>
            </w:tcBorders>
            <w:vAlign w:val="center"/>
          </w:tcPr>
          <w:p w14:paraId="6C072735">
            <w:pPr>
              <w:pStyle w:val="26"/>
              <w:keepLines w:val="0"/>
              <w:pageBreakBefore w:val="0"/>
              <w:kinsoku/>
              <w:wordWrap/>
              <w:overflowPunct/>
              <w:topLinePunct w:val="0"/>
              <w:bidi w:val="0"/>
              <w:spacing w:before="78" w:line="180" w:lineRule="auto"/>
              <w:jc w:val="center"/>
            </w:pPr>
            <w:r>
              <w:t>2</w:t>
            </w:r>
          </w:p>
        </w:tc>
        <w:tc>
          <w:tcPr>
            <w:tcW w:w="1485" w:type="dxa"/>
            <w:vAlign w:val="center"/>
          </w:tcPr>
          <w:p w14:paraId="64B76489">
            <w:pPr>
              <w:pStyle w:val="26"/>
              <w:keepLines w:val="0"/>
              <w:pageBreakBefore w:val="0"/>
              <w:kinsoku/>
              <w:wordWrap/>
              <w:overflowPunct/>
              <w:topLinePunct w:val="0"/>
              <w:bidi w:val="0"/>
              <w:spacing w:before="78" w:line="224" w:lineRule="auto"/>
              <w:jc w:val="center"/>
            </w:pPr>
            <w:r>
              <w:rPr>
                <w:b/>
                <w:bCs/>
                <w:spacing w:val="-7"/>
              </w:rPr>
              <w:t>项目编号</w:t>
            </w:r>
          </w:p>
        </w:tc>
        <w:tc>
          <w:tcPr>
            <w:tcW w:w="7831" w:type="dxa"/>
            <w:tcBorders>
              <w:right w:val="single" w:color="000000" w:sz="4" w:space="0"/>
            </w:tcBorders>
            <w:vAlign w:val="center"/>
          </w:tcPr>
          <w:p w14:paraId="1CBFC03D">
            <w:pPr>
              <w:pStyle w:val="26"/>
              <w:keepLines w:val="0"/>
              <w:pageBreakBefore w:val="0"/>
              <w:kinsoku/>
              <w:wordWrap/>
              <w:overflowPunct/>
              <w:topLinePunct w:val="0"/>
              <w:bidi w:val="0"/>
              <w:spacing w:before="66" w:line="222" w:lineRule="auto"/>
              <w:ind w:left="118"/>
              <w:jc w:val="both"/>
              <w:rPr>
                <w:rFonts w:hint="eastAsia" w:eastAsia="仿宋"/>
                <w:lang w:val="en-US" w:eastAsia="zh-CN"/>
              </w:rPr>
            </w:pPr>
            <w:r>
              <w:rPr>
                <w:rFonts w:hint="eastAsia"/>
                <w:spacing w:val="-2"/>
                <w:highlight w:val="none"/>
                <w:lang w:eastAsia="zh-CN"/>
              </w:rPr>
              <w:t>20240766</w:t>
            </w:r>
          </w:p>
        </w:tc>
      </w:tr>
      <w:tr w14:paraId="6A1BE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0" w:type="auto"/>
            <w:tcBorders>
              <w:left w:val="single" w:color="000000" w:sz="4" w:space="0"/>
            </w:tcBorders>
            <w:vAlign w:val="center"/>
          </w:tcPr>
          <w:p w14:paraId="7863A2FC">
            <w:pPr>
              <w:pStyle w:val="26"/>
              <w:keepLines w:val="0"/>
              <w:pageBreakBefore w:val="0"/>
              <w:kinsoku/>
              <w:wordWrap/>
              <w:overflowPunct/>
              <w:topLinePunct w:val="0"/>
              <w:bidi w:val="0"/>
              <w:spacing w:before="78" w:line="180" w:lineRule="auto"/>
              <w:jc w:val="center"/>
            </w:pPr>
            <w:r>
              <w:t>3</w:t>
            </w:r>
          </w:p>
        </w:tc>
        <w:tc>
          <w:tcPr>
            <w:tcW w:w="1485" w:type="dxa"/>
            <w:vAlign w:val="center"/>
          </w:tcPr>
          <w:p w14:paraId="19CDCE3A">
            <w:pPr>
              <w:pStyle w:val="26"/>
              <w:keepLines w:val="0"/>
              <w:pageBreakBefore w:val="0"/>
              <w:kinsoku/>
              <w:wordWrap/>
              <w:overflowPunct/>
              <w:topLinePunct w:val="0"/>
              <w:bidi w:val="0"/>
              <w:spacing w:before="78" w:line="222" w:lineRule="auto"/>
              <w:jc w:val="center"/>
              <w:rPr>
                <w:rFonts w:hint="eastAsia" w:eastAsia="仿宋"/>
                <w:lang w:eastAsia="zh-CN"/>
              </w:rPr>
            </w:pPr>
            <w:r>
              <w:rPr>
                <w:rFonts w:hint="eastAsia"/>
                <w:b/>
                <w:bCs/>
                <w:spacing w:val="-8"/>
                <w:lang w:eastAsia="zh-CN"/>
              </w:rPr>
              <w:t>采购人</w:t>
            </w:r>
          </w:p>
        </w:tc>
        <w:tc>
          <w:tcPr>
            <w:tcW w:w="7831" w:type="dxa"/>
            <w:tcBorders>
              <w:right w:val="single" w:color="000000" w:sz="4" w:space="0"/>
            </w:tcBorders>
            <w:vAlign w:val="center"/>
          </w:tcPr>
          <w:p w14:paraId="7A41DCD7">
            <w:pPr>
              <w:pStyle w:val="26"/>
              <w:keepLines w:val="0"/>
              <w:pageBreakBefore w:val="0"/>
              <w:kinsoku/>
              <w:wordWrap/>
              <w:overflowPunct/>
              <w:topLinePunct w:val="0"/>
              <w:bidi w:val="0"/>
              <w:spacing w:before="66" w:line="221" w:lineRule="auto"/>
              <w:ind w:left="119"/>
              <w:jc w:val="both"/>
              <w:rPr>
                <w:rFonts w:hint="eastAsia" w:eastAsia="仿宋"/>
                <w:lang w:eastAsia="zh-CN"/>
              </w:rPr>
            </w:pPr>
            <w:r>
              <w:rPr>
                <w:spacing w:val="-2"/>
              </w:rPr>
              <w:t>名 称：</w:t>
            </w:r>
            <w:r>
              <w:rPr>
                <w:rFonts w:hint="eastAsia"/>
                <w:spacing w:val="-2"/>
                <w:lang w:eastAsia="zh-CN"/>
              </w:rPr>
              <w:t>阿瓦提县人民医院</w:t>
            </w:r>
          </w:p>
          <w:p w14:paraId="089B66DE">
            <w:pPr>
              <w:pStyle w:val="26"/>
              <w:keepLines w:val="0"/>
              <w:pageBreakBefore w:val="0"/>
              <w:kinsoku/>
              <w:wordWrap/>
              <w:overflowPunct/>
              <w:topLinePunct w:val="0"/>
              <w:bidi w:val="0"/>
              <w:spacing w:before="77" w:line="221" w:lineRule="auto"/>
              <w:ind w:left="119"/>
              <w:jc w:val="both"/>
              <w:rPr>
                <w:rFonts w:hint="eastAsia" w:eastAsia="仿宋"/>
                <w:lang w:eastAsia="zh-CN"/>
              </w:rPr>
            </w:pPr>
            <w:r>
              <w:rPr>
                <w:spacing w:val="-2"/>
              </w:rPr>
              <w:t>地 址：</w:t>
            </w:r>
            <w:r>
              <w:rPr>
                <w:rFonts w:hint="eastAsia"/>
                <w:spacing w:val="-2"/>
                <w:lang w:eastAsia="zh-CN"/>
              </w:rPr>
              <w:t>阿瓦提县拥军路30号</w:t>
            </w:r>
          </w:p>
          <w:p w14:paraId="5628EC0D">
            <w:pPr>
              <w:pStyle w:val="26"/>
              <w:keepLines w:val="0"/>
              <w:pageBreakBefore w:val="0"/>
              <w:kinsoku/>
              <w:wordWrap/>
              <w:overflowPunct/>
              <w:topLinePunct w:val="0"/>
              <w:bidi w:val="0"/>
              <w:spacing w:before="80" w:line="224" w:lineRule="auto"/>
              <w:ind w:left="116"/>
              <w:jc w:val="both"/>
              <w:rPr>
                <w:rFonts w:hint="eastAsia" w:eastAsia="仿宋"/>
                <w:lang w:eastAsia="zh-CN"/>
              </w:rPr>
            </w:pPr>
            <w:r>
              <w:rPr>
                <w:spacing w:val="-3"/>
              </w:rPr>
              <w:t>联系人：</w:t>
            </w:r>
            <w:r>
              <w:rPr>
                <w:rFonts w:hint="eastAsia"/>
                <w:spacing w:val="-3"/>
                <w:lang w:eastAsia="zh-CN"/>
              </w:rPr>
              <w:t>宝莉园</w:t>
            </w:r>
          </w:p>
          <w:p w14:paraId="18D4D2BC">
            <w:pPr>
              <w:pStyle w:val="26"/>
              <w:keepLines w:val="0"/>
              <w:pageBreakBefore w:val="0"/>
              <w:kinsoku/>
              <w:wordWrap/>
              <w:overflowPunct/>
              <w:topLinePunct w:val="0"/>
              <w:bidi w:val="0"/>
              <w:spacing w:before="75" w:line="223" w:lineRule="auto"/>
              <w:ind w:left="145"/>
              <w:jc w:val="both"/>
            </w:pPr>
            <w:r>
              <w:rPr>
                <w:spacing w:val="-3"/>
              </w:rPr>
              <w:t>电 话：</w:t>
            </w:r>
            <w:r>
              <w:rPr>
                <w:rFonts w:hint="eastAsia"/>
                <w:spacing w:val="-3"/>
                <w:lang w:val="en-US" w:eastAsia="zh-CN"/>
              </w:rPr>
              <w:t>18293566306</w:t>
            </w:r>
          </w:p>
        </w:tc>
      </w:tr>
      <w:tr w14:paraId="0E64B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55E64BD6">
            <w:pPr>
              <w:pStyle w:val="26"/>
              <w:keepLines w:val="0"/>
              <w:pageBreakBefore w:val="0"/>
              <w:kinsoku/>
              <w:wordWrap/>
              <w:overflowPunct/>
              <w:topLinePunct w:val="0"/>
              <w:bidi w:val="0"/>
              <w:spacing w:before="78" w:line="180" w:lineRule="auto"/>
              <w:jc w:val="center"/>
            </w:pPr>
            <w:r>
              <w:t>4</w:t>
            </w:r>
          </w:p>
        </w:tc>
        <w:tc>
          <w:tcPr>
            <w:tcW w:w="1485" w:type="dxa"/>
            <w:vAlign w:val="center"/>
          </w:tcPr>
          <w:p w14:paraId="2BABA20D">
            <w:pPr>
              <w:pStyle w:val="26"/>
              <w:keepLines w:val="0"/>
              <w:pageBreakBefore w:val="0"/>
              <w:kinsoku/>
              <w:wordWrap/>
              <w:overflowPunct/>
              <w:topLinePunct w:val="0"/>
              <w:bidi w:val="0"/>
              <w:spacing w:before="78" w:line="222" w:lineRule="auto"/>
              <w:jc w:val="center"/>
            </w:pPr>
            <w:r>
              <w:rPr>
                <w:b/>
                <w:bCs/>
                <w:spacing w:val="-8"/>
              </w:rPr>
              <w:t>代理机构</w:t>
            </w:r>
          </w:p>
        </w:tc>
        <w:tc>
          <w:tcPr>
            <w:tcW w:w="7831" w:type="dxa"/>
            <w:tcBorders>
              <w:right w:val="single" w:color="000000" w:sz="4" w:space="0"/>
            </w:tcBorders>
            <w:vAlign w:val="center"/>
          </w:tcPr>
          <w:p w14:paraId="18DAF214">
            <w:pPr>
              <w:pStyle w:val="26"/>
              <w:keepLines w:val="0"/>
              <w:pageBreakBefore w:val="0"/>
              <w:kinsoku/>
              <w:wordWrap/>
              <w:overflowPunct/>
              <w:topLinePunct w:val="0"/>
              <w:bidi w:val="0"/>
              <w:spacing w:before="66" w:line="221" w:lineRule="auto"/>
              <w:ind w:left="119"/>
              <w:jc w:val="both"/>
              <w:rPr>
                <w:rFonts w:hint="eastAsia" w:eastAsia="仿宋"/>
                <w:lang w:eastAsia="zh-CN"/>
              </w:rPr>
            </w:pPr>
            <w:r>
              <w:rPr>
                <w:spacing w:val="-2"/>
              </w:rPr>
              <w:t>名 称：</w:t>
            </w:r>
            <w:r>
              <w:rPr>
                <w:rFonts w:hint="eastAsia"/>
                <w:spacing w:val="-2"/>
                <w:lang w:eastAsia="zh-CN"/>
              </w:rPr>
              <w:t>阿克苏疆山项目管理有限公司</w:t>
            </w:r>
          </w:p>
          <w:p w14:paraId="0AD77A12">
            <w:pPr>
              <w:pStyle w:val="26"/>
              <w:keepLines w:val="0"/>
              <w:pageBreakBefore w:val="0"/>
              <w:kinsoku/>
              <w:wordWrap/>
              <w:overflowPunct/>
              <w:topLinePunct w:val="0"/>
              <w:bidi w:val="0"/>
              <w:spacing w:before="79" w:line="221" w:lineRule="auto"/>
              <w:ind w:left="119"/>
              <w:jc w:val="both"/>
              <w:rPr>
                <w:rFonts w:hint="eastAsia" w:eastAsia="仿宋"/>
                <w:lang w:eastAsia="zh-CN"/>
              </w:rPr>
            </w:pPr>
            <w:r>
              <w:rPr>
                <w:spacing w:val="-3"/>
              </w:rPr>
              <w:t>地 址：</w:t>
            </w:r>
            <w:r>
              <w:rPr>
                <w:rFonts w:hint="eastAsia"/>
                <w:spacing w:val="-3"/>
                <w:lang w:eastAsia="zh-CN"/>
              </w:rPr>
              <w:t>阿克苏市采荷路1号云山悦府12号楼2单元202室</w:t>
            </w:r>
          </w:p>
          <w:p w14:paraId="4547FC59">
            <w:pPr>
              <w:pStyle w:val="26"/>
              <w:keepLines w:val="0"/>
              <w:pageBreakBefore w:val="0"/>
              <w:kinsoku/>
              <w:wordWrap/>
              <w:overflowPunct/>
              <w:topLinePunct w:val="0"/>
              <w:bidi w:val="0"/>
              <w:spacing w:before="79" w:line="221" w:lineRule="auto"/>
              <w:ind w:left="116"/>
              <w:jc w:val="both"/>
              <w:rPr>
                <w:rFonts w:hint="eastAsia" w:eastAsia="仿宋"/>
                <w:lang w:eastAsia="zh-CN"/>
              </w:rPr>
            </w:pPr>
            <w:r>
              <w:rPr>
                <w:spacing w:val="-2"/>
              </w:rPr>
              <w:t>联系人：</w:t>
            </w:r>
            <w:r>
              <w:rPr>
                <w:rFonts w:hint="eastAsia"/>
                <w:spacing w:val="-2"/>
                <w:lang w:eastAsia="zh-CN"/>
              </w:rPr>
              <w:t>刘润利</w:t>
            </w:r>
          </w:p>
          <w:p w14:paraId="3B7E4D3F">
            <w:pPr>
              <w:pStyle w:val="26"/>
              <w:keepLines w:val="0"/>
              <w:pageBreakBefore w:val="0"/>
              <w:kinsoku/>
              <w:wordWrap/>
              <w:overflowPunct/>
              <w:topLinePunct w:val="0"/>
              <w:bidi w:val="0"/>
              <w:spacing w:before="80" w:line="223" w:lineRule="auto"/>
              <w:ind w:left="116"/>
              <w:jc w:val="both"/>
            </w:pPr>
            <w:r>
              <w:rPr>
                <w:spacing w:val="-1"/>
              </w:rPr>
              <w:t>联系电话：</w:t>
            </w:r>
            <w:r>
              <w:rPr>
                <w:rFonts w:hint="eastAsia"/>
                <w:spacing w:val="-1"/>
                <w:lang w:val="en-US" w:eastAsia="zh-CN"/>
              </w:rPr>
              <w:t>13369873111</w:t>
            </w:r>
          </w:p>
        </w:tc>
      </w:tr>
      <w:tr w14:paraId="57468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0" w:type="auto"/>
            <w:tcBorders>
              <w:left w:val="single" w:color="000000" w:sz="4" w:space="0"/>
            </w:tcBorders>
            <w:vAlign w:val="center"/>
          </w:tcPr>
          <w:p w14:paraId="063BD918">
            <w:pPr>
              <w:pStyle w:val="26"/>
              <w:keepLines w:val="0"/>
              <w:pageBreakBefore w:val="0"/>
              <w:kinsoku/>
              <w:wordWrap/>
              <w:overflowPunct/>
              <w:topLinePunct w:val="0"/>
              <w:bidi w:val="0"/>
              <w:spacing w:before="78" w:line="179" w:lineRule="auto"/>
              <w:jc w:val="center"/>
            </w:pPr>
            <w:r>
              <w:t>5</w:t>
            </w:r>
          </w:p>
        </w:tc>
        <w:tc>
          <w:tcPr>
            <w:tcW w:w="1485" w:type="dxa"/>
            <w:vAlign w:val="center"/>
          </w:tcPr>
          <w:p w14:paraId="39E0C371">
            <w:pPr>
              <w:pStyle w:val="26"/>
              <w:keepLines w:val="0"/>
              <w:pageBreakBefore w:val="0"/>
              <w:kinsoku/>
              <w:wordWrap/>
              <w:overflowPunct/>
              <w:topLinePunct w:val="0"/>
              <w:bidi w:val="0"/>
              <w:spacing w:before="78" w:line="222" w:lineRule="auto"/>
              <w:jc w:val="center"/>
              <w:rPr>
                <w:rFonts w:hint="eastAsia" w:eastAsia="仿宋"/>
                <w:lang w:eastAsia="zh-CN"/>
              </w:rPr>
            </w:pPr>
            <w:r>
              <w:rPr>
                <w:rFonts w:hint="eastAsia"/>
                <w:b/>
                <w:bCs/>
                <w:spacing w:val="-7"/>
                <w:lang w:eastAsia="zh-CN"/>
              </w:rPr>
              <w:t>采购内容</w:t>
            </w:r>
          </w:p>
        </w:tc>
        <w:tc>
          <w:tcPr>
            <w:tcW w:w="7831" w:type="dxa"/>
            <w:tcBorders>
              <w:right w:val="single" w:color="000000" w:sz="4" w:space="0"/>
            </w:tcBorders>
            <w:vAlign w:val="center"/>
          </w:tcPr>
          <w:p w14:paraId="4129C970">
            <w:pPr>
              <w:pStyle w:val="26"/>
              <w:keepLines w:val="0"/>
              <w:pageBreakBefore w:val="0"/>
              <w:kinsoku/>
              <w:wordWrap/>
              <w:overflowPunct/>
              <w:topLinePunct w:val="0"/>
              <w:bidi w:val="0"/>
              <w:spacing w:before="80" w:line="252" w:lineRule="auto"/>
              <w:ind w:right="993"/>
              <w:jc w:val="both"/>
            </w:pPr>
            <w:r>
              <w:rPr>
                <w:rFonts w:hint="eastAsia"/>
                <w:spacing w:val="-2"/>
                <w:lang w:val="en-US" w:eastAsia="zh-CN"/>
              </w:rPr>
              <w:t>“2025年阿瓦提县人民医院门诊改造及设备项目”检验科和肾病血液科采购一批医疗设备（详见采购需求）</w:t>
            </w:r>
          </w:p>
        </w:tc>
      </w:tr>
      <w:tr w14:paraId="0444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0" w:type="auto"/>
            <w:tcBorders>
              <w:left w:val="single" w:color="000000" w:sz="4" w:space="0"/>
            </w:tcBorders>
            <w:vAlign w:val="center"/>
          </w:tcPr>
          <w:p w14:paraId="2FC389AC">
            <w:pPr>
              <w:pStyle w:val="26"/>
              <w:keepLines w:val="0"/>
              <w:pageBreakBefore w:val="0"/>
              <w:kinsoku/>
              <w:wordWrap/>
              <w:overflowPunct/>
              <w:topLinePunct w:val="0"/>
              <w:bidi w:val="0"/>
              <w:spacing w:before="242" w:line="180" w:lineRule="auto"/>
              <w:jc w:val="center"/>
            </w:pPr>
            <w:r>
              <w:t>6</w:t>
            </w:r>
          </w:p>
        </w:tc>
        <w:tc>
          <w:tcPr>
            <w:tcW w:w="1485" w:type="dxa"/>
            <w:vAlign w:val="center"/>
          </w:tcPr>
          <w:p w14:paraId="08CBB002">
            <w:pPr>
              <w:pStyle w:val="26"/>
              <w:keepLines w:val="0"/>
              <w:pageBreakBefore w:val="0"/>
              <w:kinsoku/>
              <w:wordWrap/>
              <w:overflowPunct/>
              <w:topLinePunct w:val="0"/>
              <w:bidi w:val="0"/>
              <w:spacing w:before="200" w:line="222" w:lineRule="auto"/>
              <w:jc w:val="center"/>
            </w:pPr>
            <w:r>
              <w:rPr>
                <w:rFonts w:hint="eastAsia"/>
                <w:b/>
                <w:bCs/>
                <w:spacing w:val="-6"/>
                <w:lang w:eastAsia="zh-CN"/>
              </w:rPr>
              <w:t>供货</w:t>
            </w:r>
            <w:r>
              <w:rPr>
                <w:b/>
                <w:bCs/>
                <w:spacing w:val="-6"/>
              </w:rPr>
              <w:t>期限</w:t>
            </w:r>
          </w:p>
        </w:tc>
        <w:tc>
          <w:tcPr>
            <w:tcW w:w="7831" w:type="dxa"/>
            <w:tcBorders>
              <w:right w:val="single" w:color="000000" w:sz="4" w:space="0"/>
            </w:tcBorders>
            <w:vAlign w:val="center"/>
          </w:tcPr>
          <w:p w14:paraId="5D344178">
            <w:pPr>
              <w:pStyle w:val="26"/>
              <w:keepLines w:val="0"/>
              <w:pageBreakBefore w:val="0"/>
              <w:kinsoku/>
              <w:wordWrap/>
              <w:overflowPunct/>
              <w:topLinePunct w:val="0"/>
              <w:bidi w:val="0"/>
              <w:spacing w:before="200" w:line="222" w:lineRule="auto"/>
              <w:ind w:left="163"/>
              <w:jc w:val="both"/>
            </w:pPr>
            <w:r>
              <w:rPr>
                <w:rFonts w:hint="eastAsia"/>
                <w:color w:val="auto"/>
                <w:spacing w:val="-5"/>
                <w:lang w:eastAsia="zh-CN"/>
              </w:rPr>
              <w:t>自合同签订之日起10个工作日内。</w:t>
            </w:r>
          </w:p>
        </w:tc>
      </w:tr>
      <w:tr w14:paraId="36DA0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0" w:type="auto"/>
            <w:tcBorders>
              <w:left w:val="single" w:color="000000" w:sz="4" w:space="0"/>
            </w:tcBorders>
            <w:vAlign w:val="center"/>
          </w:tcPr>
          <w:p w14:paraId="0DC386CE">
            <w:pPr>
              <w:pStyle w:val="26"/>
              <w:keepLines w:val="0"/>
              <w:pageBreakBefore w:val="0"/>
              <w:kinsoku/>
              <w:wordWrap/>
              <w:overflowPunct/>
              <w:topLinePunct w:val="0"/>
              <w:bidi w:val="0"/>
              <w:spacing w:before="78" w:line="222" w:lineRule="auto"/>
              <w:jc w:val="center"/>
              <w:rPr>
                <w:rFonts w:hint="eastAsia"/>
                <w:b w:val="0"/>
                <w:bCs w:val="0"/>
                <w:spacing w:val="-7"/>
                <w:lang w:eastAsia="zh-CN"/>
              </w:rPr>
            </w:pPr>
            <w:r>
              <w:rPr>
                <w:rFonts w:hint="eastAsia"/>
                <w:b w:val="0"/>
                <w:bCs w:val="0"/>
                <w:spacing w:val="-7"/>
                <w:lang w:eastAsia="zh-CN"/>
              </w:rPr>
              <w:t>7</w:t>
            </w:r>
          </w:p>
        </w:tc>
        <w:tc>
          <w:tcPr>
            <w:tcW w:w="1485" w:type="dxa"/>
            <w:vAlign w:val="center"/>
          </w:tcPr>
          <w:p w14:paraId="401B1CAA">
            <w:pPr>
              <w:pStyle w:val="26"/>
              <w:keepLines w:val="0"/>
              <w:pageBreakBefore w:val="0"/>
              <w:kinsoku/>
              <w:wordWrap/>
              <w:overflowPunct/>
              <w:topLinePunct w:val="0"/>
              <w:bidi w:val="0"/>
              <w:spacing w:before="78" w:line="222" w:lineRule="auto"/>
              <w:jc w:val="center"/>
              <w:rPr>
                <w:rFonts w:hint="eastAsia"/>
                <w:b/>
                <w:bCs/>
                <w:spacing w:val="-7"/>
                <w:lang w:val="en-US" w:eastAsia="zh-CN"/>
              </w:rPr>
            </w:pPr>
            <w:r>
              <w:rPr>
                <w:rFonts w:hint="eastAsia"/>
                <w:b/>
                <w:bCs/>
                <w:spacing w:val="-7"/>
                <w:lang w:val="en-US" w:eastAsia="zh-CN"/>
              </w:rPr>
              <w:t>报价方式</w:t>
            </w:r>
          </w:p>
        </w:tc>
        <w:tc>
          <w:tcPr>
            <w:tcW w:w="7831" w:type="dxa"/>
            <w:tcBorders>
              <w:right w:val="single" w:color="000000" w:sz="4" w:space="0"/>
            </w:tcBorders>
            <w:vAlign w:val="center"/>
          </w:tcPr>
          <w:p w14:paraId="6461218C">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本项目最高限价：3725000.00元。投标报价不得高于最高限价，否则视为无效投标。</w:t>
            </w:r>
          </w:p>
        </w:tc>
      </w:tr>
      <w:tr w14:paraId="2FD99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62B25D5B">
            <w:pPr>
              <w:pStyle w:val="26"/>
              <w:keepLines w:val="0"/>
              <w:pageBreakBefore w:val="0"/>
              <w:kinsoku/>
              <w:wordWrap/>
              <w:overflowPunct/>
              <w:topLinePunct w:val="0"/>
              <w:bidi w:val="0"/>
              <w:spacing w:before="300" w:line="180" w:lineRule="auto"/>
              <w:jc w:val="center"/>
            </w:pPr>
            <w:r>
              <w:t>8</w:t>
            </w:r>
          </w:p>
        </w:tc>
        <w:tc>
          <w:tcPr>
            <w:tcW w:w="1485" w:type="dxa"/>
            <w:vAlign w:val="center"/>
          </w:tcPr>
          <w:p w14:paraId="514E821A">
            <w:pPr>
              <w:pStyle w:val="26"/>
              <w:keepLines w:val="0"/>
              <w:pageBreakBefore w:val="0"/>
              <w:kinsoku/>
              <w:wordWrap/>
              <w:overflowPunct/>
              <w:topLinePunct w:val="0"/>
              <w:bidi w:val="0"/>
              <w:spacing w:before="234" w:line="223" w:lineRule="auto"/>
              <w:jc w:val="center"/>
            </w:pPr>
            <w:r>
              <w:rPr>
                <w:b/>
                <w:bCs/>
                <w:spacing w:val="-7"/>
              </w:rPr>
              <w:t>项目类别</w:t>
            </w:r>
          </w:p>
        </w:tc>
        <w:tc>
          <w:tcPr>
            <w:tcW w:w="7831" w:type="dxa"/>
            <w:tcBorders>
              <w:right w:val="single" w:color="000000" w:sz="4" w:space="0"/>
            </w:tcBorders>
            <w:vAlign w:val="center"/>
          </w:tcPr>
          <w:p w14:paraId="06F00C68">
            <w:pPr>
              <w:pStyle w:val="26"/>
              <w:keepLines w:val="0"/>
              <w:pageBreakBefore w:val="0"/>
              <w:kinsoku/>
              <w:wordWrap/>
              <w:overflowPunct/>
              <w:topLinePunct w:val="0"/>
              <w:bidi w:val="0"/>
              <w:spacing w:before="79" w:line="221" w:lineRule="auto"/>
              <w:ind w:left="116"/>
              <w:jc w:val="both"/>
            </w:pPr>
            <w:r>
              <w:rPr>
                <w:rFonts w:hint="eastAsia"/>
                <w:lang w:val="en-US" w:eastAsia="zh-CN"/>
              </w:rPr>
              <w:t>本项目所属行业工业。</w:t>
            </w:r>
          </w:p>
        </w:tc>
      </w:tr>
      <w:tr w14:paraId="47672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0" w:type="auto"/>
            <w:tcBorders>
              <w:left w:val="single" w:color="000000" w:sz="4" w:space="0"/>
            </w:tcBorders>
            <w:vAlign w:val="center"/>
          </w:tcPr>
          <w:p w14:paraId="29AE50B7">
            <w:pPr>
              <w:pStyle w:val="26"/>
              <w:keepLines w:val="0"/>
              <w:pageBreakBefore w:val="0"/>
              <w:kinsoku/>
              <w:wordWrap/>
              <w:overflowPunct/>
              <w:topLinePunct w:val="0"/>
              <w:bidi w:val="0"/>
              <w:spacing w:before="115" w:line="180" w:lineRule="auto"/>
              <w:jc w:val="center"/>
            </w:pPr>
            <w:r>
              <w:t>9</w:t>
            </w:r>
          </w:p>
        </w:tc>
        <w:tc>
          <w:tcPr>
            <w:tcW w:w="1485" w:type="dxa"/>
            <w:vAlign w:val="center"/>
          </w:tcPr>
          <w:p w14:paraId="34237F9F">
            <w:pPr>
              <w:pStyle w:val="26"/>
              <w:keepLines w:val="0"/>
              <w:pageBreakBefore w:val="0"/>
              <w:kinsoku/>
              <w:wordWrap/>
              <w:overflowPunct/>
              <w:topLinePunct w:val="0"/>
              <w:bidi w:val="0"/>
              <w:spacing w:before="73" w:line="222" w:lineRule="auto"/>
              <w:jc w:val="center"/>
            </w:pPr>
            <w:r>
              <w:rPr>
                <w:rFonts w:hint="eastAsia"/>
                <w:b/>
                <w:bCs/>
                <w:lang w:eastAsia="zh-CN"/>
              </w:rPr>
              <w:t>投标人</w:t>
            </w:r>
            <w:r>
              <w:rPr>
                <w:b/>
                <w:bCs/>
              </w:rPr>
              <w:t>资格、能</w:t>
            </w:r>
            <w:r>
              <w:rPr>
                <w:b/>
                <w:bCs/>
                <w:spacing w:val="-5"/>
              </w:rPr>
              <w:t>力、信誉</w:t>
            </w:r>
            <w:r>
              <w:rPr>
                <w:rFonts w:hint="eastAsia"/>
                <w:b/>
                <w:bCs/>
                <w:spacing w:val="-5"/>
                <w:lang w:eastAsia="zh-CN"/>
              </w:rPr>
              <w:t>及其他</w:t>
            </w:r>
            <w:r>
              <w:rPr>
                <w:b/>
                <w:bCs/>
                <w:spacing w:val="-13"/>
              </w:rPr>
              <w:t>要求</w:t>
            </w:r>
          </w:p>
        </w:tc>
        <w:tc>
          <w:tcPr>
            <w:tcW w:w="7831" w:type="dxa"/>
            <w:tcBorders>
              <w:right w:val="single" w:color="000000" w:sz="4" w:space="0"/>
            </w:tcBorders>
            <w:vAlign w:val="center"/>
          </w:tcPr>
          <w:p w14:paraId="7DD9FD4A">
            <w:pPr>
              <w:pStyle w:val="26"/>
              <w:keepLines w:val="0"/>
              <w:pageBreakBefore w:val="0"/>
              <w:kinsoku/>
              <w:wordWrap/>
              <w:overflowPunct/>
              <w:topLinePunct w:val="0"/>
              <w:bidi w:val="0"/>
              <w:spacing w:before="62" w:line="222" w:lineRule="auto"/>
              <w:ind w:left="129"/>
              <w:jc w:val="both"/>
            </w:pPr>
            <w:r>
              <w:rPr>
                <w:b/>
                <w:bCs/>
                <w:spacing w:val="-1"/>
              </w:rPr>
              <w:t>1、满足《中华人民共和国政府采购法》第二十二条规</w:t>
            </w:r>
            <w:r>
              <w:rPr>
                <w:b/>
                <w:bCs/>
                <w:spacing w:val="-2"/>
              </w:rPr>
              <w:t>定</w:t>
            </w:r>
            <w:r>
              <w:rPr>
                <w:spacing w:val="-2"/>
              </w:rPr>
              <w:t>；</w:t>
            </w:r>
          </w:p>
          <w:p w14:paraId="61944D43">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1）具有有效经年检的三证合一营业执照原件扫描件（若投标人是企业（包括合伙企业）应提供营业执照；若投标人是事业单位应提供事业单位法人证书；若投标人是个体工商户应提供个体工商户营业执照；若投标人是自然人应提供自然人身份证明）；</w:t>
            </w:r>
          </w:p>
          <w:p w14:paraId="1398036E">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（2）具有良好的商业信誉和健全的财务会计制度（提供2023年经审计的财务报告，企业成立不足一年的，须提供企业成立以来的财务报表加盖单位公章）；</w:t>
            </w:r>
          </w:p>
          <w:p w14:paraId="33677EC1">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3）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p w14:paraId="68DE816E">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4）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3FB410EC">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（5）法定代表人参加应上传法定代表人身份证明和本人身份证；委托代理人参加应上传法定代表人身份证明、授权委托书、本人身份证；</w:t>
            </w:r>
          </w:p>
          <w:p w14:paraId="40CB152D">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（6）投标人如在“信用中国”网站、中国政府采购网被列入严重违法失信行为记录名单的（尚在处罚期内的），将拒绝其参加本次政府采购活动。（开标现场查询）</w:t>
            </w:r>
          </w:p>
          <w:p w14:paraId="2CF3ADAF">
            <w:pPr>
              <w:pStyle w:val="26"/>
              <w:keepLines w:val="0"/>
              <w:pageBreakBefore w:val="0"/>
              <w:kinsoku/>
              <w:wordWrap/>
              <w:overflowPunct/>
              <w:topLinePunct w:val="0"/>
              <w:bidi w:val="0"/>
              <w:spacing w:before="75" w:line="267" w:lineRule="auto"/>
              <w:ind w:left="118" w:right="119" w:hanging="4"/>
              <w:jc w:val="both"/>
            </w:pPr>
            <w:r>
              <w:rPr>
                <w:b/>
                <w:bCs/>
                <w:spacing w:val="-1"/>
              </w:rPr>
              <w:t>2、落实政府采购政策需满足的资格要求：</w:t>
            </w:r>
          </w:p>
          <w:p w14:paraId="223CA88B">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（1）《新疆维吾尔自治区政府采购促进中小企业发展管理实施办法》（新财规〔2021〕6号）；</w:t>
            </w:r>
          </w:p>
          <w:p w14:paraId="766766EA">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（2）《财政部、司法部关于政府采购支持监狱企业发展有关问题的通知》（财库〔2014〕68号）；</w:t>
            </w:r>
          </w:p>
          <w:p w14:paraId="6D7B2034">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（3）财政部生态环境部关于印发环境标志产品政府采购品目清单的通知（财库〔2019〕18号）；</w:t>
            </w:r>
          </w:p>
          <w:p w14:paraId="544EE619">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（4）《财政部 民政部 中国残疾人联合会关于促进残疾人就业政府采购政策的通知》财库〔2017〕141号。</w:t>
            </w:r>
          </w:p>
          <w:p w14:paraId="7AA926BC">
            <w:pPr>
              <w:pStyle w:val="26"/>
              <w:keepLines w:val="0"/>
              <w:pageBreakBefore w:val="0"/>
              <w:kinsoku/>
              <w:wordWrap/>
              <w:overflowPunct/>
              <w:topLinePunct w:val="0"/>
              <w:bidi w:val="0"/>
              <w:spacing w:before="79" w:line="221" w:lineRule="auto"/>
              <w:ind w:left="116"/>
              <w:jc w:val="both"/>
              <w:rPr>
                <w:rFonts w:hint="eastAsia"/>
                <w:spacing w:val="-2"/>
                <w:lang w:val="en-US" w:eastAsia="zh-CN"/>
              </w:rPr>
            </w:pPr>
            <w:r>
              <w:rPr>
                <w:rFonts w:hint="eastAsia"/>
                <w:spacing w:val="-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55257FA5">
            <w:pPr>
              <w:pStyle w:val="26"/>
              <w:keepLines w:val="0"/>
              <w:pageBreakBefore w:val="0"/>
              <w:kinsoku/>
              <w:wordWrap/>
              <w:overflowPunct/>
              <w:topLinePunct w:val="0"/>
              <w:bidi w:val="0"/>
              <w:spacing w:before="78" w:line="222" w:lineRule="auto"/>
              <w:ind w:left="116"/>
              <w:jc w:val="both"/>
              <w:rPr>
                <w:b/>
                <w:bCs/>
              </w:rPr>
            </w:pPr>
            <w:r>
              <w:rPr>
                <w:b/>
                <w:bCs/>
                <w:spacing w:val="-2"/>
              </w:rPr>
              <w:t>3、本项目的特定资格要求：</w:t>
            </w:r>
          </w:p>
          <w:p w14:paraId="4C21BB33">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5A77D8D8">
            <w:pPr>
              <w:pStyle w:val="26"/>
              <w:keepLines w:val="0"/>
              <w:pageBreakBefore w:val="0"/>
              <w:kinsoku/>
              <w:wordWrap/>
              <w:overflowPunct/>
              <w:topLinePunct w:val="0"/>
              <w:bidi w:val="0"/>
              <w:spacing w:before="79" w:line="252" w:lineRule="auto"/>
              <w:ind w:left="110" w:right="513" w:firstLine="11"/>
              <w:jc w:val="both"/>
              <w:rPr>
                <w:b/>
                <w:bCs/>
              </w:rPr>
            </w:pPr>
            <w:r>
              <w:rPr>
                <w:b/>
                <w:bCs/>
                <w:spacing w:val="-1"/>
              </w:rPr>
              <w:t>4、本项目不接受联合体参加。</w:t>
            </w:r>
          </w:p>
          <w:p w14:paraId="0A0885E2">
            <w:pPr>
              <w:pStyle w:val="26"/>
              <w:keepLines w:val="0"/>
              <w:pageBreakBefore w:val="0"/>
              <w:kinsoku/>
              <w:wordWrap/>
              <w:overflowPunct/>
              <w:topLinePunct w:val="0"/>
              <w:bidi w:val="0"/>
              <w:spacing w:before="78" w:line="220" w:lineRule="auto"/>
              <w:ind w:left="125"/>
              <w:jc w:val="both"/>
            </w:pPr>
            <w:r>
              <w:rPr>
                <w:b/>
                <w:bCs/>
                <w:spacing w:val="-3"/>
              </w:rPr>
              <w:t>注：</w:t>
            </w:r>
            <w:r>
              <w:rPr>
                <w:rFonts w:hint="eastAsia"/>
                <w:b/>
                <w:bCs/>
                <w:spacing w:val="-3"/>
                <w:lang w:eastAsia="zh-CN"/>
              </w:rPr>
              <w:t>投标人</w:t>
            </w:r>
            <w:r>
              <w:rPr>
                <w:b/>
                <w:bCs/>
                <w:spacing w:val="-3"/>
              </w:rPr>
              <w:t>提交的所有证明文件及材料必须清晰、准确、真实</w:t>
            </w:r>
            <w:r>
              <w:rPr>
                <w:spacing w:val="-3"/>
              </w:rPr>
              <w:t>。</w:t>
            </w:r>
          </w:p>
        </w:tc>
      </w:tr>
      <w:tr w14:paraId="7713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0" w:type="auto"/>
            <w:tcBorders>
              <w:left w:val="single" w:color="000000" w:sz="4" w:space="0"/>
            </w:tcBorders>
            <w:vAlign w:val="center"/>
          </w:tcPr>
          <w:p w14:paraId="381969A8">
            <w:pPr>
              <w:pStyle w:val="26"/>
              <w:keepLines w:val="0"/>
              <w:pageBreakBefore w:val="0"/>
              <w:kinsoku/>
              <w:wordWrap/>
              <w:overflowPunct/>
              <w:topLinePunct w:val="0"/>
              <w:bidi w:val="0"/>
              <w:spacing w:before="194" w:line="181" w:lineRule="auto"/>
              <w:jc w:val="center"/>
            </w:pPr>
            <w:r>
              <w:rPr>
                <w:spacing w:val="-14"/>
              </w:rPr>
              <w:t>10</w:t>
            </w:r>
          </w:p>
        </w:tc>
        <w:tc>
          <w:tcPr>
            <w:tcW w:w="1485" w:type="dxa"/>
            <w:vAlign w:val="center"/>
          </w:tcPr>
          <w:p w14:paraId="32A4138F">
            <w:pPr>
              <w:pStyle w:val="26"/>
              <w:keepLines w:val="0"/>
              <w:pageBreakBefore w:val="0"/>
              <w:kinsoku/>
              <w:wordWrap/>
              <w:overflowPunct/>
              <w:topLinePunct w:val="0"/>
              <w:bidi w:val="0"/>
              <w:spacing w:before="154" w:line="222" w:lineRule="auto"/>
              <w:jc w:val="center"/>
            </w:pPr>
            <w:r>
              <w:rPr>
                <w:b/>
                <w:bCs/>
                <w:spacing w:val="-7"/>
              </w:rPr>
              <w:t>资格审查方式</w:t>
            </w:r>
          </w:p>
        </w:tc>
        <w:tc>
          <w:tcPr>
            <w:tcW w:w="7831" w:type="dxa"/>
            <w:tcBorders>
              <w:right w:val="single" w:color="000000" w:sz="4" w:space="0"/>
            </w:tcBorders>
            <w:vAlign w:val="center"/>
          </w:tcPr>
          <w:p w14:paraId="4DB6A280">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资格后审</w:t>
            </w:r>
          </w:p>
        </w:tc>
      </w:tr>
      <w:tr w14:paraId="014C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0" w:type="auto"/>
            <w:tcBorders>
              <w:left w:val="single" w:color="000000" w:sz="4" w:space="0"/>
            </w:tcBorders>
            <w:vAlign w:val="center"/>
          </w:tcPr>
          <w:p w14:paraId="31641DE0">
            <w:pPr>
              <w:pStyle w:val="26"/>
              <w:keepLines w:val="0"/>
              <w:pageBreakBefore w:val="0"/>
              <w:kinsoku/>
              <w:wordWrap/>
              <w:overflowPunct/>
              <w:topLinePunct w:val="0"/>
              <w:bidi w:val="0"/>
              <w:spacing w:before="185" w:line="181" w:lineRule="auto"/>
              <w:jc w:val="center"/>
            </w:pPr>
            <w:r>
              <w:rPr>
                <w:spacing w:val="-14"/>
              </w:rPr>
              <w:t>11</w:t>
            </w:r>
          </w:p>
        </w:tc>
        <w:tc>
          <w:tcPr>
            <w:tcW w:w="1485" w:type="dxa"/>
            <w:vAlign w:val="center"/>
          </w:tcPr>
          <w:p w14:paraId="413FC7F7">
            <w:pPr>
              <w:pStyle w:val="26"/>
              <w:keepLines w:val="0"/>
              <w:pageBreakBefore w:val="0"/>
              <w:kinsoku/>
              <w:wordWrap/>
              <w:overflowPunct/>
              <w:topLinePunct w:val="0"/>
              <w:bidi w:val="0"/>
              <w:spacing w:before="145" w:line="222" w:lineRule="auto"/>
              <w:jc w:val="center"/>
            </w:pPr>
            <w:r>
              <w:rPr>
                <w:b/>
                <w:bCs/>
                <w:spacing w:val="-6"/>
              </w:rPr>
              <w:t>投标语言</w:t>
            </w:r>
          </w:p>
        </w:tc>
        <w:tc>
          <w:tcPr>
            <w:tcW w:w="7831" w:type="dxa"/>
            <w:tcBorders>
              <w:right w:val="single" w:color="000000" w:sz="4" w:space="0"/>
            </w:tcBorders>
            <w:vAlign w:val="center"/>
          </w:tcPr>
          <w:p w14:paraId="38AA5B6A">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中文</w:t>
            </w:r>
          </w:p>
        </w:tc>
      </w:tr>
      <w:tr w14:paraId="6382A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0" w:type="auto"/>
            <w:tcBorders>
              <w:left w:val="single" w:color="000000" w:sz="4" w:space="0"/>
            </w:tcBorders>
            <w:vAlign w:val="center"/>
          </w:tcPr>
          <w:p w14:paraId="212A7DB9">
            <w:pPr>
              <w:pStyle w:val="26"/>
              <w:keepLines w:val="0"/>
              <w:pageBreakBefore w:val="0"/>
              <w:kinsoku/>
              <w:wordWrap/>
              <w:overflowPunct/>
              <w:topLinePunct w:val="0"/>
              <w:bidi w:val="0"/>
              <w:spacing w:before="302" w:line="181" w:lineRule="auto"/>
              <w:jc w:val="center"/>
            </w:pPr>
            <w:r>
              <w:rPr>
                <w:spacing w:val="-14"/>
              </w:rPr>
              <w:t>12</w:t>
            </w:r>
          </w:p>
        </w:tc>
        <w:tc>
          <w:tcPr>
            <w:tcW w:w="1485" w:type="dxa"/>
            <w:vAlign w:val="center"/>
          </w:tcPr>
          <w:p w14:paraId="18573B83">
            <w:pPr>
              <w:pStyle w:val="26"/>
              <w:keepLines w:val="0"/>
              <w:pageBreakBefore w:val="0"/>
              <w:kinsoku/>
              <w:wordWrap/>
              <w:overflowPunct/>
              <w:topLinePunct w:val="0"/>
              <w:bidi w:val="0"/>
              <w:spacing w:before="262" w:line="222" w:lineRule="auto"/>
              <w:jc w:val="center"/>
            </w:pPr>
            <w:r>
              <w:rPr>
                <w:b/>
                <w:bCs/>
                <w:spacing w:val="-5"/>
              </w:rPr>
              <w:t>投标有效期</w:t>
            </w:r>
          </w:p>
        </w:tc>
        <w:tc>
          <w:tcPr>
            <w:tcW w:w="7831" w:type="dxa"/>
            <w:tcBorders>
              <w:right w:val="single" w:color="000000" w:sz="4" w:space="0"/>
            </w:tcBorders>
            <w:vAlign w:val="center"/>
          </w:tcPr>
          <w:p w14:paraId="58B94785">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90日历天；（从投标截止之日算起）</w:t>
            </w:r>
          </w:p>
        </w:tc>
      </w:tr>
      <w:tr w14:paraId="793E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0" w:type="auto"/>
            <w:tcBorders>
              <w:left w:val="single" w:color="000000" w:sz="4" w:space="0"/>
            </w:tcBorders>
            <w:vAlign w:val="center"/>
          </w:tcPr>
          <w:p w14:paraId="7BCB981E">
            <w:pPr>
              <w:pStyle w:val="26"/>
              <w:keepLines w:val="0"/>
              <w:pageBreakBefore w:val="0"/>
              <w:kinsoku/>
              <w:wordWrap/>
              <w:overflowPunct/>
              <w:topLinePunct w:val="0"/>
              <w:bidi w:val="0"/>
              <w:spacing w:before="244" w:line="181" w:lineRule="auto"/>
              <w:jc w:val="center"/>
            </w:pPr>
            <w:r>
              <w:rPr>
                <w:spacing w:val="-14"/>
              </w:rPr>
              <w:t>13</w:t>
            </w:r>
          </w:p>
        </w:tc>
        <w:tc>
          <w:tcPr>
            <w:tcW w:w="1485" w:type="dxa"/>
            <w:vAlign w:val="center"/>
          </w:tcPr>
          <w:p w14:paraId="76072697">
            <w:pPr>
              <w:pStyle w:val="26"/>
              <w:keepLines w:val="0"/>
              <w:pageBreakBefore w:val="0"/>
              <w:kinsoku/>
              <w:wordWrap/>
              <w:overflowPunct/>
              <w:topLinePunct w:val="0"/>
              <w:bidi w:val="0"/>
              <w:spacing w:before="204" w:line="222" w:lineRule="auto"/>
              <w:jc w:val="center"/>
            </w:pPr>
            <w:r>
              <w:rPr>
                <w:b/>
                <w:bCs/>
                <w:spacing w:val="-7"/>
              </w:rPr>
              <w:t>采购方式</w:t>
            </w:r>
          </w:p>
        </w:tc>
        <w:tc>
          <w:tcPr>
            <w:tcW w:w="7831" w:type="dxa"/>
            <w:tcBorders>
              <w:right w:val="single" w:color="000000" w:sz="4" w:space="0"/>
            </w:tcBorders>
            <w:vAlign w:val="center"/>
          </w:tcPr>
          <w:p w14:paraId="315FF423">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公开招标</w:t>
            </w:r>
          </w:p>
        </w:tc>
      </w:tr>
      <w:tr w14:paraId="38ED8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0" w:type="auto"/>
            <w:tcBorders>
              <w:left w:val="single" w:color="000000" w:sz="4" w:space="0"/>
            </w:tcBorders>
            <w:vAlign w:val="center"/>
          </w:tcPr>
          <w:p w14:paraId="268532C8">
            <w:pPr>
              <w:pStyle w:val="26"/>
              <w:keepLines w:val="0"/>
              <w:pageBreakBefore w:val="0"/>
              <w:kinsoku/>
              <w:wordWrap/>
              <w:overflowPunct/>
              <w:topLinePunct w:val="0"/>
              <w:bidi w:val="0"/>
              <w:spacing w:before="193" w:line="181" w:lineRule="auto"/>
              <w:jc w:val="center"/>
            </w:pPr>
            <w:r>
              <w:rPr>
                <w:spacing w:val="-14"/>
              </w:rPr>
              <w:t>14</w:t>
            </w:r>
          </w:p>
        </w:tc>
        <w:tc>
          <w:tcPr>
            <w:tcW w:w="1485" w:type="dxa"/>
            <w:vAlign w:val="center"/>
          </w:tcPr>
          <w:p w14:paraId="44F3E672">
            <w:pPr>
              <w:pStyle w:val="26"/>
              <w:keepLines w:val="0"/>
              <w:pageBreakBefore w:val="0"/>
              <w:kinsoku/>
              <w:wordWrap/>
              <w:overflowPunct/>
              <w:topLinePunct w:val="0"/>
              <w:bidi w:val="0"/>
              <w:spacing w:before="177" w:line="222" w:lineRule="auto"/>
              <w:jc w:val="center"/>
            </w:pPr>
            <w:r>
              <w:rPr>
                <w:b/>
                <w:bCs/>
                <w:spacing w:val="-7"/>
              </w:rPr>
              <w:t>评标办法</w:t>
            </w:r>
          </w:p>
        </w:tc>
        <w:tc>
          <w:tcPr>
            <w:tcW w:w="7831" w:type="dxa"/>
            <w:tcBorders>
              <w:right w:val="single" w:color="000000" w:sz="4" w:space="0"/>
            </w:tcBorders>
            <w:vAlign w:val="center"/>
          </w:tcPr>
          <w:p w14:paraId="5820A02B">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综合评分法</w:t>
            </w:r>
          </w:p>
        </w:tc>
      </w:tr>
      <w:tr w14:paraId="52020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0" w:type="auto"/>
            <w:tcBorders>
              <w:left w:val="single" w:color="000000" w:sz="4" w:space="0"/>
            </w:tcBorders>
            <w:vAlign w:val="center"/>
          </w:tcPr>
          <w:p w14:paraId="337C3176">
            <w:pPr>
              <w:pStyle w:val="26"/>
              <w:keepLines w:val="0"/>
              <w:pageBreakBefore w:val="0"/>
              <w:kinsoku/>
              <w:wordWrap/>
              <w:overflowPunct/>
              <w:topLinePunct w:val="0"/>
              <w:bidi w:val="0"/>
              <w:spacing w:before="316" w:line="181" w:lineRule="auto"/>
              <w:jc w:val="center"/>
            </w:pPr>
            <w:r>
              <w:rPr>
                <w:spacing w:val="-14"/>
              </w:rPr>
              <w:t>15</w:t>
            </w:r>
          </w:p>
        </w:tc>
        <w:tc>
          <w:tcPr>
            <w:tcW w:w="1485" w:type="dxa"/>
            <w:vAlign w:val="center"/>
          </w:tcPr>
          <w:p w14:paraId="5A6DF02F">
            <w:pPr>
              <w:pStyle w:val="26"/>
              <w:keepLines w:val="0"/>
              <w:pageBreakBefore w:val="0"/>
              <w:kinsoku/>
              <w:wordWrap/>
              <w:overflowPunct/>
              <w:topLinePunct w:val="0"/>
              <w:bidi w:val="0"/>
              <w:spacing w:before="115" w:line="255" w:lineRule="auto"/>
              <w:ind w:right="153"/>
              <w:jc w:val="center"/>
            </w:pPr>
            <w:r>
              <w:rPr>
                <w:b/>
                <w:bCs/>
                <w:spacing w:val="-5"/>
              </w:rPr>
              <w:t>评标委员会的组</w:t>
            </w:r>
            <w:r>
              <w:rPr>
                <w:b/>
                <w:bCs/>
                <w:spacing w:val="-3"/>
              </w:rPr>
              <w:t>建</w:t>
            </w:r>
          </w:p>
        </w:tc>
        <w:tc>
          <w:tcPr>
            <w:tcW w:w="7831" w:type="dxa"/>
            <w:tcBorders>
              <w:right w:val="single" w:color="000000" w:sz="4" w:space="0"/>
            </w:tcBorders>
            <w:vAlign w:val="center"/>
          </w:tcPr>
          <w:p w14:paraId="3EC1077F">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评标委员会构成：评标委员会由采购人代表和评审专家组成。（采购人代表</w:t>
            </w:r>
            <w:r>
              <w:rPr>
                <w:rFonts w:hint="eastAsia"/>
                <w:spacing w:val="-2"/>
                <w:lang w:val="en-US" w:eastAsia="zh-CN"/>
              </w:rPr>
              <w:t>1人，</w:t>
            </w:r>
            <w:r>
              <w:rPr>
                <w:rFonts w:hint="eastAsia"/>
                <w:spacing w:val="-2"/>
                <w:lang w:eastAsia="zh-CN"/>
              </w:rPr>
              <w:t>随机抽取的评审专家</w:t>
            </w:r>
            <w:r>
              <w:rPr>
                <w:rFonts w:hint="eastAsia"/>
                <w:spacing w:val="-2"/>
                <w:lang w:val="en-US" w:eastAsia="zh-CN"/>
              </w:rPr>
              <w:t>4</w:t>
            </w:r>
            <w:r>
              <w:rPr>
                <w:rFonts w:hint="eastAsia"/>
                <w:spacing w:val="-2"/>
                <w:lang w:eastAsia="zh-CN"/>
              </w:rPr>
              <w:t>人）</w:t>
            </w:r>
          </w:p>
        </w:tc>
      </w:tr>
      <w:tr w14:paraId="69AB1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76FC277D">
            <w:pPr>
              <w:pStyle w:val="26"/>
              <w:keepLines w:val="0"/>
              <w:pageBreakBefore w:val="0"/>
              <w:kinsoku/>
              <w:wordWrap/>
              <w:overflowPunct/>
              <w:topLinePunct w:val="0"/>
              <w:bidi w:val="0"/>
              <w:spacing w:before="78" w:line="181" w:lineRule="auto"/>
              <w:jc w:val="center"/>
            </w:pPr>
            <w:r>
              <w:rPr>
                <w:spacing w:val="-14"/>
              </w:rPr>
              <w:t>16</w:t>
            </w:r>
          </w:p>
        </w:tc>
        <w:tc>
          <w:tcPr>
            <w:tcW w:w="1485" w:type="dxa"/>
            <w:vAlign w:val="center"/>
          </w:tcPr>
          <w:p w14:paraId="6F3E57E4">
            <w:pPr>
              <w:pStyle w:val="26"/>
              <w:keepLines w:val="0"/>
              <w:pageBreakBefore w:val="0"/>
              <w:kinsoku/>
              <w:wordWrap/>
              <w:overflowPunct/>
              <w:topLinePunct w:val="0"/>
              <w:bidi w:val="0"/>
              <w:spacing w:before="68" w:line="222" w:lineRule="auto"/>
              <w:jc w:val="center"/>
              <w:rPr>
                <w:rFonts w:hint="eastAsia" w:eastAsia="仿宋"/>
                <w:lang w:eastAsia="zh-CN"/>
              </w:rPr>
            </w:pPr>
            <w:r>
              <w:rPr>
                <w:b/>
                <w:bCs/>
                <w:spacing w:val="-5"/>
              </w:rPr>
              <w:t>是否授权评标委</w:t>
            </w:r>
            <w:r>
              <w:rPr>
                <w:b/>
                <w:bCs/>
                <w:spacing w:val="-7"/>
              </w:rPr>
              <w:t>员会确定中标</w:t>
            </w:r>
            <w:r>
              <w:rPr>
                <w:rFonts w:hint="eastAsia"/>
                <w:b/>
                <w:bCs/>
                <w:spacing w:val="-7"/>
                <w:lang w:eastAsia="zh-CN"/>
              </w:rPr>
              <w:t>投标人</w:t>
            </w:r>
          </w:p>
        </w:tc>
        <w:tc>
          <w:tcPr>
            <w:tcW w:w="7831" w:type="dxa"/>
            <w:tcBorders>
              <w:right w:val="single" w:color="000000" w:sz="4" w:space="0"/>
            </w:tcBorders>
            <w:vAlign w:val="center"/>
          </w:tcPr>
          <w:p w14:paraId="66B35361">
            <w:pPr>
              <w:pStyle w:val="26"/>
              <w:keepLines w:val="0"/>
              <w:pageBreakBefore w:val="0"/>
              <w:kinsoku/>
              <w:wordWrap/>
              <w:overflowPunct/>
              <w:topLinePunct w:val="0"/>
              <w:bidi w:val="0"/>
              <w:spacing w:before="250" w:line="226" w:lineRule="auto"/>
              <w:ind w:left="136"/>
              <w:jc w:val="both"/>
            </w:pPr>
            <w:r>
              <w:rPr>
                <w:rFonts w:hint="eastAsia"/>
                <w:spacing w:val="-17"/>
                <w:lang w:eastAsia="zh-CN"/>
              </w:rPr>
              <w:t>□</w:t>
            </w:r>
            <w:r>
              <w:rPr>
                <w:spacing w:val="-17"/>
              </w:rPr>
              <w:t>是</w:t>
            </w:r>
          </w:p>
          <w:p w14:paraId="1A3B1D52">
            <w:pPr>
              <w:pStyle w:val="26"/>
              <w:keepLines w:val="0"/>
              <w:pageBreakBefore w:val="0"/>
              <w:kinsoku/>
              <w:wordWrap/>
              <w:overflowPunct/>
              <w:topLinePunct w:val="0"/>
              <w:bidi w:val="0"/>
              <w:spacing w:before="72" w:line="222" w:lineRule="auto"/>
              <w:ind w:left="121"/>
              <w:jc w:val="both"/>
            </w:pPr>
            <w:r>
              <w:rPr>
                <w:rFonts w:hint="eastAsia" w:ascii="MS UI Gothic" w:hAnsi="MS UI Gothic" w:eastAsia="宋体" w:cs="MS UI Gothic"/>
                <w:lang w:eastAsia="zh-CN"/>
              </w:rPr>
              <w:t>☑</w:t>
            </w:r>
            <w:r>
              <w:t>否，推荐的成交候选人数：3人</w:t>
            </w:r>
          </w:p>
        </w:tc>
      </w:tr>
      <w:tr w14:paraId="6E090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0" w:type="auto"/>
            <w:tcBorders>
              <w:left w:val="single" w:color="000000" w:sz="4" w:space="0"/>
            </w:tcBorders>
            <w:vAlign w:val="center"/>
          </w:tcPr>
          <w:p w14:paraId="5A3E9895">
            <w:pPr>
              <w:pStyle w:val="26"/>
              <w:keepLines w:val="0"/>
              <w:pageBreakBefore w:val="0"/>
              <w:kinsoku/>
              <w:wordWrap/>
              <w:overflowPunct/>
              <w:topLinePunct w:val="0"/>
              <w:bidi w:val="0"/>
              <w:spacing w:before="78" w:line="181" w:lineRule="auto"/>
              <w:jc w:val="center"/>
            </w:pPr>
            <w:r>
              <w:rPr>
                <w:spacing w:val="-14"/>
              </w:rPr>
              <w:t>17</w:t>
            </w:r>
          </w:p>
        </w:tc>
        <w:tc>
          <w:tcPr>
            <w:tcW w:w="1485" w:type="dxa"/>
            <w:vAlign w:val="center"/>
          </w:tcPr>
          <w:p w14:paraId="0A8850FB">
            <w:pPr>
              <w:pStyle w:val="26"/>
              <w:keepLines w:val="0"/>
              <w:pageBreakBefore w:val="0"/>
              <w:kinsoku/>
              <w:wordWrap/>
              <w:overflowPunct/>
              <w:topLinePunct w:val="0"/>
              <w:bidi w:val="0"/>
              <w:spacing w:before="78" w:line="253" w:lineRule="auto"/>
              <w:ind w:right="153"/>
              <w:jc w:val="center"/>
            </w:pPr>
            <w:r>
              <w:rPr>
                <w:b/>
                <w:bCs/>
                <w:spacing w:val="-4"/>
              </w:rPr>
              <w:t>现场踏勘、标前</w:t>
            </w:r>
            <w:r>
              <w:t xml:space="preserve"> </w:t>
            </w:r>
            <w:r>
              <w:rPr>
                <w:b/>
                <w:bCs/>
                <w:spacing w:val="-8"/>
              </w:rPr>
              <w:t>答疑会</w:t>
            </w:r>
          </w:p>
        </w:tc>
        <w:tc>
          <w:tcPr>
            <w:tcW w:w="7831" w:type="dxa"/>
            <w:tcBorders>
              <w:right w:val="single" w:color="000000" w:sz="4" w:space="0"/>
            </w:tcBorders>
            <w:vAlign w:val="center"/>
          </w:tcPr>
          <w:p w14:paraId="12FA6EAF">
            <w:pPr>
              <w:pStyle w:val="26"/>
              <w:keepLines w:val="0"/>
              <w:pageBreakBefore w:val="0"/>
              <w:kinsoku/>
              <w:wordWrap/>
              <w:overflowPunct/>
              <w:topLinePunct w:val="0"/>
              <w:bidi w:val="0"/>
              <w:spacing w:before="68" w:line="365" w:lineRule="exact"/>
              <w:ind w:left="121"/>
              <w:jc w:val="both"/>
            </w:pPr>
            <w:r>
              <w:rPr>
                <w:rFonts w:ascii="MS UI Gothic" w:hAnsi="MS UI Gothic" w:eastAsia="MS UI Gothic" w:cs="MS UI Gothic"/>
                <w:spacing w:val="-4"/>
                <w:position w:val="8"/>
              </w:rPr>
              <w:t>☑</w:t>
            </w:r>
            <w:r>
              <w:rPr>
                <w:spacing w:val="-4"/>
                <w:position w:val="8"/>
              </w:rPr>
              <w:t>自行踏勘</w:t>
            </w:r>
          </w:p>
          <w:p w14:paraId="20E14E5D">
            <w:pPr>
              <w:pStyle w:val="26"/>
              <w:keepLines w:val="0"/>
              <w:pageBreakBefore w:val="0"/>
              <w:kinsoku/>
              <w:wordWrap/>
              <w:overflowPunct/>
              <w:topLinePunct w:val="0"/>
              <w:bidi w:val="0"/>
              <w:spacing w:line="224" w:lineRule="auto"/>
              <w:ind w:left="136"/>
              <w:jc w:val="both"/>
            </w:pPr>
            <w:r>
              <w:rPr>
                <w:spacing w:val="-7"/>
              </w:rPr>
              <w:t>□统一组织</w:t>
            </w:r>
          </w:p>
          <w:p w14:paraId="246E96E5">
            <w:pPr>
              <w:pStyle w:val="26"/>
              <w:keepLines w:val="0"/>
              <w:pageBreakBefore w:val="0"/>
              <w:kinsoku/>
              <w:wordWrap/>
              <w:overflowPunct/>
              <w:topLinePunct w:val="0"/>
              <w:bidi w:val="0"/>
              <w:spacing w:before="75" w:line="224" w:lineRule="auto"/>
              <w:ind w:left="116"/>
              <w:jc w:val="both"/>
            </w:pPr>
            <w:r>
              <w:rPr>
                <w:spacing w:val="-4"/>
              </w:rPr>
              <w:t>联系人：</w:t>
            </w:r>
          </w:p>
          <w:p w14:paraId="3E67943F">
            <w:pPr>
              <w:pStyle w:val="26"/>
              <w:keepLines w:val="0"/>
              <w:pageBreakBefore w:val="0"/>
              <w:kinsoku/>
              <w:wordWrap/>
              <w:overflowPunct/>
              <w:topLinePunct w:val="0"/>
              <w:bidi w:val="0"/>
              <w:spacing w:before="75" w:line="367" w:lineRule="exact"/>
              <w:ind w:left="116"/>
              <w:jc w:val="both"/>
            </w:pPr>
            <w:r>
              <w:rPr>
                <w:spacing w:val="-3"/>
                <w:position w:val="8"/>
              </w:rPr>
              <w:t>联系电话：</w:t>
            </w:r>
          </w:p>
          <w:p w14:paraId="17F469E4">
            <w:pPr>
              <w:pStyle w:val="26"/>
              <w:keepLines w:val="0"/>
              <w:pageBreakBefore w:val="0"/>
              <w:kinsoku/>
              <w:wordWrap/>
              <w:overflowPunct/>
              <w:topLinePunct w:val="0"/>
              <w:bidi w:val="0"/>
              <w:spacing w:line="223" w:lineRule="auto"/>
              <w:ind w:left="120"/>
              <w:jc w:val="both"/>
            </w:pPr>
            <w:r>
              <w:rPr>
                <w:spacing w:val="-4"/>
              </w:rPr>
              <w:t>踏勘时间：</w:t>
            </w:r>
          </w:p>
          <w:p w14:paraId="34BEDE9C">
            <w:pPr>
              <w:pStyle w:val="26"/>
              <w:keepLines w:val="0"/>
              <w:pageBreakBefore w:val="0"/>
              <w:kinsoku/>
              <w:wordWrap/>
              <w:overflowPunct/>
              <w:topLinePunct w:val="0"/>
              <w:bidi w:val="0"/>
              <w:spacing w:before="78" w:line="223" w:lineRule="auto"/>
              <w:ind w:left="120"/>
              <w:jc w:val="both"/>
            </w:pPr>
            <w:r>
              <w:rPr>
                <w:spacing w:val="-4"/>
              </w:rPr>
              <w:t>踏勘地点：</w:t>
            </w:r>
          </w:p>
        </w:tc>
      </w:tr>
      <w:tr w14:paraId="46ACD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1C82B64E">
            <w:pPr>
              <w:pStyle w:val="26"/>
              <w:keepLines w:val="0"/>
              <w:pageBreakBefore w:val="0"/>
              <w:kinsoku/>
              <w:wordWrap/>
              <w:overflowPunct/>
              <w:topLinePunct w:val="0"/>
              <w:bidi w:val="0"/>
              <w:spacing w:before="78" w:line="181" w:lineRule="auto"/>
              <w:jc w:val="center"/>
            </w:pPr>
            <w:r>
              <w:rPr>
                <w:spacing w:val="-14"/>
              </w:rPr>
              <w:t>18</w:t>
            </w:r>
          </w:p>
        </w:tc>
        <w:tc>
          <w:tcPr>
            <w:tcW w:w="1485" w:type="dxa"/>
            <w:vAlign w:val="center"/>
          </w:tcPr>
          <w:p w14:paraId="5B35F803">
            <w:pPr>
              <w:pStyle w:val="26"/>
              <w:keepLines w:val="0"/>
              <w:pageBreakBefore w:val="0"/>
              <w:kinsoku/>
              <w:wordWrap/>
              <w:overflowPunct/>
              <w:topLinePunct w:val="0"/>
              <w:bidi w:val="0"/>
              <w:spacing w:before="73" w:line="222" w:lineRule="auto"/>
              <w:jc w:val="center"/>
            </w:pPr>
            <w:r>
              <w:rPr>
                <w:rFonts w:hint="eastAsia"/>
                <w:b/>
                <w:bCs/>
                <w:spacing w:val="-4"/>
                <w:lang w:eastAsia="zh-CN"/>
              </w:rPr>
              <w:t>投标人</w:t>
            </w:r>
            <w:r>
              <w:rPr>
                <w:b/>
                <w:bCs/>
                <w:spacing w:val="-4"/>
              </w:rPr>
              <w:t>对招标文件提出质疑</w:t>
            </w:r>
            <w:r>
              <w:rPr>
                <w:b/>
                <w:bCs/>
                <w:spacing w:val="-12"/>
              </w:rPr>
              <w:t>的时间</w:t>
            </w:r>
          </w:p>
        </w:tc>
        <w:tc>
          <w:tcPr>
            <w:tcW w:w="7831" w:type="dxa"/>
            <w:tcBorders>
              <w:right w:val="single" w:color="000000" w:sz="4" w:space="0"/>
            </w:tcBorders>
            <w:vAlign w:val="center"/>
          </w:tcPr>
          <w:p w14:paraId="4DFEC2F2">
            <w:pPr>
              <w:pStyle w:val="26"/>
              <w:keepLines w:val="0"/>
              <w:pageBreakBefore w:val="0"/>
              <w:kinsoku/>
              <w:wordWrap/>
              <w:overflowPunct/>
              <w:topLinePunct w:val="0"/>
              <w:bidi w:val="0"/>
              <w:spacing w:before="256" w:line="251" w:lineRule="auto"/>
              <w:ind w:left="120" w:right="43" w:hanging="2"/>
              <w:jc w:val="both"/>
            </w:pPr>
            <w:r>
              <w:rPr>
                <w:rFonts w:hint="eastAsia"/>
                <w:spacing w:val="-2"/>
                <w:lang w:val="en-US" w:eastAsia="zh-CN"/>
              </w:rPr>
              <w:t>潜在</w:t>
            </w:r>
            <w:r>
              <w:rPr>
                <w:rFonts w:hint="eastAsia"/>
                <w:spacing w:val="-2"/>
                <w:lang w:eastAsia="zh-CN"/>
              </w:rPr>
              <w:t>投标人</w:t>
            </w:r>
            <w:r>
              <w:rPr>
                <w:rFonts w:hint="eastAsia"/>
                <w:spacing w:val="-2"/>
                <w:lang w:val="en-US" w:eastAsia="zh-CN"/>
              </w:rPr>
              <w:t>已依法获取其可质疑的招标文件的，可以对该文件提出质疑。对招标文件提出质疑的，应当在获取招标文件之日起7个工作日内提出。</w:t>
            </w:r>
          </w:p>
        </w:tc>
      </w:tr>
      <w:tr w14:paraId="7BEC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0" w:type="auto"/>
            <w:tcBorders>
              <w:left w:val="single" w:color="000000" w:sz="4" w:space="0"/>
            </w:tcBorders>
            <w:vAlign w:val="center"/>
          </w:tcPr>
          <w:p w14:paraId="23758348">
            <w:pPr>
              <w:pStyle w:val="26"/>
              <w:keepLines w:val="0"/>
              <w:pageBreakBefore w:val="0"/>
              <w:kinsoku/>
              <w:wordWrap/>
              <w:overflowPunct/>
              <w:topLinePunct w:val="0"/>
              <w:bidi w:val="0"/>
              <w:spacing w:before="291" w:line="181" w:lineRule="auto"/>
              <w:jc w:val="center"/>
            </w:pPr>
            <w:r>
              <w:rPr>
                <w:spacing w:val="-14"/>
              </w:rPr>
              <w:t>19</w:t>
            </w:r>
          </w:p>
        </w:tc>
        <w:tc>
          <w:tcPr>
            <w:tcW w:w="1485" w:type="dxa"/>
            <w:vAlign w:val="center"/>
          </w:tcPr>
          <w:p w14:paraId="71B8D292">
            <w:pPr>
              <w:pStyle w:val="26"/>
              <w:keepLines w:val="0"/>
              <w:pageBreakBefore w:val="0"/>
              <w:kinsoku/>
              <w:wordWrap/>
              <w:overflowPunct/>
              <w:topLinePunct w:val="0"/>
              <w:bidi w:val="0"/>
              <w:spacing w:before="90" w:line="252" w:lineRule="auto"/>
              <w:ind w:right="153"/>
              <w:jc w:val="center"/>
            </w:pPr>
            <w:r>
              <w:rPr>
                <w:b/>
                <w:bCs/>
                <w:spacing w:val="-4"/>
              </w:rPr>
              <w:t>构成招标文件的</w:t>
            </w:r>
            <w:r>
              <w:rPr>
                <w:b/>
                <w:bCs/>
                <w:spacing w:val="-7"/>
              </w:rPr>
              <w:t>其他文件</w:t>
            </w:r>
          </w:p>
        </w:tc>
        <w:tc>
          <w:tcPr>
            <w:tcW w:w="7831" w:type="dxa"/>
            <w:tcBorders>
              <w:right w:val="single" w:color="000000" w:sz="4" w:space="0"/>
            </w:tcBorders>
            <w:vAlign w:val="center"/>
          </w:tcPr>
          <w:p w14:paraId="2987BD62">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招标文件的澄清、修改及有关补充通知为招标文件的有效组成部分。</w:t>
            </w:r>
          </w:p>
        </w:tc>
      </w:tr>
      <w:tr w14:paraId="38CE3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0" w:type="auto"/>
            <w:tcBorders>
              <w:left w:val="single" w:color="000000" w:sz="4" w:space="0"/>
              <w:bottom w:val="single" w:color="000000" w:sz="4" w:space="0"/>
            </w:tcBorders>
            <w:vAlign w:val="center"/>
          </w:tcPr>
          <w:p w14:paraId="6084A5D0">
            <w:pPr>
              <w:pStyle w:val="26"/>
              <w:keepLines w:val="0"/>
              <w:pageBreakBefore w:val="0"/>
              <w:kinsoku/>
              <w:wordWrap/>
              <w:overflowPunct/>
              <w:topLinePunct w:val="0"/>
              <w:bidi w:val="0"/>
              <w:spacing w:before="175" w:line="180" w:lineRule="auto"/>
              <w:jc w:val="center"/>
            </w:pPr>
            <w:r>
              <w:rPr>
                <w:spacing w:val="-6"/>
              </w:rPr>
              <w:t>20</w:t>
            </w:r>
          </w:p>
        </w:tc>
        <w:tc>
          <w:tcPr>
            <w:tcW w:w="1485" w:type="dxa"/>
            <w:tcBorders>
              <w:bottom w:val="single" w:color="000000" w:sz="4" w:space="0"/>
            </w:tcBorders>
            <w:vAlign w:val="center"/>
          </w:tcPr>
          <w:p w14:paraId="1B5094D8">
            <w:pPr>
              <w:pStyle w:val="26"/>
              <w:keepLines w:val="0"/>
              <w:pageBreakBefore w:val="0"/>
              <w:kinsoku/>
              <w:wordWrap/>
              <w:overflowPunct/>
              <w:topLinePunct w:val="0"/>
              <w:bidi w:val="0"/>
              <w:spacing w:before="157" w:line="219" w:lineRule="auto"/>
              <w:jc w:val="center"/>
            </w:pPr>
            <w:r>
              <w:rPr>
                <w:b/>
                <w:bCs/>
                <w:spacing w:val="-5"/>
              </w:rPr>
              <w:t>分包（转让）</w:t>
            </w:r>
          </w:p>
        </w:tc>
        <w:tc>
          <w:tcPr>
            <w:tcW w:w="7831" w:type="dxa"/>
            <w:tcBorders>
              <w:bottom w:val="single" w:color="000000" w:sz="4" w:space="0"/>
              <w:right w:val="single" w:color="000000" w:sz="4" w:space="0"/>
            </w:tcBorders>
            <w:vAlign w:val="center"/>
          </w:tcPr>
          <w:p w14:paraId="64250B00">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不允许。</w:t>
            </w:r>
          </w:p>
        </w:tc>
      </w:tr>
      <w:tr w14:paraId="3E390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0" w:type="auto"/>
            <w:tcBorders>
              <w:top w:val="single" w:color="000000" w:sz="4" w:space="0"/>
              <w:left w:val="single" w:color="000000" w:sz="4" w:space="0"/>
            </w:tcBorders>
            <w:vAlign w:val="center"/>
          </w:tcPr>
          <w:p w14:paraId="688C4AFA">
            <w:pPr>
              <w:pStyle w:val="26"/>
              <w:keepLines w:val="0"/>
              <w:pageBreakBefore w:val="0"/>
              <w:kinsoku/>
              <w:wordWrap/>
              <w:overflowPunct/>
              <w:topLinePunct w:val="0"/>
              <w:bidi w:val="0"/>
              <w:spacing w:before="216" w:line="181" w:lineRule="auto"/>
              <w:jc w:val="center"/>
            </w:pPr>
            <w:r>
              <w:rPr>
                <w:spacing w:val="-6"/>
              </w:rPr>
              <w:t>21</w:t>
            </w:r>
          </w:p>
        </w:tc>
        <w:tc>
          <w:tcPr>
            <w:tcW w:w="1485" w:type="dxa"/>
            <w:tcBorders>
              <w:top w:val="single" w:color="000000" w:sz="4" w:space="0"/>
            </w:tcBorders>
            <w:vAlign w:val="center"/>
          </w:tcPr>
          <w:p w14:paraId="188DE27C">
            <w:pPr>
              <w:pStyle w:val="26"/>
              <w:keepLines w:val="0"/>
              <w:pageBreakBefore w:val="0"/>
              <w:kinsoku/>
              <w:wordWrap/>
              <w:overflowPunct/>
              <w:topLinePunct w:val="0"/>
              <w:bidi w:val="0"/>
              <w:spacing w:before="200" w:line="222" w:lineRule="auto"/>
              <w:jc w:val="center"/>
            </w:pPr>
            <w:r>
              <w:rPr>
                <w:b/>
                <w:bCs/>
                <w:spacing w:val="-6"/>
              </w:rPr>
              <w:t>联合投标</w:t>
            </w:r>
          </w:p>
        </w:tc>
        <w:tc>
          <w:tcPr>
            <w:tcW w:w="7831" w:type="dxa"/>
            <w:tcBorders>
              <w:top w:val="single" w:color="000000" w:sz="4" w:space="0"/>
              <w:right w:val="single" w:color="000000" w:sz="4" w:space="0"/>
            </w:tcBorders>
            <w:vAlign w:val="center"/>
          </w:tcPr>
          <w:p w14:paraId="68307D81">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本项目不接受联合体投标。</w:t>
            </w:r>
          </w:p>
        </w:tc>
      </w:tr>
      <w:tr w14:paraId="62BE9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0" w:type="auto"/>
            <w:tcBorders>
              <w:left w:val="single" w:color="000000" w:sz="4" w:space="0"/>
            </w:tcBorders>
            <w:vAlign w:val="center"/>
          </w:tcPr>
          <w:p w14:paraId="322656C5">
            <w:pPr>
              <w:pStyle w:val="26"/>
              <w:keepLines w:val="0"/>
              <w:pageBreakBefore w:val="0"/>
              <w:kinsoku/>
              <w:wordWrap/>
              <w:overflowPunct/>
              <w:topLinePunct w:val="0"/>
              <w:bidi w:val="0"/>
              <w:spacing w:before="255" w:line="180" w:lineRule="auto"/>
              <w:jc w:val="center"/>
            </w:pPr>
            <w:r>
              <w:rPr>
                <w:spacing w:val="-6"/>
              </w:rPr>
              <w:t>22</w:t>
            </w:r>
          </w:p>
        </w:tc>
        <w:tc>
          <w:tcPr>
            <w:tcW w:w="1485" w:type="dxa"/>
            <w:vAlign w:val="center"/>
          </w:tcPr>
          <w:p w14:paraId="1E179EBD">
            <w:pPr>
              <w:pStyle w:val="26"/>
              <w:keepLines w:val="0"/>
              <w:pageBreakBefore w:val="0"/>
              <w:kinsoku/>
              <w:wordWrap/>
              <w:overflowPunct/>
              <w:topLinePunct w:val="0"/>
              <w:bidi w:val="0"/>
              <w:spacing w:before="35" w:line="249" w:lineRule="auto"/>
              <w:ind w:right="153"/>
              <w:jc w:val="center"/>
            </w:pPr>
            <w:r>
              <w:rPr>
                <w:b/>
                <w:bCs/>
                <w:spacing w:val="-5"/>
              </w:rPr>
              <w:t>是否退还投标文</w:t>
            </w:r>
            <w:r>
              <w:rPr>
                <w:b/>
                <w:bCs/>
                <w:spacing w:val="-3"/>
              </w:rPr>
              <w:t>件</w:t>
            </w:r>
          </w:p>
        </w:tc>
        <w:tc>
          <w:tcPr>
            <w:tcW w:w="7831" w:type="dxa"/>
            <w:tcBorders>
              <w:right w:val="single" w:color="000000" w:sz="4" w:space="0"/>
            </w:tcBorders>
            <w:vAlign w:val="center"/>
          </w:tcPr>
          <w:p w14:paraId="17BFBBF9">
            <w:pPr>
              <w:pStyle w:val="26"/>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否</w:t>
            </w:r>
          </w:p>
        </w:tc>
      </w:tr>
      <w:tr w14:paraId="312C4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6" w:hRule="atLeast"/>
        </w:trPr>
        <w:tc>
          <w:tcPr>
            <w:tcW w:w="0" w:type="auto"/>
            <w:tcBorders>
              <w:left w:val="single" w:color="000000" w:sz="4" w:space="0"/>
            </w:tcBorders>
            <w:vAlign w:val="center"/>
          </w:tcPr>
          <w:p w14:paraId="2AC25621">
            <w:pPr>
              <w:pStyle w:val="26"/>
              <w:keepLines w:val="0"/>
              <w:pageBreakBefore w:val="0"/>
              <w:kinsoku/>
              <w:wordWrap/>
              <w:overflowPunct/>
              <w:topLinePunct w:val="0"/>
              <w:bidi w:val="0"/>
              <w:spacing w:before="78" w:line="180" w:lineRule="auto"/>
              <w:jc w:val="center"/>
            </w:pPr>
            <w:r>
              <w:rPr>
                <w:spacing w:val="-6"/>
              </w:rPr>
              <w:t>23</w:t>
            </w:r>
          </w:p>
        </w:tc>
        <w:tc>
          <w:tcPr>
            <w:tcW w:w="1485" w:type="dxa"/>
            <w:vAlign w:val="center"/>
          </w:tcPr>
          <w:p w14:paraId="08440E23">
            <w:pPr>
              <w:pStyle w:val="26"/>
              <w:keepLines w:val="0"/>
              <w:pageBreakBefore w:val="0"/>
              <w:kinsoku/>
              <w:wordWrap/>
              <w:overflowPunct/>
              <w:topLinePunct w:val="0"/>
              <w:bidi w:val="0"/>
              <w:spacing w:before="289" w:line="221" w:lineRule="auto"/>
              <w:jc w:val="center"/>
            </w:pPr>
            <w:r>
              <w:rPr>
                <w:b/>
                <w:bCs/>
                <w:spacing w:val="-5"/>
              </w:rPr>
              <w:t>投标保证金</w:t>
            </w:r>
          </w:p>
        </w:tc>
        <w:tc>
          <w:tcPr>
            <w:tcW w:w="7831" w:type="dxa"/>
            <w:tcBorders>
              <w:right w:val="single" w:color="000000" w:sz="4" w:space="0"/>
            </w:tcBorders>
            <w:vAlign w:val="center"/>
          </w:tcPr>
          <w:p w14:paraId="253CB6A8">
            <w:pPr>
              <w:pStyle w:val="26"/>
              <w:keepLines w:val="0"/>
              <w:pageBreakBefore w:val="0"/>
              <w:kinsoku/>
              <w:wordWrap/>
              <w:overflowPunct/>
              <w:topLinePunct w:val="0"/>
              <w:bidi w:val="0"/>
              <w:spacing w:before="289" w:line="221" w:lineRule="auto"/>
              <w:ind w:left="119"/>
              <w:jc w:val="both"/>
              <w:rPr>
                <w:rFonts w:hint="eastAsia"/>
                <w:lang w:val="en-US" w:eastAsia="zh-CN"/>
              </w:rPr>
            </w:pPr>
            <w:r>
              <w:rPr>
                <w:rFonts w:hint="eastAsia"/>
                <w:lang w:val="en-US" w:eastAsia="zh-CN"/>
              </w:rPr>
              <w:t>投标保证金：38000.00元</w:t>
            </w:r>
          </w:p>
          <w:p w14:paraId="55A8F91C">
            <w:pPr>
              <w:pStyle w:val="26"/>
              <w:keepLines w:val="0"/>
              <w:pageBreakBefore w:val="0"/>
              <w:kinsoku/>
              <w:wordWrap/>
              <w:overflowPunct/>
              <w:topLinePunct w:val="0"/>
              <w:bidi w:val="0"/>
              <w:spacing w:before="289" w:line="221" w:lineRule="auto"/>
              <w:ind w:left="119"/>
              <w:jc w:val="both"/>
              <w:rPr>
                <w:rFonts w:hint="eastAsia"/>
                <w:lang w:val="en-US" w:eastAsia="zh-CN"/>
              </w:rPr>
            </w:pPr>
            <w:r>
              <w:rPr>
                <w:rFonts w:hint="eastAsia"/>
                <w:lang w:val="en-US" w:eastAsia="zh-CN"/>
              </w:rPr>
              <w:t>保证金缴存截止日期：</w:t>
            </w:r>
            <w:r>
              <w:rPr>
                <w:rFonts w:hint="eastAsia"/>
                <w:highlight w:val="none"/>
                <w:lang w:val="en-US" w:eastAsia="zh-CN"/>
              </w:rPr>
              <w:t>2025年01月27日11:30（北京时间）</w:t>
            </w:r>
          </w:p>
          <w:p w14:paraId="3849F679">
            <w:pPr>
              <w:pStyle w:val="26"/>
              <w:keepLines w:val="0"/>
              <w:pageBreakBefore w:val="0"/>
              <w:kinsoku/>
              <w:wordWrap/>
              <w:overflowPunct/>
              <w:topLinePunct w:val="0"/>
              <w:bidi w:val="0"/>
              <w:spacing w:before="289" w:line="221" w:lineRule="auto"/>
              <w:ind w:left="119"/>
              <w:jc w:val="both"/>
              <w:rPr>
                <w:rFonts w:hint="eastAsia"/>
                <w:lang w:val="en-US" w:eastAsia="zh-CN"/>
              </w:rPr>
            </w:pPr>
            <w:r>
              <w:rPr>
                <w:rFonts w:hint="eastAsia"/>
                <w:lang w:val="en-US" w:eastAsia="zh-CN"/>
              </w:rPr>
              <w:t>投标保证金缴存方式：投标保证金应当以支票、汇票、本票或者金融机构、担保机构出具的保函等非现金形式提交。不允许通过企业基本账户电汇、转账到收款方开户行指定账户。</w:t>
            </w:r>
          </w:p>
          <w:p w14:paraId="2D11AE99">
            <w:pPr>
              <w:pStyle w:val="26"/>
              <w:keepLines w:val="0"/>
              <w:pageBreakBefore w:val="0"/>
              <w:kinsoku/>
              <w:wordWrap/>
              <w:overflowPunct/>
              <w:topLinePunct w:val="0"/>
              <w:bidi w:val="0"/>
              <w:spacing w:before="289" w:line="221" w:lineRule="auto"/>
              <w:ind w:left="119"/>
              <w:jc w:val="both"/>
              <w:rPr>
                <w:rFonts w:hint="eastAsia"/>
                <w:lang w:val="en-US" w:eastAsia="zh-CN"/>
              </w:rPr>
            </w:pPr>
            <w:r>
              <w:rPr>
                <w:rFonts w:hint="eastAsia"/>
                <w:lang w:val="en-US" w:eastAsia="zh-CN"/>
              </w:rPr>
              <w:t>投标人未按照招标文件要求提交投标保证金的，投标无效。</w:t>
            </w:r>
          </w:p>
          <w:p w14:paraId="751B11AF">
            <w:pPr>
              <w:pStyle w:val="26"/>
              <w:keepLines w:val="0"/>
              <w:pageBreakBefore w:val="0"/>
              <w:kinsoku/>
              <w:wordWrap/>
              <w:overflowPunct/>
              <w:topLinePunct w:val="0"/>
              <w:bidi w:val="0"/>
              <w:spacing w:before="289" w:line="221" w:lineRule="auto"/>
              <w:ind w:left="119"/>
              <w:jc w:val="both"/>
              <w:rPr>
                <w:rFonts w:hint="eastAsia"/>
                <w:lang w:val="en-US" w:eastAsia="zh-CN"/>
              </w:rPr>
            </w:pPr>
            <w:r>
              <w:rPr>
                <w:rFonts w:hint="eastAsia"/>
                <w:lang w:val="en-US" w:eastAsia="zh-CN"/>
              </w:rPr>
              <w:t>提交投标保证金的投标单位须备注项目名称或项目编号。</w:t>
            </w:r>
          </w:p>
          <w:p w14:paraId="3F75EBB8">
            <w:pPr>
              <w:pStyle w:val="26"/>
              <w:keepLines w:val="0"/>
              <w:pageBreakBefore w:val="0"/>
              <w:kinsoku/>
              <w:wordWrap/>
              <w:overflowPunct/>
              <w:topLinePunct w:val="0"/>
              <w:bidi w:val="0"/>
              <w:spacing w:before="289" w:line="221" w:lineRule="auto"/>
              <w:ind w:left="119"/>
              <w:jc w:val="both"/>
              <w:rPr>
                <w:rFonts w:hint="eastAsia"/>
                <w:lang w:val="en-US" w:eastAsia="zh-CN"/>
              </w:rPr>
            </w:pPr>
            <w:r>
              <w:rPr>
                <w:rFonts w:hint="eastAsia"/>
                <w:lang w:val="en-US" w:eastAsia="zh-CN"/>
              </w:rPr>
              <w:t>账户名称:阿克苏疆山项目管理有限公司</w:t>
            </w:r>
          </w:p>
          <w:p w14:paraId="507186DF">
            <w:pPr>
              <w:pStyle w:val="26"/>
              <w:keepLines w:val="0"/>
              <w:pageBreakBefore w:val="0"/>
              <w:kinsoku/>
              <w:wordWrap/>
              <w:overflowPunct/>
              <w:topLinePunct w:val="0"/>
              <w:bidi w:val="0"/>
              <w:spacing w:before="289" w:line="221" w:lineRule="auto"/>
              <w:ind w:left="119"/>
              <w:jc w:val="both"/>
              <w:rPr>
                <w:rFonts w:hint="eastAsia"/>
                <w:lang w:val="en-US" w:eastAsia="zh-CN"/>
              </w:rPr>
            </w:pPr>
            <w:r>
              <w:rPr>
                <w:rFonts w:hint="eastAsia"/>
                <w:lang w:val="en-US" w:eastAsia="zh-CN"/>
              </w:rPr>
              <w:t>账号：65050169605100000309</w:t>
            </w:r>
          </w:p>
          <w:p w14:paraId="7FADAA0D">
            <w:pPr>
              <w:pStyle w:val="26"/>
              <w:keepLines w:val="0"/>
              <w:pageBreakBefore w:val="0"/>
              <w:kinsoku/>
              <w:wordWrap/>
              <w:overflowPunct/>
              <w:topLinePunct w:val="0"/>
              <w:bidi w:val="0"/>
              <w:spacing w:before="289" w:line="221" w:lineRule="auto"/>
              <w:ind w:left="119"/>
              <w:jc w:val="both"/>
            </w:pPr>
            <w:r>
              <w:rPr>
                <w:rFonts w:hint="eastAsia"/>
                <w:lang w:val="en-US" w:eastAsia="zh-CN"/>
              </w:rPr>
              <w:t>开户行名称：中国建设银行股份有限公司阿克苏北大街支行</w:t>
            </w:r>
          </w:p>
        </w:tc>
      </w:tr>
      <w:tr w14:paraId="0A919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0" w:type="auto"/>
            <w:tcBorders>
              <w:left w:val="single" w:color="000000" w:sz="4" w:space="0"/>
            </w:tcBorders>
            <w:vAlign w:val="center"/>
          </w:tcPr>
          <w:p w14:paraId="26607E6D">
            <w:pPr>
              <w:pStyle w:val="26"/>
              <w:keepLines w:val="0"/>
              <w:pageBreakBefore w:val="0"/>
              <w:kinsoku/>
              <w:wordWrap/>
              <w:overflowPunct/>
              <w:topLinePunct w:val="0"/>
              <w:bidi w:val="0"/>
              <w:spacing w:before="78" w:line="180" w:lineRule="auto"/>
              <w:jc w:val="center"/>
            </w:pPr>
            <w:r>
              <w:rPr>
                <w:spacing w:val="-6"/>
              </w:rPr>
              <w:t>24</w:t>
            </w:r>
          </w:p>
        </w:tc>
        <w:tc>
          <w:tcPr>
            <w:tcW w:w="1485" w:type="dxa"/>
            <w:vAlign w:val="center"/>
          </w:tcPr>
          <w:p w14:paraId="76F74960">
            <w:pPr>
              <w:pStyle w:val="26"/>
              <w:keepLines w:val="0"/>
              <w:pageBreakBefore w:val="0"/>
              <w:kinsoku/>
              <w:wordWrap/>
              <w:overflowPunct/>
              <w:topLinePunct w:val="0"/>
              <w:bidi w:val="0"/>
              <w:spacing w:before="252" w:line="265" w:lineRule="auto"/>
              <w:ind w:right="153"/>
              <w:jc w:val="center"/>
            </w:pPr>
            <w:r>
              <w:rPr>
                <w:b/>
                <w:bCs/>
                <w:spacing w:val="-5"/>
              </w:rPr>
              <w:t>《投标文件》的</w:t>
            </w:r>
            <w:r>
              <w:rPr>
                <w:b/>
                <w:bCs/>
                <w:spacing w:val="-7"/>
              </w:rPr>
              <w:t>编制要求</w:t>
            </w:r>
          </w:p>
        </w:tc>
        <w:tc>
          <w:tcPr>
            <w:tcW w:w="7831" w:type="dxa"/>
            <w:tcBorders>
              <w:right w:val="single" w:color="000000" w:sz="4" w:space="0"/>
            </w:tcBorders>
            <w:vAlign w:val="center"/>
          </w:tcPr>
          <w:p w14:paraId="7DE5D4DA">
            <w:pPr>
              <w:pStyle w:val="26"/>
              <w:keepLines w:val="0"/>
              <w:pageBreakBefore w:val="0"/>
              <w:kinsoku/>
              <w:wordWrap/>
              <w:overflowPunct/>
              <w:topLinePunct w:val="0"/>
              <w:bidi w:val="0"/>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投标人</w:t>
            </w:r>
            <w:r>
              <w:rPr>
                <w:spacing w:val="3"/>
              </w:rPr>
              <w:t>须知投标文件的组成及编制</w:t>
            </w:r>
            <w:r>
              <w:rPr>
                <w:spacing w:val="2"/>
              </w:rPr>
              <w:t>要求</w:t>
            </w:r>
            <w:r>
              <w:rPr>
                <w:rFonts w:hint="eastAsia"/>
                <w:spacing w:val="2"/>
                <w:lang w:eastAsia="zh-CN"/>
              </w:rPr>
              <w:t>。</w:t>
            </w:r>
          </w:p>
        </w:tc>
      </w:tr>
      <w:tr w14:paraId="20CB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7" w:hRule="atLeast"/>
        </w:trPr>
        <w:tc>
          <w:tcPr>
            <w:tcW w:w="0" w:type="auto"/>
            <w:tcBorders>
              <w:left w:val="single" w:color="000000" w:sz="4" w:space="0"/>
            </w:tcBorders>
            <w:vAlign w:val="center"/>
          </w:tcPr>
          <w:p w14:paraId="13CD0895">
            <w:pPr>
              <w:pStyle w:val="26"/>
              <w:keepLines w:val="0"/>
              <w:pageBreakBefore w:val="0"/>
              <w:kinsoku/>
              <w:wordWrap/>
              <w:overflowPunct/>
              <w:topLinePunct w:val="0"/>
              <w:bidi w:val="0"/>
              <w:spacing w:before="78" w:line="180" w:lineRule="auto"/>
              <w:jc w:val="center"/>
            </w:pPr>
            <w:r>
              <w:rPr>
                <w:spacing w:val="-6"/>
              </w:rPr>
              <w:t>25</w:t>
            </w:r>
          </w:p>
        </w:tc>
        <w:tc>
          <w:tcPr>
            <w:tcW w:w="1485" w:type="dxa"/>
            <w:vAlign w:val="center"/>
          </w:tcPr>
          <w:p w14:paraId="1BC905D9">
            <w:pPr>
              <w:pStyle w:val="26"/>
              <w:keepLines w:val="0"/>
              <w:pageBreakBefore w:val="0"/>
              <w:kinsoku/>
              <w:wordWrap/>
              <w:overflowPunct/>
              <w:topLinePunct w:val="0"/>
              <w:bidi w:val="0"/>
              <w:spacing w:before="78" w:line="222" w:lineRule="auto"/>
              <w:jc w:val="center"/>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《投标文件》递交份数、时间及地点</w:t>
            </w:r>
          </w:p>
        </w:tc>
        <w:tc>
          <w:tcPr>
            <w:tcW w:w="7831" w:type="dxa"/>
            <w:tcBorders>
              <w:right w:val="single" w:color="000000" w:sz="4" w:space="0"/>
            </w:tcBorders>
            <w:vAlign w:val="center"/>
          </w:tcPr>
          <w:p w14:paraId="7E10E90F">
            <w:pPr>
              <w:pStyle w:val="26"/>
              <w:keepLines w:val="0"/>
              <w:pageBreakBefore w:val="0"/>
              <w:kinsoku/>
              <w:wordWrap/>
              <w:overflowPunct/>
              <w:topLinePunct w:val="0"/>
              <w:bidi w:val="0"/>
              <w:spacing w:before="65" w:line="262" w:lineRule="auto"/>
              <w:ind w:left="118" w:firstLine="10"/>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1.投标文件电子版要求：按照本</w:t>
            </w:r>
            <w:r>
              <w:rPr>
                <w:rFonts w:hint="eastAsia" w:cs="仿宋"/>
                <w:b/>
                <w:bCs/>
                <w:snapToGrid w:val="0"/>
                <w:color w:val="000000"/>
                <w:spacing w:val="-4"/>
                <w:kern w:val="0"/>
                <w:sz w:val="24"/>
                <w:szCs w:val="24"/>
                <w:lang w:val="en-US" w:eastAsia="zh-CN" w:bidi="ar-SA"/>
              </w:rPr>
              <w:t>招标文件</w:t>
            </w:r>
            <w:r>
              <w:rPr>
                <w:rFonts w:ascii="仿宋" w:hAnsi="仿宋" w:eastAsia="仿宋" w:cs="仿宋"/>
                <w:b/>
                <w:bCs/>
                <w:snapToGrid w:val="0"/>
                <w:color w:val="000000"/>
                <w:spacing w:val="-4"/>
                <w:kern w:val="0"/>
                <w:sz w:val="24"/>
                <w:szCs w:val="24"/>
                <w:lang w:val="en-US" w:eastAsia="en-US" w:bidi="ar-SA"/>
              </w:rPr>
              <w:t>“第六章 投标文件格式”编写（第六章未附格式的，由</w:t>
            </w:r>
            <w:r>
              <w:rPr>
                <w:rFonts w:hint="eastAsia" w:cs="仿宋"/>
                <w:b/>
                <w:bCs/>
                <w:snapToGrid w:val="0"/>
                <w:color w:val="000000"/>
                <w:spacing w:val="-4"/>
                <w:kern w:val="0"/>
                <w:sz w:val="24"/>
                <w:szCs w:val="24"/>
                <w:lang w:val="en-US" w:eastAsia="zh-CN" w:bidi="ar-SA"/>
              </w:rPr>
              <w:t>投标人</w:t>
            </w:r>
            <w:r>
              <w:rPr>
                <w:rFonts w:ascii="仿宋" w:hAnsi="仿宋" w:eastAsia="仿宋" w:cs="仿宋"/>
                <w:b/>
                <w:bCs/>
                <w:snapToGrid w:val="0"/>
                <w:color w:val="000000"/>
                <w:spacing w:val="-4"/>
                <w:kern w:val="0"/>
                <w:sz w:val="24"/>
                <w:szCs w:val="24"/>
                <w:lang w:val="en-US" w:eastAsia="en-US" w:bidi="ar-SA"/>
              </w:rPr>
              <w:t>自行拟定），不可涂改并在规定加盖公章处加盖电子公章，否则投标文件按无效</w:t>
            </w:r>
            <w:r>
              <w:rPr>
                <w:rFonts w:hint="eastAsia" w:cs="仿宋"/>
                <w:b/>
                <w:bCs/>
                <w:snapToGrid w:val="0"/>
                <w:color w:val="000000"/>
                <w:spacing w:val="-4"/>
                <w:kern w:val="0"/>
                <w:sz w:val="24"/>
                <w:szCs w:val="24"/>
                <w:lang w:val="en-US" w:eastAsia="zh-CN" w:bidi="ar-SA"/>
              </w:rPr>
              <w:t>投标</w:t>
            </w:r>
            <w:r>
              <w:rPr>
                <w:rFonts w:ascii="仿宋" w:hAnsi="仿宋" w:eastAsia="仿宋" w:cs="仿宋"/>
                <w:b/>
                <w:bCs/>
                <w:snapToGrid w:val="0"/>
                <w:color w:val="000000"/>
                <w:spacing w:val="-4"/>
                <w:kern w:val="0"/>
                <w:sz w:val="24"/>
                <w:szCs w:val="24"/>
                <w:lang w:val="en-US" w:eastAsia="en-US" w:bidi="ar-SA"/>
              </w:rPr>
              <w:t>处理。</w:t>
            </w:r>
          </w:p>
          <w:p w14:paraId="7F4AB919">
            <w:pPr>
              <w:pStyle w:val="26"/>
              <w:keepLines w:val="0"/>
              <w:pageBreakBefore w:val="0"/>
              <w:kinsoku/>
              <w:wordWrap/>
              <w:overflowPunct/>
              <w:topLinePunct w:val="0"/>
              <w:bidi w:val="0"/>
              <w:spacing w:before="78" w:line="261" w:lineRule="auto"/>
              <w:ind w:left="118" w:right="119" w:hanging="4"/>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2.投标文件电子版密封方式：电子投标文件通过平台有效CA加密后在“政采云”平台投送。（操作方式见公告要求“电子投标文件制作与投送教程”）</w:t>
            </w:r>
          </w:p>
          <w:p w14:paraId="177B808B">
            <w:pPr>
              <w:pStyle w:val="26"/>
              <w:keepLines w:val="0"/>
              <w:pageBreakBefore w:val="0"/>
              <w:kinsoku/>
              <w:wordWrap/>
              <w:overflowPunct/>
              <w:topLinePunct w:val="0"/>
              <w:bidi w:val="0"/>
              <w:spacing w:before="82" w:line="261" w:lineRule="auto"/>
              <w:ind w:left="117" w:right="119" w:hanging="1"/>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3.（1）份数：本项目采用电子招投标，开标现场无需提供纸质版投标文件，</w:t>
            </w:r>
            <w:r>
              <w:rPr>
                <w:rFonts w:hint="eastAsia" w:cs="仿宋"/>
                <w:b/>
                <w:bCs/>
                <w:snapToGrid w:val="0"/>
                <w:color w:val="000000"/>
                <w:spacing w:val="-4"/>
                <w:kern w:val="0"/>
                <w:sz w:val="24"/>
                <w:szCs w:val="24"/>
                <w:lang w:val="en-US" w:eastAsia="zh-CN" w:bidi="ar-SA"/>
              </w:rPr>
              <w:t>中标候选人</w:t>
            </w:r>
            <w:r>
              <w:rPr>
                <w:rFonts w:ascii="仿宋" w:hAnsi="仿宋" w:eastAsia="仿宋" w:cs="仿宋"/>
                <w:b/>
                <w:bCs/>
                <w:snapToGrid w:val="0"/>
                <w:color w:val="000000"/>
                <w:spacing w:val="-4"/>
                <w:kern w:val="0"/>
                <w:sz w:val="24"/>
                <w:szCs w:val="24"/>
                <w:lang w:val="en-US" w:eastAsia="en-US" w:bidi="ar-SA"/>
              </w:rPr>
              <w:t>在中标公示期满后提交</w:t>
            </w:r>
            <w:r>
              <w:rPr>
                <w:rFonts w:hint="eastAsia" w:cs="仿宋"/>
                <w:b/>
                <w:bCs/>
                <w:snapToGrid w:val="0"/>
                <w:color w:val="000000"/>
                <w:spacing w:val="-4"/>
                <w:kern w:val="0"/>
                <w:sz w:val="24"/>
                <w:szCs w:val="24"/>
                <w:lang w:val="en-US" w:eastAsia="zh-CN" w:bidi="ar-SA"/>
              </w:rPr>
              <w:t>二</w:t>
            </w:r>
            <w:r>
              <w:rPr>
                <w:rFonts w:ascii="仿宋" w:hAnsi="仿宋" w:eastAsia="仿宋" w:cs="仿宋"/>
                <w:b/>
                <w:bCs/>
                <w:snapToGrid w:val="0"/>
                <w:color w:val="000000"/>
                <w:spacing w:val="-4"/>
                <w:kern w:val="0"/>
                <w:sz w:val="24"/>
                <w:szCs w:val="24"/>
                <w:lang w:val="en-US" w:eastAsia="en-US" w:bidi="ar-SA"/>
              </w:rPr>
              <w:t>份纸质版投标文件给代理机构存档。</w:t>
            </w:r>
          </w:p>
          <w:p w14:paraId="5BDC8900">
            <w:pPr>
              <w:pStyle w:val="26"/>
              <w:keepLines w:val="0"/>
              <w:pageBreakBefore w:val="0"/>
              <w:kinsoku/>
              <w:wordWrap/>
              <w:overflowPunct/>
              <w:topLinePunct w:val="0"/>
              <w:bidi w:val="0"/>
              <w:spacing w:before="82" w:line="252" w:lineRule="auto"/>
              <w:ind w:left="135" w:right="119" w:hanging="17"/>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特别提示：</w:t>
            </w:r>
            <w:r>
              <w:rPr>
                <w:rFonts w:hint="eastAsia" w:cs="仿宋"/>
                <w:b/>
                <w:bCs/>
                <w:snapToGrid w:val="0"/>
                <w:color w:val="000000"/>
                <w:spacing w:val="-4"/>
                <w:kern w:val="0"/>
                <w:sz w:val="24"/>
                <w:szCs w:val="24"/>
                <w:lang w:val="en-US" w:eastAsia="zh-CN" w:bidi="ar-SA"/>
              </w:rPr>
              <w:t>投标人</w:t>
            </w:r>
            <w:r>
              <w:rPr>
                <w:rFonts w:ascii="仿宋" w:hAnsi="仿宋" w:eastAsia="仿宋" w:cs="仿宋"/>
                <w:b/>
                <w:bCs/>
                <w:snapToGrid w:val="0"/>
                <w:color w:val="000000"/>
                <w:spacing w:val="-4"/>
                <w:kern w:val="0"/>
                <w:sz w:val="24"/>
                <w:szCs w:val="24"/>
                <w:lang w:val="en-US" w:eastAsia="en-US" w:bidi="ar-SA"/>
              </w:rPr>
              <w:t>提交的纸质版《投标文件》文字内容与开标时电子投标书应完全一致。</w:t>
            </w:r>
          </w:p>
          <w:p w14:paraId="074CF364">
            <w:pPr>
              <w:pStyle w:val="26"/>
              <w:keepLines w:val="0"/>
              <w:pageBreakBefore w:val="0"/>
              <w:kinsoku/>
              <w:wordWrap/>
              <w:overflowPunct/>
              <w:topLinePunct w:val="0"/>
              <w:bidi w:val="0"/>
              <w:spacing w:before="80" w:line="251" w:lineRule="auto"/>
              <w:ind w:left="121" w:right="119" w:firstLine="2"/>
              <w:jc w:val="both"/>
              <w:rPr>
                <w:rFonts w:ascii="仿宋" w:hAnsi="仿宋" w:eastAsia="仿宋" w:cs="仿宋"/>
                <w:b/>
                <w:bCs/>
                <w:snapToGrid w:val="0"/>
                <w:color w:val="000000"/>
                <w:spacing w:val="-4"/>
                <w:kern w:val="0"/>
                <w:sz w:val="24"/>
                <w:szCs w:val="24"/>
                <w:highlight w:val="none"/>
                <w:lang w:val="en-US" w:eastAsia="en-US" w:bidi="ar-SA"/>
              </w:rPr>
            </w:pPr>
            <w:r>
              <w:rPr>
                <w:rFonts w:ascii="仿宋" w:hAnsi="仿宋" w:eastAsia="仿宋" w:cs="仿宋"/>
                <w:b/>
                <w:bCs/>
                <w:snapToGrid w:val="0"/>
                <w:color w:val="000000"/>
                <w:spacing w:val="-4"/>
                <w:kern w:val="0"/>
                <w:sz w:val="24"/>
                <w:szCs w:val="24"/>
                <w:lang w:val="en-US" w:eastAsia="en-US" w:bidi="ar-SA"/>
              </w:rPr>
              <w:t>（2）政采云投标文件递交截止时间：</w:t>
            </w:r>
            <w:r>
              <w:rPr>
                <w:rFonts w:hint="eastAsia" w:cs="仿宋"/>
                <w:b/>
                <w:bCs/>
                <w:snapToGrid w:val="0"/>
                <w:color w:val="000000"/>
                <w:spacing w:val="-4"/>
                <w:kern w:val="0"/>
                <w:sz w:val="24"/>
                <w:szCs w:val="24"/>
                <w:highlight w:val="none"/>
                <w:lang w:val="en-US" w:eastAsia="zh-CN" w:bidi="ar-SA"/>
              </w:rPr>
              <w:t>2025年01月27日</w:t>
            </w:r>
            <w:r>
              <w:rPr>
                <w:rFonts w:ascii="仿宋" w:hAnsi="仿宋" w:eastAsia="仿宋" w:cs="仿宋"/>
                <w:b/>
                <w:bCs/>
                <w:snapToGrid w:val="0"/>
                <w:color w:val="000000"/>
                <w:spacing w:val="-4"/>
                <w:kern w:val="0"/>
                <w:sz w:val="24"/>
                <w:szCs w:val="24"/>
                <w:highlight w:val="none"/>
                <w:lang w:val="en-US" w:eastAsia="en-US" w:bidi="ar-SA"/>
              </w:rPr>
              <w:t>1</w:t>
            </w:r>
            <w:r>
              <w:rPr>
                <w:rFonts w:hint="eastAsia" w:ascii="仿宋" w:hAnsi="仿宋" w:eastAsia="仿宋" w:cs="仿宋"/>
                <w:b/>
                <w:bCs/>
                <w:snapToGrid w:val="0"/>
                <w:color w:val="000000"/>
                <w:spacing w:val="-4"/>
                <w:kern w:val="0"/>
                <w:sz w:val="24"/>
                <w:szCs w:val="24"/>
                <w:highlight w:val="none"/>
                <w:lang w:val="en-US" w:eastAsia="zh-CN" w:bidi="ar-SA"/>
              </w:rPr>
              <w:t>1</w:t>
            </w:r>
            <w:r>
              <w:rPr>
                <w:rFonts w:hint="eastAsia" w:cs="仿宋"/>
                <w:b/>
                <w:bCs/>
                <w:snapToGrid w:val="0"/>
                <w:color w:val="000000"/>
                <w:spacing w:val="-4"/>
                <w:kern w:val="0"/>
                <w:sz w:val="24"/>
                <w:szCs w:val="24"/>
                <w:highlight w:val="none"/>
                <w:lang w:val="en-US" w:eastAsia="zh-CN" w:bidi="ar-SA"/>
              </w:rPr>
              <w:t>：3</w:t>
            </w:r>
            <w:r>
              <w:rPr>
                <w:rFonts w:ascii="仿宋" w:hAnsi="仿宋" w:eastAsia="仿宋" w:cs="仿宋"/>
                <w:b/>
                <w:bCs/>
                <w:snapToGrid w:val="0"/>
                <w:color w:val="000000"/>
                <w:spacing w:val="-4"/>
                <w:kern w:val="0"/>
                <w:sz w:val="24"/>
                <w:szCs w:val="24"/>
                <w:highlight w:val="none"/>
                <w:lang w:val="en-US" w:eastAsia="en-US" w:bidi="ar-SA"/>
              </w:rPr>
              <w:t>0（北京时间）</w:t>
            </w:r>
          </w:p>
          <w:p w14:paraId="200252AD">
            <w:pPr>
              <w:pStyle w:val="26"/>
              <w:keepLines w:val="0"/>
              <w:pageBreakBefore w:val="0"/>
              <w:kinsoku/>
              <w:wordWrap/>
              <w:overflowPunct/>
              <w:topLinePunct w:val="0"/>
              <w:bidi w:val="0"/>
              <w:spacing w:before="78" w:line="222" w:lineRule="auto"/>
              <w:ind w:left="123"/>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（3）递交地点：政采云网上不见面开标系统</w:t>
            </w:r>
          </w:p>
        </w:tc>
      </w:tr>
      <w:tr w14:paraId="3007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37B10717">
            <w:pPr>
              <w:pStyle w:val="26"/>
              <w:keepLines w:val="0"/>
              <w:pageBreakBefore w:val="0"/>
              <w:kinsoku/>
              <w:wordWrap/>
              <w:overflowPunct/>
              <w:topLinePunct w:val="0"/>
              <w:bidi w:val="0"/>
              <w:spacing w:before="78" w:line="180" w:lineRule="auto"/>
              <w:jc w:val="center"/>
            </w:pPr>
            <w:r>
              <w:rPr>
                <w:spacing w:val="-6"/>
              </w:rPr>
              <w:t>26</w:t>
            </w:r>
          </w:p>
        </w:tc>
        <w:tc>
          <w:tcPr>
            <w:tcW w:w="1485" w:type="dxa"/>
            <w:vAlign w:val="center"/>
          </w:tcPr>
          <w:p w14:paraId="07367743">
            <w:pPr>
              <w:pStyle w:val="26"/>
              <w:keepLines w:val="0"/>
              <w:pageBreakBefore w:val="0"/>
              <w:kinsoku/>
              <w:wordWrap/>
              <w:overflowPunct/>
              <w:topLinePunct w:val="0"/>
              <w:bidi w:val="0"/>
              <w:spacing w:before="78" w:line="222" w:lineRule="auto"/>
              <w:jc w:val="center"/>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开标时间及地点</w:t>
            </w:r>
          </w:p>
        </w:tc>
        <w:tc>
          <w:tcPr>
            <w:tcW w:w="7831" w:type="dxa"/>
            <w:tcBorders>
              <w:right w:val="single" w:color="000000" w:sz="4" w:space="0"/>
            </w:tcBorders>
            <w:vAlign w:val="center"/>
          </w:tcPr>
          <w:p w14:paraId="540271A6">
            <w:pPr>
              <w:pStyle w:val="26"/>
              <w:keepLines w:val="0"/>
              <w:pageBreakBefore w:val="0"/>
              <w:kinsoku/>
              <w:wordWrap/>
              <w:overflowPunct/>
              <w:topLinePunct w:val="0"/>
              <w:bidi w:val="0"/>
              <w:spacing w:before="216" w:line="222" w:lineRule="auto"/>
              <w:ind w:left="118"/>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开标时间</w:t>
            </w:r>
            <w:r>
              <w:rPr>
                <w:rFonts w:ascii="仿宋" w:hAnsi="仿宋" w:eastAsia="仿宋" w:cs="仿宋"/>
                <w:b/>
                <w:bCs/>
                <w:snapToGrid w:val="0"/>
                <w:color w:val="000000"/>
                <w:spacing w:val="-4"/>
                <w:kern w:val="0"/>
                <w:sz w:val="24"/>
                <w:szCs w:val="24"/>
                <w:highlight w:val="none"/>
                <w:lang w:val="en-US" w:eastAsia="en-US" w:bidi="ar-SA"/>
              </w:rPr>
              <w:t>：</w:t>
            </w:r>
            <w:r>
              <w:rPr>
                <w:rFonts w:hint="eastAsia" w:cs="仿宋"/>
                <w:b/>
                <w:bCs/>
                <w:snapToGrid w:val="0"/>
                <w:color w:val="000000"/>
                <w:spacing w:val="-4"/>
                <w:kern w:val="0"/>
                <w:sz w:val="24"/>
                <w:szCs w:val="24"/>
                <w:highlight w:val="none"/>
                <w:lang w:val="en-US" w:eastAsia="zh-CN" w:bidi="ar-SA"/>
              </w:rPr>
              <w:t>2025年01月27日</w:t>
            </w:r>
            <w:r>
              <w:rPr>
                <w:rFonts w:ascii="仿宋" w:hAnsi="仿宋" w:eastAsia="仿宋" w:cs="仿宋"/>
                <w:b/>
                <w:bCs/>
                <w:snapToGrid w:val="0"/>
                <w:color w:val="000000"/>
                <w:spacing w:val="-4"/>
                <w:kern w:val="0"/>
                <w:sz w:val="24"/>
                <w:szCs w:val="24"/>
                <w:highlight w:val="none"/>
                <w:lang w:val="en-US" w:eastAsia="en-US" w:bidi="ar-SA"/>
              </w:rPr>
              <w:t>1</w:t>
            </w:r>
            <w:r>
              <w:rPr>
                <w:rFonts w:hint="eastAsia" w:ascii="仿宋" w:hAnsi="仿宋" w:eastAsia="仿宋" w:cs="仿宋"/>
                <w:b/>
                <w:bCs/>
                <w:snapToGrid w:val="0"/>
                <w:color w:val="000000"/>
                <w:spacing w:val="-4"/>
                <w:kern w:val="0"/>
                <w:sz w:val="24"/>
                <w:szCs w:val="24"/>
                <w:highlight w:val="none"/>
                <w:lang w:val="en-US" w:eastAsia="zh-CN" w:bidi="ar-SA"/>
              </w:rPr>
              <w:t>1</w:t>
            </w:r>
            <w:r>
              <w:rPr>
                <w:rFonts w:hint="eastAsia" w:cs="仿宋"/>
                <w:b/>
                <w:bCs/>
                <w:snapToGrid w:val="0"/>
                <w:color w:val="000000"/>
                <w:spacing w:val="-4"/>
                <w:kern w:val="0"/>
                <w:sz w:val="24"/>
                <w:szCs w:val="24"/>
                <w:highlight w:val="none"/>
                <w:lang w:val="en-US" w:eastAsia="zh-CN" w:bidi="ar-SA"/>
              </w:rPr>
              <w:t>：3</w:t>
            </w:r>
            <w:r>
              <w:rPr>
                <w:rFonts w:ascii="仿宋" w:hAnsi="仿宋" w:eastAsia="仿宋" w:cs="仿宋"/>
                <w:b/>
                <w:bCs/>
                <w:snapToGrid w:val="0"/>
                <w:color w:val="000000"/>
                <w:spacing w:val="-4"/>
                <w:kern w:val="0"/>
                <w:sz w:val="24"/>
                <w:szCs w:val="24"/>
                <w:highlight w:val="none"/>
                <w:lang w:val="en-US" w:eastAsia="en-US" w:bidi="ar-SA"/>
              </w:rPr>
              <w:t>0（北京时间）</w:t>
            </w:r>
          </w:p>
          <w:p w14:paraId="2CD95C8D">
            <w:pPr>
              <w:pStyle w:val="26"/>
              <w:keepLines w:val="0"/>
              <w:pageBreakBefore w:val="0"/>
              <w:kinsoku/>
              <w:wordWrap/>
              <w:overflowPunct/>
              <w:topLinePunct w:val="0"/>
              <w:bidi w:val="0"/>
              <w:spacing w:before="78" w:line="222" w:lineRule="auto"/>
              <w:ind w:left="118"/>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开标地点：政采云网上不见面开标系统</w:t>
            </w:r>
          </w:p>
        </w:tc>
      </w:tr>
      <w:tr w14:paraId="092F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2E4507AE">
            <w:pPr>
              <w:pStyle w:val="26"/>
              <w:keepLines w:val="0"/>
              <w:pageBreakBefore w:val="0"/>
              <w:kinsoku/>
              <w:wordWrap/>
              <w:overflowPunct/>
              <w:topLinePunct w:val="0"/>
              <w:bidi w:val="0"/>
              <w:spacing w:before="78" w:line="180" w:lineRule="auto"/>
              <w:jc w:val="center"/>
            </w:pPr>
            <w:r>
              <w:rPr>
                <w:spacing w:val="-6"/>
              </w:rPr>
              <w:t>27</w:t>
            </w:r>
          </w:p>
        </w:tc>
        <w:tc>
          <w:tcPr>
            <w:tcW w:w="1485" w:type="dxa"/>
            <w:vAlign w:val="center"/>
          </w:tcPr>
          <w:p w14:paraId="7FFB5B32">
            <w:pPr>
              <w:pStyle w:val="26"/>
              <w:keepLines w:val="0"/>
              <w:pageBreakBefore w:val="0"/>
              <w:kinsoku/>
              <w:wordWrap/>
              <w:overflowPunct/>
              <w:topLinePunct w:val="0"/>
              <w:bidi w:val="0"/>
              <w:spacing w:before="78" w:line="221" w:lineRule="auto"/>
              <w:jc w:val="center"/>
            </w:pPr>
            <w:r>
              <w:rPr>
                <w:b/>
                <w:bCs/>
                <w:spacing w:val="-6"/>
              </w:rPr>
              <w:t>履约保证金</w:t>
            </w:r>
          </w:p>
        </w:tc>
        <w:tc>
          <w:tcPr>
            <w:tcW w:w="7831" w:type="dxa"/>
            <w:tcBorders>
              <w:right w:val="single" w:color="000000" w:sz="4" w:space="0"/>
            </w:tcBorders>
            <w:vAlign w:val="center"/>
          </w:tcPr>
          <w:p w14:paraId="0D7127C6">
            <w:pPr>
              <w:pStyle w:val="26"/>
              <w:keepLines w:val="0"/>
              <w:pageBreakBefore w:val="0"/>
              <w:kinsoku/>
              <w:wordWrap/>
              <w:overflowPunct/>
              <w:topLinePunct w:val="0"/>
              <w:bidi w:val="0"/>
              <w:spacing w:before="112" w:line="275" w:lineRule="auto"/>
              <w:ind w:right="119" w:firstLine="241" w:firstLineChars="100"/>
              <w:jc w:val="both"/>
              <w:rPr>
                <w:rFonts w:hint="eastAsia" w:eastAsia="仿宋"/>
                <w:lang w:eastAsia="zh-CN"/>
              </w:rPr>
            </w:pPr>
            <w:r>
              <w:rPr>
                <w:rFonts w:hint="eastAsia"/>
                <w:b/>
                <w:bCs/>
                <w:lang w:eastAsia="zh-CN"/>
              </w:rPr>
              <w:t>甲乙双方签订合同时自行约定。</w:t>
            </w:r>
          </w:p>
        </w:tc>
      </w:tr>
      <w:tr w14:paraId="0280D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77DB41F2">
            <w:pPr>
              <w:pStyle w:val="26"/>
              <w:keepLines w:val="0"/>
              <w:pageBreakBefore w:val="0"/>
              <w:kinsoku/>
              <w:wordWrap/>
              <w:overflowPunct/>
              <w:topLinePunct w:val="0"/>
              <w:bidi w:val="0"/>
              <w:spacing w:before="78" w:line="180" w:lineRule="auto"/>
              <w:jc w:val="center"/>
              <w:rPr>
                <w:rFonts w:ascii="仿宋" w:hAnsi="仿宋" w:eastAsia="仿宋" w:cs="仿宋"/>
                <w:snapToGrid w:val="0"/>
                <w:color w:val="000000"/>
                <w:kern w:val="0"/>
                <w:sz w:val="24"/>
                <w:szCs w:val="24"/>
                <w:lang w:val="en-US" w:eastAsia="en-US" w:bidi="ar-SA"/>
              </w:rPr>
            </w:pPr>
            <w:r>
              <w:rPr>
                <w:spacing w:val="-6"/>
              </w:rPr>
              <w:t>28</w:t>
            </w:r>
          </w:p>
        </w:tc>
        <w:tc>
          <w:tcPr>
            <w:tcW w:w="1485" w:type="dxa"/>
            <w:vAlign w:val="center"/>
          </w:tcPr>
          <w:p w14:paraId="75281640">
            <w:pPr>
              <w:pStyle w:val="26"/>
              <w:keepLines w:val="0"/>
              <w:pageBreakBefore w:val="0"/>
              <w:kinsoku/>
              <w:wordWrap/>
              <w:overflowPunct/>
              <w:topLinePunct w:val="0"/>
              <w:bidi w:val="0"/>
              <w:spacing w:before="78" w:line="222" w:lineRule="auto"/>
              <w:jc w:val="center"/>
              <w:rPr>
                <w:rFonts w:ascii="仿宋" w:hAnsi="仿宋" w:eastAsia="仿宋" w:cs="仿宋"/>
                <w:snapToGrid w:val="0"/>
                <w:color w:val="000000"/>
                <w:kern w:val="0"/>
                <w:sz w:val="24"/>
                <w:szCs w:val="24"/>
                <w:lang w:val="en-US" w:eastAsia="en-US" w:bidi="ar-SA"/>
              </w:rPr>
            </w:pPr>
            <w:r>
              <w:rPr>
                <w:b/>
                <w:bCs/>
                <w:spacing w:val="-6"/>
              </w:rPr>
              <w:t>开标程序</w:t>
            </w:r>
          </w:p>
        </w:tc>
        <w:tc>
          <w:tcPr>
            <w:tcW w:w="7831" w:type="dxa"/>
            <w:tcBorders>
              <w:right w:val="single" w:color="000000" w:sz="4" w:space="0"/>
            </w:tcBorders>
            <w:vAlign w:val="center"/>
          </w:tcPr>
          <w:p w14:paraId="7F18FFCA">
            <w:pPr>
              <w:pStyle w:val="26"/>
              <w:keepLines w:val="0"/>
              <w:pageBreakBefore w:val="0"/>
              <w:kinsoku/>
              <w:wordWrap/>
              <w:overflowPunct/>
              <w:topLinePunct w:val="0"/>
              <w:bidi w:val="0"/>
              <w:spacing w:before="120" w:line="279" w:lineRule="auto"/>
              <w:ind w:left="118" w:right="215" w:firstLine="10"/>
              <w:jc w:val="both"/>
            </w:pPr>
            <w:r>
              <w:rPr>
                <w:spacing w:val="-1"/>
              </w:rPr>
              <w:t>1.在招标文件确定的投标文件提交截止时间停止接受投标文件。开标会主持人确定</w:t>
            </w:r>
            <w:r>
              <w:rPr>
                <w:rFonts w:hint="eastAsia"/>
                <w:spacing w:val="-1"/>
                <w:lang w:eastAsia="zh-CN"/>
              </w:rPr>
              <w:t>投标人</w:t>
            </w:r>
            <w:r>
              <w:rPr>
                <w:spacing w:val="-1"/>
              </w:rPr>
              <w:t>数量是否符合开标要求（</w:t>
            </w:r>
            <w:r>
              <w:rPr>
                <w:rFonts w:hint="eastAsia"/>
                <w:spacing w:val="-1"/>
                <w:lang w:eastAsia="zh-CN"/>
              </w:rPr>
              <w:t>请</w:t>
            </w:r>
            <w:r>
              <w:rPr>
                <w:spacing w:val="-1"/>
              </w:rPr>
              <w:t>所有投标</w:t>
            </w:r>
            <w:r>
              <w:t>人提前一小时准备好开标相关资料，调试好电脑设备</w:t>
            </w:r>
            <w:r>
              <w:rPr>
                <w:spacing w:val="-9"/>
              </w:rPr>
              <w:t>）；</w:t>
            </w:r>
          </w:p>
          <w:p w14:paraId="06D36458">
            <w:pPr>
              <w:pStyle w:val="26"/>
              <w:keepLines w:val="0"/>
              <w:pageBreakBefore w:val="0"/>
              <w:kinsoku/>
              <w:wordWrap/>
              <w:overflowPunct/>
              <w:topLinePunct w:val="0"/>
              <w:bidi w:val="0"/>
              <w:spacing w:before="111" w:line="262" w:lineRule="auto"/>
              <w:ind w:left="121" w:right="119" w:hanging="7"/>
              <w:jc w:val="both"/>
            </w:pPr>
            <w:r>
              <w:rPr>
                <w:spacing w:val="-2"/>
              </w:rPr>
              <w:t>2.本项目采用“政采云不见面</w:t>
            </w:r>
            <w:r>
              <w:rPr>
                <w:spacing w:val="-88"/>
              </w:rPr>
              <w:t xml:space="preserve"> </w:t>
            </w:r>
            <w:r>
              <w:rPr>
                <w:spacing w:val="-2"/>
              </w:rPr>
              <w:t>”开标，</w:t>
            </w:r>
            <w:r>
              <w:rPr>
                <w:rFonts w:hint="eastAsia"/>
                <w:spacing w:val="-2"/>
                <w:lang w:eastAsia="zh-CN"/>
              </w:rPr>
              <w:t>投标人</w:t>
            </w:r>
            <w:r>
              <w:rPr>
                <w:spacing w:val="-3"/>
              </w:rPr>
              <w:t>须在投标截止时间</w:t>
            </w:r>
            <w:r>
              <w:rPr>
                <w:spacing w:val="-1"/>
              </w:rPr>
              <w:t>前登录政采云平台</w:t>
            </w:r>
            <w:r>
              <w:fldChar w:fldCharType="begin"/>
            </w:r>
            <w:r>
              <w:instrText xml:space="preserve"> HYPERLINK "http://www.zcygov.cn/" </w:instrText>
            </w:r>
            <w:r>
              <w:fldChar w:fldCharType="separate"/>
            </w:r>
            <w:r>
              <w:rPr>
                <w:spacing w:val="-1"/>
              </w:rPr>
              <w:t>http://www.zcygov.cn/</w:t>
            </w:r>
            <w:r>
              <w:rPr>
                <w:spacing w:val="-1"/>
              </w:rPr>
              <w:fldChar w:fldCharType="end"/>
            </w:r>
            <w:r>
              <w:rPr>
                <w:spacing w:val="-1"/>
              </w:rPr>
              <w:t>进行签到。</w:t>
            </w:r>
          </w:p>
          <w:p w14:paraId="70D09576">
            <w:pPr>
              <w:pStyle w:val="26"/>
              <w:keepLines w:val="0"/>
              <w:pageBreakBefore w:val="0"/>
              <w:kinsoku/>
              <w:wordWrap/>
              <w:overflowPunct/>
              <w:topLinePunct w:val="0"/>
              <w:bidi w:val="0"/>
              <w:spacing w:before="121" w:line="220" w:lineRule="auto"/>
              <w:ind w:left="116"/>
              <w:jc w:val="both"/>
            </w:pPr>
            <w:r>
              <w:rPr>
                <w:spacing w:val="-1"/>
              </w:rPr>
              <w:t>3.主持人宣布开标会开始，宣布开标纪律；</w:t>
            </w:r>
          </w:p>
          <w:p w14:paraId="75C4B55B">
            <w:pPr>
              <w:pStyle w:val="26"/>
              <w:keepLines w:val="0"/>
              <w:pageBreakBefore w:val="0"/>
              <w:kinsoku/>
              <w:wordWrap/>
              <w:overflowPunct/>
              <w:topLinePunct w:val="0"/>
              <w:bidi w:val="0"/>
              <w:spacing w:before="112" w:line="220" w:lineRule="auto"/>
              <w:ind w:left="110"/>
              <w:jc w:val="both"/>
            </w:pPr>
            <w:r>
              <w:t>4.宣布主持人、开标人、唱标人、记录人、</w:t>
            </w:r>
            <w:r>
              <w:rPr>
                <w:spacing w:val="-1"/>
              </w:rPr>
              <w:t>监督人等工作人员姓</w:t>
            </w:r>
            <w:r>
              <w:rPr>
                <w:spacing w:val="-9"/>
              </w:rPr>
              <w:t>名；</w:t>
            </w:r>
          </w:p>
          <w:p w14:paraId="5B556FF4">
            <w:pPr>
              <w:pStyle w:val="26"/>
              <w:keepLines w:val="0"/>
              <w:pageBreakBefore w:val="0"/>
              <w:kinsoku/>
              <w:wordWrap/>
              <w:overflowPunct/>
              <w:topLinePunct w:val="0"/>
              <w:bidi w:val="0"/>
              <w:spacing w:before="110" w:line="265" w:lineRule="auto"/>
              <w:ind w:left="120" w:right="215" w:hanging="4"/>
              <w:jc w:val="both"/>
            </w:pPr>
            <w:r>
              <w:rPr>
                <w:spacing w:val="-1"/>
              </w:rPr>
              <w:t>5.解密：法定代表人或授权委托人须全程在线准时参加开标活动</w:t>
            </w:r>
            <w:r>
              <w:rPr>
                <w:spacing w:val="-2"/>
              </w:rPr>
              <w:t>进行文件解密、异议、质疑及澄清等。</w:t>
            </w:r>
          </w:p>
          <w:p w14:paraId="6002DC9C">
            <w:pPr>
              <w:pStyle w:val="26"/>
              <w:keepLines w:val="0"/>
              <w:pageBreakBefore w:val="0"/>
              <w:kinsoku/>
              <w:wordWrap/>
              <w:overflowPunct/>
              <w:topLinePunct w:val="0"/>
              <w:bidi w:val="0"/>
              <w:spacing w:before="114" w:line="290" w:lineRule="auto"/>
              <w:ind w:left="117" w:right="119" w:hanging="4"/>
              <w:jc w:val="both"/>
            </w:pPr>
            <w:r>
              <w:rPr>
                <w:spacing w:val="-2"/>
              </w:rPr>
              <w:t>6 .参与“政采云不见面”开标的各</w:t>
            </w:r>
            <w:r>
              <w:rPr>
                <w:rFonts w:hint="eastAsia"/>
                <w:spacing w:val="-2"/>
                <w:lang w:eastAsia="zh-CN"/>
              </w:rPr>
              <w:t>投标人</w:t>
            </w:r>
            <w:r>
              <w:rPr>
                <w:spacing w:val="-2"/>
              </w:rPr>
              <w:t>，请</w:t>
            </w:r>
            <w:r>
              <w:rPr>
                <w:spacing w:val="-3"/>
              </w:rPr>
              <w:t>在互联网网络环境</w:t>
            </w:r>
            <w:r>
              <w:rPr>
                <w:spacing w:val="-1"/>
              </w:rPr>
              <w:t>较好的电脑端登录政采云不见面开标大厅参与开标；不要在电</w:t>
            </w:r>
            <w:r>
              <w:rPr>
                <w:rFonts w:hint="eastAsia"/>
                <w:spacing w:val="-1"/>
                <w:lang w:eastAsia="zh-CN"/>
              </w:rPr>
              <w:t>脑上</w:t>
            </w:r>
            <w:r>
              <w:rPr>
                <w:spacing w:val="-1"/>
              </w:rPr>
              <w:t>进行下载、安装等工作，认真耐心等待指令并及时操作，并保持手机畅通；因</w:t>
            </w:r>
            <w:r>
              <w:rPr>
                <w:rFonts w:hint="eastAsia"/>
                <w:spacing w:val="-1"/>
                <w:lang w:eastAsia="zh-CN"/>
              </w:rPr>
              <w:t>投标人</w:t>
            </w:r>
            <w:r>
              <w:rPr>
                <w:spacing w:val="-1"/>
              </w:rPr>
              <w:t>网络环境或硬件配备不达标等原因，影响开标的，造成的后果由</w:t>
            </w:r>
            <w:r>
              <w:rPr>
                <w:rFonts w:hint="eastAsia"/>
                <w:spacing w:val="-1"/>
                <w:lang w:eastAsia="zh-CN"/>
              </w:rPr>
              <w:t>投标人</w:t>
            </w:r>
            <w:r>
              <w:rPr>
                <w:spacing w:val="-1"/>
              </w:rPr>
              <w:t>自行承担。</w:t>
            </w:r>
          </w:p>
          <w:p w14:paraId="08454D38">
            <w:pPr>
              <w:pStyle w:val="26"/>
              <w:keepLines w:val="0"/>
              <w:pageBreakBefore w:val="0"/>
              <w:kinsoku/>
              <w:wordWrap/>
              <w:overflowPunct/>
              <w:topLinePunct w:val="0"/>
              <w:bidi w:val="0"/>
              <w:spacing w:before="113" w:line="220" w:lineRule="auto"/>
              <w:ind w:left="117"/>
              <w:jc w:val="both"/>
            </w:pPr>
            <w:r>
              <w:rPr>
                <w:spacing w:val="-3"/>
              </w:rPr>
              <w:t>7.开标结束。</w:t>
            </w:r>
          </w:p>
          <w:p w14:paraId="6384EA38">
            <w:pPr>
              <w:pStyle w:val="26"/>
              <w:keepLines w:val="0"/>
              <w:pageBreakBefore w:val="0"/>
              <w:kinsoku/>
              <w:wordWrap/>
              <w:overflowPunct/>
              <w:topLinePunct w:val="0"/>
              <w:bidi w:val="0"/>
              <w:spacing w:before="112" w:line="214" w:lineRule="auto"/>
              <w:ind w:left="118" w:leftChars="0"/>
              <w:jc w:val="both"/>
              <w:rPr>
                <w:rFonts w:hint="eastAsia" w:ascii="仿宋" w:hAnsi="仿宋" w:eastAsia="仿宋" w:cs="仿宋"/>
                <w:snapToGrid w:val="0"/>
                <w:color w:val="000000"/>
                <w:kern w:val="0"/>
                <w:sz w:val="24"/>
                <w:szCs w:val="24"/>
                <w:lang w:val="en-US" w:eastAsia="zh-CN" w:bidi="ar-SA"/>
              </w:rPr>
            </w:pPr>
            <w:r>
              <w:rPr>
                <w:rFonts w:hint="eastAsia"/>
                <w:spacing w:val="-1"/>
                <w:lang w:eastAsia="zh-CN"/>
              </w:rPr>
              <w:t>采购代理机构</w:t>
            </w:r>
            <w:r>
              <w:rPr>
                <w:spacing w:val="-1"/>
              </w:rPr>
              <w:t>应当对上述开标过程做好记录，存档备查。</w:t>
            </w:r>
          </w:p>
        </w:tc>
      </w:tr>
      <w:tr w14:paraId="319C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0" w:type="auto"/>
            <w:tcBorders>
              <w:left w:val="single" w:color="000000" w:sz="4" w:space="0"/>
            </w:tcBorders>
            <w:vAlign w:val="center"/>
          </w:tcPr>
          <w:p w14:paraId="76BF1BA4">
            <w:pPr>
              <w:pStyle w:val="26"/>
              <w:keepLines w:val="0"/>
              <w:pageBreakBefore w:val="0"/>
              <w:kinsoku/>
              <w:wordWrap/>
              <w:overflowPunct/>
              <w:topLinePunct w:val="0"/>
              <w:bidi w:val="0"/>
              <w:spacing w:before="78" w:line="180" w:lineRule="auto"/>
              <w:jc w:val="center"/>
            </w:pPr>
            <w:r>
              <w:rPr>
                <w:spacing w:val="-6"/>
              </w:rPr>
              <w:t>29</w:t>
            </w:r>
          </w:p>
        </w:tc>
        <w:tc>
          <w:tcPr>
            <w:tcW w:w="1485" w:type="dxa"/>
            <w:vAlign w:val="center"/>
          </w:tcPr>
          <w:p w14:paraId="62968D16">
            <w:pPr>
              <w:pStyle w:val="26"/>
              <w:keepLines w:val="0"/>
              <w:pageBreakBefore w:val="0"/>
              <w:kinsoku/>
              <w:wordWrap/>
              <w:overflowPunct/>
              <w:topLinePunct w:val="0"/>
              <w:bidi w:val="0"/>
              <w:spacing w:before="231" w:line="266" w:lineRule="auto"/>
              <w:ind w:right="153"/>
              <w:jc w:val="center"/>
            </w:pPr>
            <w:r>
              <w:rPr>
                <w:b/>
                <w:bCs/>
                <w:spacing w:val="-9"/>
              </w:rPr>
              <w:t>中标成交结果公</w:t>
            </w:r>
            <w:r>
              <w:rPr>
                <w:b/>
                <w:bCs/>
                <w:spacing w:val="-3"/>
              </w:rPr>
              <w:t>告</w:t>
            </w:r>
          </w:p>
        </w:tc>
        <w:tc>
          <w:tcPr>
            <w:tcW w:w="7831" w:type="dxa"/>
            <w:tcBorders>
              <w:right w:val="single" w:color="000000" w:sz="4" w:space="0"/>
            </w:tcBorders>
            <w:vAlign w:val="center"/>
          </w:tcPr>
          <w:p w14:paraId="7025C6DD">
            <w:pPr>
              <w:pStyle w:val="26"/>
              <w:keepLines w:val="0"/>
              <w:pageBreakBefore w:val="0"/>
              <w:kinsoku/>
              <w:wordWrap/>
              <w:overflowPunct/>
              <w:topLinePunct w:val="0"/>
              <w:bidi w:val="0"/>
              <w:spacing w:before="232" w:line="264" w:lineRule="auto"/>
              <w:ind w:left="122" w:right="215"/>
              <w:jc w:val="both"/>
            </w:pPr>
            <w:r>
              <w:rPr>
                <w:rFonts w:hint="eastAsia"/>
                <w:spacing w:val="-2"/>
                <w:highlight w:val="none"/>
                <w:lang w:eastAsia="zh-CN"/>
              </w:rPr>
              <w:t>中标</w:t>
            </w:r>
            <w:r>
              <w:rPr>
                <w:spacing w:val="-2"/>
                <w:highlight w:val="none"/>
              </w:rPr>
              <w:t>成</w:t>
            </w:r>
            <w:r>
              <w:rPr>
                <w:spacing w:val="-2"/>
              </w:rPr>
              <w:t>交结果公告在新疆政府采购网</w:t>
            </w:r>
            <w:r>
              <w:rPr>
                <w:rFonts w:hint="eastAsia"/>
                <w:spacing w:val="-2"/>
                <w:lang w:eastAsia="zh-CN"/>
              </w:rPr>
              <w:t>、阿克苏地区行政公署网、阿瓦提县人民政府网</w:t>
            </w:r>
            <w:r>
              <w:rPr>
                <w:spacing w:val="-2"/>
              </w:rPr>
              <w:t>予以公告，公</w:t>
            </w:r>
            <w:r>
              <w:rPr>
                <w:spacing w:val="-3"/>
              </w:rPr>
              <w:t>告期不少于</w:t>
            </w:r>
            <w:r>
              <w:rPr>
                <w:rFonts w:hint="eastAsia"/>
                <w:spacing w:val="-43"/>
                <w:lang w:val="en-US" w:eastAsia="zh-CN"/>
              </w:rPr>
              <w:t>1</w:t>
            </w:r>
            <w:r>
              <w:rPr>
                <w:spacing w:val="-3"/>
              </w:rPr>
              <w:t>个工</w:t>
            </w:r>
            <w:r>
              <w:rPr>
                <w:spacing w:val="-7"/>
              </w:rPr>
              <w:t>作日。</w:t>
            </w:r>
          </w:p>
        </w:tc>
      </w:tr>
      <w:tr w14:paraId="730A2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0" w:type="auto"/>
            <w:tcBorders>
              <w:left w:val="single" w:color="000000" w:sz="4" w:space="0"/>
            </w:tcBorders>
            <w:vAlign w:val="center"/>
          </w:tcPr>
          <w:p w14:paraId="2AF61091">
            <w:pPr>
              <w:pStyle w:val="26"/>
              <w:keepLines w:val="0"/>
              <w:pageBreakBefore w:val="0"/>
              <w:kinsoku/>
              <w:wordWrap/>
              <w:overflowPunct/>
              <w:topLinePunct w:val="0"/>
              <w:bidi w:val="0"/>
              <w:spacing w:before="78" w:line="180" w:lineRule="auto"/>
              <w:jc w:val="center"/>
            </w:pPr>
            <w:r>
              <w:rPr>
                <w:spacing w:val="-7"/>
              </w:rPr>
              <w:t>30</w:t>
            </w:r>
          </w:p>
        </w:tc>
        <w:tc>
          <w:tcPr>
            <w:tcW w:w="1485" w:type="dxa"/>
            <w:vAlign w:val="center"/>
          </w:tcPr>
          <w:p w14:paraId="5AAE04D8">
            <w:pPr>
              <w:pStyle w:val="26"/>
              <w:keepLines w:val="0"/>
              <w:pageBreakBefore w:val="0"/>
              <w:kinsoku/>
              <w:wordWrap/>
              <w:overflowPunct/>
              <w:topLinePunct w:val="0"/>
              <w:bidi w:val="0"/>
              <w:spacing w:before="78" w:line="222" w:lineRule="auto"/>
              <w:jc w:val="center"/>
            </w:pPr>
            <w:r>
              <w:rPr>
                <w:b/>
                <w:bCs/>
                <w:spacing w:val="-7"/>
              </w:rPr>
              <w:t>相关费用</w:t>
            </w:r>
          </w:p>
        </w:tc>
        <w:tc>
          <w:tcPr>
            <w:tcW w:w="7831" w:type="dxa"/>
            <w:tcBorders>
              <w:right w:val="single" w:color="000000" w:sz="4" w:space="0"/>
            </w:tcBorders>
            <w:vAlign w:val="center"/>
          </w:tcPr>
          <w:p w14:paraId="4A0517FA">
            <w:pPr>
              <w:pStyle w:val="26"/>
              <w:keepLines w:val="0"/>
              <w:pageBreakBefore w:val="0"/>
              <w:kinsoku/>
              <w:wordWrap/>
              <w:overflowPunct/>
              <w:topLinePunct w:val="0"/>
              <w:bidi w:val="0"/>
              <w:spacing w:before="114" w:line="290" w:lineRule="auto"/>
              <w:ind w:left="117" w:right="119" w:hanging="4"/>
              <w:jc w:val="both"/>
            </w:pPr>
            <w:r>
              <w:rPr>
                <w:spacing w:val="-2"/>
              </w:rPr>
              <w:t>代理服务费：</w:t>
            </w:r>
            <w:r>
              <w:rPr>
                <w:rFonts w:hint="eastAsia"/>
                <w:spacing w:val="-2"/>
                <w:lang w:eastAsia="zh-CN"/>
              </w:rPr>
              <w:t>招标代理服务费参照《招标代理服务收费管理暂行办法》（计价格〔2002〕1980号）规定计取（按差额定率累进法计算）</w:t>
            </w:r>
            <w:r>
              <w:rPr>
                <w:spacing w:val="-2"/>
              </w:rPr>
              <w:t>，由中标（成交）人向采购代理机构交纳代理服务费。</w:t>
            </w:r>
          </w:p>
        </w:tc>
      </w:tr>
      <w:tr w14:paraId="18AD9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tcBorders>
              <w:left w:val="single" w:color="000000" w:sz="4" w:space="0"/>
            </w:tcBorders>
            <w:vAlign w:val="center"/>
          </w:tcPr>
          <w:p w14:paraId="394840F1">
            <w:pPr>
              <w:pStyle w:val="26"/>
              <w:keepLines w:val="0"/>
              <w:pageBreakBefore w:val="0"/>
              <w:kinsoku/>
              <w:wordWrap/>
              <w:overflowPunct/>
              <w:topLinePunct w:val="0"/>
              <w:bidi w:val="0"/>
              <w:spacing w:before="78" w:line="181" w:lineRule="auto"/>
              <w:jc w:val="center"/>
              <w:rPr>
                <w:rFonts w:ascii="仿宋" w:hAnsi="仿宋" w:eastAsia="仿宋" w:cs="仿宋"/>
                <w:snapToGrid w:val="0"/>
                <w:color w:val="000000"/>
                <w:kern w:val="0"/>
                <w:sz w:val="24"/>
                <w:szCs w:val="24"/>
                <w:lang w:val="en-US" w:eastAsia="en-US" w:bidi="ar-SA"/>
              </w:rPr>
            </w:pPr>
            <w:r>
              <w:rPr>
                <w:spacing w:val="-7"/>
              </w:rPr>
              <w:t>31</w:t>
            </w:r>
          </w:p>
        </w:tc>
        <w:tc>
          <w:tcPr>
            <w:tcW w:w="1485" w:type="dxa"/>
            <w:vAlign w:val="center"/>
          </w:tcPr>
          <w:p w14:paraId="36DE0A54">
            <w:pPr>
              <w:pStyle w:val="26"/>
              <w:keepLines w:val="0"/>
              <w:pageBreakBefore w:val="0"/>
              <w:kinsoku/>
              <w:wordWrap/>
              <w:overflowPunct/>
              <w:topLinePunct w:val="0"/>
              <w:bidi w:val="0"/>
              <w:spacing w:before="78" w:line="265" w:lineRule="auto"/>
              <w:ind w:right="153" w:rightChars="0"/>
              <w:jc w:val="center"/>
              <w:rPr>
                <w:rFonts w:ascii="仿宋" w:hAnsi="仿宋" w:eastAsia="仿宋" w:cs="仿宋"/>
                <w:snapToGrid w:val="0"/>
                <w:color w:val="000000"/>
                <w:kern w:val="0"/>
                <w:sz w:val="24"/>
                <w:szCs w:val="24"/>
                <w:lang w:val="en-US" w:eastAsia="en-US" w:bidi="ar-SA"/>
              </w:rPr>
            </w:pPr>
            <w:r>
              <w:rPr>
                <w:b/>
                <w:bCs/>
                <w:spacing w:val="-6"/>
              </w:rPr>
              <w:t>落实政府采购政</w:t>
            </w:r>
            <w:r>
              <w:rPr>
                <w:b/>
                <w:bCs/>
                <w:spacing w:val="-3"/>
              </w:rPr>
              <w:t>策</w:t>
            </w:r>
          </w:p>
        </w:tc>
        <w:tc>
          <w:tcPr>
            <w:tcW w:w="7831" w:type="dxa"/>
            <w:tcBorders>
              <w:right w:val="single" w:color="000000" w:sz="4" w:space="0"/>
            </w:tcBorders>
            <w:vAlign w:val="center"/>
          </w:tcPr>
          <w:p w14:paraId="1591603D">
            <w:pPr>
              <w:pStyle w:val="26"/>
              <w:keepLines w:val="0"/>
              <w:pageBreakBefore w:val="0"/>
              <w:kinsoku/>
              <w:wordWrap/>
              <w:overflowPunct/>
              <w:topLinePunct w:val="0"/>
              <w:bidi w:val="0"/>
              <w:spacing w:before="120" w:line="265" w:lineRule="auto"/>
              <w:ind w:left="121" w:right="119" w:hanging="3"/>
              <w:jc w:val="both"/>
              <w:rPr>
                <w:spacing w:val="3"/>
              </w:rPr>
            </w:pPr>
            <w:r>
              <w:rPr>
                <w:spacing w:val="-6"/>
              </w:rPr>
              <w:t>支持中小企业发展，《政府采购促进中小企业发展管理办法》（财</w:t>
            </w:r>
            <w:r>
              <w:rPr>
                <w:spacing w:val="-5"/>
              </w:rPr>
              <w:t>库[2020]46号</w:t>
            </w:r>
            <w:r>
              <w:rPr>
                <w:spacing w:val="3"/>
              </w:rPr>
              <w:t>）：</w:t>
            </w:r>
          </w:p>
          <w:p w14:paraId="5E68A17D">
            <w:pPr>
              <w:pStyle w:val="26"/>
              <w:keepLines w:val="0"/>
              <w:pageBreakBefore w:val="0"/>
              <w:kinsoku/>
              <w:wordWrap/>
              <w:overflowPunct/>
              <w:topLinePunct w:val="0"/>
              <w:bidi w:val="0"/>
              <w:spacing w:before="120" w:line="265" w:lineRule="auto"/>
              <w:ind w:left="121" w:right="119" w:hanging="3"/>
              <w:jc w:val="both"/>
              <w:rPr>
                <w:spacing w:val="3"/>
                <w:highlight w:val="none"/>
              </w:rPr>
            </w:pPr>
            <w:r>
              <w:rPr>
                <w:rFonts w:hint="eastAsia"/>
                <w:spacing w:val="3"/>
                <w:highlight w:val="none"/>
                <w:lang w:val="en-US" w:eastAsia="zh-CN"/>
              </w:rPr>
              <w:t>□本项目专门面向中小企业采购，投标人为中小企业，不再执行价格评审优惠政策。</w:t>
            </w:r>
          </w:p>
          <w:p w14:paraId="4D5AD019">
            <w:pPr>
              <w:pStyle w:val="26"/>
              <w:keepLines w:val="0"/>
              <w:pageBreakBefore w:val="0"/>
              <w:kinsoku/>
              <w:wordWrap/>
              <w:overflowPunct/>
              <w:topLinePunct w:val="0"/>
              <w:bidi w:val="0"/>
              <w:spacing w:before="120" w:line="265" w:lineRule="auto"/>
              <w:ind w:left="121" w:right="119" w:hanging="3"/>
              <w:jc w:val="both"/>
              <w:rPr>
                <w:highlight w:val="none"/>
              </w:rPr>
            </w:pPr>
            <w:r>
              <w:rPr>
                <w:rFonts w:hint="eastAsia"/>
                <w:spacing w:val="3"/>
                <w:highlight w:val="none"/>
                <w:lang w:val="en-US" w:eastAsia="zh-CN"/>
              </w:rPr>
              <w:t>☑非专门面向中小企业采购，给与符合规定的小微企业、监狱企业或残疾人福利性单位的报价扣除10%后参与评审。</w:t>
            </w:r>
          </w:p>
          <w:p w14:paraId="657BFEC0">
            <w:pPr>
              <w:pStyle w:val="26"/>
              <w:keepLines w:val="0"/>
              <w:pageBreakBefore w:val="0"/>
              <w:kinsoku/>
              <w:wordWrap/>
              <w:overflowPunct/>
              <w:topLinePunct w:val="0"/>
              <w:bidi w:val="0"/>
              <w:spacing w:before="109" w:line="287" w:lineRule="auto"/>
              <w:ind w:left="118" w:right="119" w:hanging="4"/>
              <w:jc w:val="both"/>
              <w:rPr>
                <w:rFonts w:hint="eastAsia"/>
                <w:b/>
                <w:bCs/>
                <w:spacing w:val="-2"/>
                <w:highlight w:val="none"/>
                <w:lang w:eastAsia="zh-CN"/>
              </w:rPr>
            </w:pPr>
            <w:r>
              <w:rPr>
                <w:rFonts w:hint="eastAsia"/>
                <w:b/>
                <w:bCs/>
                <w:spacing w:val="-2"/>
                <w:highlight w:val="none"/>
                <w:lang w:eastAsia="zh-CN"/>
              </w:rPr>
              <w:t>注：（监狱企业、残疾人福利性单位视同小型、微型企业）。</w:t>
            </w:r>
          </w:p>
          <w:p w14:paraId="6E8D524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5B6EE10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1F18D652">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158EF71E">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92504C1">
            <w:pPr>
              <w:pStyle w:val="26"/>
              <w:keepLines w:val="0"/>
              <w:pageBreakBefore w:val="0"/>
              <w:kinsoku/>
              <w:wordWrap/>
              <w:overflowPunct/>
              <w:topLinePunct w:val="0"/>
              <w:bidi w:val="0"/>
              <w:spacing w:before="115" w:line="264" w:lineRule="auto"/>
              <w:ind w:left="122" w:leftChars="0" w:right="215" w:rightChars="0" w:hanging="12" w:firstLineChars="0"/>
              <w:jc w:val="both"/>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3"/>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i w:val="0"/>
                <w:iCs w:val="0"/>
                <w:caps w:val="0"/>
                <w:color w:val="000000"/>
                <w:spacing w:val="0"/>
                <w:sz w:val="27"/>
                <w:szCs w:val="27"/>
              </w:rPr>
              <w:t>。</w:t>
            </w:r>
          </w:p>
        </w:tc>
      </w:tr>
      <w:tr w14:paraId="24351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6" w:hRule="atLeast"/>
        </w:trPr>
        <w:tc>
          <w:tcPr>
            <w:tcW w:w="0" w:type="auto"/>
            <w:tcBorders>
              <w:left w:val="single" w:color="000000" w:sz="4" w:space="0"/>
            </w:tcBorders>
            <w:vAlign w:val="center"/>
          </w:tcPr>
          <w:p w14:paraId="7FFDD248">
            <w:pPr>
              <w:pStyle w:val="26"/>
              <w:keepLines w:val="0"/>
              <w:pageBreakBefore w:val="0"/>
              <w:kinsoku/>
              <w:wordWrap/>
              <w:overflowPunct/>
              <w:topLinePunct w:val="0"/>
              <w:bidi w:val="0"/>
              <w:spacing w:before="78" w:line="180" w:lineRule="auto"/>
              <w:jc w:val="center"/>
              <w:rPr>
                <w:rFonts w:hint="eastAsia" w:eastAsia="仿宋"/>
                <w:lang w:val="en-US" w:eastAsia="zh-CN"/>
              </w:rPr>
            </w:pPr>
            <w:r>
              <w:rPr>
                <w:spacing w:val="-7"/>
              </w:rPr>
              <w:t>3</w:t>
            </w:r>
            <w:r>
              <w:rPr>
                <w:rFonts w:hint="eastAsia"/>
                <w:spacing w:val="-7"/>
                <w:lang w:val="en-US" w:eastAsia="zh-CN"/>
              </w:rPr>
              <w:t>2</w:t>
            </w:r>
          </w:p>
        </w:tc>
        <w:tc>
          <w:tcPr>
            <w:tcW w:w="1485" w:type="dxa"/>
            <w:vAlign w:val="center"/>
          </w:tcPr>
          <w:p w14:paraId="52019668">
            <w:pPr>
              <w:pStyle w:val="26"/>
              <w:keepLines w:val="0"/>
              <w:pageBreakBefore w:val="0"/>
              <w:kinsoku/>
              <w:wordWrap/>
              <w:overflowPunct/>
              <w:topLinePunct w:val="0"/>
              <w:bidi w:val="0"/>
              <w:spacing w:before="78" w:line="222" w:lineRule="auto"/>
              <w:jc w:val="center"/>
            </w:pPr>
            <w:r>
              <w:rPr>
                <w:b/>
                <w:bCs/>
                <w:spacing w:val="-7"/>
              </w:rPr>
              <w:t>补充内容</w:t>
            </w:r>
          </w:p>
        </w:tc>
        <w:tc>
          <w:tcPr>
            <w:tcW w:w="7831" w:type="dxa"/>
            <w:tcBorders>
              <w:right w:val="single" w:color="000000" w:sz="4" w:space="0"/>
            </w:tcBorders>
            <w:vAlign w:val="center"/>
          </w:tcPr>
          <w:p w14:paraId="6EA171B6">
            <w:pPr>
              <w:pStyle w:val="26"/>
              <w:keepLines w:val="0"/>
              <w:pageBreakBefore w:val="0"/>
              <w:kinsoku/>
              <w:wordWrap/>
              <w:overflowPunct/>
              <w:topLinePunct w:val="0"/>
              <w:bidi w:val="0"/>
              <w:spacing w:before="116" w:line="279" w:lineRule="auto"/>
              <w:ind w:left="120" w:right="20" w:firstLine="8"/>
              <w:jc w:val="both"/>
            </w:pPr>
            <w:r>
              <w:rPr>
                <w:spacing w:val="2"/>
              </w:rPr>
              <w:t>1.电子投标文件使用“新疆维吾尔自治区全流程电子招投标项目</w:t>
            </w:r>
            <w:r>
              <w:rPr>
                <w:spacing w:val="-7"/>
              </w:rPr>
              <w:t>管理系统--</w:t>
            </w:r>
            <w:r>
              <w:rPr>
                <w:rFonts w:hint="eastAsia"/>
                <w:spacing w:val="-7"/>
                <w:lang w:eastAsia="zh-CN"/>
              </w:rPr>
              <w:t>投标人</w:t>
            </w:r>
            <w:r>
              <w:rPr>
                <w:spacing w:val="-7"/>
              </w:rPr>
              <w:t>客户端”制作完成，生成电子加密标书（.jmbs）</w:t>
            </w:r>
            <w:r>
              <w:rPr>
                <w:spacing w:val="-2"/>
              </w:rPr>
              <w:t>上传至政采云平台。</w:t>
            </w:r>
          </w:p>
          <w:p w14:paraId="20D769FB">
            <w:pPr>
              <w:pStyle w:val="26"/>
              <w:keepLines w:val="0"/>
              <w:pageBreakBefore w:val="0"/>
              <w:kinsoku/>
              <w:wordWrap/>
              <w:overflowPunct/>
              <w:topLinePunct w:val="0"/>
              <w:bidi w:val="0"/>
              <w:spacing w:before="114" w:line="286" w:lineRule="auto"/>
              <w:ind w:left="117" w:right="119" w:hanging="3"/>
              <w:jc w:val="both"/>
            </w:pPr>
            <w:r>
              <w:rPr>
                <w:spacing w:val="1"/>
              </w:rPr>
              <w:t>2.备份标书：</w:t>
            </w:r>
            <w:r>
              <w:rPr>
                <w:rFonts w:hint="eastAsia"/>
                <w:spacing w:val="1"/>
                <w:lang w:eastAsia="zh-CN"/>
              </w:rPr>
              <w:t>投标人</w:t>
            </w:r>
            <w:r>
              <w:rPr>
                <w:spacing w:val="1"/>
              </w:rPr>
              <w:t>根据自身情况自愿制作备份标书（.</w:t>
            </w:r>
            <w:r>
              <w:t>bfbs</w:t>
            </w:r>
            <w:r>
              <w:rPr>
                <w:spacing w:val="1"/>
              </w:rPr>
              <w:t>）,</w:t>
            </w:r>
            <w:r>
              <w:rPr>
                <w:spacing w:val="3"/>
              </w:rPr>
              <w:t>备份标书在开标时，因开标系统原因解密不成功时方</w:t>
            </w:r>
            <w:r>
              <w:rPr>
                <w:spacing w:val="2"/>
              </w:rPr>
              <w:t>可上传备份</w:t>
            </w:r>
            <w:r>
              <w:t>标书。其他因</w:t>
            </w:r>
            <w:r>
              <w:rPr>
                <w:rFonts w:hint="eastAsia"/>
                <w:lang w:eastAsia="zh-CN"/>
              </w:rPr>
              <w:t>投标人</w:t>
            </w:r>
            <w:r>
              <w:t>制作标书失误问题，数字证书（CA锁）问题</w:t>
            </w:r>
            <w:r>
              <w:rPr>
                <w:spacing w:val="-1"/>
              </w:rPr>
              <w:t>导致不能现场解密的情况不允许上传备份文件。</w:t>
            </w:r>
          </w:p>
          <w:p w14:paraId="3EE9C418">
            <w:pPr>
              <w:pStyle w:val="26"/>
              <w:keepLines w:val="0"/>
              <w:pageBreakBefore w:val="0"/>
              <w:kinsoku/>
              <w:wordWrap/>
              <w:overflowPunct/>
              <w:topLinePunct w:val="0"/>
              <w:bidi w:val="0"/>
              <w:spacing w:before="110" w:line="279" w:lineRule="auto"/>
              <w:ind w:left="117" w:right="119" w:hanging="1"/>
              <w:jc w:val="both"/>
            </w:pPr>
            <w:r>
              <w:rPr>
                <w:spacing w:val="3"/>
              </w:rPr>
              <w:t>3.</w:t>
            </w:r>
            <w:r>
              <w:rPr>
                <w:rFonts w:hint="eastAsia"/>
                <w:spacing w:val="3"/>
                <w:lang w:eastAsia="zh-CN"/>
              </w:rPr>
              <w:t>投标人</w:t>
            </w:r>
            <w:r>
              <w:rPr>
                <w:spacing w:val="3"/>
              </w:rPr>
              <w:t>制作电子投标书加密文件应与开标现场解</w:t>
            </w:r>
            <w:r>
              <w:rPr>
                <w:spacing w:val="2"/>
              </w:rPr>
              <w:t>密时的数字证</w:t>
            </w:r>
            <w:r>
              <w:rPr>
                <w:spacing w:val="-3"/>
              </w:rPr>
              <w:t>书（CA锁）同为一把，若因数字证书（CA锁）不是同一把锁导致</w:t>
            </w:r>
            <w:r>
              <w:rPr>
                <w:spacing w:val="-1"/>
              </w:rPr>
              <w:t>现场解密失败的，</w:t>
            </w:r>
            <w:r>
              <w:rPr>
                <w:rFonts w:hint="eastAsia"/>
                <w:spacing w:val="-1"/>
                <w:lang w:eastAsia="zh-CN"/>
              </w:rPr>
              <w:t>投标人</w:t>
            </w:r>
            <w:r>
              <w:rPr>
                <w:spacing w:val="-1"/>
              </w:rPr>
              <w:t>自行承担后果。</w:t>
            </w:r>
          </w:p>
          <w:p w14:paraId="77CBF6DD">
            <w:pPr>
              <w:pStyle w:val="26"/>
              <w:keepLines w:val="0"/>
              <w:pageBreakBefore w:val="0"/>
              <w:kinsoku/>
              <w:wordWrap/>
              <w:overflowPunct/>
              <w:topLinePunct w:val="0"/>
              <w:bidi w:val="0"/>
              <w:spacing w:before="112" w:line="265" w:lineRule="auto"/>
              <w:ind w:left="127" w:right="119" w:hanging="17"/>
              <w:jc w:val="both"/>
            </w:pPr>
            <w:r>
              <w:t>4.数字证书办理：</w:t>
            </w:r>
            <w:r>
              <w:rPr>
                <w:rFonts w:hint="eastAsia"/>
                <w:lang w:eastAsia="zh-CN"/>
              </w:rPr>
              <w:t>投标人</w:t>
            </w:r>
            <w:r>
              <w:t>须自行办理政采云数字证书（CA锁）联</w:t>
            </w:r>
            <w:r>
              <w:rPr>
                <w:spacing w:val="-2"/>
              </w:rPr>
              <w:t>系方式：政采云热线：95763</w:t>
            </w:r>
          </w:p>
          <w:p w14:paraId="78A39361">
            <w:pPr>
              <w:pStyle w:val="26"/>
              <w:keepLines w:val="0"/>
              <w:pageBreakBefore w:val="0"/>
              <w:kinsoku/>
              <w:wordWrap/>
              <w:overflowPunct/>
              <w:topLinePunct w:val="0"/>
              <w:bidi w:val="0"/>
              <w:spacing w:before="113" w:line="263" w:lineRule="auto"/>
              <w:ind w:left="144" w:hanging="28"/>
              <w:jc w:val="both"/>
            </w:pPr>
            <w:r>
              <w:rPr>
                <w:spacing w:val="-2"/>
              </w:rPr>
              <w:t>5.</w:t>
            </w:r>
            <w:r>
              <w:rPr>
                <w:rFonts w:hint="eastAsia"/>
                <w:spacing w:val="-2"/>
                <w:lang w:eastAsia="zh-CN"/>
              </w:rPr>
              <w:t>投标人</w:t>
            </w:r>
            <w:r>
              <w:rPr>
                <w:spacing w:val="-2"/>
              </w:rPr>
              <w:t>应认真学习关于开展自治区政府采</w:t>
            </w:r>
            <w:r>
              <w:rPr>
                <w:spacing w:val="-3"/>
              </w:rPr>
              <w:t>购“不见面开标系统”</w:t>
            </w:r>
            <w:r>
              <w:rPr>
                <w:spacing w:val="-7"/>
              </w:rPr>
              <w:t>网络培训的通知，制作电子投标书。</w:t>
            </w:r>
          </w:p>
        </w:tc>
      </w:tr>
    </w:tbl>
    <w:p w14:paraId="1AC5854F">
      <w:pPr>
        <w:pStyle w:val="7"/>
        <w:keepLines w:val="0"/>
        <w:pageBreakBefore w:val="0"/>
        <w:kinsoku/>
        <w:wordWrap/>
        <w:overflowPunct/>
        <w:topLinePunct w:val="0"/>
        <w:bidi w:val="0"/>
        <w:spacing w:line="398" w:lineRule="auto"/>
      </w:pPr>
    </w:p>
    <w:p w14:paraId="36CDBDB8">
      <w:pPr>
        <w:keepLines w:val="0"/>
        <w:pageBreakBefore w:val="0"/>
        <w:kinsoku/>
        <w:wordWrap/>
        <w:overflowPunct/>
        <w:topLinePunct w:val="0"/>
        <w:bidi w:val="0"/>
        <w:spacing w:before="65" w:line="232" w:lineRule="auto"/>
        <w:ind w:left="4494"/>
        <w:outlineLvl w:val="1"/>
        <w:rPr>
          <w:rFonts w:ascii="仿宋" w:hAnsi="仿宋" w:eastAsia="仿宋" w:cs="仿宋"/>
          <w:b/>
          <w:bCs/>
          <w:spacing w:val="4"/>
          <w:sz w:val="24"/>
          <w:szCs w:val="24"/>
        </w:rPr>
      </w:pPr>
    </w:p>
    <w:p w14:paraId="4FE34771">
      <w:pPr>
        <w:keepLines w:val="0"/>
        <w:pageBreakBefore w:val="0"/>
        <w:kinsoku/>
        <w:wordWrap/>
        <w:overflowPunct/>
        <w:topLinePunct w:val="0"/>
        <w:bidi w:val="0"/>
        <w:spacing w:before="65" w:line="232" w:lineRule="auto"/>
        <w:ind w:left="4494"/>
        <w:outlineLvl w:val="1"/>
        <w:rPr>
          <w:rFonts w:ascii="仿宋" w:hAnsi="仿宋" w:eastAsia="仿宋" w:cs="仿宋"/>
          <w:b/>
          <w:bCs/>
          <w:spacing w:val="4"/>
          <w:sz w:val="24"/>
          <w:szCs w:val="24"/>
        </w:rPr>
      </w:pPr>
    </w:p>
    <w:p w14:paraId="1ED2DB76">
      <w:pPr>
        <w:rPr>
          <w:rFonts w:ascii="仿宋" w:hAnsi="仿宋" w:eastAsia="仿宋" w:cs="仿宋"/>
          <w:b/>
          <w:bCs/>
          <w:spacing w:val="4"/>
          <w:sz w:val="24"/>
          <w:szCs w:val="24"/>
        </w:rPr>
      </w:pPr>
      <w:r>
        <w:rPr>
          <w:rFonts w:ascii="仿宋" w:hAnsi="仿宋" w:eastAsia="仿宋" w:cs="仿宋"/>
          <w:b/>
          <w:bCs/>
          <w:spacing w:val="4"/>
          <w:sz w:val="24"/>
          <w:szCs w:val="24"/>
        </w:rPr>
        <w:br w:type="page"/>
      </w:r>
    </w:p>
    <w:p w14:paraId="3FBFA59A">
      <w:pPr>
        <w:keepLines w:val="0"/>
        <w:pageBreakBefore w:val="0"/>
        <w:kinsoku/>
        <w:wordWrap/>
        <w:overflowPunct/>
        <w:topLinePunct w:val="0"/>
        <w:bidi w:val="0"/>
        <w:spacing w:before="65" w:line="232" w:lineRule="auto"/>
        <w:ind w:left="4494"/>
        <w:outlineLvl w:val="1"/>
        <w:rPr>
          <w:rFonts w:ascii="仿宋" w:hAnsi="仿宋" w:eastAsia="仿宋" w:cs="仿宋"/>
          <w:sz w:val="24"/>
          <w:szCs w:val="24"/>
        </w:rPr>
      </w:pPr>
      <w:r>
        <w:rPr>
          <w:rFonts w:ascii="仿宋" w:hAnsi="仿宋" w:eastAsia="仿宋" w:cs="仿宋"/>
          <w:b/>
          <w:bCs/>
          <w:spacing w:val="4"/>
          <w:sz w:val="24"/>
          <w:szCs w:val="24"/>
        </w:rPr>
        <w:t>一、总则</w:t>
      </w:r>
    </w:p>
    <w:p w14:paraId="75485D6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1.适用法律、法规</w:t>
      </w:r>
    </w:p>
    <w:p w14:paraId="2E9F1E5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本招标文件是依据《中华人民共和国政府采购法》《中华人民共和国政府采购法实施条例》《政府采购货物和服务招标投标管理办法》等有关法律、法规、规章和规范性文件的规定，根据本招标项目的特点和需要编制的。</w:t>
      </w:r>
    </w:p>
    <w:p w14:paraId="47C6FB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2.资金</w:t>
      </w:r>
    </w:p>
    <w:p w14:paraId="449F42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rPr>
        <w:t>资金，计划用于支付本次采购后所签订的合同项下的款项。</w:t>
      </w:r>
    </w:p>
    <w:p w14:paraId="5A9DD98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3.释义</w:t>
      </w:r>
    </w:p>
    <w:p w14:paraId="1F77CE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、买方、甲方”指</w:t>
      </w:r>
      <w:r>
        <w:rPr>
          <w:rFonts w:hint="eastAsia" w:ascii="仿宋" w:hAnsi="仿宋" w:eastAsia="仿宋" w:cs="仿宋"/>
          <w:spacing w:val="7"/>
          <w:sz w:val="24"/>
          <w:szCs w:val="24"/>
          <w:lang w:eastAsia="zh-CN"/>
        </w:rPr>
        <w:t>阿瓦提县人民医院</w:t>
      </w:r>
      <w:r>
        <w:rPr>
          <w:rFonts w:ascii="仿宋" w:hAnsi="仿宋" w:eastAsia="仿宋" w:cs="仿宋"/>
          <w:spacing w:val="7"/>
          <w:sz w:val="24"/>
          <w:szCs w:val="24"/>
        </w:rPr>
        <w:t>；</w:t>
      </w:r>
    </w:p>
    <w:p w14:paraId="1AFD8A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：指为本次招标项目提供招投标服务组织工作的机构，即</w:t>
      </w:r>
      <w:r>
        <w:rPr>
          <w:rFonts w:hint="eastAsia" w:ascii="仿宋" w:hAnsi="仿宋" w:eastAsia="仿宋" w:cs="仿宋"/>
          <w:spacing w:val="7"/>
          <w:sz w:val="24"/>
          <w:szCs w:val="24"/>
          <w:lang w:eastAsia="zh-CN"/>
        </w:rPr>
        <w:t>阿克苏疆山项目管理有限公司；</w:t>
      </w:r>
    </w:p>
    <w:p w14:paraId="403CC46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提交投标文件的法人</w:t>
      </w:r>
      <w:r>
        <w:rPr>
          <w:rFonts w:hint="eastAsia" w:ascii="仿宋" w:hAnsi="仿宋" w:eastAsia="仿宋" w:cs="仿宋"/>
          <w:spacing w:val="7"/>
          <w:sz w:val="24"/>
          <w:szCs w:val="24"/>
          <w:lang w:eastAsia="zh-CN"/>
        </w:rPr>
        <w:t>或者其他</w:t>
      </w:r>
      <w:r>
        <w:rPr>
          <w:rFonts w:ascii="仿宋" w:hAnsi="仿宋" w:eastAsia="仿宋" w:cs="仿宋"/>
          <w:spacing w:val="7"/>
          <w:sz w:val="24"/>
          <w:szCs w:val="24"/>
        </w:rPr>
        <w:t>组织；</w:t>
      </w:r>
    </w:p>
    <w:p w14:paraId="22F34F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3.4.法人：包括企业法人、机关法人、事业单位法人和社会团体法人；</w:t>
      </w:r>
    </w:p>
    <w:p w14:paraId="288596E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3.5.其他组织：包括合伙企业、非企业专业服务机构、个体工商户、农村承包经营户；</w:t>
      </w:r>
    </w:p>
    <w:p w14:paraId="41F148B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3.6.自然人：指《中华人民共和国民法通则》或《民法总则》规定的具有完全民事行为能力、能够承担民事责任和义务的中国公民。</w:t>
      </w:r>
    </w:p>
    <w:p w14:paraId="5F8F271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3.7.</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、卖方：指依法确定成交资格并授予合同的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200326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3.8.货物：系指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提供的各种形态和种类的物品，包括原材料、设备、产品(包括软件)及相关的备品备件、工具、手册</w:t>
      </w:r>
      <w:r>
        <w:rPr>
          <w:rFonts w:hint="eastAsia" w:ascii="仿宋" w:hAnsi="仿宋" w:eastAsia="仿宋" w:cs="仿宋"/>
          <w:spacing w:val="7"/>
          <w:sz w:val="24"/>
          <w:szCs w:val="24"/>
          <w:lang w:eastAsia="zh-CN"/>
        </w:rPr>
        <w:t>及其他</w:t>
      </w:r>
      <w:r>
        <w:rPr>
          <w:rFonts w:ascii="仿宋" w:hAnsi="仿宋" w:eastAsia="仿宋" w:cs="仿宋"/>
          <w:spacing w:val="7"/>
          <w:sz w:val="24"/>
          <w:szCs w:val="24"/>
        </w:rPr>
        <w:t>技术资料和材料。</w:t>
      </w:r>
    </w:p>
    <w:p w14:paraId="48CC19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3.9.服务：系指招标文件规定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须承担的安装、调试、技术协助、校准、培训</w:t>
      </w:r>
      <w:r>
        <w:rPr>
          <w:rFonts w:hint="eastAsia" w:ascii="仿宋" w:hAnsi="仿宋" w:eastAsia="仿宋" w:cs="仿宋"/>
          <w:spacing w:val="7"/>
          <w:sz w:val="24"/>
          <w:szCs w:val="24"/>
          <w:lang w:eastAsia="zh-CN"/>
        </w:rPr>
        <w:t>以及其他</w:t>
      </w:r>
      <w:r>
        <w:rPr>
          <w:rFonts w:ascii="仿宋" w:hAnsi="仿宋" w:eastAsia="仿宋" w:cs="仿宋"/>
          <w:spacing w:val="7"/>
          <w:sz w:val="24"/>
          <w:szCs w:val="24"/>
        </w:rPr>
        <w:t>类似的义务。</w:t>
      </w:r>
    </w:p>
    <w:p w14:paraId="7693539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3.10.偏离：是指投标文件对招标文件的偏离，即不满足、或不</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招标文件的要求。偏离分为对招标文件的实质性要求条款偏离和对招标文件的一般商务和技术条款（参数）偏离。</w:t>
      </w:r>
    </w:p>
    <w:p w14:paraId="66A499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3.11.实质性条款：除法律、法规和规章规定外，招标文件中用“拒绝”、“不接受”、“无效”、“不得”、“未</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”、“废标”等文字规定或标注“★”符号的条款为实质性要求条款，对其中任何一条的偏离，在评审时将其视为无效投标。未用上述文字规定或符号标注的条款为非实质性要求条款(即一般条款)。</w:t>
      </w:r>
    </w:p>
    <w:p w14:paraId="4FF7D9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3.12.日期、天数、时间：未有特别说明时，均为公历日（天）及北京时间。</w:t>
      </w:r>
    </w:p>
    <w:p w14:paraId="6DB8B48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4.★</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资格条件</w:t>
      </w:r>
    </w:p>
    <w:p w14:paraId="6CF574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详见</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w:t>
      </w:r>
    </w:p>
    <w:p w14:paraId="306861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4.1.符合招标文件中规定的其他特定资格要求；</w:t>
      </w:r>
    </w:p>
    <w:p w14:paraId="7AA9030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须在中国大陆境内有合法的注册登记，符合政府采购法规规定的必备条件，于本文件指定时效内均能满足投标资格及相关重要要求。</w:t>
      </w:r>
    </w:p>
    <w:p w14:paraId="0548711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4.3.属于国内制造商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0034BFA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4.4.属于经销代理资格性质的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合法有效的经营范围，符合投标准入资格和专业技术条件，遵从制造商或其驻中国大陆有授权资格的直辖专属机构所核定的业务范围和供货渠道，能独立承担项目实施与交付验收的一切责任义务，具有完善持续可靠和最便利的售后服务保障。</w:t>
      </w:r>
    </w:p>
    <w:p w14:paraId="33F0F4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4.5.中小企业须符合财库〔2020〕46号文关于中型、小型、微型企业的要求，且在政府采购活动中，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提供的货物、工程或者服务符合下列情形的，享受中小企业扶持政策：</w:t>
      </w:r>
    </w:p>
    <w:p w14:paraId="58D92A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(1)在货物采购项目中，货物由中小企业制造，即货物由中小企业生产且使用该中小企业商号或者注册商标；</w:t>
      </w:r>
    </w:p>
    <w:p w14:paraId="4E6A1B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(2)在工程采购项目中，工程由中小企业承建，即工程施工单位为中小企业；</w:t>
      </w:r>
    </w:p>
    <w:p w14:paraId="5AB0F0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(3)在服务采购项目中，服务由中小企业承接，即提供服务的人员为中小企业依照《中华人民共和国劳动合同法》订立劳动合同的从业人员。在货物采购项目中，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提供的货物既有中小企业制造货物，也有大型企业制造货物的，不享受中小企业扶持政策。</w:t>
      </w:r>
    </w:p>
    <w:p w14:paraId="05DF41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rPr>
        <w:t>戒毒管理局(含新疆生产建设兵团)出具的属于监狱企业的证明文件。</w:t>
      </w:r>
    </w:p>
    <w:p w14:paraId="2459CE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11D21CC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4.8.知识产权与保密事项：(1)所有涉及知识产权的产品及设计，</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必须确保采购人拥有其合法的、不受限制的无偿使用权，并免受任何侵权诉讼或索偿，否则，由此产生的一切经济损失和法律责任由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承担。(2)由采购人向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提供的用户需求书、图纸、样品、模型、模件和所有其他资料，</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获得后，应对其保密。除非采购人同意，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不得向第三方透露或将其用于本次投标以外的任何用途。开标后，若采购人有要求，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须归还采购人认为需保密的文件和资料，并销毁</w:t>
      </w:r>
      <w:r>
        <w:rPr>
          <w:rFonts w:hint="eastAsia" w:ascii="仿宋" w:hAnsi="仿宋" w:eastAsia="仿宋" w:cs="仿宋"/>
          <w:spacing w:val="7"/>
          <w:sz w:val="24"/>
          <w:szCs w:val="24"/>
          <w:lang w:eastAsia="zh-CN"/>
        </w:rPr>
        <w:t>所有</w:t>
      </w:r>
      <w:r>
        <w:rPr>
          <w:rFonts w:ascii="仿宋" w:hAnsi="仿宋" w:eastAsia="仿宋" w:cs="仿宋"/>
          <w:spacing w:val="7"/>
          <w:sz w:val="24"/>
          <w:szCs w:val="24"/>
        </w:rPr>
        <w:t>的备份文件及资料。</w:t>
      </w:r>
    </w:p>
    <w:p w14:paraId="2654A1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4.9.</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参加投标不得存在下列情形之一：</w:t>
      </w:r>
    </w:p>
    <w:p w14:paraId="397A1F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存在隶属关系或者其他利害关系；</w:t>
      </w:r>
    </w:p>
    <w:p w14:paraId="29B442F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ascii="仿宋" w:hAnsi="仿宋" w:eastAsia="仿宋" w:cs="仿宋"/>
          <w:spacing w:val="7"/>
          <w:sz w:val="24"/>
          <w:szCs w:val="24"/>
          <w:highlight w:val="none"/>
        </w:rPr>
        <w:t>法定代表人或者负责人为同一人或者存在控股、管理关系的两个以上</w:t>
      </w:r>
      <w:r>
        <w:rPr>
          <w:rFonts w:hint="eastAsia" w:ascii="仿宋" w:hAnsi="仿宋" w:eastAsia="仿宋" w:cs="仿宋"/>
          <w:spacing w:val="7"/>
          <w:sz w:val="24"/>
          <w:szCs w:val="24"/>
          <w:highlight w:val="none"/>
          <w:lang w:eastAsia="zh-CN"/>
        </w:rPr>
        <w:t>投标人</w:t>
      </w:r>
      <w:r>
        <w:rPr>
          <w:rFonts w:ascii="仿宋" w:hAnsi="仿宋" w:eastAsia="仿宋" w:cs="仿宋"/>
          <w:spacing w:val="7"/>
          <w:sz w:val="24"/>
          <w:szCs w:val="24"/>
          <w:highlight w:val="none"/>
        </w:rPr>
        <w:t>，不得参加同</w:t>
      </w:r>
      <w:r>
        <w:rPr>
          <w:rFonts w:hint="eastAsia" w:ascii="仿宋" w:hAnsi="仿宋" w:eastAsia="仿宋" w:cs="仿宋"/>
          <w:spacing w:val="7"/>
          <w:sz w:val="24"/>
          <w:szCs w:val="24"/>
          <w:highlight w:val="none"/>
        </w:rPr>
        <w:t>一合同项下的</w:t>
      </w:r>
      <w:r>
        <w:rPr>
          <w:rFonts w:hint="eastAsia" w:ascii="仿宋" w:hAnsi="仿宋" w:eastAsia="仿宋" w:cs="仿宋"/>
          <w:spacing w:val="7"/>
          <w:sz w:val="24"/>
          <w:szCs w:val="24"/>
          <w:highlight w:val="none"/>
          <w:lang w:eastAsia="zh-CN"/>
        </w:rPr>
        <w:t>政府采购活动</w:t>
      </w:r>
      <w:r>
        <w:rPr>
          <w:rFonts w:ascii="仿宋" w:hAnsi="仿宋" w:eastAsia="仿宋" w:cs="仿宋"/>
          <w:spacing w:val="7"/>
          <w:sz w:val="24"/>
          <w:szCs w:val="24"/>
          <w:highlight w:val="none"/>
        </w:rPr>
        <w:t>；</w:t>
      </w:r>
    </w:p>
    <w:p w14:paraId="34659BC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（3）自然人与参与本项目投标的法人或其他组织存在隶属关系或者其他利害关系。</w:t>
      </w:r>
    </w:p>
    <w:p w14:paraId="4E1FF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4.10.</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领取了招标文件并非意味着完全满足了合格</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的条件，一切均以评标委员会审核的结果为准。</w:t>
      </w:r>
    </w:p>
    <w:p w14:paraId="416813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4.11.不接受联合体投标。</w:t>
      </w:r>
    </w:p>
    <w:p w14:paraId="667B4F8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5.授权委托</w:t>
      </w:r>
    </w:p>
    <w:p w14:paraId="0F18B5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代表不是</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的法定代表人或其他组织负责人，应持有授权委托书，并附法定代表人或负责人身份证明。</w:t>
      </w:r>
    </w:p>
    <w:p w14:paraId="319E15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5.2.自然人参与本项目投标时不得再委托其他自然人进行投标，且持自然人身份证明投标。</w:t>
      </w:r>
    </w:p>
    <w:p w14:paraId="43F682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5.3.法定代表人或其他组织负责人出席开标仪式或者直接办理投标相关事宜者无须提供授权委托书，但须提供法定代表人或其他组织负责人身份证明。</w:t>
      </w:r>
    </w:p>
    <w:p w14:paraId="0CA066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6.投标费用</w:t>
      </w:r>
    </w:p>
    <w:p w14:paraId="35B8E4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在任何情况下均无义务和责任承担这些费用。</w:t>
      </w:r>
    </w:p>
    <w:p w14:paraId="5B77BEB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二、招标文件</w:t>
      </w:r>
    </w:p>
    <w:p w14:paraId="7265A4C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7.招标文件组成</w:t>
      </w:r>
    </w:p>
    <w:p w14:paraId="5428BF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7.1.招标文件共分六章，其内容如下：</w:t>
      </w:r>
    </w:p>
    <w:p w14:paraId="5B977E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第一章 招标公告</w:t>
      </w:r>
    </w:p>
    <w:p w14:paraId="233AE69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第二章 投标须知</w:t>
      </w:r>
    </w:p>
    <w:p w14:paraId="0B7A12A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第三章 评标办法</w:t>
      </w:r>
    </w:p>
    <w:p w14:paraId="1BE2643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第四章 合同条款</w:t>
      </w:r>
    </w:p>
    <w:p w14:paraId="7C7EDC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第五章 采购需求及技术参数</w:t>
      </w:r>
    </w:p>
    <w:p w14:paraId="0F51387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第六章 投标文件格式</w:t>
      </w:r>
    </w:p>
    <w:p w14:paraId="3762A91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7.2.对招标文件所</w:t>
      </w:r>
      <w:r>
        <w:rPr>
          <w:rFonts w:hint="eastAsia" w:ascii="仿宋" w:hAnsi="仿宋" w:eastAsia="仿宋" w:cs="仿宋"/>
          <w:spacing w:val="7"/>
          <w:sz w:val="24"/>
          <w:szCs w:val="24"/>
          <w:lang w:eastAsia="zh-CN"/>
        </w:rPr>
        <w:t>做</w:t>
      </w:r>
      <w:r>
        <w:rPr>
          <w:rFonts w:ascii="仿宋" w:hAnsi="仿宋" w:eastAsia="仿宋" w:cs="仿宋"/>
          <w:spacing w:val="7"/>
          <w:sz w:val="24"/>
          <w:szCs w:val="24"/>
        </w:rPr>
        <w:t>的澄清、修改，构成招标文件的组成部分。</w:t>
      </w:r>
    </w:p>
    <w:p w14:paraId="1B5A63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应仔细阅读招标文件的全部内容，按照招标文件要求编制投标文件。任何对招 标文件的忽略或误解不能作为投标文件存在缺陷或瑕疵的理由，其风险由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w:t>
      </w:r>
    </w:p>
    <w:p w14:paraId="094948F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8.招标文件的</w:t>
      </w:r>
      <w:r>
        <w:rPr>
          <w:rFonts w:hint="eastAsia" w:ascii="仿宋" w:hAnsi="仿宋" w:eastAsia="仿宋" w:cs="仿宋"/>
          <w:b/>
          <w:bCs/>
          <w:spacing w:val="7"/>
          <w:sz w:val="24"/>
          <w:szCs w:val="24"/>
          <w:lang w:eastAsia="zh-CN"/>
        </w:rPr>
        <w:t>质疑</w:t>
      </w:r>
      <w:r>
        <w:rPr>
          <w:rFonts w:ascii="仿宋" w:hAnsi="仿宋" w:eastAsia="仿宋" w:cs="仿宋"/>
          <w:b/>
          <w:bCs/>
          <w:spacing w:val="7"/>
          <w:sz w:val="24"/>
          <w:szCs w:val="24"/>
        </w:rPr>
        <w:t>、修改</w:t>
      </w:r>
    </w:p>
    <w:p w14:paraId="3AFD0F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8.1.任何要求对招标文件进行</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潜在投标人在获取招标文件之日起7个工作日内提出的</w:t>
      </w:r>
      <w:r>
        <w:rPr>
          <w:rFonts w:ascii="仿宋" w:hAnsi="仿宋" w:eastAsia="仿宋" w:cs="仿宋"/>
          <w:spacing w:val="7"/>
          <w:sz w:val="24"/>
          <w:szCs w:val="24"/>
        </w:rPr>
        <w:t>对招标文件的</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要求，将以书面形式予以答复。</w:t>
      </w:r>
    </w:p>
    <w:p w14:paraId="25CB975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可主动地或在解答</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提出的问题时对招标文件进行修改，招标文件的修改书将构成招标文件的一部分。</w:t>
      </w:r>
    </w:p>
    <w:p w14:paraId="586585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8.3.招标文件的修改将以</w:t>
      </w:r>
      <w:r>
        <w:rPr>
          <w:rFonts w:hint="eastAsia" w:ascii="仿宋" w:hAnsi="仿宋" w:eastAsia="仿宋" w:cs="仿宋"/>
          <w:spacing w:val="7"/>
          <w:sz w:val="24"/>
          <w:szCs w:val="24"/>
          <w:lang w:eastAsia="zh-CN"/>
        </w:rPr>
        <w:t>变更公告的形式在发布招标公告的网站予以公布</w:t>
      </w:r>
      <w:r>
        <w:rPr>
          <w:rFonts w:ascii="仿宋" w:hAnsi="仿宋" w:eastAsia="仿宋" w:cs="仿宋"/>
          <w:spacing w:val="7"/>
          <w:sz w:val="24"/>
          <w:szCs w:val="24"/>
        </w:rPr>
        <w:t>，并对其具有约束力。</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予以确认；在规定时间内未收到回复确认的，将视为默认接受。</w:t>
      </w:r>
    </w:p>
    <w:p w14:paraId="2B6F37C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做出书面澄清，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拒不履行评标委员会澄清要求的将视为无效投标；投标文件其他应予修正范围和标准以《政府采购货物和服务招标投标管理办法》第五十九条执行。</w:t>
      </w:r>
    </w:p>
    <w:p w14:paraId="75795FA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三、投标文件的组成及编制</w:t>
      </w:r>
    </w:p>
    <w:p w14:paraId="0095EE3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9.投标文件的组成</w:t>
      </w:r>
    </w:p>
    <w:p w14:paraId="19D7BA4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9.1.投标文件由内容如下组成：</w:t>
      </w:r>
    </w:p>
    <w:p w14:paraId="1CF3DA74">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报价文件部分：</w:t>
      </w:r>
    </w:p>
    <w:p w14:paraId="52352B40">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商务技术文件部分：</w:t>
      </w:r>
    </w:p>
    <w:p w14:paraId="2BED8C6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10.编制原则</w:t>
      </w:r>
    </w:p>
    <w:p w14:paraId="60F242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的投标文件，其投标将有可能被视为无效投标。</w:t>
      </w:r>
    </w:p>
    <w:p w14:paraId="27D5069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必须保证投标文件所提供的全部资料真实可靠，并接受评标委员会对其中任何资料进一步审查的要求。</w:t>
      </w:r>
    </w:p>
    <w:p w14:paraId="66330AD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10.3.投标文件须对招标文件中的内容做出实质性和完整的</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，否则其投标将被视为无效投标。</w:t>
      </w:r>
    </w:p>
    <w:p w14:paraId="2E7540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10.4.投标文件的编制及相关参数、证明材料、认证或报告等投标文件组成部分均应为简体中文版或中英文双语版否则在评审时将不予认可。</w:t>
      </w:r>
    </w:p>
    <w:p w14:paraId="13B097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spacing w:val="7"/>
          <w:sz w:val="24"/>
          <w:szCs w:val="24"/>
        </w:rPr>
        <w:t>11.★</w:t>
      </w:r>
      <w:r>
        <w:rPr>
          <w:rFonts w:ascii="仿宋" w:hAnsi="仿宋" w:eastAsia="仿宋" w:cs="仿宋"/>
          <w:b/>
          <w:bCs/>
          <w:spacing w:val="7"/>
          <w:sz w:val="24"/>
          <w:szCs w:val="24"/>
        </w:rPr>
        <w:t xml:space="preserve">投标文件编制要求（本项目采用电子招投标，开标现场无需提供纸质版投标文件， </w:t>
      </w:r>
      <w:r>
        <w:rPr>
          <w:rFonts w:hint="eastAsia" w:ascii="仿宋" w:hAnsi="仿宋" w:eastAsia="仿宋" w:cs="仿宋"/>
          <w:b/>
          <w:bCs/>
          <w:spacing w:val="7"/>
          <w:sz w:val="24"/>
          <w:szCs w:val="24"/>
          <w:lang w:eastAsia="zh-CN"/>
        </w:rPr>
        <w:t>中标候选人</w:t>
      </w:r>
      <w:r>
        <w:rPr>
          <w:rFonts w:ascii="仿宋" w:hAnsi="仿宋" w:eastAsia="仿宋" w:cs="仿宋"/>
          <w:b/>
          <w:bCs/>
          <w:spacing w:val="7"/>
          <w:sz w:val="24"/>
          <w:szCs w:val="24"/>
        </w:rPr>
        <w:t>中标公示期满后提交</w:t>
      </w:r>
      <w:r>
        <w:rPr>
          <w:rFonts w:hint="eastAsia" w:ascii="仿宋" w:hAnsi="仿宋" w:eastAsia="仿宋" w:cs="仿宋"/>
          <w:b/>
          <w:bCs/>
          <w:spacing w:val="7"/>
          <w:sz w:val="24"/>
          <w:szCs w:val="24"/>
          <w:lang w:eastAsia="zh-CN"/>
        </w:rPr>
        <w:t>二</w:t>
      </w:r>
      <w:r>
        <w:rPr>
          <w:rFonts w:ascii="仿宋" w:hAnsi="仿宋" w:eastAsia="仿宋" w:cs="仿宋"/>
          <w:b/>
          <w:bCs/>
          <w:spacing w:val="7"/>
          <w:sz w:val="24"/>
          <w:szCs w:val="24"/>
        </w:rPr>
        <w:t>份纸质版投标文件给代理机构存档。纸质版标书邮寄地址及收件人：</w:t>
      </w:r>
      <w:r>
        <w:rPr>
          <w:rFonts w:hint="eastAsia" w:ascii="仿宋" w:hAnsi="仿宋" w:eastAsia="仿宋" w:cs="仿宋"/>
          <w:b/>
          <w:bCs/>
          <w:spacing w:val="7"/>
          <w:sz w:val="24"/>
          <w:szCs w:val="24"/>
          <w:lang w:eastAsia="zh-CN"/>
        </w:rPr>
        <w:t>阿克苏市采荷路1号云山悦府12号楼2单元202室</w:t>
      </w:r>
      <w:r>
        <w:rPr>
          <w:rFonts w:ascii="仿宋" w:hAnsi="仿宋" w:eastAsia="仿宋" w:cs="仿宋"/>
          <w:b/>
          <w:bCs/>
          <w:spacing w:val="7"/>
          <w:sz w:val="24"/>
          <w:szCs w:val="24"/>
        </w:rPr>
        <w:t>，联系人：</w:t>
      </w:r>
      <w:r>
        <w:rPr>
          <w:rFonts w:hint="eastAsia" w:ascii="仿宋" w:hAnsi="仿宋" w:eastAsia="仿宋" w:cs="仿宋"/>
          <w:b/>
          <w:bCs/>
          <w:spacing w:val="7"/>
          <w:sz w:val="24"/>
          <w:szCs w:val="24"/>
          <w:lang w:eastAsia="zh-CN"/>
        </w:rPr>
        <w:t>刘润利</w:t>
      </w:r>
      <w:r>
        <w:rPr>
          <w:rFonts w:ascii="仿宋" w:hAnsi="仿宋" w:eastAsia="仿宋" w:cs="仿宋"/>
          <w:b/>
          <w:bCs/>
          <w:spacing w:val="7"/>
          <w:sz w:val="24"/>
          <w:szCs w:val="24"/>
        </w:rPr>
        <w:t>，联系电话：</w:t>
      </w:r>
      <w:r>
        <w:rPr>
          <w:rFonts w:hint="eastAsia" w:ascii="仿宋" w:hAnsi="仿宋" w:eastAsia="仿宋" w:cs="仿宋"/>
          <w:b/>
          <w:bCs/>
          <w:spacing w:val="7"/>
          <w:sz w:val="24"/>
          <w:szCs w:val="24"/>
          <w:lang w:eastAsia="zh-CN"/>
        </w:rPr>
        <w:t>13369873111</w:t>
      </w:r>
      <w:r>
        <w:rPr>
          <w:rFonts w:ascii="仿宋" w:hAnsi="仿宋" w:eastAsia="仿宋" w:cs="仿宋"/>
          <w:b/>
          <w:bCs/>
          <w:spacing w:val="7"/>
          <w:sz w:val="24"/>
          <w:szCs w:val="24"/>
        </w:rPr>
        <w:t>），</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应按照所投标项分别编制投标文件。</w:t>
      </w:r>
    </w:p>
    <w:p w14:paraId="625277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11.1.投标文件应按照“投标文件格式”的要求以A4版面统一编制。</w:t>
      </w:r>
    </w:p>
    <w:p w14:paraId="2AD4BC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投报多个（标包）段的，须对每个（标包）段分别制作投标文件并报价。</w:t>
      </w:r>
    </w:p>
    <w:p w14:paraId="42DF62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11.3.对于有特定格式要求的，不允许改动其内容，否则，其投标无效。</w:t>
      </w:r>
    </w:p>
    <w:p w14:paraId="41E69DE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11.4.投标文件的制作，应使用简体中文（包括</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对其投标文件进行支持的第三方证明文件，如审计报告、产品说明书、检验报告、评估报告等，均须采用简体中文进行编制或提交）。</w:t>
      </w:r>
    </w:p>
    <w:p w14:paraId="65D264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42044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11.6.任何行间插字、涂改和增删，须由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4D73855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必须在投标文件封面连续注明“上册”、“下册”或“上册”、“中册”、“下册”。</w:t>
      </w:r>
    </w:p>
    <w:p w14:paraId="049A0A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11.8.《投标文件》应根据《招标文件》的要求编制，签署、盖章和内容应完整，如有遗漏或与《招标文件》要求不</w:t>
      </w:r>
      <w:r>
        <w:rPr>
          <w:rFonts w:hint="eastAsia" w:ascii="仿宋" w:hAnsi="仿宋" w:eastAsia="仿宋" w:cs="仿宋"/>
          <w:spacing w:val="7"/>
          <w:sz w:val="24"/>
          <w:szCs w:val="24"/>
          <w:lang w:eastAsia="zh-CN"/>
        </w:rPr>
        <w:t>符</w:t>
      </w:r>
      <w:r>
        <w:rPr>
          <w:rFonts w:ascii="仿宋" w:hAnsi="仿宋" w:eastAsia="仿宋" w:cs="仿宋"/>
          <w:spacing w:val="7"/>
          <w:sz w:val="24"/>
          <w:szCs w:val="24"/>
        </w:rPr>
        <w:t>的将被视为无效投标。</w:t>
      </w:r>
    </w:p>
    <w:p w14:paraId="0035121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12.★投标报价</w:t>
      </w:r>
    </w:p>
    <w:p w14:paraId="1E0820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应按招标文件规定的供货及服务要求、责任范围和合同条件，以人民币进行报价。</w:t>
      </w:r>
    </w:p>
    <w:p w14:paraId="0020FA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469D1E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对每种货物及服务只允许有一个报价，不接受选择性报价，否则，在评审时将其视为无效投标。</w:t>
      </w:r>
    </w:p>
    <w:p w14:paraId="4F4EC6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12.4.投标报价范围及说明：</w:t>
      </w:r>
    </w:p>
    <w:p w14:paraId="14C4374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报价：包括完成采购内容中全部</w:t>
      </w:r>
      <w:r>
        <w:rPr>
          <w:rFonts w:hint="eastAsia" w:ascii="仿宋" w:hAnsi="仿宋" w:eastAsia="仿宋" w:cs="仿宋"/>
          <w:spacing w:val="7"/>
          <w:sz w:val="24"/>
          <w:szCs w:val="24"/>
          <w:lang w:eastAsia="zh-CN"/>
        </w:rPr>
        <w:t>货物</w:t>
      </w:r>
      <w:r>
        <w:rPr>
          <w:rFonts w:ascii="仿宋" w:hAnsi="仿宋" w:eastAsia="仿宋" w:cs="仿宋"/>
          <w:spacing w:val="7"/>
          <w:sz w:val="24"/>
          <w:szCs w:val="24"/>
        </w:rPr>
        <w:t>服务等全过程的全部费用。</w:t>
      </w:r>
    </w:p>
    <w:p w14:paraId="3372FD6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12.5.支持中小企业发展，《政府采购促进中小企业发展管理办法》（财库[2020]46号）。</w:t>
      </w:r>
    </w:p>
    <w:p w14:paraId="1435B78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4F33D1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2、超过200万元的货物和服务采购项目，预留该部分采购项目预算总额的30%以上专门面向中小企业采购，其中预留给小微企业的比例不低于60%。</w:t>
      </w:r>
    </w:p>
    <w:p w14:paraId="666D0F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3、超过400万元的工程采购项目中适宜由中小企业提供的，预留该部分采购项目预算总额的40%以上专门面向中小企业采购，其中预留给小微企业的比例不低于60%。</w:t>
      </w:r>
    </w:p>
    <w:p w14:paraId="55CFAA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C51AA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4D432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12.6.不符合下列要求的除外：</w:t>
      </w:r>
    </w:p>
    <w:p w14:paraId="3FB4D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（1）不符合招标文件规定格式要求提供</w:t>
      </w:r>
      <w:r>
        <w:rPr>
          <w:rFonts w:hint="eastAsia" w:ascii="仿宋" w:hAnsi="仿宋" w:eastAsia="仿宋" w:cs="仿宋"/>
          <w:spacing w:val="7"/>
          <w:sz w:val="24"/>
          <w:szCs w:val="24"/>
          <w:lang w:eastAsia="zh-CN"/>
        </w:rPr>
        <w:t>中小企业</w:t>
      </w:r>
      <w:r>
        <w:rPr>
          <w:rFonts w:ascii="仿宋" w:hAnsi="仿宋" w:eastAsia="仿宋" w:cs="仿宋"/>
          <w:spacing w:val="7"/>
          <w:sz w:val="24"/>
          <w:szCs w:val="24"/>
        </w:rPr>
        <w:t>声明函的。</w:t>
      </w:r>
    </w:p>
    <w:p w14:paraId="7CF1E4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（2）不符合（财库〔2020〕46号）文件的规定企业的产品价格不予扣除。</w:t>
      </w:r>
    </w:p>
    <w:p w14:paraId="723461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（3）不符合招标文件规定格式要求并未提供“残疾人福利性单位声明函”声明函及证明材料的。</w:t>
      </w:r>
    </w:p>
    <w:p w14:paraId="490FC97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（4）不符合财政部、民政部、中国残疾人联合会发布的《关于促进残疾人就业政府采购政策的通知》规定的不予扣除。</w:t>
      </w:r>
    </w:p>
    <w:p w14:paraId="74FA62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（5）不符合《政府采购促进中小企业发展暂行办法》（财库〔2020〕46号）和《财政部司法部关于政府采购支持监狱企业发展有关问题的通知》（财库（2015）68号）的规定的不予扣除。</w:t>
      </w:r>
    </w:p>
    <w:p w14:paraId="6C8FE5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（6）不符合《国务院办公厅关于建立政府强制采购节能产品制度的通知》--国办发[2007]51号规定的不予扣除。</w:t>
      </w:r>
    </w:p>
    <w:p w14:paraId="4924551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不符合《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的不予扣除。</w:t>
      </w:r>
    </w:p>
    <w:p w14:paraId="24FCDFF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13.备选方案</w:t>
      </w:r>
    </w:p>
    <w:p w14:paraId="13676C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应标的货物（设备）或服务分部分项内容优于招标文件基本要求的，不在备选方案之列。</w:t>
      </w:r>
    </w:p>
    <w:p w14:paraId="3F410E0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13.2.本采购项目不接受备选方案投标。</w:t>
      </w:r>
    </w:p>
    <w:p w14:paraId="4EF8E66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的资格证明文件</w:t>
      </w:r>
    </w:p>
    <w:p w14:paraId="3174B0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应提交满足资格条件要求的证明文件，该证明文件作为投标文件的一部分。</w:t>
      </w:r>
    </w:p>
    <w:p w14:paraId="184F3C2C">
      <w:pPr>
        <w:keepLines w:val="0"/>
        <w:pageBreakBefore w:val="0"/>
        <w:kinsoku/>
        <w:wordWrap/>
        <w:overflowPunct/>
        <w:topLinePunct w:val="0"/>
        <w:bidi w:val="0"/>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rPr>
        <w:t>15.★投标保证金</w:t>
      </w:r>
    </w:p>
    <w:p w14:paraId="030E11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15.1.投标保证金金额及缴纳方式详见“投标须知前附表”。</w:t>
      </w:r>
    </w:p>
    <w:p w14:paraId="7D2C2B7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须将凭证</w:t>
      </w:r>
      <w:r>
        <w:rPr>
          <w:rFonts w:hint="eastAsia" w:ascii="仿宋" w:hAnsi="仿宋" w:eastAsia="仿宋" w:cs="仿宋"/>
          <w:spacing w:val="7"/>
          <w:sz w:val="24"/>
          <w:szCs w:val="24"/>
          <w:lang w:eastAsia="zh-CN"/>
        </w:rPr>
        <w:t>附</w:t>
      </w:r>
      <w:r>
        <w:rPr>
          <w:rFonts w:ascii="仿宋" w:hAnsi="仿宋" w:eastAsia="仿宋" w:cs="仿宋"/>
          <w:spacing w:val="7"/>
          <w:sz w:val="24"/>
          <w:szCs w:val="24"/>
        </w:rPr>
        <w:t>在投标文件内，证明其具有投标资格。</w:t>
      </w:r>
    </w:p>
    <w:p w14:paraId="592B5F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15.3.未中标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的保证金应当在中标通知书发出后5个工作日内退还，</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的保证金应当在采购合同签订后5个工作日内退还。有下列情形之一的，保证金不予退还：</w:t>
      </w:r>
    </w:p>
    <w:p w14:paraId="7198182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在提交投标文件截止时间后撤回投标文件的；</w:t>
      </w:r>
    </w:p>
    <w:p w14:paraId="23FAE9C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在投标文件中提供虚假材料的；</w:t>
      </w:r>
    </w:p>
    <w:p w14:paraId="3F5529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（3）除因不可抗力或招标文件认可的情形以外，</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签订合同的；</w:t>
      </w:r>
    </w:p>
    <w:p w14:paraId="2EA4E9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恶意串通的；</w:t>
      </w:r>
    </w:p>
    <w:p w14:paraId="727179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（5）招标文件规定的其他情形。</w:t>
      </w:r>
    </w:p>
    <w:p w14:paraId="58C993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16.★投标有效期</w:t>
      </w:r>
    </w:p>
    <w:p w14:paraId="0062B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16.1.投标有效期为90</w:t>
      </w:r>
      <w:r>
        <w:rPr>
          <w:rFonts w:hint="eastAsia" w:ascii="仿宋" w:hAnsi="仿宋" w:eastAsia="仿宋" w:cs="仿宋"/>
          <w:spacing w:val="7"/>
          <w:sz w:val="24"/>
          <w:szCs w:val="24"/>
          <w:lang w:eastAsia="zh-CN"/>
        </w:rPr>
        <w:t>日历</w:t>
      </w:r>
      <w:r>
        <w:rPr>
          <w:rFonts w:ascii="仿宋" w:hAnsi="仿宋" w:eastAsia="仿宋" w:cs="仿宋"/>
          <w:spacing w:val="7"/>
          <w:sz w:val="24"/>
          <w:szCs w:val="24"/>
        </w:rPr>
        <w:t>天</w:t>
      </w:r>
      <w:r>
        <w:rPr>
          <w:rFonts w:hint="eastAsia" w:ascii="仿宋" w:hAnsi="仿宋" w:eastAsia="仿宋" w:cs="仿宋"/>
          <w:spacing w:val="5"/>
          <w:sz w:val="24"/>
          <w:szCs w:val="24"/>
        </w:rPr>
        <w:t>（从</w:t>
      </w:r>
      <w:r>
        <w:rPr>
          <w:rFonts w:hint="eastAsia" w:ascii="仿宋" w:hAnsi="仿宋" w:eastAsia="仿宋" w:cs="仿宋"/>
          <w:spacing w:val="5"/>
          <w:sz w:val="24"/>
          <w:szCs w:val="24"/>
          <w:lang w:eastAsia="zh-CN"/>
        </w:rPr>
        <w:t>投标</w:t>
      </w:r>
      <w:r>
        <w:rPr>
          <w:rFonts w:hint="eastAsia" w:ascii="仿宋" w:hAnsi="仿宋" w:eastAsia="仿宋" w:cs="仿宋"/>
          <w:spacing w:val="5"/>
          <w:sz w:val="24"/>
          <w:szCs w:val="24"/>
        </w:rPr>
        <w:t>截止之日算起）</w:t>
      </w:r>
      <w:r>
        <w:rPr>
          <w:rFonts w:ascii="仿宋" w:hAnsi="仿宋" w:eastAsia="仿宋" w:cs="仿宋"/>
          <w:spacing w:val="7"/>
          <w:sz w:val="24"/>
          <w:szCs w:val="24"/>
        </w:rPr>
        <w:t>，在此期间投标文件对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。投标人须在投标文件中做出投标</w:t>
      </w:r>
      <w:r>
        <w:rPr>
          <w:rFonts w:ascii="仿宋" w:hAnsi="仿宋" w:eastAsia="仿宋" w:cs="仿宋"/>
          <w:spacing w:val="7"/>
          <w:sz w:val="24"/>
          <w:szCs w:val="24"/>
        </w:rPr>
        <w:t>。投标有效期</w:t>
      </w:r>
      <w:r>
        <w:rPr>
          <w:rFonts w:hint="eastAsia" w:ascii="仿宋" w:hAnsi="仿宋" w:eastAsia="仿宋" w:cs="仿宋"/>
          <w:spacing w:val="7"/>
          <w:sz w:val="24"/>
          <w:szCs w:val="24"/>
          <w:lang w:eastAsia="zh-CN"/>
        </w:rPr>
        <w:t>无投标或</w:t>
      </w:r>
      <w:r>
        <w:rPr>
          <w:rFonts w:ascii="仿宋" w:hAnsi="仿宋" w:eastAsia="仿宋" w:cs="仿宋"/>
          <w:spacing w:val="7"/>
          <w:sz w:val="24"/>
          <w:szCs w:val="24"/>
        </w:rPr>
        <w:t>不足的，在评审时将其视为无效投标。</w:t>
      </w:r>
    </w:p>
    <w:p w14:paraId="47FA44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可于投标有效期届满之前，要求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的要求与</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的答复均应为书面形式。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拒绝延长的，其投标在原投标</w:t>
      </w:r>
      <w:r>
        <w:rPr>
          <w:rFonts w:hint="eastAsia" w:ascii="仿宋" w:hAnsi="仿宋" w:eastAsia="仿宋" w:cs="仿宋"/>
          <w:spacing w:val="7"/>
          <w:sz w:val="24"/>
          <w:szCs w:val="24"/>
          <w:lang w:eastAsia="zh-CN"/>
        </w:rPr>
        <w:t>有效期</w:t>
      </w:r>
      <w:r>
        <w:rPr>
          <w:rFonts w:ascii="仿宋" w:hAnsi="仿宋" w:eastAsia="仿宋" w:cs="仿宋"/>
          <w:spacing w:val="7"/>
          <w:sz w:val="24"/>
          <w:szCs w:val="24"/>
        </w:rPr>
        <w:t>届满后将不再有效，但有权收回其投标保证金；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同意延长的，应相应延长其投标保证金的有效期，但不允许修改或撤回投标文件。</w:t>
      </w:r>
    </w:p>
    <w:p w14:paraId="5C6C7F3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17.★投标文件份数和签署、盖章</w:t>
      </w:r>
    </w:p>
    <w:p w14:paraId="226FC77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应按“投标须知前附表”规定的份数提交《投标文件》，否则视为无效投标。</w:t>
      </w:r>
    </w:p>
    <w:p w14:paraId="6C4C1E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17.2.投标文件电子版要求：按照本招标文件“第六章投标文件格式”编写（第六章未附格式的，由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自行拟定），不可涂改并在规定加盖公章处加盖电子公章，否则投标文件按无效</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处理。</w:t>
      </w:r>
    </w:p>
    <w:p w14:paraId="0BF943F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17.3.投标文件电子版密封方式：电子投标文件通过平台有效CA加密后在“政采云”平台投送。（操作方式见公告要求“电子投标文件制作与投送教程”）</w:t>
      </w:r>
    </w:p>
    <w:p w14:paraId="520274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17.4.本项目采用电子招投标，开标现场无需提供纸质版投标文件，</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在中标公示期满后提交</w:t>
      </w:r>
      <w:r>
        <w:rPr>
          <w:rFonts w:hint="eastAsia" w:ascii="仿宋" w:hAnsi="仿宋" w:eastAsia="仿宋" w:cs="仿宋"/>
          <w:spacing w:val="7"/>
          <w:sz w:val="24"/>
          <w:szCs w:val="24"/>
          <w:lang w:eastAsia="zh-CN"/>
        </w:rPr>
        <w:t>二</w:t>
      </w:r>
      <w:r>
        <w:rPr>
          <w:rFonts w:ascii="仿宋" w:hAnsi="仿宋" w:eastAsia="仿宋" w:cs="仿宋"/>
          <w:spacing w:val="7"/>
          <w:sz w:val="24"/>
          <w:szCs w:val="24"/>
        </w:rPr>
        <w:t>份纸质版投标文件给代理机构存档。特别提示：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提交的纸质版《投标文件》文字内容与开标时电子投标书应完全一致。</w:t>
      </w:r>
    </w:p>
    <w:p w14:paraId="082C8EA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17.5.除</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对错误处须修改外，全套《投标文件》应无涂改或行间插字和增删。如有修改，修改处应由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加盖投标单位的印章或由《投标文件》签字人签字或盖章。字迹潦草、表达不清或可能导致非唯一理解的投标文件可能视为无效投标。</w:t>
      </w:r>
    </w:p>
    <w:p w14:paraId="614185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17.6《投标文件》应根据《招标文件》的要求签署及盖章，内容应完整详细，如有遗漏，将被视为无效投标。</w:t>
      </w:r>
    </w:p>
    <w:p w14:paraId="541F734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17.7.未按招标文件要求签署盖章的投标文件视为无效投标。</w:t>
      </w:r>
    </w:p>
    <w:p w14:paraId="1F1A97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四、投标文件的密封标记和递交</w:t>
      </w:r>
    </w:p>
    <w:p w14:paraId="6748EA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18.★投标文件的密封和标记</w:t>
      </w:r>
    </w:p>
    <w:p w14:paraId="22BA06C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18.1.电子投标文件使用“新疆维吾尔自治区全流程电子招投标项目管理系统--</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客户端”制作完成，生成电子加密标书（.jmbs）上传至政采云平台。</w:t>
      </w:r>
    </w:p>
    <w:p w14:paraId="6EA626B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18.2.备份标书：</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制作标书失误问题，数字证书（CA锁）问题导致不能现场解密的情况不允许上传备份文件。</w:t>
      </w:r>
    </w:p>
    <w:p w14:paraId="7EE719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自行承担后果。</w:t>
      </w:r>
    </w:p>
    <w:p w14:paraId="549E5EF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19.投标文件的递交</w:t>
      </w:r>
    </w:p>
    <w:p w14:paraId="16D842D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w:t>
      </w:r>
      <w:r>
        <w:rPr>
          <w:rFonts w:hint="eastAsia" w:ascii="仿宋" w:hAnsi="仿宋" w:eastAsia="仿宋" w:cs="仿宋"/>
          <w:spacing w:val="7"/>
          <w:sz w:val="24"/>
          <w:szCs w:val="24"/>
          <w:lang w:eastAsia="zh-CN"/>
        </w:rPr>
        <w:t>按照</w:t>
      </w:r>
      <w:r>
        <w:rPr>
          <w:rFonts w:ascii="仿宋" w:hAnsi="仿宋" w:eastAsia="仿宋" w:cs="仿宋"/>
          <w:spacing w:val="7"/>
          <w:sz w:val="24"/>
          <w:szCs w:val="24"/>
        </w:rPr>
        <w:t>本须知前附表所规定的地点，于递交截止时间前递交投标文件。</w:t>
      </w:r>
    </w:p>
    <w:p w14:paraId="679301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19.2.投标截止时间为《招标文件》“</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和采购人概不接受。</w:t>
      </w:r>
    </w:p>
    <w:p w14:paraId="3B071E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19.3.到投标截止时间止，采购人收到的投标文件少于3个的，采购人将依法重新组织招标。</w:t>
      </w:r>
    </w:p>
    <w:p w14:paraId="32E821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五、开标、评标、定标</w:t>
      </w:r>
    </w:p>
    <w:p w14:paraId="2916483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20.开标</w:t>
      </w:r>
    </w:p>
    <w:p w14:paraId="6688B3C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（1）开标时，投标文件中出现下列情况，修正原则为：</w:t>
      </w:r>
    </w:p>
    <w:p w14:paraId="21FE48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A、大写金额和小写金额不一致的，以大写金额为准；</w:t>
      </w:r>
    </w:p>
    <w:p w14:paraId="418278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B、单价金额小数点或者百分比有明显错位的，以投标报价一览表的总价为准，并修改单价；</w:t>
      </w:r>
    </w:p>
    <w:p w14:paraId="64B6AE2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C、总价金额与按单价汇总金额不一致的，以单价金额计算结果为准；</w:t>
      </w:r>
    </w:p>
    <w:p w14:paraId="0668226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D、投标文件正本与副本不一致的，以正本为准；</w:t>
      </w:r>
    </w:p>
    <w:p w14:paraId="2E98B7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E、多处内容交叉不符的，以评标委员会评审结果为准；</w:t>
      </w:r>
    </w:p>
    <w:p w14:paraId="302397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同意后，调整后的报价和内容对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起约束作用。如果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不接受修正后的报价和内容，则其投标无效。</w:t>
      </w:r>
    </w:p>
    <w:p w14:paraId="3DE4BA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（2）公开开标后，直到向中标的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授予合同为止，凡审查、澄清、评价和比较投标的有关资料及被</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意见等内容，评标委员会成员均不得向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及与评标无关的其他人透露。</w:t>
      </w:r>
    </w:p>
    <w:p w14:paraId="2A52A8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21.评标委员会</w:t>
      </w:r>
    </w:p>
    <w:p w14:paraId="24778E0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为确保评标工作公开、公平、公正，依法成立评标委员会。评标委员会由</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人以上单数评审专家组成</w:t>
      </w:r>
      <w:r>
        <w:rPr>
          <w:rFonts w:hint="eastAsia" w:ascii="仿宋" w:hAnsi="仿宋" w:eastAsia="仿宋" w:cs="仿宋"/>
          <w:spacing w:val="7"/>
          <w:sz w:val="24"/>
          <w:szCs w:val="24"/>
          <w:lang w:eastAsia="zh-CN"/>
        </w:rPr>
        <w:t>（采购人代表1人，随机抽取的评审专家4人）</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专家名单从政府采购评审专家库中随机抽取，评标委员会成员应当遵守并履行下列责任和义务：</w:t>
      </w:r>
    </w:p>
    <w:p w14:paraId="49CA9C5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A、要严格遵守政府采购相关法律制度，依法履行各自职责，公正、客观、审慎地组织和参与评审工作；</w:t>
      </w:r>
    </w:p>
    <w:p w14:paraId="44D86D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B、审查、评价投标文件是否符合招标文件的商务、技术等实质性要求；</w:t>
      </w:r>
    </w:p>
    <w:p w14:paraId="6EDB8A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对投标文件有关事项作出澄清或说明；</w:t>
      </w:r>
    </w:p>
    <w:p w14:paraId="1A43A8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D、按招标文件规定的评审方法和标准，对投标文件进行比较和评价；对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的客观评分项的评分应当一致；</w:t>
      </w:r>
    </w:p>
    <w:p w14:paraId="5F34A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E、要依法独立评审，按照招标文件的要求和评标标准进行评标，推荐中标候选人名单，对评审意见承担个人责任；</w:t>
      </w:r>
    </w:p>
    <w:p w14:paraId="0F94D8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F、对需要共同认定的事项存在争议的，按照少数服从多数的原则</w:t>
      </w:r>
      <w:r>
        <w:rPr>
          <w:rFonts w:hint="eastAsia" w:ascii="仿宋" w:hAnsi="仿宋" w:eastAsia="仿宋" w:cs="仿宋"/>
          <w:spacing w:val="7"/>
          <w:sz w:val="24"/>
          <w:szCs w:val="24"/>
          <w:lang w:eastAsia="zh-CN"/>
        </w:rPr>
        <w:t>作出</w:t>
      </w:r>
      <w:r>
        <w:rPr>
          <w:rFonts w:ascii="仿宋" w:hAnsi="仿宋" w:eastAsia="仿宋" w:cs="仿宋"/>
          <w:spacing w:val="7"/>
          <w:sz w:val="24"/>
          <w:szCs w:val="24"/>
        </w:rPr>
        <w:t>结论。持不同意见的评审委员会成员应当在评审报告上签署不同意见并说明理由，否则视为同意；</w:t>
      </w:r>
    </w:p>
    <w:p w14:paraId="513EC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G、对评审情况以及在评审过程中获悉的国家秘密、商业秘密负有保密责任；</w:t>
      </w:r>
    </w:p>
    <w:p w14:paraId="1BE6E0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、代理机构或者有关部门报告评标中发现的违法行为；</w:t>
      </w:r>
    </w:p>
    <w:p w14:paraId="594C83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、代理机构答复</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提出的质疑；</w:t>
      </w:r>
    </w:p>
    <w:p w14:paraId="6D0055D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J、配合处理投诉工作；</w:t>
      </w:r>
    </w:p>
    <w:p w14:paraId="0F1175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招标文件及法律法律规定的其他评标委员会须履行的义务。</w:t>
      </w:r>
    </w:p>
    <w:p w14:paraId="4091C52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22.评审</w:t>
      </w:r>
    </w:p>
    <w:p w14:paraId="52970D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22.1.评标委员会按照“评标办法”规定的评审标准对投标文件进行评审。</w:t>
      </w:r>
    </w:p>
    <w:p w14:paraId="5D17EC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23.★无效投标的情形</w:t>
      </w:r>
    </w:p>
    <w:p w14:paraId="196928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法定代表人（或其他组织负责人，或自然人）或授权代理人未参加开标会议的；</w:t>
      </w:r>
    </w:p>
    <w:p w14:paraId="4780D1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未按招标文件要求提供法人（或其他组织负责人，或自然人）身份证复印件，被授权人身份证复印件和法人授权委托书等证明文件和资料的，或提供的证件不齐或无效；</w:t>
      </w:r>
    </w:p>
    <w:p w14:paraId="290A99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23.3.《投标文件》未按照《招标文件》规定要求签署、盖章或提交的投标文件份数不全的；</w:t>
      </w:r>
    </w:p>
    <w:p w14:paraId="371D2A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公章及法人或法人授权委托人的印章或签字的；</w:t>
      </w:r>
    </w:p>
    <w:p w14:paraId="64D424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23.5.《投标文件》不符合《招标文件》规定格式的；</w:t>
      </w:r>
    </w:p>
    <w:p w14:paraId="378B6C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23.6.投标总报价超出项目采购预算的。</w:t>
      </w:r>
    </w:p>
    <w:p w14:paraId="65BB7B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23.7.应交未交投标保证金或不能提供有效缴纳凭证的；</w:t>
      </w:r>
    </w:p>
    <w:p w14:paraId="02A5B98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23.8.不具备招标文件中规</w:t>
      </w:r>
      <w:r>
        <w:rPr>
          <w:rFonts w:hint="eastAsia" w:ascii="仿宋" w:hAnsi="仿宋" w:eastAsia="仿宋" w:cs="仿宋"/>
          <w:spacing w:val="7"/>
          <w:sz w:val="24"/>
          <w:szCs w:val="24"/>
          <w:lang w:eastAsia="zh-CN"/>
        </w:rPr>
        <w:t>定的</w:t>
      </w:r>
      <w:r>
        <w:rPr>
          <w:rFonts w:ascii="仿宋" w:hAnsi="仿宋" w:eastAsia="仿宋" w:cs="仿宋"/>
          <w:spacing w:val="7"/>
          <w:sz w:val="24"/>
          <w:szCs w:val="24"/>
        </w:rPr>
        <w:t>资格要求或资格证明文件不全或是虚假的；</w:t>
      </w:r>
    </w:p>
    <w:p w14:paraId="546EFB2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23.9.投标有效期不符合《招标文件》要求的；</w:t>
      </w:r>
    </w:p>
    <w:p w14:paraId="749B21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23.10.不能按评标委员会要求提供相应证件原件或提供的原件与投标文件复印件不一致，且存在伪造行为的；</w:t>
      </w:r>
    </w:p>
    <w:p w14:paraId="7FE033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的投标报价是可变动价格的，或包含了价格调整要求的，或投标报价中提供两个（含两个）以上的报价且未声明哪个有效的（招标文件规定提交备选投标方案的除外）；</w:t>
      </w:r>
    </w:p>
    <w:p w14:paraId="4C9C817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23.12.评审专家中有2/3认定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投标价格有恶意报价行为的；</w:t>
      </w:r>
    </w:p>
    <w:p w14:paraId="3E0540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不能接受的条件或声明的；</w:t>
      </w:r>
    </w:p>
    <w:p w14:paraId="5DE18C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23.14.在评标过程中，如果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施加任何影响的；</w:t>
      </w:r>
    </w:p>
    <w:p w14:paraId="650A7E4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23.15.</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以他人名义投标、串通投标、以行贿手段谋取中标或者以弄虚作假等方式投标的；</w:t>
      </w:r>
    </w:p>
    <w:p w14:paraId="27C14BC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23.16.经核实两个或两个以上</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的投标文件有雷同或有抄袭行为的；</w:t>
      </w:r>
    </w:p>
    <w:p w14:paraId="76C543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23.17.违反《中华人民共和国政府采购法》的投标；</w:t>
      </w:r>
    </w:p>
    <w:p w14:paraId="763B34C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23.18.招标文件中已明确无效投标的其他条款。</w:t>
      </w:r>
    </w:p>
    <w:p w14:paraId="28FCB3E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24.定标</w:t>
      </w:r>
    </w:p>
    <w:p w14:paraId="70966C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定标及确定</w:t>
      </w:r>
      <w:r>
        <w:rPr>
          <w:rFonts w:hint="eastAsia" w:ascii="仿宋" w:hAnsi="仿宋" w:eastAsia="仿宋" w:cs="仿宋"/>
          <w:spacing w:val="7"/>
          <w:sz w:val="24"/>
          <w:szCs w:val="24"/>
          <w:lang w:eastAsia="zh-CN"/>
        </w:rPr>
        <w:t>中标候选人</w:t>
      </w:r>
      <w:r>
        <w:rPr>
          <w:rFonts w:ascii="仿宋" w:hAnsi="仿宋" w:eastAsia="仿宋" w:cs="仿宋"/>
          <w:spacing w:val="7"/>
          <w:sz w:val="24"/>
          <w:szCs w:val="24"/>
        </w:rPr>
        <w:t>的原则：投标文件满足招标文件全部实质性要求，且按照评审因素的量化指标评审得分最高的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为排名第一的中标候选人。得分相同的，选择最低报价的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1E1C439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六、质疑</w:t>
      </w:r>
    </w:p>
    <w:p w14:paraId="5A6FE89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25.</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质疑</w:t>
      </w:r>
    </w:p>
    <w:p w14:paraId="5B27DBC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收到质疑函后7个工作日内作出答复。本次招标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如对招标文件或招投标过程进行质疑，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须一次性提出针对同一采购程序环节的所有质疑内容，多次质疑将不予受理。</w:t>
      </w:r>
    </w:p>
    <w:p w14:paraId="7A857D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w:t>
      </w:r>
    </w:p>
    <w:p w14:paraId="77344F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（1）关于招标文件的质疑，</w:t>
      </w:r>
      <w:r>
        <w:rPr>
          <w:rFonts w:hint="eastAsia" w:ascii="仿宋" w:hAnsi="仿宋" w:eastAsia="仿宋" w:cs="仿宋"/>
          <w:spacing w:val="7"/>
          <w:sz w:val="24"/>
          <w:szCs w:val="24"/>
          <w:lang w:eastAsia="zh-CN"/>
        </w:rPr>
        <w:t>应在</w:t>
      </w:r>
      <w:r>
        <w:rPr>
          <w:rFonts w:ascii="仿宋" w:hAnsi="仿宋" w:eastAsia="仿宋" w:cs="仿宋"/>
          <w:spacing w:val="7"/>
          <w:sz w:val="24"/>
          <w:szCs w:val="24"/>
        </w:rPr>
        <w:t>获取</w:t>
      </w: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之日起七个工作日内提出。</w:t>
      </w:r>
    </w:p>
    <w:p w14:paraId="73F3AF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（2）关于招标过程的质疑，应在招标程序环节结束之日起七个工作日内提出。</w:t>
      </w:r>
    </w:p>
    <w:p w14:paraId="6658B0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（3）关于中标结果的质疑，应在中标结果信息发布后七个工作日内提出。</w:t>
      </w:r>
    </w:p>
    <w:p w14:paraId="0A6206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应当向质疑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签收回执。</w:t>
      </w:r>
    </w:p>
    <w:p w14:paraId="35FE28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25.4.质疑书应当包括下列内容：</w:t>
      </w:r>
    </w:p>
    <w:p w14:paraId="10BB6E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的姓名或者名称、地址、邮编、联系人及联系电话；</w:t>
      </w:r>
    </w:p>
    <w:p w14:paraId="113694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（2）质疑项目的名称、编号；</w:t>
      </w:r>
    </w:p>
    <w:p w14:paraId="5A851A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（3）具体、明确的质疑事项和与质疑事项相关的请求；</w:t>
      </w:r>
    </w:p>
    <w:p w14:paraId="5BFDE5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（4）事实依据；</w:t>
      </w:r>
    </w:p>
    <w:p w14:paraId="11C08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（5）必要的法律依据；</w:t>
      </w:r>
    </w:p>
    <w:p w14:paraId="610FFE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（6）提出质疑的日期。</w:t>
      </w:r>
    </w:p>
    <w:p w14:paraId="254B6E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25.5.质疑书应当由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法定代表人（或其他组织负责人，或自然人）或其授权委托人签 字并加盖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单位章，质疑书由授权委托人签字的应附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授权委托书（自然人除外）。</w:t>
      </w:r>
    </w:p>
    <w:p w14:paraId="74CC9F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将在签收回执之日起七个工作日内作出书面答复，并以书面形式通知质疑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和其他有关的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2015723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footerReference r:id="rId7"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rPr>
        <w:t>25.7.</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未在规定的期限作出答复的，可在答复期满后十五个工作日内，按政府采购相关法律法规规章的规定及程序，向同级财政部门提出投诉。</w:t>
      </w:r>
    </w:p>
    <w:p w14:paraId="24F7A41D">
      <w:pPr>
        <w:keepLines w:val="0"/>
        <w:pageBreakBefore w:val="0"/>
        <w:kinsoku/>
        <w:wordWrap/>
        <w:overflowPunct/>
        <w:topLinePunct w:val="0"/>
        <w:bidi w:val="0"/>
        <w:spacing w:line="230" w:lineRule="auto"/>
        <w:ind w:left="232"/>
        <w:rPr>
          <w:rFonts w:ascii="Times New Roman" w:hAnsi="Times New Roman" w:eastAsia="Times New Roman" w:cs="Times New Roman"/>
          <w:spacing w:val="4"/>
          <w:sz w:val="24"/>
          <w:szCs w:val="24"/>
        </w:rPr>
      </w:pPr>
    </w:p>
    <w:p w14:paraId="18F10101">
      <w:pPr>
        <w:keepLines w:val="0"/>
        <w:pageBreakBefore w:val="0"/>
        <w:kinsoku/>
        <w:wordWrap/>
        <w:overflowPunct/>
        <w:topLinePunct w:val="0"/>
        <w:bidi w:val="0"/>
        <w:spacing w:line="230" w:lineRule="auto"/>
        <w:ind w:left="232"/>
        <w:rPr>
          <w:rFonts w:ascii="仿宋" w:hAnsi="仿宋" w:eastAsia="仿宋" w:cs="仿宋"/>
          <w:spacing w:val="7"/>
          <w:sz w:val="24"/>
          <w:szCs w:val="24"/>
        </w:rPr>
      </w:pPr>
      <w:r>
        <w:rPr>
          <w:rFonts w:ascii="Times New Roman" w:hAnsi="Times New Roman" w:eastAsia="Times New Roman" w:cs="Times New Roman"/>
          <w:spacing w:val="4"/>
          <w:sz w:val="24"/>
          <w:szCs w:val="24"/>
        </w:rPr>
        <w:t xml:space="preserve">25.8.   </w:t>
      </w:r>
      <w:r>
        <w:rPr>
          <w:rFonts w:ascii="仿宋" w:hAnsi="仿宋" w:eastAsia="仿宋" w:cs="仿宋"/>
          <w:spacing w:val="4"/>
          <w:sz w:val="24"/>
          <w:szCs w:val="24"/>
        </w:rPr>
        <w:t>质疑函范本：</w:t>
      </w:r>
    </w:p>
    <w:p w14:paraId="150A6B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基本信息</w:t>
      </w:r>
    </w:p>
    <w:p w14:paraId="77E6A03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r>
        <w:rPr>
          <w:rFonts w:ascii="仿宋" w:hAnsi="仿宋" w:eastAsia="仿宋" w:cs="仿宋"/>
          <w:spacing w:val="7"/>
          <w:sz w:val="24"/>
          <w:szCs w:val="24"/>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9"/>
                    <a:stretch>
                      <a:fillRect/>
                    </a:stretch>
                  </pic:blipFill>
                  <pic:spPr>
                    <a:xfrm>
                      <a:off x="0" y="0"/>
                      <a:ext cx="4134484" cy="6096"/>
                    </a:xfrm>
                    <a:prstGeom prst="rect">
                      <a:avLst/>
                    </a:prstGeom>
                  </pic:spPr>
                </pic:pic>
              </a:graphicData>
            </a:graphic>
          </wp:inline>
        </w:drawing>
      </w:r>
    </w:p>
    <w:p w14:paraId="75A6BD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地址：</w:t>
      </w:r>
      <w:r>
        <w:rPr>
          <w:rFonts w:ascii="仿宋" w:hAnsi="仿宋" w:eastAsia="仿宋" w:cs="仿宋"/>
          <w:spacing w:val="7"/>
          <w:sz w:val="24"/>
          <w:szCs w:val="24"/>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0"/>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1"/>
                    <a:stretch>
                      <a:fillRect/>
                    </a:stretch>
                  </pic:blipFill>
                  <pic:spPr>
                    <a:xfrm>
                      <a:off x="0" y="0"/>
                      <a:ext cx="2400300" cy="6095"/>
                    </a:xfrm>
                    <a:prstGeom prst="rect">
                      <a:avLst/>
                    </a:prstGeom>
                  </pic:spPr>
                </pic:pic>
              </a:graphicData>
            </a:graphic>
          </wp:inline>
        </w:drawing>
      </w:r>
    </w:p>
    <w:p w14:paraId="36FE5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联系人：</w:t>
      </w:r>
      <w:r>
        <w:rPr>
          <w:rFonts w:ascii="仿宋" w:hAnsi="仿宋" w:eastAsia="仿宋" w:cs="仿宋"/>
          <w:spacing w:val="7"/>
          <w:sz w:val="24"/>
          <w:szCs w:val="24"/>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2"/>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rPr>
        <w:t xml:space="preserve"> 联系电话：</w:t>
      </w:r>
      <w:r>
        <w:rPr>
          <w:rFonts w:ascii="仿宋" w:hAnsi="仿宋" w:eastAsia="仿宋" w:cs="仿宋"/>
          <w:spacing w:val="7"/>
          <w:sz w:val="24"/>
          <w:szCs w:val="24"/>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3"/>
                    <a:stretch>
                      <a:fillRect/>
                    </a:stretch>
                  </pic:blipFill>
                  <pic:spPr>
                    <a:xfrm>
                      <a:off x="0" y="0"/>
                      <a:ext cx="2270760" cy="6095"/>
                    </a:xfrm>
                    <a:prstGeom prst="rect">
                      <a:avLst/>
                    </a:prstGeom>
                  </pic:spPr>
                </pic:pic>
              </a:graphicData>
            </a:graphic>
          </wp:inline>
        </w:drawing>
      </w:r>
    </w:p>
    <w:p w14:paraId="28A8EE7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授权代表：</w:t>
      </w:r>
      <w:r>
        <w:rPr>
          <w:rFonts w:ascii="仿宋" w:hAnsi="仿宋" w:eastAsia="仿宋" w:cs="仿宋"/>
          <w:spacing w:val="7"/>
          <w:sz w:val="24"/>
          <w:szCs w:val="24"/>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4"/>
                    <a:stretch>
                      <a:fillRect/>
                    </a:stretch>
                  </pic:blipFill>
                  <pic:spPr>
                    <a:xfrm>
                      <a:off x="0" y="0"/>
                      <a:ext cx="4332604" cy="6095"/>
                    </a:xfrm>
                    <a:prstGeom prst="rect">
                      <a:avLst/>
                    </a:prstGeom>
                  </pic:spPr>
                </pic:pic>
              </a:graphicData>
            </a:graphic>
          </wp:inline>
        </w:drawing>
      </w:r>
    </w:p>
    <w:p w14:paraId="53A181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联系电话：</w:t>
      </w:r>
      <w:r>
        <w:rPr>
          <w:rFonts w:ascii="仿宋" w:hAnsi="仿宋" w:eastAsia="仿宋" w:cs="仿宋"/>
          <w:spacing w:val="7"/>
          <w:sz w:val="24"/>
          <w:szCs w:val="24"/>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5"/>
                    <a:stretch>
                      <a:fillRect/>
                    </a:stretch>
                  </pic:blipFill>
                  <pic:spPr>
                    <a:xfrm>
                      <a:off x="0" y="0"/>
                      <a:ext cx="4267200" cy="6095"/>
                    </a:xfrm>
                    <a:prstGeom prst="rect">
                      <a:avLst/>
                    </a:prstGeom>
                  </pic:spPr>
                </pic:pic>
              </a:graphicData>
            </a:graphic>
          </wp:inline>
        </w:drawing>
      </w:r>
    </w:p>
    <w:p w14:paraId="4962420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地址： </w:t>
      </w:r>
      <w:r>
        <w:rPr>
          <w:rFonts w:ascii="仿宋" w:hAnsi="仿宋" w:eastAsia="仿宋" w:cs="仿宋"/>
          <w:spacing w:val="7"/>
          <w:sz w:val="24"/>
          <w:szCs w:val="24"/>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6"/>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7"/>
                    <a:stretch>
                      <a:fillRect/>
                    </a:stretch>
                  </pic:blipFill>
                  <pic:spPr>
                    <a:xfrm>
                      <a:off x="0" y="0"/>
                      <a:ext cx="2465704" cy="6095"/>
                    </a:xfrm>
                    <a:prstGeom prst="rect">
                      <a:avLst/>
                    </a:prstGeom>
                  </pic:spPr>
                </pic:pic>
              </a:graphicData>
            </a:graphic>
          </wp:inline>
        </w:drawing>
      </w:r>
    </w:p>
    <w:p w14:paraId="1BC884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二、质疑项目基本情况</w:t>
      </w:r>
    </w:p>
    <w:p w14:paraId="59AD53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质疑项目的名称：</w:t>
      </w:r>
      <w:r>
        <w:rPr>
          <w:rFonts w:ascii="仿宋" w:hAnsi="仿宋" w:eastAsia="仿宋" w:cs="仿宋"/>
          <w:spacing w:val="7"/>
          <w:sz w:val="24"/>
          <w:szCs w:val="24"/>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8"/>
                    <a:stretch>
                      <a:fillRect/>
                    </a:stretch>
                  </pic:blipFill>
                  <pic:spPr>
                    <a:xfrm>
                      <a:off x="0" y="0"/>
                      <a:ext cx="3867784" cy="6095"/>
                    </a:xfrm>
                    <a:prstGeom prst="rect">
                      <a:avLst/>
                    </a:prstGeom>
                  </pic:spPr>
                </pic:pic>
              </a:graphicData>
            </a:graphic>
          </wp:inline>
        </w:drawing>
      </w:r>
    </w:p>
    <w:p w14:paraId="685F06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质疑项目的编号：</w:t>
      </w:r>
      <w:r>
        <w:rPr>
          <w:rFonts w:ascii="仿宋" w:hAnsi="仿宋" w:eastAsia="仿宋" w:cs="仿宋"/>
          <w:spacing w:val="7"/>
          <w:sz w:val="24"/>
          <w:szCs w:val="24"/>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9"/>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rPr>
        <w:t xml:space="preserve"> 包号：</w:t>
      </w:r>
      <w:r>
        <w:rPr>
          <w:rFonts w:ascii="仿宋" w:hAnsi="仿宋" w:eastAsia="仿宋" w:cs="仿宋"/>
          <w:spacing w:val="7"/>
          <w:sz w:val="24"/>
          <w:szCs w:val="24"/>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0"/>
                    <a:stretch>
                      <a:fillRect/>
                    </a:stretch>
                  </pic:blipFill>
                  <pic:spPr>
                    <a:xfrm>
                      <a:off x="0" y="0"/>
                      <a:ext cx="1801495" cy="6095"/>
                    </a:xfrm>
                    <a:prstGeom prst="rect">
                      <a:avLst/>
                    </a:prstGeom>
                  </pic:spPr>
                </pic:pic>
              </a:graphicData>
            </a:graphic>
          </wp:inline>
        </w:drawing>
      </w:r>
    </w:p>
    <w:p w14:paraId="77565A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采购人名称：</w:t>
      </w:r>
      <w:r>
        <w:rPr>
          <w:rFonts w:ascii="仿宋" w:hAnsi="仿宋" w:eastAsia="仿宋" w:cs="仿宋"/>
          <w:spacing w:val="7"/>
          <w:sz w:val="24"/>
          <w:szCs w:val="24"/>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9"/>
                    <a:stretch>
                      <a:fillRect/>
                    </a:stretch>
                  </pic:blipFill>
                  <pic:spPr>
                    <a:xfrm>
                      <a:off x="0" y="0"/>
                      <a:ext cx="4134484" cy="6095"/>
                    </a:xfrm>
                    <a:prstGeom prst="rect">
                      <a:avLst/>
                    </a:prstGeom>
                  </pic:spPr>
                </pic:pic>
              </a:graphicData>
            </a:graphic>
          </wp:inline>
        </w:drawing>
      </w:r>
    </w:p>
    <w:p w14:paraId="0E3C67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获取日期：</w:t>
      </w:r>
      <w:r>
        <w:rPr>
          <w:rFonts w:ascii="仿宋" w:hAnsi="仿宋" w:eastAsia="仿宋" w:cs="仿宋"/>
          <w:spacing w:val="7"/>
          <w:sz w:val="24"/>
          <w:szCs w:val="24"/>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1"/>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1ADD78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三、质疑事项具体内容</w:t>
          </w:r>
        </w:p>
        <w:p w14:paraId="428684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1：</w:t>
          </w:r>
          <w:r>
            <w:rPr>
              <w:rFonts w:ascii="仿宋" w:hAnsi="仿宋" w:eastAsia="仿宋" w:cs="仿宋"/>
              <w:spacing w:val="7"/>
              <w:sz w:val="24"/>
              <w:szCs w:val="24"/>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2"/>
                        <a:stretch>
                          <a:fillRect/>
                        </a:stretch>
                      </pic:blipFill>
                      <pic:spPr>
                        <a:xfrm>
                          <a:off x="0" y="0"/>
                          <a:ext cx="4134484" cy="6095"/>
                        </a:xfrm>
                        <a:prstGeom prst="rect">
                          <a:avLst/>
                        </a:prstGeom>
                      </pic:spPr>
                    </pic:pic>
                  </a:graphicData>
                </a:graphic>
              </wp:inline>
            </w:drawing>
          </w:r>
        </w:p>
        <w:p w14:paraId="77C317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事实依据：</w:t>
          </w:r>
          <w:r>
            <w:rPr>
              <w:rFonts w:ascii="仿宋" w:hAnsi="仿宋" w:eastAsia="仿宋" w:cs="仿宋"/>
              <w:spacing w:val="7"/>
              <w:sz w:val="24"/>
              <w:szCs w:val="24"/>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3"/>
                        <a:stretch>
                          <a:fillRect/>
                        </a:stretch>
                      </pic:blipFill>
                      <pic:spPr>
                        <a:xfrm>
                          <a:off x="0" y="0"/>
                          <a:ext cx="4533900" cy="6095"/>
                        </a:xfrm>
                        <a:prstGeom prst="rect">
                          <a:avLst/>
                        </a:prstGeom>
                      </pic:spPr>
                    </pic:pic>
                  </a:graphicData>
                </a:graphic>
              </wp:inline>
            </w:drawing>
          </w:r>
        </w:p>
        <w:p w14:paraId="16C495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法律依据：</w:t>
          </w:r>
          <w:r>
            <w:rPr>
              <w:rFonts w:ascii="仿宋" w:hAnsi="仿宋" w:eastAsia="仿宋" w:cs="仿宋"/>
              <w:spacing w:val="7"/>
              <w:sz w:val="24"/>
              <w:szCs w:val="24"/>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4"/>
                        <a:stretch>
                          <a:fillRect/>
                        </a:stretch>
                      </pic:blipFill>
                      <pic:spPr>
                        <a:xfrm>
                          <a:off x="0" y="0"/>
                          <a:ext cx="4533900" cy="6095"/>
                        </a:xfrm>
                        <a:prstGeom prst="rect">
                          <a:avLst/>
                        </a:prstGeom>
                      </pic:spPr>
                    </pic:pic>
                  </a:graphicData>
                </a:graphic>
              </wp:inline>
            </w:drawing>
          </w:r>
        </w:p>
      </w:sdtContent>
    </w:sdt>
    <w:p w14:paraId="109E54B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2</w:t>
      </w:r>
    </w:p>
    <w:p w14:paraId="449449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6C0193AA">
          <w:pPr>
            <w:keepLines w:val="0"/>
            <w:pageBreakBefore w:val="0"/>
            <w:kinsoku/>
            <w:wordWrap/>
            <w:overflowPunct/>
            <w:topLinePunct w:val="0"/>
            <w:bidi w:val="0"/>
            <w:spacing w:before="51" w:line="229" w:lineRule="auto"/>
            <w:ind w:left="266"/>
            <w:rPr>
              <w:rFonts w:ascii="仿宋" w:hAnsi="仿宋" w:eastAsia="仿宋" w:cs="仿宋"/>
              <w:b/>
              <w:bCs/>
              <w:sz w:val="24"/>
              <w:szCs w:val="24"/>
            </w:rPr>
          </w:pPr>
          <w:r>
            <w:rPr>
              <w:rFonts w:ascii="仿宋" w:hAnsi="仿宋" w:eastAsia="仿宋" w:cs="仿宋"/>
              <w:b/>
              <w:bCs/>
              <w:spacing w:val="7"/>
              <w:sz w:val="24"/>
              <w:szCs w:val="24"/>
            </w:rPr>
            <w:t>四、与质疑事项相关的质疑请求</w:t>
          </w:r>
        </w:p>
        <w:p w14:paraId="09EC02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请求：</w:t>
          </w:r>
          <w:r>
            <w:rPr>
              <w:rFonts w:ascii="仿宋" w:hAnsi="仿宋" w:eastAsia="仿宋" w:cs="仿宋"/>
              <w:spacing w:val="7"/>
              <w:sz w:val="24"/>
              <w:szCs w:val="24"/>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5"/>
                        <a:stretch>
                          <a:fillRect/>
                        </a:stretch>
                      </pic:blipFill>
                      <pic:spPr>
                        <a:xfrm>
                          <a:off x="0" y="0"/>
                          <a:ext cx="4599304" cy="6095"/>
                        </a:xfrm>
                        <a:prstGeom prst="rect">
                          <a:avLst/>
                        </a:prstGeom>
                      </pic:spPr>
                    </pic:pic>
                  </a:graphicData>
                </a:graphic>
              </wp:inline>
            </w:drawing>
          </w:r>
        </w:p>
      </w:sdtContent>
    </w:sdt>
    <w:p w14:paraId="745377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签字(签章)：                    公章：</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日期：</w:t>
      </w:r>
    </w:p>
    <w:p w14:paraId="11DACB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25.9.质疑函接收方式：质疑函以书面形式递交或者电子邮件的方式发送。</w:t>
      </w:r>
      <w:r>
        <w:rPr>
          <w:rFonts w:hint="eastAsia" w:ascii="仿宋" w:hAnsi="仿宋" w:eastAsia="仿宋" w:cs="仿宋"/>
          <w:spacing w:val="7"/>
          <w:sz w:val="24"/>
          <w:szCs w:val="24"/>
          <w:lang w:eastAsia="zh-CN"/>
        </w:rPr>
        <w:t>（发出质疑函需电话告知代理机构）</w:t>
      </w:r>
    </w:p>
    <w:p w14:paraId="5382D1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eastAsia="zh-CN"/>
        </w:rPr>
        <w:t>阿克苏疆山项目管理有限公司</w:t>
      </w:r>
      <w:r>
        <w:rPr>
          <w:rFonts w:ascii="仿宋" w:hAnsi="仿宋" w:eastAsia="仿宋" w:cs="仿宋"/>
          <w:spacing w:val="7"/>
          <w:sz w:val="24"/>
          <w:szCs w:val="24"/>
        </w:rPr>
        <w:t>，地址：</w:t>
      </w:r>
      <w:r>
        <w:rPr>
          <w:rFonts w:hint="eastAsia" w:ascii="仿宋" w:hAnsi="仿宋" w:eastAsia="仿宋" w:cs="仿宋"/>
          <w:spacing w:val="7"/>
          <w:sz w:val="24"/>
          <w:szCs w:val="24"/>
          <w:lang w:eastAsia="zh-CN"/>
        </w:rPr>
        <w:t>阿克苏市采荷路1号云山悦府12号楼2单元202室</w:t>
      </w:r>
      <w:r>
        <w:rPr>
          <w:rFonts w:ascii="仿宋" w:hAnsi="仿宋" w:eastAsia="仿宋" w:cs="仿宋"/>
          <w:spacing w:val="7"/>
          <w:sz w:val="24"/>
          <w:szCs w:val="24"/>
        </w:rPr>
        <w:t>，联系人：</w:t>
      </w:r>
      <w:r>
        <w:rPr>
          <w:rFonts w:hint="eastAsia" w:ascii="仿宋" w:hAnsi="仿宋" w:eastAsia="仿宋" w:cs="仿宋"/>
          <w:spacing w:val="7"/>
          <w:sz w:val="24"/>
          <w:szCs w:val="24"/>
          <w:lang w:eastAsia="zh-CN"/>
        </w:rPr>
        <w:t>刘润利</w:t>
      </w:r>
      <w:r>
        <w:rPr>
          <w:rFonts w:ascii="仿宋" w:hAnsi="仿宋" w:eastAsia="仿宋" w:cs="仿宋"/>
          <w:spacing w:val="7"/>
          <w:sz w:val="24"/>
          <w:szCs w:val="24"/>
        </w:rPr>
        <w:t>，联系电话：</w:t>
      </w:r>
      <w:r>
        <w:rPr>
          <w:rFonts w:hint="eastAsia" w:ascii="仿宋" w:hAnsi="仿宋" w:eastAsia="仿宋" w:cs="仿宋"/>
          <w:spacing w:val="7"/>
          <w:sz w:val="24"/>
          <w:szCs w:val="24"/>
          <w:lang w:eastAsia="zh-CN"/>
        </w:rPr>
        <w:t>13369873111</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：2608269165@qq.com</w:t>
      </w:r>
      <w:r>
        <w:rPr>
          <w:rFonts w:ascii="仿宋" w:hAnsi="仿宋" w:eastAsia="仿宋" w:cs="仿宋"/>
          <w:spacing w:val="7"/>
          <w:sz w:val="24"/>
          <w:szCs w:val="24"/>
        </w:rPr>
        <w:t>。</w:t>
      </w:r>
    </w:p>
    <w:p w14:paraId="527A5FC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七、签订合同</w:t>
      </w:r>
    </w:p>
    <w:p w14:paraId="1650F3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26.招标代理服务费</w:t>
      </w:r>
    </w:p>
    <w:p w14:paraId="3F545E0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highlight w:val="none"/>
        </w:rPr>
      </w:pPr>
      <w:r>
        <w:rPr>
          <w:rFonts w:ascii="仿宋" w:hAnsi="仿宋" w:eastAsia="仿宋" w:cs="仿宋"/>
          <w:spacing w:val="7"/>
          <w:sz w:val="24"/>
          <w:szCs w:val="24"/>
          <w:highlight w:val="none"/>
        </w:rPr>
        <w:t>26.1.</w:t>
      </w:r>
      <w:r>
        <w:rPr>
          <w:rFonts w:hint="eastAsia" w:ascii="仿宋" w:hAnsi="仿宋" w:eastAsia="仿宋" w:cs="仿宋"/>
          <w:spacing w:val="7"/>
          <w:sz w:val="24"/>
          <w:szCs w:val="24"/>
          <w:highlight w:val="none"/>
          <w:lang w:eastAsia="zh-CN"/>
        </w:rPr>
        <w:t>招标代理服务费参照《招标代理服务收费管理暂行办法》（计价格〔2002〕1980号）规定计取（按差额定率累进法计算）</w:t>
      </w:r>
      <w:r>
        <w:rPr>
          <w:rFonts w:ascii="仿宋" w:hAnsi="仿宋" w:eastAsia="仿宋" w:cs="仿宋"/>
          <w:spacing w:val="7"/>
          <w:sz w:val="24"/>
          <w:szCs w:val="24"/>
          <w:highlight w:val="none"/>
        </w:rPr>
        <w:t>，由中标（成交）人向采购代理机构交纳代理服务费。</w:t>
      </w:r>
    </w:p>
    <w:p w14:paraId="12E614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26.2.费用缴纳可采用电汇、转支（公户）</w:t>
      </w:r>
      <w:r>
        <w:rPr>
          <w:rFonts w:hint="eastAsia" w:ascii="仿宋" w:hAnsi="仿宋" w:eastAsia="仿宋" w:cs="仿宋"/>
          <w:spacing w:val="7"/>
          <w:sz w:val="24"/>
          <w:szCs w:val="24"/>
          <w:lang w:eastAsia="zh-CN"/>
        </w:rPr>
        <w:t>等</w:t>
      </w:r>
      <w:r>
        <w:rPr>
          <w:rFonts w:ascii="仿宋" w:hAnsi="仿宋" w:eastAsia="仿宋" w:cs="仿宋"/>
          <w:spacing w:val="7"/>
          <w:sz w:val="24"/>
          <w:szCs w:val="24"/>
        </w:rPr>
        <w:t>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p>
    <w:p w14:paraId="532FE3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27.中标通知书</w:t>
      </w:r>
    </w:p>
    <w:p w14:paraId="0CAE33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将电话通知</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缴纳招标代理服务费。</w:t>
      </w:r>
    </w:p>
    <w:p w14:paraId="3D1823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2</w:t>
      </w:r>
      <w:r>
        <w:rPr>
          <w:rFonts w:ascii="仿宋" w:hAnsi="仿宋" w:eastAsia="仿宋" w:cs="仿宋"/>
          <w:spacing w:val="7"/>
          <w:sz w:val="24"/>
          <w:szCs w:val="24"/>
        </w:rPr>
        <w:t>.在规定的投标有效期内，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将以书面形式向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发出《中标通知书》。</w:t>
      </w:r>
    </w:p>
    <w:p w14:paraId="4F902B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和</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具有同等法律效力。</w:t>
      </w:r>
    </w:p>
    <w:p w14:paraId="4CC02EF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.中标通知书是</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签订合同的依据，是合同必不可少的一个组成部分。</w:t>
      </w:r>
    </w:p>
    <w:p w14:paraId="6D47E1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w:t>
      </w:r>
      <w:r>
        <w:rPr>
          <w:rFonts w:hint="eastAsia" w:ascii="仿宋" w:hAnsi="仿宋" w:eastAsia="仿宋" w:cs="仿宋"/>
          <w:spacing w:val="7"/>
          <w:sz w:val="24"/>
          <w:szCs w:val="24"/>
          <w:lang w:eastAsia="zh-CN"/>
        </w:rPr>
        <w:t>采购合同</w:t>
      </w:r>
      <w:r>
        <w:rPr>
          <w:rFonts w:ascii="仿宋" w:hAnsi="仿宋" w:eastAsia="仿宋" w:cs="仿宋"/>
          <w:spacing w:val="7"/>
          <w:sz w:val="24"/>
          <w:szCs w:val="24"/>
        </w:rPr>
        <w:t>或放弃中标资格的，按照《中华人民共和国政府采购法实施条例》第四十九条规定执行。</w:t>
      </w:r>
    </w:p>
    <w:p w14:paraId="277530B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28.签订合同</w:t>
      </w:r>
    </w:p>
    <w:p w14:paraId="65DFC0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应当在中标通知书发出之日起30日内，按照招标文件确定的合同文本以及采购标的、规格型号、采购金额、采购数量、技术和服务要求等事项签订政府采购合同。</w:t>
      </w:r>
    </w:p>
    <w:p w14:paraId="4516CB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不得向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提出超出招标文件以外的任何要求作为签订合同的条件，不得与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订立背离招标文件确定的合同文本以及采购标的、规格型号、采购金额、采购数量、技术和服务要求等实质性内容的协议。</w:t>
      </w:r>
    </w:p>
    <w:p w14:paraId="434E3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改变成交结果，或者</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拒绝签订政府采购合同的，应当承担相应的法律责任。</w:t>
      </w:r>
    </w:p>
    <w:p w14:paraId="749971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28.4.</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管理办法》第三十六条第二款、第四十九条第二款规定的原则确定其他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作为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并签订政府采购合同，也可以重新开展采购活动。拒绝签订政府采购合同的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不得参加对该项目重新开展的采购活动。</w:t>
      </w:r>
    </w:p>
    <w:p w14:paraId="438C72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应当自采购合同签订之日起七个工作日内，按照有关规定将采购合同副本报同级人民政府财政部门备案。</w:t>
      </w:r>
    </w:p>
    <w:p w14:paraId="6BD12B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28.6.分包履行合同（本项目不允许分包）</w:t>
      </w:r>
    </w:p>
    <w:p w14:paraId="3B854A1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28.7.如招标文件同意分包，经</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同意，</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可以依法采取分包方式履行合同。政府 采购合同分包履行的，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就采购项目和分包项目向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负责，分包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就分包项目承担责任。</w:t>
      </w:r>
    </w:p>
    <w:p w14:paraId="6DCF85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29.政府采购合同履行中合同标的的追加</w:t>
      </w:r>
    </w:p>
    <w:p w14:paraId="60D8F0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需追加与合同标的相同的货物、工程或者服务的，在不改变合同其他条款的前提下，可以与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协商签订补充合同，但所有补充合同的采购金额不得超过原合同采购金额的百分之十。</w:t>
      </w:r>
    </w:p>
    <w:p w14:paraId="734D15F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30.废标条款</w:t>
      </w:r>
    </w:p>
    <w:p w14:paraId="32BC90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（一）符合专业条件的供应商或者对招标文件</w:t>
      </w:r>
      <w:r>
        <w:rPr>
          <w:rFonts w:hint="eastAsia" w:ascii="仿宋" w:hAnsi="仿宋" w:eastAsia="仿宋" w:cs="仿宋"/>
          <w:spacing w:val="7"/>
          <w:sz w:val="24"/>
          <w:szCs w:val="24"/>
          <w:lang w:val="en-US" w:eastAsia="zh-CN"/>
        </w:rPr>
        <w:t>做</w:t>
      </w:r>
      <w:r>
        <w:rPr>
          <w:rFonts w:hint="default" w:ascii="仿宋" w:hAnsi="仿宋" w:eastAsia="仿宋" w:cs="仿宋"/>
          <w:spacing w:val="7"/>
          <w:sz w:val="24"/>
          <w:szCs w:val="24"/>
          <w:lang w:val="en-US" w:eastAsia="zh-CN"/>
        </w:rPr>
        <w:t>实质</w:t>
      </w:r>
      <w:r>
        <w:rPr>
          <w:rFonts w:hint="eastAsia" w:ascii="仿宋" w:hAnsi="仿宋" w:eastAsia="仿宋" w:cs="仿宋"/>
          <w:spacing w:val="7"/>
          <w:sz w:val="24"/>
          <w:szCs w:val="24"/>
          <w:lang w:val="en-US" w:eastAsia="zh-CN"/>
        </w:rPr>
        <w:t>投标</w:t>
      </w:r>
      <w:r>
        <w:rPr>
          <w:rFonts w:hint="default" w:ascii="仿宋" w:hAnsi="仿宋" w:eastAsia="仿宋" w:cs="仿宋"/>
          <w:spacing w:val="7"/>
          <w:sz w:val="24"/>
          <w:szCs w:val="24"/>
          <w:lang w:val="en-US" w:eastAsia="zh-CN"/>
        </w:rPr>
        <w:t>的供应商不足三家的；</w:t>
      </w:r>
    </w:p>
    <w:p w14:paraId="07E937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（二）出现影响采购公正的违法、违规行为的；</w:t>
      </w:r>
    </w:p>
    <w:p w14:paraId="499C1BB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（三）投标人的报价均超过了采购预算，采购人不能支付的；</w:t>
      </w:r>
    </w:p>
    <w:p w14:paraId="54E995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default" w:ascii="仿宋" w:hAnsi="仿宋" w:eastAsia="仿宋" w:cs="仿宋"/>
          <w:spacing w:val="7"/>
          <w:sz w:val="24"/>
          <w:szCs w:val="24"/>
          <w:lang w:val="en-US" w:eastAsia="zh-CN"/>
        </w:rPr>
        <w:t>（四）因重大变故，采购任务取消的。</w:t>
      </w:r>
    </w:p>
    <w:p w14:paraId="50711541">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b/>
          <w:bCs/>
          <w:spacing w:val="7"/>
          <w:sz w:val="24"/>
          <w:szCs w:val="24"/>
        </w:rPr>
        <w:t>31.履约保证金（详见</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须知前附表）</w:t>
      </w:r>
    </w:p>
    <w:p w14:paraId="6EDEB08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31.1.在接到中标通知书30个日历天内，中标的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提交履约保证金。</w:t>
      </w:r>
    </w:p>
    <w:p w14:paraId="4B6C01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的履约保证金是以银行保函的形式提供，则该银行保函应由在中国注册的银行开具。</w:t>
      </w:r>
    </w:p>
    <w:p w14:paraId="7FE03F7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31.3.如果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则有权没收该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的损失超过投标保证金数额的，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应对超过部分予以赔偿。</w:t>
      </w:r>
    </w:p>
    <w:p w14:paraId="5FBEC65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32.采购任务取消</w:t>
      </w:r>
    </w:p>
    <w:p w14:paraId="04B98DC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应当终止采购活动，通知所有参加采购活动的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，并将项目实施情况和采购任务取消原因报送本级财政部门。</w:t>
      </w:r>
    </w:p>
    <w:p w14:paraId="7B80966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33.其他</w:t>
      </w:r>
    </w:p>
    <w:p w14:paraId="67C8F65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33.1.本招标文件如与网上发布的招标公告、更正公告等有差异的部分，以网上发布的为准。</w:t>
      </w:r>
    </w:p>
    <w:p w14:paraId="5122B7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成功投标并不意味着其满足</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资格，具体评判标准以本文件和评标委员会评审为依据。</w:t>
      </w:r>
    </w:p>
    <w:p w14:paraId="72C3C5E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pgSz w:w="11906" w:h="16839"/>
          <w:pgMar w:top="1440" w:right="1080" w:bottom="1440" w:left="1080" w:header="0" w:footer="989" w:gutter="0"/>
          <w:pgNumType w:fmt="decimal"/>
          <w:cols w:space="720" w:num="1"/>
        </w:sectPr>
      </w:pPr>
    </w:p>
    <w:p w14:paraId="4EEB7A39">
      <w:pPr>
        <w:keepLines w:val="0"/>
        <w:pageBreakBefore w:val="0"/>
        <w:kinsoku/>
        <w:wordWrap/>
        <w:overflowPunct/>
        <w:topLinePunct w:val="0"/>
        <w:bidi w:val="0"/>
        <w:spacing w:before="278" w:line="228" w:lineRule="auto"/>
        <w:ind w:left="3128"/>
        <w:rPr>
          <w:rFonts w:ascii="仿宋" w:hAnsi="仿宋" w:eastAsia="仿宋" w:cs="仿宋"/>
          <w:sz w:val="31"/>
          <w:szCs w:val="31"/>
        </w:rPr>
      </w:pPr>
      <w:r>
        <w:rPr>
          <w:rFonts w:ascii="仿宋" w:hAnsi="仿宋" w:eastAsia="仿宋" w:cs="仿宋"/>
          <w:b/>
          <w:bCs/>
          <w:spacing w:val="-1"/>
          <w:sz w:val="31"/>
          <w:szCs w:val="31"/>
        </w:rPr>
        <w:t>第三章</w:t>
      </w:r>
      <w:r>
        <w:rPr>
          <w:rFonts w:ascii="仿宋" w:hAnsi="仿宋" w:eastAsia="仿宋" w:cs="仿宋"/>
          <w:spacing w:val="18"/>
          <w:sz w:val="31"/>
          <w:szCs w:val="31"/>
        </w:rPr>
        <w:t xml:space="preserve">  </w:t>
      </w:r>
      <w:r>
        <w:rPr>
          <w:rFonts w:ascii="仿宋" w:hAnsi="仿宋" w:eastAsia="仿宋" w:cs="仿宋"/>
          <w:b/>
          <w:bCs/>
          <w:spacing w:val="-1"/>
          <w:sz w:val="31"/>
          <w:szCs w:val="31"/>
        </w:rPr>
        <w:t>评标办法</w:t>
      </w:r>
    </w:p>
    <w:p w14:paraId="1D1A943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评标办法（综合评分法）正文部分</w:t>
      </w:r>
    </w:p>
    <w:p w14:paraId="4D06A2E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（一）评标方式</w:t>
      </w:r>
    </w:p>
    <w:p w14:paraId="18984E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1、通过初步审查的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为合格的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0254D5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2、本次评标采用综合评分法。根据《中华人民共和国政府采购法》、《政府采购评审专家管理办法》</w:t>
      </w:r>
      <w:r>
        <w:rPr>
          <w:rFonts w:hint="eastAsia" w:ascii="仿宋" w:hAnsi="仿宋" w:eastAsia="仿宋" w:cs="仿宋"/>
          <w:spacing w:val="7"/>
          <w:sz w:val="24"/>
          <w:szCs w:val="24"/>
          <w:lang w:eastAsia="zh-CN"/>
        </w:rPr>
        <w:t>等相关</w:t>
      </w:r>
      <w:r>
        <w:rPr>
          <w:rFonts w:ascii="仿宋" w:hAnsi="仿宋" w:eastAsia="仿宋" w:cs="仿宋"/>
          <w:spacing w:val="7"/>
          <w:sz w:val="24"/>
          <w:szCs w:val="24"/>
        </w:rPr>
        <w:t>规定的标准和补充规定等法律法规和有关实施办法。评标委员会将对各投标单位的投标文件，能否最大限度的满足招标文件中规定的各项要求和评价标准进行评审和比较。</w:t>
      </w:r>
    </w:p>
    <w:p w14:paraId="768409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3、综合评分法采取百分制的量化评审；由评标委员会成员依据评审标准独立打分。</w:t>
      </w:r>
    </w:p>
    <w:p w14:paraId="7BE13E7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（二）评标计算规则</w:t>
      </w:r>
    </w:p>
    <w:p w14:paraId="436FAA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ascii="仿宋" w:hAnsi="仿宋" w:eastAsia="仿宋" w:cs="仿宋"/>
          <w:spacing w:val="7"/>
          <w:sz w:val="24"/>
          <w:szCs w:val="24"/>
        </w:rPr>
        <w:t>报价得分</w:t>
      </w:r>
      <w:r>
        <w:rPr>
          <w:rFonts w:hint="eastAsia" w:ascii="仿宋" w:hAnsi="仿宋" w:eastAsia="仿宋" w:cs="仿宋"/>
          <w:spacing w:val="7"/>
          <w:sz w:val="24"/>
          <w:szCs w:val="24"/>
          <w:lang w:val="en-US" w:eastAsia="zh-CN"/>
        </w:rPr>
        <w:t>=</w:t>
      </w:r>
      <w:r>
        <w:rPr>
          <w:rFonts w:hint="eastAsia" w:ascii="仿宋" w:hAnsi="仿宋" w:eastAsia="仿宋" w:cs="仿宋"/>
          <w:spacing w:val="7"/>
          <w:sz w:val="24"/>
          <w:szCs w:val="24"/>
          <w:lang w:eastAsia="zh-CN"/>
        </w:rPr>
        <w:t>（</w:t>
      </w:r>
      <w:r>
        <w:rPr>
          <w:rFonts w:ascii="仿宋" w:hAnsi="仿宋" w:eastAsia="仿宋" w:cs="仿宋"/>
          <w:spacing w:val="7"/>
          <w:sz w:val="24"/>
          <w:szCs w:val="24"/>
        </w:rPr>
        <w:t>评标基准价／</w:t>
      </w:r>
      <w:r>
        <w:rPr>
          <w:rFonts w:hint="eastAsia" w:ascii="仿宋" w:hAnsi="仿宋" w:eastAsia="仿宋" w:cs="仿宋"/>
          <w:spacing w:val="7"/>
          <w:sz w:val="24"/>
          <w:szCs w:val="24"/>
          <w:lang w:eastAsia="zh-CN"/>
        </w:rPr>
        <w:t>投标报价）</w:t>
      </w:r>
      <w:r>
        <w:rPr>
          <w:rFonts w:ascii="仿宋" w:hAnsi="仿宋" w:eastAsia="仿宋" w:cs="仿宋"/>
          <w:spacing w:val="7"/>
          <w:sz w:val="24"/>
          <w:szCs w:val="24"/>
        </w:rPr>
        <w:t>×价格权重</w:t>
      </w:r>
      <w:r>
        <w:rPr>
          <w:rFonts w:ascii="仿宋" w:hAnsi="仿宋" w:eastAsia="仿宋" w:cs="仿宋"/>
          <w:snapToGrid w:val="0"/>
          <w:color w:val="000000"/>
          <w:spacing w:val="7"/>
          <w:kern w:val="0"/>
          <w:sz w:val="24"/>
          <w:szCs w:val="24"/>
          <w:lang w:val="en-US" w:eastAsia="en-US" w:bidi="ar-SA"/>
        </w:rPr>
        <w:t>×</w:t>
      </w:r>
      <w:r>
        <w:rPr>
          <w:rFonts w:hint="eastAsia" w:ascii="仿宋" w:hAnsi="仿宋" w:eastAsia="仿宋" w:cs="仿宋"/>
          <w:snapToGrid w:val="0"/>
          <w:color w:val="000000"/>
          <w:spacing w:val="7"/>
          <w:kern w:val="0"/>
          <w:sz w:val="24"/>
          <w:szCs w:val="24"/>
          <w:lang w:val="en-US" w:eastAsia="zh-CN" w:bidi="ar-SA"/>
        </w:rPr>
        <w:t>100</w:t>
      </w:r>
    </w:p>
    <w:p w14:paraId="6EC9F17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基准价=</w:t>
      </w:r>
      <w:r>
        <w:rPr>
          <w:rFonts w:hint="eastAsia" w:ascii="仿宋" w:hAnsi="仿宋" w:eastAsia="仿宋" w:cs="仿宋"/>
          <w:spacing w:val="7"/>
          <w:sz w:val="24"/>
          <w:szCs w:val="24"/>
          <w:lang w:eastAsia="zh-CN"/>
        </w:rPr>
        <w:t>即满足招标文件要求且有效投标价格最低的投标报价为评标基准价</w:t>
      </w:r>
      <w:r>
        <w:rPr>
          <w:rFonts w:ascii="仿宋" w:hAnsi="仿宋" w:eastAsia="仿宋" w:cs="仿宋"/>
          <w:spacing w:val="7"/>
          <w:sz w:val="24"/>
          <w:szCs w:val="24"/>
        </w:rPr>
        <w:t>，其价格得分计</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0分</w:t>
      </w:r>
    </w:p>
    <w:p w14:paraId="568235D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评标时，评标委员会各成员应当独立对每个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的投标文件进行评价，并汇总每个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的得分，评标结果按评审后得分由高到低顺序排列。得分相同的，按投标报价由低到高顺序排列。得分且投标报价相同的并列。投标文件满足招标文件全部实质性要求，且按照评审因素的量化指标评审得分最高的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7DD5A0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1"/>
          <w:szCs w:val="21"/>
        </w:rPr>
        <w:sectPr>
          <w:pgSz w:w="11906" w:h="16839"/>
          <w:pgMar w:top="1440" w:right="1080" w:bottom="1440" w:left="1080" w:header="0" w:footer="989" w:gutter="0"/>
          <w:pgNumType w:fmt="decimal"/>
          <w:cols w:space="720" w:num="1"/>
        </w:sectPr>
      </w:pPr>
    </w:p>
    <w:p w14:paraId="2BB3B700">
      <w:pPr>
        <w:keepLines w:val="0"/>
        <w:pageBreakBefore w:val="0"/>
        <w:kinsoku/>
        <w:wordWrap/>
        <w:overflowPunct/>
        <w:topLinePunct w:val="0"/>
        <w:bidi w:val="0"/>
        <w:spacing w:before="157" w:line="232" w:lineRule="auto"/>
        <w:ind w:left="766"/>
        <w:rPr>
          <w:rFonts w:ascii="仿宋" w:hAnsi="仿宋" w:eastAsia="仿宋" w:cs="仿宋"/>
          <w:sz w:val="20"/>
          <w:szCs w:val="20"/>
        </w:rPr>
      </w:pPr>
      <w:r>
        <w:rPr>
          <w:rFonts w:ascii="仿宋" w:hAnsi="仿宋" w:eastAsia="仿宋" w:cs="仿宋"/>
          <w:spacing w:val="4"/>
          <w:sz w:val="20"/>
          <w:szCs w:val="20"/>
        </w:rPr>
        <w:t>附表一</w:t>
      </w:r>
    </w:p>
    <w:p w14:paraId="678B75CE">
      <w:pPr>
        <w:keepLines w:val="0"/>
        <w:pageBreakBefore w:val="0"/>
        <w:kinsoku/>
        <w:wordWrap/>
        <w:overflowPunct/>
        <w:topLinePunct w:val="0"/>
        <w:bidi w:val="0"/>
        <w:spacing w:before="190" w:line="223" w:lineRule="auto"/>
        <w:jc w:val="center"/>
        <w:rPr>
          <w:rFonts w:ascii="仿宋" w:hAnsi="仿宋" w:eastAsia="仿宋" w:cs="仿宋"/>
          <w:sz w:val="28"/>
          <w:szCs w:val="28"/>
        </w:rPr>
      </w:pPr>
      <w:r>
        <w:rPr>
          <w:rFonts w:ascii="仿宋" w:hAnsi="仿宋" w:eastAsia="仿宋" w:cs="仿宋"/>
          <w:b/>
          <w:bCs/>
          <w:spacing w:val="-3"/>
          <w:sz w:val="28"/>
          <w:szCs w:val="28"/>
        </w:rPr>
        <w:t>初步评审标准</w:t>
      </w:r>
    </w:p>
    <w:p w14:paraId="65768E32">
      <w:pPr>
        <w:keepLines w:val="0"/>
        <w:pageBreakBefore w:val="0"/>
        <w:kinsoku/>
        <w:wordWrap/>
        <w:overflowPunct/>
        <w:topLinePunct w:val="0"/>
        <w:bidi w:val="0"/>
        <w:spacing w:line="122" w:lineRule="exact"/>
      </w:pPr>
    </w:p>
    <w:tbl>
      <w:tblPr>
        <w:tblStyle w:val="25"/>
        <w:tblW w:w="973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33"/>
        <w:gridCol w:w="6664"/>
        <w:gridCol w:w="736"/>
        <w:gridCol w:w="762"/>
      </w:tblGrid>
      <w:tr w14:paraId="587A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4" w:type="dxa"/>
            <w:vMerge w:val="restart"/>
            <w:tcBorders>
              <w:top w:val="single" w:color="000000" w:sz="10" w:space="0"/>
              <w:left w:val="single" w:color="000000" w:sz="10" w:space="0"/>
              <w:bottom w:val="nil"/>
            </w:tcBorders>
            <w:vAlign w:val="top"/>
          </w:tcPr>
          <w:p w14:paraId="38F1F157">
            <w:pPr>
              <w:keepLines w:val="0"/>
              <w:pageBreakBefore w:val="0"/>
              <w:kinsoku/>
              <w:wordWrap/>
              <w:overflowPunct/>
              <w:topLinePunct w:val="0"/>
              <w:bidi w:val="0"/>
              <w:spacing w:line="318" w:lineRule="auto"/>
              <w:rPr>
                <w:rFonts w:ascii="Arial"/>
                <w:sz w:val="21"/>
                <w:szCs w:val="21"/>
              </w:rPr>
            </w:pPr>
          </w:p>
          <w:p w14:paraId="0BBD3770">
            <w:pPr>
              <w:pStyle w:val="26"/>
              <w:keepLines w:val="0"/>
              <w:pageBreakBefore w:val="0"/>
              <w:kinsoku/>
              <w:wordWrap/>
              <w:overflowPunct/>
              <w:topLinePunct w:val="0"/>
              <w:bidi w:val="0"/>
              <w:spacing w:before="65" w:line="232" w:lineRule="auto"/>
              <w:ind w:left="210"/>
              <w:rPr>
                <w:sz w:val="21"/>
                <w:szCs w:val="21"/>
              </w:rPr>
            </w:pPr>
            <w:r>
              <w:rPr>
                <w:b/>
                <w:bCs/>
                <w:sz w:val="21"/>
                <w:szCs w:val="21"/>
              </w:rPr>
              <w:t>项目</w:t>
            </w:r>
          </w:p>
        </w:tc>
        <w:tc>
          <w:tcPr>
            <w:tcW w:w="7397" w:type="dxa"/>
            <w:gridSpan w:val="2"/>
            <w:vMerge w:val="restart"/>
            <w:tcBorders>
              <w:top w:val="single" w:color="000000" w:sz="10" w:space="0"/>
              <w:bottom w:val="nil"/>
            </w:tcBorders>
            <w:vAlign w:val="top"/>
          </w:tcPr>
          <w:p w14:paraId="145D4B0A">
            <w:pPr>
              <w:keepLines w:val="0"/>
              <w:pageBreakBefore w:val="0"/>
              <w:kinsoku/>
              <w:wordWrap/>
              <w:overflowPunct/>
              <w:topLinePunct w:val="0"/>
              <w:bidi w:val="0"/>
              <w:spacing w:line="317" w:lineRule="auto"/>
              <w:rPr>
                <w:rFonts w:ascii="Arial"/>
                <w:sz w:val="21"/>
                <w:szCs w:val="21"/>
              </w:rPr>
            </w:pPr>
          </w:p>
          <w:p w14:paraId="5B2C83F1">
            <w:pPr>
              <w:pStyle w:val="26"/>
              <w:keepLines w:val="0"/>
              <w:pageBreakBefore w:val="0"/>
              <w:kinsoku/>
              <w:wordWrap/>
              <w:overflowPunct/>
              <w:topLinePunct w:val="0"/>
              <w:bidi w:val="0"/>
              <w:spacing w:before="65" w:line="231" w:lineRule="auto"/>
              <w:ind w:left="3293"/>
              <w:rPr>
                <w:sz w:val="21"/>
                <w:szCs w:val="21"/>
              </w:rPr>
            </w:pPr>
            <w:r>
              <w:rPr>
                <w:b/>
                <w:bCs/>
                <w:spacing w:val="4"/>
                <w:sz w:val="21"/>
                <w:szCs w:val="21"/>
              </w:rPr>
              <w:t>评审内容</w:t>
            </w:r>
          </w:p>
        </w:tc>
        <w:tc>
          <w:tcPr>
            <w:tcW w:w="1498" w:type="dxa"/>
            <w:gridSpan w:val="2"/>
            <w:tcBorders>
              <w:top w:val="single" w:color="000000" w:sz="10" w:space="0"/>
              <w:right w:val="single" w:color="000000" w:sz="10" w:space="0"/>
            </w:tcBorders>
            <w:vAlign w:val="top"/>
          </w:tcPr>
          <w:p w14:paraId="373B158C">
            <w:pPr>
              <w:pStyle w:val="26"/>
              <w:keepLines w:val="0"/>
              <w:pageBreakBefore w:val="0"/>
              <w:kinsoku/>
              <w:wordWrap/>
              <w:overflowPunct/>
              <w:topLinePunct w:val="0"/>
              <w:bidi w:val="0"/>
              <w:spacing w:before="58" w:line="319" w:lineRule="exact"/>
              <w:ind w:left="553"/>
              <w:rPr>
                <w:sz w:val="21"/>
                <w:szCs w:val="21"/>
              </w:rPr>
            </w:pPr>
            <w:r>
              <w:rPr>
                <w:b/>
                <w:bCs/>
                <w:position w:val="8"/>
                <w:sz w:val="21"/>
                <w:szCs w:val="21"/>
              </w:rPr>
              <w:t>评审</w:t>
            </w:r>
          </w:p>
          <w:p w14:paraId="18D03E3F">
            <w:pPr>
              <w:pStyle w:val="26"/>
              <w:keepLines w:val="0"/>
              <w:pageBreakBefore w:val="0"/>
              <w:kinsoku/>
              <w:wordWrap/>
              <w:overflowPunct/>
              <w:topLinePunct w:val="0"/>
              <w:bidi w:val="0"/>
              <w:spacing w:before="1" w:line="232" w:lineRule="auto"/>
              <w:ind w:left="560"/>
              <w:rPr>
                <w:sz w:val="21"/>
                <w:szCs w:val="21"/>
              </w:rPr>
            </w:pPr>
            <w:r>
              <w:rPr>
                <w:b/>
                <w:bCs/>
                <w:spacing w:val="-3"/>
                <w:sz w:val="21"/>
                <w:szCs w:val="21"/>
              </w:rPr>
              <w:t>意见</w:t>
            </w:r>
          </w:p>
        </w:tc>
      </w:tr>
      <w:tr w14:paraId="05D1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844" w:type="dxa"/>
            <w:vMerge w:val="continue"/>
            <w:tcBorders>
              <w:top w:val="nil"/>
              <w:left w:val="single" w:color="000000" w:sz="10" w:space="0"/>
            </w:tcBorders>
            <w:vAlign w:val="top"/>
          </w:tcPr>
          <w:p w14:paraId="538FA865">
            <w:pPr>
              <w:keepLines w:val="0"/>
              <w:pageBreakBefore w:val="0"/>
              <w:kinsoku/>
              <w:wordWrap/>
              <w:overflowPunct/>
              <w:topLinePunct w:val="0"/>
              <w:bidi w:val="0"/>
              <w:rPr>
                <w:rFonts w:ascii="Arial"/>
                <w:sz w:val="21"/>
                <w:szCs w:val="21"/>
              </w:rPr>
            </w:pPr>
          </w:p>
        </w:tc>
        <w:tc>
          <w:tcPr>
            <w:tcW w:w="7397" w:type="dxa"/>
            <w:gridSpan w:val="2"/>
            <w:vMerge w:val="continue"/>
            <w:tcBorders>
              <w:top w:val="nil"/>
            </w:tcBorders>
            <w:vAlign w:val="top"/>
          </w:tcPr>
          <w:p w14:paraId="50BC61C1">
            <w:pPr>
              <w:keepLines w:val="0"/>
              <w:pageBreakBefore w:val="0"/>
              <w:kinsoku/>
              <w:wordWrap/>
              <w:overflowPunct/>
              <w:topLinePunct w:val="0"/>
              <w:bidi w:val="0"/>
              <w:rPr>
                <w:rFonts w:ascii="Arial"/>
                <w:sz w:val="21"/>
                <w:szCs w:val="21"/>
              </w:rPr>
            </w:pPr>
          </w:p>
        </w:tc>
        <w:tc>
          <w:tcPr>
            <w:tcW w:w="736" w:type="dxa"/>
            <w:vAlign w:val="top"/>
          </w:tcPr>
          <w:p w14:paraId="4EA98274">
            <w:pPr>
              <w:pStyle w:val="26"/>
              <w:keepLines w:val="0"/>
              <w:pageBreakBefore w:val="0"/>
              <w:kinsoku/>
              <w:wordWrap/>
              <w:overflowPunct/>
              <w:topLinePunct w:val="0"/>
              <w:bidi w:val="0"/>
              <w:spacing w:before="52" w:line="233" w:lineRule="auto"/>
              <w:jc w:val="center"/>
              <w:rPr>
                <w:rFonts w:hint="eastAsia" w:eastAsia="仿宋"/>
                <w:sz w:val="21"/>
                <w:szCs w:val="21"/>
                <w:lang w:eastAsia="zh-CN"/>
              </w:rPr>
            </w:pPr>
            <w:r>
              <w:rPr>
                <w:rFonts w:hint="eastAsia"/>
                <w:b/>
                <w:bCs/>
                <w:spacing w:val="-3"/>
                <w:sz w:val="21"/>
                <w:szCs w:val="21"/>
                <w:lang w:eastAsia="zh-CN"/>
              </w:rPr>
              <w:t>通过</w:t>
            </w:r>
          </w:p>
        </w:tc>
        <w:tc>
          <w:tcPr>
            <w:tcW w:w="762" w:type="dxa"/>
            <w:tcBorders>
              <w:right w:val="single" w:color="000000" w:sz="10" w:space="0"/>
            </w:tcBorders>
            <w:vAlign w:val="top"/>
          </w:tcPr>
          <w:p w14:paraId="1C31D82C">
            <w:pPr>
              <w:pStyle w:val="26"/>
              <w:keepLines w:val="0"/>
              <w:pageBreakBefore w:val="0"/>
              <w:kinsoku/>
              <w:wordWrap/>
              <w:overflowPunct/>
              <w:topLinePunct w:val="0"/>
              <w:bidi w:val="0"/>
              <w:spacing w:before="52" w:line="233" w:lineRule="auto"/>
              <w:jc w:val="center"/>
              <w:rPr>
                <w:rFonts w:hint="eastAsia" w:eastAsia="仿宋"/>
                <w:sz w:val="21"/>
                <w:szCs w:val="21"/>
                <w:lang w:eastAsia="zh-CN"/>
              </w:rPr>
            </w:pPr>
            <w:r>
              <w:rPr>
                <w:rFonts w:hint="eastAsia"/>
                <w:b/>
                <w:bCs/>
                <w:spacing w:val="-3"/>
                <w:sz w:val="21"/>
                <w:szCs w:val="21"/>
                <w:lang w:eastAsia="zh-CN"/>
              </w:rPr>
              <w:t>不通过</w:t>
            </w:r>
          </w:p>
        </w:tc>
      </w:tr>
      <w:tr w14:paraId="574BF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8" w:hRule="atLeast"/>
        </w:trPr>
        <w:tc>
          <w:tcPr>
            <w:tcW w:w="844" w:type="dxa"/>
            <w:vMerge w:val="restart"/>
            <w:tcBorders>
              <w:left w:val="single" w:color="000000" w:sz="10" w:space="0"/>
            </w:tcBorders>
            <w:textDirection w:val="tbRlV"/>
            <w:vAlign w:val="top"/>
          </w:tcPr>
          <w:p w14:paraId="051A0EAF">
            <w:pPr>
              <w:keepLines w:val="0"/>
              <w:pageBreakBefore w:val="0"/>
              <w:kinsoku/>
              <w:wordWrap/>
              <w:overflowPunct/>
              <w:topLinePunct w:val="0"/>
              <w:bidi w:val="0"/>
              <w:spacing w:line="243" w:lineRule="auto"/>
              <w:rPr>
                <w:rFonts w:ascii="Arial"/>
                <w:sz w:val="24"/>
                <w:szCs w:val="24"/>
              </w:rPr>
            </w:pPr>
          </w:p>
          <w:p w14:paraId="15F92629">
            <w:pPr>
              <w:pStyle w:val="26"/>
              <w:keepLines w:val="0"/>
              <w:pageBreakBefore w:val="0"/>
              <w:kinsoku/>
              <w:wordWrap/>
              <w:overflowPunct/>
              <w:topLinePunct w:val="0"/>
              <w:bidi w:val="0"/>
              <w:spacing w:before="67" w:line="208" w:lineRule="auto"/>
              <w:ind w:left="3449"/>
              <w:rPr>
                <w:sz w:val="24"/>
                <w:szCs w:val="24"/>
              </w:rPr>
            </w:pPr>
            <w:r>
              <w:rPr>
                <w:spacing w:val="9"/>
                <w:sz w:val="24"/>
                <w:szCs w:val="24"/>
              </w:rPr>
              <w:t>资 格 性 审 查</w:t>
            </w:r>
          </w:p>
        </w:tc>
        <w:tc>
          <w:tcPr>
            <w:tcW w:w="733" w:type="dxa"/>
            <w:vAlign w:val="center"/>
          </w:tcPr>
          <w:p w14:paraId="701767F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p>
          <w:p w14:paraId="207B84F4">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3FAEB0A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ascii="仿宋" w:hAnsi="仿宋" w:eastAsia="仿宋" w:cs="仿宋"/>
                <w:spacing w:val="7"/>
                <w:sz w:val="24"/>
                <w:szCs w:val="24"/>
              </w:rPr>
              <w:t>具有有效经年检的三证合一营业执照原件</w:t>
            </w:r>
            <w:r>
              <w:rPr>
                <w:rFonts w:hint="eastAsia" w:ascii="仿宋" w:hAnsi="仿宋" w:eastAsia="仿宋" w:cs="仿宋"/>
                <w:spacing w:val="7"/>
                <w:sz w:val="24"/>
                <w:szCs w:val="24"/>
                <w:lang w:eastAsia="zh-CN"/>
              </w:rPr>
              <w:t>扫描件</w:t>
            </w:r>
            <w:r>
              <w:rPr>
                <w:rFonts w:ascii="仿宋" w:hAnsi="仿宋" w:eastAsia="仿宋" w:cs="仿宋"/>
                <w:spacing w:val="7"/>
                <w:sz w:val="24"/>
                <w:szCs w:val="24"/>
              </w:rPr>
              <w:t>（若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是企业（包括合伙企业）应提供营业执照；若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是事业单位应提供事业单位法人证书；若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是个体工商户应提供个体工商户营业执照；若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是自然人应提供自然人身份证明）</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6C4686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055A648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05D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107069C3">
            <w:pPr>
              <w:keepLines w:val="0"/>
              <w:pageBreakBefore w:val="0"/>
              <w:kinsoku/>
              <w:wordWrap/>
              <w:overflowPunct/>
              <w:topLinePunct w:val="0"/>
              <w:bidi w:val="0"/>
              <w:rPr>
                <w:rFonts w:ascii="Arial"/>
                <w:sz w:val="24"/>
                <w:szCs w:val="24"/>
              </w:rPr>
            </w:pPr>
          </w:p>
        </w:tc>
        <w:tc>
          <w:tcPr>
            <w:tcW w:w="733" w:type="dxa"/>
            <w:vAlign w:val="center"/>
          </w:tcPr>
          <w:p w14:paraId="7CA1074A">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3188F7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具有良好的商业信誉和健全的财务会计制度（提供2023年经审计的财务报告，企业成立不足一年的，须提供企业成立以来的财务报表加盖单位公章）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1B30515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1C6854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350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844" w:type="dxa"/>
            <w:vMerge w:val="continue"/>
            <w:tcBorders>
              <w:left w:val="single" w:color="000000" w:sz="10" w:space="0"/>
            </w:tcBorders>
            <w:textDirection w:val="tbRlV"/>
            <w:vAlign w:val="top"/>
          </w:tcPr>
          <w:p w14:paraId="49DB52B4">
            <w:pPr>
              <w:keepLines w:val="0"/>
              <w:pageBreakBefore w:val="0"/>
              <w:kinsoku/>
              <w:wordWrap/>
              <w:overflowPunct/>
              <w:topLinePunct w:val="0"/>
              <w:bidi w:val="0"/>
              <w:rPr>
                <w:rFonts w:ascii="Arial"/>
                <w:sz w:val="24"/>
                <w:szCs w:val="24"/>
              </w:rPr>
            </w:pPr>
          </w:p>
        </w:tc>
        <w:tc>
          <w:tcPr>
            <w:tcW w:w="733" w:type="dxa"/>
            <w:vAlign w:val="center"/>
          </w:tcPr>
          <w:p w14:paraId="0420A8A6">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3</w:t>
            </w:r>
          </w:p>
        </w:tc>
        <w:tc>
          <w:tcPr>
            <w:tcW w:w="6664" w:type="dxa"/>
            <w:vAlign w:val="top"/>
          </w:tcPr>
          <w:p w14:paraId="56CF65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tc>
        <w:tc>
          <w:tcPr>
            <w:tcW w:w="736" w:type="dxa"/>
            <w:tcBorders>
              <w:right w:val="single" w:color="000000" w:sz="2" w:space="0"/>
            </w:tcBorders>
            <w:vAlign w:val="top"/>
          </w:tcPr>
          <w:p w14:paraId="07A06A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641B603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33B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844" w:type="dxa"/>
            <w:vMerge w:val="continue"/>
            <w:tcBorders>
              <w:left w:val="single" w:color="000000" w:sz="10" w:space="0"/>
            </w:tcBorders>
            <w:textDirection w:val="tbRlV"/>
            <w:vAlign w:val="top"/>
          </w:tcPr>
          <w:p w14:paraId="692F72F5">
            <w:pPr>
              <w:keepLines w:val="0"/>
              <w:pageBreakBefore w:val="0"/>
              <w:kinsoku/>
              <w:wordWrap/>
              <w:overflowPunct/>
              <w:topLinePunct w:val="0"/>
              <w:bidi w:val="0"/>
              <w:rPr>
                <w:rFonts w:ascii="Arial"/>
                <w:sz w:val="24"/>
                <w:szCs w:val="24"/>
              </w:rPr>
            </w:pPr>
          </w:p>
        </w:tc>
        <w:tc>
          <w:tcPr>
            <w:tcW w:w="733" w:type="dxa"/>
            <w:vAlign w:val="center"/>
          </w:tcPr>
          <w:p w14:paraId="4A0488B1">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4</w:t>
            </w:r>
          </w:p>
        </w:tc>
        <w:tc>
          <w:tcPr>
            <w:tcW w:w="6664" w:type="dxa"/>
            <w:vAlign w:val="top"/>
          </w:tcPr>
          <w:p w14:paraId="5CC7CBF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3F6A27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471B16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8118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44" w:type="dxa"/>
            <w:vMerge w:val="continue"/>
            <w:tcBorders>
              <w:left w:val="single" w:color="000000" w:sz="10" w:space="0"/>
            </w:tcBorders>
            <w:textDirection w:val="tbRlV"/>
            <w:vAlign w:val="top"/>
          </w:tcPr>
          <w:p w14:paraId="4BAA0617">
            <w:pPr>
              <w:keepLines w:val="0"/>
              <w:pageBreakBefore w:val="0"/>
              <w:kinsoku/>
              <w:wordWrap/>
              <w:overflowPunct/>
              <w:topLinePunct w:val="0"/>
              <w:bidi w:val="0"/>
              <w:rPr>
                <w:rFonts w:ascii="Arial"/>
                <w:sz w:val="24"/>
                <w:szCs w:val="24"/>
              </w:rPr>
            </w:pPr>
          </w:p>
        </w:tc>
        <w:tc>
          <w:tcPr>
            <w:tcW w:w="733" w:type="dxa"/>
            <w:vAlign w:val="center"/>
          </w:tcPr>
          <w:p w14:paraId="216D9733">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6664" w:type="dxa"/>
            <w:vAlign w:val="top"/>
          </w:tcPr>
          <w:p w14:paraId="6A721E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法定代表人参加应上传法定代表人身份证明和本人身份证；</w:t>
            </w:r>
            <w:r>
              <w:rPr>
                <w:rFonts w:hint="eastAsia" w:ascii="仿宋" w:hAnsi="仿宋" w:eastAsia="仿宋" w:cs="仿宋"/>
                <w:spacing w:val="7"/>
                <w:sz w:val="24"/>
                <w:szCs w:val="24"/>
                <w:lang w:val="en-US" w:eastAsia="zh-CN"/>
              </w:rPr>
              <w:t>委托代理人参加应上传法定代表人身份证明、授权委托书、本人身份证;</w:t>
            </w:r>
          </w:p>
        </w:tc>
        <w:tc>
          <w:tcPr>
            <w:tcW w:w="736" w:type="dxa"/>
            <w:tcBorders>
              <w:right w:val="single" w:color="000000" w:sz="2" w:space="0"/>
            </w:tcBorders>
            <w:vAlign w:val="top"/>
          </w:tcPr>
          <w:p w14:paraId="40F75CA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4ADA04B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F22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844" w:type="dxa"/>
            <w:vMerge w:val="continue"/>
            <w:tcBorders>
              <w:left w:val="single" w:color="000000" w:sz="10" w:space="0"/>
            </w:tcBorders>
            <w:textDirection w:val="tbRlV"/>
            <w:vAlign w:val="top"/>
          </w:tcPr>
          <w:p w14:paraId="65D0029B">
            <w:pPr>
              <w:keepLines w:val="0"/>
              <w:pageBreakBefore w:val="0"/>
              <w:kinsoku/>
              <w:wordWrap/>
              <w:overflowPunct/>
              <w:topLinePunct w:val="0"/>
              <w:bidi w:val="0"/>
              <w:rPr>
                <w:rFonts w:ascii="Arial"/>
                <w:sz w:val="24"/>
                <w:szCs w:val="24"/>
              </w:rPr>
            </w:pPr>
          </w:p>
        </w:tc>
        <w:tc>
          <w:tcPr>
            <w:tcW w:w="733" w:type="dxa"/>
            <w:vAlign w:val="center"/>
          </w:tcPr>
          <w:p w14:paraId="3DC80134">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vAlign w:val="top"/>
          </w:tcPr>
          <w:p w14:paraId="79DEBA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rPr>
            </w:pPr>
            <w:r>
              <w:rPr>
                <w:rFonts w:hint="eastAsia" w:ascii="仿宋" w:hAnsi="仿宋" w:eastAsia="仿宋" w:cs="仿宋"/>
                <w:spacing w:val="7"/>
                <w:sz w:val="24"/>
                <w:szCs w:val="24"/>
                <w:lang w:val="en-US" w:eastAsia="zh-CN"/>
              </w:rPr>
              <w:t>投标人如在“信用中国”网站、中国政府采购网被列入严重违法失信行为记录名单的（尚在处罚期内的），将拒绝其参加本次政府采购活动（开标现场查询）。此次招标项目不接受联合体投标;</w:t>
            </w:r>
          </w:p>
        </w:tc>
        <w:tc>
          <w:tcPr>
            <w:tcW w:w="736" w:type="dxa"/>
            <w:tcBorders>
              <w:right w:val="single" w:color="000000" w:sz="2" w:space="0"/>
            </w:tcBorders>
            <w:vAlign w:val="top"/>
          </w:tcPr>
          <w:p w14:paraId="496C475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796F4D7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EAA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5D906AA6">
            <w:pPr>
              <w:keepLines w:val="0"/>
              <w:pageBreakBefore w:val="0"/>
              <w:kinsoku/>
              <w:wordWrap/>
              <w:overflowPunct/>
              <w:topLinePunct w:val="0"/>
              <w:bidi w:val="0"/>
              <w:rPr>
                <w:rFonts w:ascii="Arial"/>
                <w:sz w:val="24"/>
                <w:szCs w:val="24"/>
              </w:rPr>
            </w:pPr>
          </w:p>
        </w:tc>
        <w:tc>
          <w:tcPr>
            <w:tcW w:w="733" w:type="dxa"/>
            <w:vAlign w:val="center"/>
          </w:tcPr>
          <w:p w14:paraId="54CB6169">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vAlign w:val="top"/>
          </w:tcPr>
          <w:p w14:paraId="0B28628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投标人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tc>
        <w:tc>
          <w:tcPr>
            <w:tcW w:w="736" w:type="dxa"/>
            <w:tcBorders>
              <w:right w:val="single" w:color="000000" w:sz="2" w:space="0"/>
            </w:tcBorders>
            <w:vAlign w:val="top"/>
          </w:tcPr>
          <w:p w14:paraId="553D0E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5A4C5F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019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restart"/>
            <w:tcBorders>
              <w:top w:val="nil"/>
              <w:left w:val="single" w:color="000000" w:sz="10" w:space="0"/>
            </w:tcBorders>
            <w:textDirection w:val="tbRlV"/>
            <w:vAlign w:val="top"/>
          </w:tcPr>
          <w:p w14:paraId="12E5A3AE">
            <w:pPr>
              <w:keepLines w:val="0"/>
              <w:pageBreakBefore w:val="0"/>
              <w:kinsoku/>
              <w:wordWrap/>
              <w:overflowPunct/>
              <w:topLinePunct w:val="0"/>
              <w:bidi w:val="0"/>
              <w:spacing w:line="243" w:lineRule="auto"/>
              <w:rPr>
                <w:rFonts w:ascii="Arial"/>
                <w:sz w:val="24"/>
                <w:szCs w:val="24"/>
              </w:rPr>
            </w:pPr>
          </w:p>
          <w:p w14:paraId="170D35EA">
            <w:pPr>
              <w:pStyle w:val="26"/>
              <w:keepLines w:val="0"/>
              <w:pageBreakBefore w:val="0"/>
              <w:kinsoku/>
              <w:wordWrap/>
              <w:overflowPunct/>
              <w:topLinePunct w:val="0"/>
              <w:bidi w:val="0"/>
              <w:spacing w:before="67" w:line="206" w:lineRule="auto"/>
              <w:ind w:left="0" w:leftChars="0" w:firstLine="0" w:firstLineChars="0"/>
              <w:jc w:val="center"/>
              <w:rPr>
                <w:sz w:val="24"/>
                <w:szCs w:val="24"/>
              </w:rPr>
            </w:pPr>
            <w:r>
              <w:rPr>
                <w:spacing w:val="10"/>
                <w:sz w:val="24"/>
                <w:szCs w:val="24"/>
              </w:rPr>
              <w:t>符 合 性 审 查</w:t>
            </w:r>
          </w:p>
        </w:tc>
        <w:tc>
          <w:tcPr>
            <w:tcW w:w="8895" w:type="dxa"/>
            <w:gridSpan w:val="4"/>
            <w:tcBorders>
              <w:right w:val="single" w:color="000000" w:sz="10" w:space="0"/>
            </w:tcBorders>
            <w:vAlign w:val="top"/>
          </w:tcPr>
          <w:p w14:paraId="44B92F3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商务审查标准</w:t>
            </w:r>
          </w:p>
        </w:tc>
      </w:tr>
      <w:tr w14:paraId="3CE11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44" w:type="dxa"/>
            <w:vMerge w:val="continue"/>
            <w:tcBorders>
              <w:left w:val="single" w:color="000000" w:sz="10" w:space="0"/>
            </w:tcBorders>
            <w:textDirection w:val="tbRlV"/>
            <w:vAlign w:val="top"/>
          </w:tcPr>
          <w:p w14:paraId="66057BD4">
            <w:pPr>
              <w:pStyle w:val="26"/>
              <w:keepLines w:val="0"/>
              <w:pageBreakBefore w:val="0"/>
              <w:kinsoku/>
              <w:wordWrap/>
              <w:overflowPunct/>
              <w:topLinePunct w:val="0"/>
              <w:bidi w:val="0"/>
              <w:spacing w:before="67" w:line="206" w:lineRule="auto"/>
              <w:ind w:left="811"/>
              <w:rPr>
                <w:sz w:val="24"/>
                <w:szCs w:val="24"/>
              </w:rPr>
            </w:pPr>
          </w:p>
        </w:tc>
        <w:tc>
          <w:tcPr>
            <w:tcW w:w="733" w:type="dxa"/>
            <w:vAlign w:val="center"/>
          </w:tcPr>
          <w:p w14:paraId="3EEABD52">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0E17151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应有法人代表或授权代表签署意见的文件、证明等，未经本人签署的；应加盖公章的证照、函件，而未加盖公章的;投标文件未按招标文件要求签署、盖章的;</w:t>
            </w:r>
          </w:p>
        </w:tc>
        <w:tc>
          <w:tcPr>
            <w:tcW w:w="736" w:type="dxa"/>
            <w:tcBorders>
              <w:right w:val="single" w:color="000000" w:sz="2" w:space="0"/>
            </w:tcBorders>
            <w:vAlign w:val="top"/>
          </w:tcPr>
          <w:p w14:paraId="697D95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2B3159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FA8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6D851B6E">
            <w:pPr>
              <w:keepLines w:val="0"/>
              <w:pageBreakBefore w:val="0"/>
              <w:kinsoku/>
              <w:wordWrap/>
              <w:overflowPunct/>
              <w:topLinePunct w:val="0"/>
              <w:bidi w:val="0"/>
              <w:rPr>
                <w:rFonts w:ascii="Arial"/>
                <w:sz w:val="24"/>
                <w:szCs w:val="24"/>
              </w:rPr>
            </w:pPr>
          </w:p>
        </w:tc>
        <w:tc>
          <w:tcPr>
            <w:tcW w:w="733" w:type="dxa"/>
            <w:vAlign w:val="center"/>
          </w:tcPr>
          <w:p w14:paraId="19C40B67">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628DE6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对于有</w:t>
            </w:r>
            <w:r>
              <w:rPr>
                <w:rFonts w:hint="eastAsia" w:ascii="仿宋" w:hAnsi="仿宋" w:eastAsia="仿宋" w:cs="仿宋"/>
                <w:spacing w:val="7"/>
                <w:sz w:val="24"/>
                <w:szCs w:val="24"/>
                <w:lang w:eastAsia="zh-CN"/>
              </w:rPr>
              <w:t>特定</w:t>
            </w:r>
            <w:r>
              <w:rPr>
                <w:rFonts w:ascii="仿宋" w:hAnsi="仿宋" w:eastAsia="仿宋" w:cs="仿宋"/>
                <w:spacing w:val="7"/>
                <w:sz w:val="24"/>
                <w:szCs w:val="24"/>
              </w:rPr>
              <w:t>格式要求的，不允许改动其内容</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612AB19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3088022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8CC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63CA464A">
            <w:pPr>
              <w:keepLines w:val="0"/>
              <w:pageBreakBefore w:val="0"/>
              <w:kinsoku/>
              <w:wordWrap/>
              <w:overflowPunct/>
              <w:topLinePunct w:val="0"/>
              <w:bidi w:val="0"/>
              <w:rPr>
                <w:rFonts w:ascii="Arial"/>
                <w:sz w:val="24"/>
                <w:szCs w:val="24"/>
              </w:rPr>
            </w:pPr>
          </w:p>
        </w:tc>
        <w:tc>
          <w:tcPr>
            <w:tcW w:w="733" w:type="dxa"/>
            <w:vAlign w:val="center"/>
          </w:tcPr>
          <w:p w14:paraId="7A2B6BE5">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3</w:t>
            </w:r>
          </w:p>
        </w:tc>
        <w:tc>
          <w:tcPr>
            <w:tcW w:w="6664" w:type="dxa"/>
            <w:vAlign w:val="top"/>
          </w:tcPr>
          <w:p w14:paraId="33A3C3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超出招标文件要求的</w:t>
            </w:r>
            <w:r>
              <w:rPr>
                <w:rFonts w:hint="eastAsia" w:ascii="仿宋" w:hAnsi="仿宋" w:eastAsia="仿宋" w:cs="仿宋"/>
                <w:spacing w:val="7"/>
                <w:sz w:val="24"/>
                <w:szCs w:val="24"/>
                <w:lang w:eastAsia="zh-CN"/>
              </w:rPr>
              <w:t>供货</w:t>
            </w:r>
            <w:r>
              <w:rPr>
                <w:rFonts w:hint="eastAsia" w:ascii="仿宋" w:hAnsi="仿宋" w:eastAsia="仿宋" w:cs="仿宋"/>
                <w:spacing w:val="7"/>
                <w:sz w:val="24"/>
                <w:szCs w:val="24"/>
              </w:rPr>
              <w:t>期限时间的</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2DC231E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742A560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8B87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3EEE76C6">
            <w:pPr>
              <w:keepLines w:val="0"/>
              <w:pageBreakBefore w:val="0"/>
              <w:kinsoku/>
              <w:wordWrap/>
              <w:overflowPunct/>
              <w:topLinePunct w:val="0"/>
              <w:bidi w:val="0"/>
              <w:rPr>
                <w:rFonts w:ascii="Arial"/>
                <w:sz w:val="24"/>
                <w:szCs w:val="24"/>
              </w:rPr>
            </w:pPr>
          </w:p>
        </w:tc>
        <w:tc>
          <w:tcPr>
            <w:tcW w:w="733" w:type="dxa"/>
            <w:vAlign w:val="center"/>
          </w:tcPr>
          <w:p w14:paraId="725BD25A">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w:t>
            </w:r>
          </w:p>
        </w:tc>
        <w:tc>
          <w:tcPr>
            <w:tcW w:w="6664" w:type="dxa"/>
            <w:vAlign w:val="top"/>
          </w:tcPr>
          <w:p w14:paraId="5E2B32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投标保证金缴纳凭证。</w:t>
            </w:r>
          </w:p>
        </w:tc>
        <w:tc>
          <w:tcPr>
            <w:tcW w:w="736" w:type="dxa"/>
            <w:tcBorders>
              <w:right w:val="single" w:color="000000" w:sz="2" w:space="0"/>
            </w:tcBorders>
            <w:vAlign w:val="top"/>
          </w:tcPr>
          <w:p w14:paraId="38AB12B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27106CF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5E46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4" w:type="dxa"/>
            <w:vMerge w:val="continue"/>
            <w:tcBorders>
              <w:left w:val="single" w:color="000000" w:sz="10" w:space="0"/>
            </w:tcBorders>
            <w:textDirection w:val="tbRlV"/>
            <w:vAlign w:val="top"/>
          </w:tcPr>
          <w:p w14:paraId="426E1BCF">
            <w:pPr>
              <w:keepLines w:val="0"/>
              <w:pageBreakBefore w:val="0"/>
              <w:kinsoku/>
              <w:wordWrap/>
              <w:overflowPunct/>
              <w:topLinePunct w:val="0"/>
              <w:bidi w:val="0"/>
              <w:rPr>
                <w:rFonts w:ascii="Arial"/>
                <w:sz w:val="24"/>
                <w:szCs w:val="24"/>
              </w:rPr>
            </w:pPr>
          </w:p>
        </w:tc>
        <w:tc>
          <w:tcPr>
            <w:tcW w:w="8895" w:type="dxa"/>
            <w:gridSpan w:val="4"/>
            <w:tcBorders>
              <w:right w:val="single" w:color="000000" w:sz="10" w:space="0"/>
            </w:tcBorders>
            <w:vAlign w:val="center"/>
          </w:tcPr>
          <w:p w14:paraId="41785F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技术审查标准</w:t>
            </w:r>
          </w:p>
        </w:tc>
      </w:tr>
      <w:tr w14:paraId="687E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844" w:type="dxa"/>
            <w:vMerge w:val="continue"/>
            <w:tcBorders>
              <w:left w:val="single" w:color="000000" w:sz="10" w:space="0"/>
            </w:tcBorders>
            <w:textDirection w:val="tbRlV"/>
            <w:vAlign w:val="top"/>
          </w:tcPr>
          <w:p w14:paraId="6CDE8426">
            <w:pPr>
              <w:keepLines w:val="0"/>
              <w:pageBreakBefore w:val="0"/>
              <w:kinsoku/>
              <w:wordWrap/>
              <w:overflowPunct/>
              <w:topLinePunct w:val="0"/>
              <w:bidi w:val="0"/>
              <w:rPr>
                <w:rFonts w:ascii="Arial"/>
                <w:sz w:val="24"/>
                <w:szCs w:val="24"/>
              </w:rPr>
            </w:pPr>
          </w:p>
        </w:tc>
        <w:tc>
          <w:tcPr>
            <w:tcW w:w="733" w:type="dxa"/>
            <w:vAlign w:val="center"/>
          </w:tcPr>
          <w:p w14:paraId="6E8DE09B">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6664" w:type="dxa"/>
            <w:vAlign w:val="top"/>
          </w:tcPr>
          <w:p w14:paraId="10BC1A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投标文件</w:t>
            </w:r>
            <w:r>
              <w:rPr>
                <w:rFonts w:hint="eastAsia" w:ascii="仿宋" w:hAnsi="仿宋" w:eastAsia="仿宋" w:cs="仿宋"/>
                <w:spacing w:val="7"/>
                <w:sz w:val="24"/>
                <w:szCs w:val="24"/>
                <w:lang w:eastAsia="zh-CN"/>
              </w:rPr>
              <w:t>是否</w:t>
            </w:r>
            <w:r>
              <w:rPr>
                <w:rFonts w:ascii="仿宋" w:hAnsi="仿宋" w:eastAsia="仿宋" w:cs="仿宋"/>
                <w:spacing w:val="7"/>
                <w:sz w:val="24"/>
                <w:szCs w:val="24"/>
              </w:rPr>
              <w:t>对招标文件中的内容做出实质性和完整的</w:t>
            </w:r>
            <w:r>
              <w:rPr>
                <w:rFonts w:hint="eastAsia" w:ascii="仿宋" w:hAnsi="仿宋" w:eastAsia="仿宋" w:cs="仿宋"/>
                <w:spacing w:val="7"/>
                <w:sz w:val="24"/>
                <w:szCs w:val="24"/>
                <w:lang w:eastAsia="zh-CN"/>
              </w:rPr>
              <w:t>投标，是否做出错误投标</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034F78B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BCFF30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86C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13CCECF7">
            <w:pPr>
              <w:keepLines w:val="0"/>
              <w:pageBreakBefore w:val="0"/>
              <w:kinsoku/>
              <w:wordWrap/>
              <w:overflowPunct/>
              <w:topLinePunct w:val="0"/>
              <w:bidi w:val="0"/>
              <w:rPr>
                <w:rFonts w:ascii="Arial"/>
                <w:sz w:val="24"/>
                <w:szCs w:val="24"/>
              </w:rPr>
            </w:pPr>
          </w:p>
        </w:tc>
        <w:tc>
          <w:tcPr>
            <w:tcW w:w="733" w:type="dxa"/>
            <w:tcBorders>
              <w:bottom w:val="single" w:color="000000" w:sz="10" w:space="0"/>
            </w:tcBorders>
            <w:vAlign w:val="center"/>
          </w:tcPr>
          <w:p w14:paraId="17ED22BF">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tcBorders>
              <w:bottom w:val="single" w:color="000000" w:sz="10" w:space="0"/>
            </w:tcBorders>
            <w:vAlign w:val="top"/>
          </w:tcPr>
          <w:p w14:paraId="1C209F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不符合法律、法规和招标文件中规定的其他要求的</w:t>
            </w:r>
            <w:r>
              <w:rPr>
                <w:rFonts w:hint="eastAsia" w:ascii="仿宋" w:hAnsi="仿宋" w:eastAsia="仿宋" w:cs="仿宋"/>
                <w:spacing w:val="7"/>
                <w:sz w:val="24"/>
                <w:szCs w:val="24"/>
                <w:lang w:val="en-US" w:eastAsia="zh-CN"/>
              </w:rPr>
              <w:t>;</w:t>
            </w:r>
          </w:p>
        </w:tc>
        <w:tc>
          <w:tcPr>
            <w:tcW w:w="736" w:type="dxa"/>
            <w:tcBorders>
              <w:bottom w:val="single" w:color="000000" w:sz="10" w:space="0"/>
              <w:right w:val="single" w:color="000000" w:sz="2" w:space="0"/>
            </w:tcBorders>
            <w:vAlign w:val="top"/>
          </w:tcPr>
          <w:p w14:paraId="40ADF1F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bottom w:val="single" w:color="000000" w:sz="10" w:space="0"/>
              <w:right w:val="single" w:color="000000" w:sz="10" w:space="0"/>
            </w:tcBorders>
            <w:vAlign w:val="top"/>
          </w:tcPr>
          <w:p w14:paraId="003A070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3CA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textDirection w:val="tbRlV"/>
            <w:vAlign w:val="top"/>
          </w:tcPr>
          <w:p w14:paraId="7A09D7B9">
            <w:pPr>
              <w:keepLines w:val="0"/>
              <w:pageBreakBefore w:val="0"/>
              <w:kinsoku/>
              <w:wordWrap/>
              <w:overflowPunct/>
              <w:topLinePunct w:val="0"/>
              <w:bidi w:val="0"/>
              <w:rPr>
                <w:rFonts w:ascii="Arial"/>
                <w:sz w:val="24"/>
                <w:szCs w:val="24"/>
              </w:rPr>
            </w:pPr>
          </w:p>
        </w:tc>
        <w:tc>
          <w:tcPr>
            <w:tcW w:w="8895" w:type="dxa"/>
            <w:gridSpan w:val="4"/>
            <w:tcBorders>
              <w:bottom w:val="single" w:color="000000" w:sz="10" w:space="0"/>
              <w:right w:val="single" w:color="000000" w:sz="10" w:space="0"/>
            </w:tcBorders>
            <w:vAlign w:val="center"/>
          </w:tcPr>
          <w:p w14:paraId="0ECEF86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报价审查标准</w:t>
            </w:r>
          </w:p>
        </w:tc>
      </w:tr>
      <w:tr w14:paraId="6BA8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0FFDB6BE">
            <w:pPr>
              <w:keepLines w:val="0"/>
              <w:pageBreakBefore w:val="0"/>
              <w:kinsoku/>
              <w:wordWrap/>
              <w:overflowPunct/>
              <w:topLinePunct w:val="0"/>
              <w:bidi w:val="0"/>
              <w:rPr>
                <w:rFonts w:ascii="Arial"/>
                <w:sz w:val="24"/>
                <w:szCs w:val="24"/>
              </w:rPr>
            </w:pPr>
          </w:p>
        </w:tc>
        <w:tc>
          <w:tcPr>
            <w:tcW w:w="733" w:type="dxa"/>
            <w:tcBorders>
              <w:top w:val="single" w:color="000000" w:sz="10" w:space="0"/>
            </w:tcBorders>
            <w:vAlign w:val="center"/>
          </w:tcPr>
          <w:p w14:paraId="339DFE67">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tcBorders>
              <w:top w:val="single" w:color="000000" w:sz="10" w:space="0"/>
            </w:tcBorders>
            <w:vAlign w:val="top"/>
          </w:tcPr>
          <w:p w14:paraId="07B403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报价超过招标文件中规定的预算金额或者最高限价的</w:t>
            </w:r>
            <w:r>
              <w:rPr>
                <w:rFonts w:hint="eastAsia" w:ascii="仿宋" w:hAnsi="仿宋" w:eastAsia="仿宋" w:cs="仿宋"/>
                <w:spacing w:val="7"/>
                <w:sz w:val="24"/>
                <w:szCs w:val="24"/>
                <w:lang w:val="en-US" w:eastAsia="zh-CN"/>
              </w:rPr>
              <w:t>;</w:t>
            </w:r>
          </w:p>
        </w:tc>
        <w:tc>
          <w:tcPr>
            <w:tcW w:w="736" w:type="dxa"/>
            <w:tcBorders>
              <w:top w:val="single" w:color="000000" w:sz="10" w:space="0"/>
              <w:right w:val="single" w:color="000000" w:sz="2" w:space="0"/>
            </w:tcBorders>
            <w:vAlign w:val="top"/>
          </w:tcPr>
          <w:p w14:paraId="24C607A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757CA8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463F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2498BA38">
            <w:pPr>
              <w:keepLines w:val="0"/>
              <w:pageBreakBefore w:val="0"/>
              <w:kinsoku/>
              <w:wordWrap/>
              <w:overflowPunct/>
              <w:topLinePunct w:val="0"/>
              <w:bidi w:val="0"/>
              <w:rPr>
                <w:rFonts w:ascii="Arial"/>
                <w:sz w:val="24"/>
                <w:szCs w:val="24"/>
              </w:rPr>
            </w:pPr>
          </w:p>
        </w:tc>
        <w:tc>
          <w:tcPr>
            <w:tcW w:w="733" w:type="dxa"/>
            <w:tcBorders>
              <w:top w:val="single" w:color="000000" w:sz="10" w:space="0"/>
            </w:tcBorders>
            <w:vAlign w:val="center"/>
          </w:tcPr>
          <w:p w14:paraId="51BED483">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6664" w:type="dxa"/>
            <w:tcBorders>
              <w:top w:val="single" w:color="000000" w:sz="10" w:space="0"/>
            </w:tcBorders>
            <w:vAlign w:val="top"/>
          </w:tcPr>
          <w:p w14:paraId="31FB408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投标人</w:t>
            </w:r>
            <w:r>
              <w:rPr>
                <w:rFonts w:hint="eastAsia" w:ascii="仿宋" w:hAnsi="仿宋" w:eastAsia="仿宋" w:cs="仿宋"/>
                <w:spacing w:val="7"/>
                <w:sz w:val="24"/>
                <w:szCs w:val="24"/>
              </w:rPr>
              <w:t>对每种货物及服务只允许有一个报价，不接受选择性报价</w:t>
            </w:r>
            <w:r>
              <w:rPr>
                <w:rFonts w:hint="eastAsia" w:ascii="仿宋" w:hAnsi="仿宋" w:eastAsia="仿宋" w:cs="仿宋"/>
                <w:spacing w:val="7"/>
                <w:sz w:val="24"/>
                <w:szCs w:val="24"/>
                <w:lang w:eastAsia="zh-CN"/>
              </w:rPr>
              <w:t>。</w:t>
            </w:r>
          </w:p>
        </w:tc>
        <w:tc>
          <w:tcPr>
            <w:tcW w:w="736" w:type="dxa"/>
            <w:tcBorders>
              <w:top w:val="single" w:color="000000" w:sz="10" w:space="0"/>
              <w:right w:val="single" w:color="000000" w:sz="2" w:space="0"/>
            </w:tcBorders>
            <w:vAlign w:val="top"/>
          </w:tcPr>
          <w:p w14:paraId="5F19EB4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1F7A51D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6884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4" w:type="dxa"/>
            <w:tcBorders>
              <w:left w:val="single" w:color="000000" w:sz="10" w:space="0"/>
              <w:bottom w:val="single" w:color="000000" w:sz="10" w:space="0"/>
            </w:tcBorders>
            <w:vAlign w:val="top"/>
          </w:tcPr>
          <w:p w14:paraId="197FFB28">
            <w:pPr>
              <w:keepLines w:val="0"/>
              <w:pageBreakBefore w:val="0"/>
              <w:kinsoku/>
              <w:wordWrap/>
              <w:overflowPunct/>
              <w:topLinePunct w:val="0"/>
              <w:bidi w:val="0"/>
              <w:rPr>
                <w:rFonts w:ascii="Arial"/>
                <w:sz w:val="24"/>
                <w:szCs w:val="24"/>
              </w:rPr>
            </w:pPr>
          </w:p>
        </w:tc>
        <w:tc>
          <w:tcPr>
            <w:tcW w:w="8895" w:type="dxa"/>
            <w:gridSpan w:val="4"/>
            <w:tcBorders>
              <w:bottom w:val="single" w:color="000000" w:sz="10" w:space="0"/>
              <w:right w:val="single" w:color="000000" w:sz="10" w:space="0"/>
            </w:tcBorders>
            <w:vAlign w:val="top"/>
          </w:tcPr>
          <w:p w14:paraId="63C201D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ascii="仿宋" w:hAnsi="仿宋" w:eastAsia="仿宋" w:cs="仿宋"/>
                <w:spacing w:val="7"/>
                <w:sz w:val="24"/>
                <w:szCs w:val="24"/>
              </w:rPr>
              <w:t>结论：是否通过评审</w:t>
            </w:r>
          </w:p>
        </w:tc>
      </w:tr>
    </w:tbl>
    <w:p w14:paraId="097EFA14">
      <w:pPr>
        <w:pStyle w:val="7"/>
        <w:keepLines w:val="0"/>
        <w:pageBreakBefore w:val="0"/>
        <w:kinsoku/>
        <w:wordWrap/>
        <w:overflowPunct/>
        <w:topLinePunct w:val="0"/>
        <w:bidi w:val="0"/>
        <w:spacing w:line="307" w:lineRule="auto"/>
        <w:rPr>
          <w:sz w:val="21"/>
          <w:szCs w:val="21"/>
        </w:rPr>
      </w:pPr>
    </w:p>
    <w:p w14:paraId="6BF6A53F">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E53EDBD">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5F2475B0">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062514EF">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6CCF1CB7">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3D3AA05">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1C8647A0">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D776900">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4500BC26">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40CBA19E">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034D203">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6FD6C5A4">
      <w:pPr>
        <w:keepLines w:val="0"/>
        <w:pageBreakBefore w:val="0"/>
        <w:kinsoku/>
        <w:wordWrap/>
        <w:overflowPunct/>
        <w:topLinePunct w:val="0"/>
        <w:bidi w:val="0"/>
        <w:spacing w:before="65" w:line="232" w:lineRule="auto"/>
        <w:ind w:left="766"/>
        <w:rPr>
          <w:rFonts w:ascii="仿宋" w:hAnsi="仿宋" w:eastAsia="仿宋" w:cs="仿宋"/>
          <w:sz w:val="21"/>
          <w:szCs w:val="21"/>
        </w:rPr>
      </w:pPr>
      <w:r>
        <w:rPr>
          <w:rFonts w:ascii="仿宋" w:hAnsi="仿宋" w:eastAsia="仿宋" w:cs="仿宋"/>
          <w:spacing w:val="2"/>
          <w:sz w:val="21"/>
          <w:szCs w:val="21"/>
        </w:rPr>
        <w:t>附表二</w:t>
      </w:r>
    </w:p>
    <w:p w14:paraId="2345490E">
      <w:pPr>
        <w:keepLines w:val="0"/>
        <w:pageBreakBefore w:val="0"/>
        <w:kinsoku/>
        <w:wordWrap/>
        <w:overflowPunct/>
        <w:topLinePunct w:val="0"/>
        <w:bidi w:val="0"/>
        <w:spacing w:before="192" w:line="222" w:lineRule="auto"/>
        <w:jc w:val="center"/>
        <w:rPr>
          <w:sz w:val="21"/>
          <w:szCs w:val="21"/>
        </w:rPr>
      </w:pPr>
      <w:r>
        <w:rPr>
          <w:rFonts w:ascii="仿宋" w:hAnsi="仿宋" w:eastAsia="仿宋" w:cs="仿宋"/>
          <w:b/>
          <w:bCs/>
          <w:spacing w:val="-3"/>
          <w:sz w:val="24"/>
          <w:szCs w:val="24"/>
        </w:rPr>
        <w:t>详细评分标准表</w:t>
      </w:r>
    </w:p>
    <w:tbl>
      <w:tblPr>
        <w:tblStyle w:val="16"/>
        <w:tblpPr w:leftFromText="180" w:rightFromText="180" w:vertAnchor="text" w:horzAnchor="page" w:tblpX="994" w:tblpY="281"/>
        <w:tblOverlap w:val="never"/>
        <w:tblW w:w="100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500"/>
        <w:gridCol w:w="1081"/>
        <w:gridCol w:w="7004"/>
      </w:tblGrid>
      <w:tr w14:paraId="18196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6" w:hRule="atLeast"/>
        </w:trPr>
        <w:tc>
          <w:tcPr>
            <w:tcW w:w="468" w:type="dxa"/>
            <w:tcBorders>
              <w:top w:val="single" w:color="auto" w:sz="4" w:space="0"/>
              <w:bottom w:val="single" w:color="auto" w:sz="4" w:space="0"/>
            </w:tcBorders>
            <w:noWrap w:val="0"/>
            <w:vAlign w:val="center"/>
          </w:tcPr>
          <w:p w14:paraId="08A948EF">
            <w:pPr>
              <w:pStyle w:val="29"/>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color w:val="auto"/>
                <w:szCs w:val="24"/>
              </w:rPr>
            </w:pPr>
            <w:r>
              <w:rPr>
                <w:rFonts w:hint="eastAsia" w:ascii="仿宋" w:hAnsi="仿宋" w:eastAsia="仿宋" w:cs="仿宋"/>
                <w:color w:val="auto"/>
                <w:szCs w:val="24"/>
              </w:rPr>
              <w:t>1</w:t>
            </w:r>
          </w:p>
        </w:tc>
        <w:tc>
          <w:tcPr>
            <w:tcW w:w="1500" w:type="dxa"/>
            <w:tcBorders>
              <w:top w:val="single" w:color="auto" w:sz="4" w:space="0"/>
              <w:bottom w:val="single" w:color="auto" w:sz="4" w:space="0"/>
            </w:tcBorders>
            <w:noWrap w:val="0"/>
            <w:vAlign w:val="center"/>
          </w:tcPr>
          <w:p w14:paraId="1F4C1626">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报价</w:t>
            </w:r>
          </w:p>
        </w:tc>
        <w:tc>
          <w:tcPr>
            <w:tcW w:w="1081" w:type="dxa"/>
            <w:tcBorders>
              <w:top w:val="single" w:color="auto" w:sz="4" w:space="0"/>
              <w:bottom w:val="single" w:color="auto" w:sz="4" w:space="0"/>
            </w:tcBorders>
            <w:noWrap w:val="0"/>
            <w:vAlign w:val="center"/>
          </w:tcPr>
          <w:p w14:paraId="06AA7F8E">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rPr>
              <w:t>30</w:t>
            </w:r>
            <w:r>
              <w:rPr>
                <w:rFonts w:hint="eastAsia" w:ascii="仿宋" w:hAnsi="仿宋" w:eastAsia="仿宋" w:cs="仿宋"/>
                <w:color w:val="auto"/>
                <w:spacing w:val="7"/>
                <w:sz w:val="24"/>
                <w:szCs w:val="24"/>
                <w:lang w:eastAsia="zh-CN"/>
              </w:rPr>
              <w:t>分</w:t>
            </w:r>
          </w:p>
        </w:tc>
        <w:tc>
          <w:tcPr>
            <w:tcW w:w="7004" w:type="dxa"/>
            <w:tcBorders>
              <w:top w:val="single" w:color="auto" w:sz="4" w:space="0"/>
              <w:bottom w:val="single" w:color="auto" w:sz="4" w:space="0"/>
            </w:tcBorders>
            <w:noWrap w:val="0"/>
            <w:vAlign w:val="top"/>
          </w:tcPr>
          <w:p w14:paraId="0A393B13">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综合评分法中的价格分统一采用低价优先法计算，即满足</w:t>
            </w:r>
            <w:r>
              <w:rPr>
                <w:rFonts w:hint="eastAsia" w:ascii="仿宋" w:hAnsi="仿宋" w:eastAsia="仿宋" w:cs="仿宋"/>
                <w:color w:val="auto"/>
                <w:spacing w:val="7"/>
                <w:sz w:val="24"/>
                <w:szCs w:val="24"/>
                <w:lang w:eastAsia="zh-CN"/>
              </w:rPr>
              <w:t>招标</w:t>
            </w:r>
            <w:r>
              <w:rPr>
                <w:rFonts w:hint="eastAsia" w:ascii="仿宋" w:hAnsi="仿宋" w:eastAsia="仿宋" w:cs="仿宋"/>
                <w:color w:val="auto"/>
                <w:spacing w:val="7"/>
                <w:sz w:val="24"/>
                <w:szCs w:val="24"/>
              </w:rPr>
              <w:t>文件要求且</w:t>
            </w:r>
            <w:r>
              <w:rPr>
                <w:rFonts w:hint="eastAsia" w:ascii="仿宋" w:hAnsi="仿宋" w:eastAsia="仿宋" w:cs="仿宋"/>
                <w:color w:val="auto"/>
                <w:spacing w:val="7"/>
                <w:sz w:val="24"/>
                <w:szCs w:val="24"/>
                <w:lang w:eastAsia="zh-CN"/>
              </w:rPr>
              <w:t>有效</w:t>
            </w:r>
            <w:r>
              <w:rPr>
                <w:rFonts w:hint="eastAsia" w:ascii="仿宋" w:hAnsi="仿宋" w:eastAsia="仿宋" w:cs="仿宋"/>
                <w:color w:val="auto"/>
                <w:spacing w:val="7"/>
                <w:sz w:val="24"/>
                <w:szCs w:val="24"/>
              </w:rPr>
              <w:t>报价最低的</w:t>
            </w:r>
            <w:r>
              <w:rPr>
                <w:rFonts w:hint="eastAsia" w:ascii="仿宋" w:hAnsi="仿宋" w:eastAsia="仿宋" w:cs="仿宋"/>
                <w:color w:val="auto"/>
                <w:spacing w:val="7"/>
                <w:sz w:val="24"/>
                <w:szCs w:val="24"/>
                <w:lang w:eastAsia="zh-CN"/>
              </w:rPr>
              <w:t>投标人</w:t>
            </w:r>
            <w:r>
              <w:rPr>
                <w:rFonts w:hint="eastAsia" w:ascii="仿宋" w:hAnsi="仿宋" w:eastAsia="仿宋" w:cs="仿宋"/>
                <w:color w:val="auto"/>
                <w:spacing w:val="7"/>
                <w:sz w:val="24"/>
                <w:szCs w:val="24"/>
              </w:rPr>
              <w:t>的价格为</w:t>
            </w:r>
            <w:r>
              <w:rPr>
                <w:rFonts w:hint="eastAsia" w:ascii="仿宋" w:hAnsi="仿宋" w:eastAsia="仿宋" w:cs="仿宋"/>
                <w:color w:val="auto"/>
                <w:spacing w:val="7"/>
                <w:sz w:val="24"/>
                <w:szCs w:val="24"/>
                <w:lang w:eastAsia="zh-CN"/>
              </w:rPr>
              <w:t>评标</w:t>
            </w:r>
            <w:r>
              <w:rPr>
                <w:rFonts w:hint="eastAsia" w:ascii="仿宋" w:hAnsi="仿宋" w:eastAsia="仿宋" w:cs="仿宋"/>
                <w:color w:val="auto"/>
                <w:spacing w:val="7"/>
                <w:sz w:val="24"/>
                <w:szCs w:val="24"/>
              </w:rPr>
              <w:t>基准价，其价格分为满分。其他</w:t>
            </w:r>
            <w:r>
              <w:rPr>
                <w:rFonts w:hint="eastAsia" w:ascii="仿宋" w:hAnsi="仿宋" w:eastAsia="仿宋" w:cs="仿宋"/>
                <w:color w:val="auto"/>
                <w:spacing w:val="7"/>
                <w:sz w:val="24"/>
                <w:szCs w:val="24"/>
                <w:lang w:eastAsia="zh-CN"/>
              </w:rPr>
              <w:t>投标人</w:t>
            </w:r>
            <w:r>
              <w:rPr>
                <w:rFonts w:hint="eastAsia" w:ascii="仿宋" w:hAnsi="仿宋" w:eastAsia="仿宋" w:cs="仿宋"/>
                <w:color w:val="auto"/>
                <w:spacing w:val="7"/>
                <w:sz w:val="24"/>
                <w:szCs w:val="24"/>
              </w:rPr>
              <w:t>的价格分统一按照下列公式计算：报价得分=（</w:t>
            </w:r>
            <w:r>
              <w:rPr>
                <w:rFonts w:hint="eastAsia" w:ascii="仿宋" w:hAnsi="仿宋" w:eastAsia="仿宋" w:cs="仿宋"/>
                <w:color w:val="auto"/>
                <w:spacing w:val="7"/>
                <w:sz w:val="24"/>
                <w:szCs w:val="24"/>
                <w:lang w:eastAsia="zh-CN"/>
              </w:rPr>
              <w:t>评标</w:t>
            </w:r>
            <w:r>
              <w:rPr>
                <w:rFonts w:hint="eastAsia" w:ascii="仿宋" w:hAnsi="仿宋" w:eastAsia="仿宋" w:cs="仿宋"/>
                <w:color w:val="auto"/>
                <w:spacing w:val="7"/>
                <w:sz w:val="24"/>
                <w:szCs w:val="24"/>
              </w:rPr>
              <w:t>基准价/</w:t>
            </w:r>
            <w:r>
              <w:rPr>
                <w:rFonts w:hint="eastAsia" w:ascii="仿宋" w:hAnsi="仿宋" w:eastAsia="仿宋" w:cs="仿宋"/>
                <w:color w:val="auto"/>
                <w:spacing w:val="7"/>
                <w:sz w:val="24"/>
                <w:szCs w:val="24"/>
                <w:lang w:eastAsia="zh-CN"/>
              </w:rPr>
              <w:t>有效投标</w:t>
            </w:r>
            <w:r>
              <w:rPr>
                <w:rFonts w:hint="eastAsia" w:ascii="仿宋" w:hAnsi="仿宋" w:eastAsia="仿宋" w:cs="仿宋"/>
                <w:color w:val="auto"/>
                <w:spacing w:val="7"/>
                <w:sz w:val="24"/>
                <w:szCs w:val="24"/>
              </w:rPr>
              <w:t>报价）×价格权值×100（小数点保留两位）</w:t>
            </w:r>
          </w:p>
        </w:tc>
      </w:tr>
      <w:tr w14:paraId="18D4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0053" w:type="dxa"/>
            <w:gridSpan w:val="4"/>
            <w:tcBorders>
              <w:top w:val="single" w:color="auto" w:sz="4" w:space="0"/>
              <w:bottom w:val="single" w:color="auto" w:sz="4" w:space="0"/>
            </w:tcBorders>
            <w:noWrap w:val="0"/>
            <w:vAlign w:val="center"/>
          </w:tcPr>
          <w:p w14:paraId="1EE74E49">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jc w:val="center"/>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技术部分70分</w:t>
            </w:r>
          </w:p>
        </w:tc>
      </w:tr>
      <w:tr w14:paraId="07EC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tcBorders>
            <w:noWrap w:val="0"/>
            <w:vAlign w:val="center"/>
          </w:tcPr>
          <w:p w14:paraId="2883934E">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w:t>
            </w:r>
          </w:p>
        </w:tc>
        <w:tc>
          <w:tcPr>
            <w:tcW w:w="1500" w:type="dxa"/>
            <w:tcBorders>
              <w:top w:val="single" w:color="auto" w:sz="4" w:space="0"/>
            </w:tcBorders>
            <w:noWrap w:val="0"/>
            <w:vAlign w:val="center"/>
          </w:tcPr>
          <w:p w14:paraId="008E762D">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lang w:val="en-US" w:eastAsia="zh-CN"/>
              </w:rPr>
              <w:t>产品</w:t>
            </w:r>
            <w:r>
              <w:rPr>
                <w:rFonts w:hint="eastAsia" w:ascii="仿宋" w:hAnsi="仿宋" w:eastAsia="仿宋" w:cs="仿宋"/>
                <w:color w:val="auto"/>
                <w:spacing w:val="7"/>
                <w:sz w:val="24"/>
                <w:szCs w:val="24"/>
                <w:lang w:val="zh-CN" w:eastAsia="zh-CN"/>
              </w:rPr>
              <w:t>配置</w:t>
            </w:r>
          </w:p>
        </w:tc>
        <w:tc>
          <w:tcPr>
            <w:tcW w:w="1081" w:type="dxa"/>
            <w:tcBorders>
              <w:top w:val="single" w:color="auto" w:sz="4" w:space="0"/>
              <w:bottom w:val="single" w:color="auto" w:sz="4" w:space="0"/>
            </w:tcBorders>
            <w:noWrap w:val="0"/>
            <w:vAlign w:val="center"/>
          </w:tcPr>
          <w:p w14:paraId="6D99E169">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lang w:val="en-US" w:eastAsia="zh-CN"/>
              </w:rPr>
              <w:t>38.9分</w:t>
            </w:r>
          </w:p>
        </w:tc>
        <w:tc>
          <w:tcPr>
            <w:tcW w:w="7004" w:type="dxa"/>
            <w:tcBorders>
              <w:top w:val="single" w:color="auto" w:sz="4" w:space="0"/>
            </w:tcBorders>
            <w:noWrap w:val="0"/>
            <w:vAlign w:val="center"/>
          </w:tcPr>
          <w:p w14:paraId="27F5721B">
            <w:pPr>
              <w:keepNext w:val="0"/>
              <w:keepLines w:val="0"/>
              <w:pageBreakBefore w:val="0"/>
              <w:widowControl/>
              <w:numPr>
                <w:ilvl w:val="0"/>
                <w:numId w:val="0"/>
              </w:numPr>
              <w:kinsoku/>
              <w:wordWrap/>
              <w:overflowPunct/>
              <w:topLinePunct w:val="0"/>
              <w:autoSpaceDE w:val="0"/>
              <w:autoSpaceDN w:val="0"/>
              <w:bidi w:val="0"/>
              <w:adjustRightInd w:val="0"/>
              <w:snapToGrid w:val="0"/>
              <w:spacing w:before="230" w:line="320" w:lineRule="exact"/>
              <w:ind w:right="17" w:rightChars="0"/>
              <w:textAlignment w:val="baseline"/>
              <w:rPr>
                <w:rFonts w:hint="default" w:ascii="仿宋" w:hAnsi="仿宋" w:eastAsia="仿宋" w:cs="仿宋"/>
                <w:color w:val="auto"/>
                <w:spacing w:val="7"/>
                <w:sz w:val="24"/>
                <w:szCs w:val="24"/>
                <w:lang w:val="en-US" w:eastAsia="zh-CN"/>
              </w:rPr>
            </w:pPr>
            <w:bookmarkStart w:id="1" w:name="OLE_LINK20"/>
            <w:r>
              <w:rPr>
                <w:rFonts w:hint="eastAsia" w:ascii="仿宋" w:hAnsi="仿宋" w:eastAsia="仿宋" w:cs="仿宋"/>
                <w:spacing w:val="7"/>
                <w:sz w:val="24"/>
                <w:szCs w:val="24"/>
                <w:lang w:val="en-US" w:eastAsia="zh-CN"/>
              </w:rPr>
              <w:t>根据供应商提供的技术指标进行评定，所投产品全部投标指标得38.9分；其中标注</w:t>
            </w:r>
            <w:r>
              <w:rPr>
                <w:rFonts w:hint="eastAsia" w:ascii="仿宋" w:hAnsi="仿宋" w:eastAsia="仿宋" w:cs="仿宋"/>
                <w:spacing w:val="7"/>
                <w:sz w:val="24"/>
                <w:szCs w:val="24"/>
                <w:highlight w:val="none"/>
                <w:lang w:val="en-US" w:eastAsia="zh-CN"/>
              </w:rPr>
              <w:t>“</w:t>
            </w:r>
            <w:r>
              <w:rPr>
                <w:rFonts w:hint="eastAsia" w:ascii="仿宋_GB2312" w:hAnsi="仿宋_GB2312" w:eastAsia="仿宋_GB2312"/>
                <w:sz w:val="21"/>
                <w:szCs w:val="21"/>
                <w:highlight w:val="none"/>
              </w:rPr>
              <w:t>*</w:t>
            </w:r>
            <w:r>
              <w:rPr>
                <w:rFonts w:hint="eastAsia" w:ascii="仿宋" w:hAnsi="仿宋" w:eastAsia="仿宋" w:cs="仿宋"/>
                <w:spacing w:val="7"/>
                <w:sz w:val="24"/>
                <w:szCs w:val="24"/>
                <w:highlight w:val="none"/>
                <w:lang w:val="en-US" w:eastAsia="zh-CN"/>
              </w:rPr>
              <w:t>”的条款有一项负偏离的扣1分(本项满分27分）；无“</w:t>
            </w:r>
            <w:r>
              <w:rPr>
                <w:rFonts w:hint="eastAsia" w:ascii="仿宋_GB2312" w:hAnsi="仿宋_GB2312" w:eastAsia="仿宋_GB2312"/>
                <w:sz w:val="21"/>
                <w:szCs w:val="21"/>
                <w:highlight w:val="none"/>
              </w:rPr>
              <w:t>*</w:t>
            </w:r>
            <w:r>
              <w:rPr>
                <w:rFonts w:hint="eastAsia" w:ascii="仿宋" w:hAnsi="仿宋" w:eastAsia="仿宋" w:cs="仿宋"/>
                <w:spacing w:val="7"/>
                <w:sz w:val="24"/>
                <w:szCs w:val="24"/>
                <w:highlight w:val="none"/>
                <w:lang w:val="en-US" w:eastAsia="zh-CN"/>
              </w:rPr>
              <w:t>”标识</w:t>
            </w:r>
            <w:r>
              <w:rPr>
                <w:rFonts w:hint="eastAsia" w:ascii="仿宋" w:hAnsi="仿宋" w:eastAsia="仿宋" w:cs="仿宋"/>
                <w:spacing w:val="7"/>
                <w:sz w:val="24"/>
                <w:szCs w:val="24"/>
                <w:lang w:val="en-US" w:eastAsia="zh-CN"/>
              </w:rPr>
              <w:t>的非关键参数有一项负偏离的扣0.1分（本项满分11.9分）。</w:t>
            </w:r>
            <w:bookmarkEnd w:id="1"/>
          </w:p>
        </w:tc>
      </w:tr>
      <w:tr w14:paraId="703DC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80" w:hRule="atLeast"/>
        </w:trPr>
        <w:tc>
          <w:tcPr>
            <w:tcW w:w="468" w:type="dxa"/>
            <w:tcBorders>
              <w:top w:val="single" w:color="auto" w:sz="4" w:space="0"/>
              <w:bottom w:val="single" w:color="auto" w:sz="4" w:space="0"/>
            </w:tcBorders>
            <w:noWrap w:val="0"/>
            <w:vAlign w:val="center"/>
          </w:tcPr>
          <w:p w14:paraId="6977497D">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2</w:t>
            </w:r>
          </w:p>
        </w:tc>
        <w:tc>
          <w:tcPr>
            <w:tcW w:w="1500" w:type="dxa"/>
            <w:tcBorders>
              <w:top w:val="single" w:color="auto" w:sz="4" w:space="0"/>
              <w:bottom w:val="single" w:color="auto" w:sz="4" w:space="0"/>
            </w:tcBorders>
            <w:noWrap w:val="0"/>
            <w:vAlign w:val="center"/>
          </w:tcPr>
          <w:p w14:paraId="62F72478">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rPr>
            </w:pPr>
            <w:r>
              <w:rPr>
                <w:rFonts w:hint="eastAsia" w:ascii="仿宋" w:hAnsi="仿宋" w:eastAsia="仿宋" w:cs="仿宋"/>
                <w:color w:val="auto"/>
                <w:spacing w:val="7"/>
                <w:sz w:val="24"/>
                <w:szCs w:val="24"/>
                <w:lang w:val="en-US" w:eastAsia="zh-CN"/>
              </w:rPr>
              <w:t>供货方案及技术措施</w:t>
            </w:r>
          </w:p>
        </w:tc>
        <w:tc>
          <w:tcPr>
            <w:tcW w:w="1081" w:type="dxa"/>
            <w:tcBorders>
              <w:top w:val="single" w:color="auto" w:sz="4" w:space="0"/>
              <w:bottom w:val="single" w:color="auto" w:sz="4" w:space="0"/>
            </w:tcBorders>
            <w:noWrap w:val="0"/>
            <w:vAlign w:val="center"/>
          </w:tcPr>
          <w:p w14:paraId="20A7EE25">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15</w:t>
            </w:r>
            <w:r>
              <w:rPr>
                <w:rFonts w:hint="eastAsia" w:ascii="仿宋" w:hAnsi="仿宋" w:eastAsia="仿宋" w:cs="仿宋"/>
                <w:color w:val="auto"/>
                <w:spacing w:val="7"/>
                <w:sz w:val="24"/>
                <w:szCs w:val="24"/>
              </w:rPr>
              <w:t>分</w:t>
            </w:r>
          </w:p>
        </w:tc>
        <w:tc>
          <w:tcPr>
            <w:tcW w:w="7004" w:type="dxa"/>
            <w:tcBorders>
              <w:top w:val="single" w:color="auto" w:sz="4" w:space="0"/>
              <w:bottom w:val="single" w:color="auto" w:sz="4" w:space="0"/>
            </w:tcBorders>
            <w:noWrap w:val="0"/>
            <w:vAlign w:val="center"/>
          </w:tcPr>
          <w:p w14:paraId="03AC7DFF">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包括:（1）功能说明、性能指标、设备选型说明；（2）投标人的项目实施进度计划安排，且相关保障措施;（3）对各项关键工作安排包含（品控、备货、发货、安装调试、验收）；（4）对应急突发事件有应急保障措施和解决方案;（5）项目管理方案,组织机构完善，人员有保障。以上内容每项得0-3分，未提供不得分。</w:t>
            </w:r>
          </w:p>
        </w:tc>
      </w:tr>
      <w:tr w14:paraId="121E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7" w:hRule="atLeast"/>
        </w:trPr>
        <w:tc>
          <w:tcPr>
            <w:tcW w:w="468" w:type="dxa"/>
            <w:tcBorders>
              <w:top w:val="single" w:color="auto" w:sz="4" w:space="0"/>
              <w:bottom w:val="single" w:color="auto" w:sz="4" w:space="0"/>
            </w:tcBorders>
            <w:noWrap w:val="0"/>
            <w:vAlign w:val="center"/>
          </w:tcPr>
          <w:p w14:paraId="7B8F1B79">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3</w:t>
            </w:r>
          </w:p>
        </w:tc>
        <w:tc>
          <w:tcPr>
            <w:tcW w:w="1500" w:type="dxa"/>
            <w:tcBorders>
              <w:top w:val="single" w:color="auto" w:sz="4" w:space="0"/>
              <w:bottom w:val="single" w:color="auto" w:sz="4" w:space="0"/>
            </w:tcBorders>
            <w:noWrap w:val="0"/>
            <w:vAlign w:val="center"/>
          </w:tcPr>
          <w:p w14:paraId="08062426">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专业团队及技术人员</w:t>
            </w:r>
          </w:p>
        </w:tc>
        <w:tc>
          <w:tcPr>
            <w:tcW w:w="1081" w:type="dxa"/>
            <w:tcBorders>
              <w:top w:val="single" w:color="auto" w:sz="4" w:space="0"/>
              <w:bottom w:val="single" w:color="auto" w:sz="4" w:space="0"/>
            </w:tcBorders>
            <w:noWrap w:val="0"/>
            <w:vAlign w:val="center"/>
          </w:tcPr>
          <w:p w14:paraId="02FDC1F6">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2</w:t>
            </w:r>
            <w:r>
              <w:rPr>
                <w:rFonts w:hint="eastAsia" w:ascii="仿宋" w:hAnsi="仿宋" w:eastAsia="仿宋" w:cs="仿宋"/>
                <w:color w:val="auto"/>
                <w:spacing w:val="7"/>
                <w:sz w:val="24"/>
                <w:szCs w:val="24"/>
              </w:rPr>
              <w:t>分</w:t>
            </w:r>
          </w:p>
        </w:tc>
        <w:tc>
          <w:tcPr>
            <w:tcW w:w="7004" w:type="dxa"/>
            <w:tcBorders>
              <w:top w:val="single" w:color="auto" w:sz="4" w:space="0"/>
              <w:bottom w:val="single" w:color="auto" w:sz="4" w:space="0"/>
            </w:tcBorders>
            <w:noWrap w:val="0"/>
            <w:vAlign w:val="center"/>
          </w:tcPr>
          <w:p w14:paraId="3B5F00EC">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投标人有1名常驻固定的售后技术人员，提供技术支持和保障得1分，售后技术人员每增加1人加0.5分，（本项满分2分）需提供人员身份证、拥有医疗产品维护、维修或技术支持服务资格证书，未提供不得分。</w:t>
            </w:r>
          </w:p>
        </w:tc>
      </w:tr>
      <w:tr w14:paraId="7064E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3" w:hRule="atLeast"/>
        </w:trPr>
        <w:tc>
          <w:tcPr>
            <w:tcW w:w="468" w:type="dxa"/>
            <w:tcBorders>
              <w:top w:val="single" w:color="auto" w:sz="4" w:space="0"/>
              <w:bottom w:val="single" w:color="auto" w:sz="4" w:space="0"/>
            </w:tcBorders>
            <w:noWrap w:val="0"/>
            <w:vAlign w:val="center"/>
          </w:tcPr>
          <w:p w14:paraId="6A676CF1">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lang w:val="en-US" w:eastAsia="zh-CN"/>
              </w:rPr>
              <w:t>4</w:t>
            </w:r>
          </w:p>
        </w:tc>
        <w:tc>
          <w:tcPr>
            <w:tcW w:w="1500" w:type="dxa"/>
            <w:tcBorders>
              <w:top w:val="single" w:color="auto" w:sz="4" w:space="0"/>
              <w:bottom w:val="single" w:color="auto" w:sz="4" w:space="0"/>
            </w:tcBorders>
            <w:noWrap w:val="0"/>
            <w:vAlign w:val="center"/>
          </w:tcPr>
          <w:p w14:paraId="48A1A021">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lang w:val="en-US" w:eastAsia="zh-CN"/>
              </w:rPr>
              <w:t>巡回服务</w:t>
            </w:r>
          </w:p>
        </w:tc>
        <w:tc>
          <w:tcPr>
            <w:tcW w:w="1081" w:type="dxa"/>
            <w:tcBorders>
              <w:top w:val="single" w:color="auto" w:sz="4" w:space="0"/>
              <w:bottom w:val="single" w:color="auto" w:sz="4" w:space="0"/>
            </w:tcBorders>
            <w:noWrap w:val="0"/>
            <w:vAlign w:val="center"/>
          </w:tcPr>
          <w:p w14:paraId="66477024">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eastAsia" w:ascii="仿宋" w:hAnsi="仿宋" w:eastAsia="仿宋" w:cs="仿宋"/>
                <w:color w:val="auto"/>
                <w:spacing w:val="7"/>
                <w:sz w:val="24"/>
                <w:szCs w:val="24"/>
                <w:lang w:val="en-US"/>
              </w:rPr>
            </w:pP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分</w:t>
            </w:r>
          </w:p>
        </w:tc>
        <w:tc>
          <w:tcPr>
            <w:tcW w:w="7004" w:type="dxa"/>
            <w:tcBorders>
              <w:top w:val="single" w:color="auto" w:sz="4" w:space="0"/>
              <w:bottom w:val="single" w:color="auto" w:sz="4" w:space="0"/>
            </w:tcBorders>
            <w:noWrap w:val="0"/>
            <w:vAlign w:val="center"/>
          </w:tcPr>
          <w:p w14:paraId="40469232">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工程师达到每年3次定期上门巡回服务得0.5分，每年4次定期上门巡回服务得1分，投标人须提供承诺（格式自拟）。未提供不得分。</w:t>
            </w:r>
          </w:p>
        </w:tc>
      </w:tr>
      <w:tr w14:paraId="64C3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3" w:hRule="atLeast"/>
        </w:trPr>
        <w:tc>
          <w:tcPr>
            <w:tcW w:w="468" w:type="dxa"/>
            <w:tcBorders>
              <w:top w:val="single" w:color="auto" w:sz="4" w:space="0"/>
              <w:bottom w:val="single" w:color="auto" w:sz="4" w:space="0"/>
            </w:tcBorders>
            <w:noWrap w:val="0"/>
            <w:vAlign w:val="center"/>
          </w:tcPr>
          <w:p w14:paraId="75E3E4BB">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default"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5</w:t>
            </w:r>
          </w:p>
        </w:tc>
        <w:tc>
          <w:tcPr>
            <w:tcW w:w="1500" w:type="dxa"/>
            <w:tcBorders>
              <w:top w:val="single" w:color="auto" w:sz="4" w:space="0"/>
              <w:bottom w:val="single" w:color="auto" w:sz="4" w:space="0"/>
            </w:tcBorders>
            <w:noWrap w:val="0"/>
            <w:vAlign w:val="center"/>
          </w:tcPr>
          <w:p w14:paraId="6DAA536C">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售后服务</w:t>
            </w:r>
          </w:p>
        </w:tc>
        <w:tc>
          <w:tcPr>
            <w:tcW w:w="1081" w:type="dxa"/>
            <w:tcBorders>
              <w:top w:val="single" w:color="auto" w:sz="4" w:space="0"/>
              <w:bottom w:val="single" w:color="auto" w:sz="4" w:space="0"/>
            </w:tcBorders>
            <w:noWrap w:val="0"/>
            <w:vAlign w:val="center"/>
          </w:tcPr>
          <w:p w14:paraId="7212E76E">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default"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5分</w:t>
            </w:r>
          </w:p>
        </w:tc>
        <w:tc>
          <w:tcPr>
            <w:tcW w:w="7004" w:type="dxa"/>
            <w:tcBorders>
              <w:top w:val="single" w:color="auto" w:sz="4" w:space="0"/>
              <w:bottom w:val="single" w:color="auto" w:sz="4" w:space="0"/>
            </w:tcBorders>
            <w:noWrap w:val="0"/>
            <w:vAlign w:val="center"/>
          </w:tcPr>
          <w:p w14:paraId="07F69735">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售后服务的内容：1.售后维修人员组成；2.免费维修时间及流程；3.质量问题解决方案（含应急突发事件）4.配用配件的供应；5.售后维保等。以上内容每项0-1分，未提供不得分，满分5分。</w:t>
            </w:r>
          </w:p>
        </w:tc>
      </w:tr>
      <w:tr w14:paraId="45414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trPr>
        <w:tc>
          <w:tcPr>
            <w:tcW w:w="468" w:type="dxa"/>
            <w:tcBorders>
              <w:top w:val="single" w:color="auto" w:sz="4" w:space="0"/>
              <w:bottom w:val="single" w:color="auto" w:sz="4" w:space="0"/>
            </w:tcBorders>
            <w:noWrap w:val="0"/>
            <w:vAlign w:val="center"/>
          </w:tcPr>
          <w:p w14:paraId="54C02DC4">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default"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6</w:t>
            </w:r>
          </w:p>
        </w:tc>
        <w:tc>
          <w:tcPr>
            <w:tcW w:w="1500" w:type="dxa"/>
            <w:tcBorders>
              <w:top w:val="single" w:color="auto" w:sz="4" w:space="0"/>
              <w:bottom w:val="single" w:color="auto" w:sz="4" w:space="0"/>
            </w:tcBorders>
            <w:noWrap w:val="0"/>
            <w:vAlign w:val="center"/>
          </w:tcPr>
          <w:p w14:paraId="75CAEF26">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lang w:eastAsia="zh-CN"/>
              </w:rPr>
              <w:t>培训计划</w:t>
            </w:r>
          </w:p>
        </w:tc>
        <w:tc>
          <w:tcPr>
            <w:tcW w:w="1081" w:type="dxa"/>
            <w:tcBorders>
              <w:top w:val="single" w:color="auto" w:sz="4" w:space="0"/>
              <w:bottom w:val="single" w:color="auto" w:sz="4" w:space="0"/>
            </w:tcBorders>
            <w:noWrap w:val="0"/>
            <w:vAlign w:val="center"/>
          </w:tcPr>
          <w:p w14:paraId="17EFB6BA">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3.1分</w:t>
            </w:r>
          </w:p>
        </w:tc>
        <w:tc>
          <w:tcPr>
            <w:tcW w:w="7004" w:type="dxa"/>
            <w:tcBorders>
              <w:top w:val="single" w:color="auto" w:sz="4" w:space="0"/>
              <w:bottom w:val="single" w:color="auto" w:sz="4" w:space="0"/>
            </w:tcBorders>
            <w:noWrap w:val="0"/>
            <w:vAlign w:val="center"/>
          </w:tcPr>
          <w:p w14:paraId="3D53D7FA">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综合考虑培训方案，培训计划安排、培训技术人员配置。本项得0-3.1分，未提供不得分。</w:t>
            </w:r>
          </w:p>
        </w:tc>
      </w:tr>
      <w:tr w14:paraId="0C86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trPr>
        <w:tc>
          <w:tcPr>
            <w:tcW w:w="468" w:type="dxa"/>
            <w:tcBorders>
              <w:top w:val="single" w:color="auto" w:sz="4" w:space="0"/>
              <w:bottom w:val="single" w:color="auto" w:sz="4" w:space="0"/>
            </w:tcBorders>
            <w:noWrap w:val="0"/>
            <w:vAlign w:val="center"/>
          </w:tcPr>
          <w:p w14:paraId="44FEC288">
            <w:pPr>
              <w:keepNext w:val="0"/>
              <w:keepLines w:val="0"/>
              <w:pageBreakBefore w:val="0"/>
              <w:widowControl/>
              <w:kinsoku/>
              <w:wordWrap/>
              <w:overflowPunct/>
              <w:topLinePunct w:val="0"/>
              <w:autoSpaceDE w:val="0"/>
              <w:autoSpaceDN w:val="0"/>
              <w:bidi w:val="0"/>
              <w:adjustRightInd w:val="0"/>
              <w:snapToGrid w:val="0"/>
              <w:spacing w:before="230" w:line="320" w:lineRule="exact"/>
              <w:ind w:right="17"/>
              <w:jc w:val="center"/>
              <w:textAlignment w:val="baseline"/>
              <w:rPr>
                <w:rFonts w:hint="default"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7</w:t>
            </w:r>
          </w:p>
        </w:tc>
        <w:tc>
          <w:tcPr>
            <w:tcW w:w="1500" w:type="dxa"/>
            <w:tcBorders>
              <w:top w:val="single" w:color="auto" w:sz="4" w:space="0"/>
              <w:bottom w:val="single" w:color="auto" w:sz="4" w:space="0"/>
            </w:tcBorders>
            <w:noWrap w:val="0"/>
            <w:vAlign w:val="center"/>
          </w:tcPr>
          <w:p w14:paraId="1301F85C">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lang w:val="en-US" w:eastAsia="zh-CN"/>
              </w:rPr>
              <w:t>质保期外服务计划</w:t>
            </w:r>
          </w:p>
        </w:tc>
        <w:tc>
          <w:tcPr>
            <w:tcW w:w="1081" w:type="dxa"/>
            <w:tcBorders>
              <w:top w:val="single" w:color="auto" w:sz="4" w:space="0"/>
              <w:bottom w:val="single" w:color="auto" w:sz="4" w:space="0"/>
            </w:tcBorders>
            <w:noWrap w:val="0"/>
            <w:vAlign w:val="center"/>
          </w:tcPr>
          <w:p w14:paraId="303AD93B">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5分</w:t>
            </w:r>
          </w:p>
        </w:tc>
        <w:tc>
          <w:tcPr>
            <w:tcW w:w="7004" w:type="dxa"/>
            <w:tcBorders>
              <w:top w:val="single" w:color="auto" w:sz="4" w:space="0"/>
              <w:bottom w:val="single" w:color="auto" w:sz="4" w:space="0"/>
            </w:tcBorders>
            <w:noWrap w:val="0"/>
            <w:vAlign w:val="center"/>
          </w:tcPr>
          <w:p w14:paraId="385CCD6B">
            <w:pPr>
              <w:keepNext w:val="0"/>
              <w:keepLines w:val="0"/>
              <w:pageBreakBefore w:val="0"/>
              <w:widowControl/>
              <w:kinsoku/>
              <w:wordWrap/>
              <w:overflowPunct/>
              <w:topLinePunct w:val="0"/>
              <w:autoSpaceDE w:val="0"/>
              <w:autoSpaceDN w:val="0"/>
              <w:bidi w:val="0"/>
              <w:adjustRightInd w:val="0"/>
              <w:snapToGrid w:val="0"/>
              <w:spacing w:before="230" w:line="320" w:lineRule="exact"/>
              <w:ind w:left="238" w:right="17" w:firstLine="0"/>
              <w:textAlignment w:val="baseline"/>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项目质保期外服务计划（内容包括但不限于质保期外的投标时间、备品保障供应、巡检服务、软件升级（如有）或提供现场技术支持服务（包含电话、远程等其他方式）等）本项得0-5分，未提供不得分。</w:t>
            </w:r>
          </w:p>
        </w:tc>
      </w:tr>
    </w:tbl>
    <w:p w14:paraId="3FBBF024">
      <w:pPr>
        <w:keepLines w:val="0"/>
        <w:pageBreakBefore w:val="0"/>
        <w:kinsoku/>
        <w:wordWrap/>
        <w:overflowPunct/>
        <w:topLinePunct w:val="0"/>
        <w:bidi w:val="0"/>
        <w:rPr>
          <w:sz w:val="21"/>
          <w:szCs w:val="21"/>
        </w:rPr>
        <w:sectPr>
          <w:footerReference r:id="rId8" w:type="default"/>
          <w:pgSz w:w="11906" w:h="16839"/>
          <w:pgMar w:top="1440" w:right="1080" w:bottom="1440" w:left="1080" w:header="0" w:footer="989" w:gutter="0"/>
          <w:pgNumType w:fmt="decimal"/>
          <w:cols w:space="720" w:num="1"/>
        </w:sectPr>
      </w:pPr>
    </w:p>
    <w:p w14:paraId="5C2B62A1">
      <w:pPr>
        <w:keepLines w:val="0"/>
        <w:pageBreakBefore w:val="0"/>
        <w:kinsoku/>
        <w:wordWrap/>
        <w:overflowPunct/>
        <w:topLinePunct w:val="0"/>
        <w:bidi w:val="0"/>
        <w:spacing w:before="182" w:line="228" w:lineRule="auto"/>
        <w:jc w:val="center"/>
        <w:rPr>
          <w:rFonts w:ascii="仿宋" w:hAnsi="仿宋" w:eastAsia="仿宋" w:cs="仿宋"/>
          <w:sz w:val="31"/>
          <w:szCs w:val="31"/>
          <w:highlight w:val="none"/>
        </w:rPr>
      </w:pPr>
      <w:r>
        <w:rPr>
          <w:rFonts w:ascii="仿宋" w:hAnsi="仿宋" w:eastAsia="仿宋" w:cs="仿宋"/>
          <w:b/>
          <w:bCs/>
          <w:spacing w:val="-2"/>
          <w:sz w:val="31"/>
          <w:szCs w:val="31"/>
          <w:highlight w:val="none"/>
        </w:rPr>
        <w:t>第四章</w:t>
      </w:r>
      <w:r>
        <w:rPr>
          <w:rFonts w:ascii="仿宋" w:hAnsi="仿宋" w:eastAsia="仿宋" w:cs="仿宋"/>
          <w:spacing w:val="21"/>
          <w:sz w:val="31"/>
          <w:szCs w:val="31"/>
          <w:highlight w:val="none"/>
        </w:rPr>
        <w:t xml:space="preserve">  </w:t>
      </w:r>
      <w:r>
        <w:rPr>
          <w:rFonts w:ascii="仿宋" w:hAnsi="仿宋" w:eastAsia="仿宋" w:cs="仿宋"/>
          <w:b/>
          <w:bCs/>
          <w:spacing w:val="-2"/>
          <w:sz w:val="31"/>
          <w:szCs w:val="31"/>
          <w:highlight w:val="none"/>
        </w:rPr>
        <w:t>合同条款</w:t>
      </w:r>
    </w:p>
    <w:p w14:paraId="0748CA14">
      <w:pPr>
        <w:keepLines w:val="0"/>
        <w:pageBreakBefore w:val="0"/>
        <w:kinsoku/>
        <w:wordWrap/>
        <w:overflowPunct/>
        <w:topLinePunct w:val="0"/>
        <w:bidi w:val="0"/>
        <w:jc w:val="center"/>
        <w:rPr>
          <w:rFonts w:hint="eastAsia" w:ascii="宋体" w:hAnsi="宋体" w:eastAsia="宋体" w:cs="宋体"/>
          <w:b/>
          <w:bCs/>
          <w:sz w:val="48"/>
          <w:szCs w:val="56"/>
        </w:rPr>
      </w:pPr>
      <w:r>
        <w:rPr>
          <w:rFonts w:hint="eastAsia" w:ascii="宋体" w:hAnsi="宋体" w:eastAsia="宋体" w:cs="宋体"/>
          <w:b/>
          <w:bCs/>
          <w:sz w:val="48"/>
          <w:szCs w:val="56"/>
        </w:rPr>
        <w:t>政府采购货物买卖合同</w:t>
      </w:r>
    </w:p>
    <w:p w14:paraId="7CF8104C">
      <w:pPr>
        <w:keepLines w:val="0"/>
        <w:pageBreakBefore w:val="0"/>
        <w:kinsoku/>
        <w:wordWrap/>
        <w:overflowPunct/>
        <w:topLinePunct w:val="0"/>
        <w:bidi w:val="0"/>
        <w:jc w:val="center"/>
        <w:rPr>
          <w:rFonts w:hint="eastAsia" w:ascii="宋体" w:hAnsi="宋体" w:eastAsia="宋体" w:cs="宋体"/>
          <w:b/>
          <w:bCs/>
          <w:sz w:val="48"/>
          <w:szCs w:val="56"/>
        </w:rPr>
      </w:pPr>
      <w:r>
        <w:rPr>
          <w:rFonts w:hint="eastAsia" w:ascii="宋体" w:hAnsi="宋体" w:eastAsia="宋体" w:cs="宋体"/>
          <w:b/>
          <w:bCs/>
          <w:sz w:val="48"/>
          <w:szCs w:val="56"/>
        </w:rPr>
        <w:t>(试行)</w:t>
      </w:r>
    </w:p>
    <w:p w14:paraId="4AD8370A">
      <w:pPr>
        <w:keepLines w:val="0"/>
        <w:pageBreakBefore w:val="0"/>
        <w:kinsoku/>
        <w:wordWrap/>
        <w:overflowPunct/>
        <w:topLinePunct w:val="0"/>
        <w:bidi w:val="0"/>
        <w:jc w:val="center"/>
        <w:rPr>
          <w:rFonts w:hint="eastAsia" w:ascii="宋体" w:hAnsi="宋体" w:eastAsia="宋体" w:cs="宋体"/>
          <w:b/>
          <w:bCs/>
          <w:sz w:val="48"/>
          <w:szCs w:val="56"/>
        </w:rPr>
      </w:pPr>
    </w:p>
    <w:p w14:paraId="7F4EC138">
      <w:pPr>
        <w:keepLines w:val="0"/>
        <w:pageBreakBefore w:val="0"/>
        <w:kinsoku/>
        <w:wordWrap/>
        <w:overflowPunct/>
        <w:topLinePunct w:val="0"/>
        <w:bidi w:val="0"/>
        <w:jc w:val="center"/>
        <w:rPr>
          <w:rFonts w:hint="eastAsia" w:ascii="宋体" w:hAnsi="宋体" w:eastAsia="宋体" w:cs="宋体"/>
          <w:b/>
          <w:bCs/>
          <w:sz w:val="48"/>
          <w:szCs w:val="56"/>
        </w:rPr>
      </w:pPr>
    </w:p>
    <w:p w14:paraId="4965DFF8">
      <w:pPr>
        <w:keepLines w:val="0"/>
        <w:pageBreakBefore w:val="0"/>
        <w:kinsoku/>
        <w:wordWrap/>
        <w:overflowPunct/>
        <w:topLinePunct w:val="0"/>
        <w:bidi w:val="0"/>
        <w:jc w:val="center"/>
        <w:rPr>
          <w:rFonts w:hint="eastAsia" w:ascii="宋体" w:hAnsi="宋体" w:eastAsia="宋体" w:cs="宋体"/>
          <w:b/>
          <w:bCs/>
          <w:sz w:val="48"/>
          <w:szCs w:val="56"/>
        </w:rPr>
      </w:pPr>
    </w:p>
    <w:p w14:paraId="4F33F619">
      <w:pPr>
        <w:keepLines w:val="0"/>
        <w:pageBreakBefore w:val="0"/>
        <w:kinsoku/>
        <w:wordWrap/>
        <w:overflowPunct/>
        <w:topLinePunct w:val="0"/>
        <w:bidi w:val="0"/>
        <w:jc w:val="center"/>
        <w:rPr>
          <w:rFonts w:hint="eastAsia" w:ascii="宋体" w:hAnsi="宋体" w:eastAsia="宋体" w:cs="宋体"/>
          <w:b/>
          <w:bCs/>
          <w:sz w:val="48"/>
          <w:szCs w:val="56"/>
        </w:rPr>
      </w:pPr>
    </w:p>
    <w:p w14:paraId="4903407B">
      <w:pPr>
        <w:keepLines w:val="0"/>
        <w:pageBreakBefore w:val="0"/>
        <w:kinsoku/>
        <w:wordWrap/>
        <w:overflowPunct/>
        <w:topLinePunct w:val="0"/>
        <w:bidi w:val="0"/>
        <w:jc w:val="center"/>
        <w:rPr>
          <w:rFonts w:hint="eastAsia" w:ascii="宋体" w:hAnsi="宋体" w:eastAsia="宋体" w:cs="宋体"/>
          <w:b/>
          <w:bCs/>
          <w:sz w:val="48"/>
          <w:szCs w:val="56"/>
        </w:rPr>
      </w:pPr>
    </w:p>
    <w:p w14:paraId="2BFD2446">
      <w:pPr>
        <w:keepLines w:val="0"/>
        <w:pageBreakBefore w:val="0"/>
        <w:kinsoku/>
        <w:wordWrap/>
        <w:overflowPunct/>
        <w:topLinePunct w:val="0"/>
        <w:bidi w:val="0"/>
        <w:jc w:val="center"/>
        <w:rPr>
          <w:rFonts w:hint="eastAsia" w:ascii="宋体" w:hAnsi="宋体" w:eastAsia="宋体" w:cs="宋体"/>
          <w:b/>
          <w:bCs/>
          <w:sz w:val="48"/>
          <w:szCs w:val="56"/>
        </w:rPr>
      </w:pPr>
    </w:p>
    <w:p w14:paraId="01A6B0F5">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4D371AA8">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623E0BEF">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5AFAE3DC">
      <w:pPr>
        <w:keepLines w:val="0"/>
        <w:pageBreakBefore w:val="0"/>
        <w:kinsoku/>
        <w:wordWrap/>
        <w:overflowPunct/>
        <w:topLinePunct w:val="0"/>
        <w:bidi w:val="0"/>
        <w:rPr>
          <w:rFonts w:hint="eastAsia" w:ascii="宋体" w:hAnsi="宋体" w:eastAsia="宋体" w:cs="宋体"/>
          <w:sz w:val="28"/>
          <w:szCs w:val="36"/>
          <w:u w:val="single"/>
          <w:lang w:val="en-US"/>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03ECD240">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3F367BAB">
      <w:pPr>
        <w:keepLines w:val="0"/>
        <w:pageBreakBefore w:val="0"/>
        <w:kinsoku/>
        <w:wordWrap/>
        <w:overflowPunct/>
        <w:topLinePunct w:val="0"/>
        <w:bidi w:val="0"/>
        <w:rPr>
          <w:rFonts w:hint="eastAsia" w:ascii="宋体" w:hAnsi="宋体" w:eastAsia="宋体" w:cs="宋体"/>
          <w:sz w:val="28"/>
          <w:szCs w:val="36"/>
          <w:u w:val="single"/>
          <w:lang w:val="en-US" w:eastAsia="zh-CN"/>
        </w:rPr>
      </w:pPr>
    </w:p>
    <w:p w14:paraId="2BF2F586">
      <w:pPr>
        <w:keepLines w:val="0"/>
        <w:pageBreakBefore w:val="0"/>
        <w:kinsoku/>
        <w:wordWrap/>
        <w:overflowPunct/>
        <w:topLinePunct w:val="0"/>
        <w:bidi w:val="0"/>
        <w:rPr>
          <w:rFonts w:hint="eastAsia"/>
          <w:sz w:val="28"/>
          <w:szCs w:val="36"/>
          <w:u w:val="single"/>
          <w:lang w:val="en-US" w:eastAsia="zh-CN"/>
        </w:rPr>
      </w:pPr>
    </w:p>
    <w:p w14:paraId="20351963">
      <w:pPr>
        <w:keepLines w:val="0"/>
        <w:pageBreakBefore w:val="0"/>
        <w:kinsoku/>
        <w:wordWrap/>
        <w:overflowPunct/>
        <w:topLinePunct w:val="0"/>
        <w:bidi w:val="0"/>
        <w:rPr>
          <w:rFonts w:hint="eastAsia"/>
          <w:sz w:val="28"/>
          <w:szCs w:val="36"/>
          <w:u w:val="single"/>
          <w:lang w:val="en-US" w:eastAsia="zh-CN"/>
        </w:rPr>
      </w:pPr>
    </w:p>
    <w:p w14:paraId="0ABBFFC6">
      <w:pPr>
        <w:keepLines w:val="0"/>
        <w:pageBreakBefore w:val="0"/>
        <w:kinsoku/>
        <w:wordWrap/>
        <w:overflowPunct/>
        <w:topLinePunct w:val="0"/>
        <w:bidi w:val="0"/>
        <w:rPr>
          <w:rFonts w:hint="eastAsia"/>
          <w:sz w:val="28"/>
          <w:szCs w:val="36"/>
          <w:u w:val="single"/>
          <w:lang w:val="en-US" w:eastAsia="zh-CN"/>
        </w:rPr>
      </w:pPr>
    </w:p>
    <w:p w14:paraId="44D4500F">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085984A">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2282CB6C">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FEA6A36">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79DEED69">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D481AB6">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4BE4545">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50E765E5">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395A5192">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4429171E">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r>
        <w:rPr>
          <w:rFonts w:hint="eastAsia" w:ascii="黑体" w:hAnsi="黑体" w:eastAsia="黑体" w:cs="黑体"/>
          <w:sz w:val="44"/>
          <w:szCs w:val="52"/>
          <w:u w:val="none"/>
          <w:lang w:val="en-US" w:eastAsia="zh-CN"/>
        </w:rPr>
        <w:t>使用说明</w:t>
      </w:r>
    </w:p>
    <w:p w14:paraId="1B16CC4F">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3825C286">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1.本合同标准文本适用于购买现成货物的采购项目，不包括需要供应商定制开发、创新研发的货物采购项目。</w:t>
      </w:r>
    </w:p>
    <w:p w14:paraId="0A3519D4">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2.本合同标准文本为政府采购货物买卖合同编制提供参考，可以结合采购项目具体情况，对文本做必要的调整修订后使用。</w:t>
      </w:r>
    </w:p>
    <w:p w14:paraId="46ADCC49">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40"/>
          <w:u w:val="none"/>
          <w:lang w:val="en-US" w:eastAsia="zh-CN"/>
        </w:rPr>
        <w:t>3.本合同标准文本各条款中，如涉及填写多家供应商、制造商，多种采购标的、分包主要内容等信息的，可根据采购项目具体情况添加信息项。</w:t>
      </w:r>
    </w:p>
    <w:p w14:paraId="7B35234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01957DA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1D5881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(采购人、受采购人委托签订合同的单位或采购文件约定的合同甲方)</w:t>
      </w:r>
    </w:p>
    <w:p w14:paraId="5A08A7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乙方1(全称)：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w:t>
      </w:r>
    </w:p>
    <w:p w14:paraId="21E9440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乙方2(全称)：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4CA9106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乙方3(全称)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431418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中华人民共和国民法典》、《中华人民共和国政府采购法》等有关的法律法规，以及本采购项目的招标/谈判文件等采购文件、乙方的《投标(投标)文件》及《中标(成交)通知书》，甲乙双方同意签订本合同。具体情况及要求如下:</w:t>
      </w:r>
    </w:p>
    <w:p w14:paraId="2FA0C37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1.项目信息</w:t>
      </w:r>
    </w:p>
    <w:p w14:paraId="40F6BFB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(1)采购项目名称:</w:t>
      </w:r>
      <w:r>
        <w:rPr>
          <w:rFonts w:hint="eastAsia" w:ascii="仿宋" w:hAnsi="仿宋" w:eastAsia="仿宋" w:cs="仿宋"/>
          <w:sz w:val="24"/>
          <w:szCs w:val="24"/>
          <w:u w:val="single"/>
          <w:lang w:val="en-US" w:eastAsia="zh-CN"/>
        </w:rPr>
        <w:t xml:space="preserve">                                </w:t>
      </w:r>
    </w:p>
    <w:p w14:paraId="1B15F6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采购项目编号:</w:t>
      </w:r>
      <w:r>
        <w:rPr>
          <w:rFonts w:hint="eastAsia" w:ascii="仿宋" w:hAnsi="仿宋" w:eastAsia="仿宋" w:cs="仿宋"/>
          <w:sz w:val="24"/>
          <w:szCs w:val="24"/>
          <w:u w:val="single"/>
          <w:lang w:val="en-US" w:eastAsia="zh-CN"/>
        </w:rPr>
        <w:t xml:space="preserve">                                   </w:t>
      </w:r>
    </w:p>
    <w:p w14:paraId="3EA8BE4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(2)采购计划编号:</w:t>
      </w:r>
      <w:r>
        <w:rPr>
          <w:rFonts w:hint="eastAsia" w:ascii="仿宋" w:hAnsi="仿宋" w:eastAsia="仿宋" w:cs="仿宋"/>
          <w:sz w:val="24"/>
          <w:szCs w:val="24"/>
          <w:u w:val="single"/>
          <w:lang w:val="en-US" w:eastAsia="zh-CN"/>
        </w:rPr>
        <w:t xml:space="preserve">                                </w:t>
      </w:r>
    </w:p>
    <w:p w14:paraId="0A65F27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(3)项目内容:</w:t>
      </w:r>
    </w:p>
    <w:p w14:paraId="67C084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采购标的及数量(台/套/个/架/组等):</w:t>
      </w:r>
      <w:r>
        <w:rPr>
          <w:rFonts w:hint="eastAsia" w:ascii="仿宋" w:hAnsi="仿宋" w:eastAsia="仿宋" w:cs="仿宋"/>
          <w:sz w:val="24"/>
          <w:szCs w:val="24"/>
          <w:u w:val="single"/>
          <w:lang w:val="en-US" w:eastAsia="zh-CN"/>
        </w:rPr>
        <w:t xml:space="preserve">                 </w:t>
      </w:r>
    </w:p>
    <w:p w14:paraId="480215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1CAE632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采购标的的技术要求、商务要求具体见附件。</w:t>
      </w:r>
    </w:p>
    <w:p w14:paraId="5872F63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2331AB4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标的名称：</w:t>
      </w:r>
      <w:r>
        <w:rPr>
          <w:rFonts w:hint="eastAsia" w:ascii="仿宋" w:hAnsi="仿宋" w:eastAsia="仿宋" w:cs="仿宋"/>
          <w:sz w:val="24"/>
          <w:szCs w:val="24"/>
          <w:u w:val="single"/>
          <w:lang w:val="en-US" w:eastAsia="zh-CN"/>
        </w:rPr>
        <w:t xml:space="preserve">                     </w:t>
      </w:r>
    </w:p>
    <w:p w14:paraId="588CCA5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63261F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6DC862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00D1D64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(注:关键部件是指财政部会同有关部门发布的政府采购需求标准规定的需要通过国家有关部门指定的测评机构开展的安全可靠测评的软硬件，如CPU芯片、操作系统、数据库等。)</w:t>
      </w:r>
    </w:p>
    <w:p w14:paraId="3B052F2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②涉及车辆采购，请填写是否属于新能源汽车:</w:t>
      </w:r>
    </w:p>
    <w:p w14:paraId="66307FB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□是，《政府采购品品分类目录》底级品目名称: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401314A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6F69FB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（4）政府采购组织形式:□政府集中采购  □部门集中采购   □分散采购         (5)政府采购方式:□公开招标 □邀请招标 □竞争性谈判 □竞争性磋商</w:t>
      </w:r>
    </w:p>
    <w:p w14:paraId="09ECE24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□询价 □单一来源 □框架协议 □其他:</w:t>
      </w:r>
      <w:r>
        <w:rPr>
          <w:rFonts w:hint="eastAsia" w:ascii="仿宋" w:hAnsi="仿宋" w:eastAsia="仿宋" w:cs="仿宋"/>
          <w:sz w:val="24"/>
          <w:szCs w:val="24"/>
          <w:u w:val="single"/>
          <w:lang w:val="en-US" w:eastAsia="zh-CN"/>
        </w:rPr>
        <w:t xml:space="preserve">        </w:t>
      </w:r>
    </w:p>
    <w:p w14:paraId="4E1CF3C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(注:在框架协议采购的第二阶段，可选择使用该合同文本)</w:t>
      </w:r>
    </w:p>
    <w:p w14:paraId="20E4736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(6)中标(成交)采购标的制造商是否为中小企业:□是    □否</w:t>
      </w:r>
    </w:p>
    <w:p w14:paraId="5ABC047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本合同是否为专门面向中小企业的采购合同(中小企业预留合同):□是  □否</w:t>
      </w:r>
    </w:p>
    <w:p w14:paraId="281113E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若本项目不专门面向中小企业采购，是否给予小微企业评审优惠:□是  □否</w:t>
      </w:r>
    </w:p>
    <w:p w14:paraId="7469712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中标(成交)采购标的制造商是否为残疾人福利性单位:□是  □否</w:t>
      </w:r>
    </w:p>
    <w:p w14:paraId="5D61573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中标(成交)采购标的制造商是否为监狱企业:口是  □否</w:t>
      </w:r>
    </w:p>
    <w:p w14:paraId="42C3B5E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(7)合同是否分包:□是     □否</w:t>
      </w:r>
    </w:p>
    <w:p w14:paraId="73F59D5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分包主要内容:</w:t>
      </w:r>
      <w:r>
        <w:rPr>
          <w:rFonts w:hint="eastAsia" w:ascii="仿宋" w:hAnsi="仿宋" w:eastAsia="仿宋" w:cs="仿宋"/>
          <w:sz w:val="24"/>
          <w:szCs w:val="24"/>
          <w:u w:val="single"/>
          <w:lang w:val="en-US" w:eastAsia="zh-CN"/>
        </w:rPr>
        <w:t xml:space="preserve">                      </w:t>
      </w:r>
    </w:p>
    <w:p w14:paraId="5B2F480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分包供应商/制造商名称(如供应商和制造商不同，请分别填写):</w:t>
      </w:r>
    </w:p>
    <w:p w14:paraId="1501C66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2E21944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分包供应商/制造商类型(如果供应商和制造商不同，只填写制造商类型):</w:t>
      </w:r>
    </w:p>
    <w:p w14:paraId="0D46576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□大型企业    □中型企业    □小微型企业</w:t>
      </w:r>
    </w:p>
    <w:p w14:paraId="6ACED18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□残疾人福利性单位   □监狱企业   □其他</w:t>
      </w:r>
    </w:p>
    <w:p w14:paraId="0E4BEC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(8)中标(成交)供应商是否为外商投资企业:□是    □否</w:t>
      </w:r>
    </w:p>
    <w:p w14:paraId="6C1383D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外商投资企业类型:□全部由外国投资者投资  □部分由外国投资者投资</w:t>
      </w:r>
    </w:p>
    <w:p w14:paraId="4FBC024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（9）是否涉及进口产品:</w:t>
      </w:r>
    </w:p>
    <w:p w14:paraId="344F2D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□是，《政府采购品目分类目录》底级品目名称: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722344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960" w:firstLineChars="4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692DB1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6E58A43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(10)是否涉及节能产品:</w:t>
      </w:r>
    </w:p>
    <w:p w14:paraId="1EFDE1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口是，《节能产品政府采购品目清单》的底级品目名称:</w:t>
      </w:r>
      <w:r>
        <w:rPr>
          <w:rFonts w:hint="eastAsia" w:ascii="仿宋" w:hAnsi="仿宋" w:eastAsia="仿宋" w:cs="仿宋"/>
          <w:sz w:val="24"/>
          <w:szCs w:val="24"/>
          <w:u w:val="single"/>
          <w:lang w:val="en-US" w:eastAsia="zh-CN"/>
        </w:rPr>
        <w:t xml:space="preserve">        </w:t>
      </w:r>
    </w:p>
    <w:p w14:paraId="1DABF36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3B2EEC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33677C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是否涉及环境标志产品:</w:t>
      </w:r>
    </w:p>
    <w:p w14:paraId="4385C93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口是，《环境标志产品政府采购品目清单》的底级品目名称:</w:t>
      </w:r>
      <w:r>
        <w:rPr>
          <w:rFonts w:hint="eastAsia" w:ascii="仿宋" w:hAnsi="仿宋" w:eastAsia="仿宋" w:cs="仿宋"/>
          <w:sz w:val="24"/>
          <w:szCs w:val="24"/>
          <w:u w:val="single"/>
          <w:lang w:val="en-US" w:eastAsia="zh-CN"/>
        </w:rPr>
        <w:t xml:space="preserve">        </w:t>
      </w:r>
    </w:p>
    <w:p w14:paraId="797E9E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17E313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D80402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是否涉及绿色产品:</w:t>
      </w:r>
    </w:p>
    <w:p w14:paraId="2E9A4A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□是，绿色产品政府采购相关政策确定的底级品目名称:</w:t>
      </w:r>
      <w:r>
        <w:rPr>
          <w:rFonts w:hint="eastAsia" w:ascii="仿宋" w:hAnsi="仿宋" w:eastAsia="仿宋" w:cs="仿宋"/>
          <w:sz w:val="24"/>
          <w:szCs w:val="24"/>
          <w:u w:val="single"/>
          <w:lang w:val="en-US" w:eastAsia="zh-CN"/>
        </w:rPr>
        <w:t xml:space="preserve">             </w:t>
      </w:r>
    </w:p>
    <w:p w14:paraId="6B3F63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□强制采购      □优先采购</w:t>
      </w:r>
    </w:p>
    <w:p w14:paraId="2FD330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56E171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(11)涉及商品包装和快递包装的，是否参考《商品包装政府采购需求标准(试行)》、《快递包装政府采购需求标准(试行)》明确产品及相关快递服务的具体包装要求:</w:t>
      </w:r>
    </w:p>
    <w:p w14:paraId="5A7C8E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          □否             □不涉及</w:t>
      </w:r>
    </w:p>
    <w:p w14:paraId="2943F06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2.合同金额</w:t>
      </w:r>
    </w:p>
    <w:p w14:paraId="21C9E1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(1)合同金额小写:</w:t>
      </w:r>
      <w:r>
        <w:rPr>
          <w:rFonts w:hint="eastAsia" w:ascii="仿宋" w:hAnsi="仿宋" w:eastAsia="仿宋" w:cs="仿宋"/>
          <w:sz w:val="24"/>
          <w:szCs w:val="24"/>
          <w:u w:val="single"/>
          <w:lang w:val="en-US" w:eastAsia="zh-CN"/>
        </w:rPr>
        <w:t xml:space="preserve">                   </w:t>
      </w:r>
    </w:p>
    <w:p w14:paraId="126401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920" w:firstLineChars="8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185B1DB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分包金额(如有)小写:</w:t>
      </w:r>
      <w:r>
        <w:rPr>
          <w:rFonts w:hint="eastAsia" w:ascii="仿宋" w:hAnsi="仿宋" w:eastAsia="仿宋" w:cs="仿宋"/>
          <w:sz w:val="24"/>
          <w:szCs w:val="24"/>
          <w:u w:val="single"/>
          <w:lang w:val="en-US" w:eastAsia="zh-CN"/>
        </w:rPr>
        <w:t xml:space="preserve">              </w:t>
      </w:r>
    </w:p>
    <w:p w14:paraId="5911C0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60" w:firstLineChars="9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714466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(注:固定单价合同应填写单价和最高限价)</w:t>
      </w:r>
    </w:p>
    <w:p w14:paraId="685F69F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(2)合同定价方式(采用组合定价方式的，可以勾选多项):</w:t>
      </w:r>
    </w:p>
    <w:p w14:paraId="1F5FFA9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□固定总价 □固定单价 □固定费率 □成本补偿 □绩效激励 □其他</w:t>
      </w:r>
      <w:r>
        <w:rPr>
          <w:rFonts w:hint="eastAsia" w:ascii="仿宋" w:hAnsi="仿宋" w:eastAsia="仿宋" w:cs="仿宋"/>
          <w:sz w:val="24"/>
          <w:szCs w:val="24"/>
          <w:u w:val="single"/>
          <w:lang w:val="en-US" w:eastAsia="zh-CN"/>
        </w:rPr>
        <w:t xml:space="preserve">    </w:t>
      </w:r>
    </w:p>
    <w:p w14:paraId="3A8D0C7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(3)付款方式(按项目实际勾选填写):</w:t>
      </w:r>
    </w:p>
    <w:p w14:paraId="73F17DC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□全额付款:</w:t>
      </w:r>
      <w:r>
        <w:rPr>
          <w:rFonts w:hint="eastAsia" w:ascii="仿宋" w:hAnsi="仿宋" w:eastAsia="仿宋" w:cs="仿宋"/>
          <w:sz w:val="24"/>
          <w:szCs w:val="24"/>
          <w:u w:val="single"/>
          <w:lang w:val="en-US" w:eastAsia="zh-CN"/>
        </w:rPr>
        <w:t xml:space="preserve">  (应明确一次性支付合同款项的条件)     </w:t>
      </w:r>
    </w:p>
    <w:p w14:paraId="5395DE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□分期付款:</w:t>
      </w:r>
      <w:r>
        <w:rPr>
          <w:rFonts w:hint="eastAsia" w:ascii="仿宋" w:hAnsi="仿宋" w:eastAsia="仿宋" w:cs="仿宋"/>
          <w:sz w:val="24"/>
          <w:szCs w:val="24"/>
          <w:u w:val="single"/>
          <w:lang w:val="en-US" w:eastAsia="zh-CN"/>
        </w:rPr>
        <w:t>(应明确分期支付合同款项的各期比例和支付条件，各期支付条件应与分期履约验收情况挂钩)</w:t>
      </w:r>
      <w:r>
        <w:rPr>
          <w:rFonts w:hint="eastAsia" w:ascii="仿宋" w:hAnsi="仿宋" w:eastAsia="仿宋" w:cs="仿宋"/>
          <w:sz w:val="24"/>
          <w:szCs w:val="24"/>
          <w:lang w:val="en-US" w:eastAsia="zh-CN"/>
        </w:rPr>
        <w:t>，其中涉及预付款的:</w:t>
      </w:r>
      <w:r>
        <w:rPr>
          <w:rFonts w:hint="eastAsia" w:ascii="仿宋" w:hAnsi="仿宋" w:eastAsia="仿宋" w:cs="仿宋"/>
          <w:sz w:val="24"/>
          <w:szCs w:val="24"/>
          <w:u w:val="single"/>
          <w:lang w:val="en-US" w:eastAsia="zh-CN"/>
        </w:rPr>
        <w:t xml:space="preserve">(应明确预付款的支付比例和支付条件)  </w:t>
      </w:r>
    </w:p>
    <w:p w14:paraId="57D711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□成本补偿: </w:t>
      </w:r>
      <w:r>
        <w:rPr>
          <w:rFonts w:hint="eastAsia" w:ascii="仿宋" w:hAnsi="仿宋" w:eastAsia="仿宋" w:cs="仿宋"/>
          <w:sz w:val="24"/>
          <w:szCs w:val="24"/>
          <w:u w:val="single"/>
          <w:lang w:val="en-US" w:eastAsia="zh-CN"/>
        </w:rPr>
        <w:t xml:space="preserve">(应明确按照成本补偿方式的支付方式和支付条件)  </w:t>
      </w:r>
    </w:p>
    <w:p w14:paraId="660968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□绩效激励</w:t>
      </w:r>
      <w:r>
        <w:rPr>
          <w:rFonts w:hint="eastAsia" w:ascii="仿宋" w:hAnsi="仿宋" w:eastAsia="仿宋" w:cs="仿宋"/>
          <w:sz w:val="24"/>
          <w:szCs w:val="24"/>
          <w:u w:val="single"/>
          <w:lang w:val="en-US" w:eastAsia="zh-CN"/>
        </w:rPr>
        <w:t xml:space="preserve">(应明确按照绩效激励方式的支付方式和支付条件)    </w:t>
      </w:r>
    </w:p>
    <w:p w14:paraId="62C5E7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3.合同履行</w:t>
      </w:r>
    </w:p>
    <w:p w14:paraId="45B878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(1)起始日期:__年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日，完成日期:___年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54339C3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(2)履约地点:</w:t>
      </w:r>
      <w:r>
        <w:rPr>
          <w:rFonts w:hint="eastAsia" w:ascii="仿宋" w:hAnsi="仿宋" w:eastAsia="仿宋" w:cs="仿宋"/>
          <w:sz w:val="24"/>
          <w:szCs w:val="24"/>
          <w:u w:val="single"/>
          <w:lang w:val="en-US" w:eastAsia="zh-CN"/>
        </w:rPr>
        <w:t xml:space="preserve">                          </w:t>
      </w:r>
    </w:p>
    <w:p w14:paraId="3C9859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(3)履约担保:是否收取履约保证金:□是   □否</w:t>
      </w:r>
    </w:p>
    <w:p w14:paraId="22D56A6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收取履约保证金形式:</w:t>
      </w:r>
      <w:r>
        <w:rPr>
          <w:rFonts w:hint="eastAsia" w:ascii="仿宋" w:hAnsi="仿宋" w:eastAsia="仿宋" w:cs="仿宋"/>
          <w:sz w:val="24"/>
          <w:szCs w:val="24"/>
          <w:u w:val="single"/>
          <w:lang w:val="en-US" w:eastAsia="zh-CN"/>
        </w:rPr>
        <w:t xml:space="preserve">                          </w:t>
      </w:r>
    </w:p>
    <w:p w14:paraId="1B6C1F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收取履约保证金金额:</w:t>
      </w:r>
      <w:r>
        <w:rPr>
          <w:rFonts w:hint="eastAsia" w:ascii="仿宋" w:hAnsi="仿宋" w:eastAsia="仿宋" w:cs="仿宋"/>
          <w:sz w:val="24"/>
          <w:szCs w:val="24"/>
          <w:u w:val="single"/>
          <w:lang w:val="en-US" w:eastAsia="zh-CN"/>
        </w:rPr>
        <w:t xml:space="preserve">                            </w:t>
      </w:r>
    </w:p>
    <w:p w14:paraId="348CDE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履约担保期限:</w:t>
      </w:r>
      <w:r>
        <w:rPr>
          <w:rFonts w:hint="eastAsia" w:ascii="仿宋" w:hAnsi="仿宋" w:eastAsia="仿宋" w:cs="仿宋"/>
          <w:sz w:val="24"/>
          <w:szCs w:val="24"/>
          <w:u w:val="single"/>
          <w:lang w:val="en-US" w:eastAsia="zh-CN"/>
        </w:rPr>
        <w:t xml:space="preserve">                                  </w:t>
      </w:r>
    </w:p>
    <w:p w14:paraId="35074E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(4)分期履行要求:</w:t>
      </w:r>
      <w:r>
        <w:rPr>
          <w:rFonts w:hint="eastAsia" w:ascii="仿宋" w:hAnsi="仿宋" w:eastAsia="仿宋" w:cs="仿宋"/>
          <w:sz w:val="24"/>
          <w:szCs w:val="24"/>
          <w:u w:val="single"/>
          <w:lang w:val="en-US" w:eastAsia="zh-CN"/>
        </w:rPr>
        <w:t xml:space="preserve">                               </w:t>
      </w:r>
    </w:p>
    <w:p w14:paraId="5EEFC8E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(5)风险处置措施和替代方案:</w:t>
      </w:r>
      <w:r>
        <w:rPr>
          <w:rFonts w:hint="eastAsia" w:ascii="仿宋" w:hAnsi="仿宋" w:eastAsia="仿宋" w:cs="仿宋"/>
          <w:sz w:val="24"/>
          <w:szCs w:val="24"/>
          <w:u w:val="single"/>
          <w:lang w:val="en-US" w:eastAsia="zh-CN"/>
        </w:rPr>
        <w:t xml:space="preserve">                     </w:t>
      </w:r>
    </w:p>
    <w:p w14:paraId="7F606D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(1)验收组织方式:□自行组织  □委托第三方组织</w:t>
      </w:r>
    </w:p>
    <w:p w14:paraId="2E76CF1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验收主体:</w:t>
      </w:r>
      <w:r>
        <w:rPr>
          <w:rFonts w:hint="eastAsia" w:ascii="仿宋" w:hAnsi="仿宋" w:eastAsia="仿宋" w:cs="仿宋"/>
          <w:sz w:val="24"/>
          <w:szCs w:val="24"/>
          <w:u w:val="single"/>
          <w:lang w:val="en-US" w:eastAsia="zh-CN"/>
        </w:rPr>
        <w:t xml:space="preserve">                          </w:t>
      </w:r>
    </w:p>
    <w:p w14:paraId="7C0F46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是否邀请本项目的其他供应商参加验收:□是   □否</w:t>
      </w:r>
    </w:p>
    <w:p w14:paraId="591BE64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是否邀请专家参加验收:□是     □否</w:t>
      </w:r>
    </w:p>
    <w:p w14:paraId="619EC6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是否邀请服务对象参加验收:□是  □否</w:t>
      </w:r>
    </w:p>
    <w:p w14:paraId="0C0854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是否邀请第三方检测机构参加验收:□是  □否</w:t>
      </w:r>
    </w:p>
    <w:p w14:paraId="4CCCBC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是否进行抽查检测:□是，抽查比例: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□否</w:t>
      </w:r>
    </w:p>
    <w:p w14:paraId="774177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是否存在破坏性检测: □是，</w:t>
      </w:r>
      <w:r>
        <w:rPr>
          <w:rFonts w:hint="eastAsia" w:ascii="仿宋" w:hAnsi="仿宋" w:eastAsia="仿宋" w:cs="仿宋"/>
          <w:sz w:val="24"/>
          <w:szCs w:val="24"/>
          <w:u w:val="single"/>
          <w:lang w:val="en-US" w:eastAsia="zh-CN"/>
        </w:rPr>
        <w:t>(应明确对被破坏的检测产品的处理方式)</w:t>
      </w:r>
    </w:p>
    <w:p w14:paraId="3434B2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80" w:firstLineChars="1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3A320A0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验收组织的其他事项:</w:t>
      </w:r>
      <w:r>
        <w:rPr>
          <w:rFonts w:hint="eastAsia" w:ascii="仿宋" w:hAnsi="仿宋" w:eastAsia="仿宋" w:cs="仿宋"/>
          <w:sz w:val="24"/>
          <w:szCs w:val="24"/>
          <w:u w:val="single"/>
          <w:lang w:val="en-US" w:eastAsia="zh-CN"/>
        </w:rPr>
        <w:t xml:space="preserve">              </w:t>
      </w:r>
    </w:p>
    <w:p w14:paraId="65EF05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(2)履约验收时间:</w:t>
      </w:r>
      <w:r>
        <w:rPr>
          <w:rFonts w:hint="eastAsia" w:ascii="仿宋" w:hAnsi="仿宋" w:eastAsia="仿宋" w:cs="仿宋"/>
          <w:sz w:val="24"/>
          <w:szCs w:val="24"/>
          <w:u w:val="single"/>
          <w:lang w:val="en-US" w:eastAsia="zh-CN"/>
        </w:rPr>
        <w:t>(计划于何时验收/供应商提出验收申请之日起日内组织验收)</w:t>
      </w:r>
    </w:p>
    <w:p w14:paraId="106BBA4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(3)履约验收方式:□一次性验收</w:t>
      </w:r>
    </w:p>
    <w:p w14:paraId="7EC3639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□分期/分项验收:</w:t>
      </w:r>
      <w:r>
        <w:rPr>
          <w:rFonts w:hint="eastAsia" w:ascii="仿宋" w:hAnsi="仿宋" w:eastAsia="仿宋" w:cs="仿宋"/>
          <w:sz w:val="24"/>
          <w:szCs w:val="24"/>
          <w:u w:val="single"/>
          <w:lang w:val="en-US" w:eastAsia="zh-CN"/>
        </w:rPr>
        <w:t>(应明确分期分项验收的工作安排)</w:t>
      </w:r>
    </w:p>
    <w:p w14:paraId="4BC65A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(4)履约验收程序:</w:t>
      </w:r>
      <w:r>
        <w:rPr>
          <w:rFonts w:hint="eastAsia" w:ascii="仿宋" w:hAnsi="仿宋" w:eastAsia="仿宋" w:cs="仿宋"/>
          <w:sz w:val="24"/>
          <w:szCs w:val="24"/>
          <w:u w:val="single"/>
          <w:lang w:val="en-US" w:eastAsia="zh-CN"/>
        </w:rPr>
        <w:t xml:space="preserve">                              </w:t>
      </w:r>
    </w:p>
    <w:p w14:paraId="2A506D1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(5)履约验收的内容:(</w:t>
      </w:r>
      <w:r>
        <w:rPr>
          <w:rFonts w:hint="eastAsia" w:ascii="仿宋" w:hAnsi="仿宋" w:eastAsia="仿宋" w:cs="仿宋"/>
          <w:sz w:val="24"/>
          <w:szCs w:val="24"/>
          <w:u w:val="single"/>
          <w:lang w:val="en-US" w:eastAsia="zh-CN"/>
        </w:rPr>
        <w:t xml:space="preserve">应当包括每一项技术和商务要求的履约情况，特别是落实政府采购扶持中小企业，支持绿色发展和乡村振兴等政策情况)     </w:t>
      </w:r>
    </w:p>
    <w:p w14:paraId="238973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(6)履约验收标准:</w:t>
      </w:r>
      <w:r>
        <w:rPr>
          <w:rFonts w:hint="eastAsia" w:ascii="仿宋" w:hAnsi="仿宋" w:eastAsia="仿宋" w:cs="仿宋"/>
          <w:sz w:val="24"/>
          <w:szCs w:val="24"/>
          <w:u w:val="single"/>
          <w:lang w:val="en-US" w:eastAsia="zh-CN"/>
        </w:rPr>
        <w:t xml:space="preserve">                        </w:t>
      </w:r>
    </w:p>
    <w:p w14:paraId="333D37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(7)是否以采购活动中供应商提供的样品作为参考:□是   □否</w:t>
      </w:r>
    </w:p>
    <w:p w14:paraId="2E7449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(8)履约验收其他事项:</w:t>
      </w:r>
      <w:r>
        <w:rPr>
          <w:rFonts w:hint="eastAsia" w:ascii="仿宋" w:hAnsi="仿宋" w:eastAsia="仿宋" w:cs="仿宋"/>
          <w:sz w:val="24"/>
          <w:szCs w:val="24"/>
          <w:u w:val="single"/>
          <w:lang w:val="en-US" w:eastAsia="zh-CN"/>
        </w:rPr>
        <w:t xml:space="preserve">(产权过户登记等)    </w:t>
      </w:r>
    </w:p>
    <w:p w14:paraId="4D21763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5.组成合同的文件</w:t>
      </w:r>
    </w:p>
    <w:p w14:paraId="47E4D3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本协议书与下列文件一起构成合同文件，如下述文件之间有任何抵触、矛盾或歧义，应按以下顺序解释:</w:t>
      </w:r>
    </w:p>
    <w:p w14:paraId="5F18C0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(1)政府采购合同协议书及其变更、补充协议</w:t>
      </w:r>
    </w:p>
    <w:p w14:paraId="6D2CEC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(2)政府采购合同专用条款</w:t>
      </w:r>
    </w:p>
    <w:p w14:paraId="3E6CEBE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(3)政府采购合同通用条款</w:t>
      </w:r>
    </w:p>
    <w:p w14:paraId="5D9C6C0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(4)中标(成交)通知书</w:t>
      </w:r>
    </w:p>
    <w:p w14:paraId="4E4E7F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(5)投标(投标)文件</w:t>
      </w:r>
    </w:p>
    <w:p w14:paraId="6C7A47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(6)采购文件</w:t>
      </w:r>
    </w:p>
    <w:p w14:paraId="37D03BE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(7)有关技术文件，图纸</w:t>
      </w:r>
    </w:p>
    <w:p w14:paraId="798187D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(8)国家法律、行政法规和规章制度规定或合同约定的作为合同组成部分的其他文件。</w:t>
      </w:r>
    </w:p>
    <w:p w14:paraId="32D408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6.合同生效</w:t>
      </w:r>
    </w:p>
    <w:p w14:paraId="2FE30A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生效。</w:t>
      </w:r>
    </w:p>
    <w:p w14:paraId="749FA6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7.合同份数</w:t>
      </w:r>
    </w:p>
    <w:p w14:paraId="2F9205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份，甲乙双方各执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份，均具有同等法律效力。</w:t>
      </w:r>
    </w:p>
    <w:p w14:paraId="37CD4F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合同订立时间: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3011439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合同订立地点:</w:t>
      </w:r>
      <w:r>
        <w:rPr>
          <w:rFonts w:hint="eastAsia" w:ascii="仿宋" w:hAnsi="仿宋" w:eastAsia="仿宋" w:cs="仿宋"/>
          <w:sz w:val="24"/>
          <w:szCs w:val="24"/>
          <w:u w:val="single"/>
          <w:lang w:val="en-US" w:eastAsia="zh-CN"/>
        </w:rPr>
        <w:t xml:space="preserve">                      </w:t>
      </w:r>
    </w:p>
    <w:p w14:paraId="56D2B93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附件:具体标的及其技术要求和商务要求、联合协议、分包意向协议等。</w:t>
      </w:r>
      <w:r>
        <w:rPr>
          <w:rFonts w:hint="eastAsia" w:ascii="仿宋" w:hAnsi="仿宋" w:eastAsia="仿宋" w:cs="仿宋"/>
          <w:sz w:val="24"/>
          <w:szCs w:val="24"/>
          <w:lang w:val="en-US" w:eastAsia="zh-CN"/>
        </w:rPr>
        <w:br w:type="textWrapping"/>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297"/>
        <w:gridCol w:w="2351"/>
        <w:gridCol w:w="2271"/>
      </w:tblGrid>
      <w:tr w14:paraId="2D90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4A6B606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甲方(采购人、受采购人委托签订合同的单位或采购文件约定的合同甲方)</w:t>
            </w:r>
          </w:p>
        </w:tc>
        <w:tc>
          <w:tcPr>
            <w:tcW w:w="4928" w:type="dxa"/>
            <w:gridSpan w:val="2"/>
            <w:vAlign w:val="center"/>
          </w:tcPr>
          <w:p w14:paraId="7538479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乙方(供应商)</w:t>
            </w:r>
          </w:p>
        </w:tc>
      </w:tr>
      <w:tr w14:paraId="6B13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552569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63" w:type="dxa"/>
            <w:vAlign w:val="center"/>
          </w:tcPr>
          <w:p w14:paraId="4770B6D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14A964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35" w:type="dxa"/>
            <w:vAlign w:val="center"/>
          </w:tcPr>
          <w:p w14:paraId="2E7E5AF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B7D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79D1AC9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63" w:type="dxa"/>
            <w:vMerge w:val="restart"/>
            <w:vAlign w:val="center"/>
          </w:tcPr>
          <w:p w14:paraId="2ABE600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18314EE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35" w:type="dxa"/>
            <w:vAlign w:val="center"/>
          </w:tcPr>
          <w:p w14:paraId="2380CC5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2EC4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12ABFB2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Merge w:val="continue"/>
            <w:vAlign w:val="center"/>
          </w:tcPr>
          <w:p w14:paraId="137595A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3110E1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拥有者性别</w:t>
            </w:r>
          </w:p>
        </w:tc>
        <w:tc>
          <w:tcPr>
            <w:tcW w:w="2435" w:type="dxa"/>
            <w:vAlign w:val="center"/>
          </w:tcPr>
          <w:p w14:paraId="518961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2C6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7EFD79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63" w:type="dxa"/>
            <w:vAlign w:val="center"/>
          </w:tcPr>
          <w:p w14:paraId="46F19D1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49980D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35" w:type="dxa"/>
            <w:vAlign w:val="center"/>
          </w:tcPr>
          <w:p w14:paraId="6176BCC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E91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30B1F28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63" w:type="dxa"/>
            <w:vAlign w:val="center"/>
          </w:tcPr>
          <w:p w14:paraId="123DF84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33AE3E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35" w:type="dxa"/>
            <w:vAlign w:val="center"/>
          </w:tcPr>
          <w:p w14:paraId="0A95E1E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2529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4188A66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63" w:type="dxa"/>
            <w:vAlign w:val="center"/>
          </w:tcPr>
          <w:p w14:paraId="1BAC693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7AD71C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35" w:type="dxa"/>
            <w:vAlign w:val="center"/>
          </w:tcPr>
          <w:p w14:paraId="043309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0F1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7E6DC61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63" w:type="dxa"/>
            <w:vAlign w:val="center"/>
          </w:tcPr>
          <w:p w14:paraId="6F19010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8FDB55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35" w:type="dxa"/>
            <w:vAlign w:val="center"/>
          </w:tcPr>
          <w:p w14:paraId="614D21C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CEF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4205E9E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63" w:type="dxa"/>
            <w:vAlign w:val="center"/>
          </w:tcPr>
          <w:p w14:paraId="5A0B4A1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6817DD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35" w:type="dxa"/>
            <w:vAlign w:val="center"/>
          </w:tcPr>
          <w:p w14:paraId="5BE21D6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C0B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361831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63" w:type="dxa"/>
            <w:vAlign w:val="center"/>
          </w:tcPr>
          <w:p w14:paraId="228B1BE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3CF4A7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35" w:type="dxa"/>
            <w:vAlign w:val="center"/>
          </w:tcPr>
          <w:p w14:paraId="0EECE80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3E4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03FD61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w:t>
            </w:r>
          </w:p>
          <w:p w14:paraId="46A379C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码</w:t>
            </w:r>
          </w:p>
        </w:tc>
        <w:tc>
          <w:tcPr>
            <w:tcW w:w="2463" w:type="dxa"/>
            <w:vAlign w:val="center"/>
          </w:tcPr>
          <w:p w14:paraId="1002D2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315C3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2435" w:type="dxa"/>
            <w:vAlign w:val="center"/>
          </w:tcPr>
          <w:p w14:paraId="40F302D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BB6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72A6C0A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4E380A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4414D07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开户名称</w:t>
            </w:r>
          </w:p>
        </w:tc>
        <w:tc>
          <w:tcPr>
            <w:tcW w:w="2435" w:type="dxa"/>
            <w:vAlign w:val="center"/>
          </w:tcPr>
          <w:p w14:paraId="6181A6E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231A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2DFA69B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55A91F7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A8380B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2435" w:type="dxa"/>
            <w:vAlign w:val="center"/>
          </w:tcPr>
          <w:p w14:paraId="5FAD50A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42F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1A28FD3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14B7EE0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D0ED4A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银行账号</w:t>
            </w:r>
          </w:p>
        </w:tc>
        <w:tc>
          <w:tcPr>
            <w:tcW w:w="2435" w:type="dxa"/>
            <w:vAlign w:val="center"/>
          </w:tcPr>
          <w:p w14:paraId="3CCD16E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2E49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2ED393F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注:涉及联合体或其他合同主体的信息应按上表格式加列。</w:t>
            </w:r>
          </w:p>
        </w:tc>
      </w:tr>
    </w:tbl>
    <w:p w14:paraId="6461BD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p>
    <w:p w14:paraId="187B43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第二节 政府采购合同通用条款</w:t>
      </w:r>
    </w:p>
    <w:p w14:paraId="0EF7DCF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1.定义</w:t>
      </w:r>
    </w:p>
    <w:p w14:paraId="7DF04E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1.1合同当事人</w:t>
      </w:r>
    </w:p>
    <w:p w14:paraId="7F63D7D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(1)采购人(以下称甲方)是指使用财政性资金，通过政府采购方式向供应商购买货物及其相关服务的国家机关、事业单位、团体组织。</w:t>
      </w:r>
    </w:p>
    <w:p w14:paraId="73EF129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(2)供应商(以下称乙方)是指参加政府采购活动并且中标(成交)，向采购人提供合同约定的货物及其相关服务的法人、非法人组织或者自然人。</w:t>
      </w:r>
    </w:p>
    <w:p w14:paraId="60E9A9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(3)其他合同主体是指除采购人和供应商以外，依法参与合同缔结或履行，享有权利、承担义务的合同当事人。</w:t>
      </w:r>
    </w:p>
    <w:p w14:paraId="36A282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1.2本合同下列术语应解释为:</w:t>
      </w:r>
    </w:p>
    <w:p w14:paraId="392C70C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系指合同当事人意思表示达成一致的任何协议，包括签署的政府采购合同协议书及其变更、补充协议，政府采购合同专用条款，政府采购合同通用条款，中标(成交)通知书，投标(投标)文件，采购文件，有关技术文件和图纸，以及国家法律、行政法规和规章制度规定或合同约定的作为合同组成部分的其他文件。</w:t>
      </w:r>
    </w:p>
    <w:p w14:paraId="17823A1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(2)“合同价款”系指根据本合同规定乙方在全面履行合同义务后甲方应支付给乙方的价款。</w:t>
      </w:r>
    </w:p>
    <w:p w14:paraId="7D1F3C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(3)“货物”系指乙方根据本合同规定须向甲方提供的各种形态和种类的物品，包括原材料、设备、产品(包括软件)及相关的其备品备件、工具、手册及其他技术资料和材料等。</w:t>
      </w:r>
    </w:p>
    <w:p w14:paraId="72AE81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F4921D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(5)“分包”系指中标(成交)供应商按采购文件、投标(投标)文件的规定，根据分包意向协议，将中标(成交)项目中的部分履约内容，分给具有相应资质条件的供应商履行合同的行为。</w:t>
      </w:r>
    </w:p>
    <w:p w14:paraId="762E9FD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31B5F5E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(7)其他术语解释，见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331179A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2.合同标的及金额</w:t>
      </w:r>
    </w:p>
    <w:p w14:paraId="201F05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2.1合同标的及金额应与中标(成交)结果一致。乙方为履行本合同而发生的所有费用均应包含在合同价款中，甲方不再另行支付其他任何费用。</w:t>
      </w:r>
    </w:p>
    <w:p w14:paraId="145DB6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3.履行合同的时间、地点和方式</w:t>
      </w:r>
    </w:p>
    <w:p w14:paraId="69F9D1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3.1乙方应当在约定的时间、地点，按照约定方式履行合同。</w:t>
      </w:r>
    </w:p>
    <w:p w14:paraId="7FC96A0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4.甲方的权利和义务</w:t>
      </w:r>
    </w:p>
    <w:p w14:paraId="1BC7F2E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4.1签署合同后，甲方应确定项目负责人(或项目联系人)，负责与本合同有关的事务。甲方有权对乙方的履约行为进行检查，并及时确认乙方提交的事项。甲方应当配合乙方完成相关项目实施工作。</w:t>
      </w:r>
    </w:p>
    <w:p w14:paraId="238607F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4.2甲方有权要求乙方按时提交各阶段有关安排计划，并有权定期核对乙方提供货物数量、规格、质量等内容。甲方有权督促乙方工作并要求乙方更换不符合要求的货物。</w:t>
      </w:r>
    </w:p>
    <w:p w14:paraId="30432F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4.3甲方有权要求乙方对缺陷部分予以修复，并按合同约定享有货物保修及其他合同约定的权利。</w:t>
      </w:r>
    </w:p>
    <w:p w14:paraId="7F39F19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4.4甲方应当按照合同约定及时对交付的货物进行验收，未在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约定的期限内对乙方履约提出任何异议或者向乙方作出任何说明的，视为验收通过。</w:t>
      </w:r>
    </w:p>
    <w:p w14:paraId="59076D3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4.5甲方应当根据合同约定及时向乙方支付合同价款，不得以内部人员变更、履行内部付款流程等为由，拒绝或迟延支付。</w:t>
      </w:r>
    </w:p>
    <w:p w14:paraId="1D5CD1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约定应由甲方承担的其他义务和责任。</w:t>
      </w:r>
    </w:p>
    <w:p w14:paraId="2F41EB8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5.乙方的权利和义务</w:t>
      </w:r>
    </w:p>
    <w:p w14:paraId="4C5C084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5.1签署合同后，乙方应确定项目负责人(或项目联系人)，负责与本合同有关的事务。</w:t>
      </w:r>
    </w:p>
    <w:p w14:paraId="5D1058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76738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5.3乙方有权根据合同约定向甲方收取合同价款。</w:t>
      </w:r>
    </w:p>
    <w:p w14:paraId="52BB04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约定应由乙方承担的其他义务和责任。</w:t>
      </w:r>
    </w:p>
    <w:p w14:paraId="639F3F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6.合同履行</w:t>
      </w:r>
    </w:p>
    <w:p w14:paraId="3B2B346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6.1甲乙双方应当按照【政府采购合同专用条款】约定顺序履行合同义务;如果没有先后顺序的，应当同时履行。</w:t>
      </w:r>
    </w:p>
    <w:p w14:paraId="1C5CD2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6.2甲乙双方按照合同约定顺序履行合同义务时，应当先履行·方未履行的，后履行一方有权拒绝其履行请求。先履行一方履行不符合约定的，后履行一方有权拒绝其相应的履行请求。</w:t>
      </w:r>
    </w:p>
    <w:p w14:paraId="4D0EA3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7.货物包装、运输、保险和交付要求</w:t>
      </w:r>
    </w:p>
    <w:p w14:paraId="1F2450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7.1本合同涉及商品包装、快递包装的，除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另有约定外，包装应适应远距离运输、防潮、防震、防锈和防野蛮装卸等要求，确保货物安全无损地运抵【政府采购合同专用条款]约定的指定现场。</w:t>
      </w:r>
    </w:p>
    <w:p w14:paraId="650F4A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】另有约定外，乙方负责办理将货物运抵本合同规定的交货地点，并装卸、交付至甲方的一切运输事项，相关费用应包含在合同价款中。</w:t>
      </w:r>
    </w:p>
    <w:p w14:paraId="7D90DA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7.3货物保险要求按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w:t>
      </w:r>
    </w:p>
    <w:p w14:paraId="77402D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A0CDD9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7.5乙方在运输到达之前应提前通知甲方，并提示货物运输装卸的注意事项，甲方配合乙方做好货物的接收工作。</w:t>
      </w:r>
    </w:p>
    <w:p w14:paraId="68A6FCC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7.6如因包装运输问题导致货物损毁、丢失或者品质下降，甲方有权要求降价、换货、拒收部分或整批货物，由此产生的费用和损失，均由乙方承担。</w:t>
      </w:r>
    </w:p>
    <w:p w14:paraId="2605EE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8.质量标准和保证</w:t>
      </w:r>
    </w:p>
    <w:p w14:paraId="5FA255E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8.1质量标准</w:t>
      </w:r>
    </w:p>
    <w:p w14:paraId="5EEA829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323B2D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(2)采用中华人民共和国法定计量单位。</w:t>
      </w:r>
    </w:p>
    <w:p w14:paraId="13F32D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(3)乙方所提供的货物应符合国家有关安全、环保、卫生的规定。</w:t>
      </w:r>
    </w:p>
    <w:p w14:paraId="5BDF99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(4)乙方应向甲方提交所提供货物的技术文件，包括相应的中文技术文件，如:产品目录、图纸、操作手册、使用说明、维护手册或服务指南等。上述文件应包装好随货物一同发运。</w:t>
      </w:r>
    </w:p>
    <w:p w14:paraId="7D18D2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保证</w:t>
      </w:r>
    </w:p>
    <w:p w14:paraId="0267D89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】规定或乙方书面承诺(两者以较长的为准)的质量保证期内，本保证保持有效。</w:t>
      </w:r>
    </w:p>
    <w:p w14:paraId="3C5F66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(2)在质量保证期内所发现的缺陷，甲方应尽快以书面形式通知乙方。</w:t>
      </w:r>
    </w:p>
    <w:p w14:paraId="4329F3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(3)乙方收到通知后，应在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规定的投标时间内以合理的速度免费维修或更换有缺陷的货物或部件。</w:t>
      </w:r>
    </w:p>
    <w:p w14:paraId="354B2E2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136980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(5)乙方在约定的时间内未能弥补缺陷，甲方可采取必要的补救措施，但其风险和费用将由乙方承担，甲方根据合同约定对乙方行使的其他权利不受影响。</w:t>
      </w:r>
    </w:p>
    <w:p w14:paraId="6EC7356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9.权利瑕疵担保</w:t>
      </w:r>
    </w:p>
    <w:p w14:paraId="415989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9.1乙方保证对其出售的货物享有合法的权利。</w:t>
      </w:r>
    </w:p>
    <w:p w14:paraId="7809530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9.2乙方保证在交付的货物上不存在抵押权等担保物权。</w:t>
      </w:r>
    </w:p>
    <w:p w14:paraId="62C0BE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9.3如甲方使用上述货物构成对第三人侵权的，则由乙方承担全部责任。</w:t>
      </w:r>
    </w:p>
    <w:p w14:paraId="32A8D3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10.知识产权保护</w:t>
      </w:r>
    </w:p>
    <w:p w14:paraId="2944CAB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792AD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11.保密义务</w:t>
      </w:r>
    </w:p>
    <w:p w14:paraId="7A0994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4FC2B51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12.合同价款支付</w:t>
      </w:r>
    </w:p>
    <w:p w14:paraId="2F19F9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12.1合同价款支付按照国库集中支付制度及财政管理相关规定执行。</w:t>
      </w:r>
    </w:p>
    <w:p w14:paraId="0F83A07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1E1FC8C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13.履约保证金</w:t>
      </w:r>
    </w:p>
    <w:p w14:paraId="4F1A99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13.1乙方应当以支票、汇票、本票或者金融机构、担保机构出具的保函等非现金形式提交。</w:t>
      </w:r>
    </w:p>
    <w:p w14:paraId="7FC6C40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13.2如果乙方出现</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28D056F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13.3甲方在项目通过验收后按照【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规定的时间内将履约保证金退还乙方:逾期退还的，乙方可要求甲方支付违约金，违约金按照[政府采购合同专用条款]规定支付。</w:t>
      </w:r>
    </w:p>
    <w:p w14:paraId="5AB670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14.售后服务</w:t>
      </w:r>
    </w:p>
    <w:p w14:paraId="61E381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14.1除项目不涉及或采购活动中明确约定无须承担外，乙方还应提供下列服务:</w:t>
      </w:r>
    </w:p>
    <w:p w14:paraId="7D2411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(1)货物的现场移动、安装、调试、启动监督及技术支持；</w:t>
      </w:r>
    </w:p>
    <w:p w14:paraId="21B81D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(2)提供货物组装和维修所需的专用工具和辅助材料:</w:t>
      </w:r>
    </w:p>
    <w:p w14:paraId="0C9220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】约定的期限内对所有的货物实施运行监督、维修，但前提条件是该服务并不能免除乙方在质量保证期内所承担的义务;</w:t>
      </w:r>
    </w:p>
    <w:p w14:paraId="352D35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(4)在制造商所在地或指定现场就货物的安装、启动、运营、维护、废弃处置等对甲方操作人员进行培训:</w:t>
      </w:r>
    </w:p>
    <w:p w14:paraId="4A27F92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(5)依照法律、行政法规的规定或者按照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约定，货物在有效使用年限届满后应予回收的，乙方负有自行或者委托第三人对货物予以回收的义务；</w:t>
      </w:r>
    </w:p>
    <w:p w14:paraId="01C828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】规定由乙方提供的其他服务。</w:t>
      </w:r>
    </w:p>
    <w:p w14:paraId="6F667F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14.2乙方提供的售后服务的费用已包含在合同价款中，甲方不再另行支付。</w:t>
      </w:r>
    </w:p>
    <w:p w14:paraId="7F0073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15.违约责任</w:t>
      </w:r>
    </w:p>
    <w:p w14:paraId="6E10E7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15.1质量瑕疵的违约责任</w:t>
      </w:r>
    </w:p>
    <w:p w14:paraId="1B48D8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乙方提供的产品不符合合同约定的质量标准或存在产品质量缺陷，甲方有权要求乙方根据</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】要求及时修理、重作、更换，并承担由此给甲方造成的损失。</w:t>
      </w:r>
    </w:p>
    <w:p w14:paraId="442E63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15.2迟延交货的违约责任</w:t>
      </w:r>
    </w:p>
    <w:p w14:paraId="7052E9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E8444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】规定执行。如果涉及公共利益，且赔偿金额无法弥补公共利益损失，甲方可要求继续履行或者采取其他补救措施。</w:t>
      </w:r>
    </w:p>
    <w:p w14:paraId="5E36906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15.3迟延支付的违约责任</w:t>
      </w:r>
    </w:p>
    <w:p w14:paraId="7A9B620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甲方存在迟延支付乙方合同款项的，应当承担</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】规定的逾期付款利息。</w:t>
      </w:r>
    </w:p>
    <w:p w14:paraId="11B385C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15.4其他违约责任根据项目实际需要按【政府采购合同专用条款]规定执行。</w:t>
      </w:r>
    </w:p>
    <w:p w14:paraId="5AA16D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16.合同变更、中止与终止</w:t>
      </w:r>
    </w:p>
    <w:p w14:paraId="4ED66C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16.1合同的变更</w:t>
      </w:r>
    </w:p>
    <w:p w14:paraId="15CFE8D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政府采购合同履行中，在不改变合同其他条款的前提下，甲方可以在合同价款10%的范围内追加与合同标的相同的货物，并就此与乙方协商一致后签订补充协议。</w:t>
      </w:r>
    </w:p>
    <w:p w14:paraId="3D0DA7F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16.2合同的中止</w:t>
      </w:r>
    </w:p>
    <w:p w14:paraId="0C8DF9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合同履行过程中因供应商就采购文件、采购过程或结果提起投诉的，甲方认为有必要的，可以中止合同的履行。</w:t>
      </w:r>
    </w:p>
    <w:p w14:paraId="11E6565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79F59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18D155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(4)甲方不得以行政区划调整、政府换届、机构或者职能调整以及相关责任人更替为由终止合同。</w:t>
      </w:r>
    </w:p>
    <w:p w14:paraId="43B1244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16.3合同的终止</w:t>
      </w:r>
    </w:p>
    <w:p w14:paraId="12038F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(1)合同因有效期限届满而终止;</w:t>
      </w:r>
    </w:p>
    <w:p w14:paraId="43B9A6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(2)乙方未按合同约定履行，构成根本性违约的，甲方有权终止合同，并追究乙方的违约责任。</w:t>
      </w:r>
    </w:p>
    <w:p w14:paraId="4EEE481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16.4涉及国家利益、社会公共利益的情形</w:t>
      </w:r>
    </w:p>
    <w:p w14:paraId="27B08E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政府采购合同继续履行将损害国家利益和社会公共利益的，双方当事人应当变更、中止或者终止合同。有过错的一方应当承担赔偿责任，双方都有过错的，各自承担相应的责任。</w:t>
      </w:r>
    </w:p>
    <w:p w14:paraId="0220EC8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17.合同分包</w:t>
      </w:r>
    </w:p>
    <w:p w14:paraId="665BFAD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17.1乙方不得将合同转包给其他供应商。涉及合同分包的，乙方应根据采购文件和投标(投标)文件规定进行合同分包。</w:t>
      </w:r>
    </w:p>
    <w:p w14:paraId="1F5D47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17.2乙方执行政府采购政策向中小企业依法分包的，乙方应当按采购文件和投标(投标)文件签订分包意向协议，分包意向协议属于本合同组成部分。</w:t>
      </w:r>
    </w:p>
    <w:p w14:paraId="1EC0AA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18.不可抗力</w:t>
      </w:r>
    </w:p>
    <w:p w14:paraId="76D12B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18.1不可抗力是指合同双方不能预见、不能避免且不能克服的客观情况。</w:t>
      </w:r>
    </w:p>
    <w:p w14:paraId="0BE4DD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18.2任何一方对由于不可抗力造成的部分或全部不能履行合同不承担违约责任。但迟延履行后发生不可抗力的，不能免除责任。</w:t>
      </w:r>
    </w:p>
    <w:p w14:paraId="6ECAB2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1F5598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19.解决争议的方法</w:t>
      </w:r>
    </w:p>
    <w:p w14:paraId="710812F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19.1因本合同及合同有关事项发生的争议，由甲乙双方友好协商解决。协商不成时，可以向有关组织申请调解。合同一方或双方不愿调解或调解不成的，可以通过仲裁或诉讼的方式解决争议。</w:t>
      </w:r>
    </w:p>
    <w:p w14:paraId="0F9C59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19.2选择仲裁的，应在</w:t>
      </w:r>
      <w:r>
        <w:rPr>
          <w:rFonts w:hint="eastAsia" w:ascii="仿宋" w:hAnsi="仿宋" w:eastAsia="仿宋" w:cs="仿宋"/>
          <w:b/>
          <w:bCs/>
          <w:sz w:val="24"/>
          <w:szCs w:val="24"/>
          <w:highlight w:val="none"/>
          <w:lang w:val="en-US" w:eastAsia="zh-CN"/>
        </w:rPr>
        <w:t>【政府采购合同</w:t>
      </w:r>
      <w:r>
        <w:rPr>
          <w:rFonts w:hint="eastAsia" w:ascii="仿宋" w:hAnsi="仿宋" w:eastAsia="仿宋" w:cs="仿宋"/>
          <w:b/>
          <w:bCs/>
          <w:sz w:val="24"/>
          <w:szCs w:val="24"/>
          <w:lang w:val="en-US" w:eastAsia="zh-CN"/>
        </w:rPr>
        <w:t>专用条款</w:t>
      </w:r>
      <w:r>
        <w:rPr>
          <w:rFonts w:hint="eastAsia" w:ascii="仿宋" w:hAnsi="仿宋" w:eastAsia="仿宋" w:cs="仿宋"/>
          <w:sz w:val="24"/>
          <w:szCs w:val="24"/>
          <w:lang w:val="en-US"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1BCC99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19.3如甲乙双方有争议的事项不影响合同其他部分的履行，在争议解决期间，合同其他部分应当继续履行。</w:t>
      </w:r>
    </w:p>
    <w:p w14:paraId="4EDDAC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20.政府采购政策</w:t>
      </w:r>
    </w:p>
    <w:p w14:paraId="393D6A3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20.1本合同应当按照规定执行政府采购政策。</w:t>
      </w:r>
    </w:p>
    <w:p w14:paraId="311A3E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571F1E1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0D347E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21.法律适用</w:t>
      </w:r>
    </w:p>
    <w:p w14:paraId="1A1246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21.1本合同的订立、生效、解释、履行及与本合同有关的争议解决，均适用法律、行政法规。</w:t>
      </w:r>
    </w:p>
    <w:p w14:paraId="4943DA4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21.2本合同条款与法律、行政法规的强制性规定不一致的，双方当事人应按照法律、行政法规的强制性规定修改本合同的相关条款。</w:t>
      </w:r>
    </w:p>
    <w:p w14:paraId="58B00E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22.通知</w:t>
      </w:r>
    </w:p>
    <w:p w14:paraId="10CC19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22.1本合同任何一方向对方发出的通知、信件、数据电文等，应当发送至本合同第一部分《政府采购合同协议书》所约定的通讯地址、联系人、联系电话或电子邮箱。</w:t>
      </w:r>
    </w:p>
    <w:p w14:paraId="1521F0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22.2一方当事人变更名称、住所、联系人、联系电话或电子邮箱等信息的，应当在变更后3日内及时书面通知对方，对方实际收到变更通知前的送达仍为有效送达。</w:t>
      </w:r>
    </w:p>
    <w:p w14:paraId="508CFB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22.3本合同一方给另一方的通知均应采用书面形式，传真或快递送到本合同中规定的对方的地址和办理签收手续。</w:t>
      </w:r>
    </w:p>
    <w:p w14:paraId="0DB5DC7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22.4通知以送达之日或通知书中规定的生效之日起生效，两者中以较迟之日为准。</w:t>
      </w:r>
    </w:p>
    <w:p w14:paraId="78FF1D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23.合同未尽事项</w:t>
      </w:r>
    </w:p>
    <w:p w14:paraId="0E38240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23.1合同未尽事项见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0E53FB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23.2合同附件与合同正文具有同等的法律效力。</w:t>
      </w:r>
    </w:p>
    <w:p w14:paraId="5B1CE4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14:paraId="4ECF0105">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政府采购合同专用条款</w:t>
      </w:r>
    </w:p>
    <w:tbl>
      <w:tblPr>
        <w:tblStyle w:val="17"/>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3681"/>
        <w:gridCol w:w="3919"/>
      </w:tblGrid>
      <w:tr w14:paraId="3CA7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C85E4B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第1.2(6)项</w:t>
            </w:r>
          </w:p>
        </w:tc>
        <w:tc>
          <w:tcPr>
            <w:tcW w:w="3681" w:type="dxa"/>
            <w:vAlign w:val="center"/>
          </w:tcPr>
          <w:p w14:paraId="5540C58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联合体具体要求</w:t>
            </w:r>
          </w:p>
        </w:tc>
        <w:tc>
          <w:tcPr>
            <w:tcW w:w="3919" w:type="dxa"/>
            <w:vAlign w:val="center"/>
          </w:tcPr>
          <w:p w14:paraId="7E65D1F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526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1FA4E5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第二节第1.2(7)项</w:t>
            </w:r>
          </w:p>
        </w:tc>
        <w:tc>
          <w:tcPr>
            <w:tcW w:w="3681" w:type="dxa"/>
            <w:vAlign w:val="center"/>
          </w:tcPr>
          <w:p w14:paraId="69F6152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其他术语解释</w:t>
            </w:r>
          </w:p>
        </w:tc>
        <w:tc>
          <w:tcPr>
            <w:tcW w:w="3919" w:type="dxa"/>
            <w:vAlign w:val="center"/>
          </w:tcPr>
          <w:p w14:paraId="15BE4B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AD0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59F86F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第二节第4.4款</w:t>
            </w:r>
          </w:p>
        </w:tc>
        <w:tc>
          <w:tcPr>
            <w:tcW w:w="3681" w:type="dxa"/>
            <w:vAlign w:val="center"/>
          </w:tcPr>
          <w:p w14:paraId="6DE696F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履约验收中甲方提出异议或作出说明的期限</w:t>
            </w:r>
          </w:p>
        </w:tc>
        <w:tc>
          <w:tcPr>
            <w:tcW w:w="3919" w:type="dxa"/>
            <w:vAlign w:val="center"/>
          </w:tcPr>
          <w:p w14:paraId="4D1C8FA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A5B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5F9863E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第二节第4.6款</w:t>
            </w:r>
          </w:p>
        </w:tc>
        <w:tc>
          <w:tcPr>
            <w:tcW w:w="3681" w:type="dxa"/>
            <w:vAlign w:val="center"/>
          </w:tcPr>
          <w:p w14:paraId="325201A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约定甲方承担的其他义务和责任</w:t>
            </w:r>
          </w:p>
        </w:tc>
        <w:tc>
          <w:tcPr>
            <w:tcW w:w="3919" w:type="dxa"/>
            <w:vAlign w:val="center"/>
          </w:tcPr>
          <w:p w14:paraId="403102E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03E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D3269E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第二节第5.4款</w:t>
            </w:r>
          </w:p>
        </w:tc>
        <w:tc>
          <w:tcPr>
            <w:tcW w:w="3681" w:type="dxa"/>
            <w:vAlign w:val="center"/>
          </w:tcPr>
          <w:p w14:paraId="4ED4ABB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约定乙方承担的其他义务和责任</w:t>
            </w:r>
          </w:p>
        </w:tc>
        <w:tc>
          <w:tcPr>
            <w:tcW w:w="3919" w:type="dxa"/>
            <w:vAlign w:val="center"/>
          </w:tcPr>
          <w:p w14:paraId="4CEF2F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0B6A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E98669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第二节第6.1款</w:t>
            </w:r>
          </w:p>
        </w:tc>
        <w:tc>
          <w:tcPr>
            <w:tcW w:w="3681" w:type="dxa"/>
            <w:vAlign w:val="center"/>
          </w:tcPr>
          <w:p w14:paraId="2C8C648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履行合同义务的顺序</w:t>
            </w:r>
          </w:p>
        </w:tc>
        <w:tc>
          <w:tcPr>
            <w:tcW w:w="3919" w:type="dxa"/>
            <w:vAlign w:val="center"/>
          </w:tcPr>
          <w:p w14:paraId="3DE22A5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C4C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center"/>
          </w:tcPr>
          <w:p w14:paraId="2238AD7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第二节第7.1款</w:t>
            </w:r>
          </w:p>
        </w:tc>
        <w:tc>
          <w:tcPr>
            <w:tcW w:w="3681" w:type="dxa"/>
            <w:vAlign w:val="center"/>
          </w:tcPr>
          <w:p w14:paraId="5B479C7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包装特殊要求</w:t>
            </w:r>
          </w:p>
        </w:tc>
        <w:tc>
          <w:tcPr>
            <w:tcW w:w="3919" w:type="dxa"/>
            <w:vAlign w:val="center"/>
          </w:tcPr>
          <w:p w14:paraId="723130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F4A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center"/>
          </w:tcPr>
          <w:p w14:paraId="1CDA79D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681" w:type="dxa"/>
            <w:vAlign w:val="center"/>
          </w:tcPr>
          <w:p w14:paraId="193AA8A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指定现场</w:t>
            </w:r>
          </w:p>
        </w:tc>
        <w:tc>
          <w:tcPr>
            <w:tcW w:w="3919" w:type="dxa"/>
            <w:vAlign w:val="center"/>
          </w:tcPr>
          <w:p w14:paraId="68CAEBE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679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3C3E8B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第二节第7.2款</w:t>
            </w:r>
          </w:p>
        </w:tc>
        <w:tc>
          <w:tcPr>
            <w:tcW w:w="3681" w:type="dxa"/>
            <w:vAlign w:val="center"/>
          </w:tcPr>
          <w:p w14:paraId="303329A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运输特殊要求</w:t>
            </w:r>
          </w:p>
        </w:tc>
        <w:tc>
          <w:tcPr>
            <w:tcW w:w="3919" w:type="dxa"/>
            <w:vAlign w:val="center"/>
          </w:tcPr>
          <w:p w14:paraId="603C222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186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5014A4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第二节第7.3款</w:t>
            </w:r>
          </w:p>
        </w:tc>
        <w:tc>
          <w:tcPr>
            <w:tcW w:w="3681" w:type="dxa"/>
            <w:vAlign w:val="center"/>
          </w:tcPr>
          <w:p w14:paraId="2D3C1F2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保险要求</w:t>
            </w:r>
          </w:p>
        </w:tc>
        <w:tc>
          <w:tcPr>
            <w:tcW w:w="3919" w:type="dxa"/>
            <w:vAlign w:val="center"/>
          </w:tcPr>
          <w:p w14:paraId="34AEF2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717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1AE524F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第二节第8.2(1)项</w:t>
            </w:r>
          </w:p>
        </w:tc>
        <w:tc>
          <w:tcPr>
            <w:tcW w:w="3681" w:type="dxa"/>
            <w:vAlign w:val="center"/>
          </w:tcPr>
          <w:p w14:paraId="151A7C1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质量保证期</w:t>
            </w:r>
          </w:p>
        </w:tc>
        <w:tc>
          <w:tcPr>
            <w:tcW w:w="3919" w:type="dxa"/>
            <w:vAlign w:val="center"/>
          </w:tcPr>
          <w:p w14:paraId="02E2C8C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23A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B9240E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第二节第8.2(3)项</w:t>
            </w:r>
          </w:p>
        </w:tc>
        <w:tc>
          <w:tcPr>
            <w:tcW w:w="3681" w:type="dxa"/>
            <w:vAlign w:val="center"/>
          </w:tcPr>
          <w:p w14:paraId="2324292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货物质量缺陷投标时间</w:t>
            </w:r>
          </w:p>
        </w:tc>
        <w:tc>
          <w:tcPr>
            <w:tcW w:w="3919" w:type="dxa"/>
            <w:vAlign w:val="center"/>
          </w:tcPr>
          <w:p w14:paraId="740F09F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D53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37617E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第二节第11.1款</w:t>
            </w:r>
          </w:p>
        </w:tc>
        <w:tc>
          <w:tcPr>
            <w:tcW w:w="3681" w:type="dxa"/>
            <w:vAlign w:val="center"/>
          </w:tcPr>
          <w:p w14:paraId="4B120A4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其他应当保密的信息</w:t>
            </w:r>
          </w:p>
        </w:tc>
        <w:tc>
          <w:tcPr>
            <w:tcW w:w="3919" w:type="dxa"/>
            <w:vAlign w:val="center"/>
          </w:tcPr>
          <w:p w14:paraId="134816B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99D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CB9AD5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12.2款</w:t>
            </w:r>
          </w:p>
        </w:tc>
        <w:tc>
          <w:tcPr>
            <w:tcW w:w="3681" w:type="dxa"/>
            <w:vAlign w:val="center"/>
          </w:tcPr>
          <w:p w14:paraId="724CB6B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合同价款支付时间</w:t>
            </w:r>
          </w:p>
        </w:tc>
        <w:tc>
          <w:tcPr>
            <w:tcW w:w="3919" w:type="dxa"/>
            <w:vAlign w:val="center"/>
          </w:tcPr>
          <w:p w14:paraId="33890ED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777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16BB174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第二节第13.2款</w:t>
            </w:r>
          </w:p>
        </w:tc>
        <w:tc>
          <w:tcPr>
            <w:tcW w:w="3681" w:type="dxa"/>
            <w:vAlign w:val="center"/>
          </w:tcPr>
          <w:p w14:paraId="4D7B1FC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履约保证金不予退还的情形</w:t>
            </w:r>
          </w:p>
        </w:tc>
        <w:tc>
          <w:tcPr>
            <w:tcW w:w="3919" w:type="dxa"/>
            <w:vAlign w:val="center"/>
          </w:tcPr>
          <w:p w14:paraId="0577CA9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6A2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6B7BD18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第二节第13.3款</w:t>
            </w:r>
          </w:p>
          <w:p w14:paraId="1E0991C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681" w:type="dxa"/>
            <w:vAlign w:val="center"/>
          </w:tcPr>
          <w:p w14:paraId="6EAE18A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履约保证金退还时间及逾期退还的违约金</w:t>
            </w:r>
          </w:p>
        </w:tc>
        <w:tc>
          <w:tcPr>
            <w:tcW w:w="3919" w:type="dxa"/>
            <w:vAlign w:val="center"/>
          </w:tcPr>
          <w:p w14:paraId="7F2EC7A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0828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9E0A33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第二节第14.1(3)项</w:t>
            </w:r>
          </w:p>
        </w:tc>
        <w:tc>
          <w:tcPr>
            <w:tcW w:w="3681" w:type="dxa"/>
            <w:vAlign w:val="center"/>
          </w:tcPr>
          <w:p w14:paraId="4622531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运行监督、维修期限</w:t>
            </w:r>
          </w:p>
        </w:tc>
        <w:tc>
          <w:tcPr>
            <w:tcW w:w="3919" w:type="dxa"/>
            <w:vAlign w:val="center"/>
          </w:tcPr>
          <w:p w14:paraId="39EA0C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A36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2DC086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第二节第14.1(5)项</w:t>
            </w:r>
          </w:p>
        </w:tc>
        <w:tc>
          <w:tcPr>
            <w:tcW w:w="3681" w:type="dxa"/>
            <w:vAlign w:val="center"/>
          </w:tcPr>
          <w:p w14:paraId="00D06D2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货物回收的约定</w:t>
            </w:r>
          </w:p>
        </w:tc>
        <w:tc>
          <w:tcPr>
            <w:tcW w:w="3919" w:type="dxa"/>
            <w:vAlign w:val="center"/>
          </w:tcPr>
          <w:p w14:paraId="7D063E7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780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6D0B72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第二节第14.1(6)项</w:t>
            </w:r>
          </w:p>
        </w:tc>
        <w:tc>
          <w:tcPr>
            <w:tcW w:w="3681" w:type="dxa"/>
            <w:vAlign w:val="center"/>
          </w:tcPr>
          <w:p w14:paraId="643C9CB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乙方提供的其他服务</w:t>
            </w:r>
          </w:p>
        </w:tc>
        <w:tc>
          <w:tcPr>
            <w:tcW w:w="3919" w:type="dxa"/>
            <w:vAlign w:val="center"/>
          </w:tcPr>
          <w:p w14:paraId="6DB64B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0C6D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174495B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第二节第15.1款</w:t>
            </w:r>
          </w:p>
        </w:tc>
        <w:tc>
          <w:tcPr>
            <w:tcW w:w="3681" w:type="dxa"/>
            <w:vAlign w:val="center"/>
          </w:tcPr>
          <w:p w14:paraId="2B3DC0C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修理、重作、更换相关具体规定</w:t>
            </w:r>
          </w:p>
        </w:tc>
        <w:tc>
          <w:tcPr>
            <w:tcW w:w="3919" w:type="dxa"/>
            <w:vAlign w:val="center"/>
          </w:tcPr>
          <w:p w14:paraId="404B386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6FB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1A87F87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第二节第15.2(2)项</w:t>
            </w:r>
          </w:p>
        </w:tc>
        <w:tc>
          <w:tcPr>
            <w:tcW w:w="3681" w:type="dxa"/>
            <w:vAlign w:val="center"/>
          </w:tcPr>
          <w:p w14:paraId="570372D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迟延交货赔偿费</w:t>
            </w:r>
          </w:p>
        </w:tc>
        <w:tc>
          <w:tcPr>
            <w:tcW w:w="3919" w:type="dxa"/>
            <w:vAlign w:val="center"/>
          </w:tcPr>
          <w:p w14:paraId="0B0623D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D07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05C401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15.3款</w:t>
            </w:r>
          </w:p>
        </w:tc>
        <w:tc>
          <w:tcPr>
            <w:tcW w:w="3681" w:type="dxa"/>
            <w:vAlign w:val="center"/>
          </w:tcPr>
          <w:p w14:paraId="3649CD9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逾期付款利息</w:t>
            </w:r>
          </w:p>
        </w:tc>
        <w:tc>
          <w:tcPr>
            <w:tcW w:w="3919" w:type="dxa"/>
            <w:vAlign w:val="center"/>
          </w:tcPr>
          <w:p w14:paraId="706EC8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09D2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E5E054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第二节第15.4款</w:t>
            </w:r>
          </w:p>
        </w:tc>
        <w:tc>
          <w:tcPr>
            <w:tcW w:w="3681" w:type="dxa"/>
            <w:vAlign w:val="center"/>
          </w:tcPr>
          <w:p w14:paraId="1743680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其他违约责任</w:t>
            </w:r>
          </w:p>
        </w:tc>
        <w:tc>
          <w:tcPr>
            <w:tcW w:w="3919" w:type="dxa"/>
            <w:vAlign w:val="center"/>
          </w:tcPr>
          <w:p w14:paraId="77EB26F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084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5536813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第二节第19.2款</w:t>
            </w:r>
          </w:p>
        </w:tc>
        <w:tc>
          <w:tcPr>
            <w:tcW w:w="3681" w:type="dxa"/>
            <w:vAlign w:val="center"/>
          </w:tcPr>
          <w:p w14:paraId="3016A07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解决争议的方法</w:t>
            </w:r>
          </w:p>
        </w:tc>
        <w:tc>
          <w:tcPr>
            <w:tcW w:w="3919" w:type="dxa"/>
            <w:vAlign w:val="center"/>
          </w:tcPr>
          <w:p w14:paraId="554B6F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因本合同及合同有关事项发生的争议，按第</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种方式解决:(1)向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仲裁委员会申请仲裁，仲裁地点为</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u w:val="none"/>
                <w:vertAlign w:val="baseline"/>
                <w:lang w:val="en-US" w:eastAsia="zh-CN"/>
              </w:rPr>
              <w:t>；</w:t>
            </w:r>
            <w:r>
              <w:rPr>
                <w:rFonts w:hint="eastAsia" w:ascii="仿宋" w:hAnsi="仿宋" w:eastAsia="仿宋" w:cs="仿宋"/>
                <w:b w:val="0"/>
                <w:bCs w:val="0"/>
                <w:sz w:val="24"/>
                <w:szCs w:val="24"/>
                <w:vertAlign w:val="baseline"/>
                <w:lang w:val="en-US" w:eastAsia="zh-CN"/>
              </w:rPr>
              <w:t>(2)向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人民法院起诉。</w:t>
            </w:r>
          </w:p>
        </w:tc>
      </w:tr>
      <w:tr w14:paraId="487A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2F182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第二节第23.1款</w:t>
            </w:r>
          </w:p>
        </w:tc>
        <w:tc>
          <w:tcPr>
            <w:tcW w:w="3681" w:type="dxa"/>
            <w:vAlign w:val="center"/>
          </w:tcPr>
          <w:p w14:paraId="4D11C6F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其他专用条款</w:t>
            </w:r>
          </w:p>
        </w:tc>
        <w:tc>
          <w:tcPr>
            <w:tcW w:w="3919" w:type="dxa"/>
            <w:vAlign w:val="center"/>
          </w:tcPr>
          <w:p w14:paraId="13EADA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bl>
    <w:p w14:paraId="7BB330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lang w:val="en-US" w:eastAsia="zh-CN"/>
        </w:rPr>
        <w:sectPr>
          <w:pgSz w:w="11906" w:h="16838"/>
          <w:pgMar w:top="1417" w:right="1440" w:bottom="1440" w:left="1440" w:header="851" w:footer="992" w:gutter="0"/>
          <w:pgNumType w:fmt="decimal"/>
          <w:cols w:space="720" w:num="1"/>
          <w:docGrid w:linePitch="312" w:charSpace="0"/>
        </w:sectPr>
      </w:pPr>
      <w:r>
        <w:rPr>
          <w:rFonts w:hint="eastAsia" w:ascii="仿宋" w:hAnsi="仿宋" w:eastAsia="仿宋" w:cs="仿宋"/>
          <w:b/>
          <w:color w:val="auto"/>
          <w:sz w:val="24"/>
          <w:szCs w:val="24"/>
          <w:highlight w:val="none"/>
          <w:lang w:val="en-US" w:eastAsia="zh-CN"/>
        </w:rPr>
        <w:t>以上合同文本为合同样稿，最终稿由甲乙双方协商后确定。</w:t>
      </w:r>
    </w:p>
    <w:p w14:paraId="6FC73428">
      <w:pPr>
        <w:keepLines w:val="0"/>
        <w:pageBreakBefore w:val="0"/>
        <w:numPr>
          <w:ilvl w:val="0"/>
          <w:numId w:val="3"/>
        </w:numPr>
        <w:kinsoku/>
        <w:wordWrap/>
        <w:overflowPunct/>
        <w:topLinePunct w:val="0"/>
        <w:bidi w:val="0"/>
        <w:spacing w:before="182" w:line="228" w:lineRule="auto"/>
        <w:jc w:val="center"/>
        <w:rPr>
          <w:rFonts w:ascii="仿宋" w:hAnsi="仿宋" w:eastAsia="仿宋" w:cs="仿宋"/>
          <w:b/>
          <w:bCs/>
          <w:spacing w:val="5"/>
          <w:sz w:val="31"/>
          <w:szCs w:val="31"/>
        </w:rPr>
      </w:pPr>
      <w:r>
        <w:rPr>
          <w:rFonts w:ascii="仿宋" w:hAnsi="仿宋" w:eastAsia="仿宋" w:cs="仿宋"/>
          <w:spacing w:val="5"/>
          <w:sz w:val="31"/>
          <w:szCs w:val="31"/>
        </w:rPr>
        <w:t xml:space="preserve">  </w:t>
      </w:r>
      <w:bookmarkStart w:id="2" w:name="OLE_LINK1"/>
      <w:r>
        <w:rPr>
          <w:rFonts w:ascii="仿宋" w:hAnsi="仿宋" w:eastAsia="仿宋" w:cs="仿宋"/>
          <w:b/>
          <w:bCs/>
          <w:spacing w:val="5"/>
          <w:sz w:val="31"/>
          <w:szCs w:val="31"/>
        </w:rPr>
        <w:t>采购需求及技术要求</w:t>
      </w:r>
      <w:bookmarkEnd w:id="2"/>
    </w:p>
    <w:p w14:paraId="17A4E666">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血液透析设备（双泵）参数</w:t>
      </w:r>
    </w:p>
    <w:p w14:paraId="541160D4">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供水压力范围：2-6.5bar，供水温度范围：6</w:t>
      </w:r>
      <w:r>
        <w:rPr>
          <w:rFonts w:ascii="仿宋_GB2312" w:hAnsi="仿宋_GB2312" w:eastAsia="仿宋_GB2312"/>
          <w:sz w:val="21"/>
          <w:szCs w:val="21"/>
        </w:rPr>
        <w:t>°C</w:t>
      </w:r>
      <w:r>
        <w:rPr>
          <w:rFonts w:hint="eastAsia" w:ascii="仿宋_GB2312" w:hAnsi="仿宋_GB2312" w:eastAsia="仿宋_GB2312"/>
          <w:sz w:val="21"/>
          <w:szCs w:val="21"/>
        </w:rPr>
        <w:t>-25</w:t>
      </w:r>
      <w:r>
        <w:rPr>
          <w:rFonts w:ascii="仿宋_GB2312" w:hAnsi="仿宋_GB2312" w:eastAsia="仿宋_GB2312"/>
          <w:sz w:val="21"/>
          <w:szCs w:val="21"/>
        </w:rPr>
        <w:t>°C</w:t>
      </w:r>
      <w:r>
        <w:rPr>
          <w:rFonts w:hint="eastAsia" w:ascii="仿宋_GB2312" w:hAnsi="仿宋_GB2312" w:eastAsia="仿宋_GB2312"/>
          <w:sz w:val="21"/>
          <w:szCs w:val="21"/>
        </w:rPr>
        <w:t>。</w:t>
      </w:r>
    </w:p>
    <w:p w14:paraId="78040B6B">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透析液流速：350-650mL/min。</w:t>
      </w:r>
    </w:p>
    <w:p w14:paraId="790EB2FE">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透析液温度设置范围：35.0-40.0°C。</w:t>
      </w:r>
    </w:p>
    <w:p w14:paraId="661CB872">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超滤速度：0.50-4.00L/h。</w:t>
      </w:r>
    </w:p>
    <w:p w14:paraId="238C2879">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漏血检测器原理：光学检测。</w:t>
      </w:r>
    </w:p>
    <w:p w14:paraId="19DFD83A">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血液流速调节范围：50-550mL/min。</w:t>
      </w:r>
    </w:p>
    <w:p w14:paraId="3F44AD08">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肝素泵设置范围：0.0-10mL/h；注射器类型：30</w:t>
      </w:r>
      <w:r>
        <w:rPr>
          <w:rFonts w:ascii="仿宋_GB2312" w:hAnsi="仿宋_GB2312" w:eastAsia="仿宋_GB2312"/>
          <w:sz w:val="21"/>
          <w:szCs w:val="21"/>
        </w:rPr>
        <w:t xml:space="preserve"> mL</w:t>
      </w:r>
      <w:r>
        <w:rPr>
          <w:rFonts w:hint="eastAsia" w:ascii="仿宋_GB2312" w:hAnsi="仿宋_GB2312" w:eastAsia="仿宋_GB2312"/>
          <w:sz w:val="21"/>
          <w:szCs w:val="21"/>
        </w:rPr>
        <w:t>、2</w:t>
      </w:r>
      <w:r>
        <w:rPr>
          <w:rFonts w:ascii="仿宋_GB2312" w:hAnsi="仿宋_GB2312" w:eastAsia="仿宋_GB2312"/>
          <w:sz w:val="21"/>
          <w:szCs w:val="21"/>
        </w:rPr>
        <w:t>0m</w:t>
      </w:r>
      <w:r>
        <w:rPr>
          <w:rFonts w:hint="eastAsia" w:ascii="仿宋_GB2312" w:hAnsi="仿宋_GB2312" w:eastAsia="仿宋_GB2312"/>
          <w:sz w:val="21"/>
          <w:szCs w:val="21"/>
        </w:rPr>
        <w:t>L。</w:t>
      </w:r>
    </w:p>
    <w:p w14:paraId="79F141D1">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超声波原理的气泡检测器。气泡检测器精度：≤0.03mL。</w:t>
      </w:r>
    </w:p>
    <w:p w14:paraId="71649469">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置换液泵设置范围：1.00-25.00L/h。</w:t>
      </w:r>
    </w:p>
    <w:p w14:paraId="6FB58120">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动脉压测量范围：-250-+400mmHg。</w:t>
      </w:r>
    </w:p>
    <w:p w14:paraId="672FC8E2">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静脉压测量范围：-250-+400mmHg。</w:t>
      </w:r>
    </w:p>
    <w:p w14:paraId="0959823F">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TMP测量范围：-100-+400mmHg。</w:t>
      </w:r>
    </w:p>
    <w:p w14:paraId="31DFA9E4">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透析液浓度设置范围：12.7-15.2mS/cm。</w:t>
      </w:r>
    </w:p>
    <w:p w14:paraId="2BC6D1E2">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治疗模式：血液透析、单纯超滤、OHDF和OHF。</w:t>
      </w:r>
    </w:p>
    <w:p w14:paraId="2B0E1DF3">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屏幕：彩色液晶触摸显示屏。支持动脉壶和静脉壶液位电动调节。</w:t>
      </w:r>
    </w:p>
    <w:p w14:paraId="4DCA527F">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设备支持热水柠檬酸、次氯酸钠、过氧乙酸消毒。消毒温度最高≥90℃。</w:t>
      </w:r>
    </w:p>
    <w:p w14:paraId="76B1B0DE">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可预先存储≥7条透析液浓度曲线，每条曲线均可修改并存储。</w:t>
      </w:r>
    </w:p>
    <w:p w14:paraId="7A3F9C48">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可预先存储≥7条超滤曲线，每条曲线均可修改并存储。</w:t>
      </w:r>
    </w:p>
    <w:p w14:paraId="407FE50B">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设备标准配备碳酸氢盐干粉自动配制系统。</w:t>
      </w:r>
    </w:p>
    <w:p w14:paraId="3DBD59A8">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液面调整：具备动脉壶和静脉壶液面电动调整功能。</w:t>
      </w:r>
    </w:p>
    <w:p w14:paraId="39410F34">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标准配备透析液过滤器组件。</w:t>
      </w:r>
    </w:p>
    <w:p w14:paraId="0F743A41">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具备全中文报警自我解释功能，可提示报警的原因与排除的方式。</w:t>
      </w:r>
    </w:p>
    <w:p w14:paraId="5E79051F">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设备支持治疗结束后一键排液功能。</w:t>
      </w:r>
    </w:p>
    <w:p w14:paraId="6F0A7B01">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后备电池：停电后自动切换至紧急蓄电池工作模式，继续监视血液循环参数所有报警都能正常工作。</w:t>
      </w:r>
    </w:p>
    <w:p w14:paraId="135DE7FE">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*标准配置通讯接口，配置血透管理软件接口转换盒子和通讯板。</w:t>
      </w:r>
    </w:p>
    <w:p w14:paraId="7F6E15E7">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*配置在线血压计组件，支持多种测量模式</w:t>
      </w:r>
    </w:p>
    <w:p w14:paraId="1784123E">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*配置在线清除率监测组件，支持无创、实时监测</w:t>
      </w:r>
    </w:p>
    <w:p w14:paraId="5AE8483D">
      <w:pPr>
        <w:pStyle w:val="27"/>
        <w:numPr>
          <w:ilvl w:val="0"/>
          <w:numId w:val="4"/>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*免费为招标方现已有9台血透机维保三年。</w:t>
      </w:r>
    </w:p>
    <w:p w14:paraId="1A605E7F">
      <w:pPr>
        <w:pStyle w:val="27"/>
        <w:spacing w:line="520" w:lineRule="exact"/>
        <w:ind w:firstLine="0" w:firstLineChars="0"/>
        <w:rPr>
          <w:rFonts w:ascii="仿宋_GB2312" w:hAnsi="仿宋_GB2312" w:eastAsia="仿宋_GB2312"/>
          <w:sz w:val="21"/>
          <w:szCs w:val="21"/>
        </w:rPr>
      </w:pPr>
    </w:p>
    <w:p w14:paraId="1954500B">
      <w:p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项目其他要求：</w:t>
      </w:r>
    </w:p>
    <w:p w14:paraId="01458960">
      <w:pPr>
        <w:numPr>
          <w:ilvl w:val="0"/>
          <w:numId w:val="5"/>
        </w:num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本项目采购设备安装后即能够正常使用，附件配置齐全。设备生产日期与实际供货日期在6个月以内。</w:t>
      </w:r>
    </w:p>
    <w:p w14:paraId="35D8535A">
      <w:pPr>
        <w:numPr>
          <w:ilvl w:val="0"/>
          <w:numId w:val="5"/>
        </w:num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此项目总金额包含所有运费、装卸费、安装费、税费等。</w:t>
      </w:r>
    </w:p>
    <w:p w14:paraId="222E20BE">
      <w:pPr>
        <w:numPr>
          <w:ilvl w:val="0"/>
          <w:numId w:val="5"/>
        </w:num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每套设备（含附件）提供3年免费保修。</w:t>
      </w:r>
    </w:p>
    <w:p w14:paraId="655DF248">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r>
        <w:rPr>
          <w:rFonts w:ascii="仿宋" w:hAnsi="仿宋" w:eastAsia="仿宋" w:cs="仿宋"/>
          <w:b/>
          <w:bCs/>
          <w:spacing w:val="3"/>
          <w:sz w:val="31"/>
          <w:szCs w:val="31"/>
        </w:rPr>
        <w:br w:type="textWrapping"/>
      </w:r>
    </w:p>
    <w:p w14:paraId="65BDC59E">
      <w:pPr>
        <w:rPr>
          <w:rFonts w:ascii="仿宋" w:hAnsi="仿宋" w:eastAsia="仿宋" w:cs="仿宋"/>
          <w:b/>
          <w:bCs/>
          <w:spacing w:val="3"/>
          <w:sz w:val="31"/>
          <w:szCs w:val="31"/>
        </w:rPr>
      </w:pPr>
      <w:r>
        <w:rPr>
          <w:rFonts w:ascii="仿宋" w:hAnsi="仿宋" w:eastAsia="仿宋" w:cs="仿宋"/>
          <w:b/>
          <w:bCs/>
          <w:spacing w:val="3"/>
          <w:sz w:val="31"/>
          <w:szCs w:val="31"/>
        </w:rPr>
        <w:br w:type="page"/>
      </w:r>
    </w:p>
    <w:p w14:paraId="3DBD4238">
      <w:pPr>
        <w:spacing w:line="52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血液透析设备（单泵）参数</w:t>
      </w:r>
    </w:p>
    <w:p w14:paraId="680F3CE2">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机身尺寸（mm）：机身宽度</w:t>
      </w:r>
      <w:r>
        <w:rPr>
          <w:rFonts w:hint="eastAsia" w:ascii="仿宋_GB2312" w:hAnsi="仿宋_GB2312" w:eastAsia="仿宋_GB2312"/>
          <w:sz w:val="21"/>
          <w:szCs w:val="21"/>
        </w:rPr>
        <w:t>≤</w:t>
      </w:r>
      <w:r>
        <w:rPr>
          <w:rFonts w:ascii="仿宋_GB2312" w:hAnsi="仿宋_GB2312" w:eastAsia="仿宋_GB2312"/>
          <w:sz w:val="21"/>
          <w:szCs w:val="21"/>
        </w:rPr>
        <w:t xml:space="preserve">450  </w:t>
      </w:r>
      <w:r>
        <w:rPr>
          <w:rFonts w:hint="eastAsia" w:ascii="仿宋_GB2312" w:hAnsi="仿宋_GB2312" w:eastAsia="仿宋_GB2312"/>
          <w:sz w:val="21"/>
          <w:szCs w:val="21"/>
        </w:rPr>
        <w:t>深度≤520。</w:t>
      </w:r>
    </w:p>
    <w:p w14:paraId="6C43DE70">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供水: 压力范围：1-6.5bar；温度范围：5 ℃</w:t>
      </w:r>
      <w:r>
        <w:rPr>
          <w:rFonts w:hint="eastAsia" w:ascii="仿宋_GB2312" w:hAnsi="仿宋_GB2312" w:eastAsia="仿宋_GB2312"/>
          <w:sz w:val="21"/>
          <w:szCs w:val="21"/>
        </w:rPr>
        <w:t>-</w:t>
      </w:r>
      <w:r>
        <w:rPr>
          <w:rFonts w:ascii="仿宋_GB2312" w:hAnsi="仿宋_GB2312" w:eastAsia="仿宋_GB2312"/>
          <w:sz w:val="21"/>
          <w:szCs w:val="21"/>
        </w:rPr>
        <w:t>30 ℃。</w:t>
      </w:r>
    </w:p>
    <w:p w14:paraId="3E53B1C8">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透析液流速</w:t>
      </w:r>
      <w:r>
        <w:rPr>
          <w:rFonts w:hint="eastAsia" w:ascii="仿宋_GB2312" w:hAnsi="仿宋_GB2312" w:eastAsia="仿宋_GB2312"/>
          <w:sz w:val="21"/>
          <w:szCs w:val="21"/>
        </w:rPr>
        <w:t>35</w:t>
      </w:r>
      <w:r>
        <w:rPr>
          <w:rFonts w:ascii="仿宋_GB2312" w:hAnsi="仿宋_GB2312" w:eastAsia="仿宋_GB2312"/>
          <w:sz w:val="21"/>
          <w:szCs w:val="21"/>
        </w:rPr>
        <w:t>0-</w:t>
      </w:r>
      <w:r>
        <w:rPr>
          <w:rFonts w:hint="eastAsia" w:ascii="仿宋_GB2312" w:hAnsi="仿宋_GB2312" w:eastAsia="仿宋_GB2312"/>
          <w:sz w:val="21"/>
          <w:szCs w:val="21"/>
        </w:rPr>
        <w:t>650</w:t>
      </w:r>
      <w:r>
        <w:rPr>
          <w:rFonts w:ascii="仿宋_GB2312" w:hAnsi="仿宋_GB2312" w:eastAsia="仿宋_GB2312"/>
          <w:sz w:val="21"/>
          <w:szCs w:val="21"/>
        </w:rPr>
        <w:t>mL/min</w:t>
      </w:r>
      <w:r>
        <w:rPr>
          <w:rFonts w:hint="eastAsia" w:ascii="仿宋_GB2312" w:hAnsi="仿宋_GB2312" w:eastAsia="仿宋_GB2312"/>
          <w:sz w:val="21"/>
          <w:szCs w:val="21"/>
        </w:rPr>
        <w:t>。</w:t>
      </w:r>
    </w:p>
    <w:p w14:paraId="78C3B825">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透析液温度：3</w:t>
      </w:r>
      <w:r>
        <w:rPr>
          <w:rFonts w:hint="eastAsia" w:ascii="仿宋_GB2312" w:hAnsi="仿宋_GB2312" w:eastAsia="仿宋_GB2312"/>
          <w:sz w:val="21"/>
          <w:szCs w:val="21"/>
        </w:rPr>
        <w:t>5</w:t>
      </w:r>
      <w:r>
        <w:rPr>
          <w:rFonts w:ascii="仿宋_GB2312" w:hAnsi="仿宋_GB2312" w:eastAsia="仿宋_GB2312"/>
          <w:sz w:val="21"/>
          <w:szCs w:val="21"/>
        </w:rPr>
        <w:t>.0</w:t>
      </w:r>
      <w:r>
        <w:rPr>
          <w:rFonts w:hint="eastAsia" w:ascii="仿宋_GB2312" w:hAnsi="仿宋_GB2312" w:eastAsia="仿宋_GB2312"/>
          <w:sz w:val="21"/>
          <w:szCs w:val="21"/>
        </w:rPr>
        <w:t>-</w:t>
      </w:r>
      <w:r>
        <w:rPr>
          <w:rFonts w:ascii="仿宋_GB2312" w:hAnsi="仿宋_GB2312" w:eastAsia="仿宋_GB2312"/>
          <w:sz w:val="21"/>
          <w:szCs w:val="21"/>
        </w:rPr>
        <w:t>40.0°C，有超温保护装置。</w:t>
      </w:r>
    </w:p>
    <w:p w14:paraId="3915ECE7">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超滤速度：0.50</w:t>
      </w:r>
      <w:r>
        <w:rPr>
          <w:rFonts w:hint="eastAsia" w:ascii="仿宋_GB2312" w:hAnsi="仿宋_GB2312" w:eastAsia="仿宋_GB2312"/>
          <w:sz w:val="21"/>
          <w:szCs w:val="21"/>
        </w:rPr>
        <w:t>-</w:t>
      </w:r>
      <w:r>
        <w:rPr>
          <w:rFonts w:ascii="仿宋_GB2312" w:hAnsi="仿宋_GB2312" w:eastAsia="仿宋_GB2312"/>
          <w:sz w:val="21"/>
          <w:szCs w:val="21"/>
        </w:rPr>
        <w:t>4.00L/h。</w:t>
      </w:r>
    </w:p>
    <w:p w14:paraId="60E76353">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漏血检测器：</w:t>
      </w:r>
      <w:r>
        <w:rPr>
          <w:rFonts w:hint="eastAsia" w:ascii="仿宋_GB2312" w:hAnsi="仿宋_GB2312" w:eastAsia="仿宋_GB2312"/>
          <w:sz w:val="21"/>
          <w:szCs w:val="21"/>
        </w:rPr>
        <w:t>光学检测</w:t>
      </w:r>
      <w:r>
        <w:rPr>
          <w:rFonts w:ascii="仿宋_GB2312" w:hAnsi="仿宋_GB2312" w:eastAsia="仿宋_GB2312"/>
          <w:sz w:val="21"/>
          <w:szCs w:val="21"/>
        </w:rPr>
        <w:t>。</w:t>
      </w:r>
    </w:p>
    <w:p w14:paraId="337F3AD4">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动脉血泵：</w:t>
      </w:r>
      <w:r>
        <w:rPr>
          <w:rFonts w:hint="eastAsia" w:ascii="仿宋_GB2312" w:hAnsi="仿宋_GB2312" w:eastAsia="仿宋_GB2312"/>
          <w:sz w:val="21"/>
          <w:szCs w:val="21"/>
        </w:rPr>
        <w:t>5</w:t>
      </w:r>
      <w:r>
        <w:rPr>
          <w:rFonts w:ascii="仿宋_GB2312" w:hAnsi="仿宋_GB2312" w:eastAsia="仿宋_GB2312"/>
          <w:sz w:val="21"/>
          <w:szCs w:val="21"/>
        </w:rPr>
        <w:t>0</w:t>
      </w:r>
      <w:r>
        <w:rPr>
          <w:rFonts w:hint="eastAsia" w:ascii="仿宋_GB2312" w:hAnsi="仿宋_GB2312" w:eastAsia="仿宋_GB2312"/>
          <w:sz w:val="21"/>
          <w:szCs w:val="21"/>
        </w:rPr>
        <w:t>-550</w:t>
      </w:r>
      <w:r>
        <w:rPr>
          <w:rFonts w:ascii="仿宋_GB2312" w:hAnsi="仿宋_GB2312" w:eastAsia="仿宋_GB2312"/>
          <w:sz w:val="21"/>
          <w:szCs w:val="21"/>
        </w:rPr>
        <w:t>mL/min。</w:t>
      </w:r>
    </w:p>
    <w:p w14:paraId="4E3BE34C">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肝素泵：设置范围：0.0</w:t>
      </w:r>
      <w:r>
        <w:rPr>
          <w:rFonts w:hint="eastAsia" w:ascii="仿宋_GB2312" w:hAnsi="仿宋_GB2312" w:eastAsia="仿宋_GB2312"/>
          <w:sz w:val="21"/>
          <w:szCs w:val="21"/>
        </w:rPr>
        <w:t>-10</w:t>
      </w:r>
      <w:r>
        <w:rPr>
          <w:rFonts w:ascii="仿宋_GB2312" w:hAnsi="仿宋_GB2312" w:eastAsia="仿宋_GB2312"/>
          <w:sz w:val="21"/>
          <w:szCs w:val="21"/>
        </w:rPr>
        <w:t>mL/h。</w:t>
      </w:r>
    </w:p>
    <w:p w14:paraId="689B9176">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空气监测器：超声波检测；检测精度：</w:t>
      </w:r>
      <w:r>
        <w:rPr>
          <w:rFonts w:hint="eastAsia" w:ascii="仿宋_GB2312" w:hAnsi="仿宋_GB2312" w:eastAsia="仿宋_GB2312"/>
          <w:sz w:val="21"/>
          <w:szCs w:val="21"/>
        </w:rPr>
        <w:t>≤</w:t>
      </w:r>
      <w:r>
        <w:rPr>
          <w:rFonts w:ascii="仿宋_GB2312" w:hAnsi="仿宋_GB2312" w:eastAsia="仿宋_GB2312"/>
          <w:sz w:val="21"/>
          <w:szCs w:val="21"/>
        </w:rPr>
        <w:t>0.0</w:t>
      </w:r>
      <w:r>
        <w:rPr>
          <w:rFonts w:hint="eastAsia" w:ascii="仿宋_GB2312" w:hAnsi="仿宋_GB2312" w:eastAsia="仿宋_GB2312"/>
          <w:sz w:val="21"/>
          <w:szCs w:val="21"/>
        </w:rPr>
        <w:t>3</w:t>
      </w:r>
      <w:r>
        <w:rPr>
          <w:rFonts w:ascii="仿宋_GB2312" w:hAnsi="仿宋_GB2312" w:eastAsia="仿宋_GB2312"/>
          <w:sz w:val="21"/>
          <w:szCs w:val="21"/>
        </w:rPr>
        <w:t>mL。</w:t>
      </w:r>
    </w:p>
    <w:p w14:paraId="473FD70D">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动脉压：测量范围：-</w:t>
      </w:r>
      <w:r>
        <w:rPr>
          <w:rFonts w:hint="eastAsia" w:ascii="仿宋_GB2312" w:hAnsi="仿宋_GB2312" w:eastAsia="仿宋_GB2312"/>
          <w:sz w:val="21"/>
          <w:szCs w:val="21"/>
        </w:rPr>
        <w:t>25</w:t>
      </w:r>
      <w:r>
        <w:rPr>
          <w:rFonts w:ascii="仿宋_GB2312" w:hAnsi="仿宋_GB2312" w:eastAsia="仿宋_GB2312"/>
          <w:sz w:val="21"/>
          <w:szCs w:val="21"/>
        </w:rPr>
        <w:t>0</w:t>
      </w:r>
      <w:r>
        <w:rPr>
          <w:rFonts w:hint="eastAsia" w:ascii="仿宋_GB2312" w:hAnsi="仿宋_GB2312" w:eastAsia="仿宋_GB2312"/>
          <w:sz w:val="21"/>
          <w:szCs w:val="21"/>
        </w:rPr>
        <w:t>-</w:t>
      </w:r>
      <w:r>
        <w:rPr>
          <w:rFonts w:ascii="仿宋_GB2312" w:hAnsi="仿宋_GB2312" w:eastAsia="仿宋_GB2312"/>
          <w:sz w:val="21"/>
          <w:szCs w:val="21"/>
        </w:rPr>
        <w:t>+4</w:t>
      </w:r>
      <w:r>
        <w:rPr>
          <w:rFonts w:hint="eastAsia" w:ascii="仿宋_GB2312" w:hAnsi="仿宋_GB2312" w:eastAsia="仿宋_GB2312"/>
          <w:sz w:val="21"/>
          <w:szCs w:val="21"/>
        </w:rPr>
        <w:t>0</w:t>
      </w:r>
      <w:r>
        <w:rPr>
          <w:rFonts w:ascii="仿宋_GB2312" w:hAnsi="仿宋_GB2312" w:eastAsia="仿宋_GB2312"/>
          <w:sz w:val="21"/>
          <w:szCs w:val="21"/>
        </w:rPr>
        <w:t>0mmHg；测量精确度：±10mmHg。</w:t>
      </w:r>
    </w:p>
    <w:p w14:paraId="33C6BD3E">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静脉压：测量范围：-</w:t>
      </w:r>
      <w:r>
        <w:rPr>
          <w:rFonts w:hint="eastAsia" w:ascii="仿宋_GB2312" w:hAnsi="仿宋_GB2312" w:eastAsia="仿宋_GB2312"/>
          <w:sz w:val="21"/>
          <w:szCs w:val="21"/>
        </w:rPr>
        <w:t>25</w:t>
      </w:r>
      <w:r>
        <w:rPr>
          <w:rFonts w:ascii="仿宋_GB2312" w:hAnsi="仿宋_GB2312" w:eastAsia="仿宋_GB2312"/>
          <w:sz w:val="21"/>
          <w:szCs w:val="21"/>
        </w:rPr>
        <w:t>0</w:t>
      </w:r>
      <w:r>
        <w:rPr>
          <w:rFonts w:hint="eastAsia" w:ascii="仿宋_GB2312" w:hAnsi="仿宋_GB2312" w:eastAsia="仿宋_GB2312"/>
          <w:sz w:val="21"/>
          <w:szCs w:val="21"/>
        </w:rPr>
        <w:t>-</w:t>
      </w:r>
      <w:r>
        <w:rPr>
          <w:rFonts w:ascii="仿宋_GB2312" w:hAnsi="仿宋_GB2312" w:eastAsia="仿宋_GB2312"/>
          <w:sz w:val="21"/>
          <w:szCs w:val="21"/>
        </w:rPr>
        <w:t>+4</w:t>
      </w:r>
      <w:r>
        <w:rPr>
          <w:rFonts w:hint="eastAsia" w:ascii="仿宋_GB2312" w:hAnsi="仿宋_GB2312" w:eastAsia="仿宋_GB2312"/>
          <w:sz w:val="21"/>
          <w:szCs w:val="21"/>
        </w:rPr>
        <w:t>0</w:t>
      </w:r>
      <w:r>
        <w:rPr>
          <w:rFonts w:ascii="仿宋_GB2312" w:hAnsi="仿宋_GB2312" w:eastAsia="仿宋_GB2312"/>
          <w:sz w:val="21"/>
          <w:szCs w:val="21"/>
        </w:rPr>
        <w:t>0mmHg；测量精确度：±10mmHg。</w:t>
      </w:r>
    </w:p>
    <w:p w14:paraId="0E1A3E87">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TMP：测量范围：-100</w:t>
      </w:r>
      <w:r>
        <w:rPr>
          <w:rFonts w:hint="eastAsia" w:ascii="仿宋_GB2312" w:hAnsi="仿宋_GB2312" w:eastAsia="仿宋_GB2312"/>
          <w:sz w:val="21"/>
          <w:szCs w:val="21"/>
        </w:rPr>
        <w:t>-</w:t>
      </w:r>
      <w:r>
        <w:rPr>
          <w:rFonts w:ascii="仿宋_GB2312" w:hAnsi="仿宋_GB2312" w:eastAsia="仿宋_GB2312"/>
          <w:sz w:val="21"/>
          <w:szCs w:val="21"/>
        </w:rPr>
        <w:t>+4</w:t>
      </w:r>
      <w:r>
        <w:rPr>
          <w:rFonts w:hint="eastAsia" w:ascii="仿宋_GB2312" w:hAnsi="仿宋_GB2312" w:eastAsia="仿宋_GB2312"/>
          <w:sz w:val="21"/>
          <w:szCs w:val="21"/>
        </w:rPr>
        <w:t>0</w:t>
      </w:r>
      <w:r>
        <w:rPr>
          <w:rFonts w:ascii="仿宋_GB2312" w:hAnsi="仿宋_GB2312" w:eastAsia="仿宋_GB2312"/>
          <w:sz w:val="21"/>
          <w:szCs w:val="21"/>
        </w:rPr>
        <w:t>0mmHg；测量精确度：±10mmHg。</w:t>
      </w:r>
    </w:p>
    <w:p w14:paraId="78D82704">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 xml:space="preserve">透析液浓度：12.5 </w:t>
      </w:r>
      <w:r>
        <w:rPr>
          <w:rFonts w:hint="eastAsia" w:ascii="仿宋_GB2312" w:hAnsi="仿宋_GB2312" w:eastAsia="仿宋_GB2312"/>
          <w:sz w:val="21"/>
          <w:szCs w:val="21"/>
        </w:rPr>
        <w:t>-</w:t>
      </w:r>
      <w:r>
        <w:rPr>
          <w:rFonts w:ascii="仿宋_GB2312" w:hAnsi="仿宋_GB2312" w:eastAsia="仿宋_GB2312"/>
          <w:sz w:val="21"/>
          <w:szCs w:val="21"/>
        </w:rPr>
        <w:t>16.0mS/cm。</w:t>
      </w:r>
    </w:p>
    <w:p w14:paraId="63DC37ED">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治疗模式：用于血液净化治疗，具有血液透析、单纯超滤、序贯透析。</w:t>
      </w:r>
    </w:p>
    <w:p w14:paraId="1685F604">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人机交互：彩色液晶显示器，可旋转。</w:t>
      </w:r>
      <w:r>
        <w:rPr>
          <w:rFonts w:hint="eastAsia" w:ascii="仿宋_GB2312" w:hAnsi="仿宋_GB2312" w:eastAsia="仿宋_GB2312"/>
          <w:sz w:val="21"/>
          <w:szCs w:val="21"/>
        </w:rPr>
        <w:t>可以在屏幕上调节动脉壶液位。</w:t>
      </w:r>
    </w:p>
    <w:p w14:paraId="51EBB2B2">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可实时图文显示参数，包括动脉压、静脉压、跨膜压、总电导度、碳酸氢盐电导度、透析液温度、血流速度、超滤速度等 。</w:t>
      </w:r>
    </w:p>
    <w:p w14:paraId="649259D2">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报警提示功能：</w:t>
      </w:r>
      <w:r>
        <w:rPr>
          <w:rFonts w:hint="eastAsia" w:ascii="仿宋_GB2312" w:hAnsi="仿宋_GB2312" w:eastAsia="仿宋_GB2312"/>
          <w:sz w:val="21"/>
          <w:szCs w:val="21"/>
        </w:rPr>
        <w:t>多种</w:t>
      </w:r>
      <w:r>
        <w:rPr>
          <w:rFonts w:ascii="仿宋_GB2312" w:hAnsi="仿宋_GB2312" w:eastAsia="仿宋_GB2312"/>
          <w:sz w:val="21"/>
          <w:szCs w:val="21"/>
        </w:rPr>
        <w:t xml:space="preserve">颜色报警指示灯，具有声光报警指示。 </w:t>
      </w:r>
    </w:p>
    <w:p w14:paraId="246FA785">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消毒模式：</w:t>
      </w:r>
      <w:r>
        <w:rPr>
          <w:rFonts w:hint="eastAsia" w:ascii="仿宋_GB2312" w:hAnsi="仿宋_GB2312" w:eastAsia="仿宋_GB2312"/>
          <w:sz w:val="21"/>
          <w:szCs w:val="21"/>
        </w:rPr>
        <w:t>支持使用柠檬酸、次氯酸钠、过氧乙酸等多种消毒液</w:t>
      </w:r>
      <w:r>
        <w:rPr>
          <w:rFonts w:ascii="仿宋_GB2312" w:hAnsi="仿宋_GB2312" w:eastAsia="仿宋_GB2312"/>
          <w:sz w:val="21"/>
          <w:szCs w:val="21"/>
        </w:rPr>
        <w:t>。热水柠檬酸消毒温度最高可达90℃。</w:t>
      </w:r>
    </w:p>
    <w:p w14:paraId="54936951">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 xml:space="preserve">后备电池：停电时自动跳转后备电池供电，支持体外循环监测，报警系统。运行时间不少于20分钟 </w:t>
      </w:r>
      <w:r>
        <w:rPr>
          <w:rFonts w:hint="eastAsia" w:ascii="仿宋_GB2312" w:hAnsi="仿宋_GB2312" w:eastAsia="仿宋_GB2312"/>
          <w:sz w:val="21"/>
          <w:szCs w:val="21"/>
        </w:rPr>
        <w:t>。</w:t>
      </w:r>
    </w:p>
    <w:p w14:paraId="0DA42BFD">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设备内部可同时存储</w:t>
      </w:r>
      <w:r>
        <w:rPr>
          <w:rFonts w:hint="eastAsia" w:ascii="仿宋_GB2312" w:hAnsi="仿宋_GB2312" w:eastAsia="仿宋_GB2312"/>
          <w:sz w:val="21"/>
          <w:szCs w:val="21"/>
        </w:rPr>
        <w:t>多</w:t>
      </w:r>
      <w:r>
        <w:rPr>
          <w:rFonts w:ascii="仿宋_GB2312" w:hAnsi="仿宋_GB2312" w:eastAsia="仿宋_GB2312"/>
          <w:sz w:val="21"/>
          <w:szCs w:val="21"/>
        </w:rPr>
        <w:t>种不同原液配方</w:t>
      </w:r>
      <w:r>
        <w:rPr>
          <w:rFonts w:hint="eastAsia" w:ascii="仿宋_GB2312" w:hAnsi="仿宋_GB2312" w:eastAsia="仿宋_GB2312"/>
          <w:sz w:val="21"/>
          <w:szCs w:val="21"/>
        </w:rPr>
        <w:t>。</w:t>
      </w:r>
    </w:p>
    <w:p w14:paraId="105D2E7D">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超滤系统：采用容量式平衡与超滤控制系统。</w:t>
      </w:r>
    </w:p>
    <w:p w14:paraId="4D38BD71">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浓度曲线：可进行透析液浓度曲线治疗，可预存</w:t>
      </w:r>
      <w:r>
        <w:rPr>
          <w:rFonts w:hint="eastAsia" w:ascii="仿宋_GB2312" w:hAnsi="仿宋_GB2312" w:eastAsia="仿宋_GB2312"/>
          <w:sz w:val="21"/>
          <w:szCs w:val="21"/>
        </w:rPr>
        <w:t>≥8</w:t>
      </w:r>
      <w:r>
        <w:rPr>
          <w:rFonts w:ascii="仿宋_GB2312" w:hAnsi="仿宋_GB2312" w:eastAsia="仿宋_GB2312"/>
          <w:sz w:val="21"/>
          <w:szCs w:val="21"/>
        </w:rPr>
        <w:t>条曲线，实现个性化透析。</w:t>
      </w:r>
    </w:p>
    <w:p w14:paraId="426ECF02">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超滤曲线：可预存</w:t>
      </w:r>
      <w:r>
        <w:rPr>
          <w:rFonts w:hint="eastAsia" w:ascii="仿宋_GB2312" w:hAnsi="仿宋_GB2312" w:eastAsia="仿宋_GB2312"/>
          <w:sz w:val="21"/>
          <w:szCs w:val="21"/>
        </w:rPr>
        <w:t>≥8</w:t>
      </w:r>
      <w:r>
        <w:rPr>
          <w:rFonts w:ascii="仿宋_GB2312" w:hAnsi="仿宋_GB2312" w:eastAsia="仿宋_GB2312"/>
          <w:sz w:val="21"/>
          <w:szCs w:val="21"/>
        </w:rPr>
        <w:t>条</w:t>
      </w:r>
      <w:r>
        <w:rPr>
          <w:rFonts w:hint="eastAsia" w:ascii="仿宋_GB2312" w:hAnsi="仿宋_GB2312" w:eastAsia="仿宋_GB2312"/>
          <w:sz w:val="21"/>
          <w:szCs w:val="21"/>
        </w:rPr>
        <w:t>超滤</w:t>
      </w:r>
      <w:r>
        <w:rPr>
          <w:rFonts w:ascii="仿宋_GB2312" w:hAnsi="仿宋_GB2312" w:eastAsia="仿宋_GB2312"/>
          <w:sz w:val="21"/>
          <w:szCs w:val="21"/>
        </w:rPr>
        <w:t>曲线，实现个性化透析。</w:t>
      </w:r>
    </w:p>
    <w:p w14:paraId="46060399">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透析液过滤：标配透析液过滤器支架组件。</w:t>
      </w:r>
      <w:r>
        <w:rPr>
          <w:rFonts w:hint="eastAsia" w:ascii="仿宋_GB2312" w:hAnsi="仿宋_GB2312" w:eastAsia="仿宋_GB2312"/>
          <w:kern w:val="0"/>
          <w:sz w:val="21"/>
          <w:szCs w:val="21"/>
        </w:rPr>
        <w:t>机身深度≤520 mm，过滤器更换空间更大、更便捷。</w:t>
      </w:r>
    </w:p>
    <w:p w14:paraId="2A8DACAE">
      <w:pPr>
        <w:pStyle w:val="27"/>
        <w:numPr>
          <w:ilvl w:val="0"/>
          <w:numId w:val="6"/>
        </w:numPr>
        <w:spacing w:line="520" w:lineRule="exact"/>
        <w:ind w:firstLineChars="0"/>
        <w:rPr>
          <w:rFonts w:ascii="仿宋_GB2312" w:hAnsi="仿宋_GB2312" w:eastAsia="仿宋_GB2312"/>
          <w:sz w:val="21"/>
          <w:szCs w:val="21"/>
        </w:rPr>
      </w:pPr>
      <w:r>
        <w:rPr>
          <w:rFonts w:ascii="仿宋_GB2312" w:hAnsi="仿宋_GB2312" w:eastAsia="仿宋_GB2312"/>
          <w:sz w:val="21"/>
          <w:szCs w:val="21"/>
        </w:rPr>
        <w:t>液面调整：</w:t>
      </w:r>
      <w:r>
        <w:rPr>
          <w:rFonts w:hint="eastAsia" w:ascii="仿宋_GB2312" w:hAnsi="仿宋_GB2312" w:eastAsia="仿宋_GB2312"/>
          <w:sz w:val="21"/>
          <w:szCs w:val="21"/>
        </w:rPr>
        <w:t>具备动静脉</w:t>
      </w:r>
      <w:r>
        <w:rPr>
          <w:rFonts w:ascii="仿宋_GB2312" w:hAnsi="仿宋_GB2312" w:eastAsia="仿宋_GB2312"/>
          <w:sz w:val="21"/>
          <w:szCs w:val="21"/>
        </w:rPr>
        <w:t>壶液面电动调整功能，操作更加简便。</w:t>
      </w:r>
    </w:p>
    <w:p w14:paraId="39E1EE99">
      <w:pPr>
        <w:pStyle w:val="27"/>
        <w:numPr>
          <w:ilvl w:val="0"/>
          <w:numId w:val="6"/>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w:t>
      </w:r>
      <w:r>
        <w:rPr>
          <w:rFonts w:ascii="仿宋_GB2312" w:hAnsi="仿宋_GB2312" w:eastAsia="仿宋_GB2312"/>
          <w:sz w:val="21"/>
          <w:szCs w:val="21"/>
        </w:rPr>
        <w:t>标配网络接口。</w:t>
      </w:r>
      <w:r>
        <w:rPr>
          <w:rFonts w:hint="eastAsia" w:ascii="仿宋_GB2312" w:hAnsi="仿宋_GB2312" w:eastAsia="仿宋_GB2312"/>
          <w:sz w:val="21"/>
          <w:szCs w:val="21"/>
        </w:rPr>
        <w:t>配置血透管理软件接口转换盒子和通讯板。</w:t>
      </w:r>
    </w:p>
    <w:p w14:paraId="351A378E">
      <w:pPr>
        <w:pStyle w:val="27"/>
        <w:numPr>
          <w:ilvl w:val="0"/>
          <w:numId w:val="6"/>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*标配在线血压计组件，支持多种测量模式。</w:t>
      </w:r>
    </w:p>
    <w:p w14:paraId="28030D25">
      <w:pPr>
        <w:pStyle w:val="27"/>
        <w:numPr>
          <w:ilvl w:val="0"/>
          <w:numId w:val="6"/>
        </w:numPr>
        <w:spacing w:line="520" w:lineRule="exact"/>
        <w:ind w:firstLineChars="0"/>
        <w:rPr>
          <w:rFonts w:ascii="仿宋_GB2312" w:hAnsi="仿宋_GB2312" w:eastAsia="仿宋_GB2312"/>
          <w:sz w:val="21"/>
          <w:szCs w:val="21"/>
        </w:rPr>
      </w:pPr>
      <w:r>
        <w:rPr>
          <w:rFonts w:hint="eastAsia" w:ascii="仿宋_GB2312" w:hAnsi="仿宋_GB2312" w:eastAsia="仿宋_GB2312"/>
          <w:sz w:val="21"/>
          <w:szCs w:val="21"/>
        </w:rPr>
        <w:t>*标配血容计组件和在线清除率监测组件，支持无创、实时监测。</w:t>
      </w:r>
    </w:p>
    <w:p w14:paraId="418BDDFA">
      <w:pPr>
        <w:spacing w:line="520" w:lineRule="exact"/>
        <w:rPr>
          <w:rFonts w:ascii="仿宋_GB2312" w:hAnsi="仿宋_GB2312" w:eastAsia="仿宋_GB2312"/>
          <w:sz w:val="21"/>
          <w:szCs w:val="21"/>
        </w:rPr>
      </w:pPr>
      <w:r>
        <w:rPr>
          <w:rFonts w:hint="eastAsia" w:ascii="仿宋_GB2312" w:hAnsi="仿宋_GB2312" w:eastAsia="仿宋_GB2312"/>
          <w:sz w:val="21"/>
          <w:szCs w:val="21"/>
        </w:rPr>
        <w:t>29.*免费为招标方现已有9台血透机维保三年。</w:t>
      </w:r>
    </w:p>
    <w:p w14:paraId="63D756E6">
      <w:p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项目其他要求：</w:t>
      </w:r>
    </w:p>
    <w:p w14:paraId="1FEBE843">
      <w:pPr>
        <w:numPr>
          <w:ilvl w:val="0"/>
          <w:numId w:val="7"/>
        </w:num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本项目采购设备安装后即能够正常使用，附件配置齐全。设备生产日期与实际供货日期在6个月以内。</w:t>
      </w:r>
    </w:p>
    <w:p w14:paraId="1D0576EF">
      <w:pPr>
        <w:numPr>
          <w:ilvl w:val="0"/>
          <w:numId w:val="7"/>
        </w:num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此项目总金额包含所有运费、装卸费、安装费、税费等。</w:t>
      </w:r>
    </w:p>
    <w:p w14:paraId="6AD22349">
      <w:pPr>
        <w:numPr>
          <w:ilvl w:val="0"/>
          <w:numId w:val="7"/>
        </w:numPr>
        <w:spacing w:line="5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每套设备（含附件）提供3年免费保修。</w:t>
      </w:r>
    </w:p>
    <w:p w14:paraId="6EC1CCDD">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218F9402">
      <w:pPr>
        <w:spacing w:line="360" w:lineRule="auto"/>
        <w:jc w:val="center"/>
        <w:rPr>
          <w:rFonts w:ascii="仿宋_GB2312" w:eastAsia="仿宋_GB2312" w:hAnsiTheme="minorEastAsia"/>
          <w:b/>
          <w:sz w:val="32"/>
          <w:szCs w:val="32"/>
        </w:rPr>
      </w:pPr>
      <w:bookmarkStart w:id="3" w:name="_Hlk74736788"/>
      <w:r>
        <w:rPr>
          <w:rFonts w:hint="eastAsia" w:ascii="仿宋_GB2312" w:eastAsia="仿宋_GB2312" w:hAnsiTheme="minorEastAsia"/>
          <w:b/>
          <w:sz w:val="32"/>
          <w:szCs w:val="32"/>
        </w:rPr>
        <w:t>全自动血液分析流水线参数</w:t>
      </w:r>
    </w:p>
    <w:p w14:paraId="45C7C7E2">
      <w:pPr>
        <w:numPr>
          <w:ilvl w:val="0"/>
          <w:numId w:val="8"/>
        </w:numPr>
        <w:spacing w:line="360" w:lineRule="auto"/>
        <w:rPr>
          <w:rFonts w:ascii="仿宋_GB2312" w:eastAsia="仿宋_GB2312" w:hAnsiTheme="minorEastAsia"/>
          <w:b/>
          <w:szCs w:val="21"/>
        </w:rPr>
      </w:pPr>
      <w:r>
        <w:rPr>
          <w:rFonts w:hint="eastAsia" w:ascii="仿宋_GB2312" w:eastAsia="仿宋_GB2312" w:hAnsiTheme="minorEastAsia"/>
          <w:b/>
          <w:szCs w:val="21"/>
        </w:rPr>
        <w:t>全自动血液分析流水线基本功能及要求</w:t>
      </w:r>
    </w:p>
    <w:p w14:paraId="2CF68EE4">
      <w:pPr>
        <w:pStyle w:val="27"/>
        <w:numPr>
          <w:ilvl w:val="1"/>
          <w:numId w:val="9"/>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全自动血液分析流水线由多台全自动五分类血液细胞分析仪、特定蛋白分析仪、推片染色机、全自动细胞形态学分析仪（阅片机）等通过轨道连接组成。</w:t>
      </w:r>
    </w:p>
    <w:p w14:paraId="38031A82">
      <w:pPr>
        <w:pStyle w:val="27"/>
        <w:numPr>
          <w:ilvl w:val="1"/>
          <w:numId w:val="9"/>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具有血常规五分类、有核红细胞、网织红细胞、CRP、SAA检测功能。全血细胞计数+五分类≥400个样本/小时，全血细胞计数+五分类+CRP检测速度≥200个样本/小时，自动推片染色速度≥120个样本/小时，自动阅片速度≥60个样本/小时，糖化血红蛋白检测速度≥50测试/小时。</w:t>
      </w:r>
    </w:p>
    <w:p w14:paraId="1DA93C39">
      <w:pPr>
        <w:pStyle w:val="27"/>
        <w:numPr>
          <w:ilvl w:val="1"/>
          <w:numId w:val="9"/>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可拓展糖化检测模块，支持检测糖化血红蛋白项目。</w:t>
      </w:r>
    </w:p>
    <w:p w14:paraId="2AC312DC">
      <w:pPr>
        <w:pStyle w:val="27"/>
        <w:numPr>
          <w:ilvl w:val="1"/>
          <w:numId w:val="9"/>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可拓展特定蛋白检测模块，支持检测CRP、SAA等项目。</w:t>
      </w:r>
    </w:p>
    <w:p w14:paraId="709F8FBC">
      <w:pPr>
        <w:pStyle w:val="27"/>
        <w:spacing w:line="360" w:lineRule="auto"/>
        <w:ind w:firstLine="0" w:firstLineChars="0"/>
        <w:rPr>
          <w:rFonts w:ascii="仿宋_GB2312" w:eastAsia="仿宋_GB2312" w:hAnsiTheme="minorEastAsia"/>
          <w:szCs w:val="21"/>
        </w:rPr>
      </w:pPr>
      <w:r>
        <w:rPr>
          <w:rFonts w:hint="eastAsia" w:ascii="仿宋_GB2312" w:eastAsia="仿宋_GB2312" w:hAnsiTheme="minorEastAsia"/>
          <w:szCs w:val="21"/>
        </w:rPr>
        <w:t>1.5提供有溯源性的校准物，包括五分类校准物和网织红细胞校准物。</w:t>
      </w:r>
    </w:p>
    <w:p w14:paraId="46D3B7B3">
      <w:pPr>
        <w:pStyle w:val="27"/>
        <w:spacing w:line="360" w:lineRule="auto"/>
        <w:ind w:firstLine="0" w:firstLineChars="0"/>
        <w:rPr>
          <w:rFonts w:hint="eastAsia" w:ascii="仿宋_GB2312" w:eastAsia="仿宋_GB2312" w:hAnsiTheme="minorEastAsia"/>
          <w:szCs w:val="21"/>
        </w:rPr>
      </w:pPr>
      <w:r>
        <w:rPr>
          <w:rFonts w:hint="eastAsia" w:ascii="仿宋_GB2312" w:eastAsia="仿宋_GB2312" w:hAnsiTheme="minorEastAsia"/>
          <w:szCs w:val="21"/>
        </w:rPr>
        <w:t>1.6提供配套血液质控物和体液质控物。</w:t>
      </w:r>
    </w:p>
    <w:p w14:paraId="3018D585">
      <w:pPr>
        <w:numPr>
          <w:ilvl w:val="0"/>
          <w:numId w:val="8"/>
        </w:numPr>
        <w:spacing w:line="360" w:lineRule="auto"/>
        <w:rPr>
          <w:rFonts w:ascii="仿宋_GB2312" w:eastAsia="仿宋_GB2312" w:hAnsiTheme="minorEastAsia"/>
          <w:b/>
          <w:szCs w:val="21"/>
        </w:rPr>
      </w:pPr>
      <w:r>
        <w:rPr>
          <w:rFonts w:hint="eastAsia" w:ascii="仿宋_GB2312" w:eastAsia="仿宋_GB2312" w:hAnsiTheme="minorEastAsia"/>
          <w:b/>
          <w:szCs w:val="21"/>
        </w:rPr>
        <w:t>各功能模块基本功能及要求</w:t>
      </w:r>
    </w:p>
    <w:p w14:paraId="4A6A469A">
      <w:pPr>
        <w:pStyle w:val="27"/>
        <w:numPr>
          <w:ilvl w:val="1"/>
          <w:numId w:val="10"/>
        </w:numPr>
        <w:spacing w:line="360" w:lineRule="auto"/>
        <w:ind w:firstLineChars="0"/>
        <w:rPr>
          <w:rFonts w:ascii="仿宋_GB2312" w:eastAsia="仿宋_GB2312" w:hAnsiTheme="minorEastAsia"/>
          <w:b/>
          <w:szCs w:val="21"/>
        </w:rPr>
      </w:pPr>
      <w:r>
        <w:rPr>
          <w:rFonts w:hint="eastAsia" w:ascii="仿宋_GB2312" w:eastAsia="仿宋_GB2312" w:hAnsiTheme="minorEastAsia"/>
          <w:b/>
          <w:szCs w:val="21"/>
        </w:rPr>
        <w:t>五分类血液细胞分析仪(单机配置2台)</w:t>
      </w:r>
    </w:p>
    <w:p w14:paraId="527184F5">
      <w:pPr>
        <w:pStyle w:val="27"/>
        <w:numPr>
          <w:ilvl w:val="0"/>
          <w:numId w:val="11"/>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检测方法及原理：血液分析采用半导体激光法、鞘流电阻抗法、荧光染色法和流式细胞技术原理</w:t>
      </w:r>
      <w:bookmarkEnd w:id="3"/>
      <w:r>
        <w:rPr>
          <w:rFonts w:hint="eastAsia" w:ascii="仿宋_GB2312" w:eastAsia="仿宋_GB2312" w:hAnsiTheme="minorEastAsia"/>
          <w:szCs w:val="21"/>
        </w:rPr>
        <w:t>。</w:t>
      </w:r>
    </w:p>
    <w:p w14:paraId="16F68B6A">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 xml:space="preserve"> </w:t>
      </w:r>
      <w:r>
        <w:rPr>
          <w:rFonts w:hint="eastAsia" w:ascii="仿宋_GB2312" w:eastAsia="仿宋_GB2312" w:cs="宋体" w:hAnsiTheme="minorEastAsia"/>
          <w:szCs w:val="21"/>
        </w:rPr>
        <w:t>*</w:t>
      </w:r>
      <w:r>
        <w:rPr>
          <w:rFonts w:hint="eastAsia" w:ascii="仿宋_GB2312" w:eastAsia="仿宋_GB2312" w:hAnsiTheme="minorEastAsia"/>
          <w:szCs w:val="21"/>
        </w:rPr>
        <w:t>报告参数：血液分析报告参数≥37个，三维散点图≥3个</w:t>
      </w:r>
    </w:p>
    <w:p w14:paraId="4819B528">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 xml:space="preserve"> </w:t>
      </w:r>
      <w:r>
        <w:rPr>
          <w:rFonts w:hint="eastAsia" w:ascii="仿宋_GB2312" w:eastAsia="仿宋_GB2312" w:cs="宋体" w:hAnsiTheme="minorEastAsia"/>
          <w:szCs w:val="21"/>
        </w:rPr>
        <w:t>*</w:t>
      </w:r>
      <w:r>
        <w:rPr>
          <w:rFonts w:hint="eastAsia" w:ascii="仿宋_GB2312" w:eastAsia="仿宋_GB2312" w:hAnsiTheme="minorEastAsia"/>
          <w:szCs w:val="21"/>
        </w:rPr>
        <w:t>单机检测速度：CBC＋DIFF≥150个样本/小时</w:t>
      </w:r>
    </w:p>
    <w:p w14:paraId="502A7E9E">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进样方式及用血量：静脉血和末梢全血均可自动批量进样或手动进样；末梢血检测CD+CRP用血量≤30μl。</w:t>
      </w:r>
    </w:p>
    <w:p w14:paraId="14F9BED6">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标配自动进样器，自动进样器内轨标配回退功能；有封闭进样急诊位，支持静脉血和末梢预稀释血急诊进样。</w:t>
      </w:r>
    </w:p>
    <w:p w14:paraId="10114215">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末梢血预稀释模式也能进行白细胞五分类、有核红细胞、网织红细胞和CRP、SAA检测，有急诊插入功能。</w:t>
      </w:r>
    </w:p>
    <w:p w14:paraId="5B9A0165">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 xml:space="preserve"> 具有全自动体液（含胸水、腹水、脑脊液和浆膜液等体液）细胞计数和对体液中的白细胞进行分类的功能；具有通过高荧光体液细胞参数对肿瘤细胞进行提示功能。</w:t>
      </w:r>
    </w:p>
    <w:p w14:paraId="1A46A562">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 xml:space="preserve"> 使用荧光染料和半导体激光检测WBC五分类，并具有有核红细胞检测功能，能自动进行对白细胞计数的校正。</w:t>
      </w:r>
    </w:p>
    <w:p w14:paraId="3F9F9763">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具有全自动网织红细胞检测功能，可对网织红进行分型，提供网织红成熟度指数，网织红细胞检测无需机外染色处理。</w:t>
      </w:r>
    </w:p>
    <w:p w14:paraId="79BE8B90">
      <w:pPr>
        <w:numPr>
          <w:ilvl w:val="0"/>
          <w:numId w:val="11"/>
        </w:numPr>
        <w:spacing w:line="360" w:lineRule="auto"/>
        <w:jc w:val="left"/>
        <w:rPr>
          <w:rFonts w:ascii="仿宋_GB2312" w:eastAsia="仿宋_GB2312" w:hAnsiTheme="minorEastAsia"/>
          <w:szCs w:val="21"/>
        </w:rPr>
      </w:pPr>
      <w:r>
        <w:rPr>
          <w:rFonts w:hint="eastAsia" w:ascii="仿宋_GB2312" w:eastAsia="仿宋_GB2312" w:hAnsiTheme="minorEastAsia"/>
          <w:szCs w:val="21"/>
        </w:rPr>
        <w:t>具有检测网织红细胞血红蛋白含量的功能，以帮助判断贫血的类型。</w:t>
      </w:r>
    </w:p>
    <w:p w14:paraId="576FDE14">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血小板检测采用鞘流阻抗法和荧光染色法两种方法，并可转换。</w:t>
      </w:r>
    </w:p>
    <w:p w14:paraId="2428FEF3">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具有低值血小板检测功能，如遇血小板低值时通过自动增加计数颗粒数量来保证血小板检测精度。</w:t>
      </w:r>
    </w:p>
    <w:p w14:paraId="086BCF29">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血液分析仪主机自带大屏幕彩色液晶触摸屏。</w:t>
      </w:r>
    </w:p>
    <w:p w14:paraId="0585CC33">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血液分析线性范围（静脉血）：白细胞：（0-500）</w:t>
      </w:r>
      <w:r>
        <w:rPr>
          <w:rFonts w:hint="eastAsia" w:ascii="仿宋_GB2312" w:eastAsia="仿宋_GB2312" w:hAnsiTheme="minorEastAsia"/>
          <w:szCs w:val="21"/>
        </w:rPr>
        <w:sym w:font="Symbol" w:char="F0B4"/>
      </w:r>
      <w:r>
        <w:rPr>
          <w:rFonts w:hint="eastAsia" w:ascii="仿宋_GB2312" w:eastAsia="仿宋_GB2312" w:hAnsiTheme="minorEastAsia"/>
          <w:szCs w:val="21"/>
        </w:rPr>
        <w:t xml:space="preserve"> 10</w:t>
      </w:r>
      <w:r>
        <w:rPr>
          <w:rFonts w:hint="eastAsia" w:ascii="仿宋_GB2312" w:eastAsia="仿宋_GB2312" w:hAnsiTheme="minorEastAsia"/>
          <w:szCs w:val="21"/>
          <w:vertAlign w:val="superscript"/>
        </w:rPr>
        <w:t>9</w:t>
      </w:r>
      <w:r>
        <w:rPr>
          <w:rFonts w:hint="eastAsia" w:ascii="仿宋_GB2312" w:eastAsia="仿宋_GB2312" w:hAnsiTheme="minorEastAsia"/>
          <w:szCs w:val="21"/>
        </w:rPr>
        <w:t>/L，红细胞：（0-8.6）</w:t>
      </w:r>
      <w:r>
        <w:rPr>
          <w:rFonts w:hint="eastAsia" w:ascii="仿宋_GB2312" w:eastAsia="仿宋_GB2312" w:hAnsiTheme="minorEastAsia"/>
          <w:szCs w:val="21"/>
        </w:rPr>
        <w:sym w:font="Symbol" w:char="F0B4"/>
      </w:r>
      <w:r>
        <w:rPr>
          <w:rFonts w:hint="eastAsia" w:ascii="仿宋_GB2312" w:eastAsia="仿宋_GB2312" w:hAnsiTheme="minorEastAsia"/>
          <w:szCs w:val="21"/>
        </w:rPr>
        <w:t xml:space="preserve"> 10</w:t>
      </w:r>
      <w:r>
        <w:rPr>
          <w:rFonts w:hint="eastAsia" w:ascii="仿宋_GB2312" w:eastAsia="仿宋_GB2312" w:hAnsiTheme="minorEastAsia"/>
          <w:szCs w:val="21"/>
          <w:vertAlign w:val="superscript"/>
        </w:rPr>
        <w:t>12</w:t>
      </w:r>
      <w:r>
        <w:rPr>
          <w:rFonts w:hint="eastAsia" w:ascii="仿宋_GB2312" w:eastAsia="仿宋_GB2312" w:hAnsiTheme="minorEastAsia"/>
          <w:szCs w:val="21"/>
        </w:rPr>
        <w:t>/L，血小板：（0-5000）</w:t>
      </w:r>
      <w:r>
        <w:rPr>
          <w:rFonts w:hint="eastAsia" w:ascii="仿宋_GB2312" w:eastAsia="仿宋_GB2312" w:hAnsiTheme="minorEastAsia"/>
          <w:szCs w:val="21"/>
        </w:rPr>
        <w:sym w:font="Symbol" w:char="F0B4"/>
      </w:r>
      <w:r>
        <w:rPr>
          <w:rFonts w:hint="eastAsia" w:ascii="仿宋_GB2312" w:eastAsia="仿宋_GB2312" w:hAnsiTheme="minorEastAsia"/>
          <w:szCs w:val="21"/>
        </w:rPr>
        <w:t xml:space="preserve"> 10</w:t>
      </w:r>
      <w:r>
        <w:rPr>
          <w:rFonts w:hint="eastAsia" w:ascii="仿宋_GB2312" w:eastAsia="仿宋_GB2312" w:hAnsiTheme="minorEastAsia"/>
          <w:szCs w:val="21"/>
          <w:vertAlign w:val="superscript"/>
        </w:rPr>
        <w:t>9</w:t>
      </w:r>
      <w:r>
        <w:rPr>
          <w:rFonts w:hint="eastAsia" w:ascii="仿宋_GB2312" w:eastAsia="仿宋_GB2312" w:hAnsiTheme="minorEastAsia"/>
          <w:szCs w:val="21"/>
        </w:rPr>
        <w:t>/L。</w:t>
      </w:r>
    </w:p>
    <w:p w14:paraId="1228BC79">
      <w:pPr>
        <w:numPr>
          <w:ilvl w:val="0"/>
          <w:numId w:val="11"/>
        </w:numPr>
        <w:spacing w:line="360" w:lineRule="auto"/>
        <w:rPr>
          <w:rFonts w:ascii="仿宋_GB2312" w:eastAsia="仿宋_GB2312" w:hAnsiTheme="minorEastAsia"/>
          <w:szCs w:val="21"/>
        </w:rPr>
      </w:pPr>
      <w:r>
        <w:rPr>
          <w:rFonts w:hint="eastAsia" w:ascii="仿宋_GB2312" w:eastAsia="仿宋_GB2312" w:hAnsiTheme="minorEastAsia"/>
          <w:szCs w:val="21"/>
        </w:rPr>
        <w:t xml:space="preserve">血液模式空白计数要求：白细胞≤0.1 </w:t>
      </w:r>
      <w:r>
        <w:rPr>
          <w:rFonts w:hint="eastAsia" w:ascii="仿宋_GB2312" w:eastAsia="仿宋_GB2312" w:hAnsiTheme="minorEastAsia"/>
          <w:szCs w:val="21"/>
        </w:rPr>
        <w:sym w:font="Symbol" w:char="F0B4"/>
      </w:r>
      <w:r>
        <w:rPr>
          <w:rFonts w:hint="eastAsia" w:ascii="仿宋_GB2312" w:eastAsia="仿宋_GB2312" w:hAnsiTheme="minorEastAsia"/>
          <w:szCs w:val="21"/>
        </w:rPr>
        <w:t xml:space="preserve"> 10</w:t>
      </w:r>
      <w:r>
        <w:rPr>
          <w:rFonts w:hint="eastAsia" w:ascii="仿宋_GB2312" w:eastAsia="仿宋_GB2312" w:hAnsiTheme="minorEastAsia"/>
          <w:szCs w:val="21"/>
          <w:vertAlign w:val="superscript"/>
        </w:rPr>
        <w:t>9</w:t>
      </w:r>
      <w:r>
        <w:rPr>
          <w:rFonts w:hint="eastAsia" w:ascii="仿宋_GB2312" w:eastAsia="仿宋_GB2312" w:hAnsiTheme="minorEastAsia"/>
          <w:szCs w:val="21"/>
        </w:rPr>
        <w:t xml:space="preserve">/L，红细胞≤0.02 </w:t>
      </w:r>
      <w:r>
        <w:rPr>
          <w:rFonts w:hint="eastAsia" w:ascii="仿宋_GB2312" w:eastAsia="仿宋_GB2312" w:hAnsiTheme="minorEastAsia"/>
          <w:szCs w:val="21"/>
        </w:rPr>
        <w:sym w:font="Symbol" w:char="F0B4"/>
      </w:r>
      <w:r>
        <w:rPr>
          <w:rFonts w:hint="eastAsia" w:ascii="仿宋_GB2312" w:eastAsia="仿宋_GB2312" w:hAnsiTheme="minorEastAsia"/>
          <w:szCs w:val="21"/>
        </w:rPr>
        <w:t xml:space="preserve"> 10</w:t>
      </w:r>
      <w:r>
        <w:rPr>
          <w:rFonts w:hint="eastAsia" w:ascii="仿宋_GB2312" w:eastAsia="仿宋_GB2312" w:hAnsiTheme="minorEastAsia"/>
          <w:szCs w:val="21"/>
          <w:vertAlign w:val="superscript"/>
        </w:rPr>
        <w:t>12</w:t>
      </w:r>
      <w:r>
        <w:rPr>
          <w:rFonts w:hint="eastAsia" w:ascii="仿宋_GB2312" w:eastAsia="仿宋_GB2312" w:hAnsiTheme="minorEastAsia"/>
          <w:szCs w:val="21"/>
        </w:rPr>
        <w:t xml:space="preserve">/L，血红蛋白≤1g/L，阻抗法血小板≤5 </w:t>
      </w:r>
      <w:r>
        <w:rPr>
          <w:rFonts w:hint="eastAsia" w:ascii="仿宋_GB2312" w:eastAsia="仿宋_GB2312" w:hAnsiTheme="minorEastAsia"/>
          <w:szCs w:val="21"/>
        </w:rPr>
        <w:sym w:font="Symbol" w:char="F0B4"/>
      </w:r>
      <w:r>
        <w:rPr>
          <w:rFonts w:hint="eastAsia" w:ascii="仿宋_GB2312" w:eastAsia="仿宋_GB2312" w:hAnsiTheme="minorEastAsia"/>
          <w:szCs w:val="21"/>
        </w:rPr>
        <w:t xml:space="preserve"> 10</w:t>
      </w:r>
      <w:r>
        <w:rPr>
          <w:rFonts w:hint="eastAsia" w:ascii="仿宋_GB2312" w:eastAsia="仿宋_GB2312" w:hAnsiTheme="minorEastAsia"/>
          <w:szCs w:val="21"/>
          <w:vertAlign w:val="superscript"/>
        </w:rPr>
        <w:t>9</w:t>
      </w:r>
      <w:r>
        <w:rPr>
          <w:rFonts w:hint="eastAsia" w:ascii="仿宋_GB2312" w:eastAsia="仿宋_GB2312" w:hAnsiTheme="minorEastAsia"/>
          <w:szCs w:val="21"/>
        </w:rPr>
        <w:t>/L。</w:t>
      </w:r>
    </w:p>
    <w:p w14:paraId="5DE79435">
      <w:pPr>
        <w:pStyle w:val="27"/>
        <w:numPr>
          <w:ilvl w:val="1"/>
          <w:numId w:val="10"/>
        </w:numPr>
        <w:spacing w:line="360" w:lineRule="auto"/>
        <w:ind w:firstLineChars="0"/>
        <w:rPr>
          <w:rFonts w:ascii="仿宋_GB2312" w:eastAsia="仿宋_GB2312" w:hAnsiTheme="minorEastAsia"/>
          <w:b/>
          <w:szCs w:val="21"/>
        </w:rPr>
      </w:pPr>
      <w:r>
        <w:rPr>
          <w:rFonts w:hint="eastAsia" w:ascii="仿宋_GB2312" w:eastAsia="仿宋_GB2312" w:hAnsiTheme="minorEastAsia"/>
          <w:b/>
          <w:szCs w:val="21"/>
        </w:rPr>
        <w:t>推片染色机（1台）</w:t>
      </w:r>
    </w:p>
    <w:p w14:paraId="394E4224">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cs="宋体" w:hAnsiTheme="minorEastAsia"/>
          <w:szCs w:val="21"/>
        </w:rPr>
        <w:t>*</w:t>
      </w:r>
      <w:r>
        <w:rPr>
          <w:rFonts w:hint="eastAsia" w:ascii="仿宋_GB2312" w:eastAsia="仿宋_GB2312" w:hAnsiTheme="minorEastAsia"/>
          <w:szCs w:val="21"/>
        </w:rPr>
        <w:t>可独立工作，也可以与本实验室使用血球产品组成血液分析流水线。</w:t>
      </w:r>
    </w:p>
    <w:p w14:paraId="343BE976">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工作速度：≥120张玻片/小时。</w:t>
      </w:r>
    </w:p>
    <w:p w14:paraId="09A0FBC1">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用血量：全自动进样≤200μl，闭盖进样≤200μl，微量血进样≤40μl（提供证明文件）。</w:t>
      </w:r>
    </w:p>
    <w:p w14:paraId="1B29816A">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染色玻片储存：专用玻片篮，每篮可放置10张玻片，可循环使用。</w:t>
      </w:r>
    </w:p>
    <w:p w14:paraId="50192E70">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仪器可自动检测血液粘稠度，根据粘稠度的不同对滴血量、推片的速度/角度、推刀在血滴上停留的时间等进行控制。</w:t>
      </w:r>
    </w:p>
    <w:p w14:paraId="0C74A62B">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染色盒清洗维护：全自动维护程序，无需从机内取出手工清洗。</w:t>
      </w:r>
    </w:p>
    <w:p w14:paraId="065BE55F">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推片刀：无需更换，终身免维护。</w:t>
      </w:r>
    </w:p>
    <w:p w14:paraId="14C3056E">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玻片识别：可直接在玻片上打印数字、条码和二维码。</w:t>
      </w:r>
    </w:p>
    <w:p w14:paraId="649B441A">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染液全开放，染色时间可调。</w:t>
      </w:r>
    </w:p>
    <w:p w14:paraId="02D14A88">
      <w:pPr>
        <w:pStyle w:val="27"/>
        <w:numPr>
          <w:ilvl w:val="1"/>
          <w:numId w:val="10"/>
        </w:numPr>
        <w:spacing w:line="360" w:lineRule="auto"/>
        <w:ind w:firstLineChars="0"/>
        <w:rPr>
          <w:rFonts w:ascii="仿宋_GB2312" w:eastAsia="仿宋_GB2312" w:hAnsiTheme="minorEastAsia"/>
          <w:b/>
          <w:szCs w:val="21"/>
        </w:rPr>
      </w:pPr>
      <w:r>
        <w:rPr>
          <w:rFonts w:hint="eastAsia" w:ascii="仿宋_GB2312" w:eastAsia="仿宋_GB2312" w:hAnsiTheme="minorEastAsia"/>
          <w:b/>
          <w:szCs w:val="21"/>
        </w:rPr>
        <w:t>全自动细胞形态学分析仪（单机1台）</w:t>
      </w:r>
    </w:p>
    <w:p w14:paraId="38D78D64">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适用范围：用于对外周血涂片血细胞的形态图像摄取、可视化观察及描述，包括白细胞单细胞图像摄取、初步分类，红细胞形态描述及血小板数目估算。</w:t>
      </w:r>
    </w:p>
    <w:p w14:paraId="51418B93">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全自动处理：从进样、扫描、定位、加油、各放大倍数间切换、拍摄、初步分类实现完全自动化。</w:t>
      </w:r>
    </w:p>
    <w:p w14:paraId="14E48E70">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处理能力：外周血涂片（100WBC+RBC+PLT）不少于60张/小时。</w:t>
      </w:r>
    </w:p>
    <w:p w14:paraId="6FA87A52">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白细胞预分类参数不少于12类；非白细胞预分类参数不少于5类；红细胞形态定性类型不少于6类。</w:t>
      </w:r>
    </w:p>
    <w:p w14:paraId="6E08D983">
      <w:pPr>
        <w:pStyle w:val="27"/>
        <w:numPr>
          <w:ilvl w:val="1"/>
          <w:numId w:val="10"/>
        </w:numPr>
        <w:spacing w:line="360" w:lineRule="auto"/>
        <w:ind w:firstLineChars="0"/>
        <w:rPr>
          <w:rFonts w:ascii="仿宋_GB2312" w:eastAsia="仿宋_GB2312" w:hAnsiTheme="minorEastAsia"/>
          <w:b/>
          <w:szCs w:val="21"/>
        </w:rPr>
      </w:pPr>
      <w:r>
        <w:rPr>
          <w:rFonts w:hint="eastAsia" w:ascii="仿宋_GB2312" w:eastAsia="仿宋_GB2312" w:hAnsiTheme="minorEastAsia"/>
          <w:b/>
          <w:szCs w:val="21"/>
        </w:rPr>
        <w:t>特定蛋白模块基本功能和要求（单机1台）</w:t>
      </w:r>
    </w:p>
    <w:p w14:paraId="42FA35ED">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检测功能：包括C-反应蛋白（CRP）、血清淀粉样蛋白A（SAA）等定量检测功能。</w:t>
      </w:r>
    </w:p>
    <w:p w14:paraId="2AD74D27">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CRP检测原理：采用免疫比浊法进行C-反应蛋白（CRP）测定。</w:t>
      </w:r>
    </w:p>
    <w:p w14:paraId="6A4394BA">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采血要求：CRP和SAA检测可使用EDTA抗凝采血管，节省患者采血量。</w:t>
      </w:r>
    </w:p>
    <w:p w14:paraId="3B390571">
      <w:pPr>
        <w:pStyle w:val="27"/>
        <w:numPr>
          <w:ilvl w:val="2"/>
          <w:numId w:val="10"/>
        </w:numPr>
        <w:spacing w:line="360" w:lineRule="auto"/>
        <w:ind w:firstLineChars="0"/>
        <w:rPr>
          <w:rFonts w:hint="eastAsia" w:ascii="仿宋_GB2312" w:eastAsia="仿宋_GB2312" w:hAnsiTheme="minorEastAsia"/>
          <w:szCs w:val="21"/>
        </w:rPr>
      </w:pPr>
      <w:r>
        <w:rPr>
          <w:rFonts w:hint="eastAsia" w:ascii="仿宋_GB2312" w:eastAsia="仿宋_GB2312" w:hAnsiTheme="minorEastAsia"/>
          <w:szCs w:val="21"/>
        </w:rPr>
        <w:t>单机检测速度：CRP检测速度≥120个样本/小时。</w:t>
      </w:r>
    </w:p>
    <w:p w14:paraId="028DE587">
      <w:pPr>
        <w:pStyle w:val="27"/>
        <w:numPr>
          <w:numId w:val="0"/>
        </w:numPr>
        <w:spacing w:line="360" w:lineRule="auto"/>
        <w:ind w:leftChars="0"/>
        <w:rPr>
          <w:rFonts w:ascii="仿宋_GB2312" w:eastAsia="仿宋_GB2312" w:hAnsiTheme="minorEastAsia"/>
          <w:szCs w:val="21"/>
        </w:rPr>
      </w:pPr>
      <w:r>
        <w:rPr>
          <w:rFonts w:hint="eastAsia" w:ascii="仿宋_GB2312" w:eastAsia="仿宋_GB2312" w:hAnsiTheme="minorEastAsia"/>
          <w:szCs w:val="21"/>
          <w:lang w:val="en-US" w:eastAsia="zh-CN"/>
        </w:rPr>
        <w:t xml:space="preserve">2.4.5  </w:t>
      </w:r>
      <w:bookmarkStart w:id="4" w:name="_GoBack"/>
      <w:bookmarkEnd w:id="4"/>
      <w:r>
        <w:rPr>
          <w:rFonts w:hint="eastAsia" w:ascii="仿宋_GB2312" w:eastAsia="仿宋_GB2312" w:hAnsiTheme="minorEastAsia"/>
          <w:szCs w:val="21"/>
        </w:rPr>
        <w:t>可拓展荧光免疫模块，支持检测PCT、IL-6等项目</w:t>
      </w:r>
    </w:p>
    <w:p w14:paraId="245E320F">
      <w:pPr>
        <w:pStyle w:val="27"/>
        <w:numPr>
          <w:ilvl w:val="1"/>
          <w:numId w:val="10"/>
        </w:numPr>
        <w:spacing w:line="360" w:lineRule="auto"/>
        <w:ind w:firstLineChars="0"/>
        <w:rPr>
          <w:rFonts w:ascii="仿宋_GB2312" w:eastAsia="仿宋_GB2312" w:hAnsiTheme="minorEastAsia"/>
          <w:b/>
          <w:szCs w:val="21"/>
        </w:rPr>
      </w:pPr>
      <w:r>
        <w:rPr>
          <w:rFonts w:hint="eastAsia" w:ascii="仿宋_GB2312" w:eastAsia="仿宋_GB2312" w:hAnsiTheme="minorEastAsia"/>
          <w:b/>
          <w:szCs w:val="21"/>
        </w:rPr>
        <w:t xml:space="preserve"> 全自动糖化血红蛋白分析仪（单机1台）</w:t>
      </w:r>
    </w:p>
    <w:p w14:paraId="6E370510">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分析原理高效液相色谱法。</w:t>
      </w:r>
    </w:p>
    <w:p w14:paraId="64433941">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单机速度≥50个样本/小时。</w:t>
      </w:r>
    </w:p>
    <w:p w14:paraId="67F1CC5B">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重复性：CV≤1%。</w:t>
      </w:r>
    </w:p>
    <w:p w14:paraId="658E1147">
      <w:pPr>
        <w:pStyle w:val="27"/>
        <w:numPr>
          <w:ilvl w:val="2"/>
          <w:numId w:val="10"/>
        </w:numPr>
        <w:spacing w:line="360" w:lineRule="auto"/>
        <w:ind w:firstLineChars="0"/>
        <w:rPr>
          <w:rFonts w:ascii="仿宋_GB2312" w:eastAsia="仿宋_GB2312" w:hAnsiTheme="minorEastAsia"/>
          <w:szCs w:val="21"/>
        </w:rPr>
      </w:pPr>
      <w:r>
        <w:rPr>
          <w:rFonts w:hint="eastAsia" w:ascii="仿宋_GB2312" w:eastAsia="仿宋_GB2312" w:hAnsiTheme="minorEastAsia"/>
          <w:szCs w:val="21"/>
        </w:rPr>
        <w:t>进样模式：自动全血、自动预稀释、封闭全血。</w:t>
      </w:r>
    </w:p>
    <w:p w14:paraId="7FC91A12">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680246E8">
      <w:pPr>
        <w:numPr>
          <w:ilvl w:val="0"/>
          <w:numId w:val="12"/>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21B374A5">
      <w:pPr>
        <w:numPr>
          <w:ilvl w:val="0"/>
          <w:numId w:val="12"/>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61B4B890">
      <w:pPr>
        <w:numPr>
          <w:ilvl w:val="0"/>
          <w:numId w:val="12"/>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512E9365">
      <w:pPr>
        <w:spacing w:line="360" w:lineRule="auto"/>
        <w:rPr>
          <w:rFonts w:hint="eastAsia" w:ascii="仿宋_GB2312" w:eastAsia="仿宋_GB2312" w:hAnsiTheme="minorEastAsia"/>
          <w:szCs w:val="21"/>
        </w:rPr>
      </w:pPr>
    </w:p>
    <w:p w14:paraId="012D80DD">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4E12B2DE">
      <w:pPr>
        <w:spacing w:line="460" w:lineRule="exact"/>
        <w:jc w:val="center"/>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全自动血栓弹力图</w:t>
      </w:r>
      <w:r>
        <w:rPr>
          <w:rFonts w:hint="eastAsia" w:ascii="Times New Roman" w:hAnsi="Times New Roman" w:eastAsia="微软雅黑" w:cs="Times New Roman"/>
          <w:b/>
          <w:sz w:val="24"/>
          <w:szCs w:val="24"/>
          <w:lang w:eastAsia="zh-CN"/>
        </w:rPr>
        <w:t>仪</w:t>
      </w:r>
      <w:r>
        <w:rPr>
          <w:rFonts w:hint="eastAsia" w:ascii="Times New Roman" w:hAnsi="Times New Roman" w:eastAsia="微软雅黑" w:cs="Times New Roman"/>
          <w:b/>
          <w:sz w:val="24"/>
          <w:szCs w:val="24"/>
        </w:rPr>
        <w:t>技术</w:t>
      </w:r>
      <w:r>
        <w:rPr>
          <w:rFonts w:ascii="Times New Roman" w:hAnsi="Times New Roman" w:eastAsia="微软雅黑" w:cs="Times New Roman"/>
          <w:b/>
          <w:sz w:val="24"/>
          <w:szCs w:val="24"/>
        </w:rPr>
        <w:t>参数</w:t>
      </w:r>
    </w:p>
    <w:p w14:paraId="5516B3B2">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检测原理：采用经典凝固法，结合光学法，实现精密测量。</w:t>
      </w:r>
    </w:p>
    <w:p w14:paraId="284E62C5">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整机构成：一体机</w:t>
      </w:r>
      <w:r>
        <w:rPr>
          <w:rFonts w:hint="eastAsia" w:ascii="仿宋_GB2312" w:hAnsi="仿宋_GB2312" w:eastAsia="仿宋_GB2312" w:cs="仿宋_GB2312"/>
          <w:szCs w:val="21"/>
        </w:rPr>
        <w:t>，</w:t>
      </w:r>
      <w:r>
        <w:rPr>
          <w:rFonts w:ascii="仿宋_GB2312" w:hAnsi="仿宋_GB2312" w:eastAsia="仿宋_GB2312" w:cs="仿宋_GB2312"/>
          <w:szCs w:val="21"/>
        </w:rPr>
        <w:t>无需另外配置电脑，支持反应杯装卸、样本和试剂加样、样本和试剂混匀、检测通道孵育、样本检测、结果计算、报告输出等过程全自动。</w:t>
      </w:r>
    </w:p>
    <w:p w14:paraId="72168C6B">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测定项目：机器可支持开展Kaolin、R-Kaolin、</w:t>
      </w:r>
      <w:r>
        <w:rPr>
          <w:rFonts w:hint="eastAsia" w:ascii="仿宋_GB2312" w:hAnsi="仿宋_GB2312" w:eastAsia="仿宋_GB2312" w:cs="仿宋_GB2312"/>
          <w:szCs w:val="21"/>
        </w:rPr>
        <w:t>A</w:t>
      </w:r>
      <w:r>
        <w:rPr>
          <w:rFonts w:ascii="仿宋_GB2312" w:hAnsi="仿宋_GB2312" w:eastAsia="仿宋_GB2312" w:cs="仿宋_GB2312"/>
          <w:szCs w:val="21"/>
        </w:rPr>
        <w:t>A、</w:t>
      </w:r>
      <w:r>
        <w:rPr>
          <w:rFonts w:hint="eastAsia" w:ascii="仿宋_GB2312" w:hAnsi="仿宋_GB2312" w:eastAsia="仿宋_GB2312" w:cs="仿宋_GB2312"/>
          <w:szCs w:val="21"/>
        </w:rPr>
        <w:t>A</w:t>
      </w:r>
      <w:r>
        <w:rPr>
          <w:rFonts w:ascii="仿宋_GB2312" w:hAnsi="仿宋_GB2312" w:eastAsia="仿宋_GB2312" w:cs="仿宋_GB2312"/>
          <w:szCs w:val="21"/>
        </w:rPr>
        <w:t>DP、AA+ADP</w:t>
      </w:r>
      <w:r>
        <w:rPr>
          <w:rFonts w:hint="eastAsia" w:ascii="仿宋_GB2312" w:hAnsi="仿宋_GB2312" w:eastAsia="仿宋_GB2312" w:cs="仿宋_GB2312"/>
          <w:szCs w:val="21"/>
        </w:rPr>
        <w:t>、H</w:t>
      </w:r>
      <w:r>
        <w:rPr>
          <w:rFonts w:ascii="仿宋_GB2312" w:hAnsi="仿宋_GB2312" w:eastAsia="仿宋_GB2312" w:cs="仿宋_GB2312"/>
          <w:szCs w:val="21"/>
        </w:rPr>
        <w:t>EP</w:t>
      </w:r>
      <w:r>
        <w:rPr>
          <w:rFonts w:hint="eastAsia" w:ascii="仿宋_GB2312" w:hAnsi="仿宋_GB2312" w:eastAsia="仿宋_GB2312" w:cs="仿宋_GB2312"/>
          <w:szCs w:val="21"/>
        </w:rPr>
        <w:t>、F</w:t>
      </w:r>
      <w:r>
        <w:rPr>
          <w:rFonts w:ascii="仿宋_GB2312" w:hAnsi="仿宋_GB2312" w:eastAsia="仿宋_GB2312" w:cs="仿宋_GB2312"/>
          <w:szCs w:val="21"/>
        </w:rPr>
        <w:t>IB等检测项目。</w:t>
      </w:r>
    </w:p>
    <w:p w14:paraId="388E887A">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通道数量：单台机器具有</w:t>
      </w:r>
      <w:r>
        <w:rPr>
          <w:rFonts w:hint="eastAsia" w:ascii="仿宋_GB2312" w:hAnsi="仿宋_GB2312" w:eastAsia="仿宋_GB2312" w:cs="仿宋_GB2312"/>
          <w:szCs w:val="21"/>
        </w:rPr>
        <w:t>≥12</w:t>
      </w:r>
      <w:r>
        <w:rPr>
          <w:rFonts w:ascii="仿宋_GB2312" w:hAnsi="仿宋_GB2312" w:eastAsia="仿宋_GB2312" w:cs="仿宋_GB2312"/>
          <w:szCs w:val="21"/>
        </w:rPr>
        <w:t>个相互独立的检测通道，可任意设置急诊位。</w:t>
      </w:r>
    </w:p>
    <w:p w14:paraId="1097C642">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ascii="仿宋_GB2312" w:hAnsi="仿宋_GB2312" w:eastAsia="仿宋_GB2312" w:cs="仿宋_GB2312"/>
          <w:szCs w:val="21"/>
        </w:rPr>
        <w:t>样本检测：检测通道间相互独立，样本检测过程中可随时增加待测样本，实现随到随测，无需等待。</w:t>
      </w:r>
    </w:p>
    <w:p w14:paraId="0BA38A2E">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ascii="仿宋_GB2312" w:hAnsi="仿宋_GB2312" w:eastAsia="仿宋_GB2312" w:cs="仿宋_GB2312"/>
          <w:szCs w:val="21"/>
        </w:rPr>
        <w:t>样本摇匀：机械臂模拟人手操作，支持样本上下颠倒混匀。</w:t>
      </w:r>
    </w:p>
    <w:p w14:paraId="79B39DD2">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试剂位：</w:t>
      </w:r>
      <w:r>
        <w:rPr>
          <w:rFonts w:hint="eastAsia" w:ascii="仿宋_GB2312" w:hAnsi="仿宋_GB2312" w:eastAsia="仿宋_GB2312" w:cs="仿宋_GB2312"/>
          <w:szCs w:val="21"/>
        </w:rPr>
        <w:t>≥</w:t>
      </w:r>
      <w:r>
        <w:rPr>
          <w:rFonts w:ascii="仿宋_GB2312" w:hAnsi="仿宋_GB2312" w:eastAsia="仿宋_GB2312" w:cs="仿宋_GB2312"/>
          <w:szCs w:val="21"/>
        </w:rPr>
        <w:t>10个试剂位</w:t>
      </w:r>
      <w:r>
        <w:rPr>
          <w:rFonts w:hint="eastAsia" w:ascii="仿宋_GB2312" w:hAnsi="仿宋_GB2312" w:eastAsia="仿宋_GB2312" w:cs="仿宋_GB2312"/>
          <w:szCs w:val="21"/>
        </w:rPr>
        <w:t>。试剂位具有定时旋转摇匀功能保证试剂在机性能</w:t>
      </w:r>
      <w:r>
        <w:rPr>
          <w:rFonts w:ascii="仿宋_GB2312" w:hAnsi="仿宋_GB2312" w:eastAsia="仿宋_GB2312" w:cs="仿宋_GB2312"/>
          <w:szCs w:val="21"/>
        </w:rPr>
        <w:t>，支持试剂条码扫描、试剂在位检测，</w:t>
      </w:r>
      <w:r>
        <w:rPr>
          <w:rFonts w:hint="eastAsia" w:ascii="仿宋_GB2312" w:hAnsi="仿宋_GB2312" w:eastAsia="仿宋_GB2312" w:cs="仿宋_GB2312"/>
          <w:szCs w:val="21"/>
        </w:rPr>
        <w:t>支持</w:t>
      </w:r>
      <w:r>
        <w:rPr>
          <w:rFonts w:ascii="仿宋_GB2312" w:hAnsi="仿宋_GB2312" w:eastAsia="仿宋_GB2312" w:cs="仿宋_GB2312"/>
          <w:szCs w:val="21"/>
        </w:rPr>
        <w:t>24小时在机冷藏。</w:t>
      </w:r>
    </w:p>
    <w:p w14:paraId="1DAF47EC">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*远程软件管理：提供单独软件部署，支持远程、实时查看血栓弹力图图形及参数变化，协助床旁快速诊断。</w:t>
      </w:r>
    </w:p>
    <w:p w14:paraId="33FD81A1">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反应杯：反应杯间相互独立，可根据检测需求使用反应杯，避免造成反应杯浪费，单次可装载</w:t>
      </w:r>
      <w:r>
        <w:rPr>
          <w:rFonts w:hint="eastAsia" w:ascii="仿宋_GB2312" w:hAnsi="仿宋_GB2312" w:eastAsia="仿宋_GB2312" w:cs="仿宋_GB2312"/>
          <w:szCs w:val="21"/>
        </w:rPr>
        <w:t>不少于</w:t>
      </w:r>
      <w:r>
        <w:rPr>
          <w:rFonts w:ascii="仿宋_GB2312" w:hAnsi="仿宋_GB2312" w:eastAsia="仿宋_GB2312" w:cs="仿宋_GB2312"/>
          <w:szCs w:val="21"/>
        </w:rPr>
        <w:t>60个反应杯，支持反应杯在不停机状态下随时添加。</w:t>
      </w:r>
    </w:p>
    <w:p w14:paraId="1C5510E3">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样本位：可一次性装载30个样本，并支持不停机，连续不间断进样。</w:t>
      </w:r>
    </w:p>
    <w:p w14:paraId="325A6E68">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*进样方式</w:t>
      </w:r>
      <w:r>
        <w:rPr>
          <w:rFonts w:ascii="仿宋_GB2312" w:hAnsi="仿宋_GB2312" w:eastAsia="仿宋_GB2312" w:cs="仿宋_GB2312"/>
          <w:szCs w:val="21"/>
        </w:rPr>
        <w:t>：原始采血管直接上机，闭盖穿刺进样，</w:t>
      </w:r>
      <w:r>
        <w:rPr>
          <w:rFonts w:hint="eastAsia" w:ascii="仿宋_GB2312" w:hAnsi="仿宋_GB2312" w:eastAsia="仿宋_GB2312" w:cs="仿宋_GB2312"/>
          <w:szCs w:val="21"/>
        </w:rPr>
        <w:t>无需</w:t>
      </w:r>
      <w:r>
        <w:rPr>
          <w:rFonts w:ascii="仿宋_GB2312" w:hAnsi="仿宋_GB2312" w:eastAsia="仿宋_GB2312" w:cs="仿宋_GB2312"/>
          <w:szCs w:val="21"/>
        </w:rPr>
        <w:t>脱帽处理，机器可自动识别不同类型、不同规格采血管。</w:t>
      </w:r>
    </w:p>
    <w:p w14:paraId="39F669C3">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通道间差异：</w:t>
      </w:r>
      <w:r>
        <w:rPr>
          <w:rFonts w:hint="eastAsia" w:ascii="仿宋_GB2312" w:hAnsi="仿宋_GB2312" w:eastAsia="仿宋_GB2312" w:cs="仿宋_GB2312"/>
          <w:szCs w:val="21"/>
        </w:rPr>
        <w:t>R、Angle、M</w:t>
      </w:r>
      <w:r>
        <w:rPr>
          <w:rFonts w:ascii="仿宋_GB2312" w:hAnsi="仿宋_GB2312" w:eastAsia="仿宋_GB2312" w:cs="仿宋_GB2312"/>
          <w:szCs w:val="21"/>
        </w:rPr>
        <w:t>A CV</w:t>
      </w:r>
      <w:r>
        <w:rPr>
          <w:rFonts w:hint="eastAsia" w:ascii="仿宋_GB2312" w:hAnsi="仿宋_GB2312" w:eastAsia="仿宋_GB2312" w:cs="仿宋_GB2312"/>
          <w:szCs w:val="21"/>
        </w:rPr>
        <w:t>≤5</w:t>
      </w:r>
      <w:r>
        <w:rPr>
          <w:rFonts w:ascii="仿宋_GB2312" w:hAnsi="仿宋_GB2312" w:eastAsia="仿宋_GB2312" w:cs="仿宋_GB2312"/>
          <w:szCs w:val="21"/>
        </w:rPr>
        <w:t>%。</w:t>
      </w:r>
    </w:p>
    <w:p w14:paraId="7D3A63C6">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测量重复性：</w:t>
      </w:r>
      <w:r>
        <w:rPr>
          <w:rFonts w:hint="eastAsia" w:ascii="仿宋_GB2312" w:hAnsi="仿宋_GB2312" w:eastAsia="仿宋_GB2312" w:cs="仿宋_GB2312"/>
          <w:szCs w:val="21"/>
        </w:rPr>
        <w:t>R、Angle、M</w:t>
      </w:r>
      <w:r>
        <w:rPr>
          <w:rFonts w:ascii="仿宋_GB2312" w:hAnsi="仿宋_GB2312" w:eastAsia="仿宋_GB2312" w:cs="仿宋_GB2312"/>
          <w:szCs w:val="21"/>
        </w:rPr>
        <w:t>A CV</w:t>
      </w:r>
      <w:r>
        <w:rPr>
          <w:rFonts w:hint="eastAsia" w:ascii="仿宋_GB2312" w:hAnsi="仿宋_GB2312" w:eastAsia="仿宋_GB2312" w:cs="仿宋_GB2312"/>
          <w:szCs w:val="21"/>
        </w:rPr>
        <w:t>≤5</w:t>
      </w:r>
      <w:r>
        <w:rPr>
          <w:rFonts w:ascii="仿宋_GB2312" w:hAnsi="仿宋_GB2312" w:eastAsia="仿宋_GB2312" w:cs="仿宋_GB2312"/>
          <w:szCs w:val="21"/>
        </w:rPr>
        <w:t>%。</w:t>
      </w:r>
    </w:p>
    <w:p w14:paraId="6290A1DD">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配套试剂：试剂均为多人份包装，有效期不小于24个月，可支持常温运输，有效降低试剂成本，减小储存空间；配套高岭土、快高、血小板图、肝素</w:t>
      </w:r>
      <w:r>
        <w:rPr>
          <w:rFonts w:hint="eastAsia" w:ascii="仿宋_GB2312" w:hAnsi="仿宋_GB2312" w:eastAsia="仿宋_GB2312" w:cs="仿宋_GB2312"/>
          <w:szCs w:val="21"/>
        </w:rPr>
        <w:t>、</w:t>
      </w:r>
      <w:r>
        <w:rPr>
          <w:rFonts w:ascii="仿宋_GB2312" w:hAnsi="仿宋_GB2312" w:eastAsia="仿宋_GB2312" w:cs="仿宋_GB2312"/>
          <w:szCs w:val="21"/>
        </w:rPr>
        <w:t>功纤</w:t>
      </w:r>
      <w:r>
        <w:rPr>
          <w:rFonts w:hint="eastAsia" w:ascii="仿宋_GB2312" w:hAnsi="仿宋_GB2312" w:eastAsia="仿宋_GB2312" w:cs="仿宋_GB2312"/>
          <w:szCs w:val="21"/>
        </w:rPr>
        <w:t>、</w:t>
      </w:r>
      <w:r>
        <w:rPr>
          <w:rFonts w:ascii="仿宋_GB2312" w:hAnsi="仿宋_GB2312" w:eastAsia="仿宋_GB2312" w:cs="仿宋_GB2312"/>
          <w:szCs w:val="21"/>
        </w:rPr>
        <w:t>质控品检测试剂，</w:t>
      </w:r>
      <w:r>
        <w:rPr>
          <w:rFonts w:hint="eastAsia" w:ascii="仿宋_GB2312" w:hAnsi="仿宋_GB2312" w:eastAsia="仿宋_GB2312" w:cs="仿宋_GB2312"/>
          <w:szCs w:val="21"/>
        </w:rPr>
        <w:t>需提供注册证。</w:t>
      </w:r>
    </w:p>
    <w:p w14:paraId="682C9DD7">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样本孵育：一体机自带孵育</w:t>
      </w:r>
      <w:r>
        <w:rPr>
          <w:rFonts w:hint="eastAsia" w:ascii="仿宋_GB2312" w:hAnsi="仿宋_GB2312" w:eastAsia="仿宋_GB2312" w:cs="仿宋_GB2312"/>
          <w:szCs w:val="21"/>
        </w:rPr>
        <w:t>功能</w:t>
      </w:r>
      <w:r>
        <w:rPr>
          <w:rFonts w:ascii="仿宋_GB2312" w:hAnsi="仿宋_GB2312" w:eastAsia="仿宋_GB2312" w:cs="仿宋_GB2312"/>
          <w:szCs w:val="21"/>
        </w:rPr>
        <w:t>，开机自动孵育，缩短等待时间。</w:t>
      </w:r>
    </w:p>
    <w:p w14:paraId="13027B3A">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*质控测试：具有原厂提供的单独注册的质控品，可以提供设备质控品及试剂质控品。需提供注册证。</w:t>
      </w:r>
    </w:p>
    <w:p w14:paraId="1960C620">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温控准确度与波动度：正常测试条件下，温度准确度不超过±0.3℃，波动度不超过0.15℃。</w:t>
      </w:r>
    </w:p>
    <w:p w14:paraId="27AFF51C">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条码扫描：机器内置条码扫描，支持试剂和样本条码扫描，</w:t>
      </w:r>
      <w:r>
        <w:rPr>
          <w:rFonts w:hint="eastAsia" w:ascii="仿宋_GB2312" w:hAnsi="仿宋_GB2312" w:eastAsia="仿宋_GB2312" w:cs="仿宋_GB2312"/>
          <w:szCs w:val="21"/>
        </w:rPr>
        <w:t>使</w:t>
      </w:r>
      <w:r>
        <w:rPr>
          <w:rFonts w:ascii="仿宋_GB2312" w:hAnsi="仿宋_GB2312" w:eastAsia="仿宋_GB2312" w:cs="仿宋_GB2312"/>
          <w:szCs w:val="21"/>
        </w:rPr>
        <w:t>信息更安全。</w:t>
      </w:r>
    </w:p>
    <w:p w14:paraId="6619491F">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联网功能：支持有线联网，具备USB接口，可支持U盘，鼠标</w:t>
      </w:r>
      <w:r>
        <w:rPr>
          <w:rFonts w:hint="eastAsia" w:ascii="仿宋_GB2312" w:hAnsi="仿宋_GB2312" w:eastAsia="仿宋_GB2312" w:cs="仿宋_GB2312"/>
          <w:szCs w:val="21"/>
        </w:rPr>
        <w:t>等</w:t>
      </w:r>
      <w:r>
        <w:rPr>
          <w:rFonts w:ascii="仿宋_GB2312" w:hAnsi="仿宋_GB2312" w:eastAsia="仿宋_GB2312" w:cs="仿宋_GB2312"/>
          <w:szCs w:val="21"/>
        </w:rPr>
        <w:t>连接。</w:t>
      </w:r>
    </w:p>
    <w:p w14:paraId="30F82CA3">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软件功能：支持日志记录与筛选查询，支持样本曲线及参数同屏叠加显示，支持试剂和反应杯数量查看，支持测试通道状态及测试项目查看，支持休眠模式，支持自定义设置自动开机时间</w:t>
      </w:r>
      <w:r>
        <w:rPr>
          <w:rFonts w:hint="eastAsia" w:ascii="仿宋_GB2312" w:hAnsi="仿宋_GB2312" w:eastAsia="仿宋_GB2312" w:cs="仿宋_GB2312"/>
          <w:szCs w:val="21"/>
        </w:rPr>
        <w:t>，支持按照时间或项目停止测试，</w:t>
      </w:r>
      <w:r>
        <w:rPr>
          <w:rFonts w:ascii="仿宋_GB2312" w:hAnsi="仿宋_GB2312" w:eastAsia="仿宋_GB2312" w:cs="仿宋_GB2312"/>
          <w:szCs w:val="21"/>
        </w:rPr>
        <w:t>支持检测结果自动判读。</w:t>
      </w:r>
    </w:p>
    <w:p w14:paraId="40EF1594">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急诊测试：配备独立急诊样本架，急诊样本优先检测，实现随到随测。</w:t>
      </w:r>
    </w:p>
    <w:p w14:paraId="3C2DE14E">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数据存储</w:t>
      </w:r>
      <w:r>
        <w:rPr>
          <w:rFonts w:hint="eastAsia" w:ascii="仿宋_GB2312" w:hAnsi="仿宋_GB2312" w:eastAsia="仿宋_GB2312" w:cs="仿宋_GB2312"/>
          <w:szCs w:val="21"/>
        </w:rPr>
        <w:t>：</w:t>
      </w:r>
      <w:r>
        <w:rPr>
          <w:rFonts w:ascii="仿宋_GB2312" w:hAnsi="仿宋_GB2312" w:eastAsia="仿宋_GB2312" w:cs="仿宋_GB2312"/>
          <w:szCs w:val="21"/>
        </w:rPr>
        <w:t>支持</w:t>
      </w:r>
      <w:r>
        <w:rPr>
          <w:rFonts w:hint="eastAsia" w:ascii="仿宋_GB2312" w:hAnsi="仿宋_GB2312" w:eastAsia="仿宋_GB2312" w:cs="仿宋_GB2312"/>
          <w:szCs w:val="21"/>
        </w:rPr>
        <w:t>≥</w:t>
      </w:r>
      <w:r>
        <w:rPr>
          <w:rFonts w:ascii="仿宋_GB2312" w:hAnsi="仿宋_GB2312" w:eastAsia="仿宋_GB2312" w:cs="仿宋_GB2312"/>
          <w:szCs w:val="21"/>
        </w:rPr>
        <w:t>60000条检测结果储存</w:t>
      </w:r>
      <w:r>
        <w:rPr>
          <w:rFonts w:hint="eastAsia" w:ascii="仿宋_GB2312" w:hAnsi="仿宋_GB2312" w:eastAsia="仿宋_GB2312" w:cs="仿宋_GB2312"/>
          <w:szCs w:val="21"/>
        </w:rPr>
        <w:t>。</w:t>
      </w:r>
    </w:p>
    <w:p w14:paraId="3E809D90">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数据传输管理：支持LIS双通连接，</w:t>
      </w:r>
      <w:r>
        <w:rPr>
          <w:rFonts w:hint="eastAsia" w:ascii="仿宋_GB2312" w:hAnsi="仿宋_GB2312" w:eastAsia="仿宋_GB2312" w:cs="仿宋_GB2312"/>
          <w:szCs w:val="21"/>
        </w:rPr>
        <w:t>可</w:t>
      </w:r>
      <w:r>
        <w:rPr>
          <w:rFonts w:ascii="仿宋_GB2312" w:hAnsi="仿宋_GB2312" w:eastAsia="仿宋_GB2312" w:cs="仿宋_GB2312"/>
          <w:szCs w:val="21"/>
        </w:rPr>
        <w:t>远程获取报告结果。</w:t>
      </w:r>
    </w:p>
    <w:p w14:paraId="38EBF4AC">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报告参数：能提供R、K、Angle(α)、MA、ACT、CI、A10等</w:t>
      </w:r>
      <w:r>
        <w:rPr>
          <w:rFonts w:hint="eastAsia" w:ascii="仿宋_GB2312" w:hAnsi="仿宋_GB2312" w:eastAsia="仿宋_GB2312" w:cs="仿宋_GB2312"/>
          <w:szCs w:val="21"/>
        </w:rPr>
        <w:t>不少于3</w:t>
      </w:r>
      <w:r>
        <w:rPr>
          <w:rFonts w:ascii="仿宋_GB2312" w:hAnsi="仿宋_GB2312" w:eastAsia="仿宋_GB2312" w:cs="仿宋_GB2312"/>
          <w:szCs w:val="21"/>
        </w:rPr>
        <w:t>5种参数。</w:t>
      </w:r>
    </w:p>
    <w:p w14:paraId="03FD1284">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报告模式：数据+图形，支持自定义参数输出及打印，参数可调。</w:t>
      </w:r>
    </w:p>
    <w:p w14:paraId="553C97A0">
      <w:pPr>
        <w:numPr>
          <w:ilvl w:val="0"/>
          <w:numId w:val="13"/>
        </w:numPr>
        <w:spacing w:line="520" w:lineRule="exact"/>
        <w:rPr>
          <w:rFonts w:ascii="仿宋_GB2312" w:hAnsi="仿宋_GB2312" w:eastAsia="仿宋_GB2312" w:cs="仿宋_GB2312"/>
          <w:szCs w:val="21"/>
        </w:rPr>
      </w:pPr>
      <w:r>
        <w:rPr>
          <w:rFonts w:ascii="仿宋_GB2312" w:hAnsi="仿宋_GB2312" w:eastAsia="仿宋_GB2312" w:cs="仿宋_GB2312"/>
          <w:szCs w:val="21"/>
        </w:rPr>
        <w:t>配套机柜</w:t>
      </w:r>
      <w:r>
        <w:rPr>
          <w:rFonts w:hint="eastAsia" w:ascii="仿宋_GB2312" w:hAnsi="仿宋_GB2312" w:eastAsia="仿宋_GB2312" w:cs="仿宋_GB2312"/>
          <w:szCs w:val="21"/>
        </w:rPr>
        <w:t>：</w:t>
      </w:r>
      <w:r>
        <w:rPr>
          <w:rFonts w:ascii="仿宋_GB2312" w:hAnsi="仿宋_GB2312" w:eastAsia="仿宋_GB2312" w:cs="仿宋_GB2312"/>
          <w:szCs w:val="21"/>
        </w:rPr>
        <w:t>可</w:t>
      </w:r>
      <w:r>
        <w:rPr>
          <w:rFonts w:hint="eastAsia" w:ascii="仿宋_GB2312" w:hAnsi="仿宋_GB2312" w:eastAsia="仿宋_GB2312" w:cs="仿宋_GB2312"/>
          <w:szCs w:val="21"/>
        </w:rPr>
        <w:t>选择</w:t>
      </w:r>
      <w:r>
        <w:rPr>
          <w:rFonts w:ascii="仿宋_GB2312" w:hAnsi="仿宋_GB2312" w:eastAsia="仿宋_GB2312" w:cs="仿宋_GB2312"/>
          <w:szCs w:val="21"/>
        </w:rPr>
        <w:t>配套机柜使用</w:t>
      </w:r>
      <w:r>
        <w:rPr>
          <w:rFonts w:hint="eastAsia" w:ascii="仿宋_GB2312" w:hAnsi="仿宋_GB2312" w:eastAsia="仿宋_GB2312" w:cs="仿宋_GB2312"/>
          <w:szCs w:val="21"/>
        </w:rPr>
        <w:t>。</w:t>
      </w:r>
    </w:p>
    <w:p w14:paraId="28563A70">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占地面积</w:t>
      </w:r>
      <w:r>
        <w:rPr>
          <w:rFonts w:ascii="仿宋_GB2312" w:hAnsi="仿宋_GB2312" w:eastAsia="仿宋_GB2312" w:cs="仿宋_GB2312"/>
          <w:szCs w:val="21"/>
        </w:rPr>
        <w:t>：</w:t>
      </w:r>
      <w:r>
        <w:rPr>
          <w:rFonts w:hint="eastAsia" w:ascii="仿宋_GB2312" w:hAnsi="仿宋_GB2312" w:eastAsia="仿宋_GB2312" w:cs="仿宋_GB2312"/>
          <w:szCs w:val="21"/>
        </w:rPr>
        <w:t>主机占地面积 ≤0.5 ㎡。</w:t>
      </w:r>
    </w:p>
    <w:p w14:paraId="5C37EECB">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7910140B">
      <w:pPr>
        <w:tabs>
          <w:tab w:val="left" w:pos="312"/>
        </w:tabs>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1.本项目采购设备安装后即能够正常使用，附件配置齐全。设备生产日期与实际供货日期在6个月以内。</w:t>
      </w:r>
    </w:p>
    <w:p w14:paraId="4E2F0949">
      <w:pPr>
        <w:tabs>
          <w:tab w:val="left" w:pos="312"/>
        </w:tabs>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2.此项目总金额包含所有运费、装卸费、安装费、税费等。</w:t>
      </w:r>
    </w:p>
    <w:p w14:paraId="7C165213">
      <w:pPr>
        <w:tabs>
          <w:tab w:val="left" w:pos="312"/>
        </w:tabs>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3.每套设备（含附件）提供3年免费保修。</w:t>
      </w:r>
    </w:p>
    <w:p w14:paraId="3A7FD7D8">
      <w:pPr>
        <w:spacing w:line="400" w:lineRule="exact"/>
        <w:rPr>
          <w:rFonts w:ascii="Times New Roman" w:hAnsi="Times New Roman" w:eastAsia="微软雅黑" w:cs="Times New Roman"/>
          <w:color w:val="0D0D0D" w:themeColor="text1" w:themeTint="F2"/>
          <w:szCs w:val="21"/>
          <w14:textFill>
            <w14:solidFill>
              <w14:schemeClr w14:val="tx1">
                <w14:lumMod w14:val="95000"/>
                <w14:lumOff w14:val="5000"/>
              </w14:schemeClr>
            </w14:solidFill>
          </w14:textFill>
        </w:rPr>
      </w:pPr>
    </w:p>
    <w:p w14:paraId="6DEBC976">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77813EB9">
      <w:pPr>
        <w:widowControl/>
        <w:spacing w:line="0" w:lineRule="atLeast"/>
        <w:jc w:val="center"/>
        <w:rPr>
          <w:rFonts w:hint="eastAsia"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病理显微镜（双人）参数</w:t>
      </w:r>
    </w:p>
    <w:p w14:paraId="2299719C">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1、电源电压220v； </w:t>
      </w:r>
    </w:p>
    <w:p w14:paraId="52754EF3">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2、光路系统：模块化设计，第三代 HC 无限远光学系统设计及色差校正光学系统，镜头要求采用先进的防霉镀膜工艺，确保更长的使用寿命，光学设计最大限度地消除轴向及径向色差，提供高衬度、高分辩率的图像；整体设计符合人机工程学原理； </w:t>
      </w:r>
    </w:p>
    <w:p w14:paraId="386D1BE9">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3、放大倍数及观察方式：50x～1000x 放大倍数范围。 </w:t>
      </w:r>
    </w:p>
    <w:p w14:paraId="448AC5D4">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4、目镜及镜筒：三目镜筒 50%/50%分光，摄像头及镜下可同时成像，瞳距可调 55-75mm。 </w:t>
      </w:r>
    </w:p>
    <w:p w14:paraId="2899EFA7">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5、目镜：10x 目镜带眼环，视场数≥25mm，屈光度可调。 </w:t>
      </w:r>
    </w:p>
    <w:p w14:paraId="3B62CA0E">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6、*物镜转盘≥6 孔电动物镜转换器；电动物镜转盘改变放大倍率时间≤0.5 秒。 </w:t>
      </w:r>
    </w:p>
    <w:p w14:paraId="6C8671C2">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7、*光强自动调整，可根据不同物镜自动记忆并恢复用户的习惯光照强度。 </w:t>
      </w:r>
    </w:p>
    <w:p w14:paraId="7764FA9D">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8、机身快捷操作键≥9个，快捷操作键可实现机身一键拍照等功能。 </w:t>
      </w:r>
    </w:p>
    <w:p w14:paraId="30277FDB">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9、平场消色差物镜： 1.9.1、4X /N.A.≧0.10 、1.9.2、10X/N.A.≧0.25、1.9.3、20X/N.A.≧0.4 、1.9.4、40X/N.A.≧0.65 、1.9.5、100X/N.A.≧1.25 。</w:t>
      </w:r>
    </w:p>
    <w:p w14:paraId="611FC1DF">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10、光源：高亮度 LED 冷光源，寿命≥4.7 万小时，可调光，配有色温平衡装置，恒定色温 4500K，具有光强和光阑快速调节功能，其变化与物镜转换及观 </w:t>
      </w:r>
    </w:p>
    <w:p w14:paraId="4968EC64">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察方式转换连动。</w:t>
      </w:r>
      <w:r>
        <w:rPr>
          <w:rFonts w:hint="eastAsia" w:ascii="仿宋_GB2312" w:hAnsi="仿宋_GB2312" w:eastAsia="仿宋_GB2312" w:cs="仿宋_GB2312"/>
          <w:b/>
          <w:bCs/>
          <w:color w:val="000000"/>
          <w:kern w:val="0"/>
          <w:szCs w:val="21"/>
          <w:lang w:bidi="ar"/>
        </w:rPr>
        <w:t xml:space="preserve"> </w:t>
      </w:r>
    </w:p>
    <w:p w14:paraId="7CCCE741">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11、*聚光镜：电动摆动式聚光镜，自动柯勒照明方式；自动匹配不同倍数物镜。 </w:t>
      </w:r>
    </w:p>
    <w:p w14:paraId="10EB1FA6">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12、*调焦机构：具有人体工学高度可调的调焦旋钮，带有 5 档调焦功能， </w:t>
      </w:r>
    </w:p>
    <w:p w14:paraId="09EB51BD">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调焦限位功能，转矩张力调节环；调焦与 X-Y 调节全对称； </w:t>
      </w:r>
    </w:p>
    <w:p w14:paraId="39C290D2">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13、*载物台：人体工学载物台，低位置同轴驱动旋钮的高抗磨损性陶瓷覆盖层载物台. </w:t>
      </w:r>
    </w:p>
    <w:p w14:paraId="159306F0">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14、*XY 轴控制杆：用户可自己将操作杆根据使用需求左右手位置更换；X-Y 移动无暴露齿条；XY 控制杆扭矩可调。 </w:t>
      </w:r>
    </w:p>
    <w:p w14:paraId="5432AF23">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15、夹片器：可单手操作样品夹。 </w:t>
      </w:r>
    </w:p>
    <w:p w14:paraId="7056CD43">
      <w:pPr>
        <w:widowControl/>
        <w:spacing w:line="520" w:lineRule="exact"/>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16、2览系统带有 LED 指示装置。</w:t>
      </w:r>
    </w:p>
    <w:p w14:paraId="73163198">
      <w:pPr>
        <w:widowControl/>
        <w:numPr>
          <w:ilvl w:val="0"/>
          <w:numId w:val="14"/>
        </w:numPr>
        <w:spacing w:line="520" w:lineRule="exact"/>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*多人共览：配置2人共览系统，视野数≥22mm，目镜屈光度可调。 </w:t>
      </w:r>
    </w:p>
    <w:p w14:paraId="45A2F8EF">
      <w:pPr>
        <w:widowControl/>
        <w:numPr>
          <w:ilvl w:val="0"/>
          <w:numId w:val="14"/>
        </w:numPr>
        <w:spacing w:line="520" w:lineRule="exact"/>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显微镜相机</w:t>
      </w:r>
      <w:r>
        <w:rPr>
          <w:rFonts w:hint="eastAsia" w:ascii="仿宋_GB2312" w:hAnsi="仿宋_GB2312" w:eastAsia="仿宋_GB2312" w:cs="仿宋_GB2312"/>
          <w:bCs/>
          <w:szCs w:val="21"/>
        </w:rPr>
        <w:t>一个：有效像素≥500万、芯片尺寸≥1/2.5"、像元尺寸≥2.2μm×2.2μm。</w:t>
      </w:r>
    </w:p>
    <w:p w14:paraId="5468E23D">
      <w:pPr>
        <w:widowControl/>
        <w:numPr>
          <w:ilvl w:val="0"/>
          <w:numId w:val="14"/>
        </w:numPr>
        <w:spacing w:line="520" w:lineRule="exact"/>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*电脑一台：商用办公电脑整机 12代 I5-12500 8G 1T+256G固。</w:t>
      </w:r>
    </w:p>
    <w:p w14:paraId="59548F39">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项目其他要求：</w:t>
      </w:r>
    </w:p>
    <w:p w14:paraId="4D305B2B">
      <w:pPr>
        <w:numPr>
          <w:ilvl w:val="0"/>
          <w:numId w:val="15"/>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4098FAB7">
      <w:pPr>
        <w:numPr>
          <w:ilvl w:val="0"/>
          <w:numId w:val="15"/>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29E2E4C0">
      <w:pPr>
        <w:numPr>
          <w:ilvl w:val="0"/>
          <w:numId w:val="15"/>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080FE8AD">
      <w:pPr>
        <w:numPr>
          <w:ilvl w:val="0"/>
          <w:numId w:val="0"/>
        </w:numPr>
        <w:spacing w:line="520" w:lineRule="exact"/>
        <w:rPr>
          <w:rFonts w:hint="eastAsia" w:ascii="仿宋_GB2312" w:hAnsi="仿宋_GB2312" w:eastAsia="仿宋_GB2312" w:cs="仿宋_GB2312"/>
          <w:szCs w:val="21"/>
        </w:rPr>
      </w:pPr>
    </w:p>
    <w:p w14:paraId="2D133C51">
      <w:pPr>
        <w:widowControl/>
        <w:spacing w:line="0" w:lineRule="atLeast"/>
        <w:jc w:val="left"/>
        <w:rPr>
          <w:rFonts w:hint="eastAsia" w:ascii="仿宋_GB2312" w:hAnsi="仿宋_GB2312" w:eastAsia="仿宋_GB2312" w:cs="仿宋_GB2312"/>
          <w:bCs/>
          <w:szCs w:val="21"/>
        </w:rPr>
      </w:pPr>
    </w:p>
    <w:p w14:paraId="43E9943E">
      <w:pPr>
        <w:pStyle w:val="27"/>
        <w:spacing w:line="360" w:lineRule="auto"/>
        <w:ind w:firstLine="0" w:firstLineChars="0"/>
        <w:rPr>
          <w:rFonts w:ascii="仿宋_GB2312" w:hAnsi="仿宋_GB2312" w:eastAsia="仿宋_GB2312" w:cs="仿宋_GB2312"/>
          <w:sz w:val="32"/>
          <w:szCs w:val="32"/>
        </w:rPr>
      </w:pPr>
    </w:p>
    <w:p w14:paraId="5BBBA24A">
      <w:pPr>
        <w:rPr>
          <w:rFonts w:ascii="仿宋" w:hAnsi="仿宋" w:eastAsia="仿宋" w:cs="仿宋"/>
          <w:b/>
          <w:bCs/>
          <w:spacing w:val="3"/>
          <w:sz w:val="31"/>
          <w:szCs w:val="31"/>
        </w:rPr>
      </w:pPr>
      <w:r>
        <w:rPr>
          <w:rFonts w:ascii="仿宋" w:hAnsi="仿宋" w:eastAsia="仿宋" w:cs="仿宋"/>
          <w:b/>
          <w:bCs/>
          <w:spacing w:val="3"/>
          <w:sz w:val="31"/>
          <w:szCs w:val="31"/>
        </w:rPr>
        <w:br w:type="page"/>
      </w:r>
    </w:p>
    <w:p w14:paraId="76691F77">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399B2B9C">
      <w:pPr>
        <w:keepLines w:val="0"/>
        <w:pageBreakBefore w:val="0"/>
        <w:kinsoku/>
        <w:wordWrap/>
        <w:overflowPunct/>
        <w:topLinePunct w:val="0"/>
        <w:bidi w:val="0"/>
        <w:spacing w:before="101" w:line="228" w:lineRule="auto"/>
        <w:ind w:left="2888"/>
        <w:rPr>
          <w:rFonts w:ascii="仿宋" w:hAnsi="仿宋" w:eastAsia="仿宋" w:cs="仿宋"/>
          <w:sz w:val="31"/>
          <w:szCs w:val="31"/>
        </w:rPr>
      </w:pPr>
      <w:r>
        <w:rPr>
          <w:rFonts w:ascii="仿宋" w:hAnsi="仿宋" w:eastAsia="仿宋" w:cs="仿宋"/>
          <w:b/>
          <w:bCs/>
          <w:spacing w:val="3"/>
          <w:sz w:val="31"/>
          <w:szCs w:val="31"/>
        </w:rPr>
        <w:t>第六章</w:t>
      </w:r>
      <w:r>
        <w:rPr>
          <w:rFonts w:ascii="仿宋" w:hAnsi="仿宋" w:eastAsia="仿宋" w:cs="仿宋"/>
          <w:spacing w:val="3"/>
          <w:sz w:val="31"/>
          <w:szCs w:val="31"/>
        </w:rPr>
        <w:t xml:space="preserve"> </w:t>
      </w:r>
      <w:r>
        <w:rPr>
          <w:rFonts w:ascii="仿宋" w:hAnsi="仿宋" w:eastAsia="仿宋" w:cs="仿宋"/>
          <w:b/>
          <w:bCs/>
          <w:spacing w:val="3"/>
          <w:sz w:val="31"/>
          <w:szCs w:val="31"/>
        </w:rPr>
        <w:t>投标文件格式</w:t>
      </w:r>
    </w:p>
    <w:p w14:paraId="1F48F57F">
      <w:pPr>
        <w:pStyle w:val="7"/>
        <w:keepLines w:val="0"/>
        <w:pageBreakBefore w:val="0"/>
        <w:kinsoku/>
        <w:wordWrap/>
        <w:overflowPunct/>
        <w:topLinePunct w:val="0"/>
        <w:bidi w:val="0"/>
        <w:spacing w:line="257" w:lineRule="auto"/>
      </w:pPr>
    </w:p>
    <w:p w14:paraId="5DA65EC5">
      <w:pPr>
        <w:pStyle w:val="7"/>
        <w:keepLines w:val="0"/>
        <w:pageBreakBefore w:val="0"/>
        <w:kinsoku/>
        <w:wordWrap/>
        <w:overflowPunct/>
        <w:topLinePunct w:val="0"/>
        <w:bidi w:val="0"/>
        <w:spacing w:line="257" w:lineRule="auto"/>
      </w:pPr>
    </w:p>
    <w:p w14:paraId="23743AE5">
      <w:pPr>
        <w:pStyle w:val="7"/>
        <w:keepLines w:val="0"/>
        <w:pageBreakBefore w:val="0"/>
        <w:kinsoku/>
        <w:wordWrap/>
        <w:overflowPunct/>
        <w:topLinePunct w:val="0"/>
        <w:bidi w:val="0"/>
        <w:spacing w:line="258" w:lineRule="auto"/>
      </w:pPr>
    </w:p>
    <w:p w14:paraId="753F9C2F">
      <w:pPr>
        <w:pStyle w:val="7"/>
        <w:keepLines w:val="0"/>
        <w:pageBreakBefore w:val="0"/>
        <w:kinsoku/>
        <w:wordWrap/>
        <w:overflowPunct/>
        <w:topLinePunct w:val="0"/>
        <w:bidi w:val="0"/>
        <w:spacing w:line="258" w:lineRule="auto"/>
      </w:pPr>
    </w:p>
    <w:p w14:paraId="4AA90D24">
      <w:pPr>
        <w:keepLines w:val="0"/>
        <w:pageBreakBefore w:val="0"/>
        <w:kinsoku/>
        <w:wordWrap/>
        <w:overflowPunct/>
        <w:topLinePunct w:val="0"/>
        <w:bidi w:val="0"/>
        <w:spacing w:before="91" w:line="222" w:lineRule="auto"/>
        <w:ind w:left="3187"/>
        <w:rPr>
          <w:rFonts w:ascii="仿宋" w:hAnsi="仿宋" w:eastAsia="仿宋" w:cs="仿宋"/>
          <w:sz w:val="28"/>
          <w:szCs w:val="28"/>
        </w:rPr>
      </w:pPr>
      <w:r>
        <w:pict>
          <v:shape id="_x0000_s1026" o:spid="_x0000_s1026" style="position:absolute;left:0pt;margin-left:95.35pt;margin-top:17.95pt;height:0.6pt;width:238.15pt;z-index:251662336;mso-width-relative:page;mso-height-relative:page;" filled="f" stroked="t" coordsize="4762,12" path="m0,5l4762,5e">
            <v:fill on="f" focussize="0,0"/>
            <v:stroke weight="0.6pt" color="#000000" miterlimit="2" joinstyle="bevel"/>
            <v:imagedata o:title=""/>
            <o:lock v:ext="edit"/>
          </v:shape>
        </w:pict>
      </w:r>
      <w:r>
        <w:rPr>
          <w:rFonts w:ascii="仿宋" w:hAnsi="仿宋" w:eastAsia="仿宋" w:cs="仿宋"/>
          <w:spacing w:val="-3"/>
          <w:sz w:val="28"/>
          <w:szCs w:val="28"/>
        </w:rPr>
        <w:t>（</w:t>
      </w:r>
      <w:r>
        <w:rPr>
          <w:rFonts w:hint="eastAsia" w:ascii="仿宋" w:hAnsi="仿宋" w:eastAsia="仿宋" w:cs="仿宋"/>
          <w:spacing w:val="-3"/>
          <w:sz w:val="28"/>
          <w:szCs w:val="28"/>
          <w:lang w:eastAsia="zh-CN"/>
        </w:rPr>
        <w:t>项目名称</w:t>
      </w:r>
      <w:r>
        <w:rPr>
          <w:rFonts w:ascii="仿宋" w:hAnsi="仿宋" w:eastAsia="仿宋" w:cs="仿宋"/>
          <w:spacing w:val="-3"/>
          <w:sz w:val="28"/>
          <w:szCs w:val="28"/>
        </w:rPr>
        <w:t>）</w:t>
      </w:r>
    </w:p>
    <w:p w14:paraId="031C17C7">
      <w:pPr>
        <w:pStyle w:val="7"/>
        <w:keepLines w:val="0"/>
        <w:pageBreakBefore w:val="0"/>
        <w:kinsoku/>
        <w:wordWrap/>
        <w:overflowPunct/>
        <w:topLinePunct w:val="0"/>
        <w:bidi w:val="0"/>
        <w:spacing w:line="357" w:lineRule="auto"/>
      </w:pPr>
    </w:p>
    <w:p w14:paraId="0D9AC68E">
      <w:pPr>
        <w:pStyle w:val="7"/>
        <w:keepLines w:val="0"/>
        <w:pageBreakBefore w:val="0"/>
        <w:kinsoku/>
        <w:wordWrap/>
        <w:overflowPunct/>
        <w:topLinePunct w:val="0"/>
        <w:bidi w:val="0"/>
        <w:spacing w:line="357" w:lineRule="auto"/>
      </w:pPr>
    </w:p>
    <w:p w14:paraId="4CCB5EA0">
      <w:pPr>
        <w:keepLines w:val="0"/>
        <w:pageBreakBefore w:val="0"/>
        <w:tabs>
          <w:tab w:val="left" w:pos="3327"/>
        </w:tabs>
        <w:kinsoku/>
        <w:wordWrap/>
        <w:overflowPunct/>
        <w:topLinePunct w:val="0"/>
        <w:bidi w:val="0"/>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20A17E48">
      <w:pPr>
        <w:pStyle w:val="7"/>
        <w:keepLines w:val="0"/>
        <w:pageBreakBefore w:val="0"/>
        <w:kinsoku/>
        <w:wordWrap/>
        <w:overflowPunct/>
        <w:topLinePunct w:val="0"/>
        <w:bidi w:val="0"/>
        <w:spacing w:line="255" w:lineRule="auto"/>
      </w:pPr>
    </w:p>
    <w:p w14:paraId="7596F859">
      <w:pPr>
        <w:pStyle w:val="7"/>
        <w:keepLines w:val="0"/>
        <w:pageBreakBefore w:val="0"/>
        <w:kinsoku/>
        <w:wordWrap/>
        <w:overflowPunct/>
        <w:topLinePunct w:val="0"/>
        <w:bidi w:val="0"/>
        <w:spacing w:line="255" w:lineRule="auto"/>
      </w:pPr>
    </w:p>
    <w:p w14:paraId="5235B84C">
      <w:pPr>
        <w:pStyle w:val="7"/>
        <w:keepLines w:val="0"/>
        <w:pageBreakBefore w:val="0"/>
        <w:kinsoku/>
        <w:wordWrap/>
        <w:overflowPunct/>
        <w:topLinePunct w:val="0"/>
        <w:bidi w:val="0"/>
        <w:spacing w:line="255" w:lineRule="auto"/>
      </w:pPr>
    </w:p>
    <w:p w14:paraId="3DD1C639">
      <w:pPr>
        <w:pStyle w:val="7"/>
        <w:keepLines w:val="0"/>
        <w:pageBreakBefore w:val="0"/>
        <w:kinsoku/>
        <w:wordWrap/>
        <w:overflowPunct/>
        <w:topLinePunct w:val="0"/>
        <w:bidi w:val="0"/>
        <w:spacing w:line="255" w:lineRule="auto"/>
      </w:pPr>
    </w:p>
    <w:p w14:paraId="02FD6E3B">
      <w:pPr>
        <w:pStyle w:val="7"/>
        <w:keepLines w:val="0"/>
        <w:pageBreakBefore w:val="0"/>
        <w:kinsoku/>
        <w:wordWrap/>
        <w:overflowPunct/>
        <w:topLinePunct w:val="0"/>
        <w:bidi w:val="0"/>
        <w:spacing w:line="255" w:lineRule="auto"/>
      </w:pPr>
    </w:p>
    <w:p w14:paraId="57E93E9E">
      <w:pPr>
        <w:pStyle w:val="7"/>
        <w:keepLines w:val="0"/>
        <w:pageBreakBefore w:val="0"/>
        <w:kinsoku/>
        <w:wordWrap/>
        <w:overflowPunct/>
        <w:topLinePunct w:val="0"/>
        <w:bidi w:val="0"/>
        <w:spacing w:line="255" w:lineRule="auto"/>
      </w:pPr>
    </w:p>
    <w:p w14:paraId="201B4318">
      <w:pPr>
        <w:pStyle w:val="7"/>
        <w:keepLines w:val="0"/>
        <w:pageBreakBefore w:val="0"/>
        <w:kinsoku/>
        <w:wordWrap/>
        <w:overflowPunct/>
        <w:topLinePunct w:val="0"/>
        <w:bidi w:val="0"/>
        <w:spacing w:line="256" w:lineRule="auto"/>
      </w:pPr>
    </w:p>
    <w:p w14:paraId="37A59D48">
      <w:pPr>
        <w:pStyle w:val="7"/>
        <w:keepLines w:val="0"/>
        <w:pageBreakBefore w:val="0"/>
        <w:kinsoku/>
        <w:wordWrap/>
        <w:overflowPunct/>
        <w:topLinePunct w:val="0"/>
        <w:bidi w:val="0"/>
        <w:spacing w:line="256" w:lineRule="auto"/>
      </w:pPr>
    </w:p>
    <w:p w14:paraId="20031D6F">
      <w:pPr>
        <w:pStyle w:val="7"/>
        <w:keepLines w:val="0"/>
        <w:pageBreakBefore w:val="0"/>
        <w:kinsoku/>
        <w:wordWrap/>
        <w:overflowPunct/>
        <w:topLinePunct w:val="0"/>
        <w:bidi w:val="0"/>
        <w:spacing w:line="256" w:lineRule="auto"/>
      </w:pPr>
    </w:p>
    <w:p w14:paraId="40C9A6A1">
      <w:pPr>
        <w:keepLines w:val="0"/>
        <w:pageBreakBefore w:val="0"/>
        <w:kinsoku/>
        <w:wordWrap/>
        <w:overflowPunct/>
        <w:topLinePunct w:val="0"/>
        <w:bidi w:val="0"/>
        <w:spacing w:before="140" w:line="226" w:lineRule="auto"/>
        <w:ind w:left="2859"/>
        <w:rPr>
          <w:rFonts w:ascii="仿宋" w:hAnsi="仿宋" w:eastAsia="仿宋" w:cs="仿宋"/>
          <w:sz w:val="43"/>
          <w:szCs w:val="43"/>
        </w:rPr>
      </w:pPr>
      <w:r>
        <w:rPr>
          <w:rFonts w:ascii="仿宋" w:hAnsi="仿宋" w:eastAsia="仿宋" w:cs="仿宋"/>
          <w:b/>
          <w:bCs/>
          <w:spacing w:val="-19"/>
          <w:sz w:val="43"/>
          <w:szCs w:val="43"/>
        </w:rPr>
        <w:t>投</w:t>
      </w:r>
      <w:r>
        <w:rPr>
          <w:rFonts w:ascii="仿宋" w:hAnsi="仿宋" w:eastAsia="仿宋" w:cs="仿宋"/>
          <w:spacing w:val="20"/>
          <w:sz w:val="43"/>
          <w:szCs w:val="43"/>
        </w:rPr>
        <w:t xml:space="preserve">  </w:t>
      </w:r>
      <w:r>
        <w:rPr>
          <w:rFonts w:ascii="仿宋" w:hAnsi="仿宋" w:eastAsia="仿宋" w:cs="仿宋"/>
          <w:b/>
          <w:bCs/>
          <w:spacing w:val="-19"/>
          <w:sz w:val="43"/>
          <w:szCs w:val="43"/>
        </w:rPr>
        <w:t>标</w:t>
      </w:r>
      <w:r>
        <w:rPr>
          <w:rFonts w:ascii="仿宋" w:hAnsi="仿宋" w:eastAsia="仿宋" w:cs="仿宋"/>
          <w:spacing w:val="22"/>
          <w:sz w:val="43"/>
          <w:szCs w:val="43"/>
        </w:rPr>
        <w:t xml:space="preserve">  </w:t>
      </w:r>
      <w:r>
        <w:rPr>
          <w:rFonts w:ascii="仿宋" w:hAnsi="仿宋" w:eastAsia="仿宋" w:cs="仿宋"/>
          <w:b/>
          <w:bCs/>
          <w:spacing w:val="-19"/>
          <w:sz w:val="43"/>
          <w:szCs w:val="43"/>
        </w:rPr>
        <w:t>文</w:t>
      </w:r>
      <w:r>
        <w:rPr>
          <w:rFonts w:ascii="仿宋" w:hAnsi="仿宋" w:eastAsia="仿宋" w:cs="仿宋"/>
          <w:spacing w:val="21"/>
          <w:sz w:val="43"/>
          <w:szCs w:val="43"/>
        </w:rPr>
        <w:t xml:space="preserve">  </w:t>
      </w:r>
      <w:r>
        <w:rPr>
          <w:rFonts w:ascii="仿宋" w:hAnsi="仿宋" w:eastAsia="仿宋" w:cs="仿宋"/>
          <w:b/>
          <w:bCs/>
          <w:spacing w:val="-19"/>
          <w:sz w:val="43"/>
          <w:szCs w:val="43"/>
        </w:rPr>
        <w:t>件</w:t>
      </w:r>
    </w:p>
    <w:p w14:paraId="370318EE">
      <w:pPr>
        <w:pStyle w:val="7"/>
        <w:keepLines w:val="0"/>
        <w:pageBreakBefore w:val="0"/>
        <w:kinsoku/>
        <w:wordWrap/>
        <w:overflowPunct/>
        <w:topLinePunct w:val="0"/>
        <w:bidi w:val="0"/>
      </w:pPr>
    </w:p>
    <w:p w14:paraId="1FA941F1">
      <w:pPr>
        <w:pStyle w:val="7"/>
        <w:keepLines w:val="0"/>
        <w:pageBreakBefore w:val="0"/>
        <w:kinsoku/>
        <w:wordWrap/>
        <w:overflowPunct/>
        <w:topLinePunct w:val="0"/>
        <w:bidi w:val="0"/>
      </w:pPr>
    </w:p>
    <w:p w14:paraId="708D1AB0">
      <w:pPr>
        <w:pStyle w:val="7"/>
        <w:keepLines w:val="0"/>
        <w:pageBreakBefore w:val="0"/>
        <w:kinsoku/>
        <w:wordWrap/>
        <w:overflowPunct/>
        <w:topLinePunct w:val="0"/>
        <w:bidi w:val="0"/>
      </w:pPr>
    </w:p>
    <w:p w14:paraId="451F7235">
      <w:pPr>
        <w:pStyle w:val="7"/>
        <w:keepLines w:val="0"/>
        <w:pageBreakBefore w:val="0"/>
        <w:kinsoku/>
        <w:wordWrap/>
        <w:overflowPunct/>
        <w:topLinePunct w:val="0"/>
        <w:bidi w:val="0"/>
      </w:pPr>
    </w:p>
    <w:p w14:paraId="6983E727">
      <w:pPr>
        <w:pStyle w:val="7"/>
        <w:keepLines w:val="0"/>
        <w:pageBreakBefore w:val="0"/>
        <w:kinsoku/>
        <w:wordWrap/>
        <w:overflowPunct/>
        <w:topLinePunct w:val="0"/>
        <w:bidi w:val="0"/>
      </w:pPr>
    </w:p>
    <w:p w14:paraId="0C46C19F">
      <w:pPr>
        <w:pStyle w:val="7"/>
        <w:keepLines w:val="0"/>
        <w:pageBreakBefore w:val="0"/>
        <w:kinsoku/>
        <w:wordWrap/>
        <w:overflowPunct/>
        <w:topLinePunct w:val="0"/>
        <w:bidi w:val="0"/>
      </w:pPr>
    </w:p>
    <w:p w14:paraId="1FEC22E3">
      <w:pPr>
        <w:pStyle w:val="7"/>
        <w:keepLines w:val="0"/>
        <w:pageBreakBefore w:val="0"/>
        <w:kinsoku/>
        <w:wordWrap/>
        <w:overflowPunct/>
        <w:topLinePunct w:val="0"/>
        <w:bidi w:val="0"/>
      </w:pPr>
    </w:p>
    <w:p w14:paraId="340E03C5">
      <w:pPr>
        <w:pStyle w:val="7"/>
        <w:keepLines w:val="0"/>
        <w:pageBreakBefore w:val="0"/>
        <w:kinsoku/>
        <w:wordWrap/>
        <w:overflowPunct/>
        <w:topLinePunct w:val="0"/>
        <w:bidi w:val="0"/>
        <w:spacing w:line="241" w:lineRule="auto"/>
      </w:pPr>
    </w:p>
    <w:p w14:paraId="390CE6A3">
      <w:pPr>
        <w:pStyle w:val="7"/>
        <w:keepLines w:val="0"/>
        <w:pageBreakBefore w:val="0"/>
        <w:kinsoku/>
        <w:wordWrap/>
        <w:overflowPunct/>
        <w:topLinePunct w:val="0"/>
        <w:bidi w:val="0"/>
        <w:spacing w:line="241" w:lineRule="auto"/>
      </w:pPr>
    </w:p>
    <w:p w14:paraId="4C9AED1E">
      <w:pPr>
        <w:pStyle w:val="7"/>
        <w:keepLines w:val="0"/>
        <w:pageBreakBefore w:val="0"/>
        <w:kinsoku/>
        <w:wordWrap/>
        <w:overflowPunct/>
        <w:topLinePunct w:val="0"/>
        <w:bidi w:val="0"/>
        <w:spacing w:line="241" w:lineRule="auto"/>
      </w:pPr>
    </w:p>
    <w:p w14:paraId="2D4BE228">
      <w:pPr>
        <w:pStyle w:val="7"/>
        <w:keepLines w:val="0"/>
        <w:pageBreakBefore w:val="0"/>
        <w:kinsoku/>
        <w:wordWrap/>
        <w:overflowPunct/>
        <w:topLinePunct w:val="0"/>
        <w:bidi w:val="0"/>
        <w:spacing w:line="241" w:lineRule="auto"/>
      </w:pPr>
    </w:p>
    <w:p w14:paraId="2D16622E">
      <w:pPr>
        <w:pStyle w:val="7"/>
        <w:keepLines w:val="0"/>
        <w:pageBreakBefore w:val="0"/>
        <w:kinsoku/>
        <w:wordWrap/>
        <w:overflowPunct/>
        <w:topLinePunct w:val="0"/>
        <w:bidi w:val="0"/>
        <w:spacing w:line="241" w:lineRule="auto"/>
      </w:pPr>
    </w:p>
    <w:p w14:paraId="451BD203">
      <w:pPr>
        <w:pStyle w:val="7"/>
        <w:keepLines w:val="0"/>
        <w:pageBreakBefore w:val="0"/>
        <w:kinsoku/>
        <w:wordWrap/>
        <w:overflowPunct/>
        <w:topLinePunct w:val="0"/>
        <w:bidi w:val="0"/>
        <w:spacing w:line="241" w:lineRule="auto"/>
      </w:pPr>
    </w:p>
    <w:p w14:paraId="4B269D09">
      <w:pPr>
        <w:pStyle w:val="7"/>
        <w:keepLines w:val="0"/>
        <w:pageBreakBefore w:val="0"/>
        <w:kinsoku/>
        <w:wordWrap/>
        <w:overflowPunct/>
        <w:topLinePunct w:val="0"/>
        <w:bidi w:val="0"/>
        <w:spacing w:line="241" w:lineRule="auto"/>
      </w:pPr>
    </w:p>
    <w:p w14:paraId="4A47BEEC">
      <w:pPr>
        <w:pStyle w:val="7"/>
        <w:keepLines w:val="0"/>
        <w:pageBreakBefore w:val="0"/>
        <w:kinsoku/>
        <w:wordWrap/>
        <w:overflowPunct/>
        <w:topLinePunct w:val="0"/>
        <w:bidi w:val="0"/>
        <w:spacing w:line="241" w:lineRule="auto"/>
      </w:pPr>
    </w:p>
    <w:p w14:paraId="167973E0">
      <w:pPr>
        <w:pStyle w:val="7"/>
        <w:keepLines w:val="0"/>
        <w:pageBreakBefore w:val="0"/>
        <w:kinsoku/>
        <w:wordWrap/>
        <w:overflowPunct/>
        <w:topLinePunct w:val="0"/>
        <w:bidi w:val="0"/>
        <w:spacing w:line="241" w:lineRule="auto"/>
      </w:pPr>
    </w:p>
    <w:p w14:paraId="7212557E">
      <w:pPr>
        <w:pStyle w:val="7"/>
        <w:keepLines w:val="0"/>
        <w:pageBreakBefore w:val="0"/>
        <w:kinsoku/>
        <w:wordWrap/>
        <w:overflowPunct/>
        <w:topLinePunct w:val="0"/>
        <w:bidi w:val="0"/>
        <w:spacing w:line="241" w:lineRule="auto"/>
      </w:pPr>
    </w:p>
    <w:p w14:paraId="7A672FFB">
      <w:pPr>
        <w:keepLines w:val="0"/>
        <w:pageBreakBefore w:val="0"/>
        <w:kinsoku/>
        <w:wordWrap/>
        <w:overflowPunct/>
        <w:topLinePunct w:val="0"/>
        <w:bidi w:val="0"/>
        <w:spacing w:before="91" w:line="222" w:lineRule="auto"/>
        <w:ind w:left="896"/>
        <w:rPr>
          <w:rFonts w:ascii="仿宋" w:hAnsi="仿宋" w:eastAsia="仿宋" w:cs="仿宋"/>
          <w:sz w:val="28"/>
          <w:szCs w:val="28"/>
        </w:rPr>
      </w:pPr>
      <w:r>
        <w:rPr>
          <w:rFonts w:hint="eastAsia" w:ascii="仿宋" w:hAnsi="仿宋" w:eastAsia="仿宋" w:cs="仿宋"/>
          <w:spacing w:val="3"/>
          <w:sz w:val="28"/>
          <w:szCs w:val="28"/>
          <w:lang w:eastAsia="zh-CN"/>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2072C09A">
      <w:pPr>
        <w:keepLines w:val="0"/>
        <w:pageBreakBefore w:val="0"/>
        <w:kinsoku/>
        <w:wordWrap/>
        <w:overflowPunct/>
        <w:topLinePunct w:val="0"/>
        <w:bidi w:val="0"/>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6D5CDDE5">
      <w:pPr>
        <w:keepLines w:val="0"/>
        <w:pageBreakBefore w:val="0"/>
        <w:kinsoku/>
        <w:wordWrap/>
        <w:overflowPunct/>
        <w:topLinePunct w:val="0"/>
        <w:bidi w:val="0"/>
        <w:spacing w:before="2" w:line="222" w:lineRule="auto"/>
        <w:ind w:left="3352"/>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r>
        <w:rPr>
          <w:rFonts w:ascii="仿宋" w:hAnsi="仿宋" w:eastAsia="仿宋" w:cs="仿宋"/>
          <w:spacing w:val="-18"/>
          <w:sz w:val="28"/>
          <w:szCs w:val="28"/>
        </w:rPr>
        <w:t>日</w:t>
      </w:r>
    </w:p>
    <w:p w14:paraId="2817AAF6">
      <w:pPr>
        <w:keepLines w:val="0"/>
        <w:pageBreakBefore w:val="0"/>
        <w:kinsoku/>
        <w:wordWrap/>
        <w:overflowPunct/>
        <w:topLinePunct w:val="0"/>
        <w:bidi w:val="0"/>
        <w:spacing w:line="222" w:lineRule="auto"/>
        <w:rPr>
          <w:rFonts w:ascii="仿宋" w:hAnsi="仿宋" w:eastAsia="仿宋" w:cs="仿宋"/>
          <w:sz w:val="28"/>
          <w:szCs w:val="28"/>
        </w:rPr>
        <w:sectPr>
          <w:footerReference r:id="rId9" w:type="default"/>
          <w:pgSz w:w="11906" w:h="16839"/>
          <w:pgMar w:top="1440" w:right="1080" w:bottom="1440" w:left="1080" w:header="0" w:footer="989" w:gutter="0"/>
          <w:pgNumType w:fmt="decimal"/>
          <w:cols w:space="720" w:num="1"/>
        </w:sectPr>
      </w:pPr>
    </w:p>
    <w:p w14:paraId="1C109053">
      <w:pPr>
        <w:keepLines w:val="0"/>
        <w:pageBreakBefore w:val="0"/>
        <w:kinsoku/>
        <w:wordWrap/>
        <w:overflowPunct/>
        <w:topLinePunct w:val="0"/>
        <w:bidi w:val="0"/>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14:paraId="4F2263CF">
      <w:pPr>
        <w:pStyle w:val="7"/>
        <w:keepLines w:val="0"/>
        <w:pageBreakBefore w:val="0"/>
        <w:kinsoku/>
        <w:wordWrap/>
        <w:overflowPunct/>
        <w:topLinePunct w:val="0"/>
        <w:bidi w:val="0"/>
        <w:spacing w:line="243" w:lineRule="auto"/>
      </w:pPr>
    </w:p>
    <w:p w14:paraId="089D5CB6">
      <w:pPr>
        <w:pStyle w:val="7"/>
        <w:keepLines w:val="0"/>
        <w:pageBreakBefore w:val="0"/>
        <w:kinsoku/>
        <w:wordWrap/>
        <w:overflowPunct/>
        <w:topLinePunct w:val="0"/>
        <w:bidi w:val="0"/>
        <w:spacing w:line="244" w:lineRule="auto"/>
      </w:pPr>
    </w:p>
    <w:p w14:paraId="20837384">
      <w:pPr>
        <w:keepNext w:val="0"/>
        <w:keepLines w:val="0"/>
        <w:pageBreakBefore w:val="0"/>
        <w:widowControl/>
        <w:kinsoku/>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color w:val="auto"/>
          <w:sz w:val="24"/>
          <w:szCs w:val="24"/>
        </w:rPr>
      </w:pPr>
      <w:r>
        <w:rPr>
          <w:rFonts w:ascii="仿宋" w:hAnsi="仿宋" w:eastAsia="仿宋" w:cs="仿宋"/>
          <w:b/>
          <w:bCs/>
          <w:color w:val="auto"/>
          <w:spacing w:val="1"/>
          <w:sz w:val="24"/>
          <w:szCs w:val="24"/>
        </w:rPr>
        <w:t>1.投标函</w:t>
      </w:r>
    </w:p>
    <w:p w14:paraId="4A638D6F">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color w:val="auto"/>
          <w:sz w:val="24"/>
          <w:szCs w:val="24"/>
        </w:rPr>
      </w:pPr>
      <w:r>
        <w:rPr>
          <w:rFonts w:ascii="仿宋" w:hAnsi="仿宋" w:eastAsia="仿宋" w:cs="仿宋"/>
          <w:b/>
          <w:bCs/>
          <w:color w:val="auto"/>
          <w:spacing w:val="6"/>
          <w:position w:val="14"/>
          <w:sz w:val="24"/>
          <w:szCs w:val="24"/>
        </w:rPr>
        <w:t>2.投标报价一览表</w:t>
      </w:r>
    </w:p>
    <w:p w14:paraId="04B6C174">
      <w:pPr>
        <w:keepNext w:val="0"/>
        <w:keepLines w:val="0"/>
        <w:pageBreakBefore w:val="0"/>
        <w:widowControl/>
        <w:kinsoku/>
        <w:wordWrap/>
        <w:overflowPunct/>
        <w:topLinePunct w:val="0"/>
        <w:autoSpaceDE w:val="0"/>
        <w:autoSpaceDN w:val="0"/>
        <w:bidi w:val="0"/>
        <w:adjustRightInd w:val="0"/>
        <w:snapToGrid w:val="0"/>
        <w:spacing w:before="1" w:line="440" w:lineRule="exact"/>
        <w:ind w:left="659"/>
        <w:textAlignment w:val="baseline"/>
        <w:rPr>
          <w:rFonts w:ascii="仿宋" w:hAnsi="仿宋" w:eastAsia="仿宋" w:cs="仿宋"/>
          <w:b/>
          <w:bCs/>
          <w:color w:val="auto"/>
          <w:spacing w:val="6"/>
          <w:sz w:val="24"/>
          <w:szCs w:val="24"/>
        </w:rPr>
      </w:pPr>
      <w:r>
        <w:rPr>
          <w:rFonts w:ascii="仿宋" w:hAnsi="仿宋" w:eastAsia="仿宋" w:cs="仿宋"/>
          <w:b/>
          <w:bCs/>
          <w:color w:val="auto"/>
          <w:spacing w:val="6"/>
          <w:sz w:val="24"/>
          <w:szCs w:val="24"/>
        </w:rPr>
        <w:t>3.分项报价明细表</w:t>
      </w:r>
    </w:p>
    <w:p w14:paraId="1CFBBED2">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default"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4.投标货物（设备）技术、性能、质量具体明细及偏离表</w:t>
      </w:r>
    </w:p>
    <w:p w14:paraId="56B3659D">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5</w:t>
      </w:r>
      <w:r>
        <w:rPr>
          <w:rFonts w:ascii="仿宋" w:hAnsi="仿宋" w:eastAsia="仿宋" w:cs="仿宋"/>
          <w:b/>
          <w:bCs/>
          <w:color w:val="auto"/>
          <w:spacing w:val="6"/>
          <w:position w:val="14"/>
          <w:sz w:val="24"/>
          <w:szCs w:val="24"/>
        </w:rPr>
        <w:t>.法定代表人身份证明</w:t>
      </w:r>
    </w:p>
    <w:p w14:paraId="6CB3DD2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6</w:t>
      </w:r>
      <w:r>
        <w:rPr>
          <w:rFonts w:ascii="仿宋" w:hAnsi="仿宋" w:eastAsia="仿宋" w:cs="仿宋"/>
          <w:b/>
          <w:bCs/>
          <w:color w:val="auto"/>
          <w:spacing w:val="6"/>
          <w:position w:val="14"/>
          <w:sz w:val="24"/>
          <w:szCs w:val="24"/>
        </w:rPr>
        <w:t>.法定代表人授权委托书</w:t>
      </w:r>
    </w:p>
    <w:p w14:paraId="1C07361F">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7</w:t>
      </w:r>
      <w:r>
        <w:rPr>
          <w:rFonts w:ascii="仿宋" w:hAnsi="仿宋" w:eastAsia="仿宋" w:cs="仿宋"/>
          <w:b/>
          <w:bCs/>
          <w:color w:val="auto"/>
          <w:spacing w:val="6"/>
          <w:position w:val="14"/>
          <w:sz w:val="24"/>
          <w:szCs w:val="24"/>
        </w:rPr>
        <w:t>.</w:t>
      </w:r>
      <w:r>
        <w:rPr>
          <w:rFonts w:hint="eastAsia" w:ascii="仿宋" w:hAnsi="仿宋" w:eastAsia="仿宋" w:cs="仿宋"/>
          <w:b/>
          <w:bCs/>
          <w:color w:val="auto"/>
          <w:spacing w:val="6"/>
          <w:position w:val="14"/>
          <w:sz w:val="24"/>
          <w:szCs w:val="24"/>
          <w:lang w:eastAsia="zh-CN"/>
        </w:rPr>
        <w:t>投标人</w:t>
      </w:r>
      <w:r>
        <w:rPr>
          <w:rFonts w:ascii="仿宋" w:hAnsi="仿宋" w:eastAsia="仿宋" w:cs="仿宋"/>
          <w:b/>
          <w:bCs/>
          <w:color w:val="auto"/>
          <w:spacing w:val="6"/>
          <w:position w:val="14"/>
          <w:sz w:val="24"/>
          <w:szCs w:val="24"/>
        </w:rPr>
        <w:t>基本情况</w:t>
      </w:r>
    </w:p>
    <w:p w14:paraId="015FB546">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8</w:t>
      </w:r>
      <w:r>
        <w:rPr>
          <w:rFonts w:ascii="仿宋" w:hAnsi="仿宋" w:eastAsia="仿宋" w:cs="仿宋"/>
          <w:b/>
          <w:bCs/>
          <w:color w:val="auto"/>
          <w:spacing w:val="6"/>
          <w:position w:val="14"/>
          <w:sz w:val="24"/>
          <w:szCs w:val="24"/>
        </w:rPr>
        <w:t>.近三年无重大违法记录声明</w:t>
      </w:r>
    </w:p>
    <w:p w14:paraId="6E6C45B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9.具有履行合同所必须的设备和专业技术能力的承诺函</w:t>
      </w:r>
    </w:p>
    <w:p w14:paraId="18339355">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10.提供单位负责人为同一人或者存在直接控股、管理关系的不同投标人，不得参加同一合同项下的政府采购活动的书面声明（格式自拟）</w:t>
      </w:r>
    </w:p>
    <w:p w14:paraId="78DCC5FB">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11.拟投入本项目管理、服务、其他人员情况表</w:t>
      </w:r>
    </w:p>
    <w:p w14:paraId="4CA46E30">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12.保证金缴存证明（符合招标文件要求）</w:t>
      </w:r>
    </w:p>
    <w:p w14:paraId="0AE1513C">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13.方案</w:t>
      </w:r>
    </w:p>
    <w:p w14:paraId="43EC11E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14.其它证明材料</w:t>
      </w:r>
    </w:p>
    <w:p w14:paraId="3A4E1241">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15.声明函</w:t>
      </w:r>
    </w:p>
    <w:p w14:paraId="7BB50BDB">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6AB897A4">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70DBCDB2">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23B61480">
      <w:pPr>
        <w:keepLines w:val="0"/>
        <w:pageBreakBefore w:val="0"/>
        <w:kinsoku/>
        <w:wordWrap/>
        <w:overflowPunct/>
        <w:topLinePunct w:val="0"/>
        <w:bidi w:val="0"/>
        <w:spacing w:before="182" w:line="534" w:lineRule="exact"/>
        <w:ind w:left="3440"/>
        <w:rPr>
          <w:rFonts w:ascii="仿宋" w:hAnsi="仿宋" w:eastAsia="仿宋" w:cs="仿宋"/>
          <w:b/>
          <w:bCs/>
          <w:spacing w:val="1"/>
          <w:position w:val="15"/>
          <w:sz w:val="31"/>
          <w:szCs w:val="31"/>
        </w:rPr>
      </w:pPr>
    </w:p>
    <w:p w14:paraId="50CBA781">
      <w:pPr>
        <w:keepLines w:val="0"/>
        <w:pageBreakBefore w:val="0"/>
        <w:kinsoku/>
        <w:wordWrap/>
        <w:overflowPunct/>
        <w:topLinePunct w:val="0"/>
        <w:bidi w:val="0"/>
        <w:spacing w:before="182" w:line="534" w:lineRule="exact"/>
        <w:rPr>
          <w:rFonts w:ascii="仿宋" w:hAnsi="仿宋" w:eastAsia="仿宋" w:cs="仿宋"/>
          <w:b/>
          <w:bCs/>
          <w:spacing w:val="1"/>
          <w:position w:val="15"/>
          <w:sz w:val="31"/>
          <w:szCs w:val="31"/>
        </w:rPr>
      </w:pPr>
    </w:p>
    <w:p w14:paraId="2191BCD4">
      <w:pPr>
        <w:keepLines w:val="0"/>
        <w:pageBreakBefore w:val="0"/>
        <w:kinsoku/>
        <w:wordWrap/>
        <w:overflowPunct/>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335C861B">
      <w:pPr>
        <w:keepLines w:val="0"/>
        <w:pageBreakBefore w:val="0"/>
        <w:kinsoku/>
        <w:wordWrap/>
        <w:overflowPunct/>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ascii="仿宋" w:hAnsi="仿宋" w:eastAsia="仿宋" w:cs="仿宋"/>
          <w:b/>
          <w:bCs/>
          <w:spacing w:val="-1"/>
          <w:sz w:val="24"/>
          <w:szCs w:val="24"/>
        </w:rPr>
        <w:t>投标函</w:t>
      </w:r>
    </w:p>
    <w:p w14:paraId="09FBD4A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560BAC5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项目名称</w:t>
      </w:r>
      <w:r>
        <w:rPr>
          <w:rFonts w:ascii="仿宋" w:hAnsi="仿宋" w:eastAsia="仿宋" w:cs="仿宋"/>
          <w:spacing w:val="7"/>
          <w:sz w:val="24"/>
          <w:szCs w:val="24"/>
          <w:u w:val="single"/>
        </w:rPr>
        <w:t>、项目编号）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投标人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投标人</w:t>
      </w:r>
      <w:r>
        <w:rPr>
          <w:rFonts w:ascii="仿宋" w:hAnsi="仿宋" w:eastAsia="仿宋" w:cs="仿宋"/>
          <w:spacing w:val="7"/>
          <w:sz w:val="24"/>
          <w:szCs w:val="24"/>
          <w:u w:val="single"/>
        </w:rPr>
        <w:t>名称、地址）</w:t>
      </w:r>
      <w:r>
        <w:rPr>
          <w:rFonts w:ascii="仿宋" w:hAnsi="仿宋" w:eastAsia="仿宋" w:cs="仿宋"/>
          <w:spacing w:val="7"/>
          <w:sz w:val="24"/>
          <w:szCs w:val="24"/>
        </w:rPr>
        <w:t>提交下述投标文件并在此声明，所递交的投标文件内容完整、真实。在此，签字代表承诺如下：</w:t>
      </w:r>
    </w:p>
    <w:p w14:paraId="113484DA">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1、我方在详细阅读招标文件各项要求，根据对应采购内容及采购要求规定愿以</w:t>
      </w:r>
      <w:r>
        <w:rPr>
          <w:rFonts w:hint="eastAsia" w:ascii="仿宋" w:hAnsi="仿宋" w:eastAsia="仿宋" w:cs="仿宋"/>
          <w:spacing w:val="7"/>
          <w:sz w:val="24"/>
          <w:szCs w:val="24"/>
          <w:lang w:eastAsia="zh-CN"/>
        </w:rPr>
        <w:t>投标总报价（元）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25C840AB">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2、我方将按招标文件的规定履行合同责任和义务。</w:t>
      </w:r>
    </w:p>
    <w:p w14:paraId="36B3D8DE">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3、我方已详细审查全部招标文件，我们完全理解并同意放弃对这方面有不明及误解的权力。</w:t>
      </w:r>
    </w:p>
    <w:p w14:paraId="16EF538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4、若我方取得中标资格，愿以本项目招标文件规定，向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缴纳招标代理服务费。</w:t>
      </w:r>
    </w:p>
    <w:p w14:paraId="52FA8B0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、我方同意提供贵方可能要求的与其投标有关的一切数据或资料。</w:t>
      </w:r>
    </w:p>
    <w:p w14:paraId="7488261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（投标人认为需要的其他补充说明）。</w:t>
      </w:r>
    </w:p>
    <w:p w14:paraId="3BE6763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7、与本投标有关的一切正式往来信函请寄：</w:t>
      </w:r>
    </w:p>
    <w:p w14:paraId="488E9F2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377F0BB0">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173A215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3984717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387C5133">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10" w:type="default"/>
          <w:pgSz w:w="11906" w:h="16839"/>
          <w:pgMar w:top="1440" w:right="1080" w:bottom="1440" w:left="1080" w:header="0" w:footer="989" w:gutter="0"/>
          <w:pgNumType w:fmt="decimal"/>
          <w:cols w:space="720" w:num="1"/>
        </w:sectPr>
      </w:pPr>
    </w:p>
    <w:p w14:paraId="2EFCBA6F">
      <w:pPr>
        <w:keepLines w:val="0"/>
        <w:pageBreakBefore w:val="0"/>
        <w:kinsoku/>
        <w:wordWrap/>
        <w:overflowPunct/>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2.投标报价一览表</w:t>
      </w:r>
    </w:p>
    <w:p w14:paraId="52CB07D2">
      <w:pPr>
        <w:pStyle w:val="7"/>
        <w:keepLines w:val="0"/>
        <w:pageBreakBefore w:val="0"/>
        <w:kinsoku/>
        <w:wordWrap/>
        <w:overflowPunct/>
        <w:topLinePunct w:val="0"/>
        <w:bidi w:val="0"/>
        <w:spacing w:line="448" w:lineRule="auto"/>
      </w:pPr>
    </w:p>
    <w:p w14:paraId="75A2E39F">
      <w:pPr>
        <w:keepLines w:val="0"/>
        <w:pageBreakBefore w:val="0"/>
        <w:kinsoku/>
        <w:wordWrap/>
        <w:overflowPunct/>
        <w:topLinePunct w:val="0"/>
        <w:bidi w:val="0"/>
        <w:spacing w:before="78" w:line="221" w:lineRule="auto"/>
        <w:ind w:left="319"/>
        <w:rPr>
          <w:rFonts w:ascii="仿宋" w:hAnsi="仿宋" w:eastAsia="仿宋" w:cs="仿宋"/>
          <w:sz w:val="24"/>
          <w:szCs w:val="24"/>
        </w:rPr>
      </w:pPr>
      <w:r>
        <w:rPr>
          <w:rFonts w:hint="eastAsia" w:ascii="仿宋" w:hAnsi="仿宋" w:eastAsia="仿宋" w:cs="仿宋"/>
          <w:spacing w:val="-2"/>
          <w:sz w:val="24"/>
          <w:szCs w:val="24"/>
          <w:lang w:eastAsia="zh-CN"/>
        </w:rPr>
        <w:t>项目名称</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5DDDD891">
      <w:pPr>
        <w:keepLines w:val="0"/>
        <w:pageBreakBefore w:val="0"/>
        <w:kinsoku/>
        <w:wordWrap/>
        <w:overflowPunct/>
        <w:topLinePunct w:val="0"/>
        <w:bidi w:val="0"/>
        <w:spacing w:before="69"/>
      </w:pPr>
    </w:p>
    <w:p w14:paraId="4D5D36A6">
      <w:pPr>
        <w:keepLines w:val="0"/>
        <w:pageBreakBefore w:val="0"/>
        <w:kinsoku/>
        <w:wordWrap/>
        <w:overflowPunct/>
        <w:topLinePunct w:val="0"/>
        <w:bidi w:val="0"/>
        <w:spacing w:before="69"/>
      </w:pPr>
    </w:p>
    <w:p w14:paraId="40AE85B9">
      <w:pPr>
        <w:keepLines w:val="0"/>
        <w:pageBreakBefore w:val="0"/>
        <w:kinsoku/>
        <w:wordWrap/>
        <w:overflowPunct/>
        <w:topLinePunct w:val="0"/>
        <w:bidi w:val="0"/>
        <w:spacing w:before="68"/>
      </w:pPr>
    </w:p>
    <w:tbl>
      <w:tblPr>
        <w:tblStyle w:val="25"/>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523D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77FD0937">
            <w:pPr>
              <w:keepLines w:val="0"/>
              <w:pageBreakBefore w:val="0"/>
              <w:kinsoku/>
              <w:wordWrap/>
              <w:overflowPunct/>
              <w:topLinePunct w:val="0"/>
              <w:bidi w:val="0"/>
              <w:spacing w:line="254" w:lineRule="auto"/>
              <w:rPr>
                <w:rFonts w:ascii="Arial"/>
                <w:sz w:val="24"/>
                <w:szCs w:val="24"/>
              </w:rPr>
            </w:pPr>
          </w:p>
          <w:p w14:paraId="3787B339">
            <w:pPr>
              <w:keepLines w:val="0"/>
              <w:pageBreakBefore w:val="0"/>
              <w:kinsoku/>
              <w:wordWrap/>
              <w:overflowPunct/>
              <w:topLinePunct w:val="0"/>
              <w:bidi w:val="0"/>
              <w:spacing w:line="254" w:lineRule="auto"/>
              <w:rPr>
                <w:rFonts w:ascii="Arial"/>
                <w:sz w:val="24"/>
                <w:szCs w:val="24"/>
              </w:rPr>
            </w:pPr>
          </w:p>
          <w:p w14:paraId="157A1B3D">
            <w:pPr>
              <w:keepLines w:val="0"/>
              <w:pageBreakBefore w:val="0"/>
              <w:kinsoku/>
              <w:wordWrap/>
              <w:overflowPunct/>
              <w:topLinePunct w:val="0"/>
              <w:bidi w:val="0"/>
              <w:spacing w:line="254" w:lineRule="auto"/>
              <w:rPr>
                <w:rFonts w:ascii="Arial"/>
                <w:sz w:val="24"/>
                <w:szCs w:val="24"/>
              </w:rPr>
            </w:pPr>
          </w:p>
          <w:p w14:paraId="469A13D0">
            <w:pPr>
              <w:keepLines w:val="0"/>
              <w:pageBreakBefore w:val="0"/>
              <w:kinsoku/>
              <w:wordWrap/>
              <w:overflowPunct/>
              <w:topLinePunct w:val="0"/>
              <w:bidi w:val="0"/>
              <w:spacing w:line="254" w:lineRule="auto"/>
              <w:rPr>
                <w:rFonts w:ascii="Arial"/>
                <w:sz w:val="24"/>
                <w:szCs w:val="24"/>
              </w:rPr>
            </w:pPr>
          </w:p>
          <w:p w14:paraId="47948D8D">
            <w:pPr>
              <w:keepLines w:val="0"/>
              <w:pageBreakBefore w:val="0"/>
              <w:kinsoku/>
              <w:wordWrap/>
              <w:overflowPunct/>
              <w:topLinePunct w:val="0"/>
              <w:bidi w:val="0"/>
              <w:spacing w:line="254" w:lineRule="auto"/>
              <w:rPr>
                <w:rFonts w:ascii="Arial"/>
                <w:sz w:val="24"/>
                <w:szCs w:val="24"/>
              </w:rPr>
            </w:pPr>
          </w:p>
          <w:p w14:paraId="457503B8">
            <w:pPr>
              <w:keepLines w:val="0"/>
              <w:pageBreakBefore w:val="0"/>
              <w:kinsoku/>
              <w:wordWrap/>
              <w:overflowPunct/>
              <w:topLinePunct w:val="0"/>
              <w:bidi w:val="0"/>
              <w:spacing w:line="255" w:lineRule="auto"/>
              <w:rPr>
                <w:rFonts w:ascii="Arial"/>
                <w:sz w:val="24"/>
                <w:szCs w:val="24"/>
              </w:rPr>
            </w:pPr>
          </w:p>
          <w:p w14:paraId="7FDE39FF">
            <w:pPr>
              <w:pStyle w:val="26"/>
              <w:keepLines w:val="0"/>
              <w:pageBreakBefore w:val="0"/>
              <w:kinsoku/>
              <w:wordWrap/>
              <w:overflowPunct/>
              <w:topLinePunct w:val="0"/>
              <w:bidi w:val="0"/>
              <w:spacing w:before="78" w:line="222" w:lineRule="auto"/>
              <w:jc w:val="center"/>
              <w:rPr>
                <w:sz w:val="24"/>
                <w:szCs w:val="24"/>
              </w:rPr>
            </w:pPr>
            <w:r>
              <w:rPr>
                <w:spacing w:val="-2"/>
                <w:sz w:val="24"/>
                <w:szCs w:val="24"/>
              </w:rPr>
              <w:t>投标</w:t>
            </w:r>
            <w:r>
              <w:rPr>
                <w:rFonts w:hint="eastAsia"/>
                <w:spacing w:val="-2"/>
                <w:sz w:val="24"/>
                <w:szCs w:val="24"/>
                <w:lang w:eastAsia="zh-CN"/>
              </w:rPr>
              <w:t>报价（元）</w:t>
            </w:r>
          </w:p>
        </w:tc>
        <w:tc>
          <w:tcPr>
            <w:tcW w:w="5939" w:type="dxa"/>
            <w:vAlign w:val="top"/>
          </w:tcPr>
          <w:p w14:paraId="36A9E43D">
            <w:pPr>
              <w:keepLines w:val="0"/>
              <w:pageBreakBefore w:val="0"/>
              <w:kinsoku/>
              <w:wordWrap/>
              <w:overflowPunct/>
              <w:topLinePunct w:val="0"/>
              <w:bidi w:val="0"/>
              <w:spacing w:line="341" w:lineRule="auto"/>
              <w:rPr>
                <w:rFonts w:ascii="Arial"/>
                <w:sz w:val="24"/>
                <w:szCs w:val="24"/>
              </w:rPr>
            </w:pPr>
          </w:p>
          <w:p w14:paraId="3981B3B6">
            <w:pPr>
              <w:keepLines w:val="0"/>
              <w:pageBreakBefore w:val="0"/>
              <w:kinsoku/>
              <w:wordWrap/>
              <w:overflowPunct/>
              <w:topLinePunct w:val="0"/>
              <w:bidi w:val="0"/>
              <w:spacing w:line="342" w:lineRule="auto"/>
              <w:rPr>
                <w:rFonts w:ascii="Arial"/>
                <w:sz w:val="24"/>
                <w:szCs w:val="24"/>
              </w:rPr>
            </w:pPr>
          </w:p>
          <w:p w14:paraId="06956AAB">
            <w:pPr>
              <w:pStyle w:val="26"/>
              <w:keepLines w:val="0"/>
              <w:pageBreakBefore w:val="0"/>
              <w:kinsoku/>
              <w:wordWrap/>
              <w:overflowPunct/>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69641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69DBB773">
            <w:pPr>
              <w:keepLines w:val="0"/>
              <w:pageBreakBefore w:val="0"/>
              <w:kinsoku/>
              <w:wordWrap/>
              <w:overflowPunct/>
              <w:topLinePunct w:val="0"/>
              <w:bidi w:val="0"/>
              <w:rPr>
                <w:rFonts w:ascii="Arial"/>
                <w:sz w:val="24"/>
                <w:szCs w:val="24"/>
              </w:rPr>
            </w:pPr>
          </w:p>
        </w:tc>
        <w:tc>
          <w:tcPr>
            <w:tcW w:w="5939" w:type="dxa"/>
            <w:vAlign w:val="top"/>
          </w:tcPr>
          <w:p w14:paraId="3F06371E">
            <w:pPr>
              <w:keepLines w:val="0"/>
              <w:pageBreakBefore w:val="0"/>
              <w:kinsoku/>
              <w:wordWrap/>
              <w:overflowPunct/>
              <w:topLinePunct w:val="0"/>
              <w:bidi w:val="0"/>
              <w:spacing w:line="320" w:lineRule="auto"/>
              <w:rPr>
                <w:rFonts w:ascii="Arial"/>
                <w:sz w:val="24"/>
                <w:szCs w:val="24"/>
              </w:rPr>
            </w:pPr>
          </w:p>
          <w:p w14:paraId="28700A69">
            <w:pPr>
              <w:keepLines w:val="0"/>
              <w:pageBreakBefore w:val="0"/>
              <w:kinsoku/>
              <w:wordWrap/>
              <w:overflowPunct/>
              <w:topLinePunct w:val="0"/>
              <w:bidi w:val="0"/>
              <w:spacing w:line="320" w:lineRule="auto"/>
              <w:rPr>
                <w:rFonts w:ascii="Arial"/>
                <w:sz w:val="24"/>
                <w:szCs w:val="24"/>
              </w:rPr>
            </w:pPr>
          </w:p>
          <w:p w14:paraId="6A7EB380">
            <w:pPr>
              <w:pStyle w:val="26"/>
              <w:keepLines w:val="0"/>
              <w:pageBreakBefore w:val="0"/>
              <w:kinsoku/>
              <w:wordWrap/>
              <w:overflowPunct/>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3482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5764CE3E">
            <w:pPr>
              <w:keepLines w:val="0"/>
              <w:pageBreakBefore w:val="0"/>
              <w:kinsoku/>
              <w:wordWrap/>
              <w:overflowPunct/>
              <w:topLinePunct w:val="0"/>
              <w:bidi w:val="0"/>
              <w:spacing w:line="404" w:lineRule="auto"/>
              <w:rPr>
                <w:rFonts w:ascii="Arial"/>
                <w:sz w:val="24"/>
                <w:szCs w:val="24"/>
              </w:rPr>
            </w:pPr>
          </w:p>
          <w:p w14:paraId="79E6F45C">
            <w:pPr>
              <w:pStyle w:val="26"/>
              <w:keepLines w:val="0"/>
              <w:pageBreakBefore w:val="0"/>
              <w:kinsoku/>
              <w:wordWrap/>
              <w:overflowPunct/>
              <w:topLinePunct w:val="0"/>
              <w:bidi w:val="0"/>
              <w:spacing w:before="78" w:line="222" w:lineRule="auto"/>
              <w:ind w:left="1014"/>
              <w:rPr>
                <w:sz w:val="24"/>
                <w:szCs w:val="24"/>
              </w:rPr>
            </w:pPr>
            <w:r>
              <w:rPr>
                <w:rFonts w:hint="eastAsia"/>
                <w:sz w:val="24"/>
                <w:szCs w:val="24"/>
                <w:lang w:eastAsia="zh-CN"/>
              </w:rPr>
              <w:t>供货</w:t>
            </w:r>
            <w:r>
              <w:rPr>
                <w:sz w:val="24"/>
                <w:szCs w:val="24"/>
              </w:rPr>
              <w:t>期限</w:t>
            </w:r>
          </w:p>
        </w:tc>
        <w:tc>
          <w:tcPr>
            <w:tcW w:w="5939" w:type="dxa"/>
            <w:vAlign w:val="top"/>
          </w:tcPr>
          <w:p w14:paraId="1DAF59C7">
            <w:pPr>
              <w:keepLines w:val="0"/>
              <w:pageBreakBefore w:val="0"/>
              <w:kinsoku/>
              <w:wordWrap/>
              <w:overflowPunct/>
              <w:topLinePunct w:val="0"/>
              <w:bidi w:val="0"/>
              <w:rPr>
                <w:rFonts w:ascii="Arial"/>
                <w:sz w:val="24"/>
                <w:szCs w:val="24"/>
              </w:rPr>
            </w:pPr>
          </w:p>
        </w:tc>
      </w:tr>
      <w:tr w14:paraId="3EC07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12B3E34F">
            <w:pPr>
              <w:keepLines w:val="0"/>
              <w:pageBreakBefore w:val="0"/>
              <w:kinsoku/>
              <w:wordWrap/>
              <w:overflowPunct/>
              <w:topLinePunct w:val="0"/>
              <w:bidi w:val="0"/>
              <w:spacing w:line="404" w:lineRule="auto"/>
              <w:rPr>
                <w:rFonts w:ascii="Arial"/>
                <w:sz w:val="24"/>
                <w:szCs w:val="24"/>
              </w:rPr>
            </w:pPr>
          </w:p>
          <w:p w14:paraId="3AFF3D30">
            <w:pPr>
              <w:pStyle w:val="26"/>
              <w:keepLines w:val="0"/>
              <w:pageBreakBefore w:val="0"/>
              <w:kinsoku/>
              <w:wordWrap/>
              <w:overflowPunct/>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76E2AD0E">
            <w:pPr>
              <w:keepLines w:val="0"/>
              <w:pageBreakBefore w:val="0"/>
              <w:kinsoku/>
              <w:wordWrap/>
              <w:overflowPunct/>
              <w:topLinePunct w:val="0"/>
              <w:bidi w:val="0"/>
              <w:rPr>
                <w:rFonts w:ascii="Arial"/>
                <w:sz w:val="24"/>
                <w:szCs w:val="24"/>
              </w:rPr>
            </w:pPr>
          </w:p>
        </w:tc>
      </w:tr>
      <w:tr w14:paraId="38AE5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6F7EFE2A">
            <w:pPr>
              <w:keepLines w:val="0"/>
              <w:pageBreakBefore w:val="0"/>
              <w:kinsoku/>
              <w:wordWrap/>
              <w:overflowPunct/>
              <w:topLinePunct w:val="0"/>
              <w:bidi w:val="0"/>
              <w:spacing w:line="407" w:lineRule="auto"/>
              <w:rPr>
                <w:rFonts w:ascii="Arial"/>
                <w:sz w:val="24"/>
                <w:szCs w:val="24"/>
              </w:rPr>
            </w:pPr>
          </w:p>
          <w:p w14:paraId="72A2D982">
            <w:pPr>
              <w:pStyle w:val="26"/>
              <w:keepLines w:val="0"/>
              <w:pageBreakBefore w:val="0"/>
              <w:kinsoku/>
              <w:wordWrap/>
              <w:overflowPunct/>
              <w:topLinePunct w:val="0"/>
              <w:bidi w:val="0"/>
              <w:spacing w:before="78" w:line="224" w:lineRule="auto"/>
              <w:ind w:left="1256"/>
              <w:rPr>
                <w:sz w:val="24"/>
                <w:szCs w:val="24"/>
              </w:rPr>
            </w:pPr>
            <w:r>
              <w:rPr>
                <w:spacing w:val="-9"/>
                <w:sz w:val="24"/>
                <w:szCs w:val="24"/>
              </w:rPr>
              <w:t>备注</w:t>
            </w:r>
          </w:p>
        </w:tc>
        <w:tc>
          <w:tcPr>
            <w:tcW w:w="5939" w:type="dxa"/>
            <w:vAlign w:val="top"/>
          </w:tcPr>
          <w:p w14:paraId="2A6C3148">
            <w:pPr>
              <w:keepLines w:val="0"/>
              <w:pageBreakBefore w:val="0"/>
              <w:kinsoku/>
              <w:wordWrap/>
              <w:overflowPunct/>
              <w:topLinePunct w:val="0"/>
              <w:bidi w:val="0"/>
              <w:rPr>
                <w:rFonts w:ascii="Arial"/>
                <w:sz w:val="24"/>
                <w:szCs w:val="24"/>
              </w:rPr>
            </w:pPr>
          </w:p>
        </w:tc>
      </w:tr>
    </w:tbl>
    <w:p w14:paraId="578B8870">
      <w:pPr>
        <w:keepLines w:val="0"/>
        <w:pageBreakBefore w:val="0"/>
        <w:kinsoku/>
        <w:wordWrap/>
        <w:overflowPunct/>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06C79415">
      <w:pPr>
        <w:keepLines w:val="0"/>
        <w:pageBreakBefore w:val="0"/>
        <w:kinsoku/>
        <w:wordWrap/>
        <w:overflowPunct/>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12A6AD88">
      <w:pPr>
        <w:keepLines w:val="0"/>
        <w:pageBreakBefore w:val="0"/>
        <w:kinsoku/>
        <w:wordWrap/>
        <w:overflowPunct/>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19DEF6BA">
      <w:pPr>
        <w:keepLines w:val="0"/>
        <w:pageBreakBefore w:val="0"/>
        <w:kinsoku/>
        <w:wordWrap/>
        <w:overflowPunct/>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03FC4468">
      <w:pPr>
        <w:keepLines w:val="0"/>
        <w:pageBreakBefore w:val="0"/>
        <w:kinsoku/>
        <w:wordWrap/>
        <w:overflowPunct/>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1、请严格按此“投标报价一览表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投标人</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阅读招标文件报价要求并自行考</w:t>
      </w:r>
      <w:r>
        <w:rPr>
          <w:rFonts w:ascii="仿宋" w:hAnsi="仿宋" w:eastAsia="仿宋" w:cs="仿宋"/>
          <w:spacing w:val="-3"/>
          <w:sz w:val="24"/>
          <w:szCs w:val="24"/>
        </w:rPr>
        <w:t xml:space="preserve"> </w:t>
      </w:r>
      <w:r>
        <w:rPr>
          <w:rFonts w:ascii="仿宋" w:hAnsi="仿宋" w:eastAsia="仿宋" w:cs="仿宋"/>
          <w:b/>
          <w:bCs/>
          <w:spacing w:val="-3"/>
          <w:sz w:val="24"/>
          <w:szCs w:val="24"/>
        </w:rPr>
        <w:t>虑市场风险以及价格合理性。</w:t>
      </w:r>
    </w:p>
    <w:p w14:paraId="27BC29ED">
      <w:pPr>
        <w:keepLines w:val="0"/>
        <w:pageBreakBefore w:val="0"/>
        <w:kinsoku/>
        <w:wordWrap/>
        <w:overflowPunct/>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2、合价之和即为投标总报价，合价依据为分项价格表计算得出。</w:t>
      </w:r>
    </w:p>
    <w:p w14:paraId="11730A9E">
      <w:pPr>
        <w:keepLines w:val="0"/>
        <w:pageBreakBefore w:val="0"/>
        <w:kinsoku/>
        <w:wordWrap/>
        <w:overflowPunct/>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3、投标报价一览表中投标总报价应与投标函一致。</w:t>
      </w:r>
    </w:p>
    <w:p w14:paraId="2D4FFD15">
      <w:pPr>
        <w:keepLines w:val="0"/>
        <w:pageBreakBefore w:val="0"/>
        <w:kinsoku/>
        <w:wordWrap/>
        <w:overflowPunct/>
        <w:topLinePunct w:val="0"/>
        <w:bidi w:val="0"/>
        <w:spacing w:line="222" w:lineRule="auto"/>
        <w:rPr>
          <w:rFonts w:ascii="仿宋" w:hAnsi="仿宋" w:eastAsia="仿宋" w:cs="仿宋"/>
          <w:sz w:val="18"/>
          <w:szCs w:val="18"/>
        </w:rPr>
      </w:pPr>
    </w:p>
    <w:p w14:paraId="2C2C203F">
      <w:pPr>
        <w:pStyle w:val="7"/>
        <w:keepLines w:val="0"/>
        <w:pageBreakBefore w:val="0"/>
        <w:kinsoku/>
        <w:wordWrap/>
        <w:overflowPunct/>
        <w:topLinePunct w:val="0"/>
        <w:bidi w:val="0"/>
        <w:sectPr>
          <w:footerReference r:id="rId11" w:type="default"/>
          <w:pgSz w:w="11906" w:h="16839"/>
          <w:pgMar w:top="1440" w:right="1080" w:bottom="1440" w:left="1080" w:header="0" w:footer="989" w:gutter="0"/>
          <w:pgNumType w:fmt="decimal"/>
          <w:cols w:space="720" w:num="1"/>
        </w:sectPr>
      </w:pPr>
    </w:p>
    <w:p w14:paraId="5FA3298C">
      <w:pPr>
        <w:keepLines w:val="0"/>
        <w:pageBreakBefore w:val="0"/>
        <w:kinsoku/>
        <w:wordWrap/>
        <w:overflowPunct/>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tbl>
      <w:tblPr>
        <w:tblStyle w:val="16"/>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81"/>
        <w:gridCol w:w="2894"/>
        <w:gridCol w:w="855"/>
        <w:gridCol w:w="967"/>
        <w:gridCol w:w="1242"/>
        <w:gridCol w:w="1242"/>
        <w:gridCol w:w="2629"/>
        <w:gridCol w:w="810"/>
      </w:tblGrid>
      <w:tr w14:paraId="2F22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center"/>
          </w:tcPr>
          <w:p w14:paraId="35EFD27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81" w:type="dxa"/>
            <w:noWrap w:val="0"/>
            <w:vAlign w:val="center"/>
          </w:tcPr>
          <w:p w14:paraId="7402B11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品名</w:t>
            </w:r>
          </w:p>
        </w:tc>
        <w:tc>
          <w:tcPr>
            <w:tcW w:w="2894" w:type="dxa"/>
            <w:noWrap w:val="0"/>
            <w:vAlign w:val="center"/>
          </w:tcPr>
          <w:p w14:paraId="3F021A8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规格参数及要求</w:t>
            </w:r>
          </w:p>
        </w:tc>
        <w:tc>
          <w:tcPr>
            <w:tcW w:w="855" w:type="dxa"/>
            <w:noWrap w:val="0"/>
            <w:vAlign w:val="center"/>
          </w:tcPr>
          <w:p w14:paraId="1579733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67" w:type="dxa"/>
            <w:noWrap w:val="0"/>
            <w:vAlign w:val="center"/>
          </w:tcPr>
          <w:p w14:paraId="7104A50D">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42" w:type="dxa"/>
            <w:noWrap w:val="0"/>
            <w:vAlign w:val="center"/>
          </w:tcPr>
          <w:p w14:paraId="2683EAC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242" w:type="dxa"/>
            <w:noWrap w:val="0"/>
            <w:vAlign w:val="center"/>
          </w:tcPr>
          <w:p w14:paraId="62E748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总</w:t>
            </w:r>
            <w:r>
              <w:rPr>
                <w:rFonts w:hint="eastAsia" w:ascii="宋体" w:hAnsi="宋体" w:eastAsia="宋体" w:cs="宋体"/>
                <w:color w:val="auto"/>
                <w:kern w:val="0"/>
                <w:sz w:val="24"/>
                <w:szCs w:val="24"/>
                <w:highlight w:val="none"/>
              </w:rPr>
              <w:t>价（元）</w:t>
            </w:r>
          </w:p>
        </w:tc>
        <w:tc>
          <w:tcPr>
            <w:tcW w:w="2629" w:type="dxa"/>
            <w:noWrap w:val="0"/>
            <w:vAlign w:val="center"/>
          </w:tcPr>
          <w:p w14:paraId="343B552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品牌/型号/厂家</w:t>
            </w:r>
          </w:p>
        </w:tc>
        <w:tc>
          <w:tcPr>
            <w:tcW w:w="810" w:type="dxa"/>
            <w:noWrap w:val="0"/>
            <w:vAlign w:val="center"/>
          </w:tcPr>
          <w:p w14:paraId="7162B10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67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0"/>
            <w:vAlign w:val="center"/>
          </w:tcPr>
          <w:p w14:paraId="5AB8389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p>
        </w:tc>
        <w:tc>
          <w:tcPr>
            <w:tcW w:w="2981" w:type="dxa"/>
            <w:noWrap w:val="0"/>
            <w:vAlign w:val="center"/>
          </w:tcPr>
          <w:p w14:paraId="3E8E3A3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血液透析设备（双泵）</w:t>
            </w:r>
          </w:p>
        </w:tc>
        <w:tc>
          <w:tcPr>
            <w:tcW w:w="2894" w:type="dxa"/>
            <w:noWrap w:val="0"/>
            <w:vAlign w:val="center"/>
          </w:tcPr>
          <w:p w14:paraId="14D637E0">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 第五章  采购需求及技术要求</w:t>
            </w:r>
          </w:p>
        </w:tc>
        <w:tc>
          <w:tcPr>
            <w:tcW w:w="855" w:type="dxa"/>
            <w:noWrap w:val="0"/>
            <w:vAlign w:val="center"/>
          </w:tcPr>
          <w:p w14:paraId="5B8686E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967" w:type="dxa"/>
            <w:noWrap w:val="0"/>
            <w:vAlign w:val="center"/>
          </w:tcPr>
          <w:p w14:paraId="48D08F6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1242" w:type="dxa"/>
            <w:noWrap w:val="0"/>
            <w:vAlign w:val="center"/>
          </w:tcPr>
          <w:p w14:paraId="44334D7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62CD462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127C55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A8FB77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A1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noWrap w:val="0"/>
            <w:vAlign w:val="center"/>
          </w:tcPr>
          <w:p w14:paraId="5C170F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981" w:type="dxa"/>
            <w:noWrap w:val="0"/>
            <w:vAlign w:val="center"/>
          </w:tcPr>
          <w:p w14:paraId="15DA81D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血液透析设备（单泵）</w:t>
            </w:r>
          </w:p>
        </w:tc>
        <w:tc>
          <w:tcPr>
            <w:tcW w:w="2894" w:type="dxa"/>
            <w:noWrap w:val="0"/>
            <w:vAlign w:val="center"/>
          </w:tcPr>
          <w:p w14:paraId="7B2F309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 第五章  采购需求及技术要求</w:t>
            </w:r>
          </w:p>
        </w:tc>
        <w:tc>
          <w:tcPr>
            <w:tcW w:w="855" w:type="dxa"/>
            <w:noWrap w:val="0"/>
            <w:vAlign w:val="center"/>
          </w:tcPr>
          <w:p w14:paraId="6B5DA6F3">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967" w:type="dxa"/>
            <w:noWrap w:val="0"/>
            <w:vAlign w:val="center"/>
          </w:tcPr>
          <w:p w14:paraId="3AF339C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1242" w:type="dxa"/>
            <w:noWrap w:val="0"/>
            <w:vAlign w:val="center"/>
          </w:tcPr>
          <w:p w14:paraId="4F82AC6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49B0A7D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59469C0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1387397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73F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0"/>
            <w:vAlign w:val="center"/>
          </w:tcPr>
          <w:p w14:paraId="6608998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981" w:type="dxa"/>
            <w:noWrap w:val="0"/>
            <w:vAlign w:val="center"/>
          </w:tcPr>
          <w:p w14:paraId="19690463">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全自动血液分析流水线</w:t>
            </w:r>
          </w:p>
        </w:tc>
        <w:tc>
          <w:tcPr>
            <w:tcW w:w="2894" w:type="dxa"/>
            <w:noWrap w:val="0"/>
            <w:vAlign w:val="center"/>
          </w:tcPr>
          <w:p w14:paraId="07315C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 第五章  采购需求及技术要求</w:t>
            </w:r>
          </w:p>
        </w:tc>
        <w:tc>
          <w:tcPr>
            <w:tcW w:w="855" w:type="dxa"/>
            <w:noWrap w:val="0"/>
            <w:vAlign w:val="center"/>
          </w:tcPr>
          <w:p w14:paraId="5757D81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967" w:type="dxa"/>
            <w:noWrap w:val="0"/>
            <w:vAlign w:val="center"/>
          </w:tcPr>
          <w:p w14:paraId="4C53AAE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套</w:t>
            </w:r>
          </w:p>
        </w:tc>
        <w:tc>
          <w:tcPr>
            <w:tcW w:w="1242" w:type="dxa"/>
            <w:noWrap w:val="0"/>
            <w:vAlign w:val="center"/>
          </w:tcPr>
          <w:p w14:paraId="03E1E3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27EE9E7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1A78A2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B89DD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1DB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0"/>
            <w:vAlign w:val="center"/>
          </w:tcPr>
          <w:p w14:paraId="08225ED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981" w:type="dxa"/>
            <w:noWrap w:val="0"/>
            <w:vAlign w:val="center"/>
          </w:tcPr>
          <w:p w14:paraId="1BCE32E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全自动血栓弹力图仪</w:t>
            </w:r>
          </w:p>
        </w:tc>
        <w:tc>
          <w:tcPr>
            <w:tcW w:w="2894" w:type="dxa"/>
            <w:noWrap w:val="0"/>
            <w:vAlign w:val="center"/>
          </w:tcPr>
          <w:p w14:paraId="50CF5D6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 第五章  采购需求及技术要求</w:t>
            </w:r>
          </w:p>
        </w:tc>
        <w:tc>
          <w:tcPr>
            <w:tcW w:w="855" w:type="dxa"/>
            <w:noWrap w:val="0"/>
            <w:vAlign w:val="center"/>
          </w:tcPr>
          <w:p w14:paraId="62D7332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967" w:type="dxa"/>
            <w:noWrap w:val="0"/>
            <w:vAlign w:val="center"/>
          </w:tcPr>
          <w:p w14:paraId="22F2897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1242" w:type="dxa"/>
            <w:noWrap w:val="0"/>
            <w:vAlign w:val="center"/>
          </w:tcPr>
          <w:p w14:paraId="7A61B55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E39796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3AFC41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60EE22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448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0E011F0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981" w:type="dxa"/>
            <w:noWrap w:val="0"/>
            <w:vAlign w:val="center"/>
          </w:tcPr>
          <w:p w14:paraId="0861490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病理显微镜（</w:t>
            </w:r>
            <w:r>
              <w:rPr>
                <w:rFonts w:hint="eastAsia" w:ascii="宋体" w:hAnsi="宋体" w:eastAsia="宋体" w:cs="宋体"/>
                <w:color w:val="auto"/>
                <w:kern w:val="0"/>
                <w:sz w:val="24"/>
                <w:szCs w:val="24"/>
                <w:highlight w:val="none"/>
                <w:lang w:val="en-US" w:eastAsia="zh-CN"/>
              </w:rPr>
              <w:t>双人</w:t>
            </w:r>
            <w:r>
              <w:rPr>
                <w:rFonts w:hint="default" w:ascii="宋体" w:hAnsi="宋体" w:eastAsia="宋体" w:cs="宋体"/>
                <w:color w:val="auto"/>
                <w:kern w:val="0"/>
                <w:sz w:val="24"/>
                <w:szCs w:val="24"/>
                <w:highlight w:val="none"/>
                <w:lang w:val="en-US" w:eastAsia="zh-CN"/>
              </w:rPr>
              <w:t>）</w:t>
            </w:r>
          </w:p>
        </w:tc>
        <w:tc>
          <w:tcPr>
            <w:tcW w:w="2894" w:type="dxa"/>
            <w:noWrap w:val="0"/>
            <w:vAlign w:val="center"/>
          </w:tcPr>
          <w:p w14:paraId="40C8AB9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 第五章  采购需求及技术要求</w:t>
            </w:r>
          </w:p>
        </w:tc>
        <w:tc>
          <w:tcPr>
            <w:tcW w:w="855" w:type="dxa"/>
            <w:noWrap w:val="0"/>
            <w:vAlign w:val="center"/>
          </w:tcPr>
          <w:p w14:paraId="51D97B3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967" w:type="dxa"/>
            <w:noWrap w:val="0"/>
            <w:vAlign w:val="center"/>
          </w:tcPr>
          <w:p w14:paraId="23D35D5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1242" w:type="dxa"/>
            <w:noWrap w:val="0"/>
            <w:vAlign w:val="center"/>
          </w:tcPr>
          <w:p w14:paraId="2F7A4DE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EF3079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1F194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DE9757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0A2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340" w:type="dxa"/>
            <w:gridSpan w:val="9"/>
            <w:noWrap w:val="0"/>
            <w:vAlign w:val="center"/>
          </w:tcPr>
          <w:p w14:paraId="2508BDCD">
            <w:pPr>
              <w:pStyle w:val="7"/>
              <w:keepNext w:val="0"/>
              <w:keepLines w:val="0"/>
              <w:pageBreakBefore w:val="0"/>
              <w:kinsoku/>
              <w:wordWrap/>
              <w:overflowPunct/>
              <w:topLinePunct w:val="0"/>
              <w:bidi w:val="0"/>
              <w:snapToGrid/>
              <w:spacing w:before="0" w:after="0" w:line="340" w:lineRule="exact"/>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合计</w:t>
            </w:r>
            <w:r>
              <w:rPr>
                <w:rFonts w:hint="eastAsia" w:ascii="宋体" w:hAnsi="宋体" w:eastAsia="宋体" w:cs="宋体"/>
                <w:color w:val="auto"/>
                <w:kern w:val="0"/>
                <w:sz w:val="24"/>
                <w:szCs w:val="24"/>
                <w:highlight w:val="none"/>
              </w:rPr>
              <w:t>（元）：小写：                           大写：</w:t>
            </w:r>
          </w:p>
        </w:tc>
      </w:tr>
    </w:tbl>
    <w:p w14:paraId="001796B7">
      <w:pPr>
        <w:keepLines w:val="0"/>
        <w:pageBreakBefore w:val="0"/>
        <w:kinsoku/>
        <w:wordWrap/>
        <w:overflowPunct/>
        <w:topLinePunct w:val="0"/>
        <w:bidi w:val="0"/>
        <w:spacing w:line="240" w:lineRule="atLeast"/>
        <w:rPr>
          <w:rFonts w:hint="eastAsia" w:ascii="仿宋_GB2312" w:eastAsia="仿宋_GB2312"/>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bidi="ar-SA"/>
        </w:rPr>
        <w:t>★备注：1.按照采购清单提供的内容填报，不得改变其顺序、格式、内容等，如需补充，可在备注栏里进行补充说明。否则视为不投标招标文件规定。</w:t>
      </w:r>
      <w:r>
        <w:rPr>
          <w:rFonts w:hint="eastAsia" w:ascii="宋体" w:eastAsia="宋体" w:cs="宋体"/>
          <w:b/>
          <w:bCs/>
          <w:color w:val="auto"/>
          <w:kern w:val="0"/>
          <w:sz w:val="28"/>
          <w:szCs w:val="28"/>
          <w:highlight w:val="none"/>
          <w:lang w:val="en-US" w:eastAsia="zh-CN" w:bidi="ar-SA"/>
        </w:rPr>
        <w:t xml:space="preserve">   </w:t>
      </w:r>
      <w:r>
        <w:rPr>
          <w:rFonts w:hint="eastAsia" w:ascii="仿宋_GB2312" w:eastAsia="仿宋_GB2312"/>
          <w:color w:val="auto"/>
          <w:sz w:val="28"/>
          <w:szCs w:val="28"/>
          <w:highlight w:val="none"/>
          <w:lang w:val="en-US" w:eastAsia="zh-CN"/>
        </w:rPr>
        <w:t xml:space="preserve">                                        </w:t>
      </w:r>
    </w:p>
    <w:p w14:paraId="4835AA3C">
      <w:pPr>
        <w:keepLines w:val="0"/>
        <w:pageBreakBefore w:val="0"/>
        <w:kinsoku/>
        <w:wordWrap/>
        <w:overflowPunct/>
        <w:topLinePunct w:val="0"/>
        <w:bidi w:val="0"/>
        <w:spacing w:line="440" w:lineRule="exact"/>
        <w:ind w:firstLine="560" w:firstLineChars="200"/>
        <w:jc w:val="center"/>
        <w:rPr>
          <w:rFonts w:hint="eastAsia" w:ascii="仿宋_GB2312" w:eastAsia="仿宋_GB2312"/>
          <w:color w:val="auto"/>
          <w:sz w:val="26"/>
          <w:szCs w:val="26"/>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6"/>
          <w:szCs w:val="26"/>
          <w:highlight w:val="none"/>
        </w:rPr>
        <w:t>投标方：（单位盖章）</w:t>
      </w:r>
    </w:p>
    <w:p w14:paraId="085D0911">
      <w:pPr>
        <w:keepLines w:val="0"/>
        <w:pageBreakBefore w:val="0"/>
        <w:kinsoku/>
        <w:wordWrap/>
        <w:overflowPunct/>
        <w:topLinePunct w:val="0"/>
        <w:bidi w:val="0"/>
        <w:spacing w:line="440" w:lineRule="exact"/>
        <w:ind w:firstLine="520" w:firstLineChars="200"/>
        <w:jc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法定代表人或代理人：（签字或盖章）</w:t>
      </w:r>
    </w:p>
    <w:p w14:paraId="21A74B64">
      <w:pPr>
        <w:pStyle w:val="6"/>
        <w:keepLines w:val="0"/>
        <w:pageBreakBefore w:val="0"/>
        <w:kinsoku/>
        <w:wordWrap/>
        <w:overflowPunct/>
        <w:topLinePunct w:val="0"/>
        <w:bidi w:val="0"/>
        <w:ind w:firstLine="9880" w:firstLineChars="3800"/>
        <w:rPr>
          <w:rFonts w:hint="eastAsia" w:ascii="仿宋_GB2312" w:eastAsia="仿宋_GB2312"/>
          <w:b/>
          <w:bCs/>
          <w:color w:val="auto"/>
          <w:sz w:val="36"/>
          <w:szCs w:val="36"/>
          <w:highlight w:val="none"/>
        </w:rPr>
      </w:pPr>
      <w:r>
        <w:rPr>
          <w:rFonts w:hint="eastAsia" w:ascii="仿宋_GB2312" w:eastAsia="仿宋_GB2312"/>
          <w:color w:val="auto"/>
          <w:sz w:val="26"/>
          <w:szCs w:val="26"/>
          <w:highlight w:val="none"/>
          <w:lang w:eastAsia="zh-CN"/>
        </w:rPr>
        <w:t>年</w:t>
      </w:r>
      <w:r>
        <w:rPr>
          <w:rFonts w:hint="eastAsia" w:ascii="仿宋_GB2312" w:eastAsia="仿宋_GB2312"/>
          <w:color w:val="auto"/>
          <w:sz w:val="26"/>
          <w:szCs w:val="26"/>
          <w:highlight w:val="none"/>
          <w:lang w:val="en-US" w:eastAsia="zh-CN"/>
        </w:rPr>
        <w:t xml:space="preserve">   月   日 </w:t>
      </w:r>
    </w:p>
    <w:p w14:paraId="5B6DE66B">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3CF2C2E9">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投标货物（设备）技术、性能、质量具体明细及偏离表</w:t>
      </w:r>
    </w:p>
    <w:p w14:paraId="39ABEC22">
      <w:pPr>
        <w:pStyle w:val="7"/>
        <w:keepLines w:val="0"/>
        <w:pageBreakBefore w:val="0"/>
        <w:kinsoku/>
        <w:wordWrap/>
        <w:overflowPunct/>
        <w:topLinePunct w:val="0"/>
        <w:bidi w:val="0"/>
        <w:rPr>
          <w:rFonts w:hint="eastAsia"/>
        </w:rPr>
      </w:pPr>
    </w:p>
    <w:tbl>
      <w:tblPr>
        <w:tblStyle w:val="16"/>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0BF9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F9DBA2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6A5E335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2B117EE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4B0236C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198ADEC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59876A5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4F18523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063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70EB150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1B2CEF1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1A86EA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45CB399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081491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4D07EDB">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3E7283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31E26F26">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7538B0C3">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56C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DC7C4A0">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F493309">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78C2D59C">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A71E818">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189C9B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A0A8FE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B36B4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7875DF9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257F88D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764636B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1264C23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3CDD9C5">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307A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3DC809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7442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3835985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28D8F57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4959D5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217DC74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6ECE1B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604F18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7B31481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6B5837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76535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B4DFBB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r>
      <w:tr w14:paraId="6C94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F6D8F3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25411FC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E8E0B8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7BDDFF8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BCB5DB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10AC722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603AC5B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73DCD22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2A8DFE9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12055F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236EDCC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7A71AA0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r>
    </w:tbl>
    <w:p w14:paraId="1B692883">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(公章)：</w:t>
      </w:r>
    </w:p>
    <w:p w14:paraId="6ED3D87C">
      <w:pPr>
        <w:pStyle w:val="7"/>
        <w:keepLines w:val="0"/>
        <w:pageBreakBefore w:val="0"/>
        <w:kinsoku/>
        <w:wordWrap/>
        <w:overflowPunct/>
        <w:topLinePunct w:val="0"/>
        <w:bidi w:val="0"/>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382A4C92">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2D64C82A">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4C2B8AF0">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7073097D">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12FEDF18">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自行承担。</w:t>
      </w:r>
    </w:p>
    <w:p w14:paraId="1739411E">
      <w:pPr>
        <w:keepLines w:val="0"/>
        <w:pageBreakBefore w:val="0"/>
        <w:kinsoku/>
        <w:wordWrap/>
        <w:overflowPunct/>
        <w:topLinePunct w:val="0"/>
        <w:bidi w:val="0"/>
        <w:spacing w:line="44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0592C1EF">
      <w:pPr>
        <w:pStyle w:val="3"/>
        <w:keepLines w:val="0"/>
        <w:pageBreakBefore w:val="0"/>
        <w:kinsoku/>
        <w:wordWrap/>
        <w:overflowPunct/>
        <w:topLinePunct w:val="0"/>
        <w:bidi w:val="0"/>
        <w:rPr>
          <w:rFonts w:hint="eastAsia"/>
        </w:rPr>
        <w:sectPr>
          <w:footerReference r:id="rId12" w:type="default"/>
          <w:pgSz w:w="16838" w:h="11906" w:orient="landscape"/>
          <w:pgMar w:top="1440" w:right="1701" w:bottom="1440" w:left="1440" w:header="851" w:footer="992" w:gutter="0"/>
          <w:cols w:space="720" w:num="1"/>
          <w:docGrid w:linePitch="312" w:charSpace="0"/>
        </w:sectPr>
      </w:pPr>
    </w:p>
    <w:p w14:paraId="69185F13">
      <w:pPr>
        <w:keepLines w:val="0"/>
        <w:pageBreakBefore w:val="0"/>
        <w:kinsoku/>
        <w:wordWrap/>
        <w:overflowPunct/>
        <w:topLinePunct w:val="0"/>
        <w:bidi w:val="0"/>
        <w:spacing w:before="140" w:line="460" w:lineRule="exact"/>
        <w:ind w:left="3770"/>
        <w:rPr>
          <w:rFonts w:ascii="仿宋" w:hAnsi="仿宋" w:eastAsia="仿宋" w:cs="仿宋"/>
          <w:sz w:val="28"/>
          <w:szCs w:val="28"/>
        </w:rPr>
      </w:pPr>
      <w:r>
        <w:pict>
          <v:shape id="_x0000_s1028" o:spid="_x0000_s1028" o:spt="202" type="#_x0000_t202" style="position:absolute;left:0pt;margin-left:76.25pt;margin-top:428.1pt;height:143.75pt;width:209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29629C36">
                  <w:pPr>
                    <w:spacing w:line="20" w:lineRule="exact"/>
                  </w:pPr>
                </w:p>
                <w:tbl>
                  <w:tblPr>
                    <w:tblStyle w:val="25"/>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71EEB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6E195100">
                        <w:pPr>
                          <w:spacing w:line="260" w:lineRule="auto"/>
                          <w:rPr>
                            <w:rFonts w:ascii="Arial"/>
                            <w:sz w:val="21"/>
                          </w:rPr>
                        </w:pPr>
                      </w:p>
                      <w:p w14:paraId="56162EDF">
                        <w:pPr>
                          <w:spacing w:line="260" w:lineRule="auto"/>
                          <w:rPr>
                            <w:rFonts w:ascii="Arial"/>
                            <w:sz w:val="21"/>
                          </w:rPr>
                        </w:pPr>
                      </w:p>
                      <w:p w14:paraId="122050C6">
                        <w:pPr>
                          <w:spacing w:line="261" w:lineRule="auto"/>
                          <w:rPr>
                            <w:rFonts w:ascii="Arial"/>
                            <w:sz w:val="21"/>
                          </w:rPr>
                        </w:pPr>
                      </w:p>
                      <w:p w14:paraId="190AC59E">
                        <w:pPr>
                          <w:spacing w:line="261" w:lineRule="auto"/>
                          <w:rPr>
                            <w:rFonts w:ascii="Arial"/>
                            <w:sz w:val="21"/>
                          </w:rPr>
                        </w:pPr>
                      </w:p>
                      <w:p w14:paraId="7DAE3D0C">
                        <w:pPr>
                          <w:spacing w:line="261" w:lineRule="auto"/>
                          <w:rPr>
                            <w:rFonts w:ascii="Arial"/>
                            <w:sz w:val="21"/>
                          </w:rPr>
                        </w:pPr>
                      </w:p>
                      <w:p w14:paraId="5793D20D">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0C589E7">
                  <w:pPr>
                    <w:pStyle w:val="7"/>
                  </w:pPr>
                </w:p>
              </w:txbxContent>
            </v:textbox>
          </v:shape>
        </w:pict>
      </w:r>
      <w:r>
        <w:rPr>
          <w:rFonts w:ascii="仿宋" w:hAnsi="仿宋" w:eastAsia="仿宋" w:cs="仿宋"/>
          <w:b/>
          <w:bCs/>
          <w:spacing w:val="-5"/>
          <w:position w:val="12"/>
          <w:sz w:val="28"/>
          <w:szCs w:val="28"/>
        </w:rPr>
        <w:t>（商务技术文件）</w:t>
      </w:r>
    </w:p>
    <w:p w14:paraId="47D98252">
      <w:pPr>
        <w:keepLines w:val="0"/>
        <w:pageBreakBefore w:val="0"/>
        <w:kinsoku/>
        <w:wordWrap/>
        <w:overflowPunct/>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5</w:t>
      </w:r>
      <w:r>
        <w:rPr>
          <w:rFonts w:ascii="仿宋" w:hAnsi="仿宋" w:eastAsia="仿宋" w:cs="仿宋"/>
          <w:b/>
          <w:bCs/>
          <w:spacing w:val="7"/>
          <w:sz w:val="24"/>
          <w:szCs w:val="24"/>
        </w:rPr>
        <w:t>.法定代表人身份证明</w:t>
      </w:r>
    </w:p>
    <w:p w14:paraId="1AF63CD5">
      <w:pPr>
        <w:pStyle w:val="7"/>
        <w:keepLines w:val="0"/>
        <w:pageBreakBefore w:val="0"/>
        <w:kinsoku/>
        <w:wordWrap/>
        <w:overflowPunct/>
        <w:topLinePunct w:val="0"/>
        <w:bidi w:val="0"/>
        <w:spacing w:line="255" w:lineRule="auto"/>
        <w:rPr>
          <w:sz w:val="24"/>
          <w:szCs w:val="24"/>
        </w:rPr>
      </w:pPr>
    </w:p>
    <w:p w14:paraId="1E5A105E">
      <w:pPr>
        <w:pStyle w:val="7"/>
        <w:keepLines w:val="0"/>
        <w:pageBreakBefore w:val="0"/>
        <w:kinsoku/>
        <w:wordWrap/>
        <w:overflowPunct/>
        <w:topLinePunct w:val="0"/>
        <w:bidi w:val="0"/>
        <w:spacing w:line="255" w:lineRule="auto"/>
        <w:rPr>
          <w:sz w:val="24"/>
          <w:szCs w:val="24"/>
        </w:rPr>
      </w:pPr>
    </w:p>
    <w:p w14:paraId="72A4C3CA">
      <w:pPr>
        <w:pStyle w:val="7"/>
        <w:keepLines w:val="0"/>
        <w:pageBreakBefore w:val="0"/>
        <w:kinsoku/>
        <w:wordWrap/>
        <w:overflowPunct/>
        <w:topLinePunct w:val="0"/>
        <w:bidi w:val="0"/>
        <w:spacing w:line="256" w:lineRule="auto"/>
        <w:rPr>
          <w:sz w:val="24"/>
          <w:szCs w:val="24"/>
        </w:rPr>
      </w:pPr>
    </w:p>
    <w:p w14:paraId="5519451F">
      <w:pPr>
        <w:pStyle w:val="7"/>
        <w:keepLines w:val="0"/>
        <w:pageBreakBefore w:val="0"/>
        <w:kinsoku/>
        <w:wordWrap/>
        <w:overflowPunct/>
        <w:topLinePunct w:val="0"/>
        <w:bidi w:val="0"/>
        <w:spacing w:line="256" w:lineRule="auto"/>
        <w:rPr>
          <w:sz w:val="24"/>
          <w:szCs w:val="24"/>
        </w:rPr>
      </w:pPr>
    </w:p>
    <w:p w14:paraId="3BE19F3A">
      <w:pPr>
        <w:pStyle w:val="7"/>
        <w:keepLines w:val="0"/>
        <w:pageBreakBefore w:val="0"/>
        <w:kinsoku/>
        <w:wordWrap/>
        <w:overflowPunct/>
        <w:topLinePunct w:val="0"/>
        <w:bidi w:val="0"/>
        <w:spacing w:line="256" w:lineRule="auto"/>
        <w:rPr>
          <w:sz w:val="24"/>
          <w:szCs w:val="24"/>
        </w:rPr>
      </w:pPr>
    </w:p>
    <w:p w14:paraId="02032D86">
      <w:pPr>
        <w:keepLines w:val="0"/>
        <w:pageBreakBefore w:val="0"/>
        <w:kinsoku/>
        <w:wordWrap/>
        <w:overflowPunct/>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42C98EC9">
      <w:pPr>
        <w:keepLines w:val="0"/>
        <w:pageBreakBefore w:val="0"/>
        <w:kinsoku/>
        <w:wordWrap/>
        <w:overflowPunct/>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3032A81F">
      <w:pPr>
        <w:keepLines w:val="0"/>
        <w:pageBreakBefore w:val="0"/>
        <w:kinsoku/>
        <w:wordWrap/>
        <w:overflowPunct/>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7255D3F3">
      <w:pPr>
        <w:keepLines w:val="0"/>
        <w:pageBreakBefore w:val="0"/>
        <w:kinsoku/>
        <w:wordWrap/>
        <w:overflowPunct/>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5651DFEF">
      <w:pPr>
        <w:keepLines w:val="0"/>
        <w:pageBreakBefore w:val="0"/>
        <w:kinsoku/>
        <w:wordWrap/>
        <w:overflowPunct/>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4B4815A1">
      <w:pPr>
        <w:keepLines w:val="0"/>
        <w:pageBreakBefore w:val="0"/>
        <w:kinsoku/>
        <w:wordWrap/>
        <w:overflowPunct/>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1D7F1D20">
      <w:pPr>
        <w:keepLines w:val="0"/>
        <w:pageBreakBefore w:val="0"/>
        <w:kinsoku/>
        <w:wordWrap/>
        <w:overflowPunct/>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74B96B60">
      <w:pPr>
        <w:keepLines w:val="0"/>
        <w:pageBreakBefore w:val="0"/>
        <w:kinsoku/>
        <w:wordWrap/>
        <w:overflowPunct/>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投标人</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269603E2">
      <w:pPr>
        <w:pStyle w:val="7"/>
        <w:keepLines w:val="0"/>
        <w:pageBreakBefore w:val="0"/>
        <w:kinsoku/>
        <w:wordWrap/>
        <w:overflowPunct/>
        <w:topLinePunct w:val="0"/>
        <w:bidi w:val="0"/>
        <w:spacing w:line="241" w:lineRule="auto"/>
        <w:rPr>
          <w:sz w:val="24"/>
          <w:szCs w:val="24"/>
        </w:rPr>
      </w:pPr>
    </w:p>
    <w:p w14:paraId="75F6D1A5">
      <w:pPr>
        <w:pStyle w:val="7"/>
        <w:keepLines w:val="0"/>
        <w:pageBreakBefore w:val="0"/>
        <w:kinsoku/>
        <w:wordWrap/>
        <w:overflowPunct/>
        <w:topLinePunct w:val="0"/>
        <w:bidi w:val="0"/>
        <w:spacing w:line="241" w:lineRule="auto"/>
        <w:rPr>
          <w:sz w:val="24"/>
          <w:szCs w:val="24"/>
        </w:rPr>
      </w:pPr>
    </w:p>
    <w:p w14:paraId="32EB65C5">
      <w:pPr>
        <w:keepLines w:val="0"/>
        <w:pageBreakBefore w:val="0"/>
        <w:kinsoku/>
        <w:wordWrap/>
        <w:overflowPunct/>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47CC8527">
      <w:pPr>
        <w:keepLines w:val="0"/>
        <w:pageBreakBefore w:val="0"/>
        <w:kinsoku/>
        <w:wordWrap/>
        <w:overflowPunct/>
        <w:topLinePunct w:val="0"/>
        <w:bidi w:val="0"/>
        <w:spacing w:before="25"/>
      </w:pPr>
    </w:p>
    <w:tbl>
      <w:tblPr>
        <w:tblStyle w:val="25"/>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1905C0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7ACE8BF1">
            <w:pPr>
              <w:keepLines w:val="0"/>
              <w:pageBreakBefore w:val="0"/>
              <w:kinsoku/>
              <w:wordWrap/>
              <w:overflowPunct/>
              <w:topLinePunct w:val="0"/>
              <w:bidi w:val="0"/>
              <w:spacing w:line="260" w:lineRule="auto"/>
              <w:rPr>
                <w:rFonts w:ascii="Arial"/>
                <w:sz w:val="21"/>
              </w:rPr>
            </w:pPr>
          </w:p>
          <w:p w14:paraId="239011E5">
            <w:pPr>
              <w:keepLines w:val="0"/>
              <w:pageBreakBefore w:val="0"/>
              <w:kinsoku/>
              <w:wordWrap/>
              <w:overflowPunct/>
              <w:topLinePunct w:val="0"/>
              <w:bidi w:val="0"/>
              <w:spacing w:line="260" w:lineRule="auto"/>
              <w:rPr>
                <w:rFonts w:ascii="Arial"/>
                <w:sz w:val="21"/>
              </w:rPr>
            </w:pPr>
          </w:p>
          <w:p w14:paraId="373C06B1">
            <w:pPr>
              <w:keepLines w:val="0"/>
              <w:pageBreakBefore w:val="0"/>
              <w:kinsoku/>
              <w:wordWrap/>
              <w:overflowPunct/>
              <w:topLinePunct w:val="0"/>
              <w:bidi w:val="0"/>
              <w:spacing w:line="261" w:lineRule="auto"/>
              <w:rPr>
                <w:rFonts w:ascii="Arial"/>
                <w:sz w:val="21"/>
              </w:rPr>
            </w:pPr>
          </w:p>
          <w:p w14:paraId="7958E4E5">
            <w:pPr>
              <w:keepLines w:val="0"/>
              <w:pageBreakBefore w:val="0"/>
              <w:kinsoku/>
              <w:wordWrap/>
              <w:overflowPunct/>
              <w:topLinePunct w:val="0"/>
              <w:bidi w:val="0"/>
              <w:spacing w:line="261" w:lineRule="auto"/>
              <w:rPr>
                <w:rFonts w:ascii="Arial"/>
                <w:sz w:val="21"/>
              </w:rPr>
            </w:pPr>
          </w:p>
          <w:p w14:paraId="12E66214">
            <w:pPr>
              <w:keepLines w:val="0"/>
              <w:pageBreakBefore w:val="0"/>
              <w:kinsoku/>
              <w:wordWrap/>
              <w:overflowPunct/>
              <w:topLinePunct w:val="0"/>
              <w:bidi w:val="0"/>
              <w:spacing w:line="261" w:lineRule="auto"/>
              <w:rPr>
                <w:rFonts w:ascii="Arial"/>
                <w:sz w:val="21"/>
              </w:rPr>
            </w:pPr>
          </w:p>
          <w:p w14:paraId="20EB0440">
            <w:pPr>
              <w:keepLines w:val="0"/>
              <w:pageBreakBefore w:val="0"/>
              <w:kinsoku/>
              <w:wordWrap/>
              <w:overflowPunct/>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60BBF8A9">
      <w:pPr>
        <w:pStyle w:val="7"/>
        <w:keepLines w:val="0"/>
        <w:pageBreakBefore w:val="0"/>
        <w:kinsoku/>
        <w:wordWrap/>
        <w:overflowPunct/>
        <w:topLinePunct w:val="0"/>
        <w:bidi w:val="0"/>
        <w:spacing w:line="282" w:lineRule="auto"/>
      </w:pPr>
    </w:p>
    <w:p w14:paraId="25EFF2C7">
      <w:pPr>
        <w:pStyle w:val="7"/>
        <w:keepLines w:val="0"/>
        <w:pageBreakBefore w:val="0"/>
        <w:kinsoku/>
        <w:wordWrap/>
        <w:overflowPunct/>
        <w:topLinePunct w:val="0"/>
        <w:bidi w:val="0"/>
        <w:spacing w:line="283" w:lineRule="auto"/>
      </w:pPr>
    </w:p>
    <w:p w14:paraId="01F1B8EE">
      <w:pPr>
        <w:pStyle w:val="7"/>
        <w:keepLines w:val="0"/>
        <w:pageBreakBefore w:val="0"/>
        <w:kinsoku/>
        <w:wordWrap/>
        <w:overflowPunct/>
        <w:topLinePunct w:val="0"/>
        <w:bidi w:val="0"/>
        <w:spacing w:line="283" w:lineRule="auto"/>
      </w:pPr>
    </w:p>
    <w:p w14:paraId="7664BFF1">
      <w:pPr>
        <w:pStyle w:val="7"/>
        <w:keepLines w:val="0"/>
        <w:pageBreakBefore w:val="0"/>
        <w:kinsoku/>
        <w:wordWrap/>
        <w:overflowPunct/>
        <w:topLinePunct w:val="0"/>
        <w:bidi w:val="0"/>
        <w:spacing w:line="283" w:lineRule="auto"/>
      </w:pPr>
    </w:p>
    <w:p w14:paraId="367FD597">
      <w:pPr>
        <w:pStyle w:val="7"/>
        <w:keepLines w:val="0"/>
        <w:pageBreakBefore w:val="0"/>
        <w:kinsoku/>
        <w:wordWrap/>
        <w:overflowPunct/>
        <w:topLinePunct w:val="0"/>
        <w:bidi w:val="0"/>
        <w:spacing w:line="283" w:lineRule="auto"/>
        <w:rPr>
          <w:sz w:val="24"/>
          <w:szCs w:val="24"/>
        </w:rPr>
      </w:pPr>
    </w:p>
    <w:p w14:paraId="09BDD8B9">
      <w:pPr>
        <w:keepLines w:val="0"/>
        <w:pageBreakBefore w:val="0"/>
        <w:kinsoku/>
        <w:wordWrap/>
        <w:overflowPunct/>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63C5282">
      <w:pPr>
        <w:keepLines w:val="0"/>
        <w:pageBreakBefore w:val="0"/>
        <w:kinsoku/>
        <w:wordWrap/>
        <w:overflowPunct/>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08FA52E">
      <w:pPr>
        <w:keepLines w:val="0"/>
        <w:pageBreakBefore w:val="0"/>
        <w:kinsoku/>
        <w:wordWrap/>
        <w:overflowPunct/>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458CE941">
      <w:pPr>
        <w:keepLines w:val="0"/>
        <w:pageBreakBefore w:val="0"/>
        <w:kinsoku/>
        <w:wordWrap/>
        <w:overflowPunct/>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732440CB">
      <w:pPr>
        <w:pStyle w:val="7"/>
        <w:keepLines w:val="0"/>
        <w:pageBreakBefore w:val="0"/>
        <w:kinsoku/>
        <w:wordWrap/>
        <w:overflowPunct/>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6</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0B695B5A">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6D1EBCF5">
      <w:pPr>
        <w:pStyle w:val="7"/>
        <w:keepLines w:val="0"/>
        <w:pageBreakBefore w:val="0"/>
        <w:kinsoku/>
        <w:wordWrap/>
        <w:overflowPunct/>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项目的投标活动。代理人签署的投标文件和参加整个招标投标活动中所签署的一切文件和处理与之有关的一切事物，我均予以承认。</w:t>
      </w:r>
    </w:p>
    <w:p w14:paraId="27E2D7EB">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28B9121">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8B5D00C">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4705DCF">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1004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14:paraId="7904338E">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61077277">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0412B221">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0E7E444A">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572D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11B14992">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01321A19">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23F3671D">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10F44555">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45C129E6">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B74B894">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58AD397">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86921A2">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155DB557">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17F756B">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FBA314B">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302D2678">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498335C">
      <w:pPr>
        <w:pStyle w:val="7"/>
        <w:keepLines w:val="0"/>
        <w:pageBreakBefore w:val="0"/>
        <w:kinsoku/>
        <w:wordWrap/>
        <w:overflowPunct/>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注：若公司法人前来参加投标的</w:t>
      </w: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70416C17">
      <w:pPr>
        <w:keepLines w:val="0"/>
        <w:pageBreakBefore w:val="0"/>
        <w:kinsoku/>
        <w:wordWrap/>
        <w:overflowPunct/>
        <w:topLinePunct w:val="0"/>
        <w:bidi w:val="0"/>
        <w:spacing w:before="42" w:line="231" w:lineRule="auto"/>
        <w:outlineLvl w:val="2"/>
        <w:rPr>
          <w:rFonts w:ascii="仿宋" w:hAnsi="仿宋" w:eastAsia="仿宋" w:cs="仿宋"/>
          <w:b/>
          <w:bCs/>
          <w:spacing w:val="6"/>
          <w:sz w:val="20"/>
          <w:szCs w:val="20"/>
        </w:rPr>
      </w:pPr>
    </w:p>
    <w:p w14:paraId="3A959A6B">
      <w:pPr>
        <w:keepLines w:val="0"/>
        <w:pageBreakBefore w:val="0"/>
        <w:kinsoku/>
        <w:wordWrap/>
        <w:overflowPunct/>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投标人</w:t>
      </w:r>
      <w:r>
        <w:rPr>
          <w:rFonts w:ascii="仿宋" w:hAnsi="仿宋" w:eastAsia="仿宋" w:cs="仿宋"/>
          <w:b/>
          <w:bCs/>
          <w:spacing w:val="6"/>
          <w:sz w:val="24"/>
          <w:szCs w:val="24"/>
        </w:rPr>
        <w:t>基本情况</w:t>
      </w:r>
    </w:p>
    <w:p w14:paraId="1A60EAD4">
      <w:pPr>
        <w:keepLines w:val="0"/>
        <w:pageBreakBefore w:val="0"/>
        <w:kinsoku/>
        <w:wordWrap/>
        <w:overflowPunct/>
        <w:topLinePunct w:val="0"/>
        <w:bidi w:val="0"/>
        <w:spacing w:line="89" w:lineRule="exact"/>
        <w:rPr>
          <w:sz w:val="24"/>
          <w:szCs w:val="24"/>
        </w:rPr>
      </w:pPr>
    </w:p>
    <w:tbl>
      <w:tblPr>
        <w:tblStyle w:val="25"/>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30714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095DBD77">
            <w:pPr>
              <w:pStyle w:val="26"/>
              <w:keepLines w:val="0"/>
              <w:pageBreakBefore w:val="0"/>
              <w:kinsoku/>
              <w:wordWrap/>
              <w:overflowPunct/>
              <w:topLinePunct w:val="0"/>
              <w:bidi w:val="0"/>
              <w:spacing w:before="150" w:line="229" w:lineRule="auto"/>
              <w:ind w:left="531"/>
              <w:rPr>
                <w:sz w:val="24"/>
                <w:szCs w:val="24"/>
              </w:rPr>
            </w:pPr>
            <w:r>
              <w:rPr>
                <w:rFonts w:hint="eastAsia"/>
                <w:b/>
                <w:bCs/>
                <w:spacing w:val="5"/>
                <w:sz w:val="24"/>
                <w:szCs w:val="24"/>
                <w:lang w:eastAsia="zh-CN"/>
              </w:rPr>
              <w:t>投标人</w:t>
            </w:r>
            <w:r>
              <w:rPr>
                <w:b/>
                <w:bCs/>
                <w:spacing w:val="5"/>
                <w:sz w:val="24"/>
                <w:szCs w:val="24"/>
              </w:rPr>
              <w:t>名称</w:t>
            </w:r>
          </w:p>
        </w:tc>
        <w:tc>
          <w:tcPr>
            <w:tcW w:w="6512" w:type="dxa"/>
            <w:gridSpan w:val="4"/>
            <w:vAlign w:val="top"/>
          </w:tcPr>
          <w:p w14:paraId="296F71EC">
            <w:pPr>
              <w:keepLines w:val="0"/>
              <w:pageBreakBefore w:val="0"/>
              <w:kinsoku/>
              <w:wordWrap/>
              <w:overflowPunct/>
              <w:topLinePunct w:val="0"/>
              <w:bidi w:val="0"/>
              <w:rPr>
                <w:rFonts w:ascii="Arial"/>
                <w:sz w:val="24"/>
                <w:szCs w:val="24"/>
              </w:rPr>
            </w:pPr>
          </w:p>
        </w:tc>
      </w:tr>
      <w:tr w14:paraId="65B96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FAA7A4A">
            <w:pPr>
              <w:pStyle w:val="26"/>
              <w:keepLines w:val="0"/>
              <w:pageBreakBefore w:val="0"/>
              <w:kinsoku/>
              <w:wordWrap/>
              <w:overflowPunct/>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63DFB459">
            <w:pPr>
              <w:keepLines w:val="0"/>
              <w:pageBreakBefore w:val="0"/>
              <w:kinsoku/>
              <w:wordWrap/>
              <w:overflowPunct/>
              <w:topLinePunct w:val="0"/>
              <w:bidi w:val="0"/>
              <w:rPr>
                <w:rFonts w:ascii="Arial"/>
                <w:sz w:val="24"/>
                <w:szCs w:val="24"/>
              </w:rPr>
            </w:pPr>
          </w:p>
        </w:tc>
      </w:tr>
      <w:tr w14:paraId="06B8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1158A7C0">
            <w:pPr>
              <w:keepLines w:val="0"/>
              <w:pageBreakBefore w:val="0"/>
              <w:kinsoku/>
              <w:wordWrap/>
              <w:overflowPunct/>
              <w:topLinePunct w:val="0"/>
              <w:bidi w:val="0"/>
              <w:spacing w:line="332" w:lineRule="auto"/>
              <w:rPr>
                <w:rFonts w:ascii="Arial"/>
                <w:sz w:val="24"/>
                <w:szCs w:val="24"/>
              </w:rPr>
            </w:pPr>
          </w:p>
          <w:p w14:paraId="522B08B6">
            <w:pPr>
              <w:pStyle w:val="26"/>
              <w:keepLines w:val="0"/>
              <w:pageBreakBefore w:val="0"/>
              <w:kinsoku/>
              <w:wordWrap/>
              <w:overflowPunct/>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79A92921">
            <w:pPr>
              <w:pStyle w:val="26"/>
              <w:keepLines w:val="0"/>
              <w:pageBreakBefore w:val="0"/>
              <w:kinsoku/>
              <w:wordWrap/>
              <w:overflowPunct/>
              <w:topLinePunct w:val="0"/>
              <w:bidi w:val="0"/>
              <w:spacing w:before="146" w:line="233" w:lineRule="auto"/>
              <w:ind w:left="574"/>
              <w:rPr>
                <w:sz w:val="24"/>
                <w:szCs w:val="24"/>
              </w:rPr>
            </w:pPr>
            <w:r>
              <w:rPr>
                <w:b/>
                <w:bCs/>
                <w:spacing w:val="4"/>
                <w:sz w:val="24"/>
                <w:szCs w:val="24"/>
              </w:rPr>
              <w:t>联系人</w:t>
            </w:r>
          </w:p>
        </w:tc>
        <w:tc>
          <w:tcPr>
            <w:tcW w:w="1210" w:type="dxa"/>
            <w:vAlign w:val="top"/>
          </w:tcPr>
          <w:p w14:paraId="5931C233">
            <w:pPr>
              <w:keepLines w:val="0"/>
              <w:pageBreakBefore w:val="0"/>
              <w:kinsoku/>
              <w:wordWrap/>
              <w:overflowPunct/>
              <w:topLinePunct w:val="0"/>
              <w:bidi w:val="0"/>
              <w:rPr>
                <w:rFonts w:ascii="Arial"/>
                <w:sz w:val="24"/>
                <w:szCs w:val="24"/>
              </w:rPr>
            </w:pPr>
          </w:p>
        </w:tc>
        <w:tc>
          <w:tcPr>
            <w:tcW w:w="1766" w:type="dxa"/>
            <w:vAlign w:val="top"/>
          </w:tcPr>
          <w:p w14:paraId="5E94A358">
            <w:pPr>
              <w:pStyle w:val="26"/>
              <w:keepLines w:val="0"/>
              <w:pageBreakBefore w:val="0"/>
              <w:kinsoku/>
              <w:wordWrap/>
              <w:overflowPunct/>
              <w:topLinePunct w:val="0"/>
              <w:bidi w:val="0"/>
              <w:spacing w:before="145" w:line="232" w:lineRule="auto"/>
              <w:ind w:left="706"/>
              <w:rPr>
                <w:sz w:val="24"/>
                <w:szCs w:val="24"/>
              </w:rPr>
            </w:pPr>
            <w:r>
              <w:rPr>
                <w:b/>
                <w:bCs/>
                <w:spacing w:val="-11"/>
                <w:sz w:val="24"/>
                <w:szCs w:val="24"/>
              </w:rPr>
              <w:t>电话</w:t>
            </w:r>
          </w:p>
        </w:tc>
        <w:tc>
          <w:tcPr>
            <w:tcW w:w="1771" w:type="dxa"/>
            <w:vAlign w:val="top"/>
          </w:tcPr>
          <w:p w14:paraId="7A666296">
            <w:pPr>
              <w:keepLines w:val="0"/>
              <w:pageBreakBefore w:val="0"/>
              <w:kinsoku/>
              <w:wordWrap/>
              <w:overflowPunct/>
              <w:topLinePunct w:val="0"/>
              <w:bidi w:val="0"/>
              <w:rPr>
                <w:rFonts w:ascii="Arial"/>
                <w:sz w:val="24"/>
                <w:szCs w:val="24"/>
              </w:rPr>
            </w:pPr>
          </w:p>
        </w:tc>
      </w:tr>
      <w:tr w14:paraId="30A6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208F307A">
            <w:pPr>
              <w:keepLines w:val="0"/>
              <w:pageBreakBefore w:val="0"/>
              <w:kinsoku/>
              <w:wordWrap/>
              <w:overflowPunct/>
              <w:topLinePunct w:val="0"/>
              <w:bidi w:val="0"/>
              <w:rPr>
                <w:rFonts w:ascii="Arial"/>
                <w:sz w:val="24"/>
                <w:szCs w:val="24"/>
              </w:rPr>
            </w:pPr>
          </w:p>
        </w:tc>
        <w:tc>
          <w:tcPr>
            <w:tcW w:w="1765" w:type="dxa"/>
            <w:vAlign w:val="top"/>
          </w:tcPr>
          <w:p w14:paraId="52D86B55">
            <w:pPr>
              <w:pStyle w:val="26"/>
              <w:keepLines w:val="0"/>
              <w:pageBreakBefore w:val="0"/>
              <w:kinsoku/>
              <w:wordWrap/>
              <w:overflowPunct/>
              <w:topLinePunct w:val="0"/>
              <w:bidi w:val="0"/>
              <w:spacing w:before="144" w:line="232" w:lineRule="auto"/>
              <w:ind w:left="685"/>
              <w:rPr>
                <w:sz w:val="24"/>
                <w:szCs w:val="24"/>
              </w:rPr>
            </w:pPr>
            <w:r>
              <w:rPr>
                <w:b/>
                <w:bCs/>
                <w:spacing w:val="-1"/>
                <w:sz w:val="24"/>
                <w:szCs w:val="24"/>
              </w:rPr>
              <w:t>传真</w:t>
            </w:r>
          </w:p>
        </w:tc>
        <w:tc>
          <w:tcPr>
            <w:tcW w:w="1210" w:type="dxa"/>
            <w:vAlign w:val="top"/>
          </w:tcPr>
          <w:p w14:paraId="0F31285C">
            <w:pPr>
              <w:keepLines w:val="0"/>
              <w:pageBreakBefore w:val="0"/>
              <w:kinsoku/>
              <w:wordWrap/>
              <w:overflowPunct/>
              <w:topLinePunct w:val="0"/>
              <w:bidi w:val="0"/>
              <w:rPr>
                <w:rFonts w:ascii="Arial"/>
                <w:sz w:val="24"/>
                <w:szCs w:val="24"/>
              </w:rPr>
            </w:pPr>
          </w:p>
        </w:tc>
        <w:tc>
          <w:tcPr>
            <w:tcW w:w="1766" w:type="dxa"/>
            <w:vAlign w:val="top"/>
          </w:tcPr>
          <w:p w14:paraId="67A3427C">
            <w:pPr>
              <w:pStyle w:val="26"/>
              <w:keepLines w:val="0"/>
              <w:pageBreakBefore w:val="0"/>
              <w:kinsoku/>
              <w:wordWrap/>
              <w:overflowPunct/>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0012A6A6">
            <w:pPr>
              <w:keepLines w:val="0"/>
              <w:pageBreakBefore w:val="0"/>
              <w:kinsoku/>
              <w:wordWrap/>
              <w:overflowPunct/>
              <w:topLinePunct w:val="0"/>
              <w:bidi w:val="0"/>
              <w:rPr>
                <w:rFonts w:ascii="Arial"/>
                <w:sz w:val="24"/>
                <w:szCs w:val="24"/>
              </w:rPr>
            </w:pPr>
          </w:p>
        </w:tc>
      </w:tr>
      <w:tr w14:paraId="4C64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56B72CD4">
            <w:pPr>
              <w:pStyle w:val="26"/>
              <w:keepLines w:val="0"/>
              <w:pageBreakBefore w:val="0"/>
              <w:kinsoku/>
              <w:wordWrap/>
              <w:overflowPunct/>
              <w:topLinePunct w:val="0"/>
              <w:bidi w:val="0"/>
              <w:spacing w:before="126" w:line="274" w:lineRule="exact"/>
              <w:ind w:left="538"/>
              <w:rPr>
                <w:sz w:val="24"/>
                <w:szCs w:val="24"/>
              </w:rPr>
            </w:pPr>
            <w:r>
              <w:rPr>
                <w:b/>
                <w:bCs/>
                <w:spacing w:val="4"/>
                <w:position w:val="4"/>
                <w:sz w:val="24"/>
                <w:szCs w:val="24"/>
              </w:rPr>
              <w:t>法定代表人</w:t>
            </w:r>
          </w:p>
          <w:p w14:paraId="31408634">
            <w:pPr>
              <w:pStyle w:val="26"/>
              <w:keepLines w:val="0"/>
              <w:pageBreakBefore w:val="0"/>
              <w:kinsoku/>
              <w:wordWrap/>
              <w:overflowPunct/>
              <w:topLinePunct w:val="0"/>
              <w:bidi w:val="0"/>
              <w:spacing w:line="232" w:lineRule="auto"/>
              <w:ind w:left="431"/>
              <w:rPr>
                <w:sz w:val="24"/>
                <w:szCs w:val="24"/>
              </w:rPr>
            </w:pPr>
            <w:r>
              <w:rPr>
                <w:b/>
                <w:bCs/>
                <w:spacing w:val="3"/>
                <w:sz w:val="24"/>
                <w:szCs w:val="24"/>
              </w:rPr>
              <w:t>（或负责人）</w:t>
            </w:r>
          </w:p>
        </w:tc>
        <w:tc>
          <w:tcPr>
            <w:tcW w:w="1765" w:type="dxa"/>
            <w:vAlign w:val="top"/>
          </w:tcPr>
          <w:p w14:paraId="2FCDB478">
            <w:pPr>
              <w:pStyle w:val="26"/>
              <w:keepLines w:val="0"/>
              <w:pageBreakBefore w:val="0"/>
              <w:kinsoku/>
              <w:wordWrap/>
              <w:overflowPunct/>
              <w:topLinePunct w:val="0"/>
              <w:bidi w:val="0"/>
              <w:spacing w:before="263" w:line="233" w:lineRule="auto"/>
              <w:ind w:left="682"/>
              <w:rPr>
                <w:sz w:val="24"/>
                <w:szCs w:val="24"/>
              </w:rPr>
            </w:pPr>
            <w:r>
              <w:rPr>
                <w:b/>
                <w:bCs/>
                <w:spacing w:val="1"/>
                <w:sz w:val="24"/>
                <w:szCs w:val="24"/>
              </w:rPr>
              <w:t>姓名</w:t>
            </w:r>
          </w:p>
        </w:tc>
        <w:tc>
          <w:tcPr>
            <w:tcW w:w="1210" w:type="dxa"/>
            <w:vAlign w:val="top"/>
          </w:tcPr>
          <w:p w14:paraId="1B836940">
            <w:pPr>
              <w:keepLines w:val="0"/>
              <w:pageBreakBefore w:val="0"/>
              <w:kinsoku/>
              <w:wordWrap/>
              <w:overflowPunct/>
              <w:topLinePunct w:val="0"/>
              <w:bidi w:val="0"/>
              <w:rPr>
                <w:rFonts w:ascii="Arial"/>
                <w:sz w:val="24"/>
                <w:szCs w:val="24"/>
              </w:rPr>
            </w:pPr>
          </w:p>
        </w:tc>
        <w:tc>
          <w:tcPr>
            <w:tcW w:w="1766" w:type="dxa"/>
            <w:vAlign w:val="top"/>
          </w:tcPr>
          <w:p w14:paraId="1336ED58">
            <w:pPr>
              <w:pStyle w:val="26"/>
              <w:keepLines w:val="0"/>
              <w:pageBreakBefore w:val="0"/>
              <w:kinsoku/>
              <w:wordWrap/>
              <w:overflowPunct/>
              <w:topLinePunct w:val="0"/>
              <w:bidi w:val="0"/>
              <w:spacing w:before="263" w:line="232" w:lineRule="auto"/>
              <w:ind w:left="706"/>
              <w:rPr>
                <w:sz w:val="24"/>
                <w:szCs w:val="24"/>
              </w:rPr>
            </w:pPr>
            <w:r>
              <w:rPr>
                <w:b/>
                <w:bCs/>
                <w:spacing w:val="-11"/>
                <w:sz w:val="24"/>
                <w:szCs w:val="24"/>
              </w:rPr>
              <w:t>电话</w:t>
            </w:r>
          </w:p>
        </w:tc>
        <w:tc>
          <w:tcPr>
            <w:tcW w:w="1771" w:type="dxa"/>
            <w:vAlign w:val="top"/>
          </w:tcPr>
          <w:p w14:paraId="3CEC2FD3">
            <w:pPr>
              <w:keepLines w:val="0"/>
              <w:pageBreakBefore w:val="0"/>
              <w:kinsoku/>
              <w:wordWrap/>
              <w:overflowPunct/>
              <w:topLinePunct w:val="0"/>
              <w:bidi w:val="0"/>
              <w:rPr>
                <w:rFonts w:ascii="Arial"/>
                <w:sz w:val="24"/>
                <w:szCs w:val="24"/>
              </w:rPr>
            </w:pPr>
          </w:p>
        </w:tc>
      </w:tr>
      <w:tr w14:paraId="4F4D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371FC93">
            <w:pPr>
              <w:pStyle w:val="26"/>
              <w:keepLines w:val="0"/>
              <w:pageBreakBefore w:val="0"/>
              <w:kinsoku/>
              <w:wordWrap/>
              <w:overflowPunct/>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5D5572A3">
            <w:pPr>
              <w:keepLines w:val="0"/>
              <w:pageBreakBefore w:val="0"/>
              <w:kinsoku/>
              <w:wordWrap/>
              <w:overflowPunct/>
              <w:topLinePunct w:val="0"/>
              <w:bidi w:val="0"/>
              <w:rPr>
                <w:rFonts w:ascii="Arial"/>
                <w:sz w:val="24"/>
                <w:szCs w:val="24"/>
              </w:rPr>
            </w:pPr>
          </w:p>
        </w:tc>
        <w:tc>
          <w:tcPr>
            <w:tcW w:w="1766" w:type="dxa"/>
            <w:vAlign w:val="top"/>
          </w:tcPr>
          <w:p w14:paraId="4575DA74">
            <w:pPr>
              <w:pStyle w:val="26"/>
              <w:keepLines w:val="0"/>
              <w:pageBreakBefore w:val="0"/>
              <w:kinsoku/>
              <w:wordWrap/>
              <w:overflowPunct/>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01341D77">
            <w:pPr>
              <w:keepLines w:val="0"/>
              <w:pageBreakBefore w:val="0"/>
              <w:kinsoku/>
              <w:wordWrap/>
              <w:overflowPunct/>
              <w:topLinePunct w:val="0"/>
              <w:bidi w:val="0"/>
              <w:rPr>
                <w:rFonts w:ascii="Arial"/>
                <w:sz w:val="24"/>
                <w:szCs w:val="24"/>
              </w:rPr>
            </w:pPr>
          </w:p>
        </w:tc>
      </w:tr>
      <w:tr w14:paraId="4DEE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43B66E8F">
            <w:pPr>
              <w:pStyle w:val="26"/>
              <w:keepLines w:val="0"/>
              <w:pageBreakBefore w:val="0"/>
              <w:kinsoku/>
              <w:wordWrap/>
              <w:overflowPunct/>
              <w:topLinePunct w:val="0"/>
              <w:bidi w:val="0"/>
              <w:spacing w:before="146" w:line="233" w:lineRule="auto"/>
              <w:ind w:left="851"/>
              <w:jc w:val="center"/>
              <w:rPr>
                <w:sz w:val="24"/>
                <w:szCs w:val="24"/>
              </w:rPr>
            </w:pPr>
            <w:r>
              <w:rPr>
                <w:b/>
                <w:bCs/>
                <w:spacing w:val="-1"/>
                <w:sz w:val="24"/>
                <w:szCs w:val="24"/>
              </w:rPr>
              <w:t>类型</w:t>
            </w:r>
          </w:p>
        </w:tc>
        <w:tc>
          <w:tcPr>
            <w:tcW w:w="1765" w:type="dxa"/>
            <w:vAlign w:val="center"/>
          </w:tcPr>
          <w:p w14:paraId="6339D703">
            <w:pPr>
              <w:keepLines w:val="0"/>
              <w:pageBreakBefore w:val="0"/>
              <w:kinsoku/>
              <w:wordWrap/>
              <w:overflowPunct/>
              <w:topLinePunct w:val="0"/>
              <w:bidi w:val="0"/>
              <w:jc w:val="center"/>
              <w:rPr>
                <w:rFonts w:ascii="Arial"/>
                <w:sz w:val="24"/>
                <w:szCs w:val="24"/>
              </w:rPr>
            </w:pPr>
          </w:p>
        </w:tc>
        <w:tc>
          <w:tcPr>
            <w:tcW w:w="1210" w:type="dxa"/>
            <w:vMerge w:val="restart"/>
            <w:tcBorders>
              <w:bottom w:val="nil"/>
            </w:tcBorders>
            <w:vAlign w:val="center"/>
          </w:tcPr>
          <w:p w14:paraId="1A347192">
            <w:pPr>
              <w:keepLines w:val="0"/>
              <w:pageBreakBefore w:val="0"/>
              <w:kinsoku/>
              <w:wordWrap/>
              <w:overflowPunct/>
              <w:topLinePunct w:val="0"/>
              <w:bidi w:val="0"/>
              <w:spacing w:line="273" w:lineRule="auto"/>
              <w:jc w:val="center"/>
              <w:rPr>
                <w:rFonts w:ascii="Arial"/>
                <w:sz w:val="24"/>
                <w:szCs w:val="24"/>
              </w:rPr>
            </w:pPr>
          </w:p>
          <w:p w14:paraId="3AF95DBF">
            <w:pPr>
              <w:keepLines w:val="0"/>
              <w:pageBreakBefore w:val="0"/>
              <w:kinsoku/>
              <w:wordWrap/>
              <w:overflowPunct/>
              <w:topLinePunct w:val="0"/>
              <w:bidi w:val="0"/>
              <w:spacing w:line="273" w:lineRule="auto"/>
              <w:jc w:val="center"/>
              <w:rPr>
                <w:rFonts w:ascii="Arial"/>
                <w:sz w:val="24"/>
                <w:szCs w:val="24"/>
              </w:rPr>
            </w:pPr>
          </w:p>
          <w:p w14:paraId="42EDA100">
            <w:pPr>
              <w:keepLines w:val="0"/>
              <w:pageBreakBefore w:val="0"/>
              <w:kinsoku/>
              <w:wordWrap/>
              <w:overflowPunct/>
              <w:topLinePunct w:val="0"/>
              <w:bidi w:val="0"/>
              <w:spacing w:line="274" w:lineRule="auto"/>
              <w:jc w:val="center"/>
              <w:rPr>
                <w:rFonts w:ascii="Arial"/>
                <w:sz w:val="24"/>
                <w:szCs w:val="24"/>
              </w:rPr>
            </w:pPr>
          </w:p>
          <w:p w14:paraId="2AC56474">
            <w:pPr>
              <w:keepLines w:val="0"/>
              <w:pageBreakBefore w:val="0"/>
              <w:kinsoku/>
              <w:wordWrap/>
              <w:overflowPunct/>
              <w:topLinePunct w:val="0"/>
              <w:bidi w:val="0"/>
              <w:spacing w:line="274" w:lineRule="auto"/>
              <w:jc w:val="center"/>
              <w:rPr>
                <w:rFonts w:ascii="Arial"/>
                <w:sz w:val="24"/>
                <w:szCs w:val="24"/>
              </w:rPr>
            </w:pPr>
          </w:p>
          <w:p w14:paraId="0414AF30">
            <w:pPr>
              <w:pStyle w:val="26"/>
              <w:keepLines w:val="0"/>
              <w:pageBreakBefore w:val="0"/>
              <w:kinsoku/>
              <w:wordWrap/>
              <w:overflowPunct/>
              <w:topLinePunct w:val="0"/>
              <w:bidi w:val="0"/>
              <w:spacing w:before="65" w:line="231" w:lineRule="auto"/>
              <w:ind w:left="407"/>
              <w:jc w:val="center"/>
              <w:rPr>
                <w:sz w:val="24"/>
                <w:szCs w:val="24"/>
              </w:rPr>
            </w:pPr>
            <w:r>
              <w:rPr>
                <w:b/>
                <w:bCs/>
                <w:sz w:val="24"/>
                <w:szCs w:val="24"/>
              </w:rPr>
              <w:t>其中</w:t>
            </w:r>
          </w:p>
        </w:tc>
        <w:tc>
          <w:tcPr>
            <w:tcW w:w="1766" w:type="dxa"/>
            <w:vMerge w:val="restart"/>
            <w:tcBorders>
              <w:bottom w:val="nil"/>
            </w:tcBorders>
            <w:vAlign w:val="center"/>
          </w:tcPr>
          <w:p w14:paraId="6F3975C8">
            <w:pPr>
              <w:pStyle w:val="26"/>
              <w:keepLines w:val="0"/>
              <w:pageBreakBefore w:val="0"/>
              <w:kinsoku/>
              <w:wordWrap/>
              <w:overflowPunct/>
              <w:topLinePunct w:val="0"/>
              <w:bidi w:val="0"/>
              <w:spacing w:before="65"/>
              <w:ind w:left="792" w:right="143" w:hanging="635"/>
              <w:jc w:val="both"/>
              <w:rPr>
                <w:sz w:val="24"/>
                <w:szCs w:val="24"/>
              </w:rPr>
            </w:pPr>
            <w:r>
              <w:rPr>
                <w:b/>
                <w:bCs/>
                <w:spacing w:val="6"/>
                <w:sz w:val="24"/>
                <w:szCs w:val="24"/>
              </w:rPr>
              <w:t>基本账户户银</w:t>
            </w:r>
            <w:r>
              <w:rPr>
                <w:b/>
                <w:bCs/>
                <w:spacing w:val="-3"/>
                <w:sz w:val="24"/>
                <w:szCs w:val="24"/>
              </w:rPr>
              <w:t>行</w:t>
            </w:r>
          </w:p>
        </w:tc>
        <w:tc>
          <w:tcPr>
            <w:tcW w:w="1771" w:type="dxa"/>
            <w:vMerge w:val="restart"/>
            <w:tcBorders>
              <w:bottom w:val="nil"/>
            </w:tcBorders>
            <w:vAlign w:val="center"/>
          </w:tcPr>
          <w:p w14:paraId="61CC606B">
            <w:pPr>
              <w:keepLines w:val="0"/>
              <w:pageBreakBefore w:val="0"/>
              <w:kinsoku/>
              <w:wordWrap/>
              <w:overflowPunct/>
              <w:topLinePunct w:val="0"/>
              <w:bidi w:val="0"/>
              <w:jc w:val="center"/>
              <w:rPr>
                <w:rFonts w:ascii="Arial"/>
                <w:sz w:val="24"/>
                <w:szCs w:val="24"/>
              </w:rPr>
            </w:pPr>
          </w:p>
        </w:tc>
      </w:tr>
      <w:tr w14:paraId="6DC3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397A278C">
            <w:pPr>
              <w:pStyle w:val="26"/>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注册资本</w:t>
            </w:r>
          </w:p>
        </w:tc>
        <w:tc>
          <w:tcPr>
            <w:tcW w:w="1765" w:type="dxa"/>
            <w:vAlign w:val="center"/>
          </w:tcPr>
          <w:p w14:paraId="563F140A">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BB993AE">
            <w:pPr>
              <w:keepLines w:val="0"/>
              <w:pageBreakBefore w:val="0"/>
              <w:kinsoku/>
              <w:wordWrap/>
              <w:overflowPunct/>
              <w:topLinePunct w:val="0"/>
              <w:bidi w:val="0"/>
              <w:jc w:val="center"/>
              <w:rPr>
                <w:rFonts w:ascii="Arial"/>
                <w:sz w:val="24"/>
                <w:szCs w:val="24"/>
              </w:rPr>
            </w:pPr>
          </w:p>
        </w:tc>
        <w:tc>
          <w:tcPr>
            <w:tcW w:w="1766" w:type="dxa"/>
            <w:vMerge w:val="continue"/>
            <w:tcBorders>
              <w:top w:val="nil"/>
              <w:bottom w:val="nil"/>
            </w:tcBorders>
            <w:vAlign w:val="center"/>
          </w:tcPr>
          <w:p w14:paraId="044F2CB3">
            <w:pPr>
              <w:keepLines w:val="0"/>
              <w:pageBreakBefore w:val="0"/>
              <w:kinsoku/>
              <w:wordWrap/>
              <w:overflowPunct/>
              <w:topLinePunct w:val="0"/>
              <w:bidi w:val="0"/>
              <w:jc w:val="both"/>
              <w:rPr>
                <w:rFonts w:ascii="Arial"/>
                <w:sz w:val="24"/>
                <w:szCs w:val="24"/>
              </w:rPr>
            </w:pPr>
          </w:p>
        </w:tc>
        <w:tc>
          <w:tcPr>
            <w:tcW w:w="1771" w:type="dxa"/>
            <w:vMerge w:val="continue"/>
            <w:tcBorders>
              <w:top w:val="nil"/>
              <w:bottom w:val="nil"/>
            </w:tcBorders>
            <w:vAlign w:val="center"/>
          </w:tcPr>
          <w:p w14:paraId="19054C63">
            <w:pPr>
              <w:keepLines w:val="0"/>
              <w:pageBreakBefore w:val="0"/>
              <w:kinsoku/>
              <w:wordWrap/>
              <w:overflowPunct/>
              <w:topLinePunct w:val="0"/>
              <w:bidi w:val="0"/>
              <w:jc w:val="center"/>
              <w:rPr>
                <w:rFonts w:ascii="Arial"/>
                <w:sz w:val="24"/>
                <w:szCs w:val="24"/>
              </w:rPr>
            </w:pPr>
          </w:p>
        </w:tc>
      </w:tr>
      <w:tr w14:paraId="5C5B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097980DE">
            <w:pPr>
              <w:pStyle w:val="26"/>
              <w:keepLines w:val="0"/>
              <w:pageBreakBefore w:val="0"/>
              <w:kinsoku/>
              <w:wordWrap/>
              <w:overflowPunct/>
              <w:topLinePunct w:val="0"/>
              <w:bidi w:val="0"/>
              <w:spacing w:before="145" w:line="232" w:lineRule="auto"/>
              <w:ind w:left="641"/>
              <w:jc w:val="center"/>
              <w:rPr>
                <w:sz w:val="24"/>
                <w:szCs w:val="24"/>
              </w:rPr>
            </w:pPr>
            <w:r>
              <w:rPr>
                <w:b/>
                <w:bCs/>
                <w:spacing w:val="4"/>
                <w:sz w:val="24"/>
                <w:szCs w:val="24"/>
              </w:rPr>
              <w:t>成立日期</w:t>
            </w:r>
          </w:p>
        </w:tc>
        <w:tc>
          <w:tcPr>
            <w:tcW w:w="1765" w:type="dxa"/>
            <w:vAlign w:val="center"/>
          </w:tcPr>
          <w:p w14:paraId="124CC594">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7A504783">
            <w:pPr>
              <w:keepLines w:val="0"/>
              <w:pageBreakBefore w:val="0"/>
              <w:kinsoku/>
              <w:wordWrap/>
              <w:overflowPunct/>
              <w:topLinePunct w:val="0"/>
              <w:bidi w:val="0"/>
              <w:jc w:val="center"/>
              <w:rPr>
                <w:rFonts w:ascii="Arial"/>
                <w:sz w:val="24"/>
                <w:szCs w:val="24"/>
              </w:rPr>
            </w:pPr>
          </w:p>
        </w:tc>
        <w:tc>
          <w:tcPr>
            <w:tcW w:w="1766" w:type="dxa"/>
            <w:vMerge w:val="continue"/>
            <w:tcBorders>
              <w:top w:val="nil"/>
            </w:tcBorders>
            <w:vAlign w:val="center"/>
          </w:tcPr>
          <w:p w14:paraId="46218268">
            <w:pPr>
              <w:keepLines w:val="0"/>
              <w:pageBreakBefore w:val="0"/>
              <w:kinsoku/>
              <w:wordWrap/>
              <w:overflowPunct/>
              <w:topLinePunct w:val="0"/>
              <w:bidi w:val="0"/>
              <w:jc w:val="both"/>
              <w:rPr>
                <w:rFonts w:ascii="Arial"/>
                <w:sz w:val="24"/>
                <w:szCs w:val="24"/>
              </w:rPr>
            </w:pPr>
          </w:p>
        </w:tc>
        <w:tc>
          <w:tcPr>
            <w:tcW w:w="1771" w:type="dxa"/>
            <w:vMerge w:val="continue"/>
            <w:tcBorders>
              <w:top w:val="nil"/>
            </w:tcBorders>
            <w:vAlign w:val="center"/>
          </w:tcPr>
          <w:p w14:paraId="624083B3">
            <w:pPr>
              <w:keepLines w:val="0"/>
              <w:pageBreakBefore w:val="0"/>
              <w:kinsoku/>
              <w:wordWrap/>
              <w:overflowPunct/>
              <w:topLinePunct w:val="0"/>
              <w:bidi w:val="0"/>
              <w:jc w:val="center"/>
              <w:rPr>
                <w:rFonts w:ascii="Arial"/>
                <w:sz w:val="24"/>
                <w:szCs w:val="24"/>
              </w:rPr>
            </w:pPr>
          </w:p>
        </w:tc>
      </w:tr>
      <w:tr w14:paraId="085A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center"/>
          </w:tcPr>
          <w:p w14:paraId="79868DA4">
            <w:pPr>
              <w:pStyle w:val="26"/>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营业期限</w:t>
            </w:r>
          </w:p>
        </w:tc>
        <w:tc>
          <w:tcPr>
            <w:tcW w:w="1765" w:type="dxa"/>
            <w:vAlign w:val="center"/>
          </w:tcPr>
          <w:p w14:paraId="728C220D">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41358D8">
            <w:pPr>
              <w:keepLines w:val="0"/>
              <w:pageBreakBefore w:val="0"/>
              <w:kinsoku/>
              <w:wordWrap/>
              <w:overflowPunct/>
              <w:topLinePunct w:val="0"/>
              <w:bidi w:val="0"/>
              <w:jc w:val="center"/>
              <w:rPr>
                <w:rFonts w:ascii="Arial"/>
                <w:sz w:val="24"/>
                <w:szCs w:val="24"/>
              </w:rPr>
            </w:pPr>
          </w:p>
        </w:tc>
        <w:tc>
          <w:tcPr>
            <w:tcW w:w="1766" w:type="dxa"/>
            <w:vMerge w:val="restart"/>
            <w:tcBorders>
              <w:bottom w:val="nil"/>
            </w:tcBorders>
            <w:vAlign w:val="center"/>
          </w:tcPr>
          <w:p w14:paraId="1B97AE4C">
            <w:pPr>
              <w:pStyle w:val="26"/>
              <w:keepLines w:val="0"/>
              <w:pageBreakBefore w:val="0"/>
              <w:kinsoku/>
              <w:wordWrap/>
              <w:overflowPunct/>
              <w:topLinePunct w:val="0"/>
              <w:bidi w:val="0"/>
              <w:spacing w:before="265" w:line="241" w:lineRule="auto"/>
              <w:ind w:left="795" w:right="143" w:hanging="638"/>
              <w:jc w:val="both"/>
              <w:rPr>
                <w:sz w:val="24"/>
                <w:szCs w:val="24"/>
              </w:rPr>
            </w:pPr>
            <w:r>
              <w:rPr>
                <w:b/>
                <w:bCs/>
                <w:spacing w:val="6"/>
                <w:sz w:val="24"/>
                <w:szCs w:val="24"/>
              </w:rPr>
              <w:t>基本账户银行账</w:t>
            </w:r>
            <w:r>
              <w:rPr>
                <w:b/>
                <w:bCs/>
                <w:spacing w:val="-3"/>
                <w:sz w:val="24"/>
                <w:szCs w:val="24"/>
              </w:rPr>
              <w:t>号</w:t>
            </w:r>
          </w:p>
        </w:tc>
        <w:tc>
          <w:tcPr>
            <w:tcW w:w="1771" w:type="dxa"/>
            <w:vMerge w:val="restart"/>
            <w:tcBorders>
              <w:bottom w:val="nil"/>
            </w:tcBorders>
            <w:vAlign w:val="center"/>
          </w:tcPr>
          <w:p w14:paraId="1B4EFE04">
            <w:pPr>
              <w:keepLines w:val="0"/>
              <w:pageBreakBefore w:val="0"/>
              <w:kinsoku/>
              <w:wordWrap/>
              <w:overflowPunct/>
              <w:topLinePunct w:val="0"/>
              <w:bidi w:val="0"/>
              <w:jc w:val="center"/>
              <w:rPr>
                <w:rFonts w:ascii="Arial"/>
                <w:sz w:val="24"/>
                <w:szCs w:val="24"/>
              </w:rPr>
            </w:pPr>
          </w:p>
        </w:tc>
      </w:tr>
      <w:tr w14:paraId="29704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03D8901">
            <w:pPr>
              <w:pStyle w:val="26"/>
              <w:keepLines w:val="0"/>
              <w:pageBreakBefore w:val="0"/>
              <w:kinsoku/>
              <w:wordWrap/>
              <w:overflowPunct/>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339CB7FE">
            <w:pPr>
              <w:keepLines w:val="0"/>
              <w:pageBreakBefore w:val="0"/>
              <w:kinsoku/>
              <w:wordWrap/>
              <w:overflowPunct/>
              <w:topLinePunct w:val="0"/>
              <w:bidi w:val="0"/>
              <w:rPr>
                <w:rFonts w:ascii="Arial"/>
                <w:sz w:val="24"/>
                <w:szCs w:val="24"/>
              </w:rPr>
            </w:pPr>
          </w:p>
        </w:tc>
        <w:tc>
          <w:tcPr>
            <w:tcW w:w="1210" w:type="dxa"/>
            <w:vMerge w:val="continue"/>
            <w:tcBorders>
              <w:top w:val="nil"/>
            </w:tcBorders>
            <w:vAlign w:val="top"/>
          </w:tcPr>
          <w:p w14:paraId="7AF299AE">
            <w:pPr>
              <w:keepLines w:val="0"/>
              <w:pageBreakBefore w:val="0"/>
              <w:kinsoku/>
              <w:wordWrap/>
              <w:overflowPunct/>
              <w:topLinePunct w:val="0"/>
              <w:bidi w:val="0"/>
              <w:rPr>
                <w:rFonts w:ascii="Arial"/>
                <w:sz w:val="24"/>
                <w:szCs w:val="24"/>
              </w:rPr>
            </w:pPr>
          </w:p>
        </w:tc>
        <w:tc>
          <w:tcPr>
            <w:tcW w:w="1766" w:type="dxa"/>
            <w:vMerge w:val="continue"/>
            <w:tcBorders>
              <w:top w:val="nil"/>
            </w:tcBorders>
            <w:vAlign w:val="top"/>
          </w:tcPr>
          <w:p w14:paraId="241D1B47">
            <w:pPr>
              <w:keepLines w:val="0"/>
              <w:pageBreakBefore w:val="0"/>
              <w:kinsoku/>
              <w:wordWrap/>
              <w:overflowPunct/>
              <w:topLinePunct w:val="0"/>
              <w:bidi w:val="0"/>
              <w:rPr>
                <w:rFonts w:ascii="Arial"/>
                <w:sz w:val="24"/>
                <w:szCs w:val="24"/>
              </w:rPr>
            </w:pPr>
          </w:p>
        </w:tc>
        <w:tc>
          <w:tcPr>
            <w:tcW w:w="1771" w:type="dxa"/>
            <w:vMerge w:val="continue"/>
            <w:tcBorders>
              <w:top w:val="nil"/>
            </w:tcBorders>
            <w:vAlign w:val="top"/>
          </w:tcPr>
          <w:p w14:paraId="08CE3452">
            <w:pPr>
              <w:keepLines w:val="0"/>
              <w:pageBreakBefore w:val="0"/>
              <w:kinsoku/>
              <w:wordWrap/>
              <w:overflowPunct/>
              <w:topLinePunct w:val="0"/>
              <w:bidi w:val="0"/>
              <w:rPr>
                <w:rFonts w:ascii="Arial"/>
                <w:sz w:val="24"/>
                <w:szCs w:val="24"/>
              </w:rPr>
            </w:pPr>
          </w:p>
        </w:tc>
      </w:tr>
      <w:tr w14:paraId="4ACF6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70199367">
            <w:pPr>
              <w:keepLines w:val="0"/>
              <w:pageBreakBefore w:val="0"/>
              <w:kinsoku/>
              <w:wordWrap/>
              <w:overflowPunct/>
              <w:topLinePunct w:val="0"/>
              <w:bidi w:val="0"/>
              <w:spacing w:line="252" w:lineRule="auto"/>
              <w:rPr>
                <w:rFonts w:ascii="Arial"/>
                <w:sz w:val="24"/>
                <w:szCs w:val="24"/>
              </w:rPr>
            </w:pPr>
          </w:p>
          <w:p w14:paraId="19AB91F8">
            <w:pPr>
              <w:keepLines w:val="0"/>
              <w:pageBreakBefore w:val="0"/>
              <w:kinsoku/>
              <w:wordWrap/>
              <w:overflowPunct/>
              <w:topLinePunct w:val="0"/>
              <w:bidi w:val="0"/>
              <w:spacing w:line="252" w:lineRule="auto"/>
              <w:rPr>
                <w:rFonts w:ascii="Arial"/>
                <w:sz w:val="24"/>
                <w:szCs w:val="24"/>
              </w:rPr>
            </w:pPr>
          </w:p>
          <w:p w14:paraId="5C277C2E">
            <w:pPr>
              <w:keepLines w:val="0"/>
              <w:pageBreakBefore w:val="0"/>
              <w:kinsoku/>
              <w:wordWrap/>
              <w:overflowPunct/>
              <w:topLinePunct w:val="0"/>
              <w:bidi w:val="0"/>
              <w:spacing w:line="252" w:lineRule="auto"/>
              <w:rPr>
                <w:rFonts w:ascii="Arial"/>
                <w:sz w:val="24"/>
                <w:szCs w:val="24"/>
              </w:rPr>
            </w:pPr>
          </w:p>
          <w:p w14:paraId="0FF90516">
            <w:pPr>
              <w:keepLines w:val="0"/>
              <w:pageBreakBefore w:val="0"/>
              <w:kinsoku/>
              <w:wordWrap/>
              <w:overflowPunct/>
              <w:topLinePunct w:val="0"/>
              <w:bidi w:val="0"/>
              <w:spacing w:line="252" w:lineRule="auto"/>
              <w:rPr>
                <w:rFonts w:ascii="Arial"/>
                <w:sz w:val="24"/>
                <w:szCs w:val="24"/>
              </w:rPr>
            </w:pPr>
          </w:p>
          <w:p w14:paraId="7FD25708">
            <w:pPr>
              <w:keepLines w:val="0"/>
              <w:pageBreakBefore w:val="0"/>
              <w:kinsoku/>
              <w:wordWrap/>
              <w:overflowPunct/>
              <w:topLinePunct w:val="0"/>
              <w:bidi w:val="0"/>
              <w:spacing w:line="252" w:lineRule="auto"/>
              <w:rPr>
                <w:rFonts w:ascii="Arial"/>
                <w:sz w:val="24"/>
                <w:szCs w:val="24"/>
              </w:rPr>
            </w:pPr>
          </w:p>
          <w:p w14:paraId="7AF73327">
            <w:pPr>
              <w:keepLines w:val="0"/>
              <w:pageBreakBefore w:val="0"/>
              <w:kinsoku/>
              <w:wordWrap/>
              <w:overflowPunct/>
              <w:topLinePunct w:val="0"/>
              <w:bidi w:val="0"/>
              <w:spacing w:line="252" w:lineRule="auto"/>
              <w:rPr>
                <w:rFonts w:ascii="Arial"/>
                <w:sz w:val="24"/>
                <w:szCs w:val="24"/>
              </w:rPr>
            </w:pPr>
          </w:p>
          <w:p w14:paraId="1D145CB2">
            <w:pPr>
              <w:keepLines w:val="0"/>
              <w:pageBreakBefore w:val="0"/>
              <w:kinsoku/>
              <w:wordWrap/>
              <w:overflowPunct/>
              <w:topLinePunct w:val="0"/>
              <w:bidi w:val="0"/>
              <w:spacing w:line="252" w:lineRule="auto"/>
              <w:rPr>
                <w:rFonts w:ascii="Arial"/>
                <w:sz w:val="24"/>
                <w:szCs w:val="24"/>
              </w:rPr>
            </w:pPr>
          </w:p>
          <w:p w14:paraId="2B718AAF">
            <w:pPr>
              <w:keepLines w:val="0"/>
              <w:pageBreakBefore w:val="0"/>
              <w:kinsoku/>
              <w:wordWrap/>
              <w:overflowPunct/>
              <w:topLinePunct w:val="0"/>
              <w:bidi w:val="0"/>
              <w:spacing w:line="252" w:lineRule="auto"/>
              <w:rPr>
                <w:rFonts w:ascii="Arial"/>
                <w:sz w:val="24"/>
                <w:szCs w:val="24"/>
              </w:rPr>
            </w:pPr>
          </w:p>
          <w:p w14:paraId="0DEE2E03">
            <w:pPr>
              <w:keepLines w:val="0"/>
              <w:pageBreakBefore w:val="0"/>
              <w:kinsoku/>
              <w:wordWrap/>
              <w:overflowPunct/>
              <w:topLinePunct w:val="0"/>
              <w:bidi w:val="0"/>
              <w:spacing w:line="253" w:lineRule="auto"/>
              <w:rPr>
                <w:rFonts w:ascii="Arial"/>
                <w:sz w:val="24"/>
                <w:szCs w:val="24"/>
              </w:rPr>
            </w:pPr>
          </w:p>
          <w:p w14:paraId="4CCA81B2">
            <w:pPr>
              <w:pStyle w:val="26"/>
              <w:keepLines w:val="0"/>
              <w:pageBreakBefore w:val="0"/>
              <w:kinsoku/>
              <w:wordWrap/>
              <w:overflowPunct/>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6DA73ED9">
            <w:pPr>
              <w:keepLines w:val="0"/>
              <w:pageBreakBefore w:val="0"/>
              <w:kinsoku/>
              <w:wordWrap/>
              <w:overflowPunct/>
              <w:topLinePunct w:val="0"/>
              <w:bidi w:val="0"/>
              <w:rPr>
                <w:rFonts w:ascii="Arial"/>
                <w:sz w:val="24"/>
                <w:szCs w:val="24"/>
              </w:rPr>
            </w:pPr>
          </w:p>
        </w:tc>
      </w:tr>
    </w:tbl>
    <w:p w14:paraId="0DC7A398">
      <w:pPr>
        <w:keepLines w:val="0"/>
        <w:pageBreakBefore w:val="0"/>
        <w:kinsoku/>
        <w:wordWrap/>
        <w:overflowPunct/>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w:t>
      </w:r>
    </w:p>
    <w:p w14:paraId="42C4C74E">
      <w:pPr>
        <w:keepLines w:val="0"/>
        <w:pageBreakBefore w:val="0"/>
        <w:kinsoku/>
        <w:wordWrap/>
        <w:overflowPunct/>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投标人</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13E00256">
      <w:pPr>
        <w:pStyle w:val="7"/>
        <w:keepLines w:val="0"/>
        <w:pageBreakBefore w:val="0"/>
        <w:kinsoku/>
        <w:wordWrap/>
        <w:overflowPunct/>
        <w:topLinePunct w:val="0"/>
        <w:bidi w:val="0"/>
        <w:spacing w:line="262" w:lineRule="auto"/>
      </w:pPr>
    </w:p>
    <w:p w14:paraId="74507AA0">
      <w:pPr>
        <w:pStyle w:val="7"/>
        <w:keepLines w:val="0"/>
        <w:pageBreakBefore w:val="0"/>
        <w:kinsoku/>
        <w:wordWrap/>
        <w:overflowPunct/>
        <w:topLinePunct w:val="0"/>
        <w:bidi w:val="0"/>
        <w:spacing w:line="262" w:lineRule="auto"/>
      </w:pPr>
    </w:p>
    <w:p w14:paraId="2BB59CDB">
      <w:pPr>
        <w:pStyle w:val="7"/>
        <w:keepLines w:val="0"/>
        <w:pageBreakBefore w:val="0"/>
        <w:kinsoku/>
        <w:wordWrap/>
        <w:overflowPunct/>
        <w:topLinePunct w:val="0"/>
        <w:bidi w:val="0"/>
        <w:spacing w:line="263" w:lineRule="auto"/>
      </w:pPr>
    </w:p>
    <w:p w14:paraId="384BB25C">
      <w:pPr>
        <w:pStyle w:val="7"/>
        <w:keepLines w:val="0"/>
        <w:pageBreakBefore w:val="0"/>
        <w:kinsoku/>
        <w:wordWrap/>
        <w:overflowPunct/>
        <w:topLinePunct w:val="0"/>
        <w:bidi w:val="0"/>
        <w:spacing w:line="263" w:lineRule="auto"/>
      </w:pPr>
    </w:p>
    <w:p w14:paraId="48B6DA49">
      <w:pPr>
        <w:pStyle w:val="7"/>
        <w:keepLines w:val="0"/>
        <w:pageBreakBefore w:val="0"/>
        <w:kinsoku/>
        <w:wordWrap/>
        <w:overflowPunct/>
        <w:topLinePunct w:val="0"/>
        <w:bidi w:val="0"/>
        <w:spacing w:line="263" w:lineRule="auto"/>
      </w:pPr>
    </w:p>
    <w:p w14:paraId="70AAF0E9">
      <w:pPr>
        <w:keepLines w:val="0"/>
        <w:pageBreakBefore w:val="0"/>
        <w:kinsoku/>
        <w:wordWrap/>
        <w:overflowPunct/>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8</w:t>
      </w:r>
      <w:r>
        <w:rPr>
          <w:rFonts w:ascii="仿宋" w:hAnsi="仿宋" w:eastAsia="仿宋" w:cs="仿宋"/>
          <w:b/>
          <w:bCs/>
          <w:spacing w:val="6"/>
          <w:sz w:val="24"/>
          <w:szCs w:val="24"/>
        </w:rPr>
        <w:t>.近三年无重大违法记录声明</w:t>
      </w:r>
    </w:p>
    <w:p w14:paraId="67C34905">
      <w:pPr>
        <w:pStyle w:val="7"/>
        <w:keepLines w:val="0"/>
        <w:pageBreakBefore w:val="0"/>
        <w:kinsoku/>
        <w:wordWrap/>
        <w:overflowPunct/>
        <w:topLinePunct w:val="0"/>
        <w:bidi w:val="0"/>
        <w:spacing w:line="295" w:lineRule="auto"/>
        <w:rPr>
          <w:sz w:val="24"/>
          <w:szCs w:val="24"/>
        </w:rPr>
      </w:pPr>
    </w:p>
    <w:p w14:paraId="6AF87071">
      <w:pPr>
        <w:pStyle w:val="7"/>
        <w:keepLines w:val="0"/>
        <w:pageBreakBefore w:val="0"/>
        <w:kinsoku/>
        <w:wordWrap/>
        <w:overflowPunct/>
        <w:topLinePunct w:val="0"/>
        <w:bidi w:val="0"/>
        <w:spacing w:line="295" w:lineRule="auto"/>
        <w:rPr>
          <w:sz w:val="24"/>
          <w:szCs w:val="24"/>
        </w:rPr>
      </w:pPr>
    </w:p>
    <w:p w14:paraId="2E964988">
      <w:pPr>
        <w:keepLines w:val="0"/>
        <w:pageBreakBefore w:val="0"/>
        <w:kinsoku/>
        <w:wordWrap/>
        <w:overflowPunct/>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7B41BD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051FEE1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0C6FE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14:paraId="0C6799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3988D9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6FDA6973">
      <w:pPr>
        <w:pStyle w:val="7"/>
        <w:keepLines w:val="0"/>
        <w:pageBreakBefore w:val="0"/>
        <w:kinsoku/>
        <w:wordWrap/>
        <w:overflowPunct/>
        <w:topLinePunct w:val="0"/>
        <w:bidi w:val="0"/>
        <w:spacing w:line="284" w:lineRule="auto"/>
        <w:rPr>
          <w:sz w:val="24"/>
          <w:szCs w:val="24"/>
        </w:rPr>
      </w:pPr>
    </w:p>
    <w:p w14:paraId="55ED29A5">
      <w:pPr>
        <w:pStyle w:val="7"/>
        <w:keepLines w:val="0"/>
        <w:pageBreakBefore w:val="0"/>
        <w:kinsoku/>
        <w:wordWrap/>
        <w:overflowPunct/>
        <w:topLinePunct w:val="0"/>
        <w:bidi w:val="0"/>
        <w:spacing w:line="285" w:lineRule="auto"/>
        <w:rPr>
          <w:sz w:val="24"/>
          <w:szCs w:val="24"/>
        </w:rPr>
      </w:pPr>
    </w:p>
    <w:p w14:paraId="1FF7F7FD">
      <w:pPr>
        <w:pStyle w:val="7"/>
        <w:keepLines w:val="0"/>
        <w:pageBreakBefore w:val="0"/>
        <w:kinsoku/>
        <w:wordWrap/>
        <w:overflowPunct/>
        <w:topLinePunct w:val="0"/>
        <w:bidi w:val="0"/>
        <w:spacing w:line="285" w:lineRule="auto"/>
        <w:rPr>
          <w:sz w:val="24"/>
          <w:szCs w:val="24"/>
        </w:rPr>
      </w:pPr>
    </w:p>
    <w:p w14:paraId="60AB50F5">
      <w:pPr>
        <w:pStyle w:val="7"/>
        <w:keepLines w:val="0"/>
        <w:pageBreakBefore w:val="0"/>
        <w:kinsoku/>
        <w:wordWrap/>
        <w:overflowPunct/>
        <w:topLinePunct w:val="0"/>
        <w:bidi w:val="0"/>
        <w:spacing w:line="285" w:lineRule="auto"/>
        <w:rPr>
          <w:sz w:val="24"/>
          <w:szCs w:val="24"/>
        </w:rPr>
      </w:pPr>
    </w:p>
    <w:p w14:paraId="5EAA8E50">
      <w:pPr>
        <w:keepLines w:val="0"/>
        <w:pageBreakBefore w:val="0"/>
        <w:kinsoku/>
        <w:wordWrap/>
        <w:overflowPunct/>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03C6B61F">
      <w:pPr>
        <w:keepLines w:val="0"/>
        <w:pageBreakBefore w:val="0"/>
        <w:kinsoku/>
        <w:wordWrap/>
        <w:overflowPunct/>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0D80F923">
      <w:pPr>
        <w:pStyle w:val="7"/>
        <w:keepLines w:val="0"/>
        <w:pageBreakBefore w:val="0"/>
        <w:kinsoku/>
        <w:wordWrap/>
        <w:overflowPunct/>
        <w:topLinePunct w:val="0"/>
        <w:bidi w:val="0"/>
        <w:spacing w:line="464" w:lineRule="auto"/>
        <w:rPr>
          <w:sz w:val="24"/>
          <w:szCs w:val="24"/>
        </w:rPr>
      </w:pPr>
    </w:p>
    <w:p w14:paraId="1EC48406">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6D6E09A4">
      <w:pPr>
        <w:keepLines w:val="0"/>
        <w:pageBreakBefore w:val="0"/>
        <w:kinsoku/>
        <w:wordWrap/>
        <w:overflowPunct/>
        <w:topLinePunct w:val="0"/>
        <w:bidi w:val="0"/>
        <w:spacing w:line="231" w:lineRule="auto"/>
        <w:rPr>
          <w:rFonts w:ascii="仿宋" w:hAnsi="仿宋" w:eastAsia="仿宋" w:cs="仿宋"/>
          <w:sz w:val="24"/>
          <w:szCs w:val="24"/>
        </w:rPr>
        <w:sectPr>
          <w:footerReference r:id="rId13" w:type="default"/>
          <w:pgSz w:w="11906" w:h="16839"/>
          <w:pgMar w:top="1440" w:right="1080" w:bottom="1440" w:left="1080" w:header="0" w:footer="1054" w:gutter="0"/>
          <w:pgNumType w:fmt="decimal"/>
          <w:cols w:space="720" w:num="1"/>
        </w:sectPr>
      </w:pPr>
    </w:p>
    <w:p w14:paraId="58E2AB98">
      <w:pPr>
        <w:keepLines w:val="0"/>
        <w:pageBreakBefore w:val="0"/>
        <w:kinsoku/>
        <w:wordWrap/>
        <w:overflowPunct/>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9</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0DF3C01A">
      <w:pPr>
        <w:keepLines w:val="0"/>
        <w:pageBreakBefore w:val="0"/>
        <w:kinsoku/>
        <w:wordWrap/>
        <w:overflowPunct/>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B6E5B59">
      <w:pPr>
        <w:pStyle w:val="7"/>
        <w:keepLines w:val="0"/>
        <w:pageBreakBefore w:val="0"/>
        <w:kinsoku/>
        <w:wordWrap/>
        <w:overflowPunct/>
        <w:topLinePunct w:val="0"/>
        <w:bidi w:val="0"/>
        <w:spacing w:line="257" w:lineRule="auto"/>
      </w:pPr>
    </w:p>
    <w:p w14:paraId="3CCFCE28">
      <w:pPr>
        <w:pStyle w:val="7"/>
        <w:keepLines w:val="0"/>
        <w:pageBreakBefore w:val="0"/>
        <w:kinsoku/>
        <w:wordWrap/>
        <w:overflowPunct/>
        <w:topLinePunct w:val="0"/>
        <w:bidi w:val="0"/>
        <w:spacing w:line="257" w:lineRule="auto"/>
      </w:pPr>
    </w:p>
    <w:p w14:paraId="154D47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6600D87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2F37CBED">
      <w:pPr>
        <w:pStyle w:val="7"/>
        <w:keepLines w:val="0"/>
        <w:pageBreakBefore w:val="0"/>
        <w:kinsoku/>
        <w:wordWrap/>
        <w:overflowPunct/>
        <w:topLinePunct w:val="0"/>
        <w:bidi w:val="0"/>
        <w:spacing w:line="259" w:lineRule="auto"/>
        <w:rPr>
          <w:sz w:val="24"/>
          <w:szCs w:val="24"/>
        </w:rPr>
      </w:pPr>
    </w:p>
    <w:p w14:paraId="3552FD77">
      <w:pPr>
        <w:pStyle w:val="7"/>
        <w:keepLines w:val="0"/>
        <w:pageBreakBefore w:val="0"/>
        <w:kinsoku/>
        <w:wordWrap/>
        <w:overflowPunct/>
        <w:topLinePunct w:val="0"/>
        <w:bidi w:val="0"/>
        <w:spacing w:line="260" w:lineRule="auto"/>
        <w:rPr>
          <w:sz w:val="24"/>
          <w:szCs w:val="24"/>
        </w:rPr>
      </w:pPr>
    </w:p>
    <w:p w14:paraId="38D679D4">
      <w:pPr>
        <w:keepLines w:val="0"/>
        <w:pageBreakBefore w:val="0"/>
        <w:kinsoku/>
        <w:wordWrap/>
        <w:overflowPunct/>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3FA50D7">
      <w:pPr>
        <w:keepLines w:val="0"/>
        <w:pageBreakBefore w:val="0"/>
        <w:kinsoku/>
        <w:wordWrap/>
        <w:overflowPunct/>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E458D43">
      <w:pPr>
        <w:pStyle w:val="7"/>
        <w:keepLines w:val="0"/>
        <w:pageBreakBefore w:val="0"/>
        <w:kinsoku/>
        <w:wordWrap/>
        <w:overflowPunct/>
        <w:topLinePunct w:val="0"/>
        <w:bidi w:val="0"/>
        <w:spacing w:line="464" w:lineRule="auto"/>
        <w:rPr>
          <w:sz w:val="24"/>
          <w:szCs w:val="24"/>
        </w:rPr>
      </w:pPr>
    </w:p>
    <w:p w14:paraId="2C7B1234">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7A6716CC">
      <w:pPr>
        <w:keepLines w:val="0"/>
        <w:pageBreakBefore w:val="0"/>
        <w:kinsoku/>
        <w:wordWrap/>
        <w:overflowPunct/>
        <w:topLinePunct w:val="0"/>
        <w:bidi w:val="0"/>
        <w:spacing w:line="231" w:lineRule="auto"/>
        <w:rPr>
          <w:rFonts w:ascii="仿宋" w:hAnsi="仿宋" w:eastAsia="仿宋" w:cs="仿宋"/>
          <w:sz w:val="20"/>
          <w:szCs w:val="20"/>
        </w:rPr>
        <w:sectPr>
          <w:footerReference r:id="rId14" w:type="default"/>
          <w:pgSz w:w="11906" w:h="16839"/>
          <w:pgMar w:top="1440" w:right="1080" w:bottom="1440" w:left="1080" w:header="0" w:footer="1054" w:gutter="0"/>
          <w:pgNumType w:fmt="decimal"/>
          <w:cols w:space="720" w:num="1"/>
        </w:sectPr>
      </w:pPr>
    </w:p>
    <w:p w14:paraId="3E9CBD92">
      <w:pPr>
        <w:pStyle w:val="7"/>
        <w:keepLines w:val="0"/>
        <w:pageBreakBefore w:val="0"/>
        <w:kinsoku/>
        <w:wordWrap/>
        <w:overflowPunct/>
        <w:topLinePunct w:val="0"/>
        <w:bidi w:val="0"/>
        <w:spacing w:line="346" w:lineRule="auto"/>
      </w:pPr>
    </w:p>
    <w:p w14:paraId="2676D8AE">
      <w:pPr>
        <w:keepLines w:val="0"/>
        <w:pageBreakBefore w:val="0"/>
        <w:kinsoku/>
        <w:wordWrap/>
        <w:overflowPunct/>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10</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投标人</w:t>
      </w:r>
      <w:r>
        <w:rPr>
          <w:rFonts w:hint="eastAsia" w:ascii="仿宋" w:hAnsi="仿宋" w:eastAsia="仿宋" w:cs="仿宋"/>
          <w:b/>
          <w:bCs/>
          <w:spacing w:val="7"/>
          <w:sz w:val="24"/>
          <w:szCs w:val="24"/>
          <w:lang w:val="en-US" w:eastAsia="zh-CN"/>
        </w:rPr>
        <w:t>，不得参加同一合同项下的政府采购活动的书面声明（格式自拟）</w:t>
      </w:r>
    </w:p>
    <w:p w14:paraId="08D287D5">
      <w:pPr>
        <w:keepLines w:val="0"/>
        <w:pageBreakBefore w:val="0"/>
        <w:kinsoku/>
        <w:wordWrap/>
        <w:overflowPunct/>
        <w:topLinePunct w:val="0"/>
        <w:bidi w:val="0"/>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br w:type="page"/>
      </w:r>
    </w:p>
    <w:p w14:paraId="3A9EE2B7">
      <w:pPr>
        <w:keepLines w:val="0"/>
        <w:pageBreakBefore w:val="0"/>
        <w:kinsoku/>
        <w:wordWrap/>
        <w:overflowPunct/>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11、拟投入本项目管理、服务、其他人员情况表</w:t>
      </w:r>
    </w:p>
    <w:p w14:paraId="48050D34">
      <w:pPr>
        <w:keepLines w:val="0"/>
        <w:pageBreakBefore w:val="0"/>
        <w:kinsoku/>
        <w:wordWrap/>
        <w:overflowPunct/>
        <w:topLinePunct w:val="0"/>
        <w:bidi w:val="0"/>
        <w:spacing w:line="90" w:lineRule="exact"/>
        <w:rPr>
          <w:sz w:val="24"/>
          <w:szCs w:val="24"/>
        </w:rPr>
      </w:pPr>
    </w:p>
    <w:tbl>
      <w:tblPr>
        <w:tblStyle w:val="25"/>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65AB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0D07DC87">
            <w:pPr>
              <w:keepLines w:val="0"/>
              <w:pageBreakBefore w:val="0"/>
              <w:kinsoku/>
              <w:wordWrap/>
              <w:overflowPunct/>
              <w:topLinePunct w:val="0"/>
              <w:bidi w:val="0"/>
              <w:spacing w:line="477" w:lineRule="auto"/>
              <w:rPr>
                <w:rFonts w:ascii="Arial"/>
                <w:sz w:val="24"/>
                <w:szCs w:val="24"/>
              </w:rPr>
            </w:pPr>
          </w:p>
          <w:p w14:paraId="54836178">
            <w:pPr>
              <w:pStyle w:val="26"/>
              <w:keepLines w:val="0"/>
              <w:pageBreakBefore w:val="0"/>
              <w:kinsoku/>
              <w:wordWrap/>
              <w:overflowPunct/>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3FF5B476">
            <w:pPr>
              <w:keepLines w:val="0"/>
              <w:pageBreakBefore w:val="0"/>
              <w:kinsoku/>
              <w:wordWrap/>
              <w:overflowPunct/>
              <w:topLinePunct w:val="0"/>
              <w:bidi w:val="0"/>
              <w:spacing w:line="478" w:lineRule="auto"/>
              <w:rPr>
                <w:rFonts w:ascii="Arial"/>
                <w:sz w:val="24"/>
                <w:szCs w:val="24"/>
              </w:rPr>
            </w:pPr>
          </w:p>
          <w:p w14:paraId="0C38CDA2">
            <w:pPr>
              <w:pStyle w:val="26"/>
              <w:keepLines w:val="0"/>
              <w:pageBreakBefore w:val="0"/>
              <w:kinsoku/>
              <w:wordWrap/>
              <w:overflowPunct/>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4BF4B733">
            <w:pPr>
              <w:keepLines w:val="0"/>
              <w:pageBreakBefore w:val="0"/>
              <w:kinsoku/>
              <w:wordWrap/>
              <w:overflowPunct/>
              <w:topLinePunct w:val="0"/>
              <w:bidi w:val="0"/>
              <w:spacing w:line="277" w:lineRule="auto"/>
              <w:rPr>
                <w:rFonts w:ascii="Arial"/>
                <w:sz w:val="24"/>
                <w:szCs w:val="24"/>
              </w:rPr>
            </w:pPr>
          </w:p>
          <w:p w14:paraId="06DA6665">
            <w:pPr>
              <w:pStyle w:val="26"/>
              <w:keepLines w:val="0"/>
              <w:pageBreakBefore w:val="0"/>
              <w:kinsoku/>
              <w:wordWrap/>
              <w:overflowPunct/>
              <w:topLinePunct w:val="0"/>
              <w:bidi w:val="0"/>
              <w:spacing w:before="65" w:line="401" w:lineRule="exact"/>
              <w:ind w:left="204"/>
              <w:rPr>
                <w:sz w:val="24"/>
                <w:szCs w:val="24"/>
              </w:rPr>
            </w:pPr>
            <w:r>
              <w:rPr>
                <w:spacing w:val="5"/>
                <w:position w:val="14"/>
                <w:sz w:val="24"/>
                <w:szCs w:val="24"/>
              </w:rPr>
              <w:t>联系方</w:t>
            </w:r>
          </w:p>
          <w:p w14:paraId="2CC76B89">
            <w:pPr>
              <w:pStyle w:val="26"/>
              <w:keepLines w:val="0"/>
              <w:pageBreakBefore w:val="0"/>
              <w:kinsoku/>
              <w:wordWrap/>
              <w:overflowPunct/>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6AD37B14">
            <w:pPr>
              <w:keepLines w:val="0"/>
              <w:pageBreakBefore w:val="0"/>
              <w:kinsoku/>
              <w:wordWrap/>
              <w:overflowPunct/>
              <w:topLinePunct w:val="0"/>
              <w:bidi w:val="0"/>
              <w:spacing w:line="277" w:lineRule="auto"/>
              <w:rPr>
                <w:rFonts w:ascii="Arial"/>
                <w:sz w:val="24"/>
                <w:szCs w:val="24"/>
              </w:rPr>
            </w:pPr>
          </w:p>
          <w:p w14:paraId="7D17CF9A">
            <w:pPr>
              <w:pStyle w:val="26"/>
              <w:keepLines w:val="0"/>
              <w:pageBreakBefore w:val="0"/>
              <w:kinsoku/>
              <w:wordWrap/>
              <w:overflowPunct/>
              <w:topLinePunct w:val="0"/>
              <w:bidi w:val="0"/>
              <w:spacing w:before="65" w:line="401" w:lineRule="exact"/>
              <w:ind w:left="207"/>
              <w:rPr>
                <w:sz w:val="24"/>
                <w:szCs w:val="24"/>
              </w:rPr>
            </w:pPr>
            <w:r>
              <w:rPr>
                <w:spacing w:val="5"/>
                <w:position w:val="14"/>
                <w:sz w:val="24"/>
                <w:szCs w:val="24"/>
              </w:rPr>
              <w:t>职称或</w:t>
            </w:r>
          </w:p>
          <w:p w14:paraId="46864BF1">
            <w:pPr>
              <w:pStyle w:val="26"/>
              <w:keepLines w:val="0"/>
              <w:pageBreakBefore w:val="0"/>
              <w:kinsoku/>
              <w:wordWrap/>
              <w:overflowPunct/>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25DF7137">
            <w:pPr>
              <w:keepLines w:val="0"/>
              <w:pageBreakBefore w:val="0"/>
              <w:kinsoku/>
              <w:wordWrap/>
              <w:overflowPunct/>
              <w:topLinePunct w:val="0"/>
              <w:bidi w:val="0"/>
              <w:spacing w:line="478" w:lineRule="auto"/>
              <w:rPr>
                <w:rFonts w:ascii="Arial"/>
                <w:sz w:val="24"/>
                <w:szCs w:val="24"/>
              </w:rPr>
            </w:pPr>
          </w:p>
          <w:p w14:paraId="1F0F50B3">
            <w:pPr>
              <w:pStyle w:val="26"/>
              <w:keepLines w:val="0"/>
              <w:pageBreakBefore w:val="0"/>
              <w:kinsoku/>
              <w:wordWrap/>
              <w:overflowPunct/>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2AD564CE">
            <w:pPr>
              <w:pStyle w:val="26"/>
              <w:keepLines w:val="0"/>
              <w:pageBreakBefore w:val="0"/>
              <w:kinsoku/>
              <w:wordWrap/>
              <w:overflowPunct/>
              <w:topLinePunct w:val="0"/>
              <w:bidi w:val="0"/>
              <w:spacing w:before="241" w:line="231" w:lineRule="auto"/>
              <w:ind w:left="1745"/>
              <w:rPr>
                <w:sz w:val="24"/>
                <w:szCs w:val="24"/>
              </w:rPr>
            </w:pPr>
            <w:r>
              <w:rPr>
                <w:spacing w:val="3"/>
                <w:sz w:val="24"/>
                <w:szCs w:val="24"/>
              </w:rPr>
              <w:t>资格证明</w:t>
            </w:r>
          </w:p>
        </w:tc>
      </w:tr>
      <w:tr w14:paraId="3387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1067978C">
            <w:pPr>
              <w:keepLines w:val="0"/>
              <w:pageBreakBefore w:val="0"/>
              <w:kinsoku/>
              <w:wordWrap/>
              <w:overflowPunct/>
              <w:topLinePunct w:val="0"/>
              <w:bidi w:val="0"/>
              <w:rPr>
                <w:rFonts w:ascii="Arial"/>
                <w:sz w:val="24"/>
                <w:szCs w:val="24"/>
              </w:rPr>
            </w:pPr>
          </w:p>
        </w:tc>
        <w:tc>
          <w:tcPr>
            <w:tcW w:w="1023" w:type="dxa"/>
            <w:vMerge w:val="continue"/>
            <w:tcBorders>
              <w:top w:val="nil"/>
            </w:tcBorders>
            <w:vAlign w:val="top"/>
          </w:tcPr>
          <w:p w14:paraId="70724FAA">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3478E26C">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26A63EA1">
            <w:pPr>
              <w:keepLines w:val="0"/>
              <w:pageBreakBefore w:val="0"/>
              <w:kinsoku/>
              <w:wordWrap/>
              <w:overflowPunct/>
              <w:topLinePunct w:val="0"/>
              <w:bidi w:val="0"/>
              <w:rPr>
                <w:rFonts w:ascii="Arial"/>
                <w:sz w:val="24"/>
                <w:szCs w:val="24"/>
              </w:rPr>
            </w:pPr>
          </w:p>
        </w:tc>
        <w:tc>
          <w:tcPr>
            <w:tcW w:w="1025" w:type="dxa"/>
            <w:vMerge w:val="continue"/>
            <w:tcBorders>
              <w:top w:val="nil"/>
            </w:tcBorders>
            <w:vAlign w:val="top"/>
          </w:tcPr>
          <w:p w14:paraId="6F730611">
            <w:pPr>
              <w:keepLines w:val="0"/>
              <w:pageBreakBefore w:val="0"/>
              <w:kinsoku/>
              <w:wordWrap/>
              <w:overflowPunct/>
              <w:topLinePunct w:val="0"/>
              <w:bidi w:val="0"/>
              <w:rPr>
                <w:rFonts w:ascii="Arial"/>
                <w:sz w:val="24"/>
                <w:szCs w:val="24"/>
              </w:rPr>
            </w:pPr>
          </w:p>
        </w:tc>
        <w:tc>
          <w:tcPr>
            <w:tcW w:w="1334" w:type="dxa"/>
            <w:vAlign w:val="top"/>
          </w:tcPr>
          <w:p w14:paraId="4AC6B1CF">
            <w:pPr>
              <w:pStyle w:val="26"/>
              <w:keepLines w:val="0"/>
              <w:pageBreakBefore w:val="0"/>
              <w:kinsoku/>
              <w:wordWrap/>
              <w:overflowPunct/>
              <w:topLinePunct w:val="0"/>
              <w:bidi w:val="0"/>
              <w:spacing w:before="239" w:line="229" w:lineRule="auto"/>
              <w:ind w:left="258"/>
              <w:rPr>
                <w:sz w:val="24"/>
                <w:szCs w:val="24"/>
              </w:rPr>
            </w:pPr>
            <w:r>
              <w:rPr>
                <w:spacing w:val="6"/>
                <w:sz w:val="24"/>
                <w:szCs w:val="24"/>
              </w:rPr>
              <w:t>证书名称</w:t>
            </w:r>
          </w:p>
        </w:tc>
        <w:tc>
          <w:tcPr>
            <w:tcW w:w="939" w:type="dxa"/>
            <w:vAlign w:val="top"/>
          </w:tcPr>
          <w:p w14:paraId="73013E39">
            <w:pPr>
              <w:pStyle w:val="26"/>
              <w:keepLines w:val="0"/>
              <w:pageBreakBefore w:val="0"/>
              <w:kinsoku/>
              <w:wordWrap/>
              <w:overflowPunct/>
              <w:topLinePunct w:val="0"/>
              <w:bidi w:val="0"/>
              <w:spacing w:before="238" w:line="232" w:lineRule="auto"/>
              <w:ind w:left="273"/>
              <w:rPr>
                <w:sz w:val="24"/>
                <w:szCs w:val="24"/>
              </w:rPr>
            </w:pPr>
            <w:r>
              <w:rPr>
                <w:sz w:val="24"/>
                <w:szCs w:val="24"/>
              </w:rPr>
              <w:t>级别</w:t>
            </w:r>
          </w:p>
        </w:tc>
        <w:tc>
          <w:tcPr>
            <w:tcW w:w="1068" w:type="dxa"/>
            <w:vAlign w:val="top"/>
          </w:tcPr>
          <w:p w14:paraId="4C904E1D">
            <w:pPr>
              <w:pStyle w:val="26"/>
              <w:keepLines w:val="0"/>
              <w:pageBreakBefore w:val="0"/>
              <w:kinsoku/>
              <w:wordWrap/>
              <w:overflowPunct/>
              <w:topLinePunct w:val="0"/>
              <w:bidi w:val="0"/>
              <w:spacing w:before="239" w:line="232" w:lineRule="auto"/>
              <w:ind w:left="334"/>
              <w:rPr>
                <w:sz w:val="24"/>
                <w:szCs w:val="24"/>
              </w:rPr>
            </w:pPr>
            <w:r>
              <w:rPr>
                <w:spacing w:val="2"/>
                <w:sz w:val="24"/>
                <w:szCs w:val="24"/>
              </w:rPr>
              <w:t>证号</w:t>
            </w:r>
          </w:p>
        </w:tc>
        <w:tc>
          <w:tcPr>
            <w:tcW w:w="950" w:type="dxa"/>
            <w:vAlign w:val="top"/>
          </w:tcPr>
          <w:p w14:paraId="6CC1858A">
            <w:pPr>
              <w:pStyle w:val="26"/>
              <w:keepLines w:val="0"/>
              <w:pageBreakBefore w:val="0"/>
              <w:kinsoku/>
              <w:wordWrap/>
              <w:overflowPunct/>
              <w:topLinePunct w:val="0"/>
              <w:bidi w:val="0"/>
              <w:spacing w:before="239" w:line="232" w:lineRule="auto"/>
              <w:ind w:left="278"/>
              <w:rPr>
                <w:sz w:val="24"/>
                <w:szCs w:val="24"/>
              </w:rPr>
            </w:pPr>
            <w:r>
              <w:rPr>
                <w:sz w:val="24"/>
                <w:szCs w:val="24"/>
              </w:rPr>
              <w:t>专业</w:t>
            </w:r>
          </w:p>
        </w:tc>
      </w:tr>
      <w:tr w14:paraId="2E7A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3FE533D4">
            <w:pPr>
              <w:keepLines w:val="0"/>
              <w:pageBreakBefore w:val="0"/>
              <w:kinsoku/>
              <w:wordWrap/>
              <w:overflowPunct/>
              <w:topLinePunct w:val="0"/>
              <w:bidi w:val="0"/>
              <w:spacing w:line="410" w:lineRule="auto"/>
              <w:rPr>
                <w:rFonts w:ascii="Arial"/>
                <w:sz w:val="24"/>
                <w:szCs w:val="24"/>
              </w:rPr>
            </w:pPr>
          </w:p>
          <w:p w14:paraId="13DCFE6A">
            <w:pPr>
              <w:pStyle w:val="26"/>
              <w:keepLines w:val="0"/>
              <w:pageBreakBefore w:val="0"/>
              <w:kinsoku/>
              <w:wordWrap/>
              <w:overflowPunct/>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4460040E">
            <w:pPr>
              <w:keepLines w:val="0"/>
              <w:pageBreakBefore w:val="0"/>
              <w:kinsoku/>
              <w:wordWrap/>
              <w:overflowPunct/>
              <w:topLinePunct w:val="0"/>
              <w:bidi w:val="0"/>
              <w:rPr>
                <w:rFonts w:ascii="Arial"/>
                <w:sz w:val="24"/>
                <w:szCs w:val="24"/>
              </w:rPr>
            </w:pPr>
          </w:p>
        </w:tc>
        <w:tc>
          <w:tcPr>
            <w:tcW w:w="1024" w:type="dxa"/>
            <w:vAlign w:val="top"/>
          </w:tcPr>
          <w:p w14:paraId="5C09D09C">
            <w:pPr>
              <w:keepLines w:val="0"/>
              <w:pageBreakBefore w:val="0"/>
              <w:kinsoku/>
              <w:wordWrap/>
              <w:overflowPunct/>
              <w:topLinePunct w:val="0"/>
              <w:bidi w:val="0"/>
              <w:rPr>
                <w:rFonts w:ascii="Arial"/>
                <w:sz w:val="24"/>
                <w:szCs w:val="24"/>
              </w:rPr>
            </w:pPr>
          </w:p>
        </w:tc>
        <w:tc>
          <w:tcPr>
            <w:tcW w:w="1024" w:type="dxa"/>
            <w:vAlign w:val="top"/>
          </w:tcPr>
          <w:p w14:paraId="290E5E53">
            <w:pPr>
              <w:keepLines w:val="0"/>
              <w:pageBreakBefore w:val="0"/>
              <w:kinsoku/>
              <w:wordWrap/>
              <w:overflowPunct/>
              <w:topLinePunct w:val="0"/>
              <w:bidi w:val="0"/>
              <w:rPr>
                <w:rFonts w:ascii="Arial"/>
                <w:sz w:val="24"/>
                <w:szCs w:val="24"/>
              </w:rPr>
            </w:pPr>
          </w:p>
        </w:tc>
        <w:tc>
          <w:tcPr>
            <w:tcW w:w="1025" w:type="dxa"/>
            <w:vAlign w:val="top"/>
          </w:tcPr>
          <w:p w14:paraId="3C3BCE93">
            <w:pPr>
              <w:keepLines w:val="0"/>
              <w:pageBreakBefore w:val="0"/>
              <w:kinsoku/>
              <w:wordWrap/>
              <w:overflowPunct/>
              <w:topLinePunct w:val="0"/>
              <w:bidi w:val="0"/>
              <w:rPr>
                <w:rFonts w:ascii="Arial"/>
                <w:sz w:val="24"/>
                <w:szCs w:val="24"/>
              </w:rPr>
            </w:pPr>
          </w:p>
        </w:tc>
        <w:tc>
          <w:tcPr>
            <w:tcW w:w="1334" w:type="dxa"/>
            <w:vAlign w:val="top"/>
          </w:tcPr>
          <w:p w14:paraId="457B441B">
            <w:pPr>
              <w:keepLines w:val="0"/>
              <w:pageBreakBefore w:val="0"/>
              <w:kinsoku/>
              <w:wordWrap/>
              <w:overflowPunct/>
              <w:topLinePunct w:val="0"/>
              <w:bidi w:val="0"/>
              <w:rPr>
                <w:rFonts w:ascii="Arial"/>
                <w:sz w:val="24"/>
                <w:szCs w:val="24"/>
              </w:rPr>
            </w:pPr>
          </w:p>
        </w:tc>
        <w:tc>
          <w:tcPr>
            <w:tcW w:w="939" w:type="dxa"/>
            <w:vAlign w:val="top"/>
          </w:tcPr>
          <w:p w14:paraId="1AB9DA1B">
            <w:pPr>
              <w:keepLines w:val="0"/>
              <w:pageBreakBefore w:val="0"/>
              <w:kinsoku/>
              <w:wordWrap/>
              <w:overflowPunct/>
              <w:topLinePunct w:val="0"/>
              <w:bidi w:val="0"/>
              <w:rPr>
                <w:rFonts w:ascii="Arial"/>
                <w:sz w:val="24"/>
                <w:szCs w:val="24"/>
              </w:rPr>
            </w:pPr>
          </w:p>
        </w:tc>
        <w:tc>
          <w:tcPr>
            <w:tcW w:w="1068" w:type="dxa"/>
            <w:vAlign w:val="top"/>
          </w:tcPr>
          <w:p w14:paraId="38C25E6C">
            <w:pPr>
              <w:keepLines w:val="0"/>
              <w:pageBreakBefore w:val="0"/>
              <w:kinsoku/>
              <w:wordWrap/>
              <w:overflowPunct/>
              <w:topLinePunct w:val="0"/>
              <w:bidi w:val="0"/>
              <w:rPr>
                <w:rFonts w:ascii="Arial"/>
                <w:sz w:val="24"/>
                <w:szCs w:val="24"/>
              </w:rPr>
            </w:pPr>
          </w:p>
        </w:tc>
        <w:tc>
          <w:tcPr>
            <w:tcW w:w="950" w:type="dxa"/>
            <w:vAlign w:val="top"/>
          </w:tcPr>
          <w:p w14:paraId="465B48F8">
            <w:pPr>
              <w:keepLines w:val="0"/>
              <w:pageBreakBefore w:val="0"/>
              <w:kinsoku/>
              <w:wordWrap/>
              <w:overflowPunct/>
              <w:topLinePunct w:val="0"/>
              <w:bidi w:val="0"/>
              <w:rPr>
                <w:rFonts w:ascii="Arial"/>
                <w:sz w:val="24"/>
                <w:szCs w:val="24"/>
              </w:rPr>
            </w:pPr>
          </w:p>
        </w:tc>
      </w:tr>
      <w:tr w14:paraId="0CA4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05547430">
            <w:pPr>
              <w:keepLines w:val="0"/>
              <w:pageBreakBefore w:val="0"/>
              <w:kinsoku/>
              <w:wordWrap/>
              <w:overflowPunct/>
              <w:topLinePunct w:val="0"/>
              <w:bidi w:val="0"/>
              <w:rPr>
                <w:rFonts w:ascii="Arial"/>
                <w:sz w:val="24"/>
                <w:szCs w:val="24"/>
              </w:rPr>
            </w:pPr>
          </w:p>
        </w:tc>
        <w:tc>
          <w:tcPr>
            <w:tcW w:w="1023" w:type="dxa"/>
            <w:vAlign w:val="top"/>
          </w:tcPr>
          <w:p w14:paraId="731DD1DB">
            <w:pPr>
              <w:keepLines w:val="0"/>
              <w:pageBreakBefore w:val="0"/>
              <w:kinsoku/>
              <w:wordWrap/>
              <w:overflowPunct/>
              <w:topLinePunct w:val="0"/>
              <w:bidi w:val="0"/>
              <w:rPr>
                <w:rFonts w:ascii="Arial"/>
                <w:sz w:val="24"/>
                <w:szCs w:val="24"/>
              </w:rPr>
            </w:pPr>
          </w:p>
        </w:tc>
        <w:tc>
          <w:tcPr>
            <w:tcW w:w="1024" w:type="dxa"/>
            <w:vAlign w:val="top"/>
          </w:tcPr>
          <w:p w14:paraId="257149D2">
            <w:pPr>
              <w:keepLines w:val="0"/>
              <w:pageBreakBefore w:val="0"/>
              <w:kinsoku/>
              <w:wordWrap/>
              <w:overflowPunct/>
              <w:topLinePunct w:val="0"/>
              <w:bidi w:val="0"/>
              <w:rPr>
                <w:rFonts w:ascii="Arial"/>
                <w:sz w:val="24"/>
                <w:szCs w:val="24"/>
              </w:rPr>
            </w:pPr>
          </w:p>
        </w:tc>
        <w:tc>
          <w:tcPr>
            <w:tcW w:w="1024" w:type="dxa"/>
            <w:vAlign w:val="top"/>
          </w:tcPr>
          <w:p w14:paraId="52421122">
            <w:pPr>
              <w:keepLines w:val="0"/>
              <w:pageBreakBefore w:val="0"/>
              <w:kinsoku/>
              <w:wordWrap/>
              <w:overflowPunct/>
              <w:topLinePunct w:val="0"/>
              <w:bidi w:val="0"/>
              <w:rPr>
                <w:rFonts w:ascii="Arial"/>
                <w:sz w:val="24"/>
                <w:szCs w:val="24"/>
              </w:rPr>
            </w:pPr>
          </w:p>
        </w:tc>
        <w:tc>
          <w:tcPr>
            <w:tcW w:w="1025" w:type="dxa"/>
            <w:vAlign w:val="top"/>
          </w:tcPr>
          <w:p w14:paraId="5BD527D1">
            <w:pPr>
              <w:keepLines w:val="0"/>
              <w:pageBreakBefore w:val="0"/>
              <w:kinsoku/>
              <w:wordWrap/>
              <w:overflowPunct/>
              <w:topLinePunct w:val="0"/>
              <w:bidi w:val="0"/>
              <w:rPr>
                <w:rFonts w:ascii="Arial"/>
                <w:sz w:val="24"/>
                <w:szCs w:val="24"/>
              </w:rPr>
            </w:pPr>
          </w:p>
        </w:tc>
        <w:tc>
          <w:tcPr>
            <w:tcW w:w="1334" w:type="dxa"/>
            <w:vAlign w:val="top"/>
          </w:tcPr>
          <w:p w14:paraId="6851B675">
            <w:pPr>
              <w:keepLines w:val="0"/>
              <w:pageBreakBefore w:val="0"/>
              <w:kinsoku/>
              <w:wordWrap/>
              <w:overflowPunct/>
              <w:topLinePunct w:val="0"/>
              <w:bidi w:val="0"/>
              <w:rPr>
                <w:rFonts w:ascii="Arial"/>
                <w:sz w:val="24"/>
                <w:szCs w:val="24"/>
              </w:rPr>
            </w:pPr>
          </w:p>
        </w:tc>
        <w:tc>
          <w:tcPr>
            <w:tcW w:w="939" w:type="dxa"/>
            <w:vAlign w:val="top"/>
          </w:tcPr>
          <w:p w14:paraId="573410BA">
            <w:pPr>
              <w:keepLines w:val="0"/>
              <w:pageBreakBefore w:val="0"/>
              <w:kinsoku/>
              <w:wordWrap/>
              <w:overflowPunct/>
              <w:topLinePunct w:val="0"/>
              <w:bidi w:val="0"/>
              <w:rPr>
                <w:rFonts w:ascii="Arial"/>
                <w:sz w:val="24"/>
                <w:szCs w:val="24"/>
              </w:rPr>
            </w:pPr>
          </w:p>
        </w:tc>
        <w:tc>
          <w:tcPr>
            <w:tcW w:w="1068" w:type="dxa"/>
            <w:vAlign w:val="top"/>
          </w:tcPr>
          <w:p w14:paraId="730FA773">
            <w:pPr>
              <w:keepLines w:val="0"/>
              <w:pageBreakBefore w:val="0"/>
              <w:kinsoku/>
              <w:wordWrap/>
              <w:overflowPunct/>
              <w:topLinePunct w:val="0"/>
              <w:bidi w:val="0"/>
              <w:rPr>
                <w:rFonts w:ascii="Arial"/>
                <w:sz w:val="24"/>
                <w:szCs w:val="24"/>
              </w:rPr>
            </w:pPr>
          </w:p>
        </w:tc>
        <w:tc>
          <w:tcPr>
            <w:tcW w:w="950" w:type="dxa"/>
            <w:vAlign w:val="top"/>
          </w:tcPr>
          <w:p w14:paraId="0AF626D9">
            <w:pPr>
              <w:keepLines w:val="0"/>
              <w:pageBreakBefore w:val="0"/>
              <w:kinsoku/>
              <w:wordWrap/>
              <w:overflowPunct/>
              <w:topLinePunct w:val="0"/>
              <w:bidi w:val="0"/>
              <w:rPr>
                <w:rFonts w:ascii="Arial"/>
                <w:sz w:val="24"/>
                <w:szCs w:val="24"/>
              </w:rPr>
            </w:pPr>
          </w:p>
        </w:tc>
      </w:tr>
      <w:tr w14:paraId="62E0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6C1A51F8">
            <w:pPr>
              <w:keepLines w:val="0"/>
              <w:pageBreakBefore w:val="0"/>
              <w:kinsoku/>
              <w:wordWrap/>
              <w:overflowPunct/>
              <w:topLinePunct w:val="0"/>
              <w:bidi w:val="0"/>
              <w:rPr>
                <w:rFonts w:ascii="Arial"/>
                <w:sz w:val="24"/>
                <w:szCs w:val="24"/>
              </w:rPr>
            </w:pPr>
          </w:p>
        </w:tc>
        <w:tc>
          <w:tcPr>
            <w:tcW w:w="1023" w:type="dxa"/>
            <w:vAlign w:val="top"/>
          </w:tcPr>
          <w:p w14:paraId="0F485D68">
            <w:pPr>
              <w:keepLines w:val="0"/>
              <w:pageBreakBefore w:val="0"/>
              <w:kinsoku/>
              <w:wordWrap/>
              <w:overflowPunct/>
              <w:topLinePunct w:val="0"/>
              <w:bidi w:val="0"/>
              <w:rPr>
                <w:rFonts w:ascii="Arial"/>
                <w:sz w:val="24"/>
                <w:szCs w:val="24"/>
              </w:rPr>
            </w:pPr>
          </w:p>
        </w:tc>
        <w:tc>
          <w:tcPr>
            <w:tcW w:w="1024" w:type="dxa"/>
            <w:vAlign w:val="top"/>
          </w:tcPr>
          <w:p w14:paraId="126FADDB">
            <w:pPr>
              <w:keepLines w:val="0"/>
              <w:pageBreakBefore w:val="0"/>
              <w:kinsoku/>
              <w:wordWrap/>
              <w:overflowPunct/>
              <w:topLinePunct w:val="0"/>
              <w:bidi w:val="0"/>
              <w:rPr>
                <w:rFonts w:ascii="Arial"/>
                <w:sz w:val="24"/>
                <w:szCs w:val="24"/>
              </w:rPr>
            </w:pPr>
          </w:p>
        </w:tc>
        <w:tc>
          <w:tcPr>
            <w:tcW w:w="1024" w:type="dxa"/>
            <w:vAlign w:val="top"/>
          </w:tcPr>
          <w:p w14:paraId="4AB6A70A">
            <w:pPr>
              <w:keepLines w:val="0"/>
              <w:pageBreakBefore w:val="0"/>
              <w:kinsoku/>
              <w:wordWrap/>
              <w:overflowPunct/>
              <w:topLinePunct w:val="0"/>
              <w:bidi w:val="0"/>
              <w:rPr>
                <w:rFonts w:ascii="Arial"/>
                <w:sz w:val="24"/>
                <w:szCs w:val="24"/>
              </w:rPr>
            </w:pPr>
          </w:p>
        </w:tc>
        <w:tc>
          <w:tcPr>
            <w:tcW w:w="1025" w:type="dxa"/>
            <w:vAlign w:val="top"/>
          </w:tcPr>
          <w:p w14:paraId="2C287347">
            <w:pPr>
              <w:keepLines w:val="0"/>
              <w:pageBreakBefore w:val="0"/>
              <w:kinsoku/>
              <w:wordWrap/>
              <w:overflowPunct/>
              <w:topLinePunct w:val="0"/>
              <w:bidi w:val="0"/>
              <w:rPr>
                <w:rFonts w:ascii="Arial"/>
                <w:sz w:val="24"/>
                <w:szCs w:val="24"/>
              </w:rPr>
            </w:pPr>
          </w:p>
        </w:tc>
        <w:tc>
          <w:tcPr>
            <w:tcW w:w="1334" w:type="dxa"/>
            <w:vAlign w:val="top"/>
          </w:tcPr>
          <w:p w14:paraId="3B8CE7CB">
            <w:pPr>
              <w:keepLines w:val="0"/>
              <w:pageBreakBefore w:val="0"/>
              <w:kinsoku/>
              <w:wordWrap/>
              <w:overflowPunct/>
              <w:topLinePunct w:val="0"/>
              <w:bidi w:val="0"/>
              <w:rPr>
                <w:rFonts w:ascii="Arial"/>
                <w:sz w:val="24"/>
                <w:szCs w:val="24"/>
              </w:rPr>
            </w:pPr>
          </w:p>
        </w:tc>
        <w:tc>
          <w:tcPr>
            <w:tcW w:w="939" w:type="dxa"/>
            <w:vAlign w:val="top"/>
          </w:tcPr>
          <w:p w14:paraId="0E278EE4">
            <w:pPr>
              <w:keepLines w:val="0"/>
              <w:pageBreakBefore w:val="0"/>
              <w:kinsoku/>
              <w:wordWrap/>
              <w:overflowPunct/>
              <w:topLinePunct w:val="0"/>
              <w:bidi w:val="0"/>
              <w:rPr>
                <w:rFonts w:ascii="Arial"/>
                <w:sz w:val="24"/>
                <w:szCs w:val="24"/>
              </w:rPr>
            </w:pPr>
          </w:p>
        </w:tc>
        <w:tc>
          <w:tcPr>
            <w:tcW w:w="1068" w:type="dxa"/>
            <w:vAlign w:val="top"/>
          </w:tcPr>
          <w:p w14:paraId="4F8A36CB">
            <w:pPr>
              <w:keepLines w:val="0"/>
              <w:pageBreakBefore w:val="0"/>
              <w:kinsoku/>
              <w:wordWrap/>
              <w:overflowPunct/>
              <w:topLinePunct w:val="0"/>
              <w:bidi w:val="0"/>
              <w:rPr>
                <w:rFonts w:ascii="Arial"/>
                <w:sz w:val="24"/>
                <w:szCs w:val="24"/>
              </w:rPr>
            </w:pPr>
          </w:p>
        </w:tc>
        <w:tc>
          <w:tcPr>
            <w:tcW w:w="950" w:type="dxa"/>
            <w:vAlign w:val="top"/>
          </w:tcPr>
          <w:p w14:paraId="3D2EC908">
            <w:pPr>
              <w:keepLines w:val="0"/>
              <w:pageBreakBefore w:val="0"/>
              <w:kinsoku/>
              <w:wordWrap/>
              <w:overflowPunct/>
              <w:topLinePunct w:val="0"/>
              <w:bidi w:val="0"/>
              <w:rPr>
                <w:rFonts w:ascii="Arial"/>
                <w:sz w:val="24"/>
                <w:szCs w:val="24"/>
              </w:rPr>
            </w:pPr>
          </w:p>
        </w:tc>
      </w:tr>
      <w:tr w14:paraId="5FE0F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660D1E60">
            <w:pPr>
              <w:keepLines w:val="0"/>
              <w:pageBreakBefore w:val="0"/>
              <w:kinsoku/>
              <w:wordWrap/>
              <w:overflowPunct/>
              <w:topLinePunct w:val="0"/>
              <w:bidi w:val="0"/>
              <w:spacing w:line="409" w:lineRule="auto"/>
              <w:rPr>
                <w:rFonts w:ascii="Arial"/>
                <w:sz w:val="24"/>
                <w:szCs w:val="24"/>
              </w:rPr>
            </w:pPr>
          </w:p>
          <w:p w14:paraId="2580763D">
            <w:pPr>
              <w:pStyle w:val="26"/>
              <w:keepLines w:val="0"/>
              <w:pageBreakBefore w:val="0"/>
              <w:kinsoku/>
              <w:wordWrap/>
              <w:overflowPunct/>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DEA6B55">
            <w:pPr>
              <w:keepLines w:val="0"/>
              <w:pageBreakBefore w:val="0"/>
              <w:kinsoku/>
              <w:wordWrap/>
              <w:overflowPunct/>
              <w:topLinePunct w:val="0"/>
              <w:bidi w:val="0"/>
              <w:rPr>
                <w:rFonts w:ascii="Arial"/>
                <w:sz w:val="24"/>
                <w:szCs w:val="24"/>
              </w:rPr>
            </w:pPr>
          </w:p>
        </w:tc>
        <w:tc>
          <w:tcPr>
            <w:tcW w:w="1024" w:type="dxa"/>
            <w:vAlign w:val="top"/>
          </w:tcPr>
          <w:p w14:paraId="545C2529">
            <w:pPr>
              <w:keepLines w:val="0"/>
              <w:pageBreakBefore w:val="0"/>
              <w:kinsoku/>
              <w:wordWrap/>
              <w:overflowPunct/>
              <w:topLinePunct w:val="0"/>
              <w:bidi w:val="0"/>
              <w:rPr>
                <w:rFonts w:ascii="Arial"/>
                <w:sz w:val="24"/>
                <w:szCs w:val="24"/>
              </w:rPr>
            </w:pPr>
          </w:p>
        </w:tc>
        <w:tc>
          <w:tcPr>
            <w:tcW w:w="1024" w:type="dxa"/>
            <w:vAlign w:val="top"/>
          </w:tcPr>
          <w:p w14:paraId="0D32F29E">
            <w:pPr>
              <w:keepLines w:val="0"/>
              <w:pageBreakBefore w:val="0"/>
              <w:kinsoku/>
              <w:wordWrap/>
              <w:overflowPunct/>
              <w:topLinePunct w:val="0"/>
              <w:bidi w:val="0"/>
              <w:rPr>
                <w:rFonts w:ascii="Arial"/>
                <w:sz w:val="24"/>
                <w:szCs w:val="24"/>
              </w:rPr>
            </w:pPr>
          </w:p>
        </w:tc>
        <w:tc>
          <w:tcPr>
            <w:tcW w:w="1025" w:type="dxa"/>
            <w:vAlign w:val="top"/>
          </w:tcPr>
          <w:p w14:paraId="671B0850">
            <w:pPr>
              <w:keepLines w:val="0"/>
              <w:pageBreakBefore w:val="0"/>
              <w:kinsoku/>
              <w:wordWrap/>
              <w:overflowPunct/>
              <w:topLinePunct w:val="0"/>
              <w:bidi w:val="0"/>
              <w:rPr>
                <w:rFonts w:ascii="Arial"/>
                <w:sz w:val="24"/>
                <w:szCs w:val="24"/>
              </w:rPr>
            </w:pPr>
          </w:p>
        </w:tc>
        <w:tc>
          <w:tcPr>
            <w:tcW w:w="1334" w:type="dxa"/>
            <w:vAlign w:val="top"/>
          </w:tcPr>
          <w:p w14:paraId="009200A1">
            <w:pPr>
              <w:keepLines w:val="0"/>
              <w:pageBreakBefore w:val="0"/>
              <w:kinsoku/>
              <w:wordWrap/>
              <w:overflowPunct/>
              <w:topLinePunct w:val="0"/>
              <w:bidi w:val="0"/>
              <w:rPr>
                <w:rFonts w:ascii="Arial"/>
                <w:sz w:val="24"/>
                <w:szCs w:val="24"/>
              </w:rPr>
            </w:pPr>
          </w:p>
        </w:tc>
        <w:tc>
          <w:tcPr>
            <w:tcW w:w="939" w:type="dxa"/>
            <w:vAlign w:val="top"/>
          </w:tcPr>
          <w:p w14:paraId="5D244430">
            <w:pPr>
              <w:keepLines w:val="0"/>
              <w:pageBreakBefore w:val="0"/>
              <w:kinsoku/>
              <w:wordWrap/>
              <w:overflowPunct/>
              <w:topLinePunct w:val="0"/>
              <w:bidi w:val="0"/>
              <w:rPr>
                <w:rFonts w:ascii="Arial"/>
                <w:sz w:val="24"/>
                <w:szCs w:val="24"/>
              </w:rPr>
            </w:pPr>
          </w:p>
        </w:tc>
        <w:tc>
          <w:tcPr>
            <w:tcW w:w="1068" w:type="dxa"/>
            <w:vAlign w:val="top"/>
          </w:tcPr>
          <w:p w14:paraId="4B6003FB">
            <w:pPr>
              <w:keepLines w:val="0"/>
              <w:pageBreakBefore w:val="0"/>
              <w:kinsoku/>
              <w:wordWrap/>
              <w:overflowPunct/>
              <w:topLinePunct w:val="0"/>
              <w:bidi w:val="0"/>
              <w:rPr>
                <w:rFonts w:ascii="Arial"/>
                <w:sz w:val="24"/>
                <w:szCs w:val="24"/>
              </w:rPr>
            </w:pPr>
          </w:p>
        </w:tc>
        <w:tc>
          <w:tcPr>
            <w:tcW w:w="950" w:type="dxa"/>
            <w:vAlign w:val="top"/>
          </w:tcPr>
          <w:p w14:paraId="5E236158">
            <w:pPr>
              <w:keepLines w:val="0"/>
              <w:pageBreakBefore w:val="0"/>
              <w:kinsoku/>
              <w:wordWrap/>
              <w:overflowPunct/>
              <w:topLinePunct w:val="0"/>
              <w:bidi w:val="0"/>
              <w:rPr>
                <w:rFonts w:ascii="Arial"/>
                <w:sz w:val="24"/>
                <w:szCs w:val="24"/>
              </w:rPr>
            </w:pPr>
          </w:p>
        </w:tc>
      </w:tr>
      <w:tr w14:paraId="317E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08711C3B">
            <w:pPr>
              <w:keepLines w:val="0"/>
              <w:pageBreakBefore w:val="0"/>
              <w:kinsoku/>
              <w:wordWrap/>
              <w:overflowPunct/>
              <w:topLinePunct w:val="0"/>
              <w:bidi w:val="0"/>
              <w:rPr>
                <w:rFonts w:ascii="Arial"/>
                <w:sz w:val="24"/>
                <w:szCs w:val="24"/>
              </w:rPr>
            </w:pPr>
          </w:p>
        </w:tc>
        <w:tc>
          <w:tcPr>
            <w:tcW w:w="1023" w:type="dxa"/>
            <w:vAlign w:val="top"/>
          </w:tcPr>
          <w:p w14:paraId="2793B813">
            <w:pPr>
              <w:keepLines w:val="0"/>
              <w:pageBreakBefore w:val="0"/>
              <w:kinsoku/>
              <w:wordWrap/>
              <w:overflowPunct/>
              <w:topLinePunct w:val="0"/>
              <w:bidi w:val="0"/>
              <w:rPr>
                <w:rFonts w:ascii="Arial"/>
                <w:sz w:val="24"/>
                <w:szCs w:val="24"/>
              </w:rPr>
            </w:pPr>
          </w:p>
        </w:tc>
        <w:tc>
          <w:tcPr>
            <w:tcW w:w="1024" w:type="dxa"/>
            <w:vAlign w:val="top"/>
          </w:tcPr>
          <w:p w14:paraId="4B779EA1">
            <w:pPr>
              <w:keepLines w:val="0"/>
              <w:pageBreakBefore w:val="0"/>
              <w:kinsoku/>
              <w:wordWrap/>
              <w:overflowPunct/>
              <w:topLinePunct w:val="0"/>
              <w:bidi w:val="0"/>
              <w:rPr>
                <w:rFonts w:ascii="Arial"/>
                <w:sz w:val="24"/>
                <w:szCs w:val="24"/>
              </w:rPr>
            </w:pPr>
          </w:p>
        </w:tc>
        <w:tc>
          <w:tcPr>
            <w:tcW w:w="1024" w:type="dxa"/>
            <w:vAlign w:val="top"/>
          </w:tcPr>
          <w:p w14:paraId="24980754">
            <w:pPr>
              <w:keepLines w:val="0"/>
              <w:pageBreakBefore w:val="0"/>
              <w:kinsoku/>
              <w:wordWrap/>
              <w:overflowPunct/>
              <w:topLinePunct w:val="0"/>
              <w:bidi w:val="0"/>
              <w:rPr>
                <w:rFonts w:ascii="Arial"/>
                <w:sz w:val="24"/>
                <w:szCs w:val="24"/>
              </w:rPr>
            </w:pPr>
          </w:p>
        </w:tc>
        <w:tc>
          <w:tcPr>
            <w:tcW w:w="1025" w:type="dxa"/>
            <w:vAlign w:val="top"/>
          </w:tcPr>
          <w:p w14:paraId="0D8C5967">
            <w:pPr>
              <w:keepLines w:val="0"/>
              <w:pageBreakBefore w:val="0"/>
              <w:kinsoku/>
              <w:wordWrap/>
              <w:overflowPunct/>
              <w:topLinePunct w:val="0"/>
              <w:bidi w:val="0"/>
              <w:rPr>
                <w:rFonts w:ascii="Arial"/>
                <w:sz w:val="24"/>
                <w:szCs w:val="24"/>
              </w:rPr>
            </w:pPr>
          </w:p>
        </w:tc>
        <w:tc>
          <w:tcPr>
            <w:tcW w:w="1334" w:type="dxa"/>
            <w:vAlign w:val="top"/>
          </w:tcPr>
          <w:p w14:paraId="3AFC2751">
            <w:pPr>
              <w:keepLines w:val="0"/>
              <w:pageBreakBefore w:val="0"/>
              <w:kinsoku/>
              <w:wordWrap/>
              <w:overflowPunct/>
              <w:topLinePunct w:val="0"/>
              <w:bidi w:val="0"/>
              <w:rPr>
                <w:rFonts w:ascii="Arial"/>
                <w:sz w:val="24"/>
                <w:szCs w:val="24"/>
              </w:rPr>
            </w:pPr>
          </w:p>
        </w:tc>
        <w:tc>
          <w:tcPr>
            <w:tcW w:w="939" w:type="dxa"/>
            <w:vAlign w:val="top"/>
          </w:tcPr>
          <w:p w14:paraId="5D04C2E0">
            <w:pPr>
              <w:keepLines w:val="0"/>
              <w:pageBreakBefore w:val="0"/>
              <w:kinsoku/>
              <w:wordWrap/>
              <w:overflowPunct/>
              <w:topLinePunct w:val="0"/>
              <w:bidi w:val="0"/>
              <w:rPr>
                <w:rFonts w:ascii="Arial"/>
                <w:sz w:val="24"/>
                <w:szCs w:val="24"/>
              </w:rPr>
            </w:pPr>
          </w:p>
        </w:tc>
        <w:tc>
          <w:tcPr>
            <w:tcW w:w="1068" w:type="dxa"/>
            <w:vAlign w:val="top"/>
          </w:tcPr>
          <w:p w14:paraId="5AD4851B">
            <w:pPr>
              <w:keepLines w:val="0"/>
              <w:pageBreakBefore w:val="0"/>
              <w:kinsoku/>
              <w:wordWrap/>
              <w:overflowPunct/>
              <w:topLinePunct w:val="0"/>
              <w:bidi w:val="0"/>
              <w:rPr>
                <w:rFonts w:ascii="Arial"/>
                <w:sz w:val="24"/>
                <w:szCs w:val="24"/>
              </w:rPr>
            </w:pPr>
          </w:p>
        </w:tc>
        <w:tc>
          <w:tcPr>
            <w:tcW w:w="950" w:type="dxa"/>
            <w:vAlign w:val="top"/>
          </w:tcPr>
          <w:p w14:paraId="786AB985">
            <w:pPr>
              <w:keepLines w:val="0"/>
              <w:pageBreakBefore w:val="0"/>
              <w:kinsoku/>
              <w:wordWrap/>
              <w:overflowPunct/>
              <w:topLinePunct w:val="0"/>
              <w:bidi w:val="0"/>
              <w:rPr>
                <w:rFonts w:ascii="Arial"/>
                <w:sz w:val="24"/>
                <w:szCs w:val="24"/>
              </w:rPr>
            </w:pPr>
          </w:p>
        </w:tc>
      </w:tr>
      <w:tr w14:paraId="5B0E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6F6F0B2B">
            <w:pPr>
              <w:keepLines w:val="0"/>
              <w:pageBreakBefore w:val="0"/>
              <w:kinsoku/>
              <w:wordWrap/>
              <w:overflowPunct/>
              <w:topLinePunct w:val="0"/>
              <w:bidi w:val="0"/>
              <w:rPr>
                <w:rFonts w:ascii="Arial"/>
                <w:sz w:val="24"/>
                <w:szCs w:val="24"/>
              </w:rPr>
            </w:pPr>
          </w:p>
        </w:tc>
        <w:tc>
          <w:tcPr>
            <w:tcW w:w="1023" w:type="dxa"/>
            <w:vAlign w:val="top"/>
          </w:tcPr>
          <w:p w14:paraId="12D6202F">
            <w:pPr>
              <w:keepLines w:val="0"/>
              <w:pageBreakBefore w:val="0"/>
              <w:kinsoku/>
              <w:wordWrap/>
              <w:overflowPunct/>
              <w:topLinePunct w:val="0"/>
              <w:bidi w:val="0"/>
              <w:rPr>
                <w:rFonts w:ascii="Arial"/>
                <w:sz w:val="24"/>
                <w:szCs w:val="24"/>
              </w:rPr>
            </w:pPr>
          </w:p>
        </w:tc>
        <w:tc>
          <w:tcPr>
            <w:tcW w:w="1024" w:type="dxa"/>
            <w:vAlign w:val="top"/>
          </w:tcPr>
          <w:p w14:paraId="373D2F91">
            <w:pPr>
              <w:keepLines w:val="0"/>
              <w:pageBreakBefore w:val="0"/>
              <w:kinsoku/>
              <w:wordWrap/>
              <w:overflowPunct/>
              <w:topLinePunct w:val="0"/>
              <w:bidi w:val="0"/>
              <w:rPr>
                <w:rFonts w:ascii="Arial"/>
                <w:sz w:val="24"/>
                <w:szCs w:val="24"/>
              </w:rPr>
            </w:pPr>
          </w:p>
        </w:tc>
        <w:tc>
          <w:tcPr>
            <w:tcW w:w="1024" w:type="dxa"/>
            <w:vAlign w:val="top"/>
          </w:tcPr>
          <w:p w14:paraId="41EB4209">
            <w:pPr>
              <w:keepLines w:val="0"/>
              <w:pageBreakBefore w:val="0"/>
              <w:kinsoku/>
              <w:wordWrap/>
              <w:overflowPunct/>
              <w:topLinePunct w:val="0"/>
              <w:bidi w:val="0"/>
              <w:rPr>
                <w:rFonts w:ascii="Arial"/>
                <w:sz w:val="24"/>
                <w:szCs w:val="24"/>
              </w:rPr>
            </w:pPr>
          </w:p>
        </w:tc>
        <w:tc>
          <w:tcPr>
            <w:tcW w:w="1025" w:type="dxa"/>
            <w:vAlign w:val="top"/>
          </w:tcPr>
          <w:p w14:paraId="30873EDE">
            <w:pPr>
              <w:keepLines w:val="0"/>
              <w:pageBreakBefore w:val="0"/>
              <w:kinsoku/>
              <w:wordWrap/>
              <w:overflowPunct/>
              <w:topLinePunct w:val="0"/>
              <w:bidi w:val="0"/>
              <w:rPr>
                <w:rFonts w:ascii="Arial"/>
                <w:sz w:val="24"/>
                <w:szCs w:val="24"/>
              </w:rPr>
            </w:pPr>
          </w:p>
        </w:tc>
        <w:tc>
          <w:tcPr>
            <w:tcW w:w="1334" w:type="dxa"/>
            <w:vAlign w:val="top"/>
          </w:tcPr>
          <w:p w14:paraId="7D25FA0C">
            <w:pPr>
              <w:keepLines w:val="0"/>
              <w:pageBreakBefore w:val="0"/>
              <w:kinsoku/>
              <w:wordWrap/>
              <w:overflowPunct/>
              <w:topLinePunct w:val="0"/>
              <w:bidi w:val="0"/>
              <w:rPr>
                <w:rFonts w:ascii="Arial"/>
                <w:sz w:val="24"/>
                <w:szCs w:val="24"/>
              </w:rPr>
            </w:pPr>
          </w:p>
        </w:tc>
        <w:tc>
          <w:tcPr>
            <w:tcW w:w="939" w:type="dxa"/>
            <w:vAlign w:val="top"/>
          </w:tcPr>
          <w:p w14:paraId="6FAE26FC">
            <w:pPr>
              <w:keepLines w:val="0"/>
              <w:pageBreakBefore w:val="0"/>
              <w:kinsoku/>
              <w:wordWrap/>
              <w:overflowPunct/>
              <w:topLinePunct w:val="0"/>
              <w:bidi w:val="0"/>
              <w:rPr>
                <w:rFonts w:ascii="Arial"/>
                <w:sz w:val="24"/>
                <w:szCs w:val="24"/>
              </w:rPr>
            </w:pPr>
          </w:p>
        </w:tc>
        <w:tc>
          <w:tcPr>
            <w:tcW w:w="1068" w:type="dxa"/>
            <w:vAlign w:val="top"/>
          </w:tcPr>
          <w:p w14:paraId="3241982B">
            <w:pPr>
              <w:keepLines w:val="0"/>
              <w:pageBreakBefore w:val="0"/>
              <w:kinsoku/>
              <w:wordWrap/>
              <w:overflowPunct/>
              <w:topLinePunct w:val="0"/>
              <w:bidi w:val="0"/>
              <w:rPr>
                <w:rFonts w:ascii="Arial"/>
                <w:sz w:val="24"/>
                <w:szCs w:val="24"/>
              </w:rPr>
            </w:pPr>
          </w:p>
        </w:tc>
        <w:tc>
          <w:tcPr>
            <w:tcW w:w="950" w:type="dxa"/>
            <w:vAlign w:val="top"/>
          </w:tcPr>
          <w:p w14:paraId="235C03EA">
            <w:pPr>
              <w:keepLines w:val="0"/>
              <w:pageBreakBefore w:val="0"/>
              <w:kinsoku/>
              <w:wordWrap/>
              <w:overflowPunct/>
              <w:topLinePunct w:val="0"/>
              <w:bidi w:val="0"/>
              <w:rPr>
                <w:rFonts w:ascii="Arial"/>
                <w:sz w:val="24"/>
                <w:szCs w:val="24"/>
              </w:rPr>
            </w:pPr>
          </w:p>
        </w:tc>
      </w:tr>
      <w:tr w14:paraId="5C32C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73140D12">
            <w:pPr>
              <w:keepLines w:val="0"/>
              <w:pageBreakBefore w:val="0"/>
              <w:kinsoku/>
              <w:wordWrap/>
              <w:overflowPunct/>
              <w:topLinePunct w:val="0"/>
              <w:bidi w:val="0"/>
              <w:spacing w:line="409" w:lineRule="auto"/>
              <w:rPr>
                <w:rFonts w:ascii="Arial"/>
                <w:sz w:val="24"/>
                <w:szCs w:val="24"/>
              </w:rPr>
            </w:pPr>
          </w:p>
          <w:p w14:paraId="4B14C7B8">
            <w:pPr>
              <w:pStyle w:val="26"/>
              <w:keepLines w:val="0"/>
              <w:pageBreakBefore w:val="0"/>
              <w:kinsoku/>
              <w:wordWrap/>
              <w:overflowPunct/>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3EC2B4C2">
            <w:pPr>
              <w:keepLines w:val="0"/>
              <w:pageBreakBefore w:val="0"/>
              <w:kinsoku/>
              <w:wordWrap/>
              <w:overflowPunct/>
              <w:topLinePunct w:val="0"/>
              <w:bidi w:val="0"/>
              <w:rPr>
                <w:rFonts w:ascii="Arial"/>
                <w:sz w:val="24"/>
                <w:szCs w:val="24"/>
              </w:rPr>
            </w:pPr>
          </w:p>
        </w:tc>
        <w:tc>
          <w:tcPr>
            <w:tcW w:w="1024" w:type="dxa"/>
            <w:vAlign w:val="top"/>
          </w:tcPr>
          <w:p w14:paraId="2452E7FB">
            <w:pPr>
              <w:keepLines w:val="0"/>
              <w:pageBreakBefore w:val="0"/>
              <w:kinsoku/>
              <w:wordWrap/>
              <w:overflowPunct/>
              <w:topLinePunct w:val="0"/>
              <w:bidi w:val="0"/>
              <w:rPr>
                <w:rFonts w:ascii="Arial"/>
                <w:sz w:val="24"/>
                <w:szCs w:val="24"/>
              </w:rPr>
            </w:pPr>
          </w:p>
        </w:tc>
        <w:tc>
          <w:tcPr>
            <w:tcW w:w="1024" w:type="dxa"/>
            <w:vAlign w:val="top"/>
          </w:tcPr>
          <w:p w14:paraId="55989B70">
            <w:pPr>
              <w:keepLines w:val="0"/>
              <w:pageBreakBefore w:val="0"/>
              <w:kinsoku/>
              <w:wordWrap/>
              <w:overflowPunct/>
              <w:topLinePunct w:val="0"/>
              <w:bidi w:val="0"/>
              <w:rPr>
                <w:rFonts w:ascii="Arial"/>
                <w:sz w:val="24"/>
                <w:szCs w:val="24"/>
              </w:rPr>
            </w:pPr>
          </w:p>
        </w:tc>
        <w:tc>
          <w:tcPr>
            <w:tcW w:w="1025" w:type="dxa"/>
            <w:vAlign w:val="top"/>
          </w:tcPr>
          <w:p w14:paraId="48EDA78E">
            <w:pPr>
              <w:keepLines w:val="0"/>
              <w:pageBreakBefore w:val="0"/>
              <w:kinsoku/>
              <w:wordWrap/>
              <w:overflowPunct/>
              <w:topLinePunct w:val="0"/>
              <w:bidi w:val="0"/>
              <w:rPr>
                <w:rFonts w:ascii="Arial"/>
                <w:sz w:val="24"/>
                <w:szCs w:val="24"/>
              </w:rPr>
            </w:pPr>
          </w:p>
        </w:tc>
        <w:tc>
          <w:tcPr>
            <w:tcW w:w="1334" w:type="dxa"/>
            <w:vAlign w:val="top"/>
          </w:tcPr>
          <w:p w14:paraId="79543E7A">
            <w:pPr>
              <w:keepLines w:val="0"/>
              <w:pageBreakBefore w:val="0"/>
              <w:kinsoku/>
              <w:wordWrap/>
              <w:overflowPunct/>
              <w:topLinePunct w:val="0"/>
              <w:bidi w:val="0"/>
              <w:rPr>
                <w:rFonts w:ascii="Arial"/>
                <w:sz w:val="24"/>
                <w:szCs w:val="24"/>
              </w:rPr>
            </w:pPr>
          </w:p>
        </w:tc>
        <w:tc>
          <w:tcPr>
            <w:tcW w:w="939" w:type="dxa"/>
            <w:vAlign w:val="top"/>
          </w:tcPr>
          <w:p w14:paraId="500CB27E">
            <w:pPr>
              <w:keepLines w:val="0"/>
              <w:pageBreakBefore w:val="0"/>
              <w:kinsoku/>
              <w:wordWrap/>
              <w:overflowPunct/>
              <w:topLinePunct w:val="0"/>
              <w:bidi w:val="0"/>
              <w:rPr>
                <w:rFonts w:ascii="Arial"/>
                <w:sz w:val="24"/>
                <w:szCs w:val="24"/>
              </w:rPr>
            </w:pPr>
          </w:p>
        </w:tc>
        <w:tc>
          <w:tcPr>
            <w:tcW w:w="1068" w:type="dxa"/>
            <w:vAlign w:val="top"/>
          </w:tcPr>
          <w:p w14:paraId="39392CC3">
            <w:pPr>
              <w:keepLines w:val="0"/>
              <w:pageBreakBefore w:val="0"/>
              <w:kinsoku/>
              <w:wordWrap/>
              <w:overflowPunct/>
              <w:topLinePunct w:val="0"/>
              <w:bidi w:val="0"/>
              <w:rPr>
                <w:rFonts w:ascii="Arial"/>
                <w:sz w:val="24"/>
                <w:szCs w:val="24"/>
              </w:rPr>
            </w:pPr>
          </w:p>
        </w:tc>
        <w:tc>
          <w:tcPr>
            <w:tcW w:w="950" w:type="dxa"/>
            <w:vAlign w:val="top"/>
          </w:tcPr>
          <w:p w14:paraId="7502CC2B">
            <w:pPr>
              <w:keepLines w:val="0"/>
              <w:pageBreakBefore w:val="0"/>
              <w:kinsoku/>
              <w:wordWrap/>
              <w:overflowPunct/>
              <w:topLinePunct w:val="0"/>
              <w:bidi w:val="0"/>
              <w:rPr>
                <w:rFonts w:ascii="Arial"/>
                <w:sz w:val="24"/>
                <w:szCs w:val="24"/>
              </w:rPr>
            </w:pPr>
          </w:p>
        </w:tc>
      </w:tr>
      <w:tr w14:paraId="264A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3A5332FA">
            <w:pPr>
              <w:keepLines w:val="0"/>
              <w:pageBreakBefore w:val="0"/>
              <w:kinsoku/>
              <w:wordWrap/>
              <w:overflowPunct/>
              <w:topLinePunct w:val="0"/>
              <w:bidi w:val="0"/>
              <w:rPr>
                <w:rFonts w:ascii="Arial"/>
                <w:sz w:val="24"/>
                <w:szCs w:val="24"/>
              </w:rPr>
            </w:pPr>
          </w:p>
        </w:tc>
        <w:tc>
          <w:tcPr>
            <w:tcW w:w="1023" w:type="dxa"/>
            <w:vAlign w:val="top"/>
          </w:tcPr>
          <w:p w14:paraId="38ECFCC2">
            <w:pPr>
              <w:keepLines w:val="0"/>
              <w:pageBreakBefore w:val="0"/>
              <w:kinsoku/>
              <w:wordWrap/>
              <w:overflowPunct/>
              <w:topLinePunct w:val="0"/>
              <w:bidi w:val="0"/>
              <w:rPr>
                <w:rFonts w:ascii="Arial"/>
                <w:sz w:val="24"/>
                <w:szCs w:val="24"/>
              </w:rPr>
            </w:pPr>
          </w:p>
        </w:tc>
        <w:tc>
          <w:tcPr>
            <w:tcW w:w="1024" w:type="dxa"/>
            <w:vAlign w:val="top"/>
          </w:tcPr>
          <w:p w14:paraId="2F476820">
            <w:pPr>
              <w:keepLines w:val="0"/>
              <w:pageBreakBefore w:val="0"/>
              <w:kinsoku/>
              <w:wordWrap/>
              <w:overflowPunct/>
              <w:topLinePunct w:val="0"/>
              <w:bidi w:val="0"/>
              <w:rPr>
                <w:rFonts w:ascii="Arial"/>
                <w:sz w:val="24"/>
                <w:szCs w:val="24"/>
              </w:rPr>
            </w:pPr>
          </w:p>
        </w:tc>
        <w:tc>
          <w:tcPr>
            <w:tcW w:w="1024" w:type="dxa"/>
            <w:vAlign w:val="top"/>
          </w:tcPr>
          <w:p w14:paraId="7CD8285D">
            <w:pPr>
              <w:keepLines w:val="0"/>
              <w:pageBreakBefore w:val="0"/>
              <w:kinsoku/>
              <w:wordWrap/>
              <w:overflowPunct/>
              <w:topLinePunct w:val="0"/>
              <w:bidi w:val="0"/>
              <w:rPr>
                <w:rFonts w:ascii="Arial"/>
                <w:sz w:val="24"/>
                <w:szCs w:val="24"/>
              </w:rPr>
            </w:pPr>
          </w:p>
        </w:tc>
        <w:tc>
          <w:tcPr>
            <w:tcW w:w="1025" w:type="dxa"/>
            <w:vAlign w:val="top"/>
          </w:tcPr>
          <w:p w14:paraId="650983DA">
            <w:pPr>
              <w:keepLines w:val="0"/>
              <w:pageBreakBefore w:val="0"/>
              <w:kinsoku/>
              <w:wordWrap/>
              <w:overflowPunct/>
              <w:topLinePunct w:val="0"/>
              <w:bidi w:val="0"/>
              <w:rPr>
                <w:rFonts w:ascii="Arial"/>
                <w:sz w:val="24"/>
                <w:szCs w:val="24"/>
              </w:rPr>
            </w:pPr>
          </w:p>
        </w:tc>
        <w:tc>
          <w:tcPr>
            <w:tcW w:w="1334" w:type="dxa"/>
            <w:vAlign w:val="top"/>
          </w:tcPr>
          <w:p w14:paraId="14C2A53A">
            <w:pPr>
              <w:keepLines w:val="0"/>
              <w:pageBreakBefore w:val="0"/>
              <w:kinsoku/>
              <w:wordWrap/>
              <w:overflowPunct/>
              <w:topLinePunct w:val="0"/>
              <w:bidi w:val="0"/>
              <w:rPr>
                <w:rFonts w:ascii="Arial"/>
                <w:sz w:val="24"/>
                <w:szCs w:val="24"/>
              </w:rPr>
            </w:pPr>
          </w:p>
        </w:tc>
        <w:tc>
          <w:tcPr>
            <w:tcW w:w="939" w:type="dxa"/>
            <w:vAlign w:val="top"/>
          </w:tcPr>
          <w:p w14:paraId="5A6F172B">
            <w:pPr>
              <w:keepLines w:val="0"/>
              <w:pageBreakBefore w:val="0"/>
              <w:kinsoku/>
              <w:wordWrap/>
              <w:overflowPunct/>
              <w:topLinePunct w:val="0"/>
              <w:bidi w:val="0"/>
              <w:rPr>
                <w:rFonts w:ascii="Arial"/>
                <w:sz w:val="24"/>
                <w:szCs w:val="24"/>
              </w:rPr>
            </w:pPr>
          </w:p>
        </w:tc>
        <w:tc>
          <w:tcPr>
            <w:tcW w:w="1068" w:type="dxa"/>
            <w:vAlign w:val="top"/>
          </w:tcPr>
          <w:p w14:paraId="39E675F0">
            <w:pPr>
              <w:keepLines w:val="0"/>
              <w:pageBreakBefore w:val="0"/>
              <w:kinsoku/>
              <w:wordWrap/>
              <w:overflowPunct/>
              <w:topLinePunct w:val="0"/>
              <w:bidi w:val="0"/>
              <w:rPr>
                <w:rFonts w:ascii="Arial"/>
                <w:sz w:val="24"/>
                <w:szCs w:val="24"/>
              </w:rPr>
            </w:pPr>
          </w:p>
        </w:tc>
        <w:tc>
          <w:tcPr>
            <w:tcW w:w="950" w:type="dxa"/>
            <w:vAlign w:val="top"/>
          </w:tcPr>
          <w:p w14:paraId="4F494CFA">
            <w:pPr>
              <w:keepLines w:val="0"/>
              <w:pageBreakBefore w:val="0"/>
              <w:kinsoku/>
              <w:wordWrap/>
              <w:overflowPunct/>
              <w:topLinePunct w:val="0"/>
              <w:bidi w:val="0"/>
              <w:rPr>
                <w:rFonts w:ascii="Arial"/>
                <w:sz w:val="24"/>
                <w:szCs w:val="24"/>
              </w:rPr>
            </w:pPr>
          </w:p>
        </w:tc>
      </w:tr>
      <w:tr w14:paraId="79C5D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vAlign w:val="top"/>
          </w:tcPr>
          <w:p w14:paraId="3B3E3839">
            <w:pPr>
              <w:keepLines w:val="0"/>
              <w:pageBreakBefore w:val="0"/>
              <w:kinsoku/>
              <w:wordWrap/>
              <w:overflowPunct/>
              <w:topLinePunct w:val="0"/>
              <w:bidi w:val="0"/>
              <w:rPr>
                <w:rFonts w:ascii="Arial"/>
                <w:sz w:val="24"/>
                <w:szCs w:val="24"/>
              </w:rPr>
            </w:pPr>
          </w:p>
        </w:tc>
        <w:tc>
          <w:tcPr>
            <w:tcW w:w="1023" w:type="dxa"/>
            <w:vAlign w:val="top"/>
          </w:tcPr>
          <w:p w14:paraId="33B022E1">
            <w:pPr>
              <w:keepLines w:val="0"/>
              <w:pageBreakBefore w:val="0"/>
              <w:kinsoku/>
              <w:wordWrap/>
              <w:overflowPunct/>
              <w:topLinePunct w:val="0"/>
              <w:bidi w:val="0"/>
              <w:rPr>
                <w:rFonts w:ascii="Arial"/>
                <w:sz w:val="24"/>
                <w:szCs w:val="24"/>
              </w:rPr>
            </w:pPr>
          </w:p>
        </w:tc>
        <w:tc>
          <w:tcPr>
            <w:tcW w:w="1024" w:type="dxa"/>
            <w:vAlign w:val="top"/>
          </w:tcPr>
          <w:p w14:paraId="514DA4DB">
            <w:pPr>
              <w:keepLines w:val="0"/>
              <w:pageBreakBefore w:val="0"/>
              <w:kinsoku/>
              <w:wordWrap/>
              <w:overflowPunct/>
              <w:topLinePunct w:val="0"/>
              <w:bidi w:val="0"/>
              <w:rPr>
                <w:rFonts w:ascii="Arial"/>
                <w:sz w:val="24"/>
                <w:szCs w:val="24"/>
              </w:rPr>
            </w:pPr>
          </w:p>
        </w:tc>
        <w:tc>
          <w:tcPr>
            <w:tcW w:w="1024" w:type="dxa"/>
            <w:vAlign w:val="top"/>
          </w:tcPr>
          <w:p w14:paraId="2AEBE708">
            <w:pPr>
              <w:keepLines w:val="0"/>
              <w:pageBreakBefore w:val="0"/>
              <w:kinsoku/>
              <w:wordWrap/>
              <w:overflowPunct/>
              <w:topLinePunct w:val="0"/>
              <w:bidi w:val="0"/>
              <w:rPr>
                <w:rFonts w:ascii="Arial"/>
                <w:sz w:val="24"/>
                <w:szCs w:val="24"/>
              </w:rPr>
            </w:pPr>
          </w:p>
        </w:tc>
        <w:tc>
          <w:tcPr>
            <w:tcW w:w="1025" w:type="dxa"/>
            <w:vAlign w:val="top"/>
          </w:tcPr>
          <w:p w14:paraId="5FB2131D">
            <w:pPr>
              <w:keepLines w:val="0"/>
              <w:pageBreakBefore w:val="0"/>
              <w:kinsoku/>
              <w:wordWrap/>
              <w:overflowPunct/>
              <w:topLinePunct w:val="0"/>
              <w:bidi w:val="0"/>
              <w:rPr>
                <w:rFonts w:ascii="Arial"/>
                <w:sz w:val="24"/>
                <w:szCs w:val="24"/>
              </w:rPr>
            </w:pPr>
          </w:p>
        </w:tc>
        <w:tc>
          <w:tcPr>
            <w:tcW w:w="1334" w:type="dxa"/>
            <w:vAlign w:val="top"/>
          </w:tcPr>
          <w:p w14:paraId="20CFA226">
            <w:pPr>
              <w:keepLines w:val="0"/>
              <w:pageBreakBefore w:val="0"/>
              <w:kinsoku/>
              <w:wordWrap/>
              <w:overflowPunct/>
              <w:topLinePunct w:val="0"/>
              <w:bidi w:val="0"/>
              <w:rPr>
                <w:rFonts w:ascii="Arial"/>
                <w:sz w:val="24"/>
                <w:szCs w:val="24"/>
              </w:rPr>
            </w:pPr>
          </w:p>
        </w:tc>
        <w:tc>
          <w:tcPr>
            <w:tcW w:w="939" w:type="dxa"/>
            <w:vAlign w:val="top"/>
          </w:tcPr>
          <w:p w14:paraId="54652448">
            <w:pPr>
              <w:keepLines w:val="0"/>
              <w:pageBreakBefore w:val="0"/>
              <w:kinsoku/>
              <w:wordWrap/>
              <w:overflowPunct/>
              <w:topLinePunct w:val="0"/>
              <w:bidi w:val="0"/>
              <w:rPr>
                <w:rFonts w:ascii="Arial"/>
                <w:sz w:val="24"/>
                <w:szCs w:val="24"/>
              </w:rPr>
            </w:pPr>
          </w:p>
        </w:tc>
        <w:tc>
          <w:tcPr>
            <w:tcW w:w="1068" w:type="dxa"/>
            <w:vAlign w:val="top"/>
          </w:tcPr>
          <w:p w14:paraId="6EEC6840">
            <w:pPr>
              <w:keepLines w:val="0"/>
              <w:pageBreakBefore w:val="0"/>
              <w:kinsoku/>
              <w:wordWrap/>
              <w:overflowPunct/>
              <w:topLinePunct w:val="0"/>
              <w:bidi w:val="0"/>
              <w:rPr>
                <w:rFonts w:ascii="Arial"/>
                <w:sz w:val="24"/>
                <w:szCs w:val="24"/>
              </w:rPr>
            </w:pPr>
          </w:p>
        </w:tc>
        <w:tc>
          <w:tcPr>
            <w:tcW w:w="950" w:type="dxa"/>
            <w:vAlign w:val="top"/>
          </w:tcPr>
          <w:p w14:paraId="0242B22F">
            <w:pPr>
              <w:keepLines w:val="0"/>
              <w:pageBreakBefore w:val="0"/>
              <w:kinsoku/>
              <w:wordWrap/>
              <w:overflowPunct/>
              <w:topLinePunct w:val="0"/>
              <w:bidi w:val="0"/>
              <w:rPr>
                <w:rFonts w:ascii="Arial"/>
                <w:sz w:val="24"/>
                <w:szCs w:val="24"/>
              </w:rPr>
            </w:pPr>
          </w:p>
        </w:tc>
      </w:tr>
    </w:tbl>
    <w:p w14:paraId="33D16AF5">
      <w:pPr>
        <w:keepLines w:val="0"/>
        <w:pageBreakBefore w:val="0"/>
        <w:kinsoku/>
        <w:wordWrap/>
        <w:overflowPunct/>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230BA4E6">
      <w:pPr>
        <w:pStyle w:val="7"/>
        <w:keepLines w:val="0"/>
        <w:pageBreakBefore w:val="0"/>
        <w:kinsoku/>
        <w:wordWrap/>
        <w:overflowPunct/>
        <w:topLinePunct w:val="0"/>
        <w:bidi w:val="0"/>
        <w:spacing w:line="270" w:lineRule="auto"/>
        <w:rPr>
          <w:sz w:val="24"/>
          <w:szCs w:val="24"/>
        </w:rPr>
      </w:pPr>
    </w:p>
    <w:p w14:paraId="32581D79">
      <w:pPr>
        <w:pStyle w:val="7"/>
        <w:keepLines w:val="0"/>
        <w:pageBreakBefore w:val="0"/>
        <w:kinsoku/>
        <w:wordWrap/>
        <w:overflowPunct/>
        <w:topLinePunct w:val="0"/>
        <w:bidi w:val="0"/>
        <w:spacing w:line="270" w:lineRule="auto"/>
        <w:rPr>
          <w:sz w:val="24"/>
          <w:szCs w:val="24"/>
        </w:rPr>
      </w:pPr>
    </w:p>
    <w:p w14:paraId="42D0CDBA">
      <w:pPr>
        <w:pStyle w:val="7"/>
        <w:keepLines w:val="0"/>
        <w:pageBreakBefore w:val="0"/>
        <w:kinsoku/>
        <w:wordWrap/>
        <w:overflowPunct/>
        <w:topLinePunct w:val="0"/>
        <w:bidi w:val="0"/>
        <w:spacing w:line="270" w:lineRule="auto"/>
        <w:rPr>
          <w:sz w:val="24"/>
          <w:szCs w:val="24"/>
        </w:rPr>
      </w:pPr>
    </w:p>
    <w:p w14:paraId="3C4F0408">
      <w:pPr>
        <w:pStyle w:val="7"/>
        <w:keepLines w:val="0"/>
        <w:pageBreakBefore w:val="0"/>
        <w:kinsoku/>
        <w:wordWrap/>
        <w:overflowPunct/>
        <w:topLinePunct w:val="0"/>
        <w:bidi w:val="0"/>
        <w:spacing w:line="270" w:lineRule="auto"/>
        <w:rPr>
          <w:sz w:val="24"/>
          <w:szCs w:val="24"/>
        </w:rPr>
      </w:pPr>
    </w:p>
    <w:p w14:paraId="3C1A7CA0">
      <w:pPr>
        <w:pStyle w:val="7"/>
        <w:keepLines w:val="0"/>
        <w:pageBreakBefore w:val="0"/>
        <w:kinsoku/>
        <w:wordWrap/>
        <w:overflowPunct/>
        <w:topLinePunct w:val="0"/>
        <w:bidi w:val="0"/>
        <w:spacing w:line="270" w:lineRule="auto"/>
        <w:rPr>
          <w:sz w:val="24"/>
          <w:szCs w:val="24"/>
        </w:rPr>
      </w:pPr>
    </w:p>
    <w:p w14:paraId="02BFB712">
      <w:pPr>
        <w:pStyle w:val="7"/>
        <w:keepLines w:val="0"/>
        <w:pageBreakBefore w:val="0"/>
        <w:kinsoku/>
        <w:wordWrap/>
        <w:overflowPunct/>
        <w:topLinePunct w:val="0"/>
        <w:bidi w:val="0"/>
        <w:spacing w:line="270" w:lineRule="auto"/>
        <w:rPr>
          <w:sz w:val="24"/>
          <w:szCs w:val="24"/>
        </w:rPr>
      </w:pPr>
    </w:p>
    <w:p w14:paraId="2EFA7E7E">
      <w:pPr>
        <w:pStyle w:val="7"/>
        <w:keepLines w:val="0"/>
        <w:pageBreakBefore w:val="0"/>
        <w:kinsoku/>
        <w:wordWrap/>
        <w:overflowPunct/>
        <w:topLinePunct w:val="0"/>
        <w:bidi w:val="0"/>
        <w:spacing w:line="271" w:lineRule="auto"/>
        <w:rPr>
          <w:sz w:val="24"/>
          <w:szCs w:val="24"/>
        </w:rPr>
      </w:pPr>
    </w:p>
    <w:p w14:paraId="337796C7">
      <w:pPr>
        <w:keepLines w:val="0"/>
        <w:pageBreakBefore w:val="0"/>
        <w:kinsoku/>
        <w:wordWrap/>
        <w:overflowPunct/>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40942356">
      <w:pPr>
        <w:keepLines w:val="0"/>
        <w:pageBreakBefore w:val="0"/>
        <w:kinsoku/>
        <w:wordWrap/>
        <w:overflowPunct/>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4793034B">
      <w:pPr>
        <w:keepLines w:val="0"/>
        <w:pageBreakBefore w:val="0"/>
        <w:kinsoku/>
        <w:wordWrap/>
        <w:overflowPunct/>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131CA993">
      <w:pPr>
        <w:pStyle w:val="7"/>
        <w:keepLines w:val="0"/>
        <w:pageBreakBefore w:val="0"/>
        <w:kinsoku/>
        <w:wordWrap/>
        <w:overflowPunct/>
        <w:topLinePunct w:val="0"/>
        <w:bidi w:val="0"/>
        <w:spacing w:line="245" w:lineRule="auto"/>
        <w:rPr>
          <w:sz w:val="24"/>
          <w:szCs w:val="24"/>
        </w:rPr>
      </w:pPr>
    </w:p>
    <w:p w14:paraId="6DF058A6">
      <w:pPr>
        <w:pStyle w:val="7"/>
        <w:keepLines w:val="0"/>
        <w:pageBreakBefore w:val="0"/>
        <w:kinsoku/>
        <w:wordWrap/>
        <w:overflowPunct/>
        <w:topLinePunct w:val="0"/>
        <w:bidi w:val="0"/>
        <w:spacing w:line="245" w:lineRule="auto"/>
      </w:pPr>
    </w:p>
    <w:p w14:paraId="6CEE397A">
      <w:pPr>
        <w:pStyle w:val="7"/>
        <w:keepLines w:val="0"/>
        <w:pageBreakBefore w:val="0"/>
        <w:kinsoku/>
        <w:wordWrap/>
        <w:overflowPunct/>
        <w:topLinePunct w:val="0"/>
        <w:bidi w:val="0"/>
        <w:spacing w:line="245" w:lineRule="auto"/>
      </w:pPr>
    </w:p>
    <w:p w14:paraId="49B0DC6F">
      <w:pPr>
        <w:pStyle w:val="7"/>
        <w:keepLines w:val="0"/>
        <w:pageBreakBefore w:val="0"/>
        <w:kinsoku/>
        <w:wordWrap/>
        <w:overflowPunct/>
        <w:topLinePunct w:val="0"/>
        <w:bidi w:val="0"/>
        <w:spacing w:line="245" w:lineRule="auto"/>
      </w:pPr>
    </w:p>
    <w:p w14:paraId="1DB5A919">
      <w:pPr>
        <w:pStyle w:val="7"/>
        <w:keepLines w:val="0"/>
        <w:pageBreakBefore w:val="0"/>
        <w:kinsoku/>
        <w:wordWrap/>
        <w:overflowPunct/>
        <w:topLinePunct w:val="0"/>
        <w:bidi w:val="0"/>
        <w:spacing w:line="245" w:lineRule="auto"/>
      </w:pPr>
    </w:p>
    <w:p w14:paraId="5A92ABCF">
      <w:pPr>
        <w:pStyle w:val="7"/>
        <w:keepLines w:val="0"/>
        <w:pageBreakBefore w:val="0"/>
        <w:kinsoku/>
        <w:wordWrap/>
        <w:overflowPunct/>
        <w:topLinePunct w:val="0"/>
        <w:bidi w:val="0"/>
        <w:spacing w:line="245" w:lineRule="auto"/>
      </w:pPr>
    </w:p>
    <w:p w14:paraId="30C030D5">
      <w:pPr>
        <w:pStyle w:val="7"/>
        <w:keepLines w:val="0"/>
        <w:pageBreakBefore w:val="0"/>
        <w:kinsoku/>
        <w:wordWrap/>
        <w:overflowPunct/>
        <w:topLinePunct w:val="0"/>
        <w:bidi w:val="0"/>
        <w:spacing w:line="245" w:lineRule="auto"/>
      </w:pPr>
    </w:p>
    <w:p w14:paraId="1392F22E">
      <w:pPr>
        <w:pStyle w:val="7"/>
        <w:keepLines w:val="0"/>
        <w:pageBreakBefore w:val="0"/>
        <w:kinsoku/>
        <w:wordWrap/>
        <w:overflowPunct/>
        <w:topLinePunct w:val="0"/>
        <w:bidi w:val="0"/>
        <w:spacing w:line="246" w:lineRule="auto"/>
      </w:pPr>
    </w:p>
    <w:p w14:paraId="5ED81666">
      <w:pPr>
        <w:pStyle w:val="7"/>
        <w:keepLines w:val="0"/>
        <w:pageBreakBefore w:val="0"/>
        <w:kinsoku/>
        <w:wordWrap/>
        <w:overflowPunct/>
        <w:topLinePunct w:val="0"/>
        <w:bidi w:val="0"/>
        <w:spacing w:line="246" w:lineRule="auto"/>
      </w:pPr>
    </w:p>
    <w:p w14:paraId="47256DCD">
      <w:pPr>
        <w:pStyle w:val="7"/>
        <w:keepLines w:val="0"/>
        <w:pageBreakBefore w:val="0"/>
        <w:kinsoku/>
        <w:wordWrap/>
        <w:overflowPunct/>
        <w:topLinePunct w:val="0"/>
        <w:bidi w:val="0"/>
        <w:spacing w:line="246" w:lineRule="auto"/>
      </w:pPr>
    </w:p>
    <w:p w14:paraId="5CD03123">
      <w:pPr>
        <w:pStyle w:val="7"/>
        <w:keepLines w:val="0"/>
        <w:pageBreakBefore w:val="0"/>
        <w:kinsoku/>
        <w:wordWrap/>
        <w:overflowPunct/>
        <w:topLinePunct w:val="0"/>
        <w:bidi w:val="0"/>
        <w:spacing w:line="253" w:lineRule="auto"/>
      </w:pPr>
    </w:p>
    <w:p w14:paraId="38F4C44C">
      <w:pPr>
        <w:keepLines w:val="0"/>
        <w:pageBreakBefore w:val="0"/>
        <w:kinsoku/>
        <w:wordWrap/>
        <w:overflowPunct/>
        <w:topLinePunct w:val="0"/>
        <w:bidi w:val="0"/>
        <w:spacing w:before="65" w:line="231" w:lineRule="auto"/>
        <w:jc w:val="center"/>
        <w:outlineLvl w:val="3"/>
        <w:rPr>
          <w:rFonts w:ascii="仿宋" w:hAnsi="仿宋" w:eastAsia="仿宋" w:cs="仿宋"/>
          <w:b/>
          <w:bCs/>
          <w:spacing w:val="3"/>
          <w:sz w:val="24"/>
          <w:szCs w:val="24"/>
        </w:rPr>
      </w:pPr>
      <w:r>
        <w:rPr>
          <w:rFonts w:ascii="仿宋" w:hAnsi="仿宋" w:eastAsia="仿宋" w:cs="仿宋"/>
          <w:b/>
          <w:bCs/>
          <w:spacing w:val="3"/>
          <w:sz w:val="24"/>
          <w:szCs w:val="24"/>
        </w:rPr>
        <w:t>12.</w:t>
      </w:r>
      <w:r>
        <w:rPr>
          <w:rFonts w:hint="eastAsia" w:ascii="仿宋" w:hAnsi="仿宋" w:eastAsia="仿宋" w:cs="仿宋"/>
          <w:b/>
          <w:bCs/>
          <w:spacing w:val="3"/>
          <w:sz w:val="24"/>
          <w:szCs w:val="24"/>
          <w:lang w:val="en-US" w:eastAsia="zh-CN"/>
        </w:rPr>
        <w:t>保证金缴存证明（符合招标文件要求）</w:t>
      </w:r>
    </w:p>
    <w:p w14:paraId="72DE1219">
      <w:pPr>
        <w:keepLines w:val="0"/>
        <w:pageBreakBefore w:val="0"/>
        <w:kinsoku/>
        <w:wordWrap/>
        <w:overflowPunct/>
        <w:topLinePunct w:val="0"/>
        <w:bidi w:val="0"/>
        <w:rPr>
          <w:rFonts w:hint="eastAsia" w:ascii="仿宋" w:hAnsi="仿宋" w:eastAsia="仿宋" w:cs="仿宋"/>
          <w:b/>
          <w:bCs/>
          <w:spacing w:val="3"/>
          <w:sz w:val="20"/>
          <w:szCs w:val="20"/>
          <w:lang w:val="en-US" w:eastAsia="zh-CN"/>
        </w:rPr>
      </w:pPr>
      <w:r>
        <w:rPr>
          <w:rFonts w:hint="eastAsia" w:ascii="仿宋" w:hAnsi="仿宋" w:eastAsia="仿宋" w:cs="仿宋"/>
          <w:b/>
          <w:bCs/>
          <w:spacing w:val="3"/>
          <w:sz w:val="20"/>
          <w:szCs w:val="20"/>
          <w:lang w:val="en-US" w:eastAsia="zh-CN"/>
        </w:rPr>
        <w:br w:type="page"/>
      </w:r>
    </w:p>
    <w:p w14:paraId="6EE21759">
      <w:pPr>
        <w:keepLines w:val="0"/>
        <w:pageBreakBefore w:val="0"/>
        <w:kinsoku/>
        <w:wordWrap/>
        <w:overflowPunct/>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13.</w:t>
      </w:r>
      <w:r>
        <w:rPr>
          <w:rFonts w:ascii="仿宋" w:hAnsi="仿宋" w:eastAsia="仿宋" w:cs="仿宋"/>
          <w:b/>
          <w:bCs/>
          <w:spacing w:val="3"/>
          <w:sz w:val="24"/>
          <w:szCs w:val="24"/>
        </w:rPr>
        <w:t>方案</w:t>
      </w:r>
    </w:p>
    <w:p w14:paraId="62FED695">
      <w:pPr>
        <w:keepLines w:val="0"/>
        <w:pageBreakBefore w:val="0"/>
        <w:kinsoku/>
        <w:wordWrap/>
        <w:overflowPunct/>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投标人结合详细评分标准表自附（格式自拟）</w:t>
      </w:r>
    </w:p>
    <w:p w14:paraId="225965F3">
      <w:pPr>
        <w:pStyle w:val="7"/>
        <w:keepLines w:val="0"/>
        <w:pageBreakBefore w:val="0"/>
        <w:kinsoku/>
        <w:wordWrap/>
        <w:overflowPunct/>
        <w:topLinePunct w:val="0"/>
        <w:bidi w:val="0"/>
        <w:spacing w:line="245" w:lineRule="auto"/>
        <w:rPr>
          <w:sz w:val="24"/>
          <w:szCs w:val="24"/>
        </w:rPr>
      </w:pPr>
    </w:p>
    <w:p w14:paraId="058B007A">
      <w:pPr>
        <w:pStyle w:val="7"/>
        <w:keepLines w:val="0"/>
        <w:pageBreakBefore w:val="0"/>
        <w:kinsoku/>
        <w:wordWrap/>
        <w:overflowPunct/>
        <w:topLinePunct w:val="0"/>
        <w:bidi w:val="0"/>
        <w:spacing w:line="245" w:lineRule="auto"/>
      </w:pPr>
    </w:p>
    <w:p w14:paraId="47F8751A">
      <w:pPr>
        <w:pStyle w:val="7"/>
        <w:keepLines w:val="0"/>
        <w:pageBreakBefore w:val="0"/>
        <w:kinsoku/>
        <w:wordWrap/>
        <w:overflowPunct/>
        <w:topLinePunct w:val="0"/>
        <w:bidi w:val="0"/>
        <w:spacing w:line="245" w:lineRule="auto"/>
      </w:pPr>
    </w:p>
    <w:p w14:paraId="173CBB84">
      <w:pPr>
        <w:pStyle w:val="7"/>
        <w:keepLines w:val="0"/>
        <w:pageBreakBefore w:val="0"/>
        <w:kinsoku/>
        <w:wordWrap/>
        <w:overflowPunct/>
        <w:topLinePunct w:val="0"/>
        <w:bidi w:val="0"/>
        <w:spacing w:line="245" w:lineRule="auto"/>
      </w:pPr>
    </w:p>
    <w:p w14:paraId="297AA5C5">
      <w:pPr>
        <w:pStyle w:val="7"/>
        <w:keepLines w:val="0"/>
        <w:pageBreakBefore w:val="0"/>
        <w:kinsoku/>
        <w:wordWrap/>
        <w:overflowPunct/>
        <w:topLinePunct w:val="0"/>
        <w:bidi w:val="0"/>
        <w:spacing w:line="245" w:lineRule="auto"/>
      </w:pPr>
    </w:p>
    <w:p w14:paraId="5C3F6EA2">
      <w:pPr>
        <w:pStyle w:val="7"/>
        <w:keepLines w:val="0"/>
        <w:pageBreakBefore w:val="0"/>
        <w:kinsoku/>
        <w:wordWrap/>
        <w:overflowPunct/>
        <w:topLinePunct w:val="0"/>
        <w:bidi w:val="0"/>
        <w:spacing w:line="245" w:lineRule="auto"/>
      </w:pPr>
    </w:p>
    <w:p w14:paraId="1F858203">
      <w:pPr>
        <w:pStyle w:val="7"/>
        <w:keepLines w:val="0"/>
        <w:pageBreakBefore w:val="0"/>
        <w:kinsoku/>
        <w:wordWrap/>
        <w:overflowPunct/>
        <w:topLinePunct w:val="0"/>
        <w:bidi w:val="0"/>
        <w:spacing w:line="245" w:lineRule="auto"/>
      </w:pPr>
    </w:p>
    <w:p w14:paraId="58195D82">
      <w:pPr>
        <w:pStyle w:val="7"/>
        <w:keepLines w:val="0"/>
        <w:pageBreakBefore w:val="0"/>
        <w:kinsoku/>
        <w:wordWrap/>
        <w:overflowPunct/>
        <w:topLinePunct w:val="0"/>
        <w:bidi w:val="0"/>
        <w:spacing w:line="245" w:lineRule="auto"/>
      </w:pPr>
    </w:p>
    <w:p w14:paraId="5AE2CCF7">
      <w:pPr>
        <w:pStyle w:val="7"/>
        <w:keepLines w:val="0"/>
        <w:pageBreakBefore w:val="0"/>
        <w:kinsoku/>
        <w:wordWrap/>
        <w:overflowPunct/>
        <w:topLinePunct w:val="0"/>
        <w:bidi w:val="0"/>
        <w:spacing w:line="245" w:lineRule="auto"/>
      </w:pPr>
    </w:p>
    <w:p w14:paraId="660B7B8A">
      <w:pPr>
        <w:pStyle w:val="7"/>
        <w:keepLines w:val="0"/>
        <w:pageBreakBefore w:val="0"/>
        <w:kinsoku/>
        <w:wordWrap/>
        <w:overflowPunct/>
        <w:topLinePunct w:val="0"/>
        <w:bidi w:val="0"/>
        <w:spacing w:line="245" w:lineRule="auto"/>
      </w:pPr>
    </w:p>
    <w:p w14:paraId="1AEBC7F2">
      <w:pPr>
        <w:pStyle w:val="7"/>
        <w:keepLines w:val="0"/>
        <w:pageBreakBefore w:val="0"/>
        <w:kinsoku/>
        <w:wordWrap/>
        <w:overflowPunct/>
        <w:topLinePunct w:val="0"/>
        <w:bidi w:val="0"/>
        <w:spacing w:line="245" w:lineRule="auto"/>
      </w:pPr>
    </w:p>
    <w:p w14:paraId="40EB53D8">
      <w:pPr>
        <w:pStyle w:val="7"/>
        <w:keepLines w:val="0"/>
        <w:pageBreakBefore w:val="0"/>
        <w:kinsoku/>
        <w:wordWrap/>
        <w:overflowPunct/>
        <w:topLinePunct w:val="0"/>
        <w:bidi w:val="0"/>
        <w:spacing w:line="245" w:lineRule="auto"/>
      </w:pPr>
    </w:p>
    <w:p w14:paraId="0B76F22D">
      <w:pPr>
        <w:pStyle w:val="7"/>
        <w:keepLines w:val="0"/>
        <w:pageBreakBefore w:val="0"/>
        <w:kinsoku/>
        <w:wordWrap/>
        <w:overflowPunct/>
        <w:topLinePunct w:val="0"/>
        <w:bidi w:val="0"/>
        <w:spacing w:line="245" w:lineRule="auto"/>
      </w:pPr>
    </w:p>
    <w:p w14:paraId="4A3702B4">
      <w:pPr>
        <w:pStyle w:val="7"/>
        <w:keepLines w:val="0"/>
        <w:pageBreakBefore w:val="0"/>
        <w:kinsoku/>
        <w:wordWrap/>
        <w:overflowPunct/>
        <w:topLinePunct w:val="0"/>
        <w:bidi w:val="0"/>
        <w:spacing w:line="245" w:lineRule="auto"/>
      </w:pPr>
    </w:p>
    <w:p w14:paraId="633E9371">
      <w:pPr>
        <w:pStyle w:val="7"/>
        <w:keepLines w:val="0"/>
        <w:pageBreakBefore w:val="0"/>
        <w:kinsoku/>
        <w:wordWrap/>
        <w:overflowPunct/>
        <w:topLinePunct w:val="0"/>
        <w:bidi w:val="0"/>
        <w:spacing w:line="245" w:lineRule="auto"/>
      </w:pPr>
    </w:p>
    <w:p w14:paraId="665D2954">
      <w:pPr>
        <w:pStyle w:val="7"/>
        <w:keepLines w:val="0"/>
        <w:pageBreakBefore w:val="0"/>
        <w:kinsoku/>
        <w:wordWrap/>
        <w:overflowPunct/>
        <w:topLinePunct w:val="0"/>
        <w:bidi w:val="0"/>
        <w:spacing w:line="245" w:lineRule="auto"/>
      </w:pPr>
    </w:p>
    <w:p w14:paraId="646EF643">
      <w:pPr>
        <w:pStyle w:val="7"/>
        <w:keepLines w:val="0"/>
        <w:pageBreakBefore w:val="0"/>
        <w:kinsoku/>
        <w:wordWrap/>
        <w:overflowPunct/>
        <w:topLinePunct w:val="0"/>
        <w:bidi w:val="0"/>
        <w:spacing w:line="245" w:lineRule="auto"/>
      </w:pPr>
    </w:p>
    <w:p w14:paraId="531F07D3">
      <w:pPr>
        <w:pStyle w:val="7"/>
        <w:keepLines w:val="0"/>
        <w:pageBreakBefore w:val="0"/>
        <w:kinsoku/>
        <w:wordWrap/>
        <w:overflowPunct/>
        <w:topLinePunct w:val="0"/>
        <w:bidi w:val="0"/>
        <w:spacing w:line="246" w:lineRule="auto"/>
      </w:pPr>
    </w:p>
    <w:p w14:paraId="5A4CDFFA">
      <w:pPr>
        <w:pStyle w:val="7"/>
        <w:keepLines w:val="0"/>
        <w:pageBreakBefore w:val="0"/>
        <w:kinsoku/>
        <w:wordWrap/>
        <w:overflowPunct/>
        <w:topLinePunct w:val="0"/>
        <w:bidi w:val="0"/>
        <w:spacing w:line="246" w:lineRule="auto"/>
      </w:pPr>
    </w:p>
    <w:p w14:paraId="20B14181">
      <w:pPr>
        <w:pStyle w:val="7"/>
        <w:keepLines w:val="0"/>
        <w:pageBreakBefore w:val="0"/>
        <w:kinsoku/>
        <w:wordWrap/>
        <w:overflowPunct/>
        <w:topLinePunct w:val="0"/>
        <w:bidi w:val="0"/>
        <w:spacing w:line="246" w:lineRule="auto"/>
      </w:pPr>
    </w:p>
    <w:p w14:paraId="0BF938B7">
      <w:pPr>
        <w:pStyle w:val="7"/>
        <w:keepLines w:val="0"/>
        <w:pageBreakBefore w:val="0"/>
        <w:kinsoku/>
        <w:wordWrap/>
        <w:overflowPunct/>
        <w:topLinePunct w:val="0"/>
        <w:bidi w:val="0"/>
        <w:spacing w:line="246" w:lineRule="auto"/>
      </w:pPr>
    </w:p>
    <w:p w14:paraId="5B8E47DD">
      <w:pPr>
        <w:keepLines w:val="0"/>
        <w:pageBreakBefore w:val="0"/>
        <w:kinsoku/>
        <w:wordWrap/>
        <w:overflowPunct/>
        <w:topLinePunct w:val="0"/>
        <w:bidi w:val="0"/>
      </w:pPr>
      <w:r>
        <w:br w:type="page"/>
      </w:r>
    </w:p>
    <w:p w14:paraId="1BDECF0D">
      <w:pPr>
        <w:pStyle w:val="7"/>
        <w:keepLines w:val="0"/>
        <w:pageBreakBefore w:val="0"/>
        <w:kinsoku/>
        <w:wordWrap/>
        <w:overflowPunct/>
        <w:topLinePunct w:val="0"/>
        <w:bidi w:val="0"/>
        <w:spacing w:line="246" w:lineRule="auto"/>
      </w:pPr>
    </w:p>
    <w:p w14:paraId="52E6E23D">
      <w:pPr>
        <w:keepLines w:val="0"/>
        <w:pageBreakBefore w:val="0"/>
        <w:kinsoku/>
        <w:wordWrap/>
        <w:overflowPunct/>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4</w:t>
      </w:r>
      <w:r>
        <w:rPr>
          <w:rFonts w:ascii="仿宋" w:hAnsi="仿宋" w:eastAsia="仿宋" w:cs="仿宋"/>
          <w:b/>
          <w:bCs/>
          <w:spacing w:val="4"/>
          <w:sz w:val="24"/>
          <w:szCs w:val="24"/>
        </w:rPr>
        <w:t>.其它证明材料</w:t>
      </w:r>
    </w:p>
    <w:p w14:paraId="25D23557">
      <w:pPr>
        <w:keepLines w:val="0"/>
        <w:pageBreakBefore w:val="0"/>
        <w:kinsoku/>
        <w:wordWrap/>
        <w:overflowPunct/>
        <w:topLinePunct w:val="0"/>
        <w:bidi w:val="0"/>
        <w:spacing w:before="143" w:line="229" w:lineRule="auto"/>
        <w:ind w:left="642"/>
        <w:jc w:val="center"/>
        <w:rPr>
          <w:rFonts w:ascii="仿宋" w:hAnsi="仿宋" w:eastAsia="仿宋" w:cs="仿宋"/>
          <w:sz w:val="24"/>
          <w:szCs w:val="24"/>
        </w:rPr>
        <w:sectPr>
          <w:footerReference r:id="rId15"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投标人</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7D40DAA2">
      <w:pPr>
        <w:keepLines w:val="0"/>
        <w:pageBreakBefore w:val="0"/>
        <w:kinsoku/>
        <w:wordWrap/>
        <w:overflowPunct/>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5</w:t>
      </w:r>
      <w:r>
        <w:rPr>
          <w:rFonts w:ascii="仿宋" w:hAnsi="仿宋" w:eastAsia="仿宋" w:cs="仿宋"/>
          <w:b/>
          <w:bCs/>
          <w:spacing w:val="2"/>
          <w:sz w:val="24"/>
          <w:szCs w:val="24"/>
        </w:rPr>
        <w:t>.声明函</w:t>
      </w:r>
    </w:p>
    <w:p w14:paraId="4AF6C468">
      <w:pPr>
        <w:pStyle w:val="7"/>
        <w:keepLines w:val="0"/>
        <w:pageBreakBefore w:val="0"/>
        <w:kinsoku/>
        <w:wordWrap/>
        <w:overflowPunct/>
        <w:topLinePunct w:val="0"/>
        <w:bidi w:val="0"/>
        <w:spacing w:line="388" w:lineRule="auto"/>
      </w:pPr>
    </w:p>
    <w:p w14:paraId="6F3EF5BC">
      <w:pPr>
        <w:keepNext w:val="0"/>
        <w:keepLines w:val="0"/>
        <w:pageBreakBefore w:val="0"/>
        <w:widowControl/>
        <w:suppressLineNumbers w:val="0"/>
        <w:kinsoku/>
        <w:wordWrap/>
        <w:overflowPunct/>
        <w:topLinePunct w:val="0"/>
        <w:bidi w:val="0"/>
        <w:snapToGrid/>
        <w:spacing w:line="52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中小企业声明函（货物）</w:t>
      </w:r>
    </w:p>
    <w:p w14:paraId="24B0DDD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7AC7FE5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）行业</w:t>
      </w:r>
      <w:r>
        <w:rPr>
          <w:rFonts w:hint="eastAsia" w:ascii="宋体" w:hAnsi="宋体" w:eastAsia="宋体" w:cs="宋体"/>
          <w:color w:val="000000"/>
          <w:kern w:val="0"/>
          <w:sz w:val="24"/>
          <w:szCs w:val="24"/>
          <w:lang w:val="en-US" w:eastAsia="zh-CN" w:bidi="ar"/>
        </w:rPr>
        <w:t xml:space="preserve"> ；制造商为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65A6915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 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 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 企业、微型企业）</w:t>
      </w:r>
      <w:r>
        <w:rPr>
          <w:rFonts w:hint="eastAsia" w:ascii="宋体" w:hAnsi="宋体" w:eastAsia="宋体" w:cs="宋体"/>
          <w:color w:val="000000"/>
          <w:kern w:val="0"/>
          <w:sz w:val="24"/>
          <w:szCs w:val="24"/>
          <w:lang w:val="en-US" w:eastAsia="zh-CN" w:bidi="ar"/>
        </w:rPr>
        <w:t xml:space="preserve">； </w:t>
      </w:r>
    </w:p>
    <w:p w14:paraId="44F1330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1774AD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6A60342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74E2AC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企业名称（盖章）： </w:t>
      </w:r>
    </w:p>
    <w:p w14:paraId="5CAD6D7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660" w:firstLineChars="1525"/>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328864A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1从业人员、营业收入、资产总额填报上一年度数据，无上一年度数据的新成立企业可不填报。</w:t>
      </w:r>
    </w:p>
    <w:p w14:paraId="489F4A4E">
      <w:pPr>
        <w:pStyle w:val="7"/>
        <w:keepLines w:val="0"/>
        <w:pageBreakBefore w:val="0"/>
        <w:kinsoku/>
        <w:wordWrap/>
        <w:overflowPunct/>
        <w:topLinePunct w:val="0"/>
        <w:bidi w:val="0"/>
        <w:spacing w:line="257" w:lineRule="auto"/>
      </w:pPr>
    </w:p>
    <w:p w14:paraId="741FE22A">
      <w:pPr>
        <w:pStyle w:val="7"/>
        <w:keepLines w:val="0"/>
        <w:pageBreakBefore w:val="0"/>
        <w:kinsoku/>
        <w:wordWrap/>
        <w:overflowPunct/>
        <w:topLinePunct w:val="0"/>
        <w:bidi w:val="0"/>
        <w:spacing w:line="257" w:lineRule="auto"/>
      </w:pPr>
    </w:p>
    <w:p w14:paraId="31DA4718">
      <w:pPr>
        <w:pStyle w:val="7"/>
        <w:keepLines w:val="0"/>
        <w:pageBreakBefore w:val="0"/>
        <w:kinsoku/>
        <w:wordWrap/>
        <w:overflowPunct/>
        <w:topLinePunct w:val="0"/>
        <w:bidi w:val="0"/>
        <w:spacing w:line="257" w:lineRule="auto"/>
      </w:pPr>
    </w:p>
    <w:p w14:paraId="782F866F">
      <w:pPr>
        <w:pStyle w:val="7"/>
        <w:keepLines w:val="0"/>
        <w:pageBreakBefore w:val="0"/>
        <w:kinsoku/>
        <w:wordWrap/>
        <w:overflowPunct/>
        <w:topLinePunct w:val="0"/>
        <w:bidi w:val="0"/>
        <w:spacing w:line="257" w:lineRule="auto"/>
      </w:pPr>
    </w:p>
    <w:p w14:paraId="59BEA114">
      <w:pPr>
        <w:pStyle w:val="22"/>
        <w:keepLines w:val="0"/>
        <w:pageBreakBefore w:val="0"/>
        <w:kinsoku/>
        <w:wordWrap/>
        <w:overflowPunct/>
        <w:topLinePunct w:val="0"/>
        <w:bidi w:val="0"/>
      </w:pPr>
    </w:p>
    <w:p w14:paraId="03E38319">
      <w:pPr>
        <w:keepLines w:val="0"/>
        <w:pageBreakBefore w:val="0"/>
        <w:kinsoku/>
        <w:wordWrap/>
        <w:overflowPunct/>
        <w:topLinePunct w:val="0"/>
        <w:bidi w:val="0"/>
      </w:pPr>
    </w:p>
    <w:p w14:paraId="7A693F64">
      <w:pPr>
        <w:keepLines w:val="0"/>
        <w:pageBreakBefore w:val="0"/>
        <w:kinsoku/>
        <w:wordWrap/>
        <w:overflowPunct/>
        <w:topLinePunct w:val="0"/>
        <w:bidi w:val="0"/>
      </w:pPr>
    </w:p>
    <w:p w14:paraId="741F2CB6">
      <w:pPr>
        <w:pStyle w:val="7"/>
        <w:keepLines w:val="0"/>
        <w:pageBreakBefore w:val="0"/>
        <w:kinsoku/>
        <w:wordWrap/>
        <w:overflowPunct/>
        <w:topLinePunct w:val="0"/>
        <w:bidi w:val="0"/>
        <w:spacing w:line="257" w:lineRule="auto"/>
      </w:pPr>
    </w:p>
    <w:p w14:paraId="490DA212">
      <w:pPr>
        <w:pStyle w:val="7"/>
        <w:keepLines w:val="0"/>
        <w:pageBreakBefore w:val="0"/>
        <w:kinsoku/>
        <w:wordWrap/>
        <w:overflowPunct/>
        <w:topLinePunct w:val="0"/>
        <w:bidi w:val="0"/>
        <w:spacing w:line="257" w:lineRule="auto"/>
      </w:pPr>
    </w:p>
    <w:p w14:paraId="3E4427C8">
      <w:pPr>
        <w:pStyle w:val="7"/>
        <w:keepLines w:val="0"/>
        <w:pageBreakBefore w:val="0"/>
        <w:kinsoku/>
        <w:wordWrap/>
        <w:overflowPunct/>
        <w:topLinePunct w:val="0"/>
        <w:bidi w:val="0"/>
        <w:spacing w:line="257" w:lineRule="auto"/>
        <w:rPr>
          <w:rFonts w:hint="eastAsia" w:ascii="仿宋" w:hAnsi="仿宋" w:eastAsia="仿宋" w:cs="仿宋"/>
        </w:rPr>
      </w:pPr>
    </w:p>
    <w:p w14:paraId="214F266C">
      <w:pPr>
        <w:pStyle w:val="22"/>
        <w:keepLines w:val="0"/>
        <w:pageBreakBefore w:val="0"/>
        <w:kinsoku/>
        <w:wordWrap/>
        <w:overflowPunct/>
        <w:topLinePunct w:val="0"/>
        <w:bidi w:val="0"/>
        <w:rPr>
          <w:rFonts w:hint="eastAsia"/>
        </w:rPr>
      </w:pPr>
    </w:p>
    <w:p w14:paraId="67D4E6DD">
      <w:pPr>
        <w:keepLines w:val="0"/>
        <w:pageBreakBefore w:val="0"/>
        <w:kinsoku/>
        <w:wordWrap/>
        <w:overflowPunct/>
        <w:topLinePunct w:val="0"/>
        <w:bidi w:val="0"/>
        <w:rPr>
          <w:rFonts w:hint="eastAsia"/>
        </w:rPr>
      </w:pPr>
    </w:p>
    <w:p w14:paraId="7B016CB2">
      <w:pPr>
        <w:keepLines w:val="0"/>
        <w:pageBreakBefore w:val="0"/>
        <w:kinsoku/>
        <w:wordWrap/>
        <w:overflowPunct/>
        <w:topLinePunct w:val="0"/>
        <w:bidi w:val="0"/>
        <w:rPr>
          <w:rFonts w:hint="eastAsia"/>
        </w:rPr>
      </w:pPr>
    </w:p>
    <w:p w14:paraId="44B3668A">
      <w:pPr>
        <w:keepLines w:val="0"/>
        <w:pageBreakBefore w:val="0"/>
        <w:kinsoku/>
        <w:wordWrap/>
        <w:overflowPunct/>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1021C0BF">
      <w:pPr>
        <w:pStyle w:val="7"/>
        <w:keepLines w:val="0"/>
        <w:pageBreakBefore w:val="0"/>
        <w:kinsoku/>
        <w:wordWrap/>
        <w:overflowPunct/>
        <w:topLinePunct w:val="0"/>
        <w:bidi w:val="0"/>
        <w:spacing w:line="245" w:lineRule="auto"/>
        <w:rPr>
          <w:rFonts w:hint="eastAsia" w:ascii="仿宋" w:hAnsi="仿宋" w:eastAsia="仿宋" w:cs="仿宋"/>
          <w:sz w:val="24"/>
          <w:szCs w:val="24"/>
        </w:rPr>
      </w:pPr>
    </w:p>
    <w:p w14:paraId="399F4692">
      <w:pPr>
        <w:pStyle w:val="7"/>
        <w:keepLines w:val="0"/>
        <w:pageBreakBefore w:val="0"/>
        <w:kinsoku/>
        <w:wordWrap/>
        <w:overflowPunct/>
        <w:topLinePunct w:val="0"/>
        <w:bidi w:val="0"/>
        <w:spacing w:line="245" w:lineRule="auto"/>
        <w:rPr>
          <w:rFonts w:hint="eastAsia" w:ascii="仿宋" w:hAnsi="仿宋" w:eastAsia="仿宋" w:cs="仿宋"/>
          <w:sz w:val="24"/>
          <w:szCs w:val="24"/>
        </w:rPr>
      </w:pPr>
    </w:p>
    <w:p w14:paraId="6A1F2159">
      <w:pPr>
        <w:keepLines w:val="0"/>
        <w:pageBreakBefore w:val="0"/>
        <w:kinsoku/>
        <w:wordWrap/>
        <w:overflowPunct/>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（财库〔2017〕141号）的规定，本单位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5C1F4451">
      <w:pPr>
        <w:pStyle w:val="7"/>
        <w:keepLines w:val="0"/>
        <w:pageBreakBefore w:val="0"/>
        <w:kinsoku/>
        <w:wordWrap/>
        <w:overflowPunct/>
        <w:topLinePunct w:val="0"/>
        <w:bidi w:val="0"/>
        <w:spacing w:line="275" w:lineRule="auto"/>
        <w:rPr>
          <w:rFonts w:hint="eastAsia" w:ascii="仿宋" w:hAnsi="仿宋" w:eastAsia="仿宋" w:cs="仿宋"/>
          <w:sz w:val="24"/>
          <w:szCs w:val="24"/>
        </w:rPr>
      </w:pPr>
    </w:p>
    <w:p w14:paraId="46A52D00">
      <w:pPr>
        <w:keepLines w:val="0"/>
        <w:pageBreakBefore w:val="0"/>
        <w:kinsoku/>
        <w:wordWrap/>
        <w:overflowPunct/>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27D0C29A">
      <w:pPr>
        <w:pStyle w:val="7"/>
        <w:keepLines w:val="0"/>
        <w:pageBreakBefore w:val="0"/>
        <w:kinsoku/>
        <w:wordWrap/>
        <w:overflowPunct/>
        <w:topLinePunct w:val="0"/>
        <w:bidi w:val="0"/>
        <w:spacing w:line="296" w:lineRule="auto"/>
        <w:rPr>
          <w:rFonts w:hint="eastAsia" w:ascii="仿宋" w:hAnsi="仿宋" w:eastAsia="仿宋" w:cs="仿宋"/>
          <w:sz w:val="24"/>
          <w:szCs w:val="24"/>
        </w:rPr>
      </w:pPr>
    </w:p>
    <w:p w14:paraId="249CC016">
      <w:pPr>
        <w:pStyle w:val="7"/>
        <w:keepLines w:val="0"/>
        <w:pageBreakBefore w:val="0"/>
        <w:kinsoku/>
        <w:wordWrap/>
        <w:overflowPunct/>
        <w:topLinePunct w:val="0"/>
        <w:bidi w:val="0"/>
        <w:spacing w:line="296" w:lineRule="auto"/>
        <w:rPr>
          <w:rFonts w:hint="eastAsia" w:ascii="仿宋" w:hAnsi="仿宋" w:eastAsia="仿宋" w:cs="仿宋"/>
          <w:sz w:val="24"/>
          <w:szCs w:val="24"/>
        </w:rPr>
      </w:pPr>
    </w:p>
    <w:p w14:paraId="361F805C">
      <w:pPr>
        <w:pStyle w:val="7"/>
        <w:keepLines w:val="0"/>
        <w:pageBreakBefore w:val="0"/>
        <w:kinsoku/>
        <w:wordWrap/>
        <w:overflowPunct/>
        <w:topLinePunct w:val="0"/>
        <w:bidi w:val="0"/>
        <w:spacing w:line="297" w:lineRule="auto"/>
        <w:rPr>
          <w:rFonts w:hint="eastAsia" w:ascii="仿宋" w:hAnsi="仿宋" w:eastAsia="仿宋" w:cs="仿宋"/>
          <w:sz w:val="24"/>
          <w:szCs w:val="24"/>
        </w:rPr>
      </w:pPr>
    </w:p>
    <w:p w14:paraId="0D46FA58">
      <w:pPr>
        <w:pStyle w:val="7"/>
        <w:keepLines w:val="0"/>
        <w:pageBreakBefore w:val="0"/>
        <w:kinsoku/>
        <w:wordWrap/>
        <w:overflowPunct/>
        <w:topLinePunct w:val="0"/>
        <w:bidi w:val="0"/>
        <w:spacing w:line="297" w:lineRule="auto"/>
        <w:rPr>
          <w:rFonts w:hint="eastAsia" w:ascii="仿宋" w:hAnsi="仿宋" w:eastAsia="仿宋" w:cs="仿宋"/>
          <w:sz w:val="24"/>
          <w:szCs w:val="24"/>
        </w:rPr>
      </w:pPr>
    </w:p>
    <w:p w14:paraId="4A805AF5">
      <w:pPr>
        <w:keepLines w:val="0"/>
        <w:pageBreakBefore w:val="0"/>
        <w:kinsoku/>
        <w:wordWrap/>
        <w:overflowPunct/>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lang w:eastAsia="zh-CN"/>
        </w:rPr>
        <w:t>投标人</w:t>
      </w:r>
      <w:r>
        <w:rPr>
          <w:rFonts w:hint="eastAsia" w:ascii="仿宋" w:hAnsi="仿宋" w:eastAsia="仿宋" w:cs="仿宋"/>
          <w:spacing w:val="19"/>
          <w:sz w:val="24"/>
          <w:szCs w:val="24"/>
        </w:rPr>
        <w:t>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3620FA69">
      <w:pPr>
        <w:keepLines w:val="0"/>
        <w:pageBreakBefore w:val="0"/>
        <w:kinsoku/>
        <w:wordWrap/>
        <w:overflowPunct/>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40672B23">
      <w:pPr>
        <w:keepLines w:val="0"/>
        <w:pageBreakBefore w:val="0"/>
        <w:tabs>
          <w:tab w:val="left" w:pos="4665"/>
        </w:tabs>
        <w:kinsoku/>
        <w:wordWrap/>
        <w:overflowPunct/>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0D0961BB">
      <w:pPr>
        <w:pStyle w:val="7"/>
        <w:keepLines w:val="0"/>
        <w:pageBreakBefore w:val="0"/>
        <w:kinsoku/>
        <w:wordWrap/>
        <w:overflowPunct/>
        <w:topLinePunct w:val="0"/>
        <w:bidi w:val="0"/>
        <w:spacing w:line="262" w:lineRule="auto"/>
        <w:rPr>
          <w:rFonts w:hint="eastAsia" w:ascii="仿宋" w:hAnsi="仿宋" w:eastAsia="仿宋" w:cs="仿宋"/>
          <w:sz w:val="24"/>
          <w:szCs w:val="24"/>
        </w:rPr>
      </w:pPr>
    </w:p>
    <w:p w14:paraId="7281A026">
      <w:pPr>
        <w:pStyle w:val="7"/>
        <w:keepLines w:val="0"/>
        <w:pageBreakBefore w:val="0"/>
        <w:kinsoku/>
        <w:wordWrap/>
        <w:overflowPunct/>
        <w:topLinePunct w:val="0"/>
        <w:bidi w:val="0"/>
        <w:spacing w:line="262" w:lineRule="auto"/>
        <w:rPr>
          <w:rFonts w:hint="eastAsia" w:ascii="仿宋" w:hAnsi="仿宋" w:eastAsia="仿宋" w:cs="仿宋"/>
          <w:sz w:val="24"/>
          <w:szCs w:val="24"/>
        </w:rPr>
      </w:pPr>
    </w:p>
    <w:p w14:paraId="3DCAB42F">
      <w:pPr>
        <w:pStyle w:val="7"/>
        <w:keepLines w:val="0"/>
        <w:pageBreakBefore w:val="0"/>
        <w:kinsoku/>
        <w:wordWrap/>
        <w:overflowPunct/>
        <w:topLinePunct w:val="0"/>
        <w:bidi w:val="0"/>
        <w:spacing w:line="263" w:lineRule="auto"/>
        <w:rPr>
          <w:rFonts w:hint="eastAsia" w:ascii="仿宋" w:hAnsi="仿宋" w:eastAsia="仿宋" w:cs="仿宋"/>
          <w:sz w:val="24"/>
          <w:szCs w:val="24"/>
        </w:rPr>
      </w:pPr>
    </w:p>
    <w:p w14:paraId="7A6AAD80">
      <w:pPr>
        <w:keepLines w:val="0"/>
        <w:pageBreakBefore w:val="0"/>
        <w:kinsoku/>
        <w:wordWrap/>
        <w:overflowPunct/>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5201F981">
      <w:pPr>
        <w:keepLines w:val="0"/>
        <w:pageBreakBefore w:val="0"/>
        <w:kinsoku/>
        <w:wordWrap/>
        <w:overflowPunct/>
        <w:topLinePunct w:val="0"/>
        <w:bidi w:val="0"/>
        <w:spacing w:line="233" w:lineRule="auto"/>
        <w:rPr>
          <w:rFonts w:ascii="宋体" w:hAnsi="宋体" w:eastAsia="宋体" w:cs="宋体"/>
          <w:sz w:val="24"/>
          <w:szCs w:val="24"/>
        </w:rPr>
        <w:sectPr>
          <w:footerReference r:id="rId16" w:type="default"/>
          <w:pgSz w:w="11905" w:h="16838"/>
          <w:pgMar w:top="1440" w:right="1786" w:bottom="1440" w:left="1786" w:header="850" w:footer="850" w:gutter="0"/>
          <w:pgNumType w:fmt="decimal"/>
          <w:cols w:space="0" w:num="1"/>
          <w:rtlGutter w:val="0"/>
          <w:docGrid w:linePitch="0" w:charSpace="0"/>
        </w:sectPr>
      </w:pPr>
    </w:p>
    <w:p w14:paraId="7FA61931">
      <w:pPr>
        <w:keepLines w:val="0"/>
        <w:pageBreakBefore w:val="0"/>
        <w:kinsoku/>
        <w:wordWrap/>
        <w:overflowPunct/>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0D5D3598">
      <w:pPr>
        <w:pStyle w:val="7"/>
        <w:keepLines w:val="0"/>
        <w:pageBreakBefore w:val="0"/>
        <w:kinsoku/>
        <w:wordWrap/>
        <w:overflowPunct/>
        <w:topLinePunct w:val="0"/>
        <w:bidi w:val="0"/>
        <w:spacing w:line="296" w:lineRule="auto"/>
        <w:rPr>
          <w:sz w:val="24"/>
          <w:szCs w:val="24"/>
        </w:rPr>
      </w:pPr>
    </w:p>
    <w:p w14:paraId="4F403C29">
      <w:pPr>
        <w:pStyle w:val="7"/>
        <w:keepLines w:val="0"/>
        <w:pageBreakBefore w:val="0"/>
        <w:kinsoku/>
        <w:wordWrap/>
        <w:overflowPunct/>
        <w:topLinePunct w:val="0"/>
        <w:bidi w:val="0"/>
        <w:spacing w:line="296" w:lineRule="auto"/>
        <w:rPr>
          <w:sz w:val="24"/>
          <w:szCs w:val="24"/>
        </w:rPr>
      </w:pPr>
    </w:p>
    <w:p w14:paraId="1A1F685E">
      <w:pPr>
        <w:keepLines w:val="0"/>
        <w:pageBreakBefore w:val="0"/>
        <w:kinsoku/>
        <w:wordWrap/>
        <w:overflowPunct/>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本单位郑重声明，根据《关于政府采购支持监狱企业发展有关问题的通知》（财</w:t>
      </w:r>
      <w:r>
        <w:rPr>
          <w:rFonts w:ascii="仿宋" w:hAnsi="仿宋" w:eastAsia="仿宋" w:cs="仿宋"/>
          <w:spacing w:val="10"/>
          <w:sz w:val="24"/>
          <w:szCs w:val="24"/>
        </w:rPr>
        <w:t>库〔2014〕68号</w:t>
      </w:r>
      <w:r>
        <w:rPr>
          <w:rFonts w:ascii="仿宋" w:hAnsi="仿宋" w:eastAsia="仿宋" w:cs="仿宋"/>
          <w:sz w:val="24"/>
          <w:szCs w:val="24"/>
        </w:rPr>
        <w:t xml:space="preserve"> </w:t>
      </w:r>
      <w:r>
        <w:rPr>
          <w:rFonts w:ascii="仿宋" w:hAnsi="仿宋" w:eastAsia="仿宋" w:cs="仿宋"/>
          <w:spacing w:val="17"/>
          <w:sz w:val="24"/>
          <w:szCs w:val="24"/>
        </w:rPr>
        <w:t>的规定，本单位为符合条件的监狱单位，且本单位参加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240B6DC7">
      <w:pPr>
        <w:pStyle w:val="7"/>
        <w:keepLines w:val="0"/>
        <w:pageBreakBefore w:val="0"/>
        <w:kinsoku/>
        <w:wordWrap/>
        <w:overflowPunct/>
        <w:topLinePunct w:val="0"/>
        <w:bidi w:val="0"/>
        <w:spacing w:line="308" w:lineRule="auto"/>
        <w:rPr>
          <w:sz w:val="24"/>
          <w:szCs w:val="24"/>
        </w:rPr>
      </w:pPr>
    </w:p>
    <w:p w14:paraId="6C5A6284">
      <w:pPr>
        <w:keepLines w:val="0"/>
        <w:pageBreakBefore w:val="0"/>
        <w:kinsoku/>
        <w:wordWrap/>
        <w:overflowPunct/>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本单位对上述声明的真实性负责。如有虚假，将依法承担相应责任。</w:t>
      </w:r>
    </w:p>
    <w:p w14:paraId="41599108">
      <w:pPr>
        <w:pStyle w:val="7"/>
        <w:keepLines w:val="0"/>
        <w:pageBreakBefore w:val="0"/>
        <w:kinsoku/>
        <w:wordWrap/>
        <w:overflowPunct/>
        <w:topLinePunct w:val="0"/>
        <w:bidi w:val="0"/>
        <w:spacing w:line="242" w:lineRule="auto"/>
        <w:rPr>
          <w:sz w:val="24"/>
          <w:szCs w:val="24"/>
        </w:rPr>
      </w:pPr>
    </w:p>
    <w:p w14:paraId="16C7A7DE">
      <w:pPr>
        <w:pStyle w:val="7"/>
        <w:keepLines w:val="0"/>
        <w:pageBreakBefore w:val="0"/>
        <w:kinsoku/>
        <w:wordWrap/>
        <w:overflowPunct/>
        <w:topLinePunct w:val="0"/>
        <w:bidi w:val="0"/>
        <w:spacing w:line="243" w:lineRule="auto"/>
        <w:rPr>
          <w:sz w:val="24"/>
          <w:szCs w:val="24"/>
        </w:rPr>
      </w:pPr>
    </w:p>
    <w:p w14:paraId="5FCA92A4">
      <w:pPr>
        <w:pStyle w:val="7"/>
        <w:keepLines w:val="0"/>
        <w:pageBreakBefore w:val="0"/>
        <w:kinsoku/>
        <w:wordWrap/>
        <w:overflowPunct/>
        <w:topLinePunct w:val="0"/>
        <w:bidi w:val="0"/>
        <w:spacing w:line="243" w:lineRule="auto"/>
        <w:rPr>
          <w:sz w:val="24"/>
          <w:szCs w:val="24"/>
        </w:rPr>
      </w:pPr>
    </w:p>
    <w:p w14:paraId="62C37E41">
      <w:pPr>
        <w:pStyle w:val="7"/>
        <w:keepLines w:val="0"/>
        <w:pageBreakBefore w:val="0"/>
        <w:kinsoku/>
        <w:wordWrap/>
        <w:overflowPunct/>
        <w:topLinePunct w:val="0"/>
        <w:bidi w:val="0"/>
        <w:spacing w:line="243" w:lineRule="auto"/>
        <w:rPr>
          <w:sz w:val="24"/>
          <w:szCs w:val="24"/>
        </w:rPr>
      </w:pPr>
    </w:p>
    <w:p w14:paraId="6D40A750">
      <w:pPr>
        <w:pStyle w:val="7"/>
        <w:keepLines w:val="0"/>
        <w:pageBreakBefore w:val="0"/>
        <w:kinsoku/>
        <w:wordWrap/>
        <w:overflowPunct/>
        <w:topLinePunct w:val="0"/>
        <w:bidi w:val="0"/>
        <w:spacing w:line="243" w:lineRule="auto"/>
        <w:rPr>
          <w:sz w:val="24"/>
          <w:szCs w:val="24"/>
        </w:rPr>
      </w:pPr>
    </w:p>
    <w:p w14:paraId="0CA7F4E0">
      <w:pPr>
        <w:pStyle w:val="7"/>
        <w:keepLines w:val="0"/>
        <w:pageBreakBefore w:val="0"/>
        <w:kinsoku/>
        <w:wordWrap/>
        <w:overflowPunct/>
        <w:topLinePunct w:val="0"/>
        <w:bidi w:val="0"/>
        <w:spacing w:line="243" w:lineRule="auto"/>
        <w:rPr>
          <w:sz w:val="24"/>
          <w:szCs w:val="24"/>
        </w:rPr>
      </w:pPr>
    </w:p>
    <w:p w14:paraId="02690060">
      <w:pPr>
        <w:pStyle w:val="7"/>
        <w:keepLines w:val="0"/>
        <w:pageBreakBefore w:val="0"/>
        <w:kinsoku/>
        <w:wordWrap/>
        <w:overflowPunct/>
        <w:topLinePunct w:val="0"/>
        <w:bidi w:val="0"/>
        <w:spacing w:line="243" w:lineRule="auto"/>
        <w:rPr>
          <w:sz w:val="24"/>
          <w:szCs w:val="24"/>
        </w:rPr>
      </w:pPr>
    </w:p>
    <w:p w14:paraId="1D347FC8">
      <w:pPr>
        <w:pStyle w:val="7"/>
        <w:keepLines w:val="0"/>
        <w:pageBreakBefore w:val="0"/>
        <w:kinsoku/>
        <w:wordWrap/>
        <w:overflowPunct/>
        <w:topLinePunct w:val="0"/>
        <w:bidi w:val="0"/>
        <w:spacing w:line="243" w:lineRule="auto"/>
        <w:rPr>
          <w:sz w:val="24"/>
          <w:szCs w:val="24"/>
        </w:rPr>
      </w:pPr>
    </w:p>
    <w:p w14:paraId="5301B1C8">
      <w:pPr>
        <w:keepLines w:val="0"/>
        <w:pageBreakBefore w:val="0"/>
        <w:kinsoku/>
        <w:wordWrap/>
        <w:overflowPunct/>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投标人</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7B1FE41E">
      <w:pPr>
        <w:keepLines w:val="0"/>
        <w:pageBreakBefore w:val="0"/>
        <w:kinsoku/>
        <w:wordWrap/>
        <w:overflowPunct/>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67982CA4">
      <w:pPr>
        <w:keepLines w:val="0"/>
        <w:pageBreakBefore w:val="0"/>
        <w:tabs>
          <w:tab w:val="left" w:pos="4495"/>
        </w:tabs>
        <w:kinsoku/>
        <w:wordWrap/>
        <w:overflowPunct/>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12C90171">
      <w:pPr>
        <w:pStyle w:val="7"/>
        <w:keepLines w:val="0"/>
        <w:pageBreakBefore w:val="0"/>
        <w:kinsoku/>
        <w:wordWrap/>
        <w:overflowPunct/>
        <w:topLinePunct w:val="0"/>
        <w:bidi w:val="0"/>
        <w:spacing w:line="255" w:lineRule="auto"/>
        <w:rPr>
          <w:sz w:val="24"/>
          <w:szCs w:val="24"/>
        </w:rPr>
      </w:pPr>
    </w:p>
    <w:p w14:paraId="1D789B8F">
      <w:pPr>
        <w:pStyle w:val="7"/>
        <w:keepLines w:val="0"/>
        <w:pageBreakBefore w:val="0"/>
        <w:kinsoku/>
        <w:wordWrap/>
        <w:overflowPunct/>
        <w:topLinePunct w:val="0"/>
        <w:bidi w:val="0"/>
        <w:spacing w:line="255" w:lineRule="auto"/>
        <w:rPr>
          <w:sz w:val="24"/>
          <w:szCs w:val="24"/>
        </w:rPr>
      </w:pPr>
    </w:p>
    <w:p w14:paraId="431268A0">
      <w:pPr>
        <w:pStyle w:val="7"/>
        <w:keepLines w:val="0"/>
        <w:pageBreakBefore w:val="0"/>
        <w:kinsoku/>
        <w:wordWrap/>
        <w:overflowPunct/>
        <w:topLinePunct w:val="0"/>
        <w:bidi w:val="0"/>
        <w:spacing w:line="255" w:lineRule="auto"/>
        <w:rPr>
          <w:sz w:val="24"/>
          <w:szCs w:val="24"/>
        </w:rPr>
      </w:pPr>
    </w:p>
    <w:p w14:paraId="33C8B412">
      <w:pPr>
        <w:pStyle w:val="7"/>
        <w:keepLines w:val="0"/>
        <w:pageBreakBefore w:val="0"/>
        <w:kinsoku/>
        <w:wordWrap/>
        <w:overflowPunct/>
        <w:topLinePunct w:val="0"/>
        <w:bidi w:val="0"/>
        <w:spacing w:line="256" w:lineRule="auto"/>
        <w:rPr>
          <w:sz w:val="24"/>
          <w:szCs w:val="24"/>
        </w:rPr>
      </w:pPr>
    </w:p>
    <w:p w14:paraId="4F02D9B1">
      <w:pPr>
        <w:pStyle w:val="7"/>
        <w:keepLines w:val="0"/>
        <w:pageBreakBefore w:val="0"/>
        <w:kinsoku/>
        <w:wordWrap/>
        <w:overflowPunct/>
        <w:topLinePunct w:val="0"/>
        <w:bidi w:val="0"/>
        <w:spacing w:line="256" w:lineRule="auto"/>
        <w:rPr>
          <w:sz w:val="24"/>
          <w:szCs w:val="24"/>
        </w:rPr>
      </w:pPr>
    </w:p>
    <w:p w14:paraId="38BC2AC7">
      <w:pPr>
        <w:pStyle w:val="7"/>
        <w:keepLines w:val="0"/>
        <w:pageBreakBefore w:val="0"/>
        <w:kinsoku/>
        <w:wordWrap/>
        <w:overflowPunct/>
        <w:topLinePunct w:val="0"/>
        <w:bidi w:val="0"/>
        <w:spacing w:line="256" w:lineRule="auto"/>
        <w:rPr>
          <w:sz w:val="24"/>
          <w:szCs w:val="24"/>
        </w:rPr>
      </w:pPr>
    </w:p>
    <w:p w14:paraId="687F3C5C">
      <w:pPr>
        <w:keepLines w:val="0"/>
        <w:pageBreakBefore w:val="0"/>
        <w:kinsoku/>
        <w:wordWrap/>
        <w:overflowPunct/>
        <w:topLinePunct w:val="0"/>
        <w:bidi w:val="0"/>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不满足此要求则无须提供，一旦提供将视为满足其要求，如有虚假，将依法承担相应责任。</w:t>
      </w:r>
    </w:p>
    <w:p w14:paraId="3BBFF901">
      <w:pPr>
        <w:keepLines w:val="0"/>
        <w:pageBreakBefore w:val="0"/>
        <w:kinsoku/>
        <w:wordWrap/>
        <w:overflowPunct/>
        <w:topLinePunct w:val="0"/>
        <w:bidi w:val="0"/>
        <w:spacing w:before="58" w:line="233" w:lineRule="auto"/>
        <w:ind w:left="6" w:firstLine="362"/>
        <w:jc w:val="both"/>
        <w:rPr>
          <w:rFonts w:hint="eastAsia" w:ascii="仿宋" w:hAnsi="仿宋" w:eastAsia="仿宋" w:cs="仿宋"/>
          <w:spacing w:val="-1"/>
          <w:sz w:val="24"/>
          <w:szCs w:val="24"/>
        </w:rPr>
      </w:pPr>
    </w:p>
    <w:p w14:paraId="58954978">
      <w:pPr>
        <w:pStyle w:val="7"/>
        <w:keepLines w:val="0"/>
        <w:pageBreakBefore w:val="0"/>
        <w:kinsoku/>
        <w:wordWrap/>
        <w:overflowPunct/>
        <w:topLinePunct w:val="0"/>
        <w:bidi w:val="0"/>
        <w:spacing w:line="242" w:lineRule="auto"/>
      </w:pPr>
    </w:p>
    <w:p w14:paraId="44EB58E6">
      <w:pPr>
        <w:pStyle w:val="7"/>
        <w:keepLines w:val="0"/>
        <w:pageBreakBefore w:val="0"/>
        <w:kinsoku/>
        <w:wordWrap/>
        <w:overflowPunct/>
        <w:topLinePunct w:val="0"/>
        <w:bidi w:val="0"/>
        <w:spacing w:line="243" w:lineRule="auto"/>
      </w:pPr>
    </w:p>
    <w:p w14:paraId="3AA3AEF2">
      <w:pPr>
        <w:pStyle w:val="7"/>
        <w:keepLines w:val="0"/>
        <w:pageBreakBefore w:val="0"/>
        <w:kinsoku/>
        <w:wordWrap/>
        <w:overflowPunct/>
        <w:topLinePunct w:val="0"/>
        <w:bidi w:val="0"/>
        <w:spacing w:line="243" w:lineRule="auto"/>
      </w:pPr>
    </w:p>
    <w:p w14:paraId="7121886A">
      <w:pPr>
        <w:pStyle w:val="7"/>
        <w:keepLines w:val="0"/>
        <w:pageBreakBefore w:val="0"/>
        <w:kinsoku/>
        <w:wordWrap/>
        <w:overflowPunct/>
        <w:topLinePunct w:val="0"/>
        <w:bidi w:val="0"/>
        <w:spacing w:line="243" w:lineRule="auto"/>
      </w:pPr>
    </w:p>
    <w:p w14:paraId="37E3C387">
      <w:pPr>
        <w:pStyle w:val="7"/>
        <w:keepLines w:val="0"/>
        <w:pageBreakBefore w:val="0"/>
        <w:kinsoku/>
        <w:wordWrap/>
        <w:overflowPunct/>
        <w:topLinePunct w:val="0"/>
        <w:bidi w:val="0"/>
        <w:spacing w:line="243" w:lineRule="auto"/>
      </w:pPr>
    </w:p>
    <w:p w14:paraId="3AEBE141">
      <w:pPr>
        <w:pStyle w:val="7"/>
        <w:keepLines w:val="0"/>
        <w:pageBreakBefore w:val="0"/>
        <w:kinsoku/>
        <w:wordWrap/>
        <w:overflowPunct/>
        <w:topLinePunct w:val="0"/>
        <w:bidi w:val="0"/>
        <w:spacing w:line="243" w:lineRule="auto"/>
      </w:pPr>
    </w:p>
    <w:p w14:paraId="761B82D6">
      <w:pPr>
        <w:pStyle w:val="7"/>
        <w:keepLines w:val="0"/>
        <w:pageBreakBefore w:val="0"/>
        <w:kinsoku/>
        <w:wordWrap/>
        <w:overflowPunct/>
        <w:topLinePunct w:val="0"/>
        <w:bidi w:val="0"/>
        <w:spacing w:line="243" w:lineRule="auto"/>
      </w:pPr>
    </w:p>
    <w:p w14:paraId="253D1334">
      <w:pPr>
        <w:pStyle w:val="7"/>
        <w:keepLines w:val="0"/>
        <w:pageBreakBefore w:val="0"/>
        <w:kinsoku/>
        <w:wordWrap/>
        <w:overflowPunct/>
        <w:topLinePunct w:val="0"/>
        <w:bidi w:val="0"/>
        <w:spacing w:line="243" w:lineRule="auto"/>
      </w:pPr>
    </w:p>
    <w:p w14:paraId="46A90C1A">
      <w:pPr>
        <w:pStyle w:val="7"/>
        <w:keepLines w:val="0"/>
        <w:pageBreakBefore w:val="0"/>
        <w:kinsoku/>
        <w:wordWrap/>
        <w:overflowPunct/>
        <w:topLinePunct w:val="0"/>
        <w:bidi w:val="0"/>
        <w:spacing w:line="243" w:lineRule="auto"/>
      </w:pPr>
    </w:p>
    <w:p w14:paraId="7D8B1F9D">
      <w:pPr>
        <w:pStyle w:val="7"/>
        <w:keepLines w:val="0"/>
        <w:pageBreakBefore w:val="0"/>
        <w:kinsoku/>
        <w:wordWrap/>
        <w:overflowPunct/>
        <w:topLinePunct w:val="0"/>
        <w:bidi w:val="0"/>
        <w:spacing w:line="243" w:lineRule="auto"/>
      </w:pPr>
    </w:p>
    <w:p w14:paraId="666E8EC8">
      <w:pPr>
        <w:pStyle w:val="7"/>
        <w:keepLines w:val="0"/>
        <w:pageBreakBefore w:val="0"/>
        <w:kinsoku/>
        <w:wordWrap/>
        <w:overflowPunct/>
        <w:topLinePunct w:val="0"/>
        <w:bidi w:val="0"/>
        <w:spacing w:line="243" w:lineRule="auto"/>
      </w:pPr>
    </w:p>
    <w:p w14:paraId="5873D0BB">
      <w:pPr>
        <w:pStyle w:val="7"/>
        <w:keepLines w:val="0"/>
        <w:pageBreakBefore w:val="0"/>
        <w:kinsoku/>
        <w:wordWrap/>
        <w:overflowPunct/>
        <w:topLinePunct w:val="0"/>
        <w:bidi w:val="0"/>
        <w:spacing w:line="243" w:lineRule="auto"/>
      </w:pPr>
    </w:p>
    <w:p w14:paraId="006B2FB4">
      <w:pPr>
        <w:pStyle w:val="7"/>
        <w:keepLines w:val="0"/>
        <w:pageBreakBefore w:val="0"/>
        <w:kinsoku/>
        <w:wordWrap/>
        <w:overflowPunct/>
        <w:topLinePunct w:val="0"/>
        <w:bidi w:val="0"/>
        <w:spacing w:line="243" w:lineRule="auto"/>
      </w:pPr>
    </w:p>
    <w:p w14:paraId="050242C6">
      <w:pPr>
        <w:keepLines w:val="0"/>
        <w:pageBreakBefore w:val="0"/>
        <w:kinsoku/>
        <w:wordWrap/>
        <w:overflowPunct/>
        <w:topLinePunct w:val="0"/>
        <w:bidi w:val="0"/>
        <w:spacing w:line="43" w:lineRule="exact"/>
      </w:pPr>
    </w:p>
    <w:p w14:paraId="20C07CB7">
      <w:pPr>
        <w:keepLines w:val="0"/>
        <w:pageBreakBefore w:val="0"/>
        <w:numPr>
          <w:ilvl w:val="0"/>
          <w:numId w:val="16"/>
        </w:numPr>
        <w:kinsoku/>
        <w:wordWrap/>
        <w:overflowPunct/>
        <w:topLinePunct w:val="0"/>
        <w:bidi w:val="0"/>
        <w:spacing w:before="101" w:line="228" w:lineRule="auto"/>
        <w:ind w:left="2888"/>
        <w:rPr>
          <w:rFonts w:hint="eastAsia" w:ascii="仿宋" w:hAnsi="仿宋" w:eastAsia="仿宋" w:cs="仿宋"/>
          <w:b/>
          <w:bCs/>
          <w:spacing w:val="3"/>
          <w:sz w:val="31"/>
          <w:szCs w:val="31"/>
        </w:rPr>
      </w:pPr>
      <w:r>
        <w:rPr>
          <w:rFonts w:hint="eastAsia" w:ascii="仿宋" w:hAnsi="仿宋" w:eastAsia="仿宋" w:cs="仿宋"/>
          <w:b/>
          <w:bCs/>
          <w:spacing w:val="3"/>
          <w:sz w:val="31"/>
          <w:szCs w:val="31"/>
          <w:lang w:eastAsia="zh-CN"/>
        </w:rPr>
        <w:t>项</w:t>
      </w:r>
      <w:r>
        <w:rPr>
          <w:rFonts w:hint="eastAsia" w:ascii="仿宋" w:hAnsi="仿宋" w:eastAsia="仿宋" w:cs="仿宋"/>
          <w:b/>
          <w:bCs/>
          <w:spacing w:val="3"/>
          <w:sz w:val="31"/>
          <w:szCs w:val="31"/>
        </w:rPr>
        <w:t>目招标代理协议书</w:t>
      </w:r>
    </w:p>
    <w:p w14:paraId="25662EEA">
      <w:pPr>
        <w:keepLines w:val="0"/>
        <w:pageBreakBefore w:val="0"/>
        <w:numPr>
          <w:ilvl w:val="0"/>
          <w:numId w:val="0"/>
        </w:numPr>
        <w:kinsoku/>
        <w:wordWrap/>
        <w:overflowPunct/>
        <w:topLinePunct w:val="0"/>
        <w:autoSpaceDE w:val="0"/>
        <w:autoSpaceDN w:val="0"/>
        <w:bidi w:val="0"/>
        <w:adjustRightInd w:val="0"/>
        <w:snapToGrid w:val="0"/>
        <w:spacing w:before="101" w:line="228" w:lineRule="auto"/>
        <w:jc w:val="left"/>
        <w:textAlignment w:val="baseline"/>
        <w:rPr>
          <w:rFonts w:hint="eastAsia" w:ascii="仿宋" w:hAnsi="仿宋" w:eastAsia="仿宋" w:cs="仿宋"/>
          <w:b/>
          <w:bCs/>
          <w:spacing w:val="3"/>
          <w:sz w:val="31"/>
          <w:szCs w:val="31"/>
        </w:rPr>
      </w:pPr>
    </w:p>
    <w:p w14:paraId="5544001A">
      <w:pPr>
        <w:keepLines w:val="0"/>
        <w:pageBreakBefore w:val="0"/>
        <w:kinsoku/>
        <w:wordWrap/>
        <w:overflowPunct/>
        <w:topLinePunct w:val="0"/>
        <w:bidi w:val="0"/>
        <w:jc w:val="center"/>
        <w:rPr>
          <w:rFonts w:hint="eastAsia" w:ascii="宋体" w:hAnsi="宋体" w:cs="宋体"/>
          <w:b/>
          <w:bCs/>
          <w:color w:val="auto"/>
          <w:sz w:val="40"/>
          <w:szCs w:val="40"/>
        </w:rPr>
      </w:pPr>
      <w:r>
        <w:rPr>
          <w:rFonts w:hint="eastAsia" w:ascii="宋体" w:hAnsi="宋体" w:cs="宋体"/>
          <w:b/>
          <w:bCs/>
          <w:color w:val="auto"/>
          <w:sz w:val="40"/>
          <w:szCs w:val="40"/>
          <w:lang w:eastAsia="zh-CN"/>
        </w:rPr>
        <w:t>项</w:t>
      </w:r>
      <w:r>
        <w:rPr>
          <w:rFonts w:hint="eastAsia" w:ascii="宋体" w:hAnsi="宋体" w:cs="宋体"/>
          <w:b/>
          <w:bCs/>
          <w:color w:val="auto"/>
          <w:sz w:val="40"/>
          <w:szCs w:val="40"/>
        </w:rPr>
        <w:t>目招标代理协议书</w:t>
      </w:r>
    </w:p>
    <w:p w14:paraId="08375511">
      <w:pPr>
        <w:pStyle w:val="6"/>
        <w:keepLines w:val="0"/>
        <w:pageBreakBefore w:val="0"/>
        <w:kinsoku/>
        <w:wordWrap/>
        <w:overflowPunct/>
        <w:topLinePunct w:val="0"/>
        <w:bidi w:val="0"/>
        <w:rPr>
          <w:rFonts w:hint="eastAsia"/>
        </w:rPr>
      </w:pPr>
    </w:p>
    <w:p w14:paraId="2542A7BF">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甲 方（委托单位）：</w:t>
      </w:r>
      <w:r>
        <w:rPr>
          <w:rFonts w:hint="eastAsia" w:ascii="宋体" w:hAnsi="宋体" w:eastAsia="宋体" w:cs="宋体"/>
          <w:bCs/>
          <w:color w:val="auto"/>
          <w:sz w:val="24"/>
          <w:szCs w:val="24"/>
          <w:u w:val="single"/>
          <w:lang w:val="en-US" w:eastAsia="zh-CN"/>
        </w:rPr>
        <w:t xml:space="preserve"> 阿瓦提县人民医院                                       </w:t>
      </w:r>
    </w:p>
    <w:p w14:paraId="5EBE06B6">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rPr>
        <w:t>乙 方（招标机构）：</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阿克苏疆山项目管理有限公司</w:t>
      </w:r>
      <w:r>
        <w:rPr>
          <w:rFonts w:hint="eastAsia" w:ascii="宋体" w:hAnsi="宋体" w:eastAsia="宋体" w:cs="宋体"/>
          <w:bCs/>
          <w:color w:val="auto"/>
          <w:sz w:val="24"/>
          <w:szCs w:val="24"/>
          <w:u w:val="single"/>
          <w:lang w:val="en-US" w:eastAsia="zh-CN"/>
        </w:rPr>
        <w:t xml:space="preserve">                          </w:t>
      </w:r>
    </w:p>
    <w:p w14:paraId="2EF18C6E">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rPr>
        <w:t>委   托  时   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202</w:t>
      </w:r>
      <w:r>
        <w:rPr>
          <w:rFonts w:hint="eastAsia" w:ascii="宋体" w:hAnsi="宋体" w:cs="宋体"/>
          <w:bCs/>
          <w:color w:val="auto"/>
          <w:sz w:val="24"/>
          <w:szCs w:val="24"/>
          <w:u w:val="single"/>
          <w:lang w:val="en-US" w:eastAsia="zh-CN"/>
        </w:rPr>
        <w:t>5</w:t>
      </w:r>
      <w:r>
        <w:rPr>
          <w:rFonts w:hint="eastAsia" w:ascii="宋体" w:hAnsi="宋体" w:eastAsia="宋体" w:cs="宋体"/>
          <w:bCs/>
          <w:color w:val="auto"/>
          <w:sz w:val="24"/>
          <w:szCs w:val="24"/>
          <w:u w:val="single"/>
          <w:lang w:val="en-US" w:eastAsia="zh-CN"/>
        </w:rPr>
        <w:t xml:space="preserve">年01月06日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p>
    <w:p w14:paraId="07DE080A">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委   托  </w:t>
      </w:r>
      <w:r>
        <w:rPr>
          <w:rFonts w:hint="eastAsia" w:ascii="宋体" w:hAnsi="宋体" w:eastAsia="宋体" w:cs="宋体"/>
          <w:bCs/>
          <w:color w:val="auto"/>
          <w:sz w:val="24"/>
          <w:szCs w:val="24"/>
          <w:lang w:eastAsia="zh-CN"/>
        </w:rPr>
        <w:t>事</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项</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lang w:val="en-US" w:eastAsia="zh-CN"/>
        </w:rPr>
        <w:t xml:space="preserve">新疆阿瓦提县人民医院 </w:t>
      </w:r>
      <w:r>
        <w:rPr>
          <w:rFonts w:hint="eastAsia" w:ascii="宋体" w:hAnsi="宋体" w:eastAsia="宋体" w:cs="宋体"/>
          <w:bCs/>
          <w:color w:val="auto"/>
          <w:sz w:val="24"/>
          <w:szCs w:val="24"/>
          <w:u w:val="none"/>
          <w:lang w:val="en-US" w:eastAsia="zh-CN"/>
        </w:rPr>
        <w:t>（甲方）</w:t>
      </w:r>
      <w:r>
        <w:rPr>
          <w:rFonts w:hint="eastAsia" w:ascii="宋体" w:hAnsi="宋体" w:eastAsia="宋体" w:cs="宋体"/>
          <w:color w:val="auto"/>
          <w:sz w:val="24"/>
          <w:szCs w:val="24"/>
          <w:u w:val="none"/>
          <w:lang w:val="en-US" w:eastAsia="zh-CN"/>
        </w:rPr>
        <w:t xml:space="preserve">对 </w:t>
      </w:r>
      <w:r>
        <w:rPr>
          <w:rFonts w:hint="eastAsia" w:ascii="宋体" w:hAnsi="宋体" w:cs="宋体"/>
          <w:bCs/>
          <w:color w:val="auto"/>
          <w:sz w:val="24"/>
          <w:szCs w:val="24"/>
          <w:u w:val="single"/>
          <w:lang w:val="en-US" w:eastAsia="zh-CN"/>
        </w:rPr>
        <w:t>“2025年阿瓦提县人民医院门诊改造及设备项目”检验科和肾病血液科采购一批医疗设备</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（项目名称）</w:t>
      </w:r>
      <w:r>
        <w:rPr>
          <w:rFonts w:hint="eastAsia" w:ascii="宋体" w:hAnsi="宋体" w:eastAsia="宋体" w:cs="宋体"/>
          <w:color w:val="auto"/>
          <w:sz w:val="24"/>
          <w:szCs w:val="24"/>
          <w:u w:val="none"/>
        </w:rPr>
        <w:t>按</w:t>
      </w:r>
      <w:r>
        <w:rPr>
          <w:rFonts w:hint="eastAsia" w:ascii="宋体" w:hAnsi="宋体" w:eastAsia="宋体" w:cs="宋体"/>
          <w:color w:val="auto"/>
          <w:sz w:val="24"/>
          <w:szCs w:val="24"/>
          <w:u w:val="none"/>
          <w:lang w:eastAsia="zh-CN"/>
        </w:rPr>
        <w:t>照</w:t>
      </w:r>
      <w:r>
        <w:rPr>
          <w:rFonts w:hint="eastAsia" w:ascii="宋体" w:hAnsi="宋体" w:eastAsia="宋体" w:cs="宋体"/>
          <w:bCs/>
          <w:color w:val="auto"/>
          <w:sz w:val="24"/>
          <w:szCs w:val="24"/>
          <w:u w:val="single"/>
          <w:lang w:val="en-US" w:eastAsia="zh-CN"/>
        </w:rPr>
        <w:t xml:space="preserve"> 公开招标  </w:t>
      </w:r>
      <w:r>
        <w:rPr>
          <w:rFonts w:hint="eastAsia" w:ascii="宋体" w:hAnsi="宋体" w:eastAsia="宋体" w:cs="宋体"/>
          <w:color w:val="auto"/>
          <w:sz w:val="24"/>
          <w:szCs w:val="24"/>
          <w:lang w:val="en-US" w:eastAsia="zh-CN"/>
        </w:rPr>
        <w:t>方式进行采购</w:t>
      </w:r>
      <w:r>
        <w:rPr>
          <w:rFonts w:hint="eastAsia" w:ascii="宋体" w:hAnsi="宋体" w:eastAsia="宋体" w:cs="宋体"/>
          <w:color w:val="auto"/>
          <w:sz w:val="24"/>
          <w:szCs w:val="24"/>
        </w:rPr>
        <w:t>，由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阿克苏疆山项目管理有限公司</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代理</w:t>
      </w:r>
      <w:r>
        <w:rPr>
          <w:rFonts w:hint="eastAsia" w:ascii="宋体" w:hAnsi="宋体" w:eastAsia="宋体" w:cs="宋体"/>
          <w:color w:val="auto"/>
          <w:sz w:val="24"/>
          <w:szCs w:val="24"/>
        </w:rPr>
        <w:t>方。甲乙双方经协商一致，达成如下协议：</w:t>
      </w:r>
    </w:p>
    <w:p w14:paraId="0B66ECC4">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一、总则</w:t>
      </w:r>
    </w:p>
    <w:p w14:paraId="7417D37D">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双方根据国家法律规定建立委托代理关系，双方严格遵守和执行国家各项方针政策和有关法律、法规和条例规定。</w:t>
      </w:r>
    </w:p>
    <w:p w14:paraId="715DA303">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双方严格按照《中华人民共和国政府采购法》及其实施条例的规定实施本次招标。</w:t>
      </w:r>
    </w:p>
    <w:p w14:paraId="51D95EB8">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 双方本着密切配合、分工协作、保证质量、按期完成的原则，共同做好本项目的招标工作。</w:t>
      </w:r>
    </w:p>
    <w:p w14:paraId="280F0B5C">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二、委托范围</w:t>
      </w:r>
    </w:p>
    <w:p w14:paraId="34778A91">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甲方委托乙方代理招标的具体内容</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cs="宋体"/>
          <w:bCs/>
          <w:color w:val="auto"/>
          <w:sz w:val="24"/>
          <w:szCs w:val="24"/>
          <w:u w:val="single"/>
          <w:lang w:val="en-US" w:eastAsia="zh-CN"/>
        </w:rPr>
        <w:t>阿瓦提县人民医院采购一批血液透析设备（双泵）、血液透析设备（单泵）等设备</w:t>
      </w:r>
      <w:r>
        <w:rPr>
          <w:rFonts w:hint="eastAsia" w:ascii="宋体" w:hAnsi="宋体" w:eastAsia="宋体" w:cs="宋体"/>
          <w:color w:val="auto"/>
          <w:sz w:val="24"/>
          <w:szCs w:val="24"/>
          <w:u w:val="single"/>
          <w:lang w:val="en-US" w:eastAsia="zh-CN"/>
        </w:rPr>
        <w:t xml:space="preserve">（详见招标文件）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3418056B">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项目投资额：</w:t>
      </w:r>
      <w:r>
        <w:rPr>
          <w:rFonts w:hint="eastAsia" w:ascii="宋体" w:hAnsi="宋体" w:eastAsia="宋体" w:cs="宋体"/>
          <w:b w:val="0"/>
          <w:bCs w:val="0"/>
          <w:color w:val="auto"/>
          <w:sz w:val="24"/>
          <w:szCs w:val="24"/>
          <w:u w:val="single"/>
          <w:lang w:val="en-US" w:eastAsia="zh-CN"/>
        </w:rPr>
        <w:t>3725000.00</w:t>
      </w:r>
      <w:r>
        <w:rPr>
          <w:rFonts w:hint="eastAsia" w:ascii="宋体" w:hAnsi="宋体" w:eastAsia="宋体" w:cs="宋体"/>
          <w:bCs/>
          <w:color w:val="auto"/>
          <w:sz w:val="24"/>
          <w:szCs w:val="24"/>
          <w:u w:val="single"/>
          <w:lang w:val="en-US" w:eastAsia="zh-CN"/>
        </w:rPr>
        <w:t>元</w:t>
      </w:r>
    </w:p>
    <w:p w14:paraId="5923BAC1">
      <w:pPr>
        <w:pStyle w:val="15"/>
        <w:keepLines w:val="0"/>
        <w:pageBreakBefore w:val="0"/>
        <w:numPr>
          <w:ilvl w:val="0"/>
          <w:numId w:val="0"/>
        </w:numPr>
        <w:kinsoku/>
        <w:wordWrap/>
        <w:overflowPunct/>
        <w:topLinePunct w:val="0"/>
        <w:bidi w:val="0"/>
        <w:jc w:val="left"/>
        <w:rPr>
          <w:rFonts w:hint="eastAsia" w:ascii="宋体" w:hAnsi="宋体" w:eastAsia="宋体" w:cs="宋体"/>
          <w:b w:val="0"/>
          <w:bCs w:val="0"/>
          <w:color w:val="000000"/>
          <w:sz w:val="24"/>
          <w:szCs w:val="24"/>
          <w:shd w:val="clear" w:color="auto" w:fill="auto"/>
          <w:lang w:val="en-US" w:eastAsia="zh-CN"/>
        </w:rPr>
      </w:pPr>
      <w:r>
        <w:rPr>
          <w:rFonts w:hint="eastAsia" w:ascii="宋体" w:hAnsi="宋体" w:eastAsia="宋体" w:cs="宋体"/>
          <w:b/>
          <w:bCs/>
          <w:color w:val="auto"/>
          <w:sz w:val="24"/>
          <w:szCs w:val="24"/>
          <w:lang w:val="en-US" w:eastAsia="zh-CN"/>
        </w:rPr>
        <w:t>三、招标代理服务费</w:t>
      </w:r>
    </w:p>
    <w:p w14:paraId="2FB21304">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招标代理服务费的支付，采用以下第</w:t>
      </w:r>
      <w:r>
        <w:rPr>
          <w:rFonts w:hint="eastAsia" w:ascii="宋体" w:hAnsi="宋体" w:eastAsia="宋体" w:cs="宋体"/>
          <w:b/>
          <w:bCs/>
          <w:color w:val="auto"/>
          <w:sz w:val="24"/>
          <w:szCs w:val="24"/>
          <w:u w:val="single"/>
          <w:lang w:val="en-US" w:eastAsia="zh-CN"/>
        </w:rPr>
        <w:t xml:space="preserve"> （2） </w:t>
      </w:r>
      <w:r>
        <w:rPr>
          <w:rFonts w:hint="eastAsia" w:ascii="宋体" w:hAnsi="宋体" w:eastAsia="宋体" w:cs="宋体"/>
          <w:b/>
          <w:bCs/>
          <w:color w:val="auto"/>
          <w:sz w:val="24"/>
          <w:szCs w:val="24"/>
          <w:lang w:val="en-US" w:eastAsia="zh-CN"/>
        </w:rPr>
        <w:t>方式。</w:t>
      </w:r>
    </w:p>
    <w:p w14:paraId="36596E9B">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（1）由委托人支付。</w:t>
      </w:r>
    </w:p>
    <w:p w14:paraId="41A17569">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约定，由</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支付。</w:t>
      </w:r>
      <w:r>
        <w:rPr>
          <w:rFonts w:hint="eastAsia" w:ascii="宋体" w:hAnsi="宋体" w:eastAsia="宋体" w:cs="宋体"/>
          <w:color w:val="auto"/>
          <w:sz w:val="24"/>
          <w:szCs w:val="24"/>
          <w:u w:val="single"/>
          <w:lang w:val="en-US" w:eastAsia="zh-CN"/>
        </w:rPr>
        <w:t xml:space="preserve"> 招标代理服务费参照《招标代理服务收费管理暂行办法》（计价格〔2002〕1980号）规定计取（按差额定率累进法计算），由中标（成交）人向采购代理机构交纳代理服务费。                   </w:t>
      </w:r>
    </w:p>
    <w:p w14:paraId="1A406ED8">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、双方责任</w:t>
      </w:r>
    </w:p>
    <w:p w14:paraId="627F0669">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 甲方的责任</w:t>
      </w:r>
    </w:p>
    <w:p w14:paraId="49AC5A97">
      <w:pPr>
        <w:keepNext w:val="0"/>
        <w:keepLines w:val="0"/>
        <w:pageBreakBefore w:val="0"/>
        <w:kinsoku/>
        <w:wordWrap/>
        <w:overflowPunct/>
        <w:topLinePunct w:val="0"/>
        <w:autoSpaceDE/>
        <w:autoSpaceDN/>
        <w:bidi w:val="0"/>
        <w:adjustRightInd/>
        <w:snapToGrid/>
        <w:spacing w:line="5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甲方法人代表委派一名负责人，作为甲方项目的负责人，全权代表甲方与乙方联席和处理招标过程中的有关事宜。在签署本协议时，甲方向乙方递交法人代表授权书。</w:t>
      </w:r>
    </w:p>
    <w:p w14:paraId="7A17D164">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甲方负责向有关部门办理项目审批手续。甲方负责向乙方提供委托招标项目的背景情况、项目批准文件（复印件）和项目招标所必须的技术资料，如委托设备招标时，必须有设备的详细清单、技术参数、安装调试及使用要求、合同特殊条款等资料，并与乙方一起就招标所需进行调研。</w:t>
      </w:r>
    </w:p>
    <w:p w14:paraId="2181AA5B">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 甲方负责向乙方提供招标项目所需资金落实情况的证明。</w:t>
      </w:r>
    </w:p>
    <w:p w14:paraId="61517190">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 甲乙双方共同负责招标文件的编制工作。乙方对编制招标文件负总责，但在编制过程中甲乙双方必须紧密分工合作。对招标文件中的商务部分，以乙方为主，甲方协助；技术部分，以甲方为主，乙方协助。如甲方确无编制招标文件技术标书的条件，可由乙方编制，但甲方必须向乙方按时提供技术标书所需的完整的技术资料和要求。</w:t>
      </w:r>
    </w:p>
    <w:p w14:paraId="58A6A19C">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甲方协助乙方进行有关招标文件的澄清、答疑和修改工作。</w:t>
      </w:r>
    </w:p>
    <w:p w14:paraId="51D994F7">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编制好的招标文件，必须经双方签字认可后方为有效，才可对外发售。</w:t>
      </w:r>
    </w:p>
    <w:p w14:paraId="71EE153F">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 甲乙双方共同组织为项目招标必须进行的技术交流活动。</w:t>
      </w:r>
    </w:p>
    <w:p w14:paraId="263DA380">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 参加开标会。</w:t>
      </w:r>
    </w:p>
    <w:p w14:paraId="7EECE2E0">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 协助乙方组建评标委员会。代表甲方推荐专家和评标委员会成员名单。对乙方筹组的评标委员会成员和拟聘的专家名单进行确认。</w:t>
      </w:r>
    </w:p>
    <w:p w14:paraId="4C2D4C21">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 根据乙方提供的评标报告和中标候选人，确定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14:paraId="083007FE">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 根据乙方发出的中标通知书，与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签订合同。</w:t>
      </w:r>
    </w:p>
    <w:p w14:paraId="12E38FE4">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 对评标内容保密，并监督招标全过程。</w:t>
      </w:r>
    </w:p>
    <w:p w14:paraId="02C3A767">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招标代理费由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中标方支付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CB6F691">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乙方的责任</w:t>
      </w:r>
    </w:p>
    <w:p w14:paraId="21D300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负责组成专项工作组，承办此次招标。按照甲方的委托，精心组织本项目的招标工作，并向甲方通报招标计划和进度，保证招标计划的顺利实施。乙方负责指定一名项目经理，代表乙方联席和处理招标过程中的有关具体事宜，接受和签收甲方提供的招标所需背景情况、资料、目标、数据及具体要求等。与甲方一起就招标所需进行调研。</w:t>
      </w:r>
    </w:p>
    <w:p w14:paraId="5783393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乙双方共同负责招标文件的编制工作。在甲方的协助下，乙方对编制招标文件负总责。乙方负责对全部招标文件的综合编制、汇总、审核、印刷、装订、发售和解释工作。如果是国际招标，还须负责招标文件的英文翻译本，负责招标文件向有关审批部门的送审等工作。但在编制过程中甲乙双方必须紧密分工合作，对招标文件中的商务部分，以乙方为主，甲方协助；技术部分，以甲方为主，乙方协助。如甲方确无编制招标文件技术标书的条件，经甲方提出，可由乙方编制，但甲方必须向乙方法按时提供技术标书所需的完整的技术资料和有关技术使用要求等方面的材料。乙方汇总编制好的招标文件，需经甲方签字认可后方为有效，才能对外发售。</w:t>
      </w:r>
    </w:p>
    <w:p w14:paraId="02856B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（3）乙方负责刊登招标公告或发送投标邀请书。</w:t>
      </w:r>
    </w:p>
    <w:p w14:paraId="52428D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（4）乙方负责组建评标委员会，与甲方共同研究确定评标委员会的人员组成。对经双方确认的评标委员会成员和评标专家的邀请与聘任工作，由乙方负责。</w:t>
      </w:r>
    </w:p>
    <w:p w14:paraId="7EB1A03E">
      <w:pPr>
        <w:keepNext w:val="0"/>
        <w:keepLines w:val="0"/>
        <w:pageBreakBefore w:val="0"/>
        <w:widowControl w:val="0"/>
        <w:kinsoku/>
        <w:wordWrap/>
        <w:overflowPunct/>
        <w:topLinePunct w:val="0"/>
        <w:autoSpaceDE/>
        <w:autoSpaceDN/>
        <w:bidi w:val="0"/>
        <w:adjustRightInd/>
        <w:snapToGrid/>
        <w:spacing w:line="560" w:lineRule="exact"/>
        <w:ind w:left="-178" w:firstLine="626" w:firstLineChars="261"/>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（5）乙方根据实际需要，负责联席公证机关，对开标过程进行监督与公证。</w:t>
      </w:r>
    </w:p>
    <w:p w14:paraId="6E5AC7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（6）乙方负责与甲方协商拟定评标标准和评标办法（方案），供评标委员会选用。</w:t>
      </w:r>
    </w:p>
    <w:p w14:paraId="7CE70D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（7）乙方负责与甲方协商确定开标程序，负责组织开标大会。</w:t>
      </w:r>
    </w:p>
    <w:p w14:paraId="24BE6C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（8）乙方负责组织评标委员会进行评标，负责安排评标活动的有关事宜。乙方根据评标委员会提出的书面评标报告，向甲方推荐中标候选人，由甲方确定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；或依照甲方的要求，授权评标委员会直接确定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。乙方负责整理编写评标报告，经甲方同意签字盖章后，联名报送有关行政主管部门审查，以最终确定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14:paraId="195DD624">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（9）乙方负责向</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发出《中标通知书》并通知中标方与甲方洽谈签订合同。</w:t>
      </w:r>
    </w:p>
    <w:p w14:paraId="44909C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（10）乙方负责向未</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发出《未中标通知书》。</w:t>
      </w:r>
    </w:p>
    <w:p w14:paraId="3E1560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（11）乙方负责在政府采购网上发布中标结果公告。</w:t>
      </w:r>
    </w:p>
    <w:p w14:paraId="063A125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（12）对评标内容保密。</w:t>
      </w:r>
    </w:p>
    <w:p w14:paraId="2B8B25D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、有关经费问题</w:t>
      </w:r>
    </w:p>
    <w:p w14:paraId="5F39E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乙方承担招标过程中所发生的各项费用。</w:t>
      </w:r>
    </w:p>
    <w:p w14:paraId="563A1C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招标代理服务费由</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支付。</w:t>
      </w:r>
    </w:p>
    <w:p w14:paraId="1890D6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招标文件收入归乙方所有。</w:t>
      </w:r>
    </w:p>
    <w:p w14:paraId="1E48524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中选通知已发出或甲乙双方签订委托协议后，由于甲方原因停止招标的，甲方应给予乙方一定的费用补偿，具体金额为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。（不得低于乙方的前期投入成本）</w:t>
      </w:r>
    </w:p>
    <w:p w14:paraId="71E80F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乙方发出招标文件后，由于有效</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不构成竞争或其他原因而需要重新组织招标的，招标服务费应在原有基础上增补</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，具体金额由双方协商决定。</w:t>
      </w:r>
    </w:p>
    <w:p w14:paraId="2DAE7D7E">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、其他</w:t>
      </w:r>
    </w:p>
    <w:p w14:paraId="4615A214">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本协议书一式肆份，甲、乙双方各执贰份，由法定代表人或法人授权代表签字（盖章）后生效。</w:t>
      </w:r>
    </w:p>
    <w:p w14:paraId="038029D4">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 未尽事宜，由双方协商解决。</w:t>
      </w:r>
    </w:p>
    <w:p w14:paraId="23F16CAF">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 本协议执行期间，如遇国家颁布新的法律或规定与本协议相矛盾，以国家法律规定为准。</w:t>
      </w:r>
    </w:p>
    <w:p w14:paraId="004C3575">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4.本协议对双方均具有法律效力。如执行中发生争议，双方可协商解决，也可以依法向人民法院提起</w:t>
      </w:r>
    </w:p>
    <w:p w14:paraId="2894767D">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5、合同订立</w:t>
      </w:r>
    </w:p>
    <w:p w14:paraId="15FE05E3">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合同订立地点：</w:t>
      </w:r>
      <w:r>
        <w:rPr>
          <w:rFonts w:hint="eastAsia" w:ascii="宋体" w:hAnsi="宋体" w:eastAsia="宋体" w:cs="宋体"/>
          <w:bCs/>
          <w:color w:val="auto"/>
          <w:sz w:val="24"/>
          <w:szCs w:val="24"/>
          <w:u w:val="single"/>
          <w:lang w:val="en-US" w:eastAsia="zh-CN"/>
        </w:rPr>
        <w:t>阿瓦提县人民医院</w:t>
      </w:r>
      <w:r>
        <w:rPr>
          <w:rFonts w:hint="eastAsia" w:ascii="宋体" w:hAnsi="宋体" w:eastAsia="宋体" w:cs="宋体"/>
          <w:color w:val="auto"/>
          <w:kern w:val="2"/>
          <w:sz w:val="24"/>
          <w:szCs w:val="24"/>
          <w:u w:val="single"/>
          <w:lang w:val="en-US" w:eastAsia="zh-CN" w:bidi="ar-SA"/>
        </w:rPr>
        <w:t xml:space="preserve"> </w:t>
      </w:r>
    </w:p>
    <w:p w14:paraId="7448A7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6、合同生效</w:t>
      </w:r>
    </w:p>
    <w:p w14:paraId="5021C76E">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本合同双方约定 </w:t>
      </w:r>
      <w:r>
        <w:rPr>
          <w:rFonts w:hint="eastAsia" w:ascii="宋体" w:hAnsi="宋体" w:eastAsia="宋体" w:cs="宋体"/>
          <w:color w:val="auto"/>
          <w:kern w:val="2"/>
          <w:sz w:val="24"/>
          <w:szCs w:val="24"/>
          <w:u w:val="single"/>
          <w:lang w:val="en-US" w:eastAsia="zh-CN" w:bidi="ar-SA"/>
        </w:rPr>
        <w:t xml:space="preserve"> 签字盖章 </w:t>
      </w:r>
      <w:r>
        <w:rPr>
          <w:rFonts w:hint="eastAsia" w:ascii="宋体" w:hAnsi="宋体" w:eastAsia="宋体" w:cs="宋体"/>
          <w:color w:val="auto"/>
          <w:kern w:val="2"/>
          <w:sz w:val="24"/>
          <w:szCs w:val="24"/>
          <w:lang w:val="en-US" w:eastAsia="zh-CN" w:bidi="ar-SA"/>
        </w:rPr>
        <w:t xml:space="preserve"> 后生效。</w:t>
      </w:r>
    </w:p>
    <w:p w14:paraId="7641D15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rPr>
      </w:pPr>
    </w:p>
    <w:p w14:paraId="4ABE4B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委托人(盖章)：                     受托人(盖章)：</w:t>
      </w:r>
    </w:p>
    <w:p w14:paraId="6E81C0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p w14:paraId="7DEEF3E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法定代表人</w:t>
      </w:r>
    </w:p>
    <w:p w14:paraId="0EA4C67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或授权委托人</w:t>
      </w:r>
      <w:r>
        <w:rPr>
          <w:rFonts w:hint="eastAsia" w:ascii="宋体" w:hAnsi="宋体" w:eastAsia="宋体" w:cs="宋体"/>
          <w:color w:val="auto"/>
          <w:sz w:val="24"/>
          <w:szCs w:val="24"/>
        </w:rPr>
        <w:t xml:space="preserve">(签字或盖章〕：     </w:t>
      </w:r>
      <w:r>
        <w:rPr>
          <w:rFonts w:hint="eastAsia" w:ascii="宋体" w:hAnsi="宋体" w:eastAsia="宋体" w:cs="宋体"/>
          <w:color w:val="auto"/>
          <w:sz w:val="24"/>
          <w:szCs w:val="24"/>
          <w:lang w:val="en-US" w:eastAsia="zh-CN"/>
        </w:rPr>
        <w:t xml:space="preserve">   或授权委托人</w:t>
      </w:r>
      <w:r>
        <w:rPr>
          <w:rFonts w:hint="eastAsia" w:ascii="宋体" w:hAnsi="宋体" w:eastAsia="宋体" w:cs="宋体"/>
          <w:color w:val="auto"/>
          <w:sz w:val="24"/>
          <w:szCs w:val="24"/>
        </w:rPr>
        <w:t>(签字或盖章)：</w:t>
      </w:r>
    </w:p>
    <w:p w14:paraId="2C79E8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F2D15B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邮政编码：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843000</w:t>
      </w:r>
    </w:p>
    <w:p w14:paraId="450CF0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p w14:paraId="1BD7B69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14:paraId="07DBFD26">
      <w:pPr>
        <w:keepLines w:val="0"/>
        <w:pageBreakBefore w:val="0"/>
        <w:kinsoku/>
        <w:wordWrap/>
        <w:overflowPunct/>
        <w:topLinePunct w:val="0"/>
        <w:bidi w:val="0"/>
        <w:rPr>
          <w:rFonts w:hint="eastAsia"/>
          <w:color w:val="auto"/>
          <w:highlight w:val="none"/>
        </w:rPr>
      </w:pPr>
    </w:p>
    <w:p w14:paraId="73F4E98C">
      <w:pPr>
        <w:keepLines w:val="0"/>
        <w:pageBreakBefore w:val="0"/>
        <w:kinsoku/>
        <w:wordWrap/>
        <w:overflowPunct/>
        <w:topLinePunct w:val="0"/>
        <w:bidi w:val="0"/>
      </w:pPr>
    </w:p>
    <w:p w14:paraId="15F5C50A">
      <w:pPr>
        <w:pStyle w:val="15"/>
        <w:keepLines w:val="0"/>
        <w:pageBreakBefore w:val="0"/>
        <w:kinsoku/>
        <w:wordWrap/>
        <w:overflowPunct/>
        <w:topLinePunct w:val="0"/>
        <w:bidi w:val="0"/>
        <w:rPr>
          <w:rFonts w:hint="eastAsia"/>
          <w:lang w:eastAsia="zh-CN"/>
        </w:rPr>
      </w:pPr>
    </w:p>
    <w:p w14:paraId="09082616">
      <w:pPr>
        <w:pStyle w:val="6"/>
        <w:keepLines w:val="0"/>
        <w:pageBreakBefore w:val="0"/>
        <w:kinsoku/>
        <w:wordWrap/>
        <w:overflowPunct/>
        <w:topLinePunct w:val="0"/>
        <w:bidi w:val="0"/>
      </w:pPr>
    </w:p>
    <w:p w14:paraId="16174082">
      <w:pPr>
        <w:keepLines w:val="0"/>
        <w:pageBreakBefore w:val="0"/>
        <w:kinsoku/>
        <w:wordWrap/>
        <w:overflowPunct/>
        <w:topLinePunct w:val="0"/>
        <w:bidi w:val="0"/>
        <w:ind w:firstLine="532" w:firstLineChars="0"/>
        <w:jc w:val="left"/>
        <w:rPr>
          <w:rFonts w:ascii="Arial" w:hAnsi="Arial" w:eastAsia="Arial" w:cs="Arial"/>
          <w:snapToGrid w:val="0"/>
          <w:color w:val="000000"/>
          <w:kern w:val="0"/>
          <w:sz w:val="21"/>
          <w:szCs w:val="21"/>
          <w:lang w:val="en-US" w:eastAsia="en-US" w:bidi="ar-SA"/>
        </w:rPr>
      </w:pPr>
    </w:p>
    <w:sectPr>
      <w:footerReference r:id="rId17" w:type="default"/>
      <w:pgSz w:w="11906" w:h="16839"/>
      <w:pgMar w:top="1440" w:right="1080" w:bottom="1440" w:left="1080" w:header="0" w:footer="10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思源黑体 CN Light">
    <w:altName w:val="黑体"/>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9357A">
    <w:pPr>
      <w:pStyle w:val="10"/>
      <w:tabs>
        <w:tab w:val="center" w:pos="4873"/>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D4F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0B124">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10B124">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F63F">
    <w:pPr>
      <w:spacing w:after="170" w:line="43"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BCFC9">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EBCFC9">
                    <w:pPr>
                      <w:pStyle w:val="10"/>
                    </w:pPr>
                    <w:r>
                      <w:fldChar w:fldCharType="begin"/>
                    </w:r>
                    <w:r>
                      <w:instrText xml:space="preserve"> PAGE  \* MERGEFORMAT </w:instrText>
                    </w:r>
                    <w:r>
                      <w:fldChar w:fldCharType="separate"/>
                    </w:r>
                    <w:r>
                      <w:t>71</w:t>
                    </w:r>
                    <w:r>
                      <w:fldChar w:fldCharType="end"/>
                    </w:r>
                  </w:p>
                </w:txbxContent>
              </v:textbox>
            </v:shape>
          </w:pict>
        </mc:Fallback>
      </mc:AlternateContent>
    </w:r>
  </w:p>
  <w:p w14:paraId="02D72AF0">
    <w:pPr>
      <w:spacing w:line="173" w:lineRule="auto"/>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7DE6">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31A8">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E531A8">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F6C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E921A">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50E921A">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7177">
    <w:pPr>
      <w:pStyle w:val="10"/>
      <w:tabs>
        <w:tab w:val="center" w:pos="4873"/>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C0965">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FC0965">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9F01">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6CF4B">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46CF4B">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ECCA">
    <w:pPr>
      <w:spacing w:line="176" w:lineRule="auto"/>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3299">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1D3299">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BCCB">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8BCCF">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98BCCF">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6B3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40881">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F40881">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8B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7D511">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27D511">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0257">
    <w:pPr>
      <w:spacing w:after="168" w:line="43"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62279">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662279">
                    <w:pPr>
                      <w:pStyle w:val="10"/>
                    </w:pPr>
                    <w:r>
                      <w:fldChar w:fldCharType="begin"/>
                    </w:r>
                    <w:r>
                      <w:instrText xml:space="preserve"> PAGE  \* MERGEFORMAT </w:instrText>
                    </w:r>
                    <w:r>
                      <w:fldChar w:fldCharType="separate"/>
                    </w:r>
                    <w:r>
                      <w:t>64</w:t>
                    </w:r>
                    <w:r>
                      <w:fldChar w:fldCharType="end"/>
                    </w:r>
                  </w:p>
                </w:txbxContent>
              </v:textbox>
            </v:shape>
          </w:pict>
        </mc:Fallback>
      </mc:AlternateContent>
    </w:r>
  </w:p>
  <w:p w14:paraId="6F2BC802">
    <w:pPr>
      <w:spacing w:line="176"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722">
    <w:pPr>
      <w:spacing w:after="168" w:line="43"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A4494">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0A4494">
                    <w:pPr>
                      <w:pStyle w:val="10"/>
                    </w:pPr>
                    <w:r>
                      <w:fldChar w:fldCharType="begin"/>
                    </w:r>
                    <w:r>
                      <w:instrText xml:space="preserve"> PAGE  \* MERGEFORMAT </w:instrText>
                    </w:r>
                    <w:r>
                      <w:fldChar w:fldCharType="separate"/>
                    </w:r>
                    <w:r>
                      <w:t>65</w:t>
                    </w:r>
                    <w:r>
                      <w:fldChar w:fldCharType="end"/>
                    </w:r>
                  </w:p>
                </w:txbxContent>
              </v:textbox>
            </v:shape>
          </w:pict>
        </mc:Fallback>
      </mc:AlternateContent>
    </w:r>
  </w:p>
  <w:p w14:paraId="7895F1D0">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34C4C"/>
    <w:multiLevelType w:val="singleLevel"/>
    <w:tmpl w:val="B8234C4C"/>
    <w:lvl w:ilvl="0" w:tentative="0">
      <w:start w:val="1"/>
      <w:numFmt w:val="decimal"/>
      <w:lvlText w:val="%1."/>
      <w:lvlJc w:val="left"/>
      <w:pPr>
        <w:tabs>
          <w:tab w:val="left" w:pos="312"/>
        </w:tabs>
        <w:ind w:left="210"/>
      </w:pPr>
    </w:lvl>
  </w:abstractNum>
  <w:abstractNum w:abstractNumId="1">
    <w:nsid w:val="BE331868"/>
    <w:multiLevelType w:val="singleLevel"/>
    <w:tmpl w:val="BE331868"/>
    <w:lvl w:ilvl="0" w:tentative="0">
      <w:start w:val="1"/>
      <w:numFmt w:val="chineseCounting"/>
      <w:suff w:val="space"/>
      <w:lvlText w:val="第%1章"/>
      <w:lvlJc w:val="left"/>
      <w:rPr>
        <w:rFonts w:hint="eastAsia"/>
      </w:rPr>
    </w:lvl>
  </w:abstractNum>
  <w:abstractNum w:abstractNumId="2">
    <w:nsid w:val="DE881812"/>
    <w:multiLevelType w:val="singleLevel"/>
    <w:tmpl w:val="DE881812"/>
    <w:lvl w:ilvl="0" w:tentative="0">
      <w:start w:val="3"/>
      <w:numFmt w:val="chineseCounting"/>
      <w:suff w:val="space"/>
      <w:lvlText w:val="第%1节"/>
      <w:lvlJc w:val="left"/>
      <w:rPr>
        <w:rFonts w:hint="eastAsia"/>
      </w:rPr>
    </w:lvl>
  </w:abstractNum>
  <w:abstractNum w:abstractNumId="3">
    <w:nsid w:val="00474DCA"/>
    <w:multiLevelType w:val="multilevel"/>
    <w:tmpl w:val="00474DCA"/>
    <w:lvl w:ilvl="0" w:tentative="0">
      <w:start w:val="2"/>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01A879F7"/>
    <w:multiLevelType w:val="singleLevel"/>
    <w:tmpl w:val="01A879F7"/>
    <w:lvl w:ilvl="0" w:tentative="0">
      <w:start w:val="1"/>
      <w:numFmt w:val="decimal"/>
      <w:lvlText w:val="%1."/>
      <w:lvlJc w:val="left"/>
      <w:pPr>
        <w:tabs>
          <w:tab w:val="left" w:pos="312"/>
        </w:tabs>
        <w:ind w:left="210"/>
      </w:pPr>
    </w:lvl>
  </w:abstractNum>
  <w:abstractNum w:abstractNumId="5">
    <w:nsid w:val="2A1A2490"/>
    <w:multiLevelType w:val="singleLevel"/>
    <w:tmpl w:val="2A1A2490"/>
    <w:lvl w:ilvl="0" w:tentative="0">
      <w:start w:val="1"/>
      <w:numFmt w:val="decimal"/>
      <w:lvlText w:val="%1."/>
      <w:lvlJc w:val="left"/>
      <w:pPr>
        <w:tabs>
          <w:tab w:val="left" w:pos="312"/>
        </w:tabs>
        <w:ind w:left="210"/>
      </w:pPr>
    </w:lvl>
  </w:abstractNum>
  <w:abstractNum w:abstractNumId="6">
    <w:nsid w:val="2C8374CC"/>
    <w:multiLevelType w:val="singleLevel"/>
    <w:tmpl w:val="2C8374CC"/>
    <w:lvl w:ilvl="0" w:tentative="0">
      <w:start w:val="1"/>
      <w:numFmt w:val="decimal"/>
      <w:lvlText w:val="%1."/>
      <w:lvlJc w:val="left"/>
      <w:pPr>
        <w:tabs>
          <w:tab w:val="left" w:pos="312"/>
        </w:tabs>
        <w:ind w:left="210"/>
      </w:pPr>
    </w:lvl>
  </w:abstractNum>
  <w:abstractNum w:abstractNumId="7">
    <w:nsid w:val="3366109E"/>
    <w:multiLevelType w:val="multilevel"/>
    <w:tmpl w:val="336610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AB1135"/>
    <w:multiLevelType w:val="singleLevel"/>
    <w:tmpl w:val="50AB1135"/>
    <w:lvl w:ilvl="0" w:tentative="0">
      <w:start w:val="1"/>
      <w:numFmt w:val="decimal"/>
      <w:lvlText w:val="%1."/>
      <w:lvlJc w:val="left"/>
      <w:pPr>
        <w:tabs>
          <w:tab w:val="left" w:pos="312"/>
        </w:tabs>
        <w:ind w:left="210"/>
      </w:pPr>
    </w:lvl>
  </w:abstractNum>
  <w:abstractNum w:abstractNumId="9">
    <w:nsid w:val="58062995"/>
    <w:multiLevelType w:val="multilevel"/>
    <w:tmpl w:val="58062995"/>
    <w:lvl w:ilvl="0" w:tentative="0">
      <w:start w:val="1"/>
      <w:numFmt w:val="decimal"/>
      <w:lvlText w:val="2.1.%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BE922A1"/>
    <w:multiLevelType w:val="singleLevel"/>
    <w:tmpl w:val="6BE922A1"/>
    <w:lvl w:ilvl="0" w:tentative="0">
      <w:start w:val="5"/>
      <w:numFmt w:val="chineseCounting"/>
      <w:suff w:val="space"/>
      <w:lvlText w:val="第%1章"/>
      <w:lvlJc w:val="left"/>
      <w:rPr>
        <w:rFonts w:hint="eastAsia"/>
      </w:rPr>
    </w:lvl>
  </w:abstractNum>
  <w:abstractNum w:abstractNumId="11">
    <w:nsid w:val="6F0DAEA3"/>
    <w:multiLevelType w:val="singleLevel"/>
    <w:tmpl w:val="6F0DAEA3"/>
    <w:lvl w:ilvl="0" w:tentative="0">
      <w:start w:val="7"/>
      <w:numFmt w:val="chineseCounting"/>
      <w:suff w:val="nothing"/>
      <w:lvlText w:val="第%1章、"/>
      <w:lvlJc w:val="left"/>
      <w:rPr>
        <w:rFonts w:hint="eastAsia"/>
      </w:rPr>
    </w:lvl>
  </w:abstractNum>
  <w:abstractNum w:abstractNumId="12">
    <w:nsid w:val="6F6E740E"/>
    <w:multiLevelType w:val="singleLevel"/>
    <w:tmpl w:val="6F6E740E"/>
    <w:lvl w:ilvl="0" w:tentative="0">
      <w:start w:val="1"/>
      <w:numFmt w:val="decimal"/>
      <w:lvlText w:val="%1."/>
      <w:lvlJc w:val="left"/>
      <w:pPr>
        <w:ind w:left="425" w:hanging="425"/>
      </w:pPr>
      <w:rPr>
        <w:rFonts w:hint="default"/>
      </w:rPr>
    </w:lvl>
  </w:abstractNum>
  <w:abstractNum w:abstractNumId="13">
    <w:nsid w:val="7CE785EB"/>
    <w:multiLevelType w:val="singleLevel"/>
    <w:tmpl w:val="7CE785EB"/>
    <w:lvl w:ilvl="0" w:tentative="0">
      <w:start w:val="17"/>
      <w:numFmt w:val="decimal"/>
      <w:suff w:val="nothing"/>
      <w:lvlText w:val="%1、"/>
      <w:lvlJc w:val="left"/>
    </w:lvl>
  </w:abstractNum>
  <w:abstractNum w:abstractNumId="14">
    <w:nsid w:val="7E70560E"/>
    <w:multiLevelType w:val="multilevel"/>
    <w:tmpl w:val="7E70560E"/>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F5B2A9D"/>
    <w:multiLevelType w:val="multilevel"/>
    <w:tmpl w:val="7F5B2A9D"/>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2"/>
  </w:num>
  <w:num w:numId="3">
    <w:abstractNumId w:val="10"/>
  </w:num>
  <w:num w:numId="4">
    <w:abstractNumId w:val="12"/>
  </w:num>
  <w:num w:numId="5">
    <w:abstractNumId w:val="4"/>
  </w:num>
  <w:num w:numId="6">
    <w:abstractNumId w:val="7"/>
  </w:num>
  <w:num w:numId="7">
    <w:abstractNumId w:val="5"/>
  </w:num>
  <w:num w:numId="8">
    <w:abstractNumId w:val="14"/>
  </w:num>
  <w:num w:numId="9">
    <w:abstractNumId w:val="15"/>
  </w:num>
  <w:num w:numId="10">
    <w:abstractNumId w:val="3"/>
  </w:num>
  <w:num w:numId="11">
    <w:abstractNumId w:val="9"/>
  </w:num>
  <w:num w:numId="12">
    <w:abstractNumId w:val="6"/>
  </w:num>
  <w:num w:numId="13">
    <w:abstractNumId w:val="8"/>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documentProtection w:enforcement="0"/>
  <w:drawingGridHorizontalSpacing w:val="158"/>
  <w:drawingGridVerticalSpacing w:val="29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Y0ZjNjOTExYmExMjg0MmIyMTIzNmYyYmRkMDRhNmMifQ=="/>
  </w:docVars>
  <w:rsids>
    <w:rsidRoot w:val="00000000"/>
    <w:rsid w:val="003F152B"/>
    <w:rsid w:val="00475BA1"/>
    <w:rsid w:val="008658B1"/>
    <w:rsid w:val="00E32D5A"/>
    <w:rsid w:val="01012314"/>
    <w:rsid w:val="013D1CD1"/>
    <w:rsid w:val="01514187"/>
    <w:rsid w:val="018C1F1F"/>
    <w:rsid w:val="02DE6E1F"/>
    <w:rsid w:val="03734073"/>
    <w:rsid w:val="03CD1071"/>
    <w:rsid w:val="03D461BA"/>
    <w:rsid w:val="047168CE"/>
    <w:rsid w:val="05AF0E39"/>
    <w:rsid w:val="06042115"/>
    <w:rsid w:val="06255BC2"/>
    <w:rsid w:val="065546FA"/>
    <w:rsid w:val="07034EEF"/>
    <w:rsid w:val="079B7E3C"/>
    <w:rsid w:val="07B91445"/>
    <w:rsid w:val="083F2B76"/>
    <w:rsid w:val="08470AEB"/>
    <w:rsid w:val="08486C64"/>
    <w:rsid w:val="089C7D27"/>
    <w:rsid w:val="08A4749C"/>
    <w:rsid w:val="08F83D92"/>
    <w:rsid w:val="0935611C"/>
    <w:rsid w:val="0A1C72DC"/>
    <w:rsid w:val="0AC25040"/>
    <w:rsid w:val="0ADF201C"/>
    <w:rsid w:val="0B0B5703"/>
    <w:rsid w:val="0C136807"/>
    <w:rsid w:val="0C492597"/>
    <w:rsid w:val="0CB952B6"/>
    <w:rsid w:val="0CC779D3"/>
    <w:rsid w:val="0CE1087C"/>
    <w:rsid w:val="0CE92476"/>
    <w:rsid w:val="0D960515"/>
    <w:rsid w:val="0E034839"/>
    <w:rsid w:val="0E166F38"/>
    <w:rsid w:val="0E2F3F20"/>
    <w:rsid w:val="0F50661C"/>
    <w:rsid w:val="0F8932E2"/>
    <w:rsid w:val="0FD20B69"/>
    <w:rsid w:val="11144937"/>
    <w:rsid w:val="12462F6C"/>
    <w:rsid w:val="12C64072"/>
    <w:rsid w:val="139466E7"/>
    <w:rsid w:val="13B33D27"/>
    <w:rsid w:val="13ED66B2"/>
    <w:rsid w:val="14733F9D"/>
    <w:rsid w:val="14CE2940"/>
    <w:rsid w:val="14F31730"/>
    <w:rsid w:val="1532356A"/>
    <w:rsid w:val="165C2AB4"/>
    <w:rsid w:val="166813BA"/>
    <w:rsid w:val="171E118D"/>
    <w:rsid w:val="17514FCE"/>
    <w:rsid w:val="175728BF"/>
    <w:rsid w:val="17A32FF6"/>
    <w:rsid w:val="182E6B10"/>
    <w:rsid w:val="18341577"/>
    <w:rsid w:val="18E979FA"/>
    <w:rsid w:val="19414963"/>
    <w:rsid w:val="194A1770"/>
    <w:rsid w:val="199F431D"/>
    <w:rsid w:val="1B1A6E08"/>
    <w:rsid w:val="1B4030F3"/>
    <w:rsid w:val="1B8B42C2"/>
    <w:rsid w:val="1BAE5697"/>
    <w:rsid w:val="1C6E5776"/>
    <w:rsid w:val="1CAA2369"/>
    <w:rsid w:val="1CC27ED1"/>
    <w:rsid w:val="1D071A7F"/>
    <w:rsid w:val="1D2F1E9F"/>
    <w:rsid w:val="1D341918"/>
    <w:rsid w:val="1D3E3886"/>
    <w:rsid w:val="1D6A61E3"/>
    <w:rsid w:val="1E276524"/>
    <w:rsid w:val="1E9A1A93"/>
    <w:rsid w:val="1EC16497"/>
    <w:rsid w:val="1F821BEB"/>
    <w:rsid w:val="1FC05A0A"/>
    <w:rsid w:val="202C1CA8"/>
    <w:rsid w:val="205C4E1A"/>
    <w:rsid w:val="208C116B"/>
    <w:rsid w:val="20DD6A4C"/>
    <w:rsid w:val="211C6E33"/>
    <w:rsid w:val="214370BF"/>
    <w:rsid w:val="21521B0A"/>
    <w:rsid w:val="227E692E"/>
    <w:rsid w:val="22A4710F"/>
    <w:rsid w:val="22C40483"/>
    <w:rsid w:val="232D6837"/>
    <w:rsid w:val="233B0019"/>
    <w:rsid w:val="23650372"/>
    <w:rsid w:val="236D6760"/>
    <w:rsid w:val="239134F1"/>
    <w:rsid w:val="24677933"/>
    <w:rsid w:val="246A14B7"/>
    <w:rsid w:val="25A563F3"/>
    <w:rsid w:val="25BD776E"/>
    <w:rsid w:val="26354AD3"/>
    <w:rsid w:val="26C62652"/>
    <w:rsid w:val="26DD5E92"/>
    <w:rsid w:val="26FE664D"/>
    <w:rsid w:val="2788267D"/>
    <w:rsid w:val="27C53B3E"/>
    <w:rsid w:val="28120F00"/>
    <w:rsid w:val="282D76DD"/>
    <w:rsid w:val="28461D2E"/>
    <w:rsid w:val="297A35CA"/>
    <w:rsid w:val="2A197071"/>
    <w:rsid w:val="2A4023DD"/>
    <w:rsid w:val="2B1D7721"/>
    <w:rsid w:val="2BA458C2"/>
    <w:rsid w:val="2BE821A6"/>
    <w:rsid w:val="2C0320EA"/>
    <w:rsid w:val="2C323F1B"/>
    <w:rsid w:val="2C7212B2"/>
    <w:rsid w:val="2CA709DE"/>
    <w:rsid w:val="2D0F6E05"/>
    <w:rsid w:val="2D5A6D7E"/>
    <w:rsid w:val="2DB7189C"/>
    <w:rsid w:val="2DE312CD"/>
    <w:rsid w:val="2E240862"/>
    <w:rsid w:val="2E676846"/>
    <w:rsid w:val="2E9D175B"/>
    <w:rsid w:val="2EE87609"/>
    <w:rsid w:val="2F1F4474"/>
    <w:rsid w:val="2F3E7229"/>
    <w:rsid w:val="2F854E58"/>
    <w:rsid w:val="2F971030"/>
    <w:rsid w:val="30BE2F3E"/>
    <w:rsid w:val="30E30DF8"/>
    <w:rsid w:val="31640E31"/>
    <w:rsid w:val="31864EB8"/>
    <w:rsid w:val="318E731F"/>
    <w:rsid w:val="3282377B"/>
    <w:rsid w:val="331B63F6"/>
    <w:rsid w:val="33B7574B"/>
    <w:rsid w:val="33C04CC0"/>
    <w:rsid w:val="33EC6C5A"/>
    <w:rsid w:val="34C3033B"/>
    <w:rsid w:val="34DF0D53"/>
    <w:rsid w:val="352C502F"/>
    <w:rsid w:val="353B01B7"/>
    <w:rsid w:val="35B50293"/>
    <w:rsid w:val="35F613E1"/>
    <w:rsid w:val="36392E40"/>
    <w:rsid w:val="36396246"/>
    <w:rsid w:val="37712C8C"/>
    <w:rsid w:val="38FE5445"/>
    <w:rsid w:val="3A077920"/>
    <w:rsid w:val="3A0F0224"/>
    <w:rsid w:val="3BF34BD3"/>
    <w:rsid w:val="3D3138AE"/>
    <w:rsid w:val="3D614993"/>
    <w:rsid w:val="3D873A6C"/>
    <w:rsid w:val="3DCE0312"/>
    <w:rsid w:val="3E1E1AF9"/>
    <w:rsid w:val="3E706AA3"/>
    <w:rsid w:val="3E7B7D67"/>
    <w:rsid w:val="3EEB1DFB"/>
    <w:rsid w:val="3F42078C"/>
    <w:rsid w:val="3FEF612A"/>
    <w:rsid w:val="3FF20B8C"/>
    <w:rsid w:val="40267E17"/>
    <w:rsid w:val="40B85FDB"/>
    <w:rsid w:val="418A27A2"/>
    <w:rsid w:val="42354B55"/>
    <w:rsid w:val="42626E97"/>
    <w:rsid w:val="428430D9"/>
    <w:rsid w:val="42B1476A"/>
    <w:rsid w:val="42CF3E6D"/>
    <w:rsid w:val="42F73E67"/>
    <w:rsid w:val="43087A30"/>
    <w:rsid w:val="43A976EF"/>
    <w:rsid w:val="43B04308"/>
    <w:rsid w:val="44E46590"/>
    <w:rsid w:val="44FB6469"/>
    <w:rsid w:val="455D3858"/>
    <w:rsid w:val="46647A66"/>
    <w:rsid w:val="46D9135A"/>
    <w:rsid w:val="47953C4F"/>
    <w:rsid w:val="47BA535A"/>
    <w:rsid w:val="4845019B"/>
    <w:rsid w:val="485C42E8"/>
    <w:rsid w:val="48B337FF"/>
    <w:rsid w:val="48D272C6"/>
    <w:rsid w:val="492321E5"/>
    <w:rsid w:val="49725FF6"/>
    <w:rsid w:val="49B061AB"/>
    <w:rsid w:val="4A197695"/>
    <w:rsid w:val="4A527BD5"/>
    <w:rsid w:val="4AAB68B4"/>
    <w:rsid w:val="4ACC4FC1"/>
    <w:rsid w:val="4AF15924"/>
    <w:rsid w:val="4B0610EB"/>
    <w:rsid w:val="4BDE558E"/>
    <w:rsid w:val="4C1677B0"/>
    <w:rsid w:val="4C181CE0"/>
    <w:rsid w:val="4CC31F2D"/>
    <w:rsid w:val="4CFA6A2E"/>
    <w:rsid w:val="4CFD02CC"/>
    <w:rsid w:val="4D2806F4"/>
    <w:rsid w:val="4D3F6AF3"/>
    <w:rsid w:val="4D8372A0"/>
    <w:rsid w:val="4D8409ED"/>
    <w:rsid w:val="4E435700"/>
    <w:rsid w:val="4E56727D"/>
    <w:rsid w:val="4E9974A6"/>
    <w:rsid w:val="4EA17774"/>
    <w:rsid w:val="4EF6400F"/>
    <w:rsid w:val="4F887B91"/>
    <w:rsid w:val="4F8A0DCC"/>
    <w:rsid w:val="4FD517AA"/>
    <w:rsid w:val="50256815"/>
    <w:rsid w:val="50C35534"/>
    <w:rsid w:val="511713D3"/>
    <w:rsid w:val="516528E4"/>
    <w:rsid w:val="51DD46C7"/>
    <w:rsid w:val="52281239"/>
    <w:rsid w:val="522F1477"/>
    <w:rsid w:val="52D86862"/>
    <w:rsid w:val="534B5553"/>
    <w:rsid w:val="548435E1"/>
    <w:rsid w:val="549E6E38"/>
    <w:rsid w:val="54F40B54"/>
    <w:rsid w:val="550B5550"/>
    <w:rsid w:val="55243AD1"/>
    <w:rsid w:val="563D6471"/>
    <w:rsid w:val="566F457A"/>
    <w:rsid w:val="56960069"/>
    <w:rsid w:val="56F33B91"/>
    <w:rsid w:val="57471C8A"/>
    <w:rsid w:val="576A4B68"/>
    <w:rsid w:val="578735B4"/>
    <w:rsid w:val="57912A20"/>
    <w:rsid w:val="57B455BA"/>
    <w:rsid w:val="58483A19"/>
    <w:rsid w:val="58FE349F"/>
    <w:rsid w:val="590442D0"/>
    <w:rsid w:val="59103328"/>
    <w:rsid w:val="59323A50"/>
    <w:rsid w:val="59941FB8"/>
    <w:rsid w:val="59A0095D"/>
    <w:rsid w:val="59BE35E2"/>
    <w:rsid w:val="59E79DE9"/>
    <w:rsid w:val="5A63073C"/>
    <w:rsid w:val="5A9F5E78"/>
    <w:rsid w:val="5AA4699A"/>
    <w:rsid w:val="5C987A6F"/>
    <w:rsid w:val="5CA850E3"/>
    <w:rsid w:val="5D263E92"/>
    <w:rsid w:val="5D4D7998"/>
    <w:rsid w:val="5DDF0F85"/>
    <w:rsid w:val="5E31411E"/>
    <w:rsid w:val="5EEC1F4F"/>
    <w:rsid w:val="5F0F3E1B"/>
    <w:rsid w:val="5F10773B"/>
    <w:rsid w:val="60400176"/>
    <w:rsid w:val="60564642"/>
    <w:rsid w:val="6064215B"/>
    <w:rsid w:val="60652479"/>
    <w:rsid w:val="60906C54"/>
    <w:rsid w:val="612739D7"/>
    <w:rsid w:val="61637887"/>
    <w:rsid w:val="617C53D9"/>
    <w:rsid w:val="61B0380A"/>
    <w:rsid w:val="61C9790C"/>
    <w:rsid w:val="6231554B"/>
    <w:rsid w:val="628A3147"/>
    <w:rsid w:val="629504EF"/>
    <w:rsid w:val="62BD348D"/>
    <w:rsid w:val="62CF5665"/>
    <w:rsid w:val="62F87114"/>
    <w:rsid w:val="632048BD"/>
    <w:rsid w:val="63234407"/>
    <w:rsid w:val="6343752F"/>
    <w:rsid w:val="63A55DE1"/>
    <w:rsid w:val="643C35AF"/>
    <w:rsid w:val="64455E07"/>
    <w:rsid w:val="64B27796"/>
    <w:rsid w:val="656159AD"/>
    <w:rsid w:val="6565098C"/>
    <w:rsid w:val="657D732D"/>
    <w:rsid w:val="657F58CB"/>
    <w:rsid w:val="659F5D29"/>
    <w:rsid w:val="66354994"/>
    <w:rsid w:val="663E33D8"/>
    <w:rsid w:val="66DE7CCD"/>
    <w:rsid w:val="674A5735"/>
    <w:rsid w:val="684D41D7"/>
    <w:rsid w:val="685700EF"/>
    <w:rsid w:val="68964A1B"/>
    <w:rsid w:val="68A65B76"/>
    <w:rsid w:val="69A34123"/>
    <w:rsid w:val="6A4F08C6"/>
    <w:rsid w:val="6A8A7C42"/>
    <w:rsid w:val="6A9B65D4"/>
    <w:rsid w:val="6AE631D2"/>
    <w:rsid w:val="6B656486"/>
    <w:rsid w:val="6B700D5C"/>
    <w:rsid w:val="6C9A24F6"/>
    <w:rsid w:val="6CA24044"/>
    <w:rsid w:val="6CC355C2"/>
    <w:rsid w:val="6CD2570F"/>
    <w:rsid w:val="6D7B04E5"/>
    <w:rsid w:val="6DDFE04A"/>
    <w:rsid w:val="6E3C0282"/>
    <w:rsid w:val="6F6A5F99"/>
    <w:rsid w:val="6FF922AC"/>
    <w:rsid w:val="70413F71"/>
    <w:rsid w:val="71211228"/>
    <w:rsid w:val="714C39A4"/>
    <w:rsid w:val="717676DE"/>
    <w:rsid w:val="71BB4D6E"/>
    <w:rsid w:val="71FF291F"/>
    <w:rsid w:val="723E41E3"/>
    <w:rsid w:val="72F816D1"/>
    <w:rsid w:val="74065409"/>
    <w:rsid w:val="74B25471"/>
    <w:rsid w:val="74C460BA"/>
    <w:rsid w:val="74CE4BA1"/>
    <w:rsid w:val="75033411"/>
    <w:rsid w:val="75E63744"/>
    <w:rsid w:val="760C4C55"/>
    <w:rsid w:val="7625426C"/>
    <w:rsid w:val="76B733AB"/>
    <w:rsid w:val="76E40BD9"/>
    <w:rsid w:val="770C35E3"/>
    <w:rsid w:val="770D0406"/>
    <w:rsid w:val="770E27AC"/>
    <w:rsid w:val="77533CFE"/>
    <w:rsid w:val="77774532"/>
    <w:rsid w:val="77F42082"/>
    <w:rsid w:val="78897AFF"/>
    <w:rsid w:val="78AF725D"/>
    <w:rsid w:val="79751067"/>
    <w:rsid w:val="79C132E3"/>
    <w:rsid w:val="7AB51E92"/>
    <w:rsid w:val="7AE87C4C"/>
    <w:rsid w:val="7B185B9D"/>
    <w:rsid w:val="7B18614D"/>
    <w:rsid w:val="7B9F289A"/>
    <w:rsid w:val="7BDC6677"/>
    <w:rsid w:val="7BF5648F"/>
    <w:rsid w:val="7C5207FC"/>
    <w:rsid w:val="7C9C234A"/>
    <w:rsid w:val="7CFFB76D"/>
    <w:rsid w:val="7D133A6A"/>
    <w:rsid w:val="7DFC2B7F"/>
    <w:rsid w:val="7E0A4C70"/>
    <w:rsid w:val="7E486D4A"/>
    <w:rsid w:val="7E9A7674"/>
    <w:rsid w:val="7F742D89"/>
    <w:rsid w:val="7FAB0A21"/>
    <w:rsid w:val="7FFA0E83"/>
    <w:rsid w:val="AF99DF3F"/>
    <w:rsid w:val="BF5EABF2"/>
    <w:rsid w:val="ED7DFC6B"/>
    <w:rsid w:val="EF3DD1FF"/>
    <w:rsid w:val="FFFD2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eastAsia="楷体" w:asciiTheme="majorHAnsi" w:hAnsiTheme="majorHAnsi" w:cstheme="majorBidi"/>
      <w:b/>
      <w:bCs/>
      <w:sz w:val="32"/>
      <w:szCs w:val="32"/>
    </w:rPr>
  </w:style>
  <w:style w:type="paragraph" w:styleId="3">
    <w:name w:val="heading 3"/>
    <w:basedOn w:val="1"/>
    <w:next w:val="1"/>
    <w:autoRedefine/>
    <w:qFormat/>
    <w:uiPriority w:val="0"/>
    <w:pPr>
      <w:keepNext/>
      <w:outlineLvl w:val="2"/>
    </w:pPr>
    <w:rPr>
      <w:rFonts w:ascii="楷体_GB2312" w:hAnsi="宋体" w:eastAsia="楷体_GB2312"/>
      <w:b/>
      <w:bCs/>
      <w:sz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宋体"/>
    </w:rPr>
  </w:style>
  <w:style w:type="paragraph" w:styleId="5">
    <w:name w:val="caption"/>
    <w:basedOn w:val="1"/>
    <w:next w:val="1"/>
    <w:autoRedefine/>
    <w:unhideWhenUsed/>
    <w:qFormat/>
    <w:uiPriority w:val="0"/>
    <w:rPr>
      <w:rFonts w:ascii="Arial" w:hAnsi="Arial" w:eastAsia="黑体"/>
      <w:sz w:val="20"/>
    </w:rPr>
  </w:style>
  <w:style w:type="paragraph" w:styleId="6">
    <w:name w:val="toa heading"/>
    <w:basedOn w:val="1"/>
    <w:next w:val="1"/>
    <w:autoRedefine/>
    <w:unhideWhenUsed/>
    <w:qFormat/>
    <w:uiPriority w:val="99"/>
    <w:pPr>
      <w:spacing w:before="120"/>
    </w:pPr>
    <w:rPr>
      <w:rFonts w:ascii="Cambria" w:hAnsi="Cambria" w:cs="Times New Roman"/>
      <w:sz w:val="24"/>
      <w:szCs w:val="24"/>
    </w:r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autoRedefine/>
    <w:qFormat/>
    <w:uiPriority w:val="0"/>
    <w:pPr>
      <w:spacing w:after="120"/>
      <w:ind w:left="420" w:leftChars="200"/>
    </w:pPr>
  </w:style>
  <w:style w:type="paragraph" w:styleId="9">
    <w:name w:val="Plain Text"/>
    <w:basedOn w:val="1"/>
    <w:next w:val="7"/>
    <w:qFormat/>
    <w:uiPriority w:val="0"/>
    <w:rPr>
      <w:rFonts w:ascii="宋体" w:hAnsi="Courier New" w:eastAsia="宋体"/>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cs="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autoRedefine/>
    <w:qFormat/>
    <w:uiPriority w:val="0"/>
    <w:pPr>
      <w:ind w:left="200" w:hanging="200" w:hangingChars="200"/>
    </w:pPr>
    <w:rPr>
      <w:rFonts w:ascii="Calibri" w:hAnsi="Calibri"/>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TML Sample"/>
    <w:basedOn w:val="18"/>
    <w:autoRedefine/>
    <w:qFormat/>
    <w:uiPriority w:val="0"/>
    <w:rPr>
      <w:rFonts w:ascii="Courier New" w:hAnsi="Courier New"/>
    </w:rPr>
  </w:style>
  <w:style w:type="paragraph" w:customStyle="1" w:styleId="22">
    <w:name w:val="Default"/>
    <w:basedOn w:val="9"/>
    <w:next w:val="23"/>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23">
    <w:name w:val="大标题"/>
    <w:basedOn w:val="1"/>
    <w:next w:val="15"/>
    <w:qFormat/>
    <w:uiPriority w:val="0"/>
    <w:pPr>
      <w:jc w:val="center"/>
    </w:pPr>
    <w:rPr>
      <w:rFonts w:ascii="Arial" w:hAnsi="Arial" w:eastAsia="宋体"/>
      <w:b/>
      <w:sz w:val="28"/>
    </w:rPr>
  </w:style>
  <w:style w:type="paragraph" w:customStyle="1" w:styleId="24">
    <w:name w:val="列出段落1"/>
    <w:basedOn w:val="1"/>
    <w:autoRedefine/>
    <w:qFormat/>
    <w:uiPriority w:val="34"/>
    <w:pPr>
      <w:ind w:firstLine="420" w:firstLineChars="200"/>
    </w:pPr>
  </w:style>
  <w:style w:type="table" w:customStyle="1" w:styleId="25">
    <w:name w:val="Table Normal"/>
    <w:autoRedefine/>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仿宋" w:hAnsi="仿宋" w:eastAsia="仿宋" w:cs="仿宋"/>
      <w:sz w:val="24"/>
      <w:szCs w:val="24"/>
      <w:lang w:val="en-US" w:eastAsia="en-US" w:bidi="ar-SA"/>
    </w:rPr>
  </w:style>
  <w:style w:type="paragraph" w:customStyle="1" w:styleId="27">
    <w:name w:val="List Paragraph"/>
    <w:basedOn w:val="1"/>
    <w:autoRedefine/>
    <w:qFormat/>
    <w:uiPriority w:val="34"/>
    <w:pPr>
      <w:ind w:firstLine="420" w:firstLineChars="200"/>
    </w:pPr>
    <w:rPr>
      <w:rFonts w:ascii="Calibri" w:hAnsi="Calibri"/>
      <w:szCs w:val="22"/>
    </w:rPr>
  </w:style>
  <w:style w:type="paragraph" w:customStyle="1" w:styleId="28">
    <w:name w:val="_Style 1"/>
    <w:basedOn w:val="1"/>
    <w:autoRedefine/>
    <w:qFormat/>
    <w:uiPriority w:val="0"/>
    <w:pPr>
      <w:ind w:firstLine="420" w:firstLineChars="200"/>
    </w:pPr>
    <w:rPr>
      <w:rFonts w:ascii="Calibri" w:hAnsi="Calibri"/>
      <w:szCs w:val="22"/>
    </w:rPr>
  </w:style>
  <w:style w:type="paragraph" w:customStyle="1" w:styleId="29">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30">
    <w:name w:val="标书正文"/>
    <w:basedOn w:val="1"/>
    <w:autoRedefine/>
    <w:qFormat/>
    <w:uiPriority w:val="0"/>
    <w:pPr>
      <w:spacing w:line="360" w:lineRule="auto"/>
      <w:ind w:firstLine="497" w:firstLineChars="207"/>
    </w:pPr>
    <w:rPr>
      <w:sz w:val="24"/>
      <w:szCs w:val="20"/>
    </w:rPr>
  </w:style>
  <w:style w:type="character" w:customStyle="1" w:styleId="31">
    <w:name w:val="NormalCharacter"/>
    <w:autoRedefine/>
    <w:semiHidden/>
    <w:qFormat/>
    <w:uiPriority w:val="0"/>
  </w:style>
  <w:style w:type="paragraph" w:styleId="32">
    <w:name w:val="No Spacing"/>
    <w:qFormat/>
    <w:uiPriority w:val="1"/>
    <w:pPr>
      <w:widowControl w:val="0"/>
      <w:jc w:val="both"/>
    </w:pPr>
    <w:rPr>
      <w:rFonts w:eastAsia="思源黑体 CN Light"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2663</Words>
  <Characters>2978</Characters>
  <TotalTime>40</TotalTime>
  <ScaleCrop>false</ScaleCrop>
  <LinksUpToDate>false</LinksUpToDate>
  <CharactersWithSpaces>3045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2024-04-23T01:39:00Z</dcterms:created>
  <dc:creator>Administrator</dc:creator>
  <cp:lastModifiedBy>.+『猫•腻』</cp:lastModifiedBy>
  <dcterms:modified xsi:type="dcterms:W3CDTF">2025-01-06T13:12:25Z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2024-04-22T17:39:26Z</vt:filetime>
  </property>
  <property fmtid="{D5CDD505-2E9C-101B-9397-08002B2CF9AE}" pid="4" name="UsrData">
    <vt:lpwstr>6626303b6ed6f9001f5f3b46wl</vt:lpwstr>
  </property>
  <property fmtid="{D5CDD505-2E9C-101B-9397-08002B2CF9AE}" pid="5" name="KSOProductBuildVer">
    <vt:lpwstr>2052-12.1.0.19770</vt:lpwstr>
  </property>
  <property fmtid="{D5CDD505-2E9C-101B-9397-08002B2CF9AE}" pid="6" name="ICV">
    <vt:lpwstr>67AFA8609F334A3A8C4E96553EC05A2F_13</vt:lpwstr>
  </property>
  <property fmtid="{D5CDD505-2E9C-101B-9397-08002B2CF9AE}" pid="7" name="KSOTemplateDocerSaveRecord">
    <vt:lpwstr>eyJoZGlkIjoiNzk5MGMyMGE3NzgzNTQ5NWY5OTQ2YjYwNzEzZTc5ZDgiLCJ1c2VySWQiOiI1MjMzMDYxODIifQ==</vt:lpwstr>
  </property>
</Properties>
</file>