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78CD8">
      <w:pPr>
        <w:jc w:val="center"/>
        <w:rPr>
          <w:rFonts w:hint="eastAsia" w:ascii="黑体" w:hAnsi="宋体" w:eastAsia="黑体" w:cs="Times New Roman"/>
          <w:bCs/>
          <w:spacing w:val="-12"/>
          <w:sz w:val="56"/>
          <w:szCs w:val="56"/>
          <w:lang w:val="en-US" w:eastAsia="zh-CN"/>
        </w:rPr>
      </w:pPr>
      <w:bookmarkStart w:id="0" w:name="_Toc12764"/>
      <w:r>
        <w:rPr>
          <w:rFonts w:hint="eastAsia" w:ascii="黑体" w:hAnsi="宋体" w:eastAsia="黑体" w:cs="Times New Roman"/>
          <w:bCs/>
          <w:spacing w:val="-12"/>
          <w:sz w:val="56"/>
          <w:szCs w:val="56"/>
          <w:lang w:val="en-US" w:eastAsia="zh-CN"/>
        </w:rPr>
        <w:t xml:space="preserve"> 温宿县人民医院眼耳鼻喉科、泌尿外科进口医疗设备采购项目</w:t>
      </w:r>
    </w:p>
    <w:p w14:paraId="2E69C2F0">
      <w:pPr>
        <w:jc w:val="center"/>
        <w:rPr>
          <w:rFonts w:hint="default" w:ascii="黑体" w:hAnsi="宋体" w:eastAsia="黑体"/>
          <w:color w:val="auto"/>
          <w:sz w:val="32"/>
          <w:szCs w:val="32"/>
          <w:lang w:val="en-US"/>
        </w:rPr>
      </w:pPr>
      <w:r>
        <w:rPr>
          <w:rFonts w:hint="eastAsia" w:ascii="黑体" w:hAnsi="宋体" w:eastAsia="黑体"/>
          <w:sz w:val="32"/>
          <w:szCs w:val="32"/>
          <w:lang w:eastAsia="zh-CN"/>
        </w:rPr>
        <w:t>项目编号：</w:t>
      </w:r>
      <w:r>
        <w:rPr>
          <w:rFonts w:hint="eastAsia" w:ascii="黑体" w:hAnsi="宋体" w:eastAsia="黑体"/>
          <w:color w:val="auto"/>
          <w:sz w:val="32"/>
          <w:szCs w:val="32"/>
          <w:lang w:val="en-US" w:eastAsia="zh-CN"/>
        </w:rPr>
        <w:t>WSFS-2024-07</w:t>
      </w:r>
    </w:p>
    <w:p w14:paraId="526B201A">
      <w:pPr>
        <w:jc w:val="center"/>
        <w:rPr>
          <w:rFonts w:hint="default" w:ascii="黑体" w:hAnsi="宋体" w:eastAsia="黑体"/>
          <w:bCs/>
          <w:sz w:val="24"/>
          <w:szCs w:val="24"/>
          <w:lang w:val="en-US" w:eastAsia="zh-CN"/>
        </w:rPr>
      </w:pPr>
    </w:p>
    <w:p w14:paraId="7A7C6C4E">
      <w:pPr>
        <w:jc w:val="center"/>
        <w:rPr>
          <w:rFonts w:ascii="黑体" w:hAnsi="宋体" w:eastAsia="黑体"/>
          <w:bCs/>
          <w:sz w:val="24"/>
          <w:szCs w:val="24"/>
        </w:rPr>
      </w:pPr>
    </w:p>
    <w:p w14:paraId="2C7029DB">
      <w:pPr>
        <w:tabs>
          <w:tab w:val="left" w:pos="8040"/>
        </w:tabs>
        <w:jc w:val="left"/>
        <w:rPr>
          <w:rFonts w:ascii="黑体" w:hAnsi="宋体" w:eastAsia="黑体"/>
          <w:bCs/>
          <w:sz w:val="24"/>
          <w:szCs w:val="24"/>
        </w:rPr>
      </w:pPr>
      <w:r>
        <w:rPr>
          <w:rFonts w:ascii="黑体" w:hAnsi="宋体" w:eastAsia="黑体"/>
          <w:bCs/>
          <w:sz w:val="24"/>
          <w:szCs w:val="24"/>
        </w:rPr>
        <w:tab/>
      </w:r>
    </w:p>
    <w:p w14:paraId="2624BBC4">
      <w:pPr>
        <w:jc w:val="center"/>
        <w:rPr>
          <w:rFonts w:ascii="黑体" w:hAnsi="宋体" w:eastAsia="黑体"/>
          <w:bCs/>
          <w:sz w:val="24"/>
          <w:szCs w:val="24"/>
        </w:rPr>
      </w:pPr>
    </w:p>
    <w:p w14:paraId="6515172C">
      <w:pPr>
        <w:jc w:val="center"/>
        <w:rPr>
          <w:rFonts w:ascii="黑体" w:hAnsi="宋体" w:eastAsia="黑体"/>
          <w:bCs/>
          <w:sz w:val="24"/>
          <w:szCs w:val="24"/>
        </w:rPr>
      </w:pPr>
    </w:p>
    <w:p w14:paraId="79E848E7">
      <w:pPr>
        <w:jc w:val="center"/>
        <w:rPr>
          <w:rFonts w:ascii="黑体" w:hAnsi="宋体" w:eastAsia="黑体"/>
          <w:bCs/>
          <w:sz w:val="24"/>
          <w:szCs w:val="24"/>
        </w:rPr>
      </w:pPr>
    </w:p>
    <w:p w14:paraId="4B46DAEC">
      <w:pPr>
        <w:jc w:val="center"/>
        <w:rPr>
          <w:rFonts w:ascii="黑体" w:hAnsi="宋体" w:eastAsia="黑体"/>
          <w:bCs/>
          <w:sz w:val="24"/>
          <w:szCs w:val="24"/>
        </w:rPr>
      </w:pPr>
    </w:p>
    <w:p w14:paraId="015C8B0D">
      <w:pPr>
        <w:jc w:val="center"/>
        <w:rPr>
          <w:rFonts w:ascii="黑体" w:hAnsi="宋体" w:eastAsia="黑体"/>
          <w:bCs/>
          <w:sz w:val="24"/>
          <w:szCs w:val="24"/>
        </w:rPr>
      </w:pPr>
    </w:p>
    <w:p w14:paraId="65112C1A">
      <w:pPr>
        <w:jc w:val="center"/>
        <w:rPr>
          <w:rFonts w:ascii="黑体" w:hAnsi="宋体" w:eastAsia="黑体"/>
          <w:bCs/>
          <w:sz w:val="24"/>
          <w:szCs w:val="24"/>
        </w:rPr>
      </w:pPr>
    </w:p>
    <w:p w14:paraId="67000217">
      <w:pPr>
        <w:jc w:val="center"/>
        <w:outlineLvl w:val="0"/>
        <w:rPr>
          <w:rFonts w:ascii="黑体" w:hAnsi="宋体" w:eastAsia="黑体"/>
          <w:sz w:val="80"/>
          <w:szCs w:val="80"/>
        </w:rPr>
      </w:pPr>
      <w:bookmarkStart w:id="1" w:name="_Toc10362"/>
      <w:bookmarkStart w:id="2" w:name="_Toc31878"/>
      <w:bookmarkStart w:id="3" w:name="_Toc6248"/>
      <w:r>
        <w:rPr>
          <w:rFonts w:hint="eastAsia" w:ascii="黑体" w:hAnsi="宋体" w:eastAsia="黑体"/>
          <w:sz w:val="80"/>
          <w:szCs w:val="80"/>
        </w:rPr>
        <w:t>招标文件</w:t>
      </w:r>
      <w:bookmarkEnd w:id="1"/>
      <w:bookmarkEnd w:id="2"/>
      <w:bookmarkEnd w:id="3"/>
    </w:p>
    <w:p w14:paraId="5EA0A992">
      <w:pPr>
        <w:jc w:val="center"/>
        <w:rPr>
          <w:rFonts w:ascii="黑体" w:hAnsi="宋体" w:eastAsia="黑体"/>
          <w:bCs/>
          <w:sz w:val="24"/>
          <w:szCs w:val="24"/>
        </w:rPr>
      </w:pPr>
    </w:p>
    <w:p w14:paraId="5B1FED39">
      <w:pPr>
        <w:jc w:val="center"/>
        <w:rPr>
          <w:rFonts w:ascii="黑体" w:hAnsi="宋体" w:eastAsia="黑体"/>
          <w:bCs/>
          <w:sz w:val="24"/>
          <w:szCs w:val="24"/>
        </w:rPr>
      </w:pPr>
    </w:p>
    <w:p w14:paraId="6C35FB8B">
      <w:pPr>
        <w:jc w:val="center"/>
        <w:rPr>
          <w:rFonts w:ascii="黑体" w:hAnsi="宋体" w:eastAsia="黑体"/>
          <w:bCs/>
          <w:sz w:val="24"/>
          <w:szCs w:val="24"/>
        </w:rPr>
      </w:pPr>
    </w:p>
    <w:p w14:paraId="44AA11C2">
      <w:pPr>
        <w:jc w:val="center"/>
        <w:rPr>
          <w:rFonts w:ascii="黑体" w:hAnsi="宋体" w:eastAsia="黑体"/>
          <w:bCs/>
          <w:sz w:val="24"/>
          <w:szCs w:val="24"/>
        </w:rPr>
      </w:pPr>
    </w:p>
    <w:p w14:paraId="3711B307">
      <w:pPr>
        <w:jc w:val="center"/>
        <w:rPr>
          <w:rFonts w:ascii="黑体" w:hAnsi="宋体" w:eastAsia="黑体"/>
          <w:bCs/>
          <w:sz w:val="24"/>
          <w:szCs w:val="24"/>
        </w:rPr>
      </w:pPr>
    </w:p>
    <w:p w14:paraId="78C6F170">
      <w:pPr>
        <w:rPr>
          <w:rFonts w:ascii="黑体" w:hAnsi="宋体" w:eastAsia="黑体"/>
          <w:bCs/>
          <w:sz w:val="24"/>
          <w:szCs w:val="24"/>
        </w:rPr>
      </w:pPr>
    </w:p>
    <w:p w14:paraId="67C5D278">
      <w:pPr>
        <w:rPr>
          <w:rFonts w:ascii="黑体" w:hAnsi="宋体" w:eastAsia="黑体"/>
          <w:bCs/>
          <w:sz w:val="24"/>
          <w:szCs w:val="24"/>
        </w:rPr>
      </w:pPr>
    </w:p>
    <w:p w14:paraId="58884DBB">
      <w:pPr>
        <w:rPr>
          <w:rFonts w:ascii="黑体" w:hAnsi="宋体" w:eastAsia="黑体"/>
          <w:bCs/>
          <w:sz w:val="24"/>
          <w:szCs w:val="24"/>
        </w:rPr>
      </w:pPr>
    </w:p>
    <w:p w14:paraId="1CA4634F">
      <w:pPr>
        <w:rPr>
          <w:rFonts w:ascii="黑体" w:hAnsi="宋体" w:eastAsia="黑体"/>
          <w:bCs/>
          <w:sz w:val="24"/>
          <w:szCs w:val="24"/>
        </w:rPr>
      </w:pPr>
    </w:p>
    <w:p w14:paraId="0D10F314">
      <w:pPr>
        <w:rPr>
          <w:rFonts w:ascii="黑体" w:hAnsi="宋体" w:eastAsia="黑体"/>
          <w:bCs/>
          <w:sz w:val="24"/>
          <w:szCs w:val="24"/>
        </w:rPr>
      </w:pPr>
    </w:p>
    <w:p w14:paraId="617479AA">
      <w:pPr>
        <w:rPr>
          <w:rFonts w:ascii="黑体" w:hAnsi="宋体" w:eastAsia="黑体"/>
          <w:bCs/>
          <w:sz w:val="24"/>
          <w:szCs w:val="24"/>
        </w:rPr>
      </w:pPr>
    </w:p>
    <w:p w14:paraId="22361853">
      <w:pPr>
        <w:rPr>
          <w:rFonts w:ascii="黑体" w:hAnsi="宋体" w:eastAsia="黑体"/>
          <w:bCs/>
          <w:sz w:val="24"/>
          <w:szCs w:val="24"/>
        </w:rPr>
      </w:pPr>
    </w:p>
    <w:p w14:paraId="53C353B1">
      <w:pPr>
        <w:jc w:val="center"/>
        <w:rPr>
          <w:rFonts w:ascii="黑体" w:hAnsi="宋体" w:eastAsia="黑体"/>
          <w:bCs/>
          <w:sz w:val="24"/>
          <w:szCs w:val="24"/>
        </w:rPr>
      </w:pPr>
    </w:p>
    <w:p w14:paraId="6AF17EE9">
      <w:pPr>
        <w:jc w:val="center"/>
        <w:rPr>
          <w:rFonts w:hint="default" w:ascii="黑体" w:hAnsi="宋体" w:eastAsia="黑体"/>
          <w:bCs/>
          <w:sz w:val="24"/>
          <w:szCs w:val="24"/>
          <w:lang w:val="en-US" w:eastAsia="zh-CN"/>
        </w:rPr>
      </w:pPr>
      <w:r>
        <w:rPr>
          <w:rFonts w:hint="eastAsia" w:ascii="黑体" w:hAnsi="宋体" w:eastAsia="黑体"/>
          <w:bCs/>
          <w:sz w:val="24"/>
          <w:szCs w:val="24"/>
          <w:lang w:val="en-US" w:eastAsia="zh-CN"/>
        </w:rPr>
        <w:t xml:space="preserve">   </w:t>
      </w:r>
    </w:p>
    <w:p w14:paraId="227A1E85">
      <w:pPr>
        <w:spacing w:line="300" w:lineRule="auto"/>
        <w:jc w:val="both"/>
        <w:rPr>
          <w:rFonts w:hint="default" w:ascii="黑体" w:hAnsi="宋体" w:eastAsia="黑体" w:cs="Times New Roman"/>
          <w:color w:val="auto"/>
          <w:sz w:val="30"/>
          <w:szCs w:val="30"/>
          <w:lang w:val="en-US" w:eastAsia="zh-CN"/>
        </w:rPr>
      </w:pPr>
      <w:r>
        <w:rPr>
          <w:rFonts w:hint="eastAsia" w:ascii="黑体" w:hAnsi="宋体" w:eastAsia="黑体"/>
          <w:color w:val="auto"/>
          <w:sz w:val="30"/>
          <w:szCs w:val="30"/>
          <w:lang w:val="en-US" w:eastAsia="zh-CN"/>
        </w:rPr>
        <w:t>招 标 人</w:t>
      </w:r>
      <w:r>
        <w:rPr>
          <w:rFonts w:hint="eastAsia" w:ascii="黑体" w:hAnsi="宋体" w:eastAsia="黑体" w:cs="Times New Roman"/>
          <w:color w:val="auto"/>
          <w:sz w:val="30"/>
          <w:szCs w:val="30"/>
          <w:lang w:eastAsia="zh-CN"/>
        </w:rPr>
        <w:t>：</w:t>
      </w:r>
      <w:r>
        <w:rPr>
          <w:rFonts w:hint="eastAsia" w:ascii="黑体" w:hAnsi="宋体" w:eastAsia="黑体" w:cs="Times New Roman"/>
          <w:color w:val="auto"/>
          <w:sz w:val="30"/>
          <w:szCs w:val="30"/>
          <w:lang w:val="en-US" w:eastAsia="zh-CN"/>
        </w:rPr>
        <w:t xml:space="preserve">温宿县人民医院   </w:t>
      </w:r>
    </w:p>
    <w:p w14:paraId="5BF9E520">
      <w:pPr>
        <w:spacing w:line="360" w:lineRule="auto"/>
        <w:rPr>
          <w:rFonts w:hint="eastAsia" w:ascii="黑体" w:hAnsi="宋体" w:eastAsia="黑体" w:cs="Times New Roman"/>
          <w:color w:val="auto"/>
          <w:sz w:val="30"/>
          <w:szCs w:val="30"/>
          <w:lang w:eastAsia="zh-CN"/>
        </w:rPr>
      </w:pPr>
      <w:r>
        <w:rPr>
          <w:rFonts w:hint="eastAsia" w:ascii="黑体" w:hAnsi="宋体" w:eastAsia="黑体"/>
          <w:color w:val="auto"/>
          <w:sz w:val="30"/>
          <w:szCs w:val="30"/>
          <w:lang w:val="en-US" w:eastAsia="zh-CN"/>
        </w:rPr>
        <w:t>招标</w:t>
      </w:r>
      <w:r>
        <w:rPr>
          <w:rFonts w:hint="eastAsia" w:ascii="黑体" w:hAnsi="宋体" w:eastAsia="黑体"/>
          <w:color w:val="auto"/>
          <w:sz w:val="30"/>
          <w:szCs w:val="30"/>
        </w:rPr>
        <w:t>代理机构：</w:t>
      </w:r>
      <w:r>
        <w:rPr>
          <w:rFonts w:hint="eastAsia" w:ascii="黑体" w:hAnsi="宋体" w:eastAsia="黑体" w:cs="Times New Roman"/>
          <w:color w:val="auto"/>
          <w:sz w:val="30"/>
          <w:szCs w:val="30"/>
          <w:lang w:eastAsia="zh-CN"/>
        </w:rPr>
        <w:t>新疆崇瑞工程项目管理有限公司</w:t>
      </w:r>
    </w:p>
    <w:p w14:paraId="582E35F5">
      <w:pPr>
        <w:jc w:val="center"/>
        <w:rPr>
          <w:rFonts w:ascii="黑体" w:hAnsi="黑体" w:eastAsia="黑体" w:cs="黑体"/>
          <w:sz w:val="28"/>
          <w:szCs w:val="28"/>
        </w:rPr>
      </w:pPr>
    </w:p>
    <w:p w14:paraId="3C1578EC">
      <w:pPr>
        <w:jc w:val="center"/>
        <w:rPr>
          <w:rFonts w:ascii="黑体" w:hAnsi="黑体" w:eastAsia="黑体" w:cs="黑体"/>
          <w:sz w:val="28"/>
          <w:szCs w:val="28"/>
        </w:rPr>
        <w:sectPr>
          <w:pgSz w:w="11906" w:h="16838"/>
          <w:pgMar w:top="1440" w:right="1440" w:bottom="1440" w:left="1440" w:header="851" w:footer="992" w:gutter="0"/>
          <w:cols w:space="0" w:num="1"/>
          <w:docGrid w:type="lines" w:linePitch="317" w:charSpace="0"/>
        </w:sectPr>
      </w:pPr>
      <w:r>
        <w:rPr>
          <w:rFonts w:hint="eastAsia" w:ascii="黑体" w:hAnsi="黑体" w:eastAsia="黑体" w:cs="黑体"/>
          <w:sz w:val="28"/>
          <w:szCs w:val="28"/>
        </w:rPr>
        <w:t>二</w:t>
      </w:r>
      <w:r>
        <w:rPr>
          <w:rFonts w:hint="eastAsia" w:ascii="黑体" w:hAnsi="黑体" w:eastAsia="黑体" w:cs="黑体"/>
          <w:sz w:val="28"/>
          <w:szCs w:val="28"/>
          <w:lang w:val="en-US" w:eastAsia="zh-CN"/>
        </w:rPr>
        <w:t>O二五</w:t>
      </w:r>
      <w:r>
        <w:rPr>
          <w:rFonts w:hint="eastAsia" w:ascii="黑体" w:hAnsi="黑体" w:eastAsia="黑体" w:cs="黑体"/>
          <w:sz w:val="28"/>
          <w:szCs w:val="28"/>
        </w:rPr>
        <w:t>年</w:t>
      </w:r>
      <w:r>
        <w:rPr>
          <w:rFonts w:hint="eastAsia" w:ascii="黑体" w:hAnsi="黑体" w:eastAsia="黑体" w:cs="黑体"/>
          <w:sz w:val="28"/>
          <w:szCs w:val="28"/>
          <w:lang w:val="en-US" w:eastAsia="zh-CN"/>
        </w:rPr>
        <w:t>二</w:t>
      </w:r>
      <w:r>
        <w:rPr>
          <w:rFonts w:hint="eastAsia" w:ascii="黑体" w:hAnsi="黑体" w:eastAsia="黑体" w:cs="黑体"/>
          <w:sz w:val="28"/>
          <w:szCs w:val="28"/>
        </w:rPr>
        <w:t>月</w:t>
      </w:r>
    </w:p>
    <w:p w14:paraId="731B5285">
      <w:pPr>
        <w:spacing w:beforeLines="100"/>
        <w:jc w:val="center"/>
        <w:outlineLvl w:val="0"/>
        <w:rPr>
          <w:sz w:val="22"/>
          <w:szCs w:val="24"/>
        </w:rPr>
      </w:pPr>
      <w:bookmarkStart w:id="4" w:name="_Toc31772"/>
      <w:bookmarkStart w:id="5" w:name="_Toc32098"/>
      <w:r>
        <w:rPr>
          <w:rFonts w:hint="eastAsia" w:ascii="黑体" w:hAnsi="黑体" w:eastAsia="黑体" w:cs="黑体"/>
          <w:sz w:val="36"/>
          <w:szCs w:val="36"/>
        </w:rPr>
        <w:t>货物采购招标文件</w:t>
      </w:r>
      <w:bookmarkEnd w:id="4"/>
      <w:bookmarkEnd w:id="5"/>
    </w:p>
    <w:p w14:paraId="177A57F9">
      <w:pPr>
        <w:spacing w:line="480" w:lineRule="auto"/>
        <w:rPr>
          <w:rFonts w:hint="eastAsia" w:ascii="宋体" w:hAnsi="宋体" w:eastAsia="宋体" w:cs="宋体"/>
          <w:sz w:val="28"/>
          <w:szCs w:val="28"/>
        </w:rPr>
      </w:pPr>
    </w:p>
    <w:p w14:paraId="58DC5EF2">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项 目 名 称：温宿县人民医院眼耳鼻喉科、泌尿外科进口医疗设备采购项目</w:t>
      </w:r>
    </w:p>
    <w:p w14:paraId="0FFD9526">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招  标  人（公章）：温宿县人民医院   </w:t>
      </w:r>
    </w:p>
    <w:p w14:paraId="3567CBCF">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法定代表人（签字或盖章）： </w:t>
      </w:r>
    </w:p>
    <w:p w14:paraId="6D5BF842">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人：李成玉</w:t>
      </w:r>
    </w:p>
    <w:p w14:paraId="29E6D842">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话：0997-4531457</w:t>
      </w:r>
    </w:p>
    <w:p w14:paraId="2651AE89">
      <w:pPr>
        <w:spacing w:line="480" w:lineRule="auto"/>
        <w:ind w:firstLine="840" w:firstLineChars="300"/>
        <w:rPr>
          <w:rFonts w:hint="eastAsia" w:ascii="仿宋" w:hAnsi="仿宋" w:eastAsia="仿宋" w:cs="Times New Roman"/>
          <w:color w:val="auto"/>
          <w:sz w:val="28"/>
          <w:szCs w:val="28"/>
          <w:lang w:val="en-US" w:eastAsia="zh-CN"/>
        </w:rPr>
      </w:pPr>
    </w:p>
    <w:p w14:paraId="5CB2C8C3">
      <w:pPr>
        <w:spacing w:line="480" w:lineRule="auto"/>
        <w:ind w:firstLine="840" w:firstLineChars="300"/>
        <w:rPr>
          <w:rFonts w:hint="eastAsia" w:ascii="仿宋" w:hAnsi="仿宋" w:eastAsia="仿宋" w:cs="Times New Roman"/>
          <w:color w:val="auto"/>
          <w:sz w:val="28"/>
          <w:szCs w:val="28"/>
          <w:lang w:val="en-US" w:eastAsia="zh-CN"/>
        </w:rPr>
      </w:pPr>
    </w:p>
    <w:p w14:paraId="715311C6">
      <w:pPr>
        <w:spacing w:line="480" w:lineRule="auto"/>
        <w:ind w:firstLine="840" w:firstLineChars="300"/>
        <w:rPr>
          <w:rFonts w:hint="eastAsia" w:ascii="仿宋" w:hAnsi="仿宋" w:eastAsia="仿宋" w:cs="Times New Roman"/>
          <w:color w:val="auto"/>
          <w:sz w:val="28"/>
          <w:szCs w:val="28"/>
          <w:lang w:val="en-US" w:eastAsia="zh-CN"/>
        </w:rPr>
      </w:pPr>
    </w:p>
    <w:p w14:paraId="2047FD07">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招标代理机构（公章）：新疆崇瑞工程项目管理有限公司</w:t>
      </w:r>
    </w:p>
    <w:p w14:paraId="7483D2DE">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法定代表人（签字或盖章）：</w:t>
      </w:r>
    </w:p>
    <w:p w14:paraId="18774003">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人：张文静</w:t>
      </w:r>
    </w:p>
    <w:p w14:paraId="678B455F">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话：15569048818</w:t>
      </w:r>
    </w:p>
    <w:p w14:paraId="1AF367C6">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联系地址：阿克苏市健康南路电力小区1号住宅楼3单元1001室</w:t>
      </w:r>
    </w:p>
    <w:p w14:paraId="2E0CD0D7">
      <w:pPr>
        <w:spacing w:line="480" w:lineRule="auto"/>
        <w:rPr>
          <w:rFonts w:hint="eastAsia" w:ascii="仿宋" w:hAnsi="仿宋" w:eastAsia="仿宋" w:cs="Times New Roman"/>
          <w:color w:val="auto"/>
          <w:sz w:val="28"/>
          <w:szCs w:val="28"/>
          <w:lang w:val="en-US" w:eastAsia="zh-CN"/>
        </w:rPr>
      </w:pPr>
    </w:p>
    <w:p w14:paraId="366953C8">
      <w:pPr>
        <w:spacing w:line="480" w:lineRule="auto"/>
        <w:rPr>
          <w:rFonts w:hint="eastAsia" w:ascii="仿宋" w:hAnsi="仿宋" w:eastAsia="仿宋" w:cs="Times New Roman"/>
          <w:color w:val="auto"/>
          <w:sz w:val="28"/>
          <w:szCs w:val="28"/>
          <w:lang w:val="en-US" w:eastAsia="zh-CN"/>
        </w:rPr>
      </w:pPr>
    </w:p>
    <w:p w14:paraId="4B77F737">
      <w:pPr>
        <w:spacing w:line="480" w:lineRule="auto"/>
        <w:jc w:val="center"/>
        <w:rPr>
          <w:rFonts w:hint="eastAsia" w:ascii="仿宋" w:hAnsi="仿宋" w:eastAsia="仿宋" w:cs="Times New Roman"/>
          <w:color w:val="auto"/>
          <w:sz w:val="28"/>
          <w:szCs w:val="28"/>
          <w:lang w:val="en-US" w:eastAsia="zh-CN"/>
        </w:rPr>
        <w:sectPr>
          <w:footerReference r:id="rId3" w:type="default"/>
          <w:pgSz w:w="11906" w:h="16838"/>
          <w:pgMar w:top="1440" w:right="1440" w:bottom="1440" w:left="1440" w:header="851" w:footer="992" w:gutter="0"/>
          <w:pgNumType w:start="1"/>
          <w:cols w:space="0" w:num="1"/>
          <w:docGrid w:type="lines" w:linePitch="317" w:charSpace="0"/>
        </w:sectPr>
      </w:pPr>
      <w:r>
        <w:rPr>
          <w:rFonts w:hint="eastAsia" w:ascii="仿宋" w:hAnsi="仿宋" w:eastAsia="仿宋" w:cs="Times New Roman"/>
          <w:color w:val="auto"/>
          <w:sz w:val="28"/>
          <w:szCs w:val="28"/>
          <w:lang w:val="en-US" w:eastAsia="zh-CN"/>
        </w:rPr>
        <w:t>2025年02月07日</w:t>
      </w:r>
    </w:p>
    <w:bookmarkEnd w:id="0"/>
    <w:p w14:paraId="3F22B25A">
      <w:pPr>
        <w:jc w:val="center"/>
        <w:outlineLvl w:val="0"/>
        <w:rPr>
          <w:rFonts w:ascii="黑体" w:hAnsi="黑体" w:eastAsia="黑体"/>
          <w:sz w:val="28"/>
          <w:szCs w:val="28"/>
          <w:highlight w:val="none"/>
        </w:rPr>
      </w:pPr>
      <w:bookmarkStart w:id="6" w:name="_Toc2425"/>
      <w:bookmarkStart w:id="7" w:name="_Toc31759"/>
      <w:bookmarkStart w:id="8" w:name="_Toc5703"/>
      <w:r>
        <w:rPr>
          <w:rFonts w:ascii="黑体" w:hAnsi="黑体" w:eastAsia="黑体"/>
          <w:sz w:val="32"/>
          <w:szCs w:val="32"/>
          <w:highlight w:val="none"/>
        </w:rPr>
        <w:t>目</w:t>
      </w:r>
      <w:r>
        <w:rPr>
          <w:rFonts w:hint="eastAsia" w:ascii="黑体" w:hAnsi="黑体" w:eastAsia="黑体"/>
          <w:sz w:val="32"/>
          <w:szCs w:val="32"/>
          <w:highlight w:val="none"/>
        </w:rPr>
        <w:t xml:space="preserve">  </w:t>
      </w:r>
      <w:r>
        <w:rPr>
          <w:rFonts w:ascii="黑体" w:hAnsi="黑体" w:eastAsia="黑体"/>
          <w:sz w:val="32"/>
          <w:szCs w:val="32"/>
          <w:highlight w:val="none"/>
        </w:rPr>
        <w:t>录</w:t>
      </w:r>
      <w:bookmarkEnd w:id="6"/>
      <w:bookmarkEnd w:id="7"/>
      <w:bookmarkEnd w:id="8"/>
    </w:p>
    <w:p w14:paraId="2D818B46">
      <w:pPr>
        <w:pStyle w:val="21"/>
        <w:tabs>
          <w:tab w:val="right" w:leader="dot" w:pos="9026"/>
        </w:tabs>
      </w:pPr>
      <w:r>
        <w:rPr>
          <w:rFonts w:ascii="黑体" w:hAnsi="黑体" w:eastAsia="黑体"/>
          <w:sz w:val="24"/>
          <w:szCs w:val="24"/>
        </w:rPr>
        <w:fldChar w:fldCharType="begin"/>
      </w:r>
      <w:r>
        <w:rPr>
          <w:rFonts w:ascii="黑体" w:hAnsi="黑体" w:eastAsia="黑体"/>
          <w:sz w:val="24"/>
          <w:szCs w:val="24"/>
        </w:rPr>
        <w:instrText xml:space="preserve">TOC \o "1-3" \h \u </w:instrText>
      </w:r>
      <w:r>
        <w:rPr>
          <w:rFonts w:ascii="黑体" w:hAnsi="黑体" w:eastAsia="黑体"/>
          <w:sz w:val="24"/>
          <w:szCs w:val="24"/>
        </w:rPr>
        <w:fldChar w:fldCharType="separate"/>
      </w:r>
      <w:r>
        <w:rPr>
          <w:rFonts w:ascii="黑体" w:hAnsi="黑体" w:eastAsia="黑体"/>
          <w:szCs w:val="24"/>
        </w:rPr>
        <w:fldChar w:fldCharType="begin"/>
      </w:r>
      <w:r>
        <w:rPr>
          <w:rFonts w:ascii="黑体" w:hAnsi="黑体" w:eastAsia="黑体"/>
          <w:szCs w:val="24"/>
        </w:rPr>
        <w:instrText xml:space="preserve"> HYPERLINK \l _Toc10362 </w:instrText>
      </w:r>
      <w:r>
        <w:rPr>
          <w:rFonts w:ascii="黑体" w:hAnsi="黑体" w:eastAsia="黑体"/>
          <w:szCs w:val="24"/>
        </w:rPr>
        <w:fldChar w:fldCharType="separate"/>
      </w:r>
      <w:r>
        <w:rPr>
          <w:rFonts w:hint="eastAsia" w:ascii="黑体" w:hAnsi="宋体" w:eastAsia="黑体"/>
          <w:szCs w:val="80"/>
        </w:rPr>
        <w:t>招标文件</w:t>
      </w:r>
      <w:r>
        <w:tab/>
      </w:r>
      <w:r>
        <w:fldChar w:fldCharType="begin"/>
      </w:r>
      <w:r>
        <w:instrText xml:space="preserve"> PAGEREF _Toc10362 \h </w:instrText>
      </w:r>
      <w:r>
        <w:fldChar w:fldCharType="separate"/>
      </w:r>
      <w:r>
        <w:t>1</w:t>
      </w:r>
      <w:r>
        <w:fldChar w:fldCharType="end"/>
      </w:r>
      <w:r>
        <w:rPr>
          <w:rFonts w:ascii="黑体" w:hAnsi="黑体" w:eastAsia="黑体"/>
          <w:szCs w:val="24"/>
        </w:rPr>
        <w:fldChar w:fldCharType="end"/>
      </w:r>
    </w:p>
    <w:p w14:paraId="6EC3EBAF">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_Toc31772 </w:instrText>
      </w:r>
      <w:r>
        <w:rPr>
          <w:rFonts w:ascii="黑体" w:hAnsi="黑体" w:eastAsia="黑体"/>
          <w:szCs w:val="24"/>
        </w:rPr>
        <w:fldChar w:fldCharType="separate"/>
      </w:r>
      <w:r>
        <w:rPr>
          <w:rFonts w:hint="eastAsia" w:ascii="黑体" w:hAnsi="黑体" w:eastAsia="黑体" w:cs="黑体"/>
          <w:szCs w:val="36"/>
        </w:rPr>
        <w:t>货物采购招标文件</w:t>
      </w:r>
      <w:r>
        <w:tab/>
      </w:r>
      <w:r>
        <w:fldChar w:fldCharType="begin"/>
      </w:r>
      <w:r>
        <w:instrText xml:space="preserve"> PAGEREF _Toc31772 \h </w:instrText>
      </w:r>
      <w:r>
        <w:fldChar w:fldCharType="separate"/>
      </w:r>
      <w:r>
        <w:t>1</w:t>
      </w:r>
      <w:r>
        <w:fldChar w:fldCharType="end"/>
      </w:r>
      <w:r>
        <w:rPr>
          <w:rFonts w:ascii="黑体" w:hAnsi="黑体" w:eastAsia="黑体"/>
          <w:szCs w:val="24"/>
        </w:rPr>
        <w:fldChar w:fldCharType="end"/>
      </w:r>
    </w:p>
    <w:p w14:paraId="7DA4320D">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_Toc5703 </w:instrText>
      </w:r>
      <w:r>
        <w:rPr>
          <w:rFonts w:ascii="黑体" w:hAnsi="黑体" w:eastAsia="黑体"/>
          <w:szCs w:val="24"/>
        </w:rPr>
        <w:fldChar w:fldCharType="separate"/>
      </w:r>
      <w:r>
        <w:rPr>
          <w:rFonts w:ascii="黑体" w:hAnsi="黑体" w:eastAsia="黑体"/>
          <w:szCs w:val="32"/>
          <w:highlight w:val="none"/>
        </w:rPr>
        <w:t>目</w:t>
      </w:r>
      <w:r>
        <w:rPr>
          <w:rFonts w:hint="eastAsia" w:ascii="黑体" w:hAnsi="黑体" w:eastAsia="黑体"/>
          <w:szCs w:val="32"/>
          <w:highlight w:val="none"/>
        </w:rPr>
        <w:t xml:space="preserve">  </w:t>
      </w:r>
      <w:r>
        <w:rPr>
          <w:rFonts w:ascii="黑体" w:hAnsi="黑体" w:eastAsia="黑体"/>
          <w:szCs w:val="32"/>
          <w:highlight w:val="none"/>
        </w:rPr>
        <w:t>录</w:t>
      </w:r>
      <w:r>
        <w:tab/>
      </w:r>
      <w:r>
        <w:fldChar w:fldCharType="begin"/>
      </w:r>
      <w:r>
        <w:instrText xml:space="preserve"> PAGEREF _Toc5703 \h </w:instrText>
      </w:r>
      <w:r>
        <w:fldChar w:fldCharType="separate"/>
      </w:r>
      <w:r>
        <w:t>1</w:t>
      </w:r>
      <w:r>
        <w:fldChar w:fldCharType="end"/>
      </w:r>
      <w:r>
        <w:rPr>
          <w:rFonts w:ascii="黑体" w:hAnsi="黑体" w:eastAsia="黑体"/>
          <w:szCs w:val="24"/>
        </w:rPr>
        <w:fldChar w:fldCharType="end"/>
      </w:r>
    </w:p>
    <w:p w14:paraId="1DC73CF7">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_Toc518 </w:instrText>
      </w:r>
      <w:r>
        <w:rPr>
          <w:rFonts w:ascii="黑体" w:hAnsi="黑体" w:eastAsia="黑体"/>
          <w:szCs w:val="24"/>
        </w:rPr>
        <w:fldChar w:fldCharType="separate"/>
      </w:r>
      <w:r>
        <w:rPr>
          <w:rFonts w:hint="eastAsia" w:ascii="黑体" w:hAnsi="黑体" w:eastAsia="黑体"/>
          <w:szCs w:val="32"/>
        </w:rPr>
        <w:t>第一章  招标公告</w:t>
      </w:r>
      <w:r>
        <w:tab/>
      </w:r>
      <w:r>
        <w:fldChar w:fldCharType="begin"/>
      </w:r>
      <w:r>
        <w:instrText xml:space="preserve"> PAGEREF _Toc518 \h </w:instrText>
      </w:r>
      <w:r>
        <w:fldChar w:fldCharType="separate"/>
      </w:r>
      <w:r>
        <w:t>3</w:t>
      </w:r>
      <w:r>
        <w:fldChar w:fldCharType="end"/>
      </w:r>
      <w:r>
        <w:rPr>
          <w:rFonts w:ascii="黑体" w:hAnsi="黑体" w:eastAsia="黑体"/>
          <w:szCs w:val="24"/>
        </w:rPr>
        <w:fldChar w:fldCharType="end"/>
      </w:r>
    </w:p>
    <w:p w14:paraId="65017A67">
      <w:pPr>
        <w:pStyle w:val="2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_Toc25525 </w:instrText>
      </w:r>
      <w:r>
        <w:rPr>
          <w:rFonts w:ascii="黑体" w:hAnsi="黑体" w:eastAsia="黑体"/>
          <w:szCs w:val="24"/>
        </w:rPr>
        <w:fldChar w:fldCharType="separate"/>
      </w:r>
      <w:r>
        <w:rPr>
          <w:rFonts w:ascii="黑体" w:hAnsi="黑体" w:eastAsia="黑体"/>
          <w:szCs w:val="32"/>
          <w:highlight w:val="none"/>
        </w:rPr>
        <w:t>第二章</w:t>
      </w:r>
      <w:r>
        <w:rPr>
          <w:rFonts w:hint="eastAsia" w:ascii="黑体" w:hAnsi="黑体" w:eastAsia="黑体"/>
          <w:szCs w:val="32"/>
          <w:highlight w:val="none"/>
        </w:rPr>
        <w:t xml:space="preserve">  投标人须知</w:t>
      </w:r>
      <w:r>
        <w:tab/>
      </w:r>
      <w:r>
        <w:fldChar w:fldCharType="begin"/>
      </w:r>
      <w:r>
        <w:instrText xml:space="preserve"> PAGEREF _Toc25525 \h </w:instrText>
      </w:r>
      <w:r>
        <w:fldChar w:fldCharType="separate"/>
      </w:r>
      <w:r>
        <w:t>9</w:t>
      </w:r>
      <w:r>
        <w:fldChar w:fldCharType="end"/>
      </w:r>
      <w:r>
        <w:rPr>
          <w:rFonts w:ascii="黑体" w:hAnsi="黑体" w:eastAsia="黑体"/>
          <w:szCs w:val="24"/>
        </w:rPr>
        <w:fldChar w:fldCharType="end"/>
      </w:r>
    </w:p>
    <w:p w14:paraId="77B0B87C">
      <w:pPr>
        <w:pStyle w:val="2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_Toc5329 </w:instrText>
      </w:r>
      <w:r>
        <w:rPr>
          <w:rFonts w:ascii="黑体" w:hAnsi="黑体" w:eastAsia="黑体"/>
          <w:szCs w:val="24"/>
        </w:rPr>
        <w:fldChar w:fldCharType="separate"/>
      </w:r>
      <w:r>
        <w:rPr>
          <w:rFonts w:hint="eastAsia" w:ascii="黑体" w:hAnsi="黑体" w:eastAsia="黑体" w:cs="Times New Roman"/>
          <w:szCs w:val="28"/>
          <w:highlight w:val="none"/>
        </w:rPr>
        <w:t>投标人须知前附表</w:t>
      </w:r>
      <w:r>
        <w:tab/>
      </w:r>
      <w:r>
        <w:fldChar w:fldCharType="begin"/>
      </w:r>
      <w:r>
        <w:instrText xml:space="preserve"> PAGEREF _Toc5329 \h </w:instrText>
      </w:r>
      <w:r>
        <w:fldChar w:fldCharType="separate"/>
      </w:r>
      <w:r>
        <w:t>9</w:t>
      </w:r>
      <w:r>
        <w:fldChar w:fldCharType="end"/>
      </w:r>
      <w:r>
        <w:rPr>
          <w:rFonts w:ascii="黑体" w:hAnsi="黑体" w:eastAsia="黑体"/>
          <w:szCs w:val="24"/>
        </w:rPr>
        <w:fldChar w:fldCharType="end"/>
      </w:r>
    </w:p>
    <w:p w14:paraId="22B072FF">
      <w:pPr>
        <w:pStyle w:val="2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_Toc28718 </w:instrText>
      </w:r>
      <w:r>
        <w:rPr>
          <w:rFonts w:ascii="黑体" w:hAnsi="黑体" w:eastAsia="黑体"/>
          <w:szCs w:val="24"/>
        </w:rPr>
        <w:fldChar w:fldCharType="separate"/>
      </w:r>
      <w:r>
        <w:rPr>
          <w:rFonts w:hint="eastAsia" w:ascii="黑体" w:hAnsi="黑体" w:eastAsia="黑体"/>
          <w:szCs w:val="28"/>
          <w:highlight w:val="none"/>
        </w:rPr>
        <w:t>投标人须知</w:t>
      </w:r>
      <w:r>
        <w:rPr>
          <w:rFonts w:hint="eastAsia" w:ascii="黑体" w:hAnsi="黑体" w:eastAsia="黑体"/>
          <w:szCs w:val="28"/>
          <w:highlight w:val="none"/>
          <w:lang w:val="en-US" w:eastAsia="zh-CN"/>
        </w:rPr>
        <w:t>正文</w:t>
      </w:r>
      <w:r>
        <w:tab/>
      </w:r>
      <w:r>
        <w:fldChar w:fldCharType="begin"/>
      </w:r>
      <w:r>
        <w:instrText xml:space="preserve"> PAGEREF _Toc28718 \h </w:instrText>
      </w:r>
      <w:r>
        <w:fldChar w:fldCharType="separate"/>
      </w:r>
      <w:r>
        <w:t>17</w:t>
      </w:r>
      <w:r>
        <w:fldChar w:fldCharType="end"/>
      </w:r>
      <w:r>
        <w:rPr>
          <w:rFonts w:ascii="黑体" w:hAnsi="黑体" w:eastAsia="黑体"/>
          <w:szCs w:val="24"/>
        </w:rPr>
        <w:fldChar w:fldCharType="end"/>
      </w:r>
    </w:p>
    <w:p w14:paraId="5C322BB5">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_Toc32375 </w:instrText>
      </w:r>
      <w:r>
        <w:rPr>
          <w:rFonts w:ascii="黑体" w:hAnsi="黑体" w:eastAsia="黑体"/>
          <w:szCs w:val="24"/>
        </w:rPr>
        <w:fldChar w:fldCharType="separate"/>
      </w:r>
      <w:r>
        <w:rPr>
          <w:rFonts w:ascii="楷体" w:hAnsi="楷体" w:eastAsia="楷体"/>
          <w:szCs w:val="28"/>
          <w:highlight w:val="none"/>
        </w:rPr>
        <w:t>1</w:t>
      </w:r>
      <w:r>
        <w:rPr>
          <w:rFonts w:hint="eastAsia" w:ascii="楷体" w:hAnsi="楷体" w:eastAsia="楷体"/>
          <w:szCs w:val="28"/>
          <w:highlight w:val="none"/>
        </w:rPr>
        <w:t>.招标依据以及原则</w:t>
      </w:r>
      <w:r>
        <w:tab/>
      </w:r>
      <w:r>
        <w:fldChar w:fldCharType="begin"/>
      </w:r>
      <w:r>
        <w:instrText xml:space="preserve"> PAGEREF _Toc32375 \h </w:instrText>
      </w:r>
      <w:r>
        <w:fldChar w:fldCharType="separate"/>
      </w:r>
      <w:r>
        <w:t>17</w:t>
      </w:r>
      <w:r>
        <w:fldChar w:fldCharType="end"/>
      </w:r>
      <w:r>
        <w:rPr>
          <w:rFonts w:ascii="黑体" w:hAnsi="黑体" w:eastAsia="黑体"/>
          <w:szCs w:val="24"/>
        </w:rPr>
        <w:fldChar w:fldCharType="end"/>
      </w:r>
    </w:p>
    <w:p w14:paraId="5B54E026">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_Toc27952 </w:instrText>
      </w:r>
      <w:r>
        <w:rPr>
          <w:rFonts w:ascii="黑体" w:hAnsi="黑体" w:eastAsia="黑体"/>
          <w:szCs w:val="24"/>
        </w:rPr>
        <w:fldChar w:fldCharType="separate"/>
      </w:r>
      <w:r>
        <w:rPr>
          <w:rFonts w:hint="eastAsia" w:ascii="楷体" w:hAnsi="楷体" w:eastAsia="楷体"/>
          <w:szCs w:val="28"/>
          <w:highlight w:val="none"/>
          <w:lang w:val="en-US" w:eastAsia="zh-CN"/>
        </w:rPr>
        <w:t>2.</w:t>
      </w:r>
      <w:r>
        <w:rPr>
          <w:rFonts w:hint="eastAsia" w:ascii="楷体" w:hAnsi="楷体" w:eastAsia="楷体"/>
          <w:szCs w:val="28"/>
          <w:highlight w:val="none"/>
        </w:rPr>
        <w:t>合格的投标人</w:t>
      </w:r>
      <w:r>
        <w:rPr>
          <w:rFonts w:hint="eastAsia" w:ascii="楷体" w:hAnsi="楷体" w:eastAsia="楷体" w:cs="Times New Roman"/>
          <w:szCs w:val="28"/>
          <w:lang w:eastAsia="zh-CN"/>
        </w:rPr>
        <w:t>（实质性要求）</w:t>
      </w:r>
      <w:r>
        <w:tab/>
      </w:r>
      <w:r>
        <w:fldChar w:fldCharType="begin"/>
      </w:r>
      <w:r>
        <w:instrText xml:space="preserve"> PAGEREF _Toc27952 \h </w:instrText>
      </w:r>
      <w:r>
        <w:fldChar w:fldCharType="separate"/>
      </w:r>
      <w:r>
        <w:t>17</w:t>
      </w:r>
      <w:r>
        <w:fldChar w:fldCharType="end"/>
      </w:r>
      <w:r>
        <w:rPr>
          <w:rFonts w:ascii="黑体" w:hAnsi="黑体" w:eastAsia="黑体"/>
          <w:szCs w:val="24"/>
        </w:rPr>
        <w:fldChar w:fldCharType="end"/>
      </w:r>
    </w:p>
    <w:p w14:paraId="659B067A">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_Toc9273 </w:instrText>
      </w:r>
      <w:r>
        <w:rPr>
          <w:rFonts w:ascii="黑体" w:hAnsi="黑体" w:eastAsia="黑体"/>
          <w:szCs w:val="24"/>
        </w:rPr>
        <w:fldChar w:fldCharType="separate"/>
      </w:r>
      <w:r>
        <w:rPr>
          <w:rFonts w:ascii="仿宋" w:hAnsi="仿宋" w:eastAsia="仿宋"/>
          <w:szCs w:val="24"/>
          <w:highlight w:val="none"/>
        </w:rPr>
        <w:t>2</w:t>
      </w:r>
      <w:r>
        <w:rPr>
          <w:rFonts w:hint="eastAsia" w:ascii="仿宋" w:hAnsi="仿宋" w:eastAsia="仿宋"/>
          <w:szCs w:val="24"/>
          <w:highlight w:val="none"/>
        </w:rPr>
        <w:t>.</w:t>
      </w:r>
      <w:r>
        <w:rPr>
          <w:rFonts w:ascii="仿宋" w:hAnsi="仿宋" w:eastAsia="仿宋"/>
          <w:szCs w:val="24"/>
          <w:highlight w:val="none"/>
        </w:rPr>
        <w:t>1</w:t>
      </w:r>
      <w:r>
        <w:rPr>
          <w:rFonts w:hint="eastAsia" w:ascii="仿宋" w:hAnsi="仿宋" w:eastAsia="仿宋"/>
          <w:szCs w:val="24"/>
          <w:highlight w:val="none"/>
        </w:rPr>
        <w:t>符合《中华人民共和国政府采购法》第二十二条规定的条件；</w:t>
      </w:r>
      <w:r>
        <w:tab/>
      </w:r>
      <w:r>
        <w:fldChar w:fldCharType="begin"/>
      </w:r>
      <w:r>
        <w:instrText xml:space="preserve"> PAGEREF _Toc9273 \h </w:instrText>
      </w:r>
      <w:r>
        <w:fldChar w:fldCharType="separate"/>
      </w:r>
      <w:r>
        <w:t>17</w:t>
      </w:r>
      <w:r>
        <w:fldChar w:fldCharType="end"/>
      </w:r>
      <w:r>
        <w:rPr>
          <w:rFonts w:ascii="黑体" w:hAnsi="黑体" w:eastAsia="黑体"/>
          <w:szCs w:val="24"/>
        </w:rPr>
        <w:fldChar w:fldCharType="end"/>
      </w:r>
    </w:p>
    <w:p w14:paraId="2E86540A">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_Toc17836 </w:instrText>
      </w:r>
      <w:r>
        <w:rPr>
          <w:rFonts w:ascii="黑体" w:hAnsi="黑体" w:eastAsia="黑体"/>
          <w:szCs w:val="24"/>
        </w:rPr>
        <w:fldChar w:fldCharType="separate"/>
      </w:r>
      <w:r>
        <w:rPr>
          <w:rFonts w:ascii="楷体" w:hAnsi="楷体" w:eastAsia="楷体"/>
          <w:szCs w:val="28"/>
          <w:highlight w:val="none"/>
        </w:rPr>
        <w:t>3</w:t>
      </w:r>
      <w:r>
        <w:rPr>
          <w:rFonts w:hint="eastAsia" w:ascii="楷体" w:hAnsi="楷体" w:eastAsia="楷体"/>
          <w:szCs w:val="28"/>
          <w:highlight w:val="none"/>
        </w:rPr>
        <w:t>.保密</w:t>
      </w:r>
      <w:r>
        <w:tab/>
      </w:r>
      <w:r>
        <w:fldChar w:fldCharType="begin"/>
      </w:r>
      <w:r>
        <w:instrText xml:space="preserve"> PAGEREF _Toc17836 \h </w:instrText>
      </w:r>
      <w:r>
        <w:fldChar w:fldCharType="separate"/>
      </w:r>
      <w:r>
        <w:t>18</w:t>
      </w:r>
      <w:r>
        <w:fldChar w:fldCharType="end"/>
      </w:r>
      <w:r>
        <w:rPr>
          <w:rFonts w:ascii="黑体" w:hAnsi="黑体" w:eastAsia="黑体"/>
          <w:szCs w:val="24"/>
        </w:rPr>
        <w:fldChar w:fldCharType="end"/>
      </w:r>
    </w:p>
    <w:p w14:paraId="41A3600A">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_Toc23836 </w:instrText>
      </w:r>
      <w:r>
        <w:rPr>
          <w:rFonts w:ascii="黑体" w:hAnsi="黑体" w:eastAsia="黑体"/>
          <w:szCs w:val="24"/>
        </w:rPr>
        <w:fldChar w:fldCharType="separate"/>
      </w:r>
      <w:r>
        <w:rPr>
          <w:rFonts w:ascii="楷体" w:hAnsi="楷体" w:eastAsia="楷体"/>
          <w:szCs w:val="28"/>
          <w:highlight w:val="none"/>
        </w:rPr>
        <w:t>4.</w:t>
      </w:r>
      <w:r>
        <w:rPr>
          <w:rFonts w:hint="eastAsia" w:ascii="楷体" w:hAnsi="楷体" w:eastAsia="楷体"/>
          <w:szCs w:val="28"/>
          <w:highlight w:val="none"/>
        </w:rPr>
        <w:t>语言文字、计量单位、时间单位、投标有效期以及投标费用</w:t>
      </w:r>
      <w:r>
        <w:tab/>
      </w:r>
      <w:r>
        <w:fldChar w:fldCharType="begin"/>
      </w:r>
      <w:r>
        <w:instrText xml:space="preserve"> PAGEREF _Toc23836 \h </w:instrText>
      </w:r>
      <w:r>
        <w:fldChar w:fldCharType="separate"/>
      </w:r>
      <w:r>
        <w:t>18</w:t>
      </w:r>
      <w:r>
        <w:fldChar w:fldCharType="end"/>
      </w:r>
      <w:r>
        <w:rPr>
          <w:rFonts w:ascii="黑体" w:hAnsi="黑体" w:eastAsia="黑体"/>
          <w:szCs w:val="24"/>
        </w:rPr>
        <w:fldChar w:fldCharType="end"/>
      </w:r>
    </w:p>
    <w:p w14:paraId="42BEA8D1">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_Toc29988 </w:instrText>
      </w:r>
      <w:r>
        <w:rPr>
          <w:rFonts w:ascii="黑体" w:hAnsi="黑体" w:eastAsia="黑体"/>
          <w:szCs w:val="24"/>
        </w:rPr>
        <w:fldChar w:fldCharType="separate"/>
      </w:r>
      <w:r>
        <w:rPr>
          <w:rFonts w:ascii="楷体" w:hAnsi="楷体" w:eastAsia="楷体"/>
          <w:szCs w:val="28"/>
          <w:highlight w:val="none"/>
        </w:rPr>
        <w:t>5.</w:t>
      </w:r>
      <w:r>
        <w:rPr>
          <w:rFonts w:hint="eastAsia" w:ascii="楷体" w:hAnsi="楷体" w:eastAsia="楷体"/>
          <w:szCs w:val="28"/>
          <w:highlight w:val="none"/>
        </w:rPr>
        <w:t>踏勘现场</w:t>
      </w:r>
      <w:r>
        <w:tab/>
      </w:r>
      <w:r>
        <w:fldChar w:fldCharType="begin"/>
      </w:r>
      <w:r>
        <w:instrText xml:space="preserve"> PAGEREF _Toc29988 \h </w:instrText>
      </w:r>
      <w:r>
        <w:fldChar w:fldCharType="separate"/>
      </w:r>
      <w:r>
        <w:t>19</w:t>
      </w:r>
      <w:r>
        <w:fldChar w:fldCharType="end"/>
      </w:r>
      <w:r>
        <w:rPr>
          <w:rFonts w:ascii="黑体" w:hAnsi="黑体" w:eastAsia="黑体"/>
          <w:szCs w:val="24"/>
        </w:rPr>
        <w:fldChar w:fldCharType="end"/>
      </w:r>
    </w:p>
    <w:p w14:paraId="3DBE9079">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_Toc23801 </w:instrText>
      </w:r>
      <w:r>
        <w:rPr>
          <w:rFonts w:ascii="黑体" w:hAnsi="黑体" w:eastAsia="黑体"/>
          <w:szCs w:val="24"/>
        </w:rPr>
        <w:fldChar w:fldCharType="separate"/>
      </w:r>
      <w:r>
        <w:rPr>
          <w:rFonts w:ascii="楷体" w:hAnsi="楷体" w:eastAsia="楷体"/>
          <w:szCs w:val="28"/>
          <w:highlight w:val="none"/>
        </w:rPr>
        <w:t>6</w:t>
      </w:r>
      <w:r>
        <w:rPr>
          <w:rFonts w:hint="eastAsia" w:ascii="楷体" w:hAnsi="楷体" w:eastAsia="楷体"/>
          <w:szCs w:val="28"/>
          <w:highlight w:val="none"/>
        </w:rPr>
        <w:t>.询问</w:t>
      </w:r>
      <w:r>
        <w:tab/>
      </w:r>
      <w:r>
        <w:fldChar w:fldCharType="begin"/>
      </w:r>
      <w:r>
        <w:instrText xml:space="preserve"> PAGEREF _Toc23801 \h </w:instrText>
      </w:r>
      <w:r>
        <w:fldChar w:fldCharType="separate"/>
      </w:r>
      <w:r>
        <w:t>19</w:t>
      </w:r>
      <w:r>
        <w:fldChar w:fldCharType="end"/>
      </w:r>
      <w:r>
        <w:rPr>
          <w:rFonts w:ascii="黑体" w:hAnsi="黑体" w:eastAsia="黑体"/>
          <w:szCs w:val="24"/>
        </w:rPr>
        <w:fldChar w:fldCharType="end"/>
      </w:r>
    </w:p>
    <w:p w14:paraId="3F735A62">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_Toc29919 </w:instrText>
      </w:r>
      <w:r>
        <w:rPr>
          <w:rFonts w:ascii="黑体" w:hAnsi="黑体" w:eastAsia="黑体"/>
          <w:szCs w:val="24"/>
        </w:rPr>
        <w:fldChar w:fldCharType="separate"/>
      </w:r>
      <w:r>
        <w:rPr>
          <w:rFonts w:ascii="楷体" w:hAnsi="楷体" w:eastAsia="楷体"/>
          <w:szCs w:val="28"/>
          <w:highlight w:val="none"/>
        </w:rPr>
        <w:t>7.</w:t>
      </w:r>
      <w:r>
        <w:rPr>
          <w:rFonts w:hint="eastAsia" w:ascii="楷体" w:hAnsi="楷体" w:eastAsia="楷体"/>
          <w:szCs w:val="28"/>
          <w:highlight w:val="none"/>
        </w:rPr>
        <w:t>偏离</w:t>
      </w:r>
      <w:r>
        <w:tab/>
      </w:r>
      <w:r>
        <w:fldChar w:fldCharType="begin"/>
      </w:r>
      <w:r>
        <w:instrText xml:space="preserve"> PAGEREF _Toc29919 \h </w:instrText>
      </w:r>
      <w:r>
        <w:fldChar w:fldCharType="separate"/>
      </w:r>
      <w:r>
        <w:t>19</w:t>
      </w:r>
      <w:r>
        <w:fldChar w:fldCharType="end"/>
      </w:r>
      <w:r>
        <w:rPr>
          <w:rFonts w:ascii="黑体" w:hAnsi="黑体" w:eastAsia="黑体"/>
          <w:szCs w:val="24"/>
        </w:rPr>
        <w:fldChar w:fldCharType="end"/>
      </w:r>
    </w:p>
    <w:p w14:paraId="63BEE595">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_Toc24941 </w:instrText>
      </w:r>
      <w:r>
        <w:rPr>
          <w:rFonts w:ascii="黑体" w:hAnsi="黑体" w:eastAsia="黑体"/>
          <w:szCs w:val="24"/>
        </w:rPr>
        <w:fldChar w:fldCharType="separate"/>
      </w:r>
      <w:r>
        <w:rPr>
          <w:rFonts w:ascii="楷体" w:hAnsi="楷体" w:eastAsia="楷体"/>
          <w:szCs w:val="28"/>
          <w:highlight w:val="none"/>
        </w:rPr>
        <w:t>8</w:t>
      </w:r>
      <w:r>
        <w:rPr>
          <w:rFonts w:hint="eastAsia" w:ascii="楷体" w:hAnsi="楷体" w:eastAsia="楷体"/>
          <w:szCs w:val="28"/>
          <w:highlight w:val="none"/>
        </w:rPr>
        <w:t>.履约担保</w:t>
      </w:r>
      <w:r>
        <w:tab/>
      </w:r>
      <w:r>
        <w:fldChar w:fldCharType="begin"/>
      </w:r>
      <w:r>
        <w:instrText xml:space="preserve"> PAGEREF _Toc24941 \h </w:instrText>
      </w:r>
      <w:r>
        <w:fldChar w:fldCharType="separate"/>
      </w:r>
      <w:r>
        <w:t>19</w:t>
      </w:r>
      <w:r>
        <w:fldChar w:fldCharType="end"/>
      </w:r>
      <w:r>
        <w:rPr>
          <w:rFonts w:ascii="黑体" w:hAnsi="黑体" w:eastAsia="黑体"/>
          <w:szCs w:val="24"/>
        </w:rPr>
        <w:fldChar w:fldCharType="end"/>
      </w:r>
    </w:p>
    <w:p w14:paraId="036BBC26">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_Toc22454 </w:instrText>
      </w:r>
      <w:r>
        <w:rPr>
          <w:rFonts w:ascii="黑体" w:hAnsi="黑体" w:eastAsia="黑体"/>
          <w:szCs w:val="24"/>
        </w:rPr>
        <w:fldChar w:fldCharType="separate"/>
      </w:r>
      <w:r>
        <w:rPr>
          <w:rFonts w:ascii="楷体" w:hAnsi="楷体" w:eastAsia="楷体"/>
          <w:szCs w:val="28"/>
          <w:highlight w:val="none"/>
        </w:rPr>
        <w:t>9</w:t>
      </w:r>
      <w:r>
        <w:rPr>
          <w:rFonts w:hint="eastAsia" w:ascii="楷体" w:hAnsi="楷体" w:eastAsia="楷体"/>
          <w:szCs w:val="28"/>
          <w:highlight w:val="none"/>
        </w:rPr>
        <w:t>.采购代理服务费</w:t>
      </w:r>
      <w:r>
        <w:tab/>
      </w:r>
      <w:r>
        <w:fldChar w:fldCharType="begin"/>
      </w:r>
      <w:r>
        <w:instrText xml:space="preserve"> PAGEREF _Toc22454 \h </w:instrText>
      </w:r>
      <w:r>
        <w:fldChar w:fldCharType="separate"/>
      </w:r>
      <w:r>
        <w:t>19</w:t>
      </w:r>
      <w:r>
        <w:fldChar w:fldCharType="end"/>
      </w:r>
      <w:r>
        <w:rPr>
          <w:rFonts w:ascii="黑体" w:hAnsi="黑体" w:eastAsia="黑体"/>
          <w:szCs w:val="24"/>
        </w:rPr>
        <w:fldChar w:fldCharType="end"/>
      </w:r>
    </w:p>
    <w:p w14:paraId="2D0122EE">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_Toc30445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0.</w:t>
      </w:r>
      <w:r>
        <w:rPr>
          <w:rFonts w:hint="eastAsia" w:ascii="楷体" w:hAnsi="楷体" w:eastAsia="楷体"/>
          <w:szCs w:val="28"/>
          <w:highlight w:val="none"/>
        </w:rPr>
        <w:t>招标文件</w:t>
      </w:r>
      <w:r>
        <w:tab/>
      </w:r>
      <w:r>
        <w:fldChar w:fldCharType="begin"/>
      </w:r>
      <w:r>
        <w:instrText xml:space="preserve"> PAGEREF _Toc30445 \h </w:instrText>
      </w:r>
      <w:r>
        <w:fldChar w:fldCharType="separate"/>
      </w:r>
      <w:r>
        <w:t>19</w:t>
      </w:r>
      <w:r>
        <w:fldChar w:fldCharType="end"/>
      </w:r>
      <w:r>
        <w:rPr>
          <w:rFonts w:ascii="黑体" w:hAnsi="黑体" w:eastAsia="黑体"/>
          <w:szCs w:val="24"/>
        </w:rPr>
        <w:fldChar w:fldCharType="end"/>
      </w:r>
    </w:p>
    <w:p w14:paraId="7C5E652E">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_Toc12610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1</w:t>
      </w:r>
      <w:r>
        <w:rPr>
          <w:rFonts w:hint="eastAsia" w:ascii="楷体" w:hAnsi="楷体" w:eastAsia="楷体"/>
          <w:szCs w:val="28"/>
          <w:highlight w:val="none"/>
        </w:rPr>
        <w:t>.投标文件的组成</w:t>
      </w:r>
      <w:r>
        <w:tab/>
      </w:r>
      <w:r>
        <w:fldChar w:fldCharType="begin"/>
      </w:r>
      <w:r>
        <w:instrText xml:space="preserve"> PAGEREF _Toc12610 \h </w:instrText>
      </w:r>
      <w:r>
        <w:fldChar w:fldCharType="separate"/>
      </w:r>
      <w:r>
        <w:t>21</w:t>
      </w:r>
      <w:r>
        <w:fldChar w:fldCharType="end"/>
      </w:r>
      <w:r>
        <w:rPr>
          <w:rFonts w:ascii="黑体" w:hAnsi="黑体" w:eastAsia="黑体"/>
          <w:szCs w:val="24"/>
        </w:rPr>
        <w:fldChar w:fldCharType="end"/>
      </w:r>
    </w:p>
    <w:p w14:paraId="437614A2">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_Toc8131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2</w:t>
      </w:r>
      <w:r>
        <w:rPr>
          <w:rFonts w:hint="eastAsia" w:ascii="楷体" w:hAnsi="楷体" w:eastAsia="楷体"/>
          <w:szCs w:val="28"/>
          <w:highlight w:val="none"/>
        </w:rPr>
        <w:t>.投标报价</w:t>
      </w:r>
      <w:r>
        <w:tab/>
      </w:r>
      <w:r>
        <w:fldChar w:fldCharType="begin"/>
      </w:r>
      <w:r>
        <w:instrText xml:space="preserve"> PAGEREF _Toc8131 \h </w:instrText>
      </w:r>
      <w:r>
        <w:fldChar w:fldCharType="separate"/>
      </w:r>
      <w:r>
        <w:t>22</w:t>
      </w:r>
      <w:r>
        <w:fldChar w:fldCharType="end"/>
      </w:r>
      <w:r>
        <w:rPr>
          <w:rFonts w:ascii="黑体" w:hAnsi="黑体" w:eastAsia="黑体"/>
          <w:szCs w:val="24"/>
        </w:rPr>
        <w:fldChar w:fldCharType="end"/>
      </w:r>
    </w:p>
    <w:p w14:paraId="6FAE459C">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_Toc2928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3.</w:t>
      </w:r>
      <w:r>
        <w:rPr>
          <w:rFonts w:hint="eastAsia" w:ascii="楷体" w:hAnsi="楷体" w:eastAsia="楷体"/>
          <w:szCs w:val="28"/>
          <w:highlight w:val="none"/>
        </w:rPr>
        <w:t>投标文件格式以及编制要求</w:t>
      </w:r>
      <w:r>
        <w:tab/>
      </w:r>
      <w:r>
        <w:fldChar w:fldCharType="begin"/>
      </w:r>
      <w:r>
        <w:instrText xml:space="preserve"> PAGEREF _Toc2928 \h </w:instrText>
      </w:r>
      <w:r>
        <w:fldChar w:fldCharType="separate"/>
      </w:r>
      <w:r>
        <w:t>22</w:t>
      </w:r>
      <w:r>
        <w:fldChar w:fldCharType="end"/>
      </w:r>
      <w:r>
        <w:rPr>
          <w:rFonts w:ascii="黑体" w:hAnsi="黑体" w:eastAsia="黑体"/>
          <w:szCs w:val="24"/>
        </w:rPr>
        <w:fldChar w:fldCharType="end"/>
      </w:r>
    </w:p>
    <w:p w14:paraId="614BD052">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_Toc13258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4.</w:t>
      </w:r>
      <w:r>
        <w:rPr>
          <w:rFonts w:hint="eastAsia" w:ascii="楷体" w:hAnsi="楷体" w:eastAsia="楷体"/>
          <w:szCs w:val="28"/>
          <w:highlight w:val="none"/>
        </w:rPr>
        <w:t>投标文件的密封和标记</w:t>
      </w:r>
      <w:r>
        <w:tab/>
      </w:r>
      <w:r>
        <w:fldChar w:fldCharType="begin"/>
      </w:r>
      <w:r>
        <w:instrText xml:space="preserve"> PAGEREF _Toc13258 \h </w:instrText>
      </w:r>
      <w:r>
        <w:fldChar w:fldCharType="separate"/>
      </w:r>
      <w:r>
        <w:t>23</w:t>
      </w:r>
      <w:r>
        <w:fldChar w:fldCharType="end"/>
      </w:r>
      <w:r>
        <w:rPr>
          <w:rFonts w:ascii="黑体" w:hAnsi="黑体" w:eastAsia="黑体"/>
          <w:szCs w:val="24"/>
        </w:rPr>
        <w:fldChar w:fldCharType="end"/>
      </w:r>
    </w:p>
    <w:p w14:paraId="327A2E90">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_Toc1481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5.</w:t>
      </w:r>
      <w:r>
        <w:rPr>
          <w:rFonts w:hint="eastAsia" w:ascii="楷体" w:hAnsi="楷体" w:eastAsia="楷体"/>
          <w:szCs w:val="28"/>
          <w:highlight w:val="none"/>
        </w:rPr>
        <w:t>投标文件的递交</w:t>
      </w:r>
      <w:r>
        <w:tab/>
      </w:r>
      <w:r>
        <w:fldChar w:fldCharType="begin"/>
      </w:r>
      <w:r>
        <w:instrText xml:space="preserve"> PAGEREF _Toc1481 \h </w:instrText>
      </w:r>
      <w:r>
        <w:fldChar w:fldCharType="separate"/>
      </w:r>
      <w:r>
        <w:t>23</w:t>
      </w:r>
      <w:r>
        <w:fldChar w:fldCharType="end"/>
      </w:r>
      <w:r>
        <w:rPr>
          <w:rFonts w:ascii="黑体" w:hAnsi="黑体" w:eastAsia="黑体"/>
          <w:szCs w:val="24"/>
        </w:rPr>
        <w:fldChar w:fldCharType="end"/>
      </w:r>
    </w:p>
    <w:p w14:paraId="499C870B">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_Toc18200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6</w:t>
      </w:r>
      <w:r>
        <w:rPr>
          <w:rFonts w:hint="eastAsia" w:ascii="楷体" w:hAnsi="楷体" w:eastAsia="楷体"/>
          <w:szCs w:val="28"/>
          <w:highlight w:val="none"/>
        </w:rPr>
        <w:t>.投标文件的修改与撤回</w:t>
      </w:r>
      <w:r>
        <w:tab/>
      </w:r>
      <w:r>
        <w:fldChar w:fldCharType="begin"/>
      </w:r>
      <w:r>
        <w:instrText xml:space="preserve"> PAGEREF _Toc18200 \h </w:instrText>
      </w:r>
      <w:r>
        <w:fldChar w:fldCharType="separate"/>
      </w:r>
      <w:r>
        <w:t>23</w:t>
      </w:r>
      <w:r>
        <w:fldChar w:fldCharType="end"/>
      </w:r>
      <w:r>
        <w:rPr>
          <w:rFonts w:ascii="黑体" w:hAnsi="黑体" w:eastAsia="黑体"/>
          <w:szCs w:val="24"/>
        </w:rPr>
        <w:fldChar w:fldCharType="end"/>
      </w:r>
    </w:p>
    <w:p w14:paraId="37CDBD04">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_Toc21490 </w:instrText>
      </w:r>
      <w:r>
        <w:rPr>
          <w:rFonts w:ascii="黑体" w:hAnsi="黑体" w:eastAsia="黑体"/>
          <w:szCs w:val="24"/>
        </w:rPr>
        <w:fldChar w:fldCharType="separate"/>
      </w:r>
      <w:r>
        <w:rPr>
          <w:rFonts w:hint="eastAsia" w:ascii="楷体" w:hAnsi="楷体" w:eastAsia="楷体"/>
          <w:szCs w:val="28"/>
          <w:highlight w:val="none"/>
        </w:rPr>
        <w:t>1</w:t>
      </w:r>
      <w:r>
        <w:rPr>
          <w:rFonts w:ascii="楷体" w:hAnsi="楷体" w:eastAsia="楷体"/>
          <w:szCs w:val="28"/>
          <w:highlight w:val="none"/>
        </w:rPr>
        <w:t>7.</w:t>
      </w:r>
      <w:r>
        <w:rPr>
          <w:rFonts w:hint="eastAsia" w:ascii="楷体" w:hAnsi="楷体" w:eastAsia="楷体"/>
          <w:szCs w:val="28"/>
          <w:highlight w:val="none"/>
        </w:rPr>
        <w:t>投标保证金</w:t>
      </w:r>
      <w:r>
        <w:tab/>
      </w:r>
      <w:r>
        <w:fldChar w:fldCharType="begin"/>
      </w:r>
      <w:r>
        <w:instrText xml:space="preserve"> PAGEREF _Toc21490 \h </w:instrText>
      </w:r>
      <w:r>
        <w:fldChar w:fldCharType="separate"/>
      </w:r>
      <w:r>
        <w:t>23</w:t>
      </w:r>
      <w:r>
        <w:fldChar w:fldCharType="end"/>
      </w:r>
      <w:r>
        <w:rPr>
          <w:rFonts w:ascii="黑体" w:hAnsi="黑体" w:eastAsia="黑体"/>
          <w:szCs w:val="24"/>
        </w:rPr>
        <w:fldChar w:fldCharType="end"/>
      </w:r>
    </w:p>
    <w:p w14:paraId="499ECFE9">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_Toc5889 </w:instrText>
      </w:r>
      <w:r>
        <w:rPr>
          <w:rFonts w:ascii="黑体" w:hAnsi="黑体" w:eastAsia="黑体"/>
          <w:szCs w:val="24"/>
        </w:rPr>
        <w:fldChar w:fldCharType="separate"/>
      </w:r>
      <w:r>
        <w:rPr>
          <w:rFonts w:hint="eastAsia" w:ascii="楷体" w:hAnsi="楷体" w:eastAsia="楷体"/>
          <w:szCs w:val="28"/>
          <w:highlight w:val="none"/>
        </w:rPr>
        <w:t>18.开标、评标、定标</w:t>
      </w:r>
      <w:r>
        <w:tab/>
      </w:r>
      <w:r>
        <w:fldChar w:fldCharType="begin"/>
      </w:r>
      <w:r>
        <w:instrText xml:space="preserve"> PAGEREF _Toc5889 \h </w:instrText>
      </w:r>
      <w:r>
        <w:fldChar w:fldCharType="separate"/>
      </w:r>
      <w:r>
        <w:t>24</w:t>
      </w:r>
      <w:r>
        <w:fldChar w:fldCharType="end"/>
      </w:r>
      <w:r>
        <w:rPr>
          <w:rFonts w:ascii="黑体" w:hAnsi="黑体" w:eastAsia="黑体"/>
          <w:szCs w:val="24"/>
        </w:rPr>
        <w:fldChar w:fldCharType="end"/>
      </w:r>
    </w:p>
    <w:p w14:paraId="527CCE11">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_Toc15662 </w:instrText>
      </w:r>
      <w:r>
        <w:rPr>
          <w:rFonts w:ascii="黑体" w:hAnsi="黑体" w:eastAsia="黑体"/>
          <w:szCs w:val="24"/>
        </w:rPr>
        <w:fldChar w:fldCharType="separate"/>
      </w:r>
      <w:r>
        <w:rPr>
          <w:rFonts w:hint="eastAsia" w:ascii="楷体" w:hAnsi="楷体" w:eastAsia="楷体"/>
          <w:szCs w:val="28"/>
          <w:highlight w:val="none"/>
        </w:rPr>
        <w:t>19.纪律要求</w:t>
      </w:r>
      <w:r>
        <w:tab/>
      </w:r>
      <w:r>
        <w:fldChar w:fldCharType="begin"/>
      </w:r>
      <w:r>
        <w:instrText xml:space="preserve"> PAGEREF _Toc15662 \h </w:instrText>
      </w:r>
      <w:r>
        <w:fldChar w:fldCharType="separate"/>
      </w:r>
      <w:r>
        <w:t>34</w:t>
      </w:r>
      <w:r>
        <w:fldChar w:fldCharType="end"/>
      </w:r>
      <w:r>
        <w:rPr>
          <w:rFonts w:ascii="黑体" w:hAnsi="黑体" w:eastAsia="黑体"/>
          <w:szCs w:val="24"/>
        </w:rPr>
        <w:fldChar w:fldCharType="end"/>
      </w:r>
    </w:p>
    <w:p w14:paraId="3E12CC17">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_Toc14350 </w:instrText>
      </w:r>
      <w:r>
        <w:rPr>
          <w:rFonts w:ascii="黑体" w:hAnsi="黑体" w:eastAsia="黑体"/>
          <w:szCs w:val="24"/>
        </w:rPr>
        <w:fldChar w:fldCharType="separate"/>
      </w:r>
      <w:r>
        <w:rPr>
          <w:rFonts w:hint="eastAsia" w:ascii="楷体" w:hAnsi="楷体" w:eastAsia="楷体"/>
          <w:szCs w:val="28"/>
          <w:highlight w:val="none"/>
        </w:rPr>
        <w:t>20.质疑</w:t>
      </w:r>
      <w:r>
        <w:tab/>
      </w:r>
      <w:r>
        <w:fldChar w:fldCharType="begin"/>
      </w:r>
      <w:r>
        <w:instrText xml:space="preserve"> PAGEREF _Toc14350 \h </w:instrText>
      </w:r>
      <w:r>
        <w:fldChar w:fldCharType="separate"/>
      </w:r>
      <w:r>
        <w:t>35</w:t>
      </w:r>
      <w:r>
        <w:fldChar w:fldCharType="end"/>
      </w:r>
      <w:r>
        <w:rPr>
          <w:rFonts w:ascii="黑体" w:hAnsi="黑体" w:eastAsia="黑体"/>
          <w:szCs w:val="24"/>
        </w:rPr>
        <w:fldChar w:fldCharType="end"/>
      </w:r>
    </w:p>
    <w:p w14:paraId="39F95838">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_Toc3301 </w:instrText>
      </w:r>
      <w:r>
        <w:rPr>
          <w:rFonts w:ascii="黑体" w:hAnsi="黑体" w:eastAsia="黑体"/>
          <w:szCs w:val="24"/>
        </w:rPr>
        <w:fldChar w:fldCharType="separate"/>
      </w:r>
      <w:r>
        <w:rPr>
          <w:rFonts w:hint="eastAsia" w:ascii="楷体" w:hAnsi="楷体" w:eastAsia="楷体"/>
          <w:szCs w:val="28"/>
          <w:highlight w:val="none"/>
        </w:rPr>
        <w:t>21.投诉</w:t>
      </w:r>
      <w:r>
        <w:tab/>
      </w:r>
      <w:r>
        <w:fldChar w:fldCharType="begin"/>
      </w:r>
      <w:r>
        <w:instrText xml:space="preserve"> PAGEREF _Toc3301 \h </w:instrText>
      </w:r>
      <w:r>
        <w:fldChar w:fldCharType="separate"/>
      </w:r>
      <w:r>
        <w:t>36</w:t>
      </w:r>
      <w:r>
        <w:fldChar w:fldCharType="end"/>
      </w:r>
      <w:r>
        <w:rPr>
          <w:rFonts w:ascii="黑体" w:hAnsi="黑体" w:eastAsia="黑体"/>
          <w:szCs w:val="24"/>
        </w:rPr>
        <w:fldChar w:fldCharType="end"/>
      </w:r>
    </w:p>
    <w:p w14:paraId="52D8C6D9">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_Toc21734 </w:instrText>
      </w:r>
      <w:r>
        <w:rPr>
          <w:rFonts w:ascii="黑体" w:hAnsi="黑体" w:eastAsia="黑体"/>
          <w:szCs w:val="24"/>
        </w:rPr>
        <w:fldChar w:fldCharType="separate"/>
      </w:r>
      <w:r>
        <w:rPr>
          <w:rFonts w:ascii="楷体" w:hAnsi="楷体" w:eastAsia="楷体"/>
          <w:szCs w:val="28"/>
          <w:highlight w:val="none"/>
        </w:rPr>
        <w:t>2</w:t>
      </w:r>
      <w:r>
        <w:rPr>
          <w:rFonts w:hint="eastAsia" w:ascii="楷体" w:hAnsi="楷体" w:eastAsia="楷体"/>
          <w:szCs w:val="28"/>
          <w:highlight w:val="none"/>
        </w:rPr>
        <w:t>2.其他需补充的内容</w:t>
      </w:r>
      <w:r>
        <w:tab/>
      </w:r>
      <w:r>
        <w:fldChar w:fldCharType="begin"/>
      </w:r>
      <w:r>
        <w:instrText xml:space="preserve"> PAGEREF _Toc21734 \h </w:instrText>
      </w:r>
      <w:r>
        <w:fldChar w:fldCharType="separate"/>
      </w:r>
      <w:r>
        <w:t>37</w:t>
      </w:r>
      <w:r>
        <w:fldChar w:fldCharType="end"/>
      </w:r>
      <w:r>
        <w:rPr>
          <w:rFonts w:ascii="黑体" w:hAnsi="黑体" w:eastAsia="黑体"/>
          <w:szCs w:val="24"/>
        </w:rPr>
        <w:fldChar w:fldCharType="end"/>
      </w:r>
    </w:p>
    <w:p w14:paraId="1A347F0D">
      <w:pPr>
        <w:pStyle w:val="2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_Toc9349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三</w:t>
      </w:r>
      <w:r>
        <w:rPr>
          <w:rFonts w:ascii="黑体" w:hAnsi="黑体" w:eastAsia="黑体"/>
          <w:szCs w:val="32"/>
          <w:highlight w:val="none"/>
        </w:rPr>
        <w:t>章</w:t>
      </w:r>
      <w:r>
        <w:rPr>
          <w:rFonts w:hint="eastAsia" w:ascii="黑体" w:hAnsi="黑体" w:eastAsia="黑体"/>
          <w:szCs w:val="32"/>
          <w:highlight w:val="none"/>
        </w:rPr>
        <w:t xml:space="preserve">  采购需求</w:t>
      </w:r>
      <w:r>
        <w:tab/>
      </w:r>
      <w:r>
        <w:fldChar w:fldCharType="begin"/>
      </w:r>
      <w:r>
        <w:instrText xml:space="preserve"> PAGEREF _Toc9349 \h </w:instrText>
      </w:r>
      <w:r>
        <w:fldChar w:fldCharType="separate"/>
      </w:r>
      <w:r>
        <w:t>38</w:t>
      </w:r>
      <w:r>
        <w:fldChar w:fldCharType="end"/>
      </w:r>
      <w:r>
        <w:rPr>
          <w:rFonts w:ascii="黑体" w:hAnsi="黑体" w:eastAsia="黑体"/>
          <w:szCs w:val="24"/>
        </w:rPr>
        <w:fldChar w:fldCharType="end"/>
      </w:r>
    </w:p>
    <w:p w14:paraId="5C57AD33">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_Toc3379 </w:instrText>
      </w:r>
      <w:r>
        <w:rPr>
          <w:rFonts w:ascii="黑体" w:hAnsi="黑体" w:eastAsia="黑体"/>
          <w:szCs w:val="24"/>
        </w:rPr>
        <w:fldChar w:fldCharType="separate"/>
      </w:r>
      <w:r>
        <w:rPr>
          <w:rFonts w:hint="eastAsia" w:ascii="楷体" w:hAnsi="楷体" w:eastAsia="楷体"/>
          <w:szCs w:val="28"/>
          <w:highlight w:val="none"/>
        </w:rPr>
        <w:t>1.项目说明</w:t>
      </w:r>
      <w:r>
        <w:tab/>
      </w:r>
      <w:r>
        <w:fldChar w:fldCharType="begin"/>
      </w:r>
      <w:r>
        <w:instrText xml:space="preserve"> PAGEREF _Toc3379 \h </w:instrText>
      </w:r>
      <w:r>
        <w:fldChar w:fldCharType="separate"/>
      </w:r>
      <w:r>
        <w:t>38</w:t>
      </w:r>
      <w:r>
        <w:fldChar w:fldCharType="end"/>
      </w:r>
      <w:r>
        <w:rPr>
          <w:rFonts w:ascii="黑体" w:hAnsi="黑体" w:eastAsia="黑体"/>
          <w:szCs w:val="24"/>
        </w:rPr>
        <w:fldChar w:fldCharType="end"/>
      </w:r>
    </w:p>
    <w:p w14:paraId="38B233D1">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_Toc8497 </w:instrText>
      </w:r>
      <w:r>
        <w:rPr>
          <w:rFonts w:ascii="黑体" w:hAnsi="黑体" w:eastAsia="黑体"/>
          <w:szCs w:val="24"/>
        </w:rPr>
        <w:fldChar w:fldCharType="separate"/>
      </w:r>
      <w:r>
        <w:rPr>
          <w:rFonts w:hint="eastAsia" w:ascii="楷体" w:hAnsi="楷体" w:eastAsia="楷体"/>
          <w:szCs w:val="28"/>
          <w:highlight w:val="none"/>
          <w:lang w:val="en-US" w:eastAsia="zh-CN"/>
        </w:rPr>
        <w:t>2.技术要求（规格参数不允许负偏离，否则将作为无效投标处理）</w:t>
      </w:r>
      <w:r>
        <w:tab/>
      </w:r>
      <w:r>
        <w:fldChar w:fldCharType="begin"/>
      </w:r>
      <w:r>
        <w:instrText xml:space="preserve"> PAGEREF _Toc8497 \h </w:instrText>
      </w:r>
      <w:r>
        <w:fldChar w:fldCharType="separate"/>
      </w:r>
      <w:r>
        <w:t>38</w:t>
      </w:r>
      <w:r>
        <w:fldChar w:fldCharType="end"/>
      </w:r>
      <w:r>
        <w:rPr>
          <w:rFonts w:ascii="黑体" w:hAnsi="黑体" w:eastAsia="黑体"/>
          <w:szCs w:val="24"/>
        </w:rPr>
        <w:fldChar w:fldCharType="end"/>
      </w:r>
    </w:p>
    <w:p w14:paraId="4A41F320">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_Toc15633 </w:instrText>
      </w:r>
      <w:r>
        <w:rPr>
          <w:rFonts w:ascii="黑体" w:hAnsi="黑体" w:eastAsia="黑体"/>
          <w:szCs w:val="24"/>
        </w:rPr>
        <w:fldChar w:fldCharType="separate"/>
      </w:r>
      <w:r>
        <w:rPr>
          <w:rFonts w:hint="eastAsia" w:ascii="楷体" w:hAnsi="楷体" w:eastAsia="楷体" w:cs="Times New Roman"/>
          <w:szCs w:val="24"/>
          <w:highlight w:val="none"/>
          <w:lang w:val="en-US" w:eastAsia="zh-CN"/>
        </w:rPr>
        <w:t>2.1采购产品规格参数</w:t>
      </w:r>
      <w:r>
        <w:tab/>
      </w:r>
      <w:r>
        <w:fldChar w:fldCharType="begin"/>
      </w:r>
      <w:r>
        <w:instrText xml:space="preserve"> PAGEREF _Toc15633 \h </w:instrText>
      </w:r>
      <w:r>
        <w:fldChar w:fldCharType="separate"/>
      </w:r>
      <w:r>
        <w:t>38</w:t>
      </w:r>
      <w:r>
        <w:fldChar w:fldCharType="end"/>
      </w:r>
      <w:r>
        <w:rPr>
          <w:rFonts w:ascii="黑体" w:hAnsi="黑体" w:eastAsia="黑体"/>
          <w:szCs w:val="24"/>
        </w:rPr>
        <w:fldChar w:fldCharType="end"/>
      </w:r>
    </w:p>
    <w:p w14:paraId="1B25D8AF">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_Toc23575 </w:instrText>
      </w:r>
      <w:r>
        <w:rPr>
          <w:rFonts w:ascii="黑体" w:hAnsi="黑体" w:eastAsia="黑体"/>
          <w:szCs w:val="24"/>
        </w:rPr>
        <w:fldChar w:fldCharType="separate"/>
      </w:r>
      <w:r>
        <w:rPr>
          <w:rFonts w:hint="eastAsia" w:ascii="楷体" w:hAnsi="楷体" w:eastAsia="楷体"/>
          <w:szCs w:val="28"/>
          <w:highlight w:val="none"/>
          <w:lang w:val="en-US" w:eastAsia="zh-CN"/>
        </w:rPr>
        <w:t>3.商务条件（不允许负偏离，否则将作为无效投标处理）</w:t>
      </w:r>
      <w:r>
        <w:tab/>
      </w:r>
      <w:r>
        <w:fldChar w:fldCharType="begin"/>
      </w:r>
      <w:r>
        <w:instrText xml:space="preserve"> PAGEREF _Toc23575 \h </w:instrText>
      </w:r>
      <w:r>
        <w:fldChar w:fldCharType="separate"/>
      </w:r>
      <w:r>
        <w:t>41</w:t>
      </w:r>
      <w:r>
        <w:fldChar w:fldCharType="end"/>
      </w:r>
      <w:r>
        <w:rPr>
          <w:rFonts w:ascii="黑体" w:hAnsi="黑体" w:eastAsia="黑体"/>
          <w:szCs w:val="24"/>
        </w:rPr>
        <w:fldChar w:fldCharType="end"/>
      </w:r>
    </w:p>
    <w:p w14:paraId="2359B61C">
      <w:pPr>
        <w:pStyle w:val="2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_Toc30852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四</w:t>
      </w:r>
      <w:r>
        <w:rPr>
          <w:rFonts w:ascii="黑体" w:hAnsi="黑体" w:eastAsia="黑体"/>
          <w:szCs w:val="32"/>
          <w:highlight w:val="none"/>
        </w:rPr>
        <w:t>章</w:t>
      </w:r>
      <w:r>
        <w:rPr>
          <w:rFonts w:hint="eastAsia" w:ascii="黑体" w:hAnsi="黑体" w:eastAsia="黑体"/>
          <w:szCs w:val="32"/>
          <w:highlight w:val="none"/>
        </w:rPr>
        <w:t xml:space="preserve">  评标办法</w:t>
      </w:r>
      <w:r>
        <w:tab/>
      </w:r>
      <w:r>
        <w:fldChar w:fldCharType="begin"/>
      </w:r>
      <w:r>
        <w:instrText xml:space="preserve"> PAGEREF _Toc30852 \h </w:instrText>
      </w:r>
      <w:r>
        <w:fldChar w:fldCharType="separate"/>
      </w:r>
      <w:r>
        <w:t>43</w:t>
      </w:r>
      <w:r>
        <w:fldChar w:fldCharType="end"/>
      </w:r>
      <w:r>
        <w:rPr>
          <w:rFonts w:ascii="黑体" w:hAnsi="黑体" w:eastAsia="黑体"/>
          <w:szCs w:val="24"/>
        </w:rPr>
        <w:fldChar w:fldCharType="end"/>
      </w:r>
    </w:p>
    <w:p w14:paraId="11CFCD9E">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_Toc624 </w:instrText>
      </w:r>
      <w:r>
        <w:rPr>
          <w:rFonts w:ascii="黑体" w:hAnsi="黑体" w:eastAsia="黑体"/>
          <w:szCs w:val="24"/>
        </w:rPr>
        <w:fldChar w:fldCharType="separate"/>
      </w:r>
      <w:r>
        <w:rPr>
          <w:rFonts w:hint="eastAsia" w:ascii="楷体" w:hAnsi="楷体" w:eastAsia="楷体"/>
          <w:szCs w:val="28"/>
          <w:highlight w:val="none"/>
        </w:rPr>
        <w:t>1.相关要求</w:t>
      </w:r>
      <w:r>
        <w:tab/>
      </w:r>
      <w:r>
        <w:fldChar w:fldCharType="begin"/>
      </w:r>
      <w:r>
        <w:instrText xml:space="preserve"> PAGEREF _Toc624 \h </w:instrText>
      </w:r>
      <w:r>
        <w:fldChar w:fldCharType="separate"/>
      </w:r>
      <w:r>
        <w:t>43</w:t>
      </w:r>
      <w:r>
        <w:fldChar w:fldCharType="end"/>
      </w:r>
      <w:r>
        <w:rPr>
          <w:rFonts w:ascii="黑体" w:hAnsi="黑体" w:eastAsia="黑体"/>
          <w:szCs w:val="24"/>
        </w:rPr>
        <w:fldChar w:fldCharType="end"/>
      </w:r>
    </w:p>
    <w:p w14:paraId="40719ACD">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_Toc9220 </w:instrText>
      </w:r>
      <w:r>
        <w:rPr>
          <w:rFonts w:ascii="黑体" w:hAnsi="黑体" w:eastAsia="黑体"/>
          <w:szCs w:val="24"/>
        </w:rPr>
        <w:fldChar w:fldCharType="separate"/>
      </w:r>
      <w:r>
        <w:rPr>
          <w:rFonts w:hint="eastAsia" w:ascii="楷体" w:hAnsi="楷体" w:eastAsia="楷体"/>
          <w:szCs w:val="28"/>
          <w:highlight w:val="none"/>
        </w:rPr>
        <w:t>2.评标附表</w:t>
      </w:r>
      <w:r>
        <w:tab/>
      </w:r>
      <w:r>
        <w:fldChar w:fldCharType="begin"/>
      </w:r>
      <w:r>
        <w:instrText xml:space="preserve"> PAGEREF _Toc9220 \h </w:instrText>
      </w:r>
      <w:r>
        <w:fldChar w:fldCharType="separate"/>
      </w:r>
      <w:r>
        <w:t>43</w:t>
      </w:r>
      <w:r>
        <w:fldChar w:fldCharType="end"/>
      </w:r>
      <w:r>
        <w:rPr>
          <w:rFonts w:ascii="黑体" w:hAnsi="黑体" w:eastAsia="黑体"/>
          <w:szCs w:val="24"/>
        </w:rPr>
        <w:fldChar w:fldCharType="end"/>
      </w:r>
    </w:p>
    <w:p w14:paraId="2007A514">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_Toc10861 </w:instrText>
      </w:r>
      <w:r>
        <w:rPr>
          <w:rFonts w:ascii="黑体" w:hAnsi="黑体" w:eastAsia="黑体"/>
          <w:szCs w:val="24"/>
        </w:rPr>
        <w:fldChar w:fldCharType="separate"/>
      </w:r>
      <w:r>
        <w:rPr>
          <w:rFonts w:hint="eastAsia" w:ascii="楷体" w:hAnsi="楷体" w:eastAsia="楷体"/>
          <w:szCs w:val="28"/>
          <w:highlight w:val="none"/>
        </w:rPr>
        <w:t>4.评标方法</w:t>
      </w:r>
      <w:r>
        <w:tab/>
      </w:r>
      <w:r>
        <w:fldChar w:fldCharType="begin"/>
      </w:r>
      <w:r>
        <w:instrText xml:space="preserve"> PAGEREF _Toc10861 \h </w:instrText>
      </w:r>
      <w:r>
        <w:fldChar w:fldCharType="separate"/>
      </w:r>
      <w:r>
        <w:t>47</w:t>
      </w:r>
      <w:r>
        <w:fldChar w:fldCharType="end"/>
      </w:r>
      <w:r>
        <w:rPr>
          <w:rFonts w:ascii="黑体" w:hAnsi="黑体" w:eastAsia="黑体"/>
          <w:szCs w:val="24"/>
        </w:rPr>
        <w:fldChar w:fldCharType="end"/>
      </w:r>
    </w:p>
    <w:p w14:paraId="7AD7481F">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_Toc6704 </w:instrText>
      </w:r>
      <w:r>
        <w:rPr>
          <w:rFonts w:ascii="黑体" w:hAnsi="黑体" w:eastAsia="黑体"/>
          <w:szCs w:val="24"/>
        </w:rPr>
        <w:fldChar w:fldCharType="separate"/>
      </w:r>
      <w:r>
        <w:rPr>
          <w:rFonts w:hint="eastAsia" w:ascii="楷体" w:hAnsi="楷体" w:eastAsia="楷体"/>
          <w:szCs w:val="28"/>
          <w:highlight w:val="none"/>
        </w:rPr>
        <w:t>5.评审标准</w:t>
      </w:r>
      <w:r>
        <w:tab/>
      </w:r>
      <w:r>
        <w:fldChar w:fldCharType="begin"/>
      </w:r>
      <w:r>
        <w:instrText xml:space="preserve"> PAGEREF _Toc6704 \h </w:instrText>
      </w:r>
      <w:r>
        <w:fldChar w:fldCharType="separate"/>
      </w:r>
      <w:r>
        <w:t>47</w:t>
      </w:r>
      <w:r>
        <w:fldChar w:fldCharType="end"/>
      </w:r>
      <w:r>
        <w:rPr>
          <w:rFonts w:ascii="黑体" w:hAnsi="黑体" w:eastAsia="黑体"/>
          <w:szCs w:val="24"/>
        </w:rPr>
        <w:fldChar w:fldCharType="end"/>
      </w:r>
    </w:p>
    <w:p w14:paraId="7448D3D2">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_Toc13474 </w:instrText>
      </w:r>
      <w:r>
        <w:rPr>
          <w:rFonts w:ascii="黑体" w:hAnsi="黑体" w:eastAsia="黑体"/>
          <w:szCs w:val="24"/>
        </w:rPr>
        <w:fldChar w:fldCharType="separate"/>
      </w:r>
      <w:r>
        <w:rPr>
          <w:rFonts w:hint="eastAsia" w:ascii="楷体" w:hAnsi="楷体" w:eastAsia="楷体"/>
          <w:szCs w:val="28"/>
          <w:highlight w:val="none"/>
        </w:rPr>
        <w:t>6.评标程序</w:t>
      </w:r>
      <w:r>
        <w:tab/>
      </w:r>
      <w:r>
        <w:fldChar w:fldCharType="begin"/>
      </w:r>
      <w:r>
        <w:instrText xml:space="preserve"> PAGEREF _Toc13474 \h </w:instrText>
      </w:r>
      <w:r>
        <w:fldChar w:fldCharType="separate"/>
      </w:r>
      <w:r>
        <w:t>48</w:t>
      </w:r>
      <w:r>
        <w:fldChar w:fldCharType="end"/>
      </w:r>
      <w:r>
        <w:rPr>
          <w:rFonts w:ascii="黑体" w:hAnsi="黑体" w:eastAsia="黑体"/>
          <w:szCs w:val="24"/>
        </w:rPr>
        <w:fldChar w:fldCharType="end"/>
      </w:r>
    </w:p>
    <w:p w14:paraId="201D826D">
      <w:pPr>
        <w:pStyle w:val="2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_Toc4111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五</w:t>
      </w:r>
      <w:r>
        <w:rPr>
          <w:rFonts w:ascii="黑体" w:hAnsi="黑体" w:eastAsia="黑体"/>
          <w:szCs w:val="32"/>
          <w:highlight w:val="none"/>
        </w:rPr>
        <w:t>章</w:t>
      </w:r>
      <w:r>
        <w:rPr>
          <w:rFonts w:hint="eastAsia" w:ascii="黑体" w:hAnsi="黑体" w:eastAsia="黑体"/>
          <w:szCs w:val="32"/>
          <w:highlight w:val="none"/>
        </w:rPr>
        <w:t xml:space="preserve">  签订合同、合同主要条款</w:t>
      </w:r>
      <w:r>
        <w:tab/>
      </w:r>
      <w:r>
        <w:fldChar w:fldCharType="begin"/>
      </w:r>
      <w:r>
        <w:instrText xml:space="preserve"> PAGEREF _Toc4111 \h </w:instrText>
      </w:r>
      <w:r>
        <w:fldChar w:fldCharType="separate"/>
      </w:r>
      <w:r>
        <w:t>50</w:t>
      </w:r>
      <w:r>
        <w:fldChar w:fldCharType="end"/>
      </w:r>
      <w:r>
        <w:rPr>
          <w:rFonts w:ascii="黑体" w:hAnsi="黑体" w:eastAsia="黑体"/>
          <w:szCs w:val="24"/>
        </w:rPr>
        <w:fldChar w:fldCharType="end"/>
      </w:r>
    </w:p>
    <w:p w14:paraId="3F72EFB0">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_Toc1451 </w:instrText>
      </w:r>
      <w:r>
        <w:rPr>
          <w:rFonts w:ascii="黑体" w:hAnsi="黑体" w:eastAsia="黑体"/>
          <w:szCs w:val="24"/>
        </w:rPr>
        <w:fldChar w:fldCharType="separate"/>
      </w:r>
      <w:r>
        <w:rPr>
          <w:rFonts w:hint="eastAsia" w:ascii="楷体" w:hAnsi="楷体" w:eastAsia="楷体"/>
          <w:szCs w:val="28"/>
          <w:highlight w:val="none"/>
        </w:rPr>
        <w:t>1.签订合同</w:t>
      </w:r>
      <w:r>
        <w:tab/>
      </w:r>
      <w:r>
        <w:fldChar w:fldCharType="begin"/>
      </w:r>
      <w:r>
        <w:instrText xml:space="preserve"> PAGEREF _Toc1451 \h </w:instrText>
      </w:r>
      <w:r>
        <w:fldChar w:fldCharType="separate"/>
      </w:r>
      <w:r>
        <w:t>50</w:t>
      </w:r>
      <w:r>
        <w:fldChar w:fldCharType="end"/>
      </w:r>
      <w:r>
        <w:rPr>
          <w:rFonts w:ascii="黑体" w:hAnsi="黑体" w:eastAsia="黑体"/>
          <w:szCs w:val="24"/>
        </w:rPr>
        <w:fldChar w:fldCharType="end"/>
      </w:r>
    </w:p>
    <w:p w14:paraId="3B25B490">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_Toc13470 </w:instrText>
      </w:r>
      <w:r>
        <w:rPr>
          <w:rFonts w:ascii="黑体" w:hAnsi="黑体" w:eastAsia="黑体"/>
          <w:szCs w:val="24"/>
        </w:rPr>
        <w:fldChar w:fldCharType="separate"/>
      </w:r>
      <w:r>
        <w:rPr>
          <w:rFonts w:hint="eastAsia" w:ascii="楷体" w:hAnsi="楷体" w:eastAsia="楷体"/>
          <w:szCs w:val="28"/>
          <w:highlight w:val="none"/>
        </w:rPr>
        <w:t>2.追加合同金额</w:t>
      </w:r>
      <w:r>
        <w:tab/>
      </w:r>
      <w:r>
        <w:fldChar w:fldCharType="begin"/>
      </w:r>
      <w:r>
        <w:instrText xml:space="preserve"> PAGEREF _Toc13470 \h </w:instrText>
      </w:r>
      <w:r>
        <w:fldChar w:fldCharType="separate"/>
      </w:r>
      <w:r>
        <w:t>50</w:t>
      </w:r>
      <w:r>
        <w:fldChar w:fldCharType="end"/>
      </w:r>
      <w:r>
        <w:rPr>
          <w:rFonts w:ascii="黑体" w:hAnsi="黑体" w:eastAsia="黑体"/>
          <w:szCs w:val="24"/>
        </w:rPr>
        <w:fldChar w:fldCharType="end"/>
      </w:r>
    </w:p>
    <w:p w14:paraId="48EB8888">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_Toc16930 </w:instrText>
      </w:r>
      <w:r>
        <w:rPr>
          <w:rFonts w:ascii="黑体" w:hAnsi="黑体" w:eastAsia="黑体"/>
          <w:szCs w:val="24"/>
        </w:rPr>
        <w:fldChar w:fldCharType="separate"/>
      </w:r>
      <w:r>
        <w:rPr>
          <w:rFonts w:hint="eastAsia" w:ascii="楷体" w:hAnsi="楷体" w:eastAsia="楷体"/>
          <w:szCs w:val="28"/>
          <w:highlight w:val="none"/>
        </w:rPr>
        <w:t>3.货物质量与验收</w:t>
      </w:r>
      <w:r>
        <w:tab/>
      </w:r>
      <w:r>
        <w:fldChar w:fldCharType="begin"/>
      </w:r>
      <w:r>
        <w:instrText xml:space="preserve"> PAGEREF _Toc16930 \h </w:instrText>
      </w:r>
      <w:r>
        <w:fldChar w:fldCharType="separate"/>
      </w:r>
      <w:r>
        <w:t>50</w:t>
      </w:r>
      <w:r>
        <w:fldChar w:fldCharType="end"/>
      </w:r>
      <w:r>
        <w:rPr>
          <w:rFonts w:ascii="黑体" w:hAnsi="黑体" w:eastAsia="黑体"/>
          <w:szCs w:val="24"/>
        </w:rPr>
        <w:fldChar w:fldCharType="end"/>
      </w:r>
    </w:p>
    <w:p w14:paraId="4A28B891">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_Toc11633 </w:instrText>
      </w:r>
      <w:r>
        <w:rPr>
          <w:rFonts w:ascii="黑体" w:hAnsi="黑体" w:eastAsia="黑体"/>
          <w:szCs w:val="24"/>
        </w:rPr>
        <w:fldChar w:fldCharType="separate"/>
      </w:r>
      <w:r>
        <w:rPr>
          <w:rFonts w:hint="eastAsia" w:ascii="楷体" w:hAnsi="楷体" w:eastAsia="楷体"/>
          <w:szCs w:val="28"/>
          <w:highlight w:val="none"/>
        </w:rPr>
        <w:t>4.合同主要条款</w:t>
      </w:r>
      <w:r>
        <w:tab/>
      </w:r>
      <w:r>
        <w:fldChar w:fldCharType="begin"/>
      </w:r>
      <w:r>
        <w:instrText xml:space="preserve"> PAGEREF _Toc11633 \h </w:instrText>
      </w:r>
      <w:r>
        <w:fldChar w:fldCharType="separate"/>
      </w:r>
      <w:r>
        <w:t>51</w:t>
      </w:r>
      <w:r>
        <w:fldChar w:fldCharType="end"/>
      </w:r>
      <w:r>
        <w:rPr>
          <w:rFonts w:ascii="黑体" w:hAnsi="黑体" w:eastAsia="黑体"/>
          <w:szCs w:val="24"/>
        </w:rPr>
        <w:fldChar w:fldCharType="end"/>
      </w:r>
    </w:p>
    <w:p w14:paraId="4576D4D4">
      <w:pPr>
        <w:pStyle w:val="22"/>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_Toc18208 </w:instrText>
      </w:r>
      <w:r>
        <w:rPr>
          <w:rFonts w:ascii="黑体" w:hAnsi="黑体" w:eastAsia="黑体"/>
          <w:szCs w:val="24"/>
        </w:rPr>
        <w:fldChar w:fldCharType="separate"/>
      </w:r>
      <w:r>
        <w:rPr>
          <w:rFonts w:ascii="黑体" w:hAnsi="黑体" w:eastAsia="黑体"/>
          <w:szCs w:val="32"/>
          <w:highlight w:val="none"/>
        </w:rPr>
        <w:t>第</w:t>
      </w:r>
      <w:r>
        <w:rPr>
          <w:rFonts w:hint="eastAsia" w:ascii="黑体" w:hAnsi="黑体" w:eastAsia="黑体"/>
          <w:szCs w:val="32"/>
          <w:highlight w:val="none"/>
        </w:rPr>
        <w:t>六</w:t>
      </w:r>
      <w:r>
        <w:rPr>
          <w:rFonts w:ascii="黑体" w:hAnsi="黑体" w:eastAsia="黑体"/>
          <w:szCs w:val="32"/>
          <w:highlight w:val="none"/>
        </w:rPr>
        <w:t>章</w:t>
      </w:r>
      <w:r>
        <w:rPr>
          <w:rFonts w:hint="eastAsia" w:ascii="黑体" w:hAnsi="黑体" w:eastAsia="黑体"/>
          <w:szCs w:val="32"/>
          <w:highlight w:val="none"/>
        </w:rPr>
        <w:t xml:space="preserve">  投标文件格式</w:t>
      </w:r>
      <w:r>
        <w:tab/>
      </w:r>
      <w:r>
        <w:fldChar w:fldCharType="begin"/>
      </w:r>
      <w:r>
        <w:instrText xml:space="preserve"> PAGEREF _Toc18208 \h </w:instrText>
      </w:r>
      <w:r>
        <w:fldChar w:fldCharType="separate"/>
      </w:r>
      <w:r>
        <w:t>57</w:t>
      </w:r>
      <w:r>
        <w:fldChar w:fldCharType="end"/>
      </w:r>
      <w:r>
        <w:rPr>
          <w:rFonts w:ascii="黑体" w:hAnsi="黑体" w:eastAsia="黑体"/>
          <w:szCs w:val="24"/>
        </w:rPr>
        <w:fldChar w:fldCharType="end"/>
      </w:r>
    </w:p>
    <w:p w14:paraId="3D88450C">
      <w:pPr>
        <w:pStyle w:val="2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_Toc25008 </w:instrText>
      </w:r>
      <w:r>
        <w:rPr>
          <w:rFonts w:ascii="黑体" w:hAnsi="黑体" w:eastAsia="黑体"/>
          <w:szCs w:val="24"/>
        </w:rPr>
        <w:fldChar w:fldCharType="separate"/>
      </w:r>
      <w:r>
        <w:rPr>
          <w:rFonts w:ascii="宋体" w:hAnsi="宋体" w:eastAsia="宋体" w:cs="宋体"/>
          <w:spacing w:val="-22"/>
          <w:szCs w:val="24"/>
        </w:rPr>
        <w:t>日</w:t>
      </w:r>
      <w:r>
        <w:rPr>
          <w:rFonts w:ascii="宋体" w:hAnsi="宋体" w:eastAsia="宋体" w:cs="宋体"/>
          <w:spacing w:val="7"/>
          <w:szCs w:val="24"/>
        </w:rPr>
        <w:t xml:space="preserve">  </w:t>
      </w:r>
      <w:r>
        <w:rPr>
          <w:rFonts w:ascii="宋体" w:hAnsi="宋体" w:eastAsia="宋体" w:cs="宋体"/>
          <w:spacing w:val="-22"/>
          <w:szCs w:val="24"/>
        </w:rPr>
        <w:t>期</w:t>
      </w:r>
      <w:r>
        <w:rPr>
          <w:rFonts w:hint="eastAsia" w:ascii="宋体" w:hAnsi="宋体" w:cs="宋体"/>
          <w:spacing w:val="-22"/>
          <w:szCs w:val="24"/>
          <w:lang w:val="en-US" w:eastAsia="zh-CN"/>
        </w:rPr>
        <w:t xml:space="preserve"> </w:t>
      </w:r>
      <w:r>
        <w:rPr>
          <w:rFonts w:ascii="宋体" w:hAnsi="宋体" w:eastAsia="宋体" w:cs="宋体"/>
          <w:spacing w:val="-22"/>
          <w:szCs w:val="24"/>
        </w:rPr>
        <w:t>：</w:t>
      </w:r>
      <w:r>
        <w:tab/>
      </w:r>
      <w:r>
        <w:fldChar w:fldCharType="begin"/>
      </w:r>
      <w:r>
        <w:instrText xml:space="preserve"> PAGEREF _Toc25008 \h </w:instrText>
      </w:r>
      <w:r>
        <w:fldChar w:fldCharType="separate"/>
      </w:r>
      <w:r>
        <w:t>76</w:t>
      </w:r>
      <w:r>
        <w:fldChar w:fldCharType="end"/>
      </w:r>
      <w:r>
        <w:rPr>
          <w:rFonts w:ascii="黑体" w:hAnsi="黑体" w:eastAsia="黑体"/>
          <w:szCs w:val="24"/>
        </w:rPr>
        <w:fldChar w:fldCharType="end"/>
      </w:r>
    </w:p>
    <w:p w14:paraId="714C0066">
      <w:pPr>
        <w:pStyle w:val="17"/>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_Toc11225 </w:instrText>
      </w:r>
      <w:r>
        <w:rPr>
          <w:rFonts w:ascii="黑体" w:hAnsi="黑体" w:eastAsia="黑体"/>
          <w:szCs w:val="24"/>
        </w:rPr>
        <w:fldChar w:fldCharType="separate"/>
      </w:r>
      <w:r>
        <w:rPr>
          <w:rFonts w:hint="eastAsia" w:ascii="宋体" w:hAnsi="宋体"/>
          <w:szCs w:val="24"/>
          <w:lang w:eastAsia="zh-CN"/>
        </w:rPr>
        <w:t>从业人员、营业收入、资产总额填报上一年度数据，无上一年度数据的新成立企业可不填报。</w:t>
      </w:r>
      <w:r>
        <w:tab/>
      </w:r>
      <w:r>
        <w:fldChar w:fldCharType="begin"/>
      </w:r>
      <w:r>
        <w:instrText xml:space="preserve"> PAGEREF _Toc11225 \h </w:instrText>
      </w:r>
      <w:r>
        <w:fldChar w:fldCharType="separate"/>
      </w:r>
      <w:r>
        <w:t>76</w:t>
      </w:r>
      <w:r>
        <w:fldChar w:fldCharType="end"/>
      </w:r>
      <w:r>
        <w:rPr>
          <w:rFonts w:ascii="黑体" w:hAnsi="黑体" w:eastAsia="黑体"/>
          <w:szCs w:val="24"/>
        </w:rPr>
        <w:fldChar w:fldCharType="end"/>
      </w:r>
    </w:p>
    <w:p w14:paraId="05BDCF01">
      <w:pPr>
        <w:spacing w:line="360" w:lineRule="auto"/>
        <w:jc w:val="center"/>
        <w:outlineLvl w:val="9"/>
        <w:rPr>
          <w:rFonts w:ascii="黑体" w:hAnsi="黑体" w:eastAsia="黑体"/>
          <w:szCs w:val="24"/>
        </w:rPr>
      </w:pPr>
      <w:r>
        <w:rPr>
          <w:rFonts w:ascii="黑体" w:hAnsi="黑体" w:eastAsia="黑体"/>
          <w:szCs w:val="24"/>
        </w:rPr>
        <w:fldChar w:fldCharType="end"/>
      </w:r>
    </w:p>
    <w:p w14:paraId="72309FBB">
      <w:pPr>
        <w:rPr>
          <w:rFonts w:hint="eastAsia" w:ascii="黑体" w:hAnsi="黑体" w:eastAsia="黑体"/>
          <w:sz w:val="32"/>
          <w:szCs w:val="32"/>
          <w:highlight w:val="none"/>
        </w:rPr>
        <w:sectPr>
          <w:footerReference r:id="rId4" w:type="default"/>
          <w:pgSz w:w="11906" w:h="16838"/>
          <w:pgMar w:top="1440" w:right="1440" w:bottom="1440" w:left="1440" w:header="851" w:footer="992" w:gutter="0"/>
          <w:pgNumType w:start="1"/>
          <w:cols w:space="0" w:num="1"/>
          <w:docGrid w:type="lines" w:linePitch="317" w:charSpace="0"/>
        </w:sectPr>
      </w:pPr>
      <w:r>
        <w:rPr>
          <w:rFonts w:hint="eastAsia" w:ascii="黑体" w:hAnsi="黑体" w:eastAsia="黑体"/>
          <w:sz w:val="32"/>
          <w:szCs w:val="32"/>
          <w:highlight w:val="none"/>
        </w:rPr>
        <w:br w:type="page"/>
      </w:r>
    </w:p>
    <w:p w14:paraId="50BBE81F">
      <w:pPr>
        <w:spacing w:after="156" w:afterLines="50" w:line="240" w:lineRule="auto"/>
        <w:jc w:val="center"/>
        <w:outlineLvl w:val="0"/>
        <w:rPr>
          <w:rFonts w:hint="eastAsia" w:ascii="黑体" w:hAnsi="黑体" w:eastAsia="黑体"/>
          <w:b/>
          <w:bCs/>
          <w:color w:val="auto"/>
          <w:sz w:val="36"/>
          <w:szCs w:val="36"/>
        </w:rPr>
      </w:pPr>
      <w:bookmarkStart w:id="9" w:name="_Toc518"/>
      <w:r>
        <w:rPr>
          <w:rFonts w:hint="eastAsia" w:ascii="黑体" w:hAnsi="黑体" w:eastAsia="黑体"/>
          <w:sz w:val="32"/>
          <w:szCs w:val="32"/>
        </w:rPr>
        <w:t>第一章  招标公告</w:t>
      </w:r>
      <w:bookmarkEnd w:id="9"/>
    </w:p>
    <w:p w14:paraId="40513A9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jc w:val="both"/>
        <w:textAlignment w:val="auto"/>
        <w:rPr>
          <w:rFonts w:hint="eastAsia" w:ascii="仿宋" w:hAnsi="仿宋" w:eastAsia="仿宋"/>
          <w:color w:val="auto"/>
          <w:sz w:val="28"/>
          <w:szCs w:val="28"/>
        </w:rPr>
      </w:pPr>
      <w:bookmarkStart w:id="10" w:name="_Toc15717"/>
      <w:bookmarkStart w:id="11" w:name="_Toc494455908"/>
      <w:r>
        <w:rPr>
          <w:rFonts w:hint="eastAsia" w:ascii="仿宋" w:hAnsi="仿宋" w:eastAsia="仿宋"/>
          <w:color w:val="auto"/>
          <w:sz w:val="28"/>
          <w:szCs w:val="28"/>
        </w:rPr>
        <w:t>项目概况</w:t>
      </w:r>
    </w:p>
    <w:p w14:paraId="299E07D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u w:val="single"/>
          <w:lang w:val="en-US" w:eastAsia="zh-CN"/>
        </w:rPr>
        <w:t>温宿县人民医院眼耳鼻喉科、泌尿外科进口医疗设备采购项目</w:t>
      </w:r>
      <w:r>
        <w:rPr>
          <w:rFonts w:hint="eastAsia" w:ascii="仿宋" w:hAnsi="仿宋" w:eastAsia="仿宋"/>
          <w:color w:val="auto"/>
          <w:sz w:val="28"/>
          <w:szCs w:val="28"/>
          <w:u w:val="none"/>
        </w:rPr>
        <w:t>的潜在投标人应在</w:t>
      </w:r>
      <w:r>
        <w:rPr>
          <w:rFonts w:hint="eastAsia" w:ascii="仿宋" w:hAnsi="仿宋" w:eastAsia="仿宋" w:cs="宋体"/>
          <w:color w:val="auto"/>
          <w:sz w:val="28"/>
          <w:szCs w:val="28"/>
          <w:u w:val="none"/>
        </w:rPr>
        <w:t>政采云平台</w:t>
      </w:r>
      <w:r>
        <w:rPr>
          <w:rFonts w:hint="eastAsia" w:ascii="仿宋" w:hAnsi="仿宋" w:eastAsia="仿宋"/>
          <w:color w:val="auto"/>
          <w:sz w:val="28"/>
          <w:szCs w:val="28"/>
          <w:u w:val="none"/>
        </w:rPr>
        <w:t>获取采购文件，</w:t>
      </w:r>
      <w:r>
        <w:rPr>
          <w:rFonts w:hint="eastAsia" w:ascii="仿宋" w:hAnsi="仿宋" w:eastAsia="仿宋" w:cs="Times New Roman"/>
          <w:color w:val="auto"/>
          <w:sz w:val="28"/>
          <w:szCs w:val="28"/>
          <w:u w:val="none"/>
        </w:rPr>
        <w:t>并于</w:t>
      </w:r>
      <w:r>
        <w:rPr>
          <w:rFonts w:hint="eastAsia" w:ascii="仿宋" w:hAnsi="仿宋" w:eastAsia="仿宋" w:cs="Times New Roman"/>
          <w:color w:val="auto"/>
          <w:sz w:val="28"/>
          <w:szCs w:val="28"/>
          <w:u w:val="single"/>
        </w:rPr>
        <w:t>20</w:t>
      </w:r>
      <w:r>
        <w:rPr>
          <w:rFonts w:hint="eastAsia" w:ascii="仿宋" w:hAnsi="仿宋" w:eastAsia="仿宋" w:cs="Times New Roman"/>
          <w:color w:val="auto"/>
          <w:sz w:val="28"/>
          <w:szCs w:val="28"/>
          <w:u w:val="single"/>
          <w:lang w:val="en-US" w:eastAsia="zh-CN"/>
        </w:rPr>
        <w:t>25</w:t>
      </w:r>
      <w:r>
        <w:rPr>
          <w:rFonts w:hint="eastAsia" w:ascii="仿宋" w:hAnsi="仿宋" w:eastAsia="仿宋" w:cs="Times New Roman"/>
          <w:color w:val="auto"/>
          <w:sz w:val="28"/>
          <w:szCs w:val="28"/>
          <w:u w:val="single"/>
        </w:rPr>
        <w:t>年</w:t>
      </w:r>
      <w:r>
        <w:rPr>
          <w:rFonts w:hint="eastAsia" w:ascii="仿宋" w:hAnsi="仿宋" w:eastAsia="仿宋" w:cs="Times New Roman"/>
          <w:color w:val="auto"/>
          <w:sz w:val="28"/>
          <w:szCs w:val="28"/>
          <w:u w:val="single"/>
          <w:lang w:val="en-US" w:eastAsia="zh-CN"/>
        </w:rPr>
        <w:t>02</w:t>
      </w:r>
      <w:r>
        <w:rPr>
          <w:rFonts w:hint="eastAsia" w:ascii="仿宋" w:hAnsi="仿宋" w:eastAsia="仿宋" w:cs="Times New Roman"/>
          <w:color w:val="auto"/>
          <w:sz w:val="28"/>
          <w:szCs w:val="28"/>
          <w:u w:val="single"/>
        </w:rPr>
        <w:t>月</w:t>
      </w:r>
      <w:r>
        <w:rPr>
          <w:rFonts w:hint="eastAsia" w:ascii="仿宋" w:hAnsi="仿宋" w:eastAsia="仿宋" w:cs="Times New Roman"/>
          <w:color w:val="auto"/>
          <w:sz w:val="28"/>
          <w:szCs w:val="28"/>
          <w:u w:val="single"/>
          <w:lang w:val="en-US" w:eastAsia="zh-CN"/>
        </w:rPr>
        <w:t>27</w:t>
      </w:r>
      <w:r>
        <w:rPr>
          <w:rFonts w:hint="eastAsia" w:ascii="仿宋" w:hAnsi="仿宋" w:eastAsia="仿宋" w:cs="Times New Roman"/>
          <w:color w:val="auto"/>
          <w:sz w:val="28"/>
          <w:szCs w:val="28"/>
          <w:u w:val="single"/>
        </w:rPr>
        <w:t>日</w:t>
      </w:r>
      <w:r>
        <w:rPr>
          <w:rFonts w:hint="eastAsia" w:ascii="仿宋" w:hAnsi="仿宋" w:eastAsia="仿宋" w:cs="Times New Roman"/>
          <w:color w:val="auto"/>
          <w:sz w:val="28"/>
          <w:szCs w:val="28"/>
          <w:u w:val="single"/>
          <w:lang w:val="en-US" w:eastAsia="zh-CN"/>
        </w:rPr>
        <w:t>11</w:t>
      </w:r>
      <w:r>
        <w:rPr>
          <w:rFonts w:hint="eastAsia" w:ascii="仿宋" w:hAnsi="仿宋" w:eastAsia="仿宋" w:cs="Times New Roman"/>
          <w:color w:val="auto"/>
          <w:sz w:val="28"/>
          <w:szCs w:val="28"/>
          <w:u w:val="single"/>
        </w:rPr>
        <w:t>点</w:t>
      </w:r>
      <w:r>
        <w:rPr>
          <w:rFonts w:hint="eastAsia" w:ascii="仿宋" w:hAnsi="仿宋" w:eastAsia="仿宋" w:cs="Times New Roman"/>
          <w:color w:val="auto"/>
          <w:sz w:val="28"/>
          <w:szCs w:val="28"/>
          <w:u w:val="single"/>
          <w:lang w:val="en-US" w:eastAsia="zh-CN"/>
        </w:rPr>
        <w:t>00</w:t>
      </w:r>
      <w:r>
        <w:rPr>
          <w:rFonts w:hint="eastAsia" w:ascii="仿宋" w:hAnsi="仿宋" w:eastAsia="仿宋" w:cs="Times New Roman"/>
          <w:color w:val="auto"/>
          <w:sz w:val="28"/>
          <w:szCs w:val="28"/>
          <w:u w:val="single"/>
        </w:rPr>
        <w:t>分（北京时间</w:t>
      </w:r>
      <w:r>
        <w:rPr>
          <w:rFonts w:hint="eastAsia" w:ascii="仿宋" w:hAnsi="仿宋" w:eastAsia="仿宋" w:cs="Times New Roman"/>
          <w:color w:val="auto"/>
          <w:sz w:val="28"/>
          <w:szCs w:val="28"/>
          <w:u w:val="single"/>
          <w:lang w:eastAsia="zh-CN"/>
        </w:rPr>
        <w:t>）</w:t>
      </w:r>
      <w:r>
        <w:rPr>
          <w:rFonts w:hint="eastAsia" w:ascii="仿宋" w:hAnsi="仿宋" w:eastAsia="仿宋" w:cs="Times New Roman"/>
          <w:color w:val="auto"/>
          <w:sz w:val="28"/>
          <w:szCs w:val="28"/>
          <w:u w:val="none"/>
        </w:rPr>
        <w:t>前递交</w:t>
      </w:r>
      <w:r>
        <w:rPr>
          <w:rFonts w:ascii="仿宋" w:hAnsi="仿宋" w:eastAsia="仿宋" w:cs="仿宋"/>
          <w:i w:val="0"/>
          <w:iCs w:val="0"/>
          <w:caps w:val="0"/>
          <w:color w:val="000000"/>
          <w:spacing w:val="0"/>
          <w:sz w:val="27"/>
          <w:szCs w:val="27"/>
        </w:rPr>
        <w:t>响应</w:t>
      </w:r>
      <w:r>
        <w:rPr>
          <w:rFonts w:hint="eastAsia" w:ascii="仿宋" w:hAnsi="仿宋" w:eastAsia="仿宋" w:cs="Times New Roman"/>
          <w:color w:val="auto"/>
          <w:sz w:val="28"/>
          <w:szCs w:val="28"/>
          <w:u w:val="none"/>
        </w:rPr>
        <w:t>文件</w:t>
      </w:r>
      <w:r>
        <w:rPr>
          <w:rFonts w:hint="eastAsia" w:ascii="仿宋" w:hAnsi="仿宋" w:eastAsia="仿宋" w:cs="Times New Roman"/>
          <w:color w:val="auto"/>
          <w:sz w:val="28"/>
          <w:szCs w:val="28"/>
          <w:u w:val="none"/>
          <w:lang w:eastAsia="zh-CN"/>
        </w:rPr>
        <w:t>。</w:t>
      </w:r>
    </w:p>
    <w:p w14:paraId="28177F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一、项目基本情况</w:t>
      </w:r>
    </w:p>
    <w:p w14:paraId="61861C72">
      <w:pPr>
        <w:pStyle w:val="23"/>
        <w:keepNext w:val="0"/>
        <w:keepLines w:val="0"/>
        <w:widowControl/>
        <w:suppressLineNumbers w:val="0"/>
        <w:spacing w:before="0" w:beforeAutospacing="0" w:after="0" w:afterAutospacing="0"/>
        <w:ind w:left="0" w:right="0" w:firstLine="270" w:firstLineChars="10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项目编号：WSFS-2024-07</w:t>
      </w:r>
    </w:p>
    <w:p w14:paraId="7F1F857C">
      <w:pPr>
        <w:pStyle w:val="23"/>
        <w:keepNext w:val="0"/>
        <w:keepLines w:val="0"/>
        <w:widowControl/>
        <w:suppressLineNumbers w:val="0"/>
        <w:spacing w:before="0" w:beforeAutospacing="0" w:after="0" w:afterAutospacing="0"/>
        <w:ind w:left="0" w:right="0" w:firstLine="270" w:firstLineChars="10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项目名称：温宿县人民医院眼耳鼻喉科、泌尿外科进口医疗设备采购项目</w:t>
      </w:r>
    </w:p>
    <w:p w14:paraId="0ACD60DE">
      <w:pPr>
        <w:pStyle w:val="23"/>
        <w:keepNext w:val="0"/>
        <w:keepLines w:val="0"/>
        <w:widowControl/>
        <w:suppressLineNumbers w:val="0"/>
        <w:spacing w:before="0" w:beforeAutospacing="0" w:after="0" w:afterAutospacing="0"/>
        <w:ind w:left="0" w:right="0" w:firstLine="270" w:firstLineChars="10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采购方式：公开招标</w:t>
      </w:r>
    </w:p>
    <w:p w14:paraId="695E194F">
      <w:pPr>
        <w:pStyle w:val="23"/>
        <w:keepNext w:val="0"/>
        <w:keepLines w:val="0"/>
        <w:widowControl/>
        <w:suppressLineNumbers w:val="0"/>
        <w:spacing w:before="0" w:beforeAutospacing="0" w:after="0" w:afterAutospacing="0"/>
        <w:ind w:left="0" w:right="0" w:firstLine="270" w:firstLineChars="10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预算金额（元）：1280000.00</w:t>
      </w:r>
    </w:p>
    <w:p w14:paraId="7854DEDA">
      <w:pPr>
        <w:pStyle w:val="23"/>
        <w:keepNext w:val="0"/>
        <w:keepLines w:val="0"/>
        <w:widowControl/>
        <w:suppressLineNumbers w:val="0"/>
        <w:spacing w:before="0" w:beforeAutospacing="0" w:after="0" w:afterAutospacing="0"/>
        <w:ind w:left="0" w:right="0" w:firstLine="270" w:firstLineChars="10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招标控制价（元）：1280000.00</w:t>
      </w:r>
    </w:p>
    <w:p w14:paraId="3FAB9299">
      <w:pPr>
        <w:pStyle w:val="23"/>
        <w:keepNext w:val="0"/>
        <w:keepLines w:val="0"/>
        <w:widowControl/>
        <w:suppressLineNumbers w:val="0"/>
        <w:spacing w:before="0" w:beforeAutospacing="0" w:after="0" w:afterAutospacing="0"/>
        <w:ind w:left="0" w:right="0" w:firstLine="270" w:firstLineChars="10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采购需求：眼底532激光治疗仪1台、肾镜1台、视野计1台（详见采购清单）。</w:t>
      </w:r>
    </w:p>
    <w:p w14:paraId="1A7D40A5">
      <w:pPr>
        <w:pStyle w:val="23"/>
        <w:keepNext w:val="0"/>
        <w:keepLines w:val="0"/>
        <w:widowControl/>
        <w:suppressLineNumbers w:val="0"/>
        <w:spacing w:before="0" w:beforeAutospacing="0" w:after="0" w:afterAutospacing="0"/>
        <w:ind w:left="0" w:right="0" w:firstLine="270" w:firstLineChars="10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合同履行期限：合同签订后30日内完成供货及安装调试。</w:t>
      </w:r>
    </w:p>
    <w:p w14:paraId="2C6A56DD">
      <w:pPr>
        <w:pStyle w:val="23"/>
        <w:keepNext w:val="0"/>
        <w:keepLines w:val="0"/>
        <w:widowControl/>
        <w:suppressLineNumbers w:val="0"/>
        <w:spacing w:before="0" w:beforeAutospacing="0" w:after="0" w:afterAutospacing="0"/>
        <w:ind w:left="0" w:right="0" w:firstLine="270" w:firstLineChars="10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本项目（否）接受联合体投标。</w:t>
      </w:r>
    </w:p>
    <w:p w14:paraId="0C3FF08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二、申请人的资格要求：</w:t>
      </w:r>
    </w:p>
    <w:p w14:paraId="5CBD812C">
      <w:pPr>
        <w:pStyle w:val="23"/>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1.满足《中华人民共和国政府采购法》第二十二条规定；</w:t>
      </w:r>
    </w:p>
    <w:p w14:paraId="4E6889AE">
      <w:pPr>
        <w:pStyle w:val="23"/>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（1）具有独立承担民事责任的能力； </w:t>
      </w:r>
    </w:p>
    <w:p w14:paraId="37DFB5FC">
      <w:pPr>
        <w:pStyle w:val="23"/>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（2）具有良好的商业信誉和健全的财务会计制度； </w:t>
      </w:r>
    </w:p>
    <w:p w14:paraId="287B8AFF">
      <w:pPr>
        <w:pStyle w:val="23"/>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（3）具有履行合同所必需的设备和专业技术能力； </w:t>
      </w:r>
    </w:p>
    <w:p w14:paraId="7BDCBC18">
      <w:pPr>
        <w:pStyle w:val="23"/>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（4）有依法缴纳税收和社会保障资金的良好记录； </w:t>
      </w:r>
    </w:p>
    <w:p w14:paraId="5A7F43D4">
      <w:pPr>
        <w:pStyle w:val="23"/>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lang w:val="en-US" w:eastAsia="zh-CN"/>
        </w:rPr>
        <w:t xml:space="preserve">（5）参加政府采购活动前三年内，在经营活动中没有重大违法记录； </w:t>
      </w:r>
    </w:p>
    <w:p w14:paraId="79313E71">
      <w:pPr>
        <w:pStyle w:val="23"/>
        <w:keepNext w:val="0"/>
        <w:keepLines w:val="0"/>
        <w:widowControl/>
        <w:suppressLineNumbers w:val="0"/>
        <w:spacing w:before="75" w:beforeAutospacing="0" w:after="75" w:afterAutospacing="0"/>
        <w:ind w:left="0" w:right="0" w:firstLine="0"/>
      </w:pPr>
      <w:r>
        <w:rPr>
          <w:rFonts w:hint="eastAsia" w:ascii="仿宋" w:hAnsi="仿宋" w:eastAsia="仿宋" w:cs="仿宋"/>
          <w:i w:val="0"/>
          <w:iCs w:val="0"/>
          <w:caps w:val="0"/>
          <w:color w:val="000000"/>
          <w:spacing w:val="0"/>
          <w:sz w:val="27"/>
          <w:szCs w:val="27"/>
          <w:lang w:val="en-US" w:eastAsia="zh-CN"/>
        </w:rPr>
        <w:t xml:space="preserve">（6）法律、行政法规规定的其他条件。 </w:t>
      </w:r>
    </w:p>
    <w:p w14:paraId="2CC15547">
      <w:pPr>
        <w:pStyle w:val="23"/>
        <w:keepNext w:val="0"/>
        <w:keepLines w:val="0"/>
        <w:widowControl/>
        <w:suppressLineNumbers w:val="0"/>
        <w:spacing w:before="75" w:beforeAutospacing="0" w:after="75" w:afterAutospacing="0"/>
        <w:ind w:right="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 2.落实政府采购政策需满足的资格要求：</w:t>
      </w:r>
    </w:p>
    <w:p w14:paraId="055C7924">
      <w:pPr>
        <w:pStyle w:val="14"/>
        <w:spacing w:line="360" w:lineRule="auto"/>
        <w:ind w:left="0" w:leftChars="0" w:firstLine="0" w:firstLineChars="0"/>
        <w:jc w:val="left"/>
        <w:rPr>
          <w:rFonts w:hint="eastAsia" w:ascii="仿宋" w:hAnsi="仿宋" w:eastAsia="仿宋" w:cs="仿宋"/>
          <w:i w:val="0"/>
          <w:iCs w:val="0"/>
          <w:caps w:val="0"/>
          <w:color w:val="000000"/>
          <w:spacing w:val="0"/>
          <w:sz w:val="27"/>
          <w:szCs w:val="27"/>
          <w:lang w:val="en-US" w:eastAsia="zh-CN"/>
        </w:rPr>
      </w:pPr>
      <w:r>
        <w:rPr>
          <w:rFonts w:ascii="仿宋" w:hAnsi="仿宋" w:eastAsia="仿宋" w:cs="仿宋"/>
          <w:i w:val="0"/>
          <w:iCs w:val="0"/>
          <w:caps w:val="0"/>
          <w:color w:val="000000"/>
          <w:spacing w:val="0"/>
          <w:sz w:val="27"/>
          <w:szCs w:val="27"/>
        </w:rPr>
        <w:t>（1）财政部、国家发展改革委、生态环境部、市场监管总局《关于调整优化节能产品、环境标志产品政府采购执行机制的通知》（财库[2019]9号文）；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（2）财政部、生态环境部《关于印发环境标志产品政府采购品目清单的通知》（财库[2019]18号文）；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（3）财政部、发展改革委《关于印发节能产品政府采购品目清单的通知》（财库[2019]19号文）；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（4）市场监管总局《市场监管总局关于发布参与实施政府采购节能产品、环境标志产品认证机构名录的公告》（2019年第16号）；</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（5）财政部、工业和信息化部《关于印发《政府采购促进中小企业发展管理办法》的通知》（财库[2020]46号文）；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（6）财政部、民政部、中国残疾人联合会《关于促进残疾人就业政府采购政策的通知》（财库[2017]141号）；</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（7）财政部、司法部《关于政府采购支持监狱企业发展有关问题的通知》（财库[2014]68号文）</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（8）《新疆维吾尔自治区政府采购促进中小企业发展管理实施办法》（新财规〔2021〕6号） </w:t>
      </w:r>
      <w:r>
        <w:rPr>
          <w:rFonts w:hint="eastAsia" w:ascii="仿宋" w:hAnsi="仿宋" w:eastAsia="仿宋" w:cs="仿宋"/>
          <w:i w:val="0"/>
          <w:iCs w:val="0"/>
          <w:caps w:val="0"/>
          <w:color w:val="000000"/>
          <w:spacing w:val="0"/>
          <w:sz w:val="27"/>
          <w:szCs w:val="27"/>
          <w:lang w:val="en-US" w:eastAsia="zh-CN"/>
        </w:rPr>
        <w:t>；</w:t>
      </w:r>
    </w:p>
    <w:p w14:paraId="2F40F534">
      <w:pPr>
        <w:keepNext w:val="0"/>
        <w:keepLines w:val="0"/>
        <w:widowControl/>
        <w:suppressLineNumbers w:val="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3.本项目的特定资格要求：投标单位须提供</w:t>
      </w:r>
      <w:r>
        <w:rPr>
          <w:rFonts w:hint="eastAsia" w:ascii="仿宋" w:hAnsi="仿宋" w:eastAsia="仿宋" w:cs="Times New Roman"/>
          <w:snapToGrid w:val="0"/>
          <w:color w:val="auto"/>
          <w:kern w:val="0"/>
          <w:sz w:val="28"/>
          <w:szCs w:val="28"/>
          <w:lang w:val="en-US" w:eastAsia="zh-CN"/>
        </w:rPr>
        <w:t>《二类医疗器械经营备案凭证》以及</w:t>
      </w:r>
      <w:r>
        <w:rPr>
          <w:rFonts w:hint="eastAsia" w:ascii="仿宋" w:hAnsi="仿宋" w:eastAsia="仿宋" w:cs="仿宋"/>
          <w:i w:val="0"/>
          <w:iCs w:val="0"/>
          <w:caps w:val="0"/>
          <w:color w:val="000000"/>
          <w:spacing w:val="0"/>
          <w:kern w:val="2"/>
          <w:sz w:val="27"/>
          <w:szCs w:val="27"/>
          <w:lang w:val="en-US" w:eastAsia="zh-CN" w:bidi="ar-SA"/>
        </w:rPr>
        <w:t>《医疗器械经营许可证》或《医疗器械生产许可证》；</w:t>
      </w:r>
    </w:p>
    <w:p w14:paraId="3146BF8C">
      <w:pPr>
        <w:pStyle w:val="14"/>
        <w:spacing w:line="360" w:lineRule="auto"/>
        <w:ind w:left="0" w:leftChars="0" w:firstLine="0" w:firstLineChars="0"/>
        <w:jc w:val="left"/>
        <w:rPr>
          <w:rFonts w:hint="eastAsia" w:ascii="黑体" w:hAnsi="黑体" w:eastAsia="黑体" w:cs="黑体"/>
          <w:color w:val="auto"/>
          <w:sz w:val="28"/>
          <w:szCs w:val="28"/>
        </w:rPr>
      </w:pPr>
      <w:r>
        <w:rPr>
          <w:rFonts w:hint="eastAsia" w:ascii="黑体" w:hAnsi="黑体" w:eastAsia="黑体" w:cs="黑体"/>
          <w:color w:val="auto"/>
          <w:sz w:val="28"/>
          <w:szCs w:val="28"/>
        </w:rPr>
        <w:t>三、获取采购文件</w:t>
      </w:r>
    </w:p>
    <w:p w14:paraId="00A2ADE2">
      <w:pPr>
        <w:spacing w:line="360" w:lineRule="auto"/>
        <w:ind w:firstLine="560" w:firstLineChars="200"/>
        <w:rPr>
          <w:rFonts w:hint="eastAsia" w:ascii="仿宋" w:hAnsi="仿宋" w:eastAsia="仿宋" w:cs="Times New Roman"/>
          <w:sz w:val="28"/>
          <w:szCs w:val="28"/>
          <w:highlight w:val="none"/>
          <w:lang w:val="en-US" w:eastAsia="en-US"/>
        </w:rPr>
      </w:pPr>
      <w:r>
        <w:rPr>
          <w:rFonts w:hint="eastAsia" w:ascii="仿宋" w:hAnsi="仿宋" w:eastAsia="仿宋" w:cs="Times New Roman"/>
          <w:sz w:val="28"/>
          <w:szCs w:val="28"/>
          <w:highlight w:val="none"/>
          <w:lang w:val="en-US" w:eastAsia="en-US"/>
        </w:rPr>
        <w:t>时间：</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lang w:val="en-US" w:eastAsia="en-US"/>
        </w:rPr>
        <w:t>年</w:t>
      </w:r>
      <w:r>
        <w:rPr>
          <w:rFonts w:hint="eastAsia" w:ascii="仿宋" w:hAnsi="仿宋" w:eastAsia="仿宋" w:cs="Times New Roman"/>
          <w:sz w:val="28"/>
          <w:szCs w:val="28"/>
          <w:highlight w:val="none"/>
          <w:lang w:val="en-US" w:eastAsia="zh-CN"/>
        </w:rPr>
        <w:t>02月07</w:t>
      </w:r>
      <w:r>
        <w:rPr>
          <w:rFonts w:hint="eastAsia" w:ascii="仿宋" w:hAnsi="仿宋" w:eastAsia="仿宋" w:cs="Times New Roman"/>
          <w:sz w:val="28"/>
          <w:szCs w:val="28"/>
          <w:highlight w:val="none"/>
          <w:lang w:val="en-US" w:eastAsia="en-US"/>
        </w:rPr>
        <w:t>日至</w:t>
      </w:r>
      <w:r>
        <w:rPr>
          <w:rFonts w:hint="eastAsia" w:ascii="仿宋" w:hAnsi="仿宋" w:eastAsia="仿宋" w:cs="Times New Roman"/>
          <w:sz w:val="28"/>
          <w:szCs w:val="28"/>
          <w:highlight w:val="none"/>
          <w:lang w:val="en-US" w:eastAsia="zh-CN"/>
        </w:rPr>
        <w:t>2025</w:t>
      </w:r>
      <w:r>
        <w:rPr>
          <w:rFonts w:hint="eastAsia" w:ascii="仿宋" w:hAnsi="仿宋" w:eastAsia="仿宋" w:cs="Times New Roman"/>
          <w:sz w:val="28"/>
          <w:szCs w:val="28"/>
          <w:highlight w:val="none"/>
          <w:lang w:val="en-US" w:eastAsia="en-US"/>
        </w:rPr>
        <w:t>年</w:t>
      </w:r>
      <w:r>
        <w:rPr>
          <w:rFonts w:hint="eastAsia" w:ascii="仿宋" w:hAnsi="仿宋" w:eastAsia="仿宋" w:cs="Times New Roman"/>
          <w:sz w:val="28"/>
          <w:szCs w:val="28"/>
          <w:highlight w:val="none"/>
          <w:lang w:val="en-US" w:eastAsia="zh-CN"/>
        </w:rPr>
        <w:t>02</w:t>
      </w:r>
      <w:r>
        <w:rPr>
          <w:rFonts w:hint="eastAsia" w:ascii="仿宋" w:hAnsi="仿宋" w:eastAsia="仿宋" w:cs="Times New Roman"/>
          <w:sz w:val="28"/>
          <w:szCs w:val="28"/>
          <w:highlight w:val="none"/>
          <w:lang w:val="en-US" w:eastAsia="en-US"/>
        </w:rPr>
        <w:t>月</w:t>
      </w:r>
      <w:r>
        <w:rPr>
          <w:rFonts w:hint="eastAsia" w:ascii="仿宋" w:hAnsi="仿宋" w:eastAsia="仿宋" w:cs="Times New Roman"/>
          <w:sz w:val="28"/>
          <w:szCs w:val="28"/>
          <w:highlight w:val="none"/>
          <w:lang w:val="en-US" w:eastAsia="zh-CN"/>
        </w:rPr>
        <w:t>12</w:t>
      </w:r>
      <w:r>
        <w:rPr>
          <w:rFonts w:hint="eastAsia" w:ascii="仿宋" w:hAnsi="仿宋" w:eastAsia="仿宋" w:cs="Times New Roman"/>
          <w:sz w:val="28"/>
          <w:szCs w:val="28"/>
          <w:highlight w:val="none"/>
          <w:lang w:val="en-US" w:eastAsia="en-US"/>
        </w:rPr>
        <w:t>日，上午10:00至1</w:t>
      </w:r>
      <w:r>
        <w:rPr>
          <w:rFonts w:hint="eastAsia" w:ascii="仿宋" w:hAnsi="仿宋" w:eastAsia="仿宋" w:cs="Times New Roman"/>
          <w:sz w:val="28"/>
          <w:szCs w:val="28"/>
          <w:highlight w:val="none"/>
          <w:lang w:val="en-US" w:eastAsia="zh-CN"/>
        </w:rPr>
        <w:t>4</w:t>
      </w:r>
      <w:r>
        <w:rPr>
          <w:rFonts w:hint="eastAsia" w:ascii="仿宋" w:hAnsi="仿宋" w:eastAsia="仿宋" w:cs="Times New Roman"/>
          <w:sz w:val="28"/>
          <w:szCs w:val="28"/>
          <w:highlight w:val="none"/>
          <w:lang w:val="en-US" w:eastAsia="en-US"/>
        </w:rPr>
        <w:t>:00，下午</w:t>
      </w:r>
      <w:r>
        <w:rPr>
          <w:rFonts w:hint="eastAsia" w:ascii="仿宋" w:hAnsi="仿宋" w:eastAsia="仿宋" w:cs="Times New Roman"/>
          <w:sz w:val="28"/>
          <w:szCs w:val="28"/>
          <w:highlight w:val="none"/>
          <w:lang w:val="en-US" w:eastAsia="zh-CN"/>
        </w:rPr>
        <w:t>15:30</w:t>
      </w:r>
      <w:r>
        <w:rPr>
          <w:rFonts w:hint="eastAsia" w:ascii="仿宋" w:hAnsi="仿宋" w:eastAsia="仿宋" w:cs="Times New Roman"/>
          <w:sz w:val="28"/>
          <w:szCs w:val="28"/>
          <w:highlight w:val="none"/>
          <w:lang w:val="en-US" w:eastAsia="en-US"/>
        </w:rPr>
        <w:t>至</w:t>
      </w:r>
      <w:r>
        <w:rPr>
          <w:rFonts w:hint="eastAsia" w:ascii="仿宋" w:hAnsi="仿宋" w:eastAsia="仿宋" w:cs="Times New Roman"/>
          <w:sz w:val="28"/>
          <w:szCs w:val="28"/>
          <w:highlight w:val="none"/>
          <w:lang w:val="en-US" w:eastAsia="zh-CN"/>
        </w:rPr>
        <w:t>19:30</w:t>
      </w:r>
      <w:r>
        <w:rPr>
          <w:rFonts w:hint="eastAsia" w:ascii="仿宋" w:hAnsi="仿宋" w:eastAsia="仿宋" w:cs="Times New Roman"/>
          <w:sz w:val="28"/>
          <w:szCs w:val="28"/>
          <w:highlight w:val="none"/>
          <w:lang w:val="en-US" w:eastAsia="en-US"/>
        </w:rPr>
        <w:t>（北京时间，法定节假日除外）</w:t>
      </w:r>
    </w:p>
    <w:p w14:paraId="2A8F1F59">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en-US"/>
        </w:rPr>
        <w:t>地点：</w:t>
      </w:r>
      <w:r>
        <w:rPr>
          <w:rFonts w:ascii="仿宋" w:hAnsi="仿宋" w:eastAsia="仿宋" w:cs="仿宋"/>
          <w:i w:val="0"/>
          <w:iCs w:val="0"/>
          <w:caps w:val="0"/>
          <w:color w:val="000000"/>
          <w:spacing w:val="0"/>
          <w:sz w:val="27"/>
          <w:szCs w:val="27"/>
        </w:rPr>
        <w:t>政采云平台线上</w:t>
      </w:r>
    </w:p>
    <w:p w14:paraId="0869945C">
      <w:pPr>
        <w:spacing w:line="360" w:lineRule="auto"/>
        <w:ind w:firstLine="560" w:firstLineChars="200"/>
        <w:rPr>
          <w:rFonts w:hint="eastAsia" w:ascii="仿宋" w:hAnsi="仿宋" w:eastAsia="仿宋" w:cs="Times New Roman"/>
          <w:sz w:val="28"/>
          <w:szCs w:val="28"/>
          <w:lang w:val="en-US" w:eastAsia="en-US"/>
        </w:rPr>
      </w:pPr>
      <w:r>
        <w:rPr>
          <w:rFonts w:hint="eastAsia" w:ascii="仿宋" w:hAnsi="仿宋" w:eastAsia="仿宋" w:cs="Times New Roman"/>
          <w:sz w:val="28"/>
          <w:szCs w:val="28"/>
          <w:lang w:val="en-US" w:eastAsia="en-US"/>
        </w:rPr>
        <w:t>方式：</w:t>
      </w:r>
      <w:r>
        <w:rPr>
          <w:rFonts w:ascii="仿宋" w:hAnsi="仿宋" w:eastAsia="仿宋" w:cs="仿宋"/>
          <w:i w:val="0"/>
          <w:iCs w:val="0"/>
          <w:caps w:val="0"/>
          <w:color w:val="000000"/>
          <w:spacing w:val="0"/>
          <w:sz w:val="27"/>
          <w:szCs w:val="27"/>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仿宋" w:hAnsi="仿宋" w:eastAsia="仿宋" w:cs="Times New Roman"/>
          <w:sz w:val="28"/>
          <w:szCs w:val="28"/>
          <w:lang w:val="en-US" w:eastAsia="en-US"/>
        </w:rPr>
        <w:t>  </w:t>
      </w:r>
    </w:p>
    <w:p w14:paraId="59B519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四、提交投标文件截止时间、开标时间和地点</w:t>
      </w:r>
    </w:p>
    <w:p w14:paraId="038604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u w:val="none"/>
          <w:lang w:val="en-US" w:eastAsia="zh-CN"/>
        </w:rPr>
        <w:t>时间：2025</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02</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27</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11</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w:t>
      </w:r>
      <w:r>
        <w:rPr>
          <w:rFonts w:hint="eastAsia" w:ascii="仿宋" w:hAnsi="仿宋" w:eastAsia="仿宋"/>
          <w:bCs/>
          <w:color w:val="auto"/>
          <w:sz w:val="28"/>
          <w:szCs w:val="28"/>
          <w:highlight w:val="none"/>
          <w:u w:val="none"/>
        </w:rPr>
        <w:t>分（</w:t>
      </w:r>
      <w:r>
        <w:rPr>
          <w:rFonts w:hint="eastAsia" w:ascii="仿宋" w:hAnsi="仿宋" w:eastAsia="仿宋"/>
          <w:bCs/>
          <w:color w:val="auto"/>
          <w:sz w:val="28"/>
          <w:szCs w:val="28"/>
          <w:highlight w:val="none"/>
        </w:rPr>
        <w:t>北京时间）</w:t>
      </w:r>
    </w:p>
    <w:p w14:paraId="55157C6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地点：</w:t>
      </w:r>
      <w:r>
        <w:rPr>
          <w:rFonts w:ascii="仿宋" w:hAnsi="仿宋" w:eastAsia="仿宋" w:cs="仿宋"/>
          <w:i w:val="0"/>
          <w:iCs w:val="0"/>
          <w:caps w:val="0"/>
          <w:color w:val="000000"/>
          <w:spacing w:val="0"/>
          <w:sz w:val="27"/>
          <w:szCs w:val="27"/>
        </w:rPr>
        <w:t>请登录政采云投标客户端投标</w:t>
      </w:r>
      <w:r>
        <w:rPr>
          <w:rFonts w:hint="eastAsia" w:ascii="仿宋" w:hAnsi="仿宋" w:eastAsia="仿宋" w:cs="仿宋"/>
          <w:i w:val="0"/>
          <w:iCs w:val="0"/>
          <w:caps w:val="0"/>
          <w:color w:val="000000"/>
          <w:spacing w:val="0"/>
          <w:sz w:val="27"/>
          <w:szCs w:val="27"/>
        </w:rPr>
        <w:t> </w:t>
      </w:r>
      <w:r>
        <w:rPr>
          <w:rFonts w:hint="eastAsia" w:ascii="仿宋" w:hAnsi="仿宋" w:eastAsia="仿宋"/>
          <w:color w:val="auto"/>
          <w:sz w:val="28"/>
          <w:szCs w:val="28"/>
          <w:lang w:val="en-US" w:eastAsia="zh-CN"/>
        </w:rPr>
        <w:tab/>
      </w:r>
    </w:p>
    <w:p w14:paraId="2351AE6C">
      <w:pPr>
        <w:pStyle w:val="23"/>
        <w:keepNext w:val="0"/>
        <w:keepLines w:val="0"/>
        <w:widowControl/>
        <w:numPr>
          <w:ilvl w:val="0"/>
          <w:numId w:val="0"/>
        </w:numPr>
        <w:suppressLineNumbers w:val="0"/>
        <w:spacing w:before="0" w:beforeAutospacing="0" w:after="0" w:afterAutospacing="0" w:line="240" w:lineRule="auto"/>
        <w:ind w:right="0" w:rightChars="0"/>
        <w:jc w:val="both"/>
        <w:rPr>
          <w:rFonts w:ascii="黑体" w:hAnsi="宋体" w:eastAsia="黑体" w:cs="黑体"/>
          <w:i w:val="0"/>
          <w:iCs w:val="0"/>
          <w:caps w:val="0"/>
          <w:color w:val="000000"/>
          <w:spacing w:val="0"/>
          <w:sz w:val="27"/>
          <w:szCs w:val="27"/>
        </w:rPr>
      </w:pPr>
      <w:r>
        <w:rPr>
          <w:rFonts w:hint="eastAsia" w:ascii="黑体" w:hAnsi="黑体" w:eastAsia="黑体" w:cs="黑体"/>
          <w:color w:val="auto"/>
          <w:kern w:val="2"/>
          <w:sz w:val="28"/>
          <w:szCs w:val="28"/>
          <w:lang w:val="en-US" w:eastAsia="zh-CN" w:bidi="ar-SA"/>
        </w:rPr>
        <w:t>五、响应文件开启 </w:t>
      </w:r>
    </w:p>
    <w:p w14:paraId="69EFAF7F">
      <w:pPr>
        <w:pStyle w:val="23"/>
        <w:keepNext w:val="0"/>
        <w:keepLines w:val="0"/>
        <w:widowControl/>
        <w:numPr>
          <w:ilvl w:val="0"/>
          <w:numId w:val="0"/>
        </w:numPr>
        <w:suppressLineNumbers w:val="0"/>
        <w:spacing w:before="0" w:beforeAutospacing="0" w:after="0" w:afterAutospacing="0" w:line="240" w:lineRule="auto"/>
        <w:ind w:left="0" w:leftChars="0" w:right="0" w:rightChars="0" w:firstLine="560" w:firstLineChars="200"/>
        <w:jc w:val="both"/>
        <w:rPr>
          <w:rFonts w:hint="eastAsia" w:ascii="仿宋" w:hAnsi="仿宋" w:eastAsia="仿宋" w:cs="Times New Roman"/>
          <w:color w:val="auto"/>
          <w:kern w:val="2"/>
          <w:sz w:val="28"/>
          <w:szCs w:val="28"/>
          <w:highlight w:val="none"/>
          <w:lang w:val="en-US" w:eastAsia="en-US" w:bidi="ar-SA"/>
        </w:rPr>
      </w:pPr>
      <w:r>
        <w:rPr>
          <w:rFonts w:hint="eastAsia" w:ascii="仿宋" w:hAnsi="仿宋" w:eastAsia="仿宋" w:cs="Times New Roman"/>
          <w:color w:val="auto"/>
          <w:kern w:val="2"/>
          <w:sz w:val="28"/>
          <w:szCs w:val="28"/>
          <w:highlight w:val="none"/>
          <w:lang w:val="en-US" w:eastAsia="en-US" w:bidi="ar-SA"/>
        </w:rPr>
        <w:t>开启时间：</w:t>
      </w:r>
      <w:r>
        <w:rPr>
          <w:rFonts w:hint="eastAsia" w:ascii="仿宋" w:hAnsi="仿宋" w:eastAsia="仿宋"/>
          <w:bCs/>
          <w:color w:val="auto"/>
          <w:sz w:val="28"/>
          <w:szCs w:val="28"/>
          <w:highlight w:val="none"/>
          <w:u w:val="none"/>
          <w:lang w:val="en-US" w:eastAsia="zh-CN"/>
        </w:rPr>
        <w:t>2025</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02</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27</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11</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w:t>
      </w:r>
      <w:r>
        <w:rPr>
          <w:rFonts w:hint="eastAsia" w:ascii="仿宋" w:hAnsi="仿宋" w:eastAsia="仿宋"/>
          <w:bCs/>
          <w:color w:val="auto"/>
          <w:sz w:val="28"/>
          <w:szCs w:val="28"/>
          <w:highlight w:val="none"/>
          <w:u w:val="none"/>
        </w:rPr>
        <w:t>分（</w:t>
      </w:r>
      <w:r>
        <w:rPr>
          <w:rFonts w:hint="eastAsia" w:ascii="仿宋" w:hAnsi="仿宋" w:eastAsia="仿宋"/>
          <w:bCs/>
          <w:color w:val="auto"/>
          <w:sz w:val="28"/>
          <w:szCs w:val="28"/>
          <w:highlight w:val="none"/>
        </w:rPr>
        <w:t>北京时间）</w:t>
      </w:r>
    </w:p>
    <w:p w14:paraId="7D575752">
      <w:pPr>
        <w:pStyle w:val="23"/>
        <w:keepNext w:val="0"/>
        <w:keepLines w:val="0"/>
        <w:widowControl/>
        <w:numPr>
          <w:ilvl w:val="0"/>
          <w:numId w:val="0"/>
        </w:numPr>
        <w:suppressLineNumbers w:val="0"/>
        <w:spacing w:before="0" w:beforeAutospacing="0" w:after="0" w:afterAutospacing="0" w:line="240" w:lineRule="auto"/>
        <w:ind w:left="0" w:leftChars="0" w:right="0" w:rightChars="0" w:firstLine="560" w:firstLineChars="200"/>
        <w:jc w:val="both"/>
        <w:rPr>
          <w:rFonts w:hint="eastAsia" w:ascii="仿宋" w:hAnsi="仿宋" w:eastAsia="仿宋" w:cs="Times New Roman"/>
          <w:color w:val="auto"/>
          <w:kern w:val="2"/>
          <w:sz w:val="28"/>
          <w:szCs w:val="28"/>
          <w:lang w:val="en-US" w:eastAsia="en-US" w:bidi="ar-SA"/>
        </w:rPr>
      </w:pPr>
      <w:r>
        <w:rPr>
          <w:rFonts w:hint="eastAsia" w:ascii="仿宋" w:hAnsi="仿宋" w:eastAsia="仿宋" w:cs="Times New Roman"/>
          <w:color w:val="auto"/>
          <w:kern w:val="2"/>
          <w:sz w:val="28"/>
          <w:szCs w:val="28"/>
          <w:lang w:val="en-US" w:eastAsia="en-US" w:bidi="ar-SA"/>
        </w:rPr>
        <w:t>地点：投标人登录政采云平台https://www.zcygov.cn/，进入“项目采购-开标评标-右边选择对应项目点击“进入项目”进入开标大厅。</w:t>
      </w:r>
    </w:p>
    <w:p w14:paraId="6F268596">
      <w:pPr>
        <w:pStyle w:val="23"/>
        <w:keepNext w:val="0"/>
        <w:keepLines w:val="0"/>
        <w:widowControl/>
        <w:numPr>
          <w:ilvl w:val="0"/>
          <w:numId w:val="0"/>
        </w:numPr>
        <w:suppressLineNumbers w:val="0"/>
        <w:spacing w:before="0" w:beforeAutospacing="0" w:after="0" w:afterAutospacing="0" w:line="240" w:lineRule="auto"/>
        <w:ind w:right="0" w:right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六、公告期限</w:t>
      </w:r>
    </w:p>
    <w:p w14:paraId="6286011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自本公告发布之日起5个工作日。</w:t>
      </w:r>
    </w:p>
    <w:p w14:paraId="11CF44EB">
      <w:pPr>
        <w:bidi w:val="0"/>
        <w:spacing w:line="240" w:lineRule="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 xml:space="preserve">七、其他补充事宜  </w:t>
      </w:r>
    </w:p>
    <w:p w14:paraId="2823C8CA">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 1、本公告同时在新疆政府采购网和阿克苏地区行政公署网发布；</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2、请投标单位随时关注本项目的澄清、答疑、变更事项。</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3、本项目实行电子招投标，供应商须登录政采云平台申请获取采购文件，并需要使用CA锁，登录政采云电子投标客户端制作投标文件，若供应商参与投标,自行承担与投标有关的一切费用。</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4、各供应商应在开标前确保是新疆维吾尔自治区政府采购网正式注册入库的供应商，并完成CA数字证书申领。因未注册入库、未办理CA数字证书等原因造成无法投标或投标失败等后果的由供应商自行承担。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 进行咨询。</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6、供应商在开标时须携带制作加密电子投标文件所使用的CA锁，电脑须提前配置好浏览器（建议使用360浏览器或谷歌浏览器），以便开标时在线解密。本项目响应文件解密时间定为30分钟，如因自身原因导致无法正常解密，后果由供应商自行承担。 </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 xml:space="preserve">   7、投标供应商应当在投标截止时间前，将生成的“电子加密投标文件”上传递交至“政府采购云平台”，投标截止时间以后上传递交的投标文件将被“政府采购云平台”拒收。  </w:t>
      </w:r>
    </w:p>
    <w:p w14:paraId="5EE7F3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特别提示：</w:t>
      </w:r>
      <w:r>
        <w:rPr>
          <w:rFonts w:hint="eastAsia" w:ascii="仿宋" w:hAnsi="仿宋" w:eastAsia="仿宋" w:cs="Times New Roman"/>
          <w:color w:val="auto"/>
          <w:kern w:val="2"/>
          <w:sz w:val="28"/>
          <w:szCs w:val="28"/>
          <w:lang w:val="en-US" w:eastAsia="zh-CN" w:bidi="ar-SA"/>
        </w:rPr>
        <w:br w:type="textWrapping"/>
      </w:r>
      <w:r>
        <w:rPr>
          <w:rFonts w:hint="eastAsia" w:ascii="仿宋" w:hAnsi="仿宋" w:eastAsia="仿宋" w:cs="Times New Roman"/>
          <w:color w:val="auto"/>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038B4F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2、超过200万元的货物和服务采购项目，预留该部分采购项目预算总额的30%以上专门面向中小企业采购，其中预留给小微企业的比例不低于60%。</w:t>
      </w:r>
    </w:p>
    <w:p w14:paraId="49D957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187E6B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B6347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5165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color w:val="auto"/>
          <w:sz w:val="28"/>
          <w:szCs w:val="28"/>
        </w:rPr>
      </w:pPr>
      <w:r>
        <w:rPr>
          <w:rFonts w:hint="eastAsia" w:ascii="黑体" w:hAnsi="黑体" w:eastAsia="黑体" w:cs="黑体"/>
          <w:color w:val="auto"/>
          <w:sz w:val="28"/>
          <w:szCs w:val="28"/>
          <w:lang w:val="en-US" w:eastAsia="zh-CN"/>
        </w:rPr>
        <w:t>八</w:t>
      </w:r>
      <w:r>
        <w:rPr>
          <w:rFonts w:hint="eastAsia" w:ascii="黑体" w:hAnsi="黑体" w:eastAsia="黑体" w:cs="黑体"/>
          <w:color w:val="auto"/>
          <w:sz w:val="28"/>
          <w:szCs w:val="28"/>
        </w:rPr>
        <w:t>、对本次采购提出询问，请按以下方式联系</w:t>
      </w:r>
    </w:p>
    <w:p w14:paraId="781EB5D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rPr>
      </w:pPr>
      <w:r>
        <w:rPr>
          <w:rFonts w:hint="eastAsia" w:ascii="仿宋" w:hAnsi="仿宋" w:eastAsia="仿宋" w:cs="Times New Roman"/>
          <w:color w:val="auto"/>
          <w:sz w:val="28"/>
          <w:szCs w:val="28"/>
        </w:rPr>
        <w:t>1.采购人信息</w:t>
      </w:r>
    </w:p>
    <w:p w14:paraId="4F9D8BB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w:t>
      </w:r>
      <w:r>
        <w:rPr>
          <w:rFonts w:hint="eastAsia" w:ascii="仿宋" w:hAnsi="仿宋" w:eastAsia="仿宋" w:cs="Times New Roman"/>
          <w:color w:val="auto"/>
          <w:sz w:val="28"/>
          <w:szCs w:val="28"/>
          <w:lang w:val="en-US" w:eastAsia="zh-CN"/>
        </w:rPr>
        <w:t xml:space="preserve">温宿县人民医院   </w:t>
      </w:r>
    </w:p>
    <w:p w14:paraId="22B210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u w:val="none"/>
          <w:lang w:val="en-US" w:eastAsia="zh-CN"/>
        </w:rPr>
        <w:t xml:space="preserve">地    </w:t>
      </w:r>
      <w:r>
        <w:rPr>
          <w:rFonts w:hint="eastAsia" w:ascii="仿宋" w:hAnsi="仿宋" w:eastAsia="仿宋" w:cs="Times New Roman"/>
          <w:color w:val="auto"/>
          <w:sz w:val="28"/>
          <w:szCs w:val="28"/>
          <w:highlight w:val="none"/>
          <w:u w:val="none"/>
          <w:lang w:val="en-US" w:eastAsia="zh-CN"/>
        </w:rPr>
        <w:t>址：温宿县校场路2号</w:t>
      </w:r>
    </w:p>
    <w:p w14:paraId="2A6FE05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联系方式：</w:t>
      </w:r>
      <w:r>
        <w:rPr>
          <w:rFonts w:hint="eastAsia" w:ascii="仿宋" w:hAnsi="仿宋" w:eastAsia="仿宋" w:cs="仿宋"/>
          <w:color w:val="000000"/>
          <w:sz w:val="28"/>
          <w:szCs w:val="28"/>
          <w:highlight w:val="none"/>
          <w:shd w:val="clear" w:color="auto" w:fill="auto"/>
          <w:lang w:val="en-US" w:eastAsia="zh-CN"/>
        </w:rPr>
        <w:t>0997-4531457</w:t>
      </w:r>
    </w:p>
    <w:p w14:paraId="1839B6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eastAsia="zh-CN"/>
        </w:rPr>
      </w:pPr>
      <w:r>
        <w:rPr>
          <w:rFonts w:hint="eastAsia" w:ascii="仿宋" w:hAnsi="仿宋" w:eastAsia="仿宋" w:cs="Times New Roman"/>
          <w:color w:val="auto"/>
          <w:sz w:val="28"/>
          <w:szCs w:val="28"/>
          <w:u w:val="none"/>
        </w:rPr>
        <w:t>2.采购代理机构信息</w:t>
      </w:r>
    </w:p>
    <w:p w14:paraId="021B73E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名    称：新疆崇瑞工程项目管理有限公司</w:t>
      </w:r>
    </w:p>
    <w:p w14:paraId="1270972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lang w:val="en-US" w:eastAsia="zh-CN"/>
        </w:rPr>
        <w:t>地　　址：</w:t>
      </w:r>
      <w:r>
        <w:rPr>
          <w:rFonts w:hint="eastAsia" w:ascii="仿宋" w:hAnsi="仿宋" w:eastAsia="仿宋" w:cs="仿宋"/>
          <w:sz w:val="28"/>
          <w:szCs w:val="24"/>
        </w:rPr>
        <w:t>阿克苏市健康南路电力小区1号住宅楼3单元1001室</w:t>
      </w:r>
    </w:p>
    <w:p w14:paraId="042C9B8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r>
        <w:rPr>
          <w:rFonts w:hint="eastAsia" w:ascii="仿宋" w:hAnsi="仿宋" w:eastAsia="仿宋" w:cs="Times New Roman"/>
          <w:color w:val="auto"/>
          <w:sz w:val="28"/>
          <w:szCs w:val="28"/>
          <w:u w:val="none"/>
        </w:rPr>
        <w:t>联系方式：</w:t>
      </w:r>
      <w:r>
        <w:rPr>
          <w:rFonts w:hint="eastAsia" w:ascii="仿宋" w:hAnsi="仿宋" w:eastAsia="仿宋"/>
          <w:sz w:val="28"/>
          <w:szCs w:val="28"/>
          <w:u w:val="none"/>
          <w:lang w:val="en-US" w:eastAsia="zh-CN"/>
        </w:rPr>
        <w:t>15569048818</w:t>
      </w:r>
    </w:p>
    <w:p w14:paraId="4217B63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u w:val="none"/>
        </w:rPr>
      </w:pPr>
      <w:r>
        <w:rPr>
          <w:rFonts w:hint="eastAsia" w:ascii="仿宋" w:hAnsi="仿宋" w:eastAsia="仿宋" w:cs="Times New Roman"/>
          <w:color w:val="auto"/>
          <w:sz w:val="28"/>
          <w:szCs w:val="28"/>
          <w:u w:val="none"/>
          <w:lang w:val="en-US" w:eastAsia="zh-CN"/>
        </w:rPr>
        <w:t>3.</w:t>
      </w:r>
      <w:r>
        <w:rPr>
          <w:rFonts w:hint="eastAsia" w:ascii="仿宋" w:hAnsi="仿宋" w:eastAsia="仿宋" w:cs="Times New Roman"/>
          <w:color w:val="auto"/>
          <w:sz w:val="28"/>
          <w:szCs w:val="28"/>
          <w:u w:val="none"/>
        </w:rPr>
        <w:t> </w:t>
      </w:r>
      <w:r>
        <w:rPr>
          <w:rFonts w:hint="eastAsia" w:ascii="仿宋" w:hAnsi="仿宋" w:eastAsia="仿宋" w:cs="宋体"/>
          <w:color w:val="auto"/>
          <w:sz w:val="28"/>
          <w:szCs w:val="28"/>
          <w:u w:val="none"/>
        </w:rPr>
        <w:t>项目</w:t>
      </w:r>
      <w:r>
        <w:rPr>
          <w:rFonts w:ascii="仿宋" w:hAnsi="仿宋" w:eastAsia="仿宋" w:cs="宋体"/>
          <w:color w:val="auto"/>
          <w:sz w:val="28"/>
          <w:szCs w:val="28"/>
          <w:u w:val="none"/>
        </w:rPr>
        <w:t>联系方式</w:t>
      </w:r>
    </w:p>
    <w:p w14:paraId="7BC2194B">
      <w:pPr>
        <w:pStyle w:val="1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olor w:val="auto"/>
          <w:sz w:val="28"/>
          <w:szCs w:val="28"/>
          <w:lang w:eastAsia="zh-CN"/>
        </w:rPr>
        <w:sectPr>
          <w:footerReference r:id="rId5" w:type="default"/>
          <w:pgSz w:w="11906" w:h="16838"/>
          <w:pgMar w:top="1418" w:right="1418" w:bottom="1418" w:left="1418" w:header="851" w:footer="992" w:gutter="0"/>
          <w:pgNumType w:fmt="decimal"/>
          <w:cols w:space="720" w:num="1"/>
          <w:docGrid w:type="lines" w:linePitch="312" w:charSpace="0"/>
        </w:sectPr>
      </w:pPr>
      <w:r>
        <w:rPr>
          <w:rFonts w:hint="eastAsia" w:ascii="仿宋" w:hAnsi="仿宋" w:eastAsia="仿宋"/>
          <w:color w:val="auto"/>
          <w:sz w:val="28"/>
          <w:szCs w:val="28"/>
          <w:u w:val="none"/>
        </w:rPr>
        <w:t>项目联系人：</w:t>
      </w:r>
      <w:r>
        <w:rPr>
          <w:rFonts w:hint="eastAsia" w:ascii="仿宋" w:hAnsi="仿宋" w:eastAsia="仿宋"/>
          <w:sz w:val="28"/>
          <w:szCs w:val="28"/>
          <w:u w:val="none"/>
          <w:lang w:val="en-US" w:eastAsia="zh-CN"/>
        </w:rPr>
        <w:t>张文静</w:t>
      </w:r>
    </w:p>
    <w:p w14:paraId="77779086">
      <w:pPr>
        <w:spacing w:afterLines="100" w:line="400" w:lineRule="exact"/>
        <w:jc w:val="center"/>
        <w:outlineLvl w:val="1"/>
        <w:rPr>
          <w:rFonts w:hint="eastAsia" w:ascii="黑体" w:hAnsi="黑体" w:eastAsia="黑体"/>
          <w:sz w:val="32"/>
          <w:szCs w:val="32"/>
          <w:highlight w:val="none"/>
        </w:rPr>
      </w:pPr>
      <w:bookmarkStart w:id="12" w:name="_Toc25525"/>
      <w:r>
        <w:rPr>
          <w:rFonts w:ascii="黑体" w:hAnsi="黑体" w:eastAsia="黑体"/>
          <w:sz w:val="32"/>
          <w:szCs w:val="32"/>
          <w:highlight w:val="none"/>
        </w:rPr>
        <w:t>第二章</w:t>
      </w:r>
      <w:r>
        <w:rPr>
          <w:rFonts w:hint="eastAsia" w:ascii="黑体" w:hAnsi="黑体" w:eastAsia="黑体"/>
          <w:sz w:val="32"/>
          <w:szCs w:val="32"/>
          <w:highlight w:val="none"/>
        </w:rPr>
        <w:t xml:space="preserve">  投标人须知</w:t>
      </w:r>
      <w:bookmarkEnd w:id="10"/>
      <w:bookmarkEnd w:id="12"/>
    </w:p>
    <w:p w14:paraId="2685AD42">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highlight w:val="none"/>
        </w:rPr>
      </w:pPr>
      <w:bookmarkStart w:id="13" w:name="_Toc11967"/>
      <w:bookmarkStart w:id="14" w:name="_Toc5329"/>
      <w:r>
        <w:rPr>
          <w:rFonts w:hint="eastAsia" w:ascii="黑体" w:hAnsi="黑体" w:eastAsia="黑体" w:cs="Times New Roman"/>
          <w:color w:val="auto"/>
          <w:sz w:val="28"/>
          <w:szCs w:val="28"/>
          <w:highlight w:val="none"/>
        </w:rPr>
        <w:t>投标人须知前附表</w:t>
      </w:r>
      <w:bookmarkEnd w:id="11"/>
      <w:bookmarkEnd w:id="13"/>
      <w:bookmarkEnd w:id="14"/>
    </w:p>
    <w:tbl>
      <w:tblPr>
        <w:tblStyle w:val="24"/>
        <w:tblW w:w="9571" w:type="dxa"/>
        <w:jc w:val="center"/>
        <w:tblLayout w:type="fixed"/>
        <w:tblCellMar>
          <w:top w:w="0" w:type="dxa"/>
          <w:left w:w="108" w:type="dxa"/>
          <w:bottom w:w="0" w:type="dxa"/>
          <w:right w:w="108" w:type="dxa"/>
        </w:tblCellMar>
      </w:tblPr>
      <w:tblGrid>
        <w:gridCol w:w="706"/>
        <w:gridCol w:w="2720"/>
        <w:gridCol w:w="6145"/>
      </w:tblGrid>
      <w:tr w14:paraId="6DAE2313">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83A59A5">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14:paraId="225EFD40">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14:paraId="62BF4DF9">
            <w:pPr>
              <w:tabs>
                <w:tab w:val="left" w:pos="7665"/>
              </w:tabs>
              <w:spacing w:line="400" w:lineRule="exact"/>
              <w:jc w:val="center"/>
              <w:rPr>
                <w:rFonts w:ascii="仿宋" w:hAnsi="仿宋" w:eastAsia="仿宋"/>
                <w:sz w:val="24"/>
                <w:szCs w:val="24"/>
                <w:highlight w:val="none"/>
                <w:lang w:val="zh-CN"/>
              </w:rPr>
            </w:pPr>
            <w:r>
              <w:rPr>
                <w:rFonts w:hint="eastAsia" w:ascii="仿宋" w:hAnsi="仿宋" w:eastAsia="仿宋" w:cs="仿宋"/>
                <w:sz w:val="24"/>
                <w:szCs w:val="24"/>
                <w:highlight w:val="none"/>
                <w:lang w:val="zh-CN"/>
              </w:rPr>
              <w:t>编列内容</w:t>
            </w:r>
          </w:p>
        </w:tc>
      </w:tr>
      <w:tr w14:paraId="3C66CDB2">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0E9BD0D">
            <w:pPr>
              <w:numPr>
                <w:ilvl w:val="0"/>
                <w:numId w:val="1"/>
              </w:numPr>
              <w:spacing w:line="400" w:lineRule="exact"/>
              <w:jc w:val="left"/>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FCD0DDC">
            <w:pPr>
              <w:spacing w:line="400" w:lineRule="exact"/>
              <w:jc w:val="left"/>
              <w:rPr>
                <w:rFonts w:ascii="仿宋" w:hAnsi="仿宋" w:eastAsia="仿宋"/>
                <w:sz w:val="24"/>
                <w:szCs w:val="24"/>
                <w:highlight w:val="none"/>
                <w:lang w:val="zh-CN"/>
              </w:rPr>
            </w:pPr>
            <w:r>
              <w:rPr>
                <w:rFonts w:hint="eastAsia" w:ascii="仿宋" w:hAnsi="仿宋" w:eastAsia="仿宋"/>
                <w:sz w:val="24"/>
                <w:szCs w:val="24"/>
                <w:lang w:val="zh-CN"/>
              </w:rPr>
              <w:t>招标人</w:t>
            </w:r>
          </w:p>
        </w:tc>
        <w:tc>
          <w:tcPr>
            <w:tcW w:w="6145" w:type="dxa"/>
            <w:tcBorders>
              <w:top w:val="single" w:color="auto" w:sz="4" w:space="0"/>
              <w:left w:val="single" w:color="auto" w:sz="4" w:space="0"/>
              <w:bottom w:val="single" w:color="auto" w:sz="4" w:space="0"/>
              <w:right w:val="single" w:color="auto" w:sz="4" w:space="0"/>
            </w:tcBorders>
            <w:vAlign w:val="center"/>
          </w:tcPr>
          <w:p w14:paraId="36C73D97">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eastAsia="zh-CN"/>
              </w:rPr>
            </w:pPr>
            <w:r>
              <w:rPr>
                <w:rFonts w:hint="eastAsia" w:ascii="仿宋" w:hAnsi="仿宋" w:eastAsia="仿宋" w:cs="Times New Roman"/>
                <w:color w:val="auto"/>
                <w:sz w:val="24"/>
                <w:szCs w:val="24"/>
                <w:lang w:val="zh-CN" w:eastAsia="zh-CN"/>
              </w:rPr>
              <w:t xml:space="preserve">名称：温宿县人民医院 </w:t>
            </w:r>
          </w:p>
          <w:p w14:paraId="20151949">
            <w:pPr>
              <w:keepNext w:val="0"/>
              <w:keepLines w:val="0"/>
              <w:pageBreakBefore w:val="0"/>
              <w:widowControl w:val="0"/>
              <w:kinsoku/>
              <w:overflowPunct/>
              <w:topLinePunct w:val="0"/>
              <w:bidi w:val="0"/>
              <w:snapToGrid/>
              <w:spacing w:before="63" w:beforeLines="20" w:line="288" w:lineRule="auto"/>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zh-CN" w:eastAsia="zh-CN"/>
              </w:rPr>
              <w:t>地址：温宿县校场路2号</w:t>
            </w:r>
          </w:p>
          <w:p w14:paraId="766F8821">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highlight w:val="none"/>
                <w:shd w:val="clear" w:color="auto" w:fill="auto"/>
                <w:lang w:eastAsia="zh-CN"/>
              </w:rPr>
            </w:pPr>
            <w:r>
              <w:rPr>
                <w:rFonts w:hint="eastAsia" w:ascii="仿宋" w:hAnsi="仿宋" w:eastAsia="仿宋" w:cs="Times New Roman"/>
                <w:color w:val="auto"/>
                <w:sz w:val="24"/>
                <w:szCs w:val="24"/>
                <w:lang w:val="zh-CN" w:eastAsia="zh-CN"/>
              </w:rPr>
              <w:t>联系人：</w:t>
            </w:r>
            <w:r>
              <w:rPr>
                <w:rFonts w:hint="eastAsia" w:ascii="仿宋" w:hAnsi="仿宋" w:eastAsia="仿宋" w:cs="Times New Roman"/>
                <w:color w:val="auto"/>
                <w:sz w:val="24"/>
                <w:szCs w:val="24"/>
                <w:lang w:val="en-US" w:eastAsia="zh-CN"/>
              </w:rPr>
              <w:t xml:space="preserve">李成玉  </w:t>
            </w:r>
            <w:r>
              <w:rPr>
                <w:rFonts w:hint="eastAsia" w:ascii="仿宋" w:hAnsi="仿宋" w:eastAsia="仿宋" w:cs="Times New Roman"/>
                <w:color w:val="auto"/>
                <w:sz w:val="24"/>
                <w:szCs w:val="24"/>
                <w:lang w:val="zh-CN" w:eastAsia="zh-CN"/>
              </w:rPr>
              <w:t>电话：0997-4531457</w:t>
            </w:r>
          </w:p>
        </w:tc>
      </w:tr>
      <w:tr w14:paraId="6C01353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4BD63A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9615230">
            <w:pPr>
              <w:spacing w:line="400" w:lineRule="exact"/>
              <w:rPr>
                <w:rFonts w:ascii="仿宋" w:hAnsi="仿宋" w:eastAsia="仿宋"/>
                <w:sz w:val="24"/>
                <w:szCs w:val="24"/>
                <w:highlight w:val="none"/>
              </w:rPr>
            </w:pPr>
            <w:r>
              <w:rPr>
                <w:rFonts w:hint="eastAsia" w:ascii="仿宋" w:hAnsi="仿宋" w:eastAsia="仿宋"/>
                <w:sz w:val="24"/>
                <w:szCs w:val="24"/>
                <w:lang w:val="en-US" w:eastAsia="zh-CN"/>
              </w:rPr>
              <w:t>招标</w:t>
            </w:r>
            <w:r>
              <w:rPr>
                <w:rFonts w:hint="eastAsia" w:ascii="仿宋" w:hAnsi="仿宋" w:eastAsia="仿宋"/>
                <w:sz w:val="24"/>
                <w:szCs w:val="24"/>
              </w:rPr>
              <w:t>代理机构</w:t>
            </w:r>
          </w:p>
        </w:tc>
        <w:tc>
          <w:tcPr>
            <w:tcW w:w="6145" w:type="dxa"/>
            <w:tcBorders>
              <w:top w:val="single" w:color="auto" w:sz="4" w:space="0"/>
              <w:left w:val="single" w:color="auto" w:sz="4" w:space="0"/>
              <w:bottom w:val="single" w:color="auto" w:sz="4" w:space="0"/>
              <w:right w:val="single" w:color="auto" w:sz="4" w:space="0"/>
            </w:tcBorders>
            <w:vAlign w:val="center"/>
          </w:tcPr>
          <w:p w14:paraId="2C476ED5">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eastAsia="zh-CN"/>
              </w:rPr>
            </w:pPr>
            <w:r>
              <w:rPr>
                <w:rFonts w:hint="eastAsia" w:ascii="仿宋" w:hAnsi="仿宋" w:eastAsia="仿宋" w:cs="Times New Roman"/>
                <w:color w:val="auto"/>
                <w:sz w:val="24"/>
                <w:szCs w:val="24"/>
                <w:lang w:val="zh-CN" w:eastAsia="zh-CN"/>
              </w:rPr>
              <w:t>名称：新疆崇瑞工程项目管理有限公司</w:t>
            </w:r>
          </w:p>
          <w:p w14:paraId="0902E0F1">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eastAsia="zh-CN"/>
              </w:rPr>
            </w:pPr>
            <w:r>
              <w:rPr>
                <w:rFonts w:hint="eastAsia" w:ascii="仿宋" w:hAnsi="仿宋" w:eastAsia="仿宋" w:cs="Times New Roman"/>
                <w:color w:val="auto"/>
                <w:sz w:val="24"/>
                <w:szCs w:val="24"/>
                <w:lang w:val="zh-CN" w:eastAsia="zh-CN"/>
              </w:rPr>
              <w:t>地址：阿克苏市健康南路电力小区1号住宅楼3单元1001室</w:t>
            </w:r>
          </w:p>
          <w:p w14:paraId="0B881C39">
            <w:pPr>
              <w:keepNext w:val="0"/>
              <w:keepLines w:val="0"/>
              <w:pageBreakBefore w:val="0"/>
              <w:widowControl w:val="0"/>
              <w:kinsoku/>
              <w:overflowPunct/>
              <w:topLinePunct w:val="0"/>
              <w:bidi w:val="0"/>
              <w:snapToGrid/>
              <w:spacing w:before="63" w:beforeLines="20" w:line="288" w:lineRule="auto"/>
              <w:textAlignment w:val="auto"/>
              <w:rPr>
                <w:rFonts w:hint="default" w:ascii="仿宋" w:hAnsi="仿宋" w:eastAsia="仿宋"/>
                <w:color w:val="auto"/>
                <w:sz w:val="24"/>
                <w:szCs w:val="24"/>
                <w:highlight w:val="none"/>
                <w:shd w:val="clear" w:color="auto" w:fill="auto"/>
                <w:lang w:val="en-US" w:eastAsia="zh-CN"/>
              </w:rPr>
            </w:pPr>
            <w:r>
              <w:rPr>
                <w:rFonts w:hint="eastAsia" w:ascii="仿宋" w:hAnsi="仿宋" w:eastAsia="仿宋" w:cs="Times New Roman"/>
                <w:color w:val="auto"/>
                <w:sz w:val="24"/>
                <w:szCs w:val="24"/>
                <w:lang w:val="zh-CN" w:eastAsia="zh-CN"/>
              </w:rPr>
              <w:t>联系人：</w:t>
            </w:r>
            <w:r>
              <w:rPr>
                <w:rFonts w:hint="eastAsia" w:ascii="仿宋" w:hAnsi="仿宋" w:eastAsia="仿宋" w:cs="Times New Roman"/>
                <w:color w:val="auto"/>
                <w:sz w:val="24"/>
                <w:szCs w:val="24"/>
                <w:lang w:val="en-US" w:eastAsia="zh-CN"/>
              </w:rPr>
              <w:t>张文静  电话：15569048818</w:t>
            </w:r>
          </w:p>
        </w:tc>
      </w:tr>
      <w:tr w14:paraId="18B4ABF0">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A7B799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E3C668D">
            <w:pPr>
              <w:spacing w:line="400" w:lineRule="exact"/>
              <w:rPr>
                <w:rFonts w:ascii="仿宋" w:hAnsi="仿宋" w:eastAsia="仿宋"/>
                <w:sz w:val="24"/>
                <w:szCs w:val="24"/>
                <w:highlight w:val="none"/>
              </w:rPr>
            </w:pPr>
            <w:r>
              <w:rPr>
                <w:rFonts w:ascii="仿宋" w:hAnsi="仿宋" w:eastAsia="仿宋"/>
                <w:sz w:val="24"/>
                <w:szCs w:val="24"/>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14:paraId="3DA0CF68">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温宿县人民医院眼耳鼻喉科、泌尿外科进口医疗设备采购项目</w:t>
            </w:r>
          </w:p>
        </w:tc>
      </w:tr>
      <w:tr w14:paraId="0DA8036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EC60C2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BD5ADC3">
            <w:pPr>
              <w:spacing w:line="400" w:lineRule="exact"/>
              <w:rPr>
                <w:rFonts w:ascii="仿宋" w:hAnsi="仿宋" w:eastAsia="仿宋"/>
                <w:sz w:val="24"/>
                <w:szCs w:val="24"/>
                <w:highlight w:val="none"/>
              </w:rPr>
            </w:pPr>
            <w:r>
              <w:rPr>
                <w:rFonts w:hint="eastAsia" w:ascii="仿宋" w:hAnsi="仿宋" w:eastAsia="仿宋"/>
                <w:sz w:val="24"/>
                <w:szCs w:val="24"/>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14:paraId="3175229A">
            <w:pPr>
              <w:spacing w:line="400" w:lineRule="exact"/>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WSFS-2024-07</w:t>
            </w:r>
          </w:p>
        </w:tc>
      </w:tr>
      <w:tr w14:paraId="1B34392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301BFF2">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691FE6B">
            <w:pPr>
              <w:spacing w:line="400" w:lineRule="exact"/>
              <w:rPr>
                <w:rFonts w:hint="eastAsia" w:ascii="仿宋" w:hAnsi="仿宋" w:eastAsia="仿宋" w:cs="仿宋"/>
                <w:spacing w:val="-1"/>
                <w:sz w:val="24"/>
                <w:szCs w:val="24"/>
                <w:lang w:val="zh-CN" w:eastAsia="zh-CN"/>
              </w:rPr>
            </w:pPr>
            <w:r>
              <w:rPr>
                <w:rFonts w:hint="eastAsia" w:ascii="仿宋" w:hAnsi="仿宋" w:eastAsia="仿宋" w:cs="仿宋"/>
                <w:spacing w:val="-1"/>
                <w:sz w:val="24"/>
                <w:szCs w:val="24"/>
                <w:lang w:val="en-US" w:eastAsia="zh-CN"/>
              </w:rPr>
              <w:t>资金来源</w:t>
            </w:r>
          </w:p>
        </w:tc>
        <w:tc>
          <w:tcPr>
            <w:tcW w:w="6145" w:type="dxa"/>
            <w:tcBorders>
              <w:top w:val="single" w:color="auto" w:sz="4" w:space="0"/>
              <w:left w:val="single" w:color="auto" w:sz="4" w:space="0"/>
              <w:bottom w:val="single" w:color="auto" w:sz="4" w:space="0"/>
              <w:right w:val="single" w:color="auto" w:sz="4" w:space="0"/>
            </w:tcBorders>
            <w:vAlign w:val="center"/>
          </w:tcPr>
          <w:p w14:paraId="3F5AB1E3">
            <w:pPr>
              <w:spacing w:line="400" w:lineRule="exact"/>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自筹资金</w:t>
            </w:r>
          </w:p>
        </w:tc>
      </w:tr>
      <w:tr w14:paraId="7D82D93F">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FB4D36F">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3E613F4">
            <w:pPr>
              <w:spacing w:line="400" w:lineRule="exact"/>
              <w:rPr>
                <w:rFonts w:ascii="仿宋" w:hAnsi="仿宋" w:eastAsia="仿宋"/>
                <w:color w:val="auto"/>
                <w:sz w:val="24"/>
                <w:szCs w:val="24"/>
                <w:highlight w:val="none"/>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14:paraId="513EFB09">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眼底532激光治疗仪1台、肾镜1台、视野计1台 （详见采购清单）</w:t>
            </w:r>
          </w:p>
        </w:tc>
      </w:tr>
      <w:tr w14:paraId="3DC9BFD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2ED6A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353C79A">
            <w:pPr>
              <w:spacing w:line="400" w:lineRule="exact"/>
              <w:rPr>
                <w:rFonts w:ascii="仿宋" w:hAnsi="仿宋" w:eastAsia="仿宋"/>
                <w:color w:val="auto"/>
                <w:sz w:val="24"/>
                <w:szCs w:val="24"/>
                <w:highlight w:val="none"/>
              </w:rPr>
            </w:pPr>
            <w:r>
              <w:rPr>
                <w:rFonts w:hint="eastAsia" w:ascii="仿宋" w:hAnsi="仿宋" w:eastAsia="仿宋"/>
                <w:sz w:val="24"/>
                <w:szCs w:val="24"/>
                <w:lang w:val="en-US" w:eastAsia="zh-CN"/>
              </w:rPr>
              <w:t>预算金额（元）</w:t>
            </w:r>
          </w:p>
        </w:tc>
        <w:tc>
          <w:tcPr>
            <w:tcW w:w="6145" w:type="dxa"/>
            <w:tcBorders>
              <w:top w:val="single" w:color="auto" w:sz="4" w:space="0"/>
              <w:left w:val="single" w:color="auto" w:sz="4" w:space="0"/>
              <w:bottom w:val="single" w:color="auto" w:sz="4" w:space="0"/>
              <w:right w:val="single" w:color="auto" w:sz="4" w:space="0"/>
            </w:tcBorders>
            <w:vAlign w:val="center"/>
          </w:tcPr>
          <w:p w14:paraId="3E708A78">
            <w:pPr>
              <w:spacing w:line="400" w:lineRule="exact"/>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1280000.00</w:t>
            </w:r>
          </w:p>
        </w:tc>
      </w:tr>
      <w:tr w14:paraId="3D6B266B">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16778B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431755D">
            <w:pPr>
              <w:spacing w:line="4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最高限价（元）</w:t>
            </w:r>
          </w:p>
        </w:tc>
        <w:tc>
          <w:tcPr>
            <w:tcW w:w="6145" w:type="dxa"/>
            <w:tcBorders>
              <w:top w:val="single" w:color="auto" w:sz="4" w:space="0"/>
              <w:left w:val="single" w:color="auto" w:sz="4" w:space="0"/>
              <w:bottom w:val="single" w:color="auto" w:sz="4" w:space="0"/>
              <w:right w:val="single" w:color="auto" w:sz="4" w:space="0"/>
            </w:tcBorders>
            <w:vAlign w:val="center"/>
          </w:tcPr>
          <w:p w14:paraId="4B9A05F5">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1280000.00</w:t>
            </w:r>
          </w:p>
        </w:tc>
      </w:tr>
      <w:tr w14:paraId="16B097F2">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55B29D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2A7BD41">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交</w:t>
            </w:r>
            <w:r>
              <w:rPr>
                <w:rFonts w:hint="eastAsia" w:ascii="仿宋" w:hAnsi="仿宋" w:eastAsia="仿宋"/>
                <w:color w:val="auto"/>
                <w:sz w:val="24"/>
                <w:szCs w:val="24"/>
                <w:highlight w:val="none"/>
              </w:rPr>
              <w:t>货期</w:t>
            </w:r>
          </w:p>
        </w:tc>
        <w:tc>
          <w:tcPr>
            <w:tcW w:w="6145" w:type="dxa"/>
            <w:tcBorders>
              <w:top w:val="single" w:color="auto" w:sz="4" w:space="0"/>
              <w:left w:val="single" w:color="auto" w:sz="4" w:space="0"/>
              <w:bottom w:val="single" w:color="auto" w:sz="4" w:space="0"/>
              <w:right w:val="single" w:color="auto" w:sz="4" w:space="0"/>
            </w:tcBorders>
            <w:vAlign w:val="center"/>
          </w:tcPr>
          <w:p w14:paraId="24EC1C72">
            <w:pPr>
              <w:spacing w:line="400" w:lineRule="exact"/>
              <w:rPr>
                <w:rFonts w:hint="default" w:ascii="仿宋" w:hAnsi="仿宋" w:eastAsia="仿宋" w:cs="仿宋"/>
                <w:color w:val="auto"/>
                <w:sz w:val="24"/>
                <w:highlight w:val="none"/>
                <w:lang w:val="en-US"/>
              </w:rPr>
            </w:pPr>
            <w:r>
              <w:rPr>
                <w:rFonts w:hint="default" w:ascii="仿宋" w:hAnsi="仿宋" w:eastAsia="仿宋" w:cs="仿宋"/>
                <w:b w:val="0"/>
                <w:bCs w:val="0"/>
                <w:color w:val="auto"/>
                <w:sz w:val="24"/>
                <w:highlight w:val="none"/>
                <w:lang w:val="en-US" w:eastAsia="zh-CN"/>
              </w:rPr>
              <w:t>合同签订后</w:t>
            </w:r>
            <w:r>
              <w:rPr>
                <w:rFonts w:hint="eastAsia" w:ascii="仿宋" w:hAnsi="仿宋" w:eastAsia="仿宋" w:cs="仿宋"/>
                <w:b w:val="0"/>
                <w:bCs w:val="0"/>
                <w:color w:val="auto"/>
                <w:sz w:val="24"/>
                <w:highlight w:val="none"/>
                <w:lang w:val="en-US" w:eastAsia="zh-CN"/>
              </w:rPr>
              <w:t>30</w:t>
            </w:r>
            <w:r>
              <w:rPr>
                <w:rFonts w:hint="default" w:ascii="仿宋" w:hAnsi="仿宋" w:eastAsia="仿宋" w:cs="仿宋"/>
                <w:b w:val="0"/>
                <w:bCs w:val="0"/>
                <w:color w:val="auto"/>
                <w:sz w:val="24"/>
                <w:highlight w:val="none"/>
                <w:lang w:val="en-US" w:eastAsia="zh-CN"/>
              </w:rPr>
              <w:t>日内完成供货及安装调试</w:t>
            </w:r>
          </w:p>
        </w:tc>
      </w:tr>
      <w:tr w14:paraId="4EF6D36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11A2AC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45816FE">
            <w:pPr>
              <w:spacing w:line="400" w:lineRule="exac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交货地点</w:t>
            </w:r>
          </w:p>
        </w:tc>
        <w:tc>
          <w:tcPr>
            <w:tcW w:w="6145" w:type="dxa"/>
            <w:tcBorders>
              <w:top w:val="single" w:color="auto" w:sz="4" w:space="0"/>
              <w:left w:val="single" w:color="auto" w:sz="4" w:space="0"/>
              <w:bottom w:val="single" w:color="auto" w:sz="4" w:space="0"/>
              <w:right w:val="single" w:color="auto" w:sz="4" w:space="0"/>
            </w:tcBorders>
            <w:vAlign w:val="center"/>
          </w:tcPr>
          <w:p w14:paraId="5A5DD552">
            <w:pPr>
              <w:spacing w:line="400" w:lineRule="exac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 xml:space="preserve">温宿县人民医院 </w:t>
            </w:r>
          </w:p>
        </w:tc>
      </w:tr>
      <w:tr w14:paraId="7D4A6514">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6CC5300">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341C820">
            <w:pPr>
              <w:spacing w:line="400" w:lineRule="exact"/>
              <w:rPr>
                <w:rFonts w:hint="default" w:ascii="仿宋" w:hAnsi="仿宋" w:eastAsia="仿宋" w:cs="仿宋"/>
                <w:spacing w:val="-2"/>
                <w:sz w:val="24"/>
                <w:szCs w:val="24"/>
                <w:lang w:val="en-US" w:eastAsia="zh-CN"/>
              </w:rPr>
            </w:pPr>
            <w:r>
              <w:rPr>
                <w:rFonts w:hint="eastAsia" w:ascii="仿宋" w:hAnsi="仿宋" w:eastAsia="仿宋" w:cs="仿宋"/>
                <w:sz w:val="24"/>
                <w:lang w:val="en-US" w:eastAsia="zh-CN"/>
              </w:rPr>
              <w:t>项目类型</w:t>
            </w:r>
          </w:p>
        </w:tc>
        <w:tc>
          <w:tcPr>
            <w:tcW w:w="6145" w:type="dxa"/>
            <w:tcBorders>
              <w:top w:val="single" w:color="auto" w:sz="4" w:space="0"/>
              <w:left w:val="single" w:color="auto" w:sz="4" w:space="0"/>
              <w:bottom w:val="single" w:color="auto" w:sz="4" w:space="0"/>
              <w:right w:val="single" w:color="auto" w:sz="4" w:space="0"/>
            </w:tcBorders>
            <w:vAlign w:val="center"/>
          </w:tcPr>
          <w:p w14:paraId="6E584061">
            <w:pPr>
              <w:spacing w:line="400" w:lineRule="exact"/>
              <w:rPr>
                <w:rFonts w:hint="eastAsia" w:ascii="仿宋" w:hAnsi="仿宋" w:eastAsia="仿宋" w:cs="仿宋"/>
                <w:spacing w:val="-2"/>
                <w:sz w:val="24"/>
                <w:szCs w:val="24"/>
                <w:lang w:val="en-US" w:eastAsia="zh-CN"/>
              </w:rPr>
            </w:pPr>
            <w:r>
              <w:rPr>
                <w:rFonts w:hint="eastAsia" w:ascii="仿宋" w:hAnsi="仿宋" w:eastAsia="仿宋" w:cs="仿宋"/>
                <w:sz w:val="24"/>
                <w:lang w:val="en-US" w:eastAsia="zh-CN"/>
              </w:rPr>
              <w:t>本</w:t>
            </w:r>
            <w:r>
              <w:rPr>
                <w:rFonts w:hint="eastAsia" w:ascii="仿宋" w:hAnsi="仿宋" w:eastAsia="仿宋" w:cs="仿宋"/>
                <w:sz w:val="24"/>
                <w:highlight w:val="none"/>
                <w:lang w:val="en-US" w:eastAsia="zh-CN"/>
              </w:rPr>
              <w:t>项</w:t>
            </w:r>
            <w:r>
              <w:rPr>
                <w:rFonts w:hint="eastAsia" w:ascii="仿宋" w:hAnsi="仿宋" w:eastAsia="仿宋" w:cs="仿宋"/>
                <w:spacing w:val="-2"/>
                <w:sz w:val="24"/>
                <w:szCs w:val="24"/>
                <w:highlight w:val="none"/>
                <w:lang w:val="en-US" w:eastAsia="zh-CN"/>
              </w:rPr>
              <w:t>目</w:t>
            </w:r>
            <w:r>
              <w:rPr>
                <w:rFonts w:hint="eastAsia" w:ascii="仿宋" w:hAnsi="仿宋" w:eastAsia="仿宋" w:cs="仿宋"/>
                <w:color w:val="auto"/>
                <w:sz w:val="24"/>
                <w:highlight w:val="none"/>
                <w:lang w:val="en-US" w:eastAsia="zh-CN"/>
              </w:rPr>
              <w:t>属于工业行业</w:t>
            </w:r>
          </w:p>
        </w:tc>
      </w:tr>
      <w:tr w14:paraId="2185069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387E8B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9EA0F0F">
            <w:pPr>
              <w:spacing w:line="400" w:lineRule="exac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是否专门面向中小企业</w:t>
            </w:r>
          </w:p>
        </w:tc>
        <w:tc>
          <w:tcPr>
            <w:tcW w:w="6145" w:type="dxa"/>
            <w:tcBorders>
              <w:top w:val="single" w:color="auto" w:sz="4" w:space="0"/>
              <w:left w:val="single" w:color="auto" w:sz="4" w:space="0"/>
              <w:bottom w:val="single" w:color="auto" w:sz="4" w:space="0"/>
              <w:right w:val="single" w:color="auto" w:sz="4" w:space="0"/>
            </w:tcBorders>
            <w:vAlign w:val="center"/>
          </w:tcPr>
          <w:p w14:paraId="134E8BB0">
            <w:pPr>
              <w:spacing w:line="400" w:lineRule="exact"/>
              <w:rPr>
                <w:rFonts w:hint="eastAsia" w:ascii="仿宋" w:hAnsi="仿宋" w:eastAsia="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是</w:t>
            </w:r>
          </w:p>
          <w:p w14:paraId="27916534">
            <w:pPr>
              <w:spacing w:line="40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tc>
      </w:tr>
      <w:tr w14:paraId="130B85E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EFB6F8D">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0EBEB98">
            <w:pPr>
              <w:spacing w:line="400" w:lineRule="exact"/>
              <w:rPr>
                <w:rFonts w:ascii="仿宋" w:hAnsi="仿宋" w:eastAsia="仿宋"/>
                <w:sz w:val="24"/>
                <w:szCs w:val="24"/>
                <w:highlight w:val="none"/>
              </w:rPr>
            </w:pPr>
            <w:r>
              <w:rPr>
                <w:rFonts w:hint="eastAsia" w:ascii="仿宋" w:hAnsi="仿宋" w:eastAsia="仿宋"/>
                <w:sz w:val="24"/>
                <w:szCs w:val="24"/>
                <w:highlight w:val="none"/>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14:paraId="54338E35">
            <w:pPr>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不接受</w:t>
            </w:r>
          </w:p>
          <w:p w14:paraId="4DCA63FD">
            <w:pPr>
              <w:spacing w:line="400" w:lineRule="exac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接受，应满足下列要求：</w:t>
            </w:r>
            <w:r>
              <w:rPr>
                <w:rFonts w:hint="eastAsia" w:ascii="仿宋" w:hAnsi="仿宋" w:eastAsia="仿宋"/>
                <w:color w:val="000000" w:themeColor="text1"/>
                <w:sz w:val="24"/>
                <w:szCs w:val="24"/>
                <w:highlight w:val="none"/>
                <w:u w:val="single"/>
                <w14:textFill>
                  <w14:solidFill>
                    <w14:schemeClr w14:val="tx1"/>
                  </w14:solidFill>
                </w14:textFill>
              </w:rPr>
              <w:t xml:space="preserve">           </w:t>
            </w:r>
          </w:p>
        </w:tc>
      </w:tr>
      <w:tr w14:paraId="1FDF3EF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C841B3">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32EEB78">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14:paraId="3A20FD35">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自投标截止之日起</w:t>
            </w:r>
            <w:r>
              <w:rPr>
                <w:rFonts w:hint="eastAsia" w:ascii="仿宋" w:hAnsi="仿宋" w:eastAsia="仿宋"/>
                <w:color w:val="000000" w:themeColor="text1"/>
                <w:sz w:val="24"/>
                <w:szCs w:val="24"/>
                <w:highlight w:val="none"/>
                <w:u w:val="single"/>
                <w14:textFill>
                  <w14:solidFill>
                    <w14:schemeClr w14:val="tx1"/>
                  </w14:solidFill>
                </w14:textFill>
              </w:rPr>
              <w:t xml:space="preserve"> </w:t>
            </w:r>
            <w:r>
              <w:rPr>
                <w:rFonts w:hint="eastAsia" w:ascii="仿宋" w:hAnsi="仿宋" w:eastAsia="仿宋"/>
                <w:color w:val="000000" w:themeColor="text1"/>
                <w:sz w:val="24"/>
                <w:szCs w:val="24"/>
                <w:highlight w:val="none"/>
                <w:u w:val="single"/>
                <w:lang w:val="en-US" w:eastAsia="zh-CN"/>
                <w14:textFill>
                  <w14:solidFill>
                    <w14:schemeClr w14:val="tx1"/>
                  </w14:solidFill>
                </w14:textFill>
              </w:rPr>
              <w:t>60</w:t>
            </w:r>
            <w:r>
              <w:rPr>
                <w:rFonts w:hint="eastAsia" w:ascii="仿宋" w:hAnsi="仿宋" w:eastAsia="仿宋"/>
                <w:color w:val="000000" w:themeColor="text1"/>
                <w:sz w:val="24"/>
                <w:szCs w:val="24"/>
                <w:highlight w:val="none"/>
                <w:u w:val="none"/>
                <w:lang w:val="en-US" w:eastAsia="zh-CN"/>
                <w14:textFill>
                  <w14:solidFill>
                    <w14:schemeClr w14:val="tx1"/>
                  </w14:solidFill>
                </w14:textFill>
              </w:rPr>
              <w:t>日历</w:t>
            </w:r>
            <w:r>
              <w:rPr>
                <w:rFonts w:hint="eastAsia" w:ascii="仿宋" w:hAnsi="仿宋" w:eastAsia="仿宋"/>
                <w:color w:val="000000" w:themeColor="text1"/>
                <w:sz w:val="24"/>
                <w:szCs w:val="24"/>
                <w:highlight w:val="none"/>
                <w:u w:val="none"/>
                <w14:textFill>
                  <w14:solidFill>
                    <w14:schemeClr w14:val="tx1"/>
                  </w14:solidFill>
                </w14:textFill>
              </w:rPr>
              <w:t>天</w:t>
            </w:r>
            <w:r>
              <w:rPr>
                <w:rFonts w:hint="eastAsia" w:ascii="仿宋" w:hAnsi="仿宋" w:eastAsia="仿宋"/>
                <w:color w:val="000000" w:themeColor="text1"/>
                <w:sz w:val="24"/>
                <w:szCs w:val="24"/>
                <w:highlight w:val="none"/>
                <w14:textFill>
                  <w14:solidFill>
                    <w14:schemeClr w14:val="tx1"/>
                  </w14:solidFill>
                </w14:textFill>
              </w:rPr>
              <w:t>。</w:t>
            </w:r>
          </w:p>
        </w:tc>
      </w:tr>
      <w:tr w14:paraId="472BBA01">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4C7A3C8">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F704760">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14:paraId="1C15A95A">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不组织，自行踏勘</w:t>
            </w:r>
          </w:p>
          <w:p w14:paraId="1F33CBF7">
            <w:pPr>
              <w:spacing w:line="400" w:lineRule="exac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组织，踏勘时间：</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p w14:paraId="2E82F8D4">
            <w:pPr>
              <w:tabs>
                <w:tab w:val="left" w:pos="7665"/>
              </w:tabs>
              <w:spacing w:line="400" w:lineRule="exact"/>
              <w:ind w:firstLine="1080" w:firstLineChars="450"/>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踏勘地点：</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p>
        </w:tc>
      </w:tr>
      <w:tr w14:paraId="6274D9C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54B00E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4C14DB4">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14:paraId="77668B45">
            <w:pPr>
              <w:spacing w:line="400" w:lineRule="exac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不需要</w:t>
            </w:r>
          </w:p>
          <w:p w14:paraId="3D993FDD">
            <w:pPr>
              <w:numPr>
                <w:ilvl w:val="0"/>
                <w:numId w:val="0"/>
              </w:numPr>
              <w:shd w:val="clear"/>
              <w:spacing w:line="400" w:lineRule="exact"/>
              <w:ind w:leftChars="0"/>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%（履约保证金须以支票、汇票、本票或者金融机构、担保机构出具的保函等非现金形式提交）</w:t>
            </w:r>
          </w:p>
        </w:tc>
      </w:tr>
      <w:tr w14:paraId="3556B563">
        <w:tblPrEx>
          <w:tblCellMar>
            <w:top w:w="0" w:type="dxa"/>
            <w:left w:w="108" w:type="dxa"/>
            <w:bottom w:w="0" w:type="dxa"/>
            <w:right w:w="108" w:type="dxa"/>
          </w:tblCellMar>
        </w:tblPrEx>
        <w:trPr>
          <w:trHeight w:val="9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883AE0E">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9C96884">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lang w:val="en-US" w:eastAsia="zh-CN"/>
              </w:rPr>
              <w:t>招标</w:t>
            </w:r>
            <w:r>
              <w:rPr>
                <w:rFonts w:hint="eastAsia" w:ascii="仿宋" w:hAnsi="仿宋" w:eastAsia="仿宋"/>
                <w:sz w:val="24"/>
                <w:szCs w:val="24"/>
                <w:highlight w:val="none"/>
                <w:lang w:val="zh-CN"/>
              </w:rPr>
              <w:t>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14:paraId="25E6F68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 xml:space="preserve">□ </w:t>
            </w:r>
            <w:r>
              <w:rPr>
                <w:rFonts w:hint="eastAsia" w:ascii="仿宋" w:hAnsi="仿宋" w:eastAsia="仿宋"/>
                <w:sz w:val="24"/>
                <w:szCs w:val="24"/>
                <w:highlight w:val="none"/>
                <w:lang w:val="zh-CN"/>
              </w:rPr>
              <w:t>由招标人支付</w:t>
            </w:r>
          </w:p>
          <w:p w14:paraId="27B3628F">
            <w:pPr>
              <w:spacing w:line="400" w:lineRule="exact"/>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 xml:space="preserve">☑ </w:t>
            </w:r>
            <w:r>
              <w:rPr>
                <w:rFonts w:hint="eastAsia" w:ascii="仿宋" w:hAnsi="仿宋" w:eastAsia="仿宋"/>
                <w:sz w:val="24"/>
                <w:szCs w:val="24"/>
                <w:highlight w:val="none"/>
                <w:lang w:val="zh-CN"/>
              </w:rPr>
              <w:t>由中标人支付</w:t>
            </w:r>
          </w:p>
        </w:tc>
      </w:tr>
      <w:tr w14:paraId="1AF2F2F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9447046">
            <w:pPr>
              <w:numPr>
                <w:ilvl w:val="0"/>
                <w:numId w:val="1"/>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3D6D7431">
            <w:pPr>
              <w:spacing w:line="400" w:lineRule="exact"/>
              <w:rPr>
                <w:rFonts w:ascii="仿宋" w:hAnsi="仿宋" w:eastAsia="仿宋"/>
                <w:sz w:val="24"/>
                <w:szCs w:val="24"/>
                <w:highlight w:val="none"/>
              </w:rPr>
            </w:pPr>
            <w:r>
              <w:rPr>
                <w:rFonts w:hint="eastAsia" w:ascii="仿宋" w:hAnsi="仿宋" w:eastAsia="仿宋"/>
                <w:sz w:val="24"/>
                <w:szCs w:val="24"/>
                <w:highlight w:val="none"/>
              </w:rPr>
              <w:t>构成招标文件的其他材料</w:t>
            </w:r>
          </w:p>
        </w:tc>
        <w:tc>
          <w:tcPr>
            <w:tcW w:w="6145" w:type="dxa"/>
            <w:tcBorders>
              <w:top w:val="single" w:color="auto" w:sz="4" w:space="0"/>
              <w:left w:val="single" w:color="auto" w:sz="4" w:space="0"/>
              <w:bottom w:val="single" w:color="auto" w:sz="4" w:space="0"/>
              <w:right w:val="single" w:color="auto" w:sz="4" w:space="0"/>
            </w:tcBorders>
            <w:vAlign w:val="center"/>
          </w:tcPr>
          <w:p w14:paraId="6F8607C0">
            <w:pPr>
              <w:spacing w:line="400" w:lineRule="exact"/>
              <w:rPr>
                <w:rFonts w:ascii="仿宋" w:hAnsi="仿宋" w:eastAsia="仿宋"/>
                <w:sz w:val="24"/>
                <w:szCs w:val="24"/>
                <w:highlight w:val="none"/>
              </w:rPr>
            </w:pPr>
            <w:r>
              <w:rPr>
                <w:rFonts w:hint="eastAsia" w:ascii="仿宋" w:hAnsi="仿宋" w:eastAsia="仿宋"/>
                <w:sz w:val="24"/>
                <w:szCs w:val="24"/>
                <w:highlight w:val="none"/>
              </w:rPr>
              <w:t>补充文件</w:t>
            </w:r>
          </w:p>
        </w:tc>
      </w:tr>
      <w:tr w14:paraId="5D3DE9D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54AFDC">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7B7F7F0">
            <w:pPr>
              <w:spacing w:line="400" w:lineRule="exact"/>
              <w:rPr>
                <w:rFonts w:ascii="仿宋" w:hAnsi="仿宋" w:eastAsia="仿宋"/>
                <w:sz w:val="24"/>
                <w:szCs w:val="24"/>
                <w:highlight w:val="none"/>
                <w:lang w:val="zh-CN"/>
              </w:rPr>
            </w:pPr>
            <w:r>
              <w:rPr>
                <w:rFonts w:ascii="仿宋" w:hAnsi="仿宋" w:eastAsia="仿宋"/>
                <w:sz w:val="24"/>
                <w:szCs w:val="24"/>
                <w:highlight w:val="none"/>
              </w:rPr>
              <w:t>投标人确认收到招标文件澄清或修改的时间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14:paraId="3683604B">
            <w:pPr>
              <w:spacing w:line="400" w:lineRule="exact"/>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从补充文件发布时间开始</w:t>
            </w:r>
            <w:r>
              <w:rPr>
                <w:rFonts w:ascii="仿宋" w:hAnsi="仿宋" w:eastAsia="仿宋" w:cs="仿宋"/>
                <w:sz w:val="24"/>
                <w:szCs w:val="24"/>
                <w:highlight w:val="none"/>
                <w:lang w:val="zh-CN"/>
              </w:rPr>
              <w:t>48</w:t>
            </w:r>
            <w:r>
              <w:rPr>
                <w:rFonts w:hint="eastAsia" w:ascii="仿宋" w:hAnsi="仿宋" w:eastAsia="仿宋" w:cs="仿宋"/>
                <w:sz w:val="24"/>
                <w:szCs w:val="24"/>
                <w:highlight w:val="none"/>
                <w:lang w:val="zh-CN"/>
              </w:rPr>
              <w:t>小时内</w:t>
            </w:r>
          </w:p>
        </w:tc>
      </w:tr>
      <w:tr w14:paraId="3E48BF7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0A681DC">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09861EB">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投标人资格条件</w:t>
            </w:r>
          </w:p>
        </w:tc>
        <w:tc>
          <w:tcPr>
            <w:tcW w:w="6145" w:type="dxa"/>
            <w:tcBorders>
              <w:top w:val="single" w:color="auto" w:sz="4" w:space="0"/>
              <w:left w:val="single" w:color="auto" w:sz="4" w:space="0"/>
              <w:bottom w:val="single" w:color="auto" w:sz="4" w:space="0"/>
              <w:right w:val="single" w:color="auto" w:sz="4" w:space="0"/>
            </w:tcBorders>
            <w:vAlign w:val="center"/>
          </w:tcPr>
          <w:p w14:paraId="06287FBA">
            <w:pPr>
              <w:spacing w:line="400" w:lineRule="exact"/>
              <w:rPr>
                <w:rFonts w:hint="eastAsia" w:ascii="仿宋" w:hAnsi="仿宋" w:eastAsia="仿宋" w:cs="仿宋"/>
                <w:color w:val="auto"/>
                <w:sz w:val="24"/>
                <w:szCs w:val="24"/>
                <w:lang w:val="zh-CN" w:eastAsia="zh-CN"/>
              </w:rPr>
            </w:pPr>
            <w:r>
              <w:rPr>
                <w:rFonts w:hint="eastAsia" w:ascii="仿宋" w:hAnsi="仿宋" w:eastAsia="仿宋" w:cs="仿宋"/>
                <w:sz w:val="24"/>
                <w:szCs w:val="24"/>
                <w:highlight w:val="none"/>
              </w:rPr>
              <w:t>1、满足《中华人民共和国政府采购法》第二十二条规定；</w:t>
            </w:r>
            <w:r>
              <w:rPr>
                <w:rFonts w:hint="eastAsia" w:ascii="仿宋" w:hAnsi="仿宋" w:eastAsia="仿宋" w:cs="仿宋"/>
                <w:color w:val="auto"/>
                <w:sz w:val="24"/>
                <w:szCs w:val="24"/>
                <w:lang w:val="zh-CN" w:eastAsia="zh-CN"/>
              </w:rPr>
              <w:t> </w:t>
            </w:r>
          </w:p>
          <w:p w14:paraId="03ED9190">
            <w:pPr>
              <w:spacing w:line="400" w:lineRule="exact"/>
              <w:rPr>
                <w:rFonts w:hint="default" w:ascii="仿宋" w:hAnsi="仿宋" w:eastAsia="仿宋" w:cs="仿宋"/>
                <w:sz w:val="24"/>
                <w:szCs w:val="24"/>
                <w:highlight w:val="none"/>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本项目的特定资格要求：</w:t>
            </w:r>
            <w:r>
              <w:rPr>
                <w:rFonts w:hint="eastAsia" w:ascii="仿宋" w:hAnsi="仿宋" w:eastAsia="仿宋" w:cs="仿宋"/>
                <w:color w:val="auto"/>
                <w:kern w:val="2"/>
                <w:sz w:val="24"/>
                <w:szCs w:val="24"/>
                <w:lang w:val="en-US" w:eastAsia="zh-CN" w:bidi="ar-SA"/>
              </w:rPr>
              <w:t>投标单位须提供《二类医疗器械经营备案凭证》以及《医疗器械经营许可证》或《医疗器械生产许可证》；</w:t>
            </w:r>
          </w:p>
        </w:tc>
      </w:tr>
      <w:tr w14:paraId="4A1B626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43A0494">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4499F5E">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是否允许递交备选投标方案</w:t>
            </w:r>
          </w:p>
        </w:tc>
        <w:tc>
          <w:tcPr>
            <w:tcW w:w="6145" w:type="dxa"/>
            <w:tcBorders>
              <w:top w:val="single" w:color="auto" w:sz="4" w:space="0"/>
              <w:left w:val="single" w:color="auto" w:sz="4" w:space="0"/>
              <w:bottom w:val="single" w:color="auto" w:sz="4" w:space="0"/>
              <w:right w:val="single" w:color="auto" w:sz="4" w:space="0"/>
            </w:tcBorders>
            <w:vAlign w:val="center"/>
          </w:tcPr>
          <w:p w14:paraId="75DA140C">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 不允许</w:t>
            </w:r>
          </w:p>
          <w:p w14:paraId="5F91AE4C">
            <w:pPr>
              <w:spacing w:line="400" w:lineRule="exact"/>
              <w:ind w:left="360" w:hanging="360" w:hangingChars="150"/>
              <w:rPr>
                <w:rFonts w:ascii="仿宋" w:hAnsi="仿宋" w:eastAsia="仿宋"/>
                <w:sz w:val="24"/>
                <w:szCs w:val="24"/>
                <w:highlight w:val="none"/>
                <w:u w:val="single"/>
                <w:lang w:val="zh-CN"/>
              </w:rPr>
            </w:pPr>
            <w:r>
              <w:rPr>
                <w:rFonts w:hint="eastAsia" w:ascii="仿宋" w:hAnsi="仿宋" w:eastAsia="仿宋" w:cs="仿宋"/>
                <w:sz w:val="24"/>
                <w:szCs w:val="24"/>
                <w:highlight w:val="none"/>
                <w:lang w:val="zh-CN"/>
              </w:rPr>
              <w:t>□ 允许。要求：只有中标人所递交的备选投标方案方可予以考虑。评标委员会认为中标人的备选投标方案优于其按照招标文件要求的投标方案，招标人可以接受该备选投标方案。</w:t>
            </w:r>
          </w:p>
        </w:tc>
      </w:tr>
      <w:tr w14:paraId="60B524E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0EB2C62">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382A65D">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投标报价的范围</w:t>
            </w:r>
          </w:p>
        </w:tc>
        <w:tc>
          <w:tcPr>
            <w:tcW w:w="6145" w:type="dxa"/>
            <w:tcBorders>
              <w:top w:val="single" w:color="auto" w:sz="4" w:space="0"/>
              <w:left w:val="single" w:color="auto" w:sz="4" w:space="0"/>
              <w:bottom w:val="single" w:color="auto" w:sz="4" w:space="0"/>
              <w:right w:val="single" w:color="auto" w:sz="4" w:space="0"/>
            </w:tcBorders>
            <w:vAlign w:val="center"/>
          </w:tcPr>
          <w:p w14:paraId="25D31547">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含税全包价，包括</w:t>
            </w:r>
            <w:r>
              <w:rPr>
                <w:rFonts w:hint="eastAsia" w:ascii="仿宋" w:hAnsi="仿宋" w:eastAsia="仿宋" w:cs="仿宋"/>
                <w:sz w:val="24"/>
                <w:szCs w:val="24"/>
                <w:highlight w:val="none"/>
                <w:lang w:val="en-US" w:eastAsia="zh-CN"/>
              </w:rPr>
              <w:t>物品</w:t>
            </w:r>
            <w:r>
              <w:rPr>
                <w:rFonts w:hint="eastAsia" w:ascii="仿宋" w:hAnsi="仿宋" w:eastAsia="仿宋" w:cs="仿宋"/>
                <w:sz w:val="24"/>
                <w:szCs w:val="24"/>
                <w:highlight w:val="none"/>
                <w:lang w:val="zh-CN"/>
              </w:rPr>
              <w:t>的包装、运输、装卸、验收、等一切费用。</w:t>
            </w:r>
          </w:p>
        </w:tc>
      </w:tr>
      <w:tr w14:paraId="4449249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8D1200E">
            <w:pPr>
              <w:numPr>
                <w:ilvl w:val="0"/>
                <w:numId w:val="1"/>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vAlign w:val="center"/>
          </w:tcPr>
          <w:p w14:paraId="7EDD8F48">
            <w:pPr>
              <w:spacing w:line="400" w:lineRule="exact"/>
              <w:rPr>
                <w:rFonts w:ascii="仿宋" w:hAnsi="仿宋" w:eastAsia="仿宋"/>
                <w:sz w:val="24"/>
                <w:szCs w:val="24"/>
                <w:highlight w:val="none"/>
              </w:rPr>
            </w:pPr>
            <w:r>
              <w:rPr>
                <w:rFonts w:hint="eastAsia" w:ascii="仿宋" w:hAnsi="仿宋" w:eastAsia="仿宋"/>
                <w:sz w:val="24"/>
                <w:szCs w:val="24"/>
                <w:highlight w:val="none"/>
              </w:rPr>
              <w:t>投标报价的次数</w:t>
            </w:r>
          </w:p>
        </w:tc>
        <w:tc>
          <w:tcPr>
            <w:tcW w:w="6145" w:type="dxa"/>
            <w:tcBorders>
              <w:top w:val="single" w:color="auto" w:sz="4" w:space="0"/>
              <w:left w:val="single" w:color="auto" w:sz="4" w:space="0"/>
              <w:bottom w:val="single" w:color="auto" w:sz="4" w:space="0"/>
              <w:right w:val="single" w:color="auto" w:sz="4" w:space="0"/>
            </w:tcBorders>
            <w:vAlign w:val="center"/>
          </w:tcPr>
          <w:p w14:paraId="51ECE654">
            <w:pPr>
              <w:spacing w:line="400" w:lineRule="exact"/>
              <w:rPr>
                <w:rFonts w:ascii="仿宋" w:hAnsi="仿宋" w:eastAsia="仿宋"/>
                <w:sz w:val="24"/>
                <w:szCs w:val="24"/>
                <w:highlight w:val="none"/>
              </w:rPr>
            </w:pPr>
            <w:r>
              <w:rPr>
                <w:rFonts w:hint="eastAsia" w:ascii="仿宋" w:hAnsi="仿宋" w:eastAsia="仿宋"/>
                <w:b/>
                <w:bCs/>
                <w:sz w:val="24"/>
                <w:szCs w:val="24"/>
                <w:highlight w:val="none"/>
              </w:rPr>
              <w:t>本次投标报价为一次不得更改报价，投标人只有一次报价的机会。</w:t>
            </w:r>
            <w:r>
              <w:rPr>
                <w:rFonts w:hint="eastAsia" w:ascii="仿宋" w:hAnsi="仿宋" w:eastAsia="仿宋"/>
                <w:sz w:val="24"/>
                <w:szCs w:val="24"/>
                <w:highlight w:val="none"/>
              </w:rPr>
              <w:t>投标报价（即开标报价）不得有选择性报价和附有条件的报价，且不得高于预算金额（备注：设定最高限价的，本项内容改为最高限价）。</w:t>
            </w:r>
          </w:p>
        </w:tc>
      </w:tr>
      <w:tr w14:paraId="2634B1B3">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FB67E12">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2E3C043">
            <w:pPr>
              <w:spacing w:line="400" w:lineRule="exact"/>
              <w:rPr>
                <w:rFonts w:ascii="仿宋" w:hAnsi="仿宋" w:eastAsia="仿宋"/>
                <w:sz w:val="24"/>
                <w:szCs w:val="24"/>
                <w:highlight w:val="none"/>
              </w:rPr>
            </w:pPr>
            <w:r>
              <w:rPr>
                <w:rFonts w:hint="eastAsia" w:ascii="仿宋" w:hAnsi="仿宋" w:eastAsia="仿宋"/>
                <w:sz w:val="24"/>
                <w:szCs w:val="24"/>
                <w:highlight w:val="none"/>
              </w:rPr>
              <w:t>进口产品投标</w:t>
            </w:r>
          </w:p>
        </w:tc>
        <w:tc>
          <w:tcPr>
            <w:tcW w:w="6145" w:type="dxa"/>
            <w:tcBorders>
              <w:top w:val="single" w:color="auto" w:sz="4" w:space="0"/>
              <w:left w:val="single" w:color="auto" w:sz="4" w:space="0"/>
              <w:bottom w:val="single" w:color="auto" w:sz="4" w:space="0"/>
              <w:right w:val="single" w:color="auto" w:sz="4" w:space="0"/>
            </w:tcBorders>
            <w:vAlign w:val="center"/>
          </w:tcPr>
          <w:p w14:paraId="0EC2BA99">
            <w:pPr>
              <w:spacing w:line="400" w:lineRule="exact"/>
              <w:ind w:left="360" w:hanging="360" w:hangingChars="15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不允许</w:t>
            </w:r>
          </w:p>
          <w:p w14:paraId="7E5F0997">
            <w:pPr>
              <w:spacing w:line="400" w:lineRule="exact"/>
              <w:rPr>
                <w:rFonts w:ascii="仿宋" w:hAnsi="仿宋" w:eastAsia="仿宋"/>
                <w:sz w:val="24"/>
                <w:szCs w:val="24"/>
                <w:highlight w:val="none"/>
                <w:u w:val="singl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允许</w:t>
            </w:r>
          </w:p>
        </w:tc>
      </w:tr>
      <w:tr w14:paraId="6C33FB7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B108AA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5FCCED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样品</w:t>
            </w:r>
          </w:p>
        </w:tc>
        <w:tc>
          <w:tcPr>
            <w:tcW w:w="6145" w:type="dxa"/>
            <w:tcBorders>
              <w:top w:val="single" w:color="auto" w:sz="4" w:space="0"/>
              <w:left w:val="single" w:color="auto" w:sz="4" w:space="0"/>
              <w:bottom w:val="single" w:color="auto" w:sz="4" w:space="0"/>
              <w:right w:val="single" w:color="auto" w:sz="4" w:space="0"/>
            </w:tcBorders>
            <w:vAlign w:val="center"/>
          </w:tcPr>
          <w:p w14:paraId="4B305679">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不需要</w:t>
            </w:r>
          </w:p>
          <w:p w14:paraId="7633A051">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需要，样品要求如下：</w:t>
            </w:r>
          </w:p>
          <w:p w14:paraId="15EE6924">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1.样品：招标文件中带“※”标注的货物为投标人开标时应提供的样品。</w:t>
            </w:r>
          </w:p>
          <w:p w14:paraId="5AFEC699">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2.样品的生产、安装、运输费、保全费等一切费用由投标人自理。</w:t>
            </w:r>
          </w:p>
          <w:p w14:paraId="15A8E251">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3.送样截止时间：20   年  月  日  时  分，</w:t>
            </w:r>
          </w:p>
          <w:p w14:paraId="490FF0D3">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4.送样送达地点：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 xml:space="preserve"> 。逾期送达或未送达到指定地点的拒绝接收。</w:t>
            </w:r>
          </w:p>
          <w:p w14:paraId="379795F6">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5.投标人应按照采购代理机构的要求摆放样品并做好展示，样品不能有投标人的标识及品牌，样品将进行统一编号。</w:t>
            </w:r>
          </w:p>
          <w:p w14:paraId="3BD80802">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6.若需要现场演示的，投标人应提前做好演示准备（包括电源线等一切辅助设备），届时因投标人自身原因未能演示的，后果自负。</w:t>
            </w:r>
          </w:p>
          <w:p w14:paraId="15E6B46C">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14:paraId="1AAB9F9C">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8.宣布评标结果后，对于未中标人提供的样品，应当及时退还或者经未中标人同意后自行处理；对于中标人提供的样品，中标人与</w:t>
            </w:r>
            <w:r>
              <w:rPr>
                <w:rFonts w:hint="eastAsia" w:ascii="仿宋" w:hAnsi="仿宋" w:eastAsia="仿宋" w:cs="仿宋"/>
                <w:sz w:val="24"/>
                <w:szCs w:val="24"/>
                <w:highlight w:val="none"/>
                <w:lang w:val="zh-CN" w:eastAsia="zh-CN"/>
              </w:rPr>
              <w:t>招标人</w:t>
            </w:r>
            <w:r>
              <w:rPr>
                <w:rFonts w:hint="eastAsia" w:ascii="仿宋" w:hAnsi="仿宋" w:eastAsia="仿宋" w:cs="仿宋"/>
                <w:sz w:val="24"/>
                <w:szCs w:val="24"/>
                <w:highlight w:val="none"/>
                <w:lang w:val="zh-CN"/>
              </w:rPr>
              <w:t>、采购代理机构共同清点、检查和密封样品，由中标人送至</w:t>
            </w:r>
            <w:r>
              <w:rPr>
                <w:rFonts w:hint="eastAsia" w:ascii="仿宋" w:hAnsi="仿宋" w:eastAsia="仿宋" w:cs="仿宋"/>
                <w:sz w:val="24"/>
                <w:szCs w:val="24"/>
                <w:highlight w:val="none"/>
                <w:lang w:val="zh-CN" w:eastAsia="zh-CN"/>
              </w:rPr>
              <w:t>招标人</w:t>
            </w:r>
            <w:r>
              <w:rPr>
                <w:rFonts w:hint="eastAsia" w:ascii="仿宋" w:hAnsi="仿宋" w:eastAsia="仿宋" w:cs="仿宋"/>
                <w:sz w:val="24"/>
                <w:szCs w:val="24"/>
                <w:highlight w:val="none"/>
                <w:lang w:val="zh-CN"/>
              </w:rPr>
              <w:t>指定地点进行保管、封存，并作为履约验收的参考。</w:t>
            </w:r>
          </w:p>
          <w:p w14:paraId="124332B3">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说明：投标人不按上述要求提交样品、不服从现场工作管理的，样品评分项将被扣分或按“0”分处理。</w:t>
            </w:r>
          </w:p>
        </w:tc>
      </w:tr>
      <w:tr w14:paraId="4652FE27">
        <w:tblPrEx>
          <w:tblCellMar>
            <w:top w:w="0" w:type="dxa"/>
            <w:left w:w="108" w:type="dxa"/>
            <w:bottom w:w="0" w:type="dxa"/>
            <w:right w:w="108" w:type="dxa"/>
          </w:tblCellMar>
        </w:tblPrEx>
        <w:trPr>
          <w:trHeight w:val="262"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5113041">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4F38268">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14:paraId="7FFDECF5">
            <w:pPr>
              <w:spacing w:line="400" w:lineRule="exact"/>
              <w:ind w:firstLine="360" w:firstLineChars="15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1.金额：</w:t>
            </w:r>
            <w:r>
              <w:rPr>
                <w:rFonts w:hint="eastAsia" w:ascii="仿宋" w:hAnsi="仿宋" w:eastAsia="仿宋" w:cs="仿宋"/>
                <w:sz w:val="24"/>
                <w:szCs w:val="24"/>
                <w:highlight w:val="none"/>
                <w:u w:val="single"/>
                <w:lang w:val="en-US" w:eastAsia="zh-CN"/>
              </w:rPr>
              <w:t>人民币20000.00元（大写：贰万元整）</w:t>
            </w:r>
          </w:p>
          <w:p w14:paraId="08A487E4">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截止为 </w:t>
            </w:r>
            <w:r>
              <w:rPr>
                <w:rFonts w:hint="eastAsia" w:ascii="仿宋" w:hAnsi="仿宋" w:eastAsia="仿宋" w:cs="仿宋"/>
                <w:sz w:val="24"/>
                <w:szCs w:val="24"/>
                <w:highlight w:val="none"/>
                <w:u w:val="single"/>
                <w:lang w:val="en-US" w:eastAsia="zh-CN"/>
              </w:rPr>
              <w:t>2025年02月27日11:00</w:t>
            </w:r>
            <w:r>
              <w:rPr>
                <w:rFonts w:hint="eastAsia" w:ascii="仿宋" w:hAnsi="仿宋" w:eastAsia="仿宋" w:cs="仿宋"/>
                <w:sz w:val="24"/>
                <w:szCs w:val="24"/>
                <w:highlight w:val="none"/>
                <w:lang w:val="en-US" w:eastAsia="zh-CN"/>
              </w:rPr>
              <w:t>前递交，</w:t>
            </w:r>
            <w:r>
              <w:rPr>
                <w:rFonts w:hint="eastAsia" w:ascii="仿宋" w:hAnsi="仿宋" w:eastAsia="仿宋" w:cs="仿宋"/>
                <w:sz w:val="24"/>
                <w:szCs w:val="24"/>
                <w:highlight w:val="none"/>
              </w:rPr>
              <w:t>交纳账户信息如下：</w:t>
            </w:r>
          </w:p>
          <w:p w14:paraId="39AD995C">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账户名称：新疆崇瑞工程项目管理有限公司</w:t>
            </w:r>
          </w:p>
          <w:p w14:paraId="48BF75B3">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开户银行:新疆阿克苏农村商业银行股份有限公司中原路支行</w:t>
            </w:r>
          </w:p>
          <w:p w14:paraId="13DFA3E6">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银行账号:852160012010101102153</w:t>
            </w:r>
            <w:r>
              <w:rPr>
                <w:rFonts w:hint="eastAsia" w:ascii="仿宋" w:hAnsi="仿宋" w:eastAsia="仿宋" w:cs="仿宋"/>
                <w:color w:val="000000" w:themeColor="text1"/>
                <w:sz w:val="24"/>
                <w:szCs w:val="24"/>
                <w:lang w:val="zh-CN"/>
                <w14:textFill>
                  <w14:solidFill>
                    <w14:schemeClr w14:val="tx1"/>
                  </w14:solidFill>
                </w14:textFill>
              </w:rPr>
              <w:t>（投标保证金账号）</w:t>
            </w:r>
          </w:p>
          <w:p w14:paraId="717F9C7E">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行号：402891000330</w:t>
            </w:r>
          </w:p>
          <w:p w14:paraId="43BDA2AD">
            <w:pPr>
              <w:pStyle w:val="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投标人必须从投标人基本账户支出不少于上述金额的投标保证金。投标保证金须在投标截止时间前确认到账。 </w:t>
            </w:r>
          </w:p>
          <w:p w14:paraId="18415378">
            <w:pPr>
              <w:pStyle w:val="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特别提示：递交保证金在响应文件提交截止时间前到达我公司账户，以我公司到账信息为准， 不用开收据， 若在投标截止时间前未查到账，将视为不响应招标文件。供应商办理保证金汇（转）款时， 应在用途栏（备注栏） 注明 “项目名称简写</w:t>
            </w:r>
            <w:r>
              <w:rPr>
                <w:rFonts w:hint="eastAsia" w:ascii="仿宋" w:hAnsi="仿宋" w:eastAsia="仿宋" w:cs="仿宋"/>
                <w:sz w:val="24"/>
                <w:szCs w:val="24"/>
                <w:highlight w:val="none"/>
              </w:rPr>
              <w:t>及项目编号</w:t>
            </w:r>
            <w:r>
              <w:rPr>
                <w:rFonts w:hint="eastAsia" w:ascii="仿宋" w:hAnsi="仿宋" w:eastAsia="仿宋" w:cs="仿宋"/>
                <w:kern w:val="2"/>
                <w:sz w:val="24"/>
                <w:szCs w:val="24"/>
                <w:highlight w:val="none"/>
                <w:lang w:val="en-US" w:eastAsia="zh-CN" w:bidi="ar-SA"/>
              </w:rPr>
              <w:t>”，每标段须分别转入投标保证金。</w:t>
            </w:r>
          </w:p>
          <w:p w14:paraId="3428CE9B">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3.投标保证金的交纳单位必须与投标人名称一致，投标保证金缴存方式：投标保证金应当以支票、汇票、本票或者金融机构、 担保机构出具的保函等非现金形式提交。投标人未按照采购文件要求提交投标保证金的投标无效；</w:t>
            </w:r>
          </w:p>
          <w:p w14:paraId="378A611A">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.联合体投标的，投标保证金由牵头人交纳。</w:t>
            </w:r>
          </w:p>
          <w:p w14:paraId="37D8D25F">
            <w:pPr>
              <w:spacing w:line="400" w:lineRule="exact"/>
              <w:rPr>
                <w:rFonts w:hint="default" w:ascii="仿宋" w:hAnsi="仿宋" w:eastAsia="仿宋" w:cs="仿宋"/>
                <w:sz w:val="24"/>
                <w:szCs w:val="24"/>
                <w:highlight w:val="none"/>
                <w:lang w:val="en-US" w:eastAsia="zh-CN"/>
              </w:rPr>
            </w:pPr>
            <w:r>
              <w:rPr>
                <w:rFonts w:hint="eastAsia" w:ascii="仿宋" w:hAnsi="仿宋" w:eastAsia="仿宋" w:cs="仿宋"/>
                <w:b/>
                <w:bCs/>
                <w:color w:val="auto"/>
                <w:sz w:val="24"/>
                <w:szCs w:val="24"/>
                <w:lang w:val="en-US" w:eastAsia="zh-CN"/>
              </w:rPr>
              <w:t>注：为方便退还投标保证金，请各投标单位在开标结束后提交</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color w:val="auto"/>
                <w:sz w:val="24"/>
                <w:szCs w:val="24"/>
                <w:lang w:val="en-US" w:eastAsia="zh-CN"/>
              </w:rPr>
              <w:t>收到退还保证金收据并加盖公章扫描件</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color w:val="auto"/>
                <w:sz w:val="24"/>
                <w:szCs w:val="24"/>
                <w:lang w:val="en-US" w:eastAsia="zh-CN"/>
              </w:rPr>
              <w:t>及开户许可证复印件发送至QQ</w:t>
            </w:r>
            <w:r>
              <w:rPr>
                <w:rFonts w:hint="eastAsia" w:ascii="仿宋" w:hAnsi="仿宋" w:eastAsia="仿宋" w:cs="仿宋"/>
                <w:b/>
                <w:bCs/>
                <w:kern w:val="2"/>
                <w:sz w:val="24"/>
                <w:szCs w:val="24"/>
                <w:highlight w:val="none"/>
                <w:lang w:val="en-US" w:eastAsia="zh-CN" w:bidi="ar-SA"/>
              </w:rPr>
              <w:t>邮箱244668343@qq.com；</w:t>
            </w:r>
          </w:p>
        </w:tc>
      </w:tr>
      <w:tr w14:paraId="094C50A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BD7AB9A">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6BC004E">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投标文件编制</w:t>
            </w:r>
          </w:p>
        </w:tc>
        <w:tc>
          <w:tcPr>
            <w:tcW w:w="6145" w:type="dxa"/>
            <w:tcBorders>
              <w:top w:val="single" w:color="auto" w:sz="4" w:space="0"/>
              <w:left w:val="single" w:color="auto" w:sz="4" w:space="0"/>
              <w:bottom w:val="single" w:color="auto" w:sz="4" w:space="0"/>
              <w:right w:val="single" w:color="auto" w:sz="4" w:space="0"/>
            </w:tcBorders>
            <w:vAlign w:val="center"/>
          </w:tcPr>
          <w:p w14:paraId="28CB334D">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5EE509B5">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投标文件分技术文件、商务文件。</w:t>
            </w:r>
          </w:p>
          <w:p w14:paraId="006AECF7">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.投标文件内容。投标人应按照招标文件的要求编写投标文件；对招标文件要求填写的表格或者资料不得缺少或者留空，投标文件不得加行，</w:t>
            </w:r>
            <w:r>
              <w:rPr>
                <w:rFonts w:hint="eastAsia" w:ascii="仿宋" w:hAnsi="仿宋" w:eastAsia="仿宋" w:cs="仿宋"/>
                <w:sz w:val="24"/>
                <w:szCs w:val="24"/>
                <w:highlight w:val="none"/>
                <w:lang w:val="en-US" w:eastAsia="zh-CN"/>
              </w:rPr>
              <w:t>上传图片清晰可辨认，不得模糊不清</w:t>
            </w:r>
            <w:r>
              <w:rPr>
                <w:rFonts w:hint="eastAsia" w:ascii="仿宋" w:hAnsi="仿宋" w:eastAsia="仿宋" w:cs="仿宋"/>
                <w:sz w:val="24"/>
                <w:szCs w:val="24"/>
                <w:highlight w:val="none"/>
                <w:lang w:val="zh-CN"/>
              </w:rPr>
              <w:t>。</w:t>
            </w:r>
          </w:p>
          <w:p w14:paraId="4BD9E525">
            <w:pPr>
              <w:spacing w:line="40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投标文件</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lang w:val="zh-CN"/>
              </w:rPr>
              <w:t>编制目录，目录、内容标注连续页码，页码从目录编起，标注于页面底部居中位置</w:t>
            </w:r>
            <w:r>
              <w:rPr>
                <w:rFonts w:hint="eastAsia" w:ascii="仿宋" w:hAnsi="仿宋" w:eastAsia="仿宋" w:cs="仿宋"/>
                <w:sz w:val="24"/>
                <w:szCs w:val="24"/>
                <w:highlight w:val="none"/>
                <w:lang w:val="zh-CN" w:eastAsia="zh-CN"/>
              </w:rPr>
              <w:t>。</w:t>
            </w:r>
          </w:p>
          <w:p w14:paraId="4EC843F5">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5.供应商开标结束后应按要求提供纸质投标文件（纸质投标文件四份、电子U盘四份，响应文件须与最终上传电子加密文件一致，送至招标代理公司留档）</w:t>
            </w:r>
            <w:r>
              <w:rPr>
                <w:rFonts w:hint="eastAsia" w:ascii="仿宋" w:hAnsi="仿宋" w:eastAsia="仿宋" w:cs="仿宋"/>
                <w:sz w:val="24"/>
                <w:szCs w:val="24"/>
                <w:highlight w:val="none"/>
                <w:lang w:val="zh-CN"/>
              </w:rPr>
              <w:t>。</w:t>
            </w:r>
          </w:p>
        </w:tc>
      </w:tr>
      <w:tr w14:paraId="5DC38DA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642B847">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FF6B5DC">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14:paraId="08E0E2ED">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14:paraId="6409D792">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14:paraId="3DC05F1E">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14:paraId="0118C619">
        <w:tblPrEx>
          <w:tblCellMar>
            <w:top w:w="0" w:type="dxa"/>
            <w:left w:w="108" w:type="dxa"/>
            <w:bottom w:w="0" w:type="dxa"/>
            <w:right w:w="108" w:type="dxa"/>
          </w:tblCellMar>
        </w:tblPrEx>
        <w:trPr>
          <w:trHeight w:val="20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073E6BD">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710890E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投标文件加密、上传</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34BE5674">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本项目采用不见面开标，供应商须在投标截止时间前，将生成的“电子加密投标文件”上传递交至“政府采购云平台”，投标截止时间以后上传递交的投标文件将被“政府采购 云平台”拒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1BD25C7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344B513">
            <w:pPr>
              <w:numPr>
                <w:ilvl w:val="0"/>
                <w:numId w:val="1"/>
              </w:numPr>
              <w:spacing w:line="400" w:lineRule="exact"/>
              <w:jc w:val="center"/>
              <w:rPr>
                <w:rFonts w:ascii="仿宋" w:hAnsi="仿宋" w:eastAsia="仿宋"/>
                <w:sz w:val="24"/>
                <w:szCs w:val="24"/>
                <w:highlight w:val="none"/>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4BAECC9F">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投标人签到及电子投标文件解密</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41930292">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分钟内（用“项目采购- 开标评标”功能进行解密投标文件。若投标人在规定时间内未按时签到或解密的，视为无效投标。解密与加密投标文件须为同一个CA。</w:t>
            </w:r>
          </w:p>
        </w:tc>
      </w:tr>
      <w:tr w14:paraId="2283432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C42A7E7">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A793150">
            <w:pPr>
              <w:spacing w:line="400" w:lineRule="exact"/>
              <w:rPr>
                <w:rFonts w:ascii="仿宋" w:hAnsi="仿宋" w:eastAsia="仿宋"/>
                <w:sz w:val="24"/>
                <w:szCs w:val="24"/>
                <w:highlight w:val="none"/>
              </w:rPr>
            </w:pPr>
            <w:r>
              <w:rPr>
                <w:rFonts w:hint="eastAsia" w:ascii="仿宋" w:hAnsi="仿宋" w:eastAsia="仿宋" w:cs="仿宋"/>
                <w:sz w:val="24"/>
                <w:szCs w:val="24"/>
                <w:highlight w:val="none"/>
                <w:lang w:val="zh-CN"/>
              </w:rPr>
              <w:t>递交投标文件截止时间</w:t>
            </w:r>
          </w:p>
        </w:tc>
        <w:tc>
          <w:tcPr>
            <w:tcW w:w="6145" w:type="dxa"/>
            <w:tcBorders>
              <w:top w:val="single" w:color="auto" w:sz="4" w:space="0"/>
              <w:left w:val="single" w:color="auto" w:sz="4" w:space="0"/>
              <w:bottom w:val="single" w:color="auto" w:sz="4" w:space="0"/>
              <w:right w:val="single" w:color="auto" w:sz="4" w:space="0"/>
            </w:tcBorders>
            <w:vAlign w:val="center"/>
          </w:tcPr>
          <w:p w14:paraId="72D1DFB1">
            <w:pPr>
              <w:spacing w:line="400" w:lineRule="exact"/>
              <w:ind w:left="360" w:hanging="360"/>
              <w:rPr>
                <w:rFonts w:hint="eastAsia" w:ascii="仿宋" w:hAnsi="仿宋" w:eastAsia="仿宋"/>
                <w:b w:val="0"/>
                <w:bCs/>
                <w:color w:val="auto"/>
                <w:sz w:val="24"/>
                <w:highlight w:val="none"/>
                <w:lang w:val="zh-CN"/>
              </w:rPr>
            </w:pPr>
            <w:r>
              <w:rPr>
                <w:rFonts w:hint="eastAsia" w:ascii="仿宋" w:hAnsi="仿宋" w:eastAsia="仿宋"/>
                <w:b w:val="0"/>
                <w:bCs/>
                <w:color w:val="auto"/>
                <w:sz w:val="24"/>
                <w:highlight w:val="none"/>
                <w:lang w:val="zh-CN" w:eastAsia="zh-CN"/>
              </w:rPr>
              <w:t>时间：</w:t>
            </w:r>
            <w:r>
              <w:rPr>
                <w:rFonts w:hint="eastAsia" w:ascii="仿宋" w:hAnsi="仿宋" w:eastAsia="仿宋"/>
                <w:b w:val="0"/>
                <w:bCs/>
                <w:color w:val="auto"/>
                <w:sz w:val="24"/>
                <w:highlight w:val="none"/>
                <w:u w:val="single"/>
                <w:lang w:val="zh-CN" w:eastAsia="zh-CN"/>
              </w:rPr>
              <w:t>20</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en-US" w:eastAsia="zh-CN"/>
              </w:rPr>
              <w:t>02</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27</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14:paraId="58E0E430">
            <w:pPr>
              <w:spacing w:line="400" w:lineRule="exact"/>
              <w:ind w:left="360" w:hanging="360"/>
              <w:rPr>
                <w:rFonts w:ascii="仿宋" w:hAnsi="仿宋" w:eastAsia="仿宋"/>
                <w:b/>
                <w:color w:val="auto"/>
                <w:sz w:val="24"/>
                <w:highlight w:val="none"/>
                <w:lang w:val="zh-CN"/>
              </w:rPr>
            </w:pPr>
            <w:r>
              <w:rPr>
                <w:rFonts w:hint="eastAsia" w:ascii="仿宋" w:hAnsi="仿宋" w:eastAsia="仿宋"/>
                <w:b w:val="0"/>
                <w:bCs/>
                <w:color w:val="auto"/>
                <w:sz w:val="24"/>
                <w:highlight w:val="none"/>
                <w:lang w:val="zh-CN"/>
              </w:rPr>
              <w:t>地点：</w:t>
            </w:r>
            <w:r>
              <w:rPr>
                <w:rFonts w:ascii="仿宋" w:hAnsi="仿宋" w:eastAsia="仿宋"/>
                <w:b w:val="0"/>
                <w:bCs/>
                <w:color w:val="auto"/>
                <w:sz w:val="24"/>
                <w:highlight w:val="none"/>
                <w:lang w:val="zh-CN"/>
              </w:rPr>
              <w:t>请登录政采云投标客户端投标</w:t>
            </w:r>
            <w:r>
              <w:rPr>
                <w:rFonts w:hint="eastAsia" w:ascii="仿宋" w:hAnsi="仿宋" w:eastAsia="仿宋"/>
                <w:b w:val="0"/>
                <w:bCs/>
                <w:color w:val="auto"/>
                <w:sz w:val="24"/>
                <w:highlight w:val="none"/>
                <w:lang w:val="zh-CN"/>
              </w:rPr>
              <w:t> </w:t>
            </w:r>
            <w:r>
              <w:rPr>
                <w:rFonts w:hint="eastAsia" w:ascii="仿宋" w:hAnsi="仿宋" w:eastAsia="仿宋"/>
                <w:b w:val="0"/>
                <w:bCs/>
                <w:color w:val="auto"/>
                <w:sz w:val="24"/>
                <w:highlight w:val="none"/>
                <w:lang w:val="zh-CN" w:eastAsia="zh-CN"/>
              </w:rPr>
              <w:tab/>
            </w:r>
          </w:p>
        </w:tc>
      </w:tr>
      <w:tr w14:paraId="1FCB4642">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753406C">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95CE25D">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开标时间及地点</w:t>
            </w:r>
          </w:p>
        </w:tc>
        <w:tc>
          <w:tcPr>
            <w:tcW w:w="6145" w:type="dxa"/>
            <w:tcBorders>
              <w:top w:val="single" w:color="auto" w:sz="4" w:space="0"/>
              <w:left w:val="single" w:color="auto" w:sz="4" w:space="0"/>
              <w:bottom w:val="single" w:color="auto" w:sz="4" w:space="0"/>
              <w:right w:val="single" w:color="auto" w:sz="4" w:space="0"/>
            </w:tcBorders>
            <w:vAlign w:val="center"/>
          </w:tcPr>
          <w:p w14:paraId="0C955E3B">
            <w:pPr>
              <w:spacing w:line="380" w:lineRule="exact"/>
              <w:rPr>
                <w:rFonts w:hint="eastAsia" w:ascii="仿宋" w:hAnsi="仿宋" w:eastAsia="仿宋"/>
                <w:color w:val="auto"/>
                <w:sz w:val="24"/>
                <w:szCs w:val="24"/>
                <w:highlight w:val="none"/>
                <w:lang w:val="zh-CN" w:eastAsia="en-US"/>
              </w:rPr>
            </w:pPr>
            <w:r>
              <w:rPr>
                <w:rFonts w:hint="eastAsia" w:ascii="仿宋" w:hAnsi="仿宋" w:eastAsia="仿宋"/>
                <w:color w:val="auto"/>
                <w:sz w:val="24"/>
                <w:szCs w:val="24"/>
                <w:highlight w:val="none"/>
                <w:lang w:val="zh-CN" w:eastAsia="en-US"/>
              </w:rPr>
              <w:t>开启时间：</w:t>
            </w:r>
            <w:r>
              <w:rPr>
                <w:rFonts w:hint="eastAsia" w:ascii="仿宋" w:hAnsi="仿宋" w:eastAsia="仿宋"/>
                <w:b w:val="0"/>
                <w:bCs/>
                <w:color w:val="auto"/>
                <w:sz w:val="24"/>
                <w:highlight w:val="none"/>
                <w:u w:val="single"/>
                <w:lang w:val="zh-CN" w:eastAsia="zh-CN"/>
              </w:rPr>
              <w:t>20</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en-US" w:eastAsia="zh-CN"/>
              </w:rPr>
              <w:t>02</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27</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14:paraId="7A3516B9">
            <w:pPr>
              <w:spacing w:line="380" w:lineRule="exac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eastAsia="en-US"/>
              </w:rPr>
              <w:t>地点：投标人登录政采云平台https://www.zcygov.cn/，进入“项目采购-开标评标-右边选择对应项目点击“进入项目”进入开标大厅。</w:t>
            </w:r>
          </w:p>
        </w:tc>
      </w:tr>
      <w:tr w14:paraId="6931533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DF4F05F">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160DC78">
            <w:pPr>
              <w:autoSpaceDE w:val="0"/>
              <w:autoSpaceDN w:val="0"/>
              <w:adjustRightInd w:val="0"/>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评标委员会</w:t>
            </w:r>
          </w:p>
        </w:tc>
        <w:tc>
          <w:tcPr>
            <w:tcW w:w="6145" w:type="dxa"/>
            <w:tcBorders>
              <w:top w:val="single" w:color="auto" w:sz="4" w:space="0"/>
              <w:left w:val="single" w:color="auto" w:sz="4" w:space="0"/>
              <w:bottom w:val="single" w:color="auto" w:sz="4" w:space="0"/>
              <w:right w:val="single" w:color="auto" w:sz="4" w:space="0"/>
            </w:tcBorders>
            <w:vAlign w:val="center"/>
          </w:tcPr>
          <w:p w14:paraId="19FDD57A">
            <w:pPr>
              <w:autoSpaceDE w:val="0"/>
              <w:autoSpaceDN w:val="0"/>
              <w:adjustRightInd w:val="0"/>
              <w:spacing w:line="38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评标委员会共</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人，其中：</w:t>
            </w:r>
          </w:p>
          <w:p w14:paraId="03C1816C">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人，评审专家</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w:t>
            </w:r>
          </w:p>
          <w:p w14:paraId="02E9921D">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评标专家确定方式：从政府采购评审专家库中随机抽取。</w:t>
            </w:r>
          </w:p>
        </w:tc>
      </w:tr>
      <w:tr w14:paraId="41D8830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F827699">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4DAAC69">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评标办法</w:t>
            </w:r>
          </w:p>
        </w:tc>
        <w:tc>
          <w:tcPr>
            <w:tcW w:w="6145" w:type="dxa"/>
            <w:tcBorders>
              <w:top w:val="single" w:color="auto" w:sz="4" w:space="0"/>
              <w:left w:val="single" w:color="auto" w:sz="4" w:space="0"/>
              <w:bottom w:val="single" w:color="auto" w:sz="4" w:space="0"/>
              <w:right w:val="single" w:color="auto" w:sz="4" w:space="0"/>
            </w:tcBorders>
            <w:vAlign w:val="center"/>
          </w:tcPr>
          <w:p w14:paraId="2DEEC99A">
            <w:pPr>
              <w:spacing w:line="38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综合评分法</w:t>
            </w:r>
          </w:p>
          <w:p w14:paraId="700F2F9D">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最低评标价法</w:t>
            </w:r>
          </w:p>
        </w:tc>
      </w:tr>
      <w:tr w14:paraId="13DD57B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C1C959B">
            <w:pPr>
              <w:numPr>
                <w:ilvl w:val="0"/>
                <w:numId w:val="1"/>
              </w:numPr>
              <w:spacing w:line="400" w:lineRule="exact"/>
              <w:jc w:val="center"/>
              <w:rPr>
                <w:rFonts w:ascii="仿宋" w:hAnsi="仿宋" w:eastAsia="仿宋" w:cs="仿宋"/>
                <w:sz w:val="24"/>
                <w:szCs w:val="24"/>
                <w:highlight w:val="none"/>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7BBA5F9">
            <w:pPr>
              <w:spacing w:line="400" w:lineRule="exact"/>
              <w:rPr>
                <w:rFonts w:ascii="仿宋" w:hAnsi="仿宋" w:eastAsia="仿宋"/>
                <w:sz w:val="24"/>
                <w:szCs w:val="24"/>
                <w:highlight w:val="none"/>
                <w:lang w:val="zh-CN"/>
              </w:rPr>
            </w:pPr>
            <w:r>
              <w:rPr>
                <w:rFonts w:hint="eastAsia" w:ascii="仿宋" w:hAnsi="仿宋" w:eastAsia="仿宋"/>
                <w:sz w:val="24"/>
                <w:szCs w:val="24"/>
                <w:highlight w:val="none"/>
              </w:rPr>
              <w:t>是否授权评标委员会确定中标人</w:t>
            </w:r>
          </w:p>
        </w:tc>
        <w:tc>
          <w:tcPr>
            <w:tcW w:w="6145" w:type="dxa"/>
            <w:tcBorders>
              <w:top w:val="single" w:color="auto" w:sz="4" w:space="0"/>
              <w:left w:val="single" w:color="auto" w:sz="4" w:space="0"/>
              <w:bottom w:val="single" w:color="auto" w:sz="4" w:space="0"/>
              <w:right w:val="single" w:color="auto" w:sz="4" w:space="0"/>
            </w:tcBorders>
            <w:vAlign w:val="center"/>
          </w:tcPr>
          <w:p w14:paraId="51DE8358">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rPr>
              <w:t xml:space="preserve"> 是，</w:t>
            </w:r>
            <w:r>
              <w:rPr>
                <w:rFonts w:hint="eastAsia" w:ascii="仿宋" w:hAnsi="仿宋" w:eastAsia="仿宋" w:cs="仿宋"/>
                <w:sz w:val="24"/>
                <w:szCs w:val="24"/>
                <w:highlight w:val="none"/>
                <w:lang w:val="zh-CN"/>
              </w:rPr>
              <w:t>每包确定一个中标人。</w:t>
            </w:r>
          </w:p>
          <w:p w14:paraId="69A18E33">
            <w:pPr>
              <w:spacing w:line="380" w:lineRule="exact"/>
              <w:rPr>
                <w:rFonts w:ascii="仿宋" w:hAnsi="仿宋" w:eastAsia="仿宋" w:cs="仿宋"/>
                <w:sz w:val="24"/>
                <w:szCs w:val="24"/>
                <w:highlight w:val="none"/>
              </w:rPr>
            </w:pPr>
            <w:r>
              <w:rPr>
                <w:rFonts w:hint="eastAsia" w:ascii="仿宋" w:hAnsi="仿宋" w:eastAsia="仿宋"/>
                <w:color w:val="auto"/>
                <w:sz w:val="24"/>
                <w:szCs w:val="24"/>
                <w:highlight w:val="none"/>
              </w:rPr>
              <w:t>☑ 否，确定的中标候选人数：</w:t>
            </w:r>
            <w:r>
              <w:rPr>
                <w:rFonts w:hint="eastAsia" w:ascii="仿宋" w:hAnsi="仿宋" w:eastAsia="仿宋"/>
                <w:color w:val="auto"/>
                <w:sz w:val="24"/>
                <w:szCs w:val="24"/>
                <w:highlight w:val="none"/>
                <w:u w:val="single"/>
              </w:rPr>
              <w:t xml:space="preserve"> 3 </w:t>
            </w:r>
          </w:p>
        </w:tc>
      </w:tr>
      <w:tr w14:paraId="6E7B5FC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620ED3B">
            <w:pPr>
              <w:numPr>
                <w:ilvl w:val="0"/>
                <w:numId w:val="1"/>
              </w:numPr>
              <w:spacing w:line="400" w:lineRule="exact"/>
              <w:jc w:val="center"/>
              <w:rPr>
                <w:rFonts w:ascii="仿宋" w:hAnsi="仿宋" w:eastAsia="仿宋" w:cs="仿宋"/>
                <w:sz w:val="24"/>
                <w:szCs w:val="24"/>
                <w:highlight w:val="none"/>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14:paraId="79AB2ECD">
            <w:pPr>
              <w:spacing w:line="38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其他需补充的内容</w:t>
            </w:r>
          </w:p>
        </w:tc>
      </w:tr>
      <w:tr w14:paraId="435774B6">
        <w:tblPrEx>
          <w:tblCellMar>
            <w:top w:w="0" w:type="dxa"/>
            <w:left w:w="108" w:type="dxa"/>
            <w:bottom w:w="0" w:type="dxa"/>
            <w:right w:w="108" w:type="dxa"/>
          </w:tblCellMar>
        </w:tblPrEx>
        <w:trPr>
          <w:trHeight w:val="466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7A20879">
            <w:pPr>
              <w:spacing w:line="400" w:lineRule="exact"/>
              <w:jc w:val="center"/>
              <w:outlineLvl w:val="9"/>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.1</w:t>
            </w:r>
          </w:p>
        </w:tc>
        <w:tc>
          <w:tcPr>
            <w:tcW w:w="2720" w:type="dxa"/>
            <w:tcBorders>
              <w:top w:val="single" w:color="auto" w:sz="4" w:space="0"/>
              <w:left w:val="single" w:color="auto" w:sz="4" w:space="0"/>
              <w:bottom w:val="single" w:color="auto" w:sz="4" w:space="0"/>
              <w:right w:val="single" w:color="auto" w:sz="4" w:space="0"/>
            </w:tcBorders>
            <w:vAlign w:val="center"/>
          </w:tcPr>
          <w:p w14:paraId="21B23DB9">
            <w:pPr>
              <w:spacing w:line="400" w:lineRule="exact"/>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lang w:val="en-US" w:eastAsia="zh-CN"/>
              </w:rPr>
              <w:t>电子不见面开标注意事项</w:t>
            </w:r>
          </w:p>
        </w:tc>
        <w:tc>
          <w:tcPr>
            <w:tcW w:w="6145" w:type="dxa"/>
            <w:tcBorders>
              <w:top w:val="single" w:color="auto" w:sz="4" w:space="0"/>
              <w:left w:val="single" w:color="auto" w:sz="4" w:space="0"/>
              <w:bottom w:val="single" w:color="auto" w:sz="4" w:space="0"/>
              <w:right w:val="single" w:color="auto" w:sz="4" w:space="0"/>
            </w:tcBorders>
            <w:vAlign w:val="center"/>
          </w:tcPr>
          <w:p w14:paraId="1E9A9BD3">
            <w:pPr>
              <w:spacing w:line="380" w:lineRule="exact"/>
              <w:outlineLvl w:val="9"/>
              <w:rPr>
                <w:rFonts w:ascii="仿宋" w:hAnsi="仿宋" w:eastAsia="仿宋"/>
                <w:color w:val="auto"/>
                <w:kern w:val="1"/>
                <w:sz w:val="24"/>
                <w:szCs w:val="24"/>
                <w:highlight w:val="none"/>
              </w:rPr>
            </w:pPr>
            <w:r>
              <w:rPr>
                <w:rFonts w:hint="eastAsia" w:ascii="仿宋" w:hAnsi="仿宋" w:eastAsia="仿宋"/>
                <w:color w:val="auto"/>
                <w:kern w:val="1"/>
                <w:sz w:val="24"/>
                <w:szCs w:val="24"/>
                <w:highlight w:val="none"/>
              </w:rPr>
              <w:t>本次</w:t>
            </w:r>
            <w:r>
              <w:rPr>
                <w:rFonts w:hint="eastAsia" w:ascii="仿宋" w:hAnsi="仿宋" w:eastAsia="仿宋"/>
                <w:color w:val="auto"/>
                <w:kern w:val="1"/>
                <w:sz w:val="24"/>
                <w:szCs w:val="24"/>
                <w:highlight w:val="none"/>
                <w:lang w:val="en-US" w:eastAsia="zh-CN"/>
              </w:rPr>
              <w:t>采购</w:t>
            </w:r>
            <w:r>
              <w:rPr>
                <w:rFonts w:hint="eastAsia" w:ascii="仿宋" w:hAnsi="仿宋" w:eastAsia="仿宋"/>
                <w:color w:val="auto"/>
                <w:kern w:val="1"/>
                <w:sz w:val="24"/>
                <w:szCs w:val="24"/>
                <w:highlight w:val="none"/>
              </w:rPr>
              <w:t>活动</w:t>
            </w:r>
            <w:r>
              <w:rPr>
                <w:rFonts w:hint="eastAsia" w:ascii="仿宋" w:hAnsi="仿宋" w:eastAsia="仿宋"/>
                <w:color w:val="auto"/>
                <w:kern w:val="1"/>
                <w:sz w:val="24"/>
                <w:szCs w:val="24"/>
                <w:highlight w:val="none"/>
                <w:lang w:val="en-US" w:eastAsia="zh-CN"/>
              </w:rPr>
              <w:t>不要求供应商到场递交响应文件，仅需在政采云平台递交已加密的电子响应文件，并注意以下事项</w:t>
            </w:r>
            <w:r>
              <w:rPr>
                <w:rFonts w:hint="eastAsia" w:ascii="仿宋" w:hAnsi="仿宋" w:eastAsia="仿宋"/>
                <w:color w:val="auto"/>
                <w:kern w:val="1"/>
                <w:sz w:val="24"/>
                <w:szCs w:val="24"/>
                <w:highlight w:val="none"/>
              </w:rPr>
              <w:t>：</w:t>
            </w:r>
          </w:p>
          <w:p w14:paraId="72D9AE0E">
            <w:pPr>
              <w:spacing w:line="380" w:lineRule="exact"/>
              <w:outlineLvl w:val="9"/>
              <w:rPr>
                <w:rStyle w:val="29"/>
                <w:color w:val="auto"/>
                <w:sz w:val="24"/>
                <w:szCs w:val="24"/>
                <w:highlight w:val="none"/>
              </w:rPr>
            </w:pPr>
            <w:r>
              <w:rPr>
                <w:rFonts w:hint="eastAsia" w:ascii="仿宋" w:hAnsi="仿宋" w:eastAsia="仿宋"/>
                <w:color w:val="auto"/>
                <w:kern w:val="1"/>
                <w:sz w:val="24"/>
                <w:szCs w:val="24"/>
                <w:highlight w:val="none"/>
                <w:lang w:val="en-US" w:eastAsia="zh-CN"/>
              </w:rPr>
              <w:t>1</w:t>
            </w:r>
            <w:r>
              <w:rPr>
                <w:rFonts w:hint="eastAsia" w:ascii="仿宋" w:hAnsi="仿宋" w:eastAsia="仿宋"/>
                <w:color w:val="auto"/>
                <w:kern w:val="1"/>
                <w:sz w:val="24"/>
                <w:szCs w:val="24"/>
                <w:highlight w:val="none"/>
              </w:rPr>
              <w:t>.</w:t>
            </w:r>
            <w:r>
              <w:rPr>
                <w:rStyle w:val="29"/>
                <w:rFonts w:hint="eastAsia"/>
                <w:color w:val="auto"/>
                <w:sz w:val="24"/>
                <w:szCs w:val="24"/>
                <w:highlight w:val="none"/>
              </w:rPr>
              <w:t>本项目为电子招投标项目，投标人需要使用 CA 加密设备，凡参加本项目投标人可通过新疆数字证书 认证中心官网（https://www.xjca.com.cn/）或下载 “新疆政务通”APP 自行进行线上申领，如有操作性问题可与政采云在线客服进行咨询，咨询电话：</w:t>
            </w:r>
            <w:r>
              <w:rPr>
                <w:rFonts w:hint="eastAsia" w:ascii="仿宋" w:hAnsi="仿宋" w:eastAsia="仿宋" w:cs="仿宋"/>
                <w:sz w:val="24"/>
                <w:szCs w:val="24"/>
                <w:highlight w:val="none"/>
                <w:lang w:val="zh-CN"/>
              </w:rPr>
              <w:t>95763  </w:t>
            </w:r>
            <w:r>
              <w:rPr>
                <w:rStyle w:val="29"/>
                <w:rFonts w:hint="eastAsia"/>
                <w:color w:val="auto"/>
                <w:sz w:val="24"/>
                <w:szCs w:val="24"/>
                <w:highlight w:val="none"/>
              </w:rPr>
              <w:t>。</w:t>
            </w:r>
          </w:p>
          <w:p w14:paraId="79FEB250">
            <w:pPr>
              <w:spacing w:line="380" w:lineRule="exact"/>
              <w:outlineLvl w:val="9"/>
              <w:rPr>
                <w:rStyle w:val="29"/>
                <w:rFonts w:hint="eastAsia" w:eastAsia="仿宋"/>
                <w:color w:val="auto"/>
                <w:sz w:val="24"/>
                <w:szCs w:val="24"/>
                <w:highlight w:val="none"/>
                <w:lang w:val="en-US" w:eastAsia="zh-CN"/>
              </w:rPr>
            </w:pPr>
            <w:r>
              <w:rPr>
                <w:rStyle w:val="29"/>
                <w:rFonts w:hint="eastAsia" w:eastAsia="仿宋"/>
                <w:color w:val="auto"/>
                <w:sz w:val="24"/>
                <w:szCs w:val="24"/>
                <w:highlight w:val="none"/>
                <w:lang w:val="en-US" w:eastAsia="zh-CN"/>
              </w:rPr>
              <w:t>2.投标人应在开标前应确保成为新疆政府采购网正式注册入库供应商，并完成CA数字证书申领。因未注册入库、未办理CA数字证书等原因造成无法投标或投标失败等后果由投标人自行承担。</w:t>
            </w:r>
          </w:p>
          <w:p w14:paraId="10378194">
            <w:pPr>
              <w:spacing w:line="380" w:lineRule="exact"/>
              <w:outlineLvl w:val="9"/>
              <w:rPr>
                <w:rFonts w:ascii="仿宋" w:hAnsi="仿宋" w:eastAsia="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采购网（www.ccgp-xinjiang.gov.cn）下载专区查看，如有问题可拨打政采云客户服务热线</w:t>
            </w:r>
            <w:r>
              <w:rPr>
                <w:rFonts w:hint="eastAsia" w:ascii="仿宋" w:hAnsi="仿宋" w:eastAsia="仿宋" w:cs="仿宋"/>
                <w:sz w:val="24"/>
                <w:szCs w:val="24"/>
                <w:highlight w:val="none"/>
                <w:lang w:val="zh-CN"/>
              </w:rPr>
              <w:t>95763</w:t>
            </w:r>
            <w:r>
              <w:rPr>
                <w:rFonts w:hint="eastAsia" w:ascii="仿宋" w:hAnsi="仿宋" w:eastAsia="仿宋" w:cs="仿宋"/>
                <w:color w:val="auto"/>
                <w:sz w:val="24"/>
                <w:szCs w:val="24"/>
                <w:highlight w:val="none"/>
              </w:rPr>
              <w:t>进行咨询</w:t>
            </w:r>
            <w:r>
              <w:rPr>
                <w:rFonts w:hint="eastAsia" w:ascii="仿宋" w:hAnsi="仿宋" w:eastAsia="仿宋" w:cs="仿宋"/>
                <w:color w:val="auto"/>
                <w:sz w:val="24"/>
                <w:szCs w:val="24"/>
                <w:highlight w:val="none"/>
                <w:lang w:eastAsia="zh-CN"/>
              </w:rPr>
              <w:t>。</w:t>
            </w:r>
          </w:p>
        </w:tc>
      </w:tr>
      <w:tr w14:paraId="02AEE89A">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14:paraId="3AC6AF2E">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lang w:val="zh-CN"/>
              </w:rPr>
              <w:t>.</w:t>
            </w:r>
            <w:r>
              <w:rPr>
                <w:rFonts w:hint="eastAsia" w:ascii="仿宋" w:hAnsi="仿宋" w:eastAsia="仿宋" w:cs="仿宋"/>
                <w:sz w:val="24"/>
                <w:szCs w:val="24"/>
                <w:highlight w:val="none"/>
              </w:rPr>
              <w:t>2</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14:paraId="1787597D">
            <w:pPr>
              <w:spacing w:line="4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14:paraId="37D2494F">
            <w:pPr>
              <w:spacing w:line="380" w:lineRule="exact"/>
              <w:rPr>
                <w:rFonts w:ascii="仿宋" w:hAnsi="仿宋" w:eastAsia="仿宋"/>
                <w:color w:val="auto"/>
                <w:sz w:val="24"/>
                <w:szCs w:val="24"/>
                <w:highlight w:val="none"/>
              </w:rPr>
            </w:pPr>
            <w:r>
              <w:rPr>
                <w:rFonts w:hint="eastAsia" w:ascii="仿宋" w:hAnsi="仿宋" w:eastAsia="仿宋" w:cs="仿宋"/>
                <w:color w:val="auto"/>
                <w:sz w:val="24"/>
                <w:szCs w:val="24"/>
                <w:highlight w:val="none"/>
                <w:lang w:val="zh-CN"/>
              </w:rPr>
              <w:t>原件：</w:t>
            </w:r>
            <w:r>
              <w:rPr>
                <w:rFonts w:hint="eastAsia" w:ascii="仿宋" w:hAnsi="仿宋" w:eastAsia="仿宋"/>
                <w:color w:val="auto"/>
                <w:sz w:val="24"/>
                <w:szCs w:val="24"/>
                <w:highlight w:val="none"/>
              </w:rPr>
              <w:t>最初产生的区别于复制件的原始文件或文件的原本或公证处出具的文件复制件公证书。</w:t>
            </w:r>
          </w:p>
        </w:tc>
      </w:tr>
      <w:tr w14:paraId="035B6852">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14:paraId="5636729A">
            <w:pPr>
              <w:spacing w:line="400" w:lineRule="exact"/>
              <w:jc w:val="center"/>
              <w:rPr>
                <w:rFonts w:ascii="仿宋" w:hAnsi="仿宋" w:eastAsia="仿宋" w:cs="仿宋"/>
                <w:sz w:val="24"/>
                <w:szCs w:val="24"/>
                <w:highlight w:val="none"/>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14:paraId="3AC7CE7A">
            <w:pPr>
              <w:spacing w:line="400" w:lineRule="exact"/>
              <w:rPr>
                <w:rFonts w:ascii="仿宋" w:hAnsi="仿宋" w:eastAsia="仿宋" w:cs="仿宋"/>
                <w:sz w:val="24"/>
                <w:szCs w:val="24"/>
                <w:highlight w:val="none"/>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14:paraId="46751EE9">
            <w:pPr>
              <w:spacing w:line="380" w:lineRule="exact"/>
              <w:rPr>
                <w:rFonts w:ascii="仿宋" w:hAnsi="仿宋" w:eastAsia="仿宋" w:cs="仿宋"/>
                <w:sz w:val="24"/>
                <w:szCs w:val="24"/>
                <w:highlight w:val="none"/>
                <w:lang w:val="zh-CN"/>
              </w:rPr>
            </w:pPr>
            <w:r>
              <w:rPr>
                <w:rFonts w:ascii="仿宋" w:hAnsi="仿宋" w:eastAsia="仿宋"/>
                <w:sz w:val="24"/>
                <w:szCs w:val="24"/>
                <w:highlight w:val="none"/>
              </w:rPr>
              <w:t>书面形式：</w:t>
            </w:r>
            <w:r>
              <w:rPr>
                <w:rFonts w:hint="eastAsia" w:ascii="仿宋" w:hAnsi="仿宋" w:eastAsia="仿宋"/>
                <w:sz w:val="24"/>
                <w:szCs w:val="24"/>
                <w:highlight w:val="none"/>
              </w:rPr>
              <w:t>包括文字的打印或复印件、传真、信函、电传、电报、</w:t>
            </w:r>
            <w:r>
              <w:rPr>
                <w:rFonts w:ascii="仿宋" w:hAnsi="仿宋" w:eastAsia="仿宋" w:cs="Arial"/>
                <w:sz w:val="24"/>
                <w:szCs w:val="24"/>
                <w:highlight w:val="none"/>
                <w:shd w:val="clear" w:color="auto" w:fill="FFFFFF"/>
              </w:rPr>
              <w:t>电子邮件</w:t>
            </w:r>
            <w:r>
              <w:rPr>
                <w:rFonts w:hint="eastAsia" w:ascii="仿宋" w:hAnsi="仿宋" w:eastAsia="仿宋" w:cs="Arial"/>
                <w:sz w:val="24"/>
                <w:szCs w:val="24"/>
                <w:highlight w:val="none"/>
                <w:shd w:val="clear" w:color="auto" w:fill="FFFFFF"/>
              </w:rPr>
              <w:t>、</w:t>
            </w:r>
            <w:r>
              <w:rPr>
                <w:rFonts w:hint="eastAsia" w:ascii="仿宋" w:hAnsi="仿宋" w:eastAsia="仿宋"/>
                <w:sz w:val="24"/>
                <w:szCs w:val="24"/>
                <w:highlight w:val="none"/>
              </w:rPr>
              <w:t>相关媒介发布的公告</w:t>
            </w:r>
            <w:r>
              <w:rPr>
                <w:rFonts w:ascii="仿宋" w:hAnsi="仿宋" w:eastAsia="仿宋" w:cs="Arial"/>
                <w:sz w:val="24"/>
                <w:szCs w:val="24"/>
                <w:highlight w:val="none"/>
                <w:shd w:val="clear" w:color="auto" w:fill="FFFFFF"/>
              </w:rPr>
              <w:t>等可以有形地表现所载内容的形式。</w:t>
            </w:r>
          </w:p>
        </w:tc>
      </w:tr>
      <w:tr w14:paraId="1DA0441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71C31AA">
            <w:pPr>
              <w:spacing w:line="400" w:lineRule="exact"/>
              <w:jc w:val="center"/>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lang w:val="zh-CN"/>
              </w:rPr>
              <w:t>.</w:t>
            </w:r>
            <w:r>
              <w:rPr>
                <w:rFonts w:hint="eastAsia" w:ascii="仿宋" w:hAnsi="仿宋" w:eastAsia="仿宋" w:cs="仿宋"/>
                <w:sz w:val="24"/>
                <w:szCs w:val="24"/>
                <w:highlight w:val="none"/>
              </w:rPr>
              <w:t>3</w:t>
            </w:r>
          </w:p>
        </w:tc>
        <w:tc>
          <w:tcPr>
            <w:tcW w:w="2720" w:type="dxa"/>
            <w:tcBorders>
              <w:top w:val="single" w:color="auto" w:sz="4" w:space="0"/>
              <w:left w:val="single" w:color="auto" w:sz="4" w:space="0"/>
              <w:bottom w:val="single" w:color="auto" w:sz="4" w:space="0"/>
              <w:right w:val="single" w:color="auto" w:sz="4" w:space="0"/>
            </w:tcBorders>
            <w:vAlign w:val="center"/>
          </w:tcPr>
          <w:p w14:paraId="64D43211">
            <w:pPr>
              <w:spacing w:line="400" w:lineRule="exact"/>
              <w:rPr>
                <w:rFonts w:ascii="仿宋" w:hAnsi="仿宋" w:eastAsia="仿宋" w:cs="仿宋"/>
                <w:sz w:val="24"/>
                <w:szCs w:val="24"/>
                <w:highlight w:val="none"/>
                <w:lang w:val="zh-CN"/>
              </w:rPr>
            </w:pPr>
            <w:r>
              <w:rPr>
                <w:rFonts w:hint="eastAsia" w:ascii="仿宋" w:hAnsi="仿宋" w:eastAsia="仿宋"/>
                <w:sz w:val="24"/>
                <w:szCs w:val="24"/>
                <w:highlight w:val="none"/>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14:paraId="56117106">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rPr>
              <w:t>☑ 不允许</w:t>
            </w:r>
          </w:p>
          <w:p w14:paraId="51C0E4B2">
            <w:pPr>
              <w:spacing w:line="380" w:lineRule="exact"/>
              <w:rPr>
                <w:rFonts w:ascii="仿宋" w:hAnsi="仿宋" w:eastAsia="仿宋" w:cs="仿宋"/>
                <w:sz w:val="24"/>
                <w:szCs w:val="24"/>
                <w:highlight w:val="none"/>
              </w:rPr>
            </w:pPr>
            <w:r>
              <w:rPr>
                <w:rFonts w:hint="eastAsia" w:ascii="仿宋" w:hAnsi="仿宋" w:eastAsia="仿宋"/>
                <w:sz w:val="24"/>
                <w:szCs w:val="24"/>
                <w:highlight w:val="none"/>
              </w:rPr>
              <w:t>□ 允许</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highlight w:val="none"/>
                <w:lang w:val="zh-CN"/>
              </w:rPr>
              <w:t>。</w:t>
            </w:r>
          </w:p>
        </w:tc>
      </w:tr>
      <w:tr w14:paraId="1E646B58">
        <w:tblPrEx>
          <w:tblCellMar>
            <w:top w:w="0" w:type="dxa"/>
            <w:left w:w="108" w:type="dxa"/>
            <w:bottom w:w="0" w:type="dxa"/>
            <w:right w:w="108" w:type="dxa"/>
          </w:tblCellMar>
        </w:tblPrEx>
        <w:trPr>
          <w:trHeight w:val="89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74664FE">
            <w:pPr>
              <w:spacing w:line="40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4</w:t>
            </w:r>
          </w:p>
        </w:tc>
        <w:tc>
          <w:tcPr>
            <w:tcW w:w="2720" w:type="dxa"/>
            <w:tcBorders>
              <w:top w:val="single" w:color="auto" w:sz="4" w:space="0"/>
              <w:left w:val="single" w:color="auto" w:sz="4" w:space="0"/>
              <w:bottom w:val="single" w:color="auto" w:sz="4" w:space="0"/>
              <w:right w:val="single" w:color="auto" w:sz="4" w:space="0"/>
            </w:tcBorders>
            <w:vAlign w:val="center"/>
          </w:tcPr>
          <w:p w14:paraId="16F2A06D">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14:paraId="5C89FF7A">
            <w:pPr>
              <w:spacing w:line="400" w:lineRule="exact"/>
              <w:jc w:val="both"/>
              <w:rPr>
                <w:rFonts w:ascii="仿宋" w:hAnsi="仿宋" w:eastAsia="仿宋"/>
                <w:b/>
                <w:bCs/>
                <w:sz w:val="24"/>
                <w:szCs w:val="24"/>
                <w:highlight w:val="none"/>
                <w:lang w:val="zh-CN"/>
              </w:rPr>
            </w:pPr>
            <w:r>
              <w:rPr>
                <w:rFonts w:hint="eastAsia" w:ascii="仿宋" w:hAnsi="仿宋" w:eastAsia="仿宋" w:cs="仿宋"/>
                <w:sz w:val="24"/>
                <w:szCs w:val="24"/>
                <w:highlight w:val="none"/>
                <w:lang w:val="zh-CN" w:eastAsia="zh-CN"/>
              </w:rPr>
              <w:t>本次招标投标活动以及相关当事人应当接受相关部门依法实施的监督。</w:t>
            </w:r>
          </w:p>
        </w:tc>
      </w:tr>
      <w:tr w14:paraId="4932AA01">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C4707C">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2720" w:type="dxa"/>
            <w:tcBorders>
              <w:top w:val="single" w:color="auto" w:sz="4" w:space="0"/>
              <w:left w:val="single" w:color="auto" w:sz="4" w:space="0"/>
              <w:bottom w:val="single" w:color="auto" w:sz="4" w:space="0"/>
              <w:right w:val="single" w:color="auto" w:sz="4" w:space="0"/>
            </w:tcBorders>
            <w:vAlign w:val="center"/>
          </w:tcPr>
          <w:p w14:paraId="1BC18684">
            <w:pPr>
              <w:spacing w:line="3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代理服务费</w:t>
            </w:r>
          </w:p>
        </w:tc>
        <w:tc>
          <w:tcPr>
            <w:tcW w:w="6145" w:type="dxa"/>
            <w:tcBorders>
              <w:top w:val="single" w:color="auto" w:sz="4" w:space="0"/>
              <w:left w:val="single" w:color="auto" w:sz="4" w:space="0"/>
              <w:bottom w:val="single" w:color="auto" w:sz="4" w:space="0"/>
              <w:right w:val="single" w:color="auto" w:sz="4" w:space="0"/>
            </w:tcBorders>
            <w:vAlign w:val="center"/>
          </w:tcPr>
          <w:p w14:paraId="49B392ED">
            <w:pPr>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中标的投标人按《招标代理服务收费管理暂行办法》（计价格[2002]1980号）向招标代理机构交纳中标服务费。</w:t>
            </w:r>
          </w:p>
        </w:tc>
      </w:tr>
      <w:tr w14:paraId="7195404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653FDC2">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2720" w:type="dxa"/>
            <w:tcBorders>
              <w:top w:val="single" w:color="auto" w:sz="4" w:space="0"/>
              <w:left w:val="single" w:color="auto" w:sz="4" w:space="0"/>
              <w:bottom w:val="single" w:color="auto" w:sz="4" w:space="0"/>
              <w:right w:val="single" w:color="auto" w:sz="4" w:space="0"/>
            </w:tcBorders>
            <w:vAlign w:val="center"/>
          </w:tcPr>
          <w:p w14:paraId="2E187444">
            <w:pPr>
              <w:spacing w:line="38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低于成本价不正当竞争预防</w:t>
            </w:r>
          </w:p>
        </w:tc>
        <w:tc>
          <w:tcPr>
            <w:tcW w:w="6145" w:type="dxa"/>
            <w:tcBorders>
              <w:top w:val="single" w:color="auto" w:sz="4" w:space="0"/>
              <w:left w:val="single" w:color="auto" w:sz="4" w:space="0"/>
              <w:bottom w:val="single" w:color="auto" w:sz="4" w:space="0"/>
              <w:right w:val="single" w:color="auto" w:sz="4" w:space="0"/>
            </w:tcBorders>
            <w:vAlign w:val="center"/>
          </w:tcPr>
          <w:p w14:paraId="4EEAE94E">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根据“财政部87号令《政府采购货物服务招标投标管理办法》</w:t>
            </w:r>
          </w:p>
          <w:p w14:paraId="4A435A3C">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 售费用、管理费用、财务费用等成本构成事项详细陈述。</w:t>
            </w:r>
          </w:p>
          <w:p w14:paraId="2C8A1877">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0D4B02CB">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98BF38C">
            <w:pPr>
              <w:kinsoku/>
              <w:spacing w:line="360" w:lineRule="auto"/>
              <w:jc w:val="center"/>
              <w:rPr>
                <w:rFonts w:ascii="仿宋" w:hAnsi="仿宋" w:eastAsia="仿宋" w:cs="仿宋"/>
              </w:rPr>
            </w:pPr>
          </w:p>
          <w:p w14:paraId="10A3D521">
            <w:pPr>
              <w:kinsoku/>
              <w:spacing w:line="360" w:lineRule="auto"/>
              <w:jc w:val="center"/>
              <w:rPr>
                <w:rFonts w:ascii="仿宋" w:hAnsi="仿宋" w:eastAsia="仿宋" w:cs="仿宋"/>
              </w:rPr>
            </w:pPr>
          </w:p>
          <w:p w14:paraId="60EEF3B1">
            <w:pPr>
              <w:kinsoku/>
              <w:spacing w:line="360" w:lineRule="auto"/>
              <w:jc w:val="center"/>
              <w:rPr>
                <w:rFonts w:ascii="仿宋" w:hAnsi="仿宋" w:eastAsia="仿宋" w:cs="仿宋"/>
              </w:rPr>
            </w:pPr>
          </w:p>
          <w:p w14:paraId="1E7E48D9">
            <w:pPr>
              <w:kinsoku/>
              <w:spacing w:line="360" w:lineRule="auto"/>
              <w:jc w:val="center"/>
              <w:rPr>
                <w:rFonts w:ascii="仿宋" w:hAnsi="仿宋" w:eastAsia="仿宋" w:cs="仿宋"/>
              </w:rPr>
            </w:pPr>
          </w:p>
          <w:p w14:paraId="65F0C2E7">
            <w:pPr>
              <w:kinsoku/>
              <w:spacing w:line="360" w:lineRule="auto"/>
              <w:jc w:val="center"/>
              <w:rPr>
                <w:rFonts w:ascii="仿宋" w:hAnsi="仿宋" w:eastAsia="仿宋" w:cs="仿宋"/>
              </w:rPr>
            </w:pPr>
          </w:p>
          <w:p w14:paraId="72F5FD51">
            <w:pPr>
              <w:kinsoku/>
              <w:spacing w:line="360" w:lineRule="auto"/>
              <w:jc w:val="both"/>
              <w:rPr>
                <w:rFonts w:ascii="仿宋" w:hAnsi="仿宋" w:eastAsia="仿宋" w:cs="仿宋"/>
              </w:rPr>
            </w:pPr>
          </w:p>
          <w:p w14:paraId="3C71DEA5">
            <w:pPr>
              <w:kinsoku/>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spacing w:val="-8"/>
                <w:sz w:val="24"/>
                <w:szCs w:val="24"/>
                <w:lang w:val="en-US" w:eastAsia="zh-CN"/>
              </w:rPr>
              <w:t>39</w:t>
            </w:r>
          </w:p>
        </w:tc>
        <w:tc>
          <w:tcPr>
            <w:tcW w:w="2720" w:type="dxa"/>
            <w:tcBorders>
              <w:top w:val="single" w:color="auto" w:sz="4" w:space="0"/>
              <w:left w:val="single" w:color="auto" w:sz="4" w:space="0"/>
              <w:bottom w:val="single" w:color="auto" w:sz="4" w:space="0"/>
              <w:right w:val="single" w:color="auto" w:sz="4" w:space="0"/>
            </w:tcBorders>
            <w:vAlign w:val="top"/>
          </w:tcPr>
          <w:p w14:paraId="348A6AF4">
            <w:pPr>
              <w:kinsoku/>
              <w:spacing w:line="360" w:lineRule="auto"/>
              <w:rPr>
                <w:rFonts w:ascii="仿宋" w:hAnsi="仿宋" w:eastAsia="仿宋" w:cs="仿宋"/>
                <w:highlight w:val="none"/>
              </w:rPr>
            </w:pPr>
          </w:p>
          <w:p w14:paraId="1D31FB78">
            <w:pPr>
              <w:kinsoku/>
              <w:spacing w:line="360" w:lineRule="auto"/>
              <w:rPr>
                <w:rFonts w:ascii="仿宋" w:hAnsi="仿宋" w:eastAsia="仿宋" w:cs="仿宋"/>
                <w:highlight w:val="none"/>
              </w:rPr>
            </w:pPr>
          </w:p>
          <w:p w14:paraId="303C9655">
            <w:pPr>
              <w:kinsoku/>
              <w:spacing w:line="360" w:lineRule="auto"/>
              <w:rPr>
                <w:rFonts w:ascii="仿宋" w:hAnsi="仿宋" w:eastAsia="仿宋" w:cs="仿宋"/>
                <w:highlight w:val="none"/>
              </w:rPr>
            </w:pPr>
          </w:p>
          <w:p w14:paraId="5A65C0B1">
            <w:pPr>
              <w:kinsoku/>
              <w:spacing w:line="360" w:lineRule="auto"/>
              <w:rPr>
                <w:rFonts w:ascii="仿宋" w:hAnsi="仿宋" w:eastAsia="仿宋" w:cs="仿宋"/>
                <w:highlight w:val="none"/>
              </w:rPr>
            </w:pPr>
          </w:p>
          <w:p w14:paraId="398F88F1">
            <w:pPr>
              <w:kinsoku/>
              <w:spacing w:line="360" w:lineRule="auto"/>
              <w:rPr>
                <w:rFonts w:ascii="仿宋" w:hAnsi="仿宋" w:eastAsia="仿宋" w:cs="仿宋"/>
                <w:highlight w:val="none"/>
              </w:rPr>
            </w:pPr>
          </w:p>
          <w:p w14:paraId="729F9818">
            <w:pPr>
              <w:kinsoku/>
              <w:spacing w:line="360" w:lineRule="auto"/>
              <w:rPr>
                <w:rFonts w:ascii="仿宋" w:hAnsi="仿宋" w:eastAsia="仿宋" w:cs="仿宋"/>
                <w:highlight w:val="none"/>
              </w:rPr>
            </w:pPr>
          </w:p>
          <w:p w14:paraId="75BE30B5">
            <w:pPr>
              <w:kinsoku/>
              <w:spacing w:line="360" w:lineRule="auto"/>
              <w:rPr>
                <w:rFonts w:ascii="仿宋" w:hAnsi="仿宋" w:eastAsia="仿宋" w:cs="仿宋"/>
                <w:highlight w:val="none"/>
              </w:rPr>
            </w:pPr>
          </w:p>
          <w:p w14:paraId="75C1E901">
            <w:pPr>
              <w:kinsoku/>
              <w:spacing w:line="360" w:lineRule="auto"/>
              <w:rPr>
                <w:rFonts w:ascii="仿宋" w:hAnsi="仿宋" w:eastAsia="仿宋" w:cs="仿宋"/>
                <w:highlight w:val="none"/>
              </w:rPr>
            </w:pPr>
          </w:p>
          <w:p w14:paraId="5768342F">
            <w:pPr>
              <w:kinsoku/>
              <w:spacing w:line="360" w:lineRule="auto"/>
              <w:rPr>
                <w:rFonts w:ascii="仿宋" w:hAnsi="仿宋" w:eastAsia="仿宋" w:cs="仿宋"/>
                <w:highlight w:val="none"/>
              </w:rPr>
            </w:pPr>
          </w:p>
          <w:p w14:paraId="0DA4D233">
            <w:pPr>
              <w:kinsoku/>
              <w:spacing w:line="360" w:lineRule="auto"/>
              <w:rPr>
                <w:rFonts w:ascii="仿宋" w:hAnsi="仿宋" w:eastAsia="仿宋" w:cs="仿宋"/>
                <w:highlight w:val="none"/>
              </w:rPr>
            </w:pPr>
          </w:p>
          <w:p w14:paraId="0FC87931">
            <w:pPr>
              <w:kinsoku/>
              <w:spacing w:line="360" w:lineRule="auto"/>
              <w:rPr>
                <w:rFonts w:hint="default"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落实政府采购政策</w:t>
            </w:r>
          </w:p>
        </w:tc>
        <w:tc>
          <w:tcPr>
            <w:tcW w:w="6145" w:type="dxa"/>
            <w:tcBorders>
              <w:top w:val="single" w:color="auto" w:sz="4" w:space="0"/>
              <w:left w:val="single" w:color="auto" w:sz="4" w:space="0"/>
              <w:bottom w:val="single" w:color="auto" w:sz="4" w:space="0"/>
              <w:right w:val="single" w:color="auto" w:sz="4" w:space="0"/>
            </w:tcBorders>
            <w:vAlign w:val="top"/>
          </w:tcPr>
          <w:p w14:paraId="5DB93678">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支持中小企业发展，《政府采购促进中小企业发展管理办法》（财库[2020]46 号）：</w:t>
            </w:r>
          </w:p>
          <w:p w14:paraId="084F072F">
            <w:pPr>
              <w:spacing w:line="380" w:lineRule="exact"/>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lang w:eastAsia="zh-CN"/>
              </w:rPr>
              <w:t>□本项目专门面向中小企业采购，供应商为中小企业，不再执行价格评审优惠政策。</w:t>
            </w:r>
          </w:p>
          <w:p w14:paraId="7BD13231">
            <w:pPr>
              <w:spacing w:line="380" w:lineRule="exact"/>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lang w:eastAsia="zh-CN"/>
              </w:rPr>
              <w:t>☑非专门面向中小企业采购，给与符合规定的</w:t>
            </w:r>
            <w:r>
              <w:rPr>
                <w:rFonts w:hint="eastAsia" w:ascii="仿宋" w:hAnsi="仿宋" w:eastAsia="仿宋" w:cs="Times New Roman"/>
                <w:b/>
                <w:bCs/>
                <w:sz w:val="24"/>
                <w:szCs w:val="24"/>
                <w:highlight w:val="none"/>
                <w:lang w:val="en-US" w:eastAsia="zh-CN"/>
              </w:rPr>
              <w:t>中</w:t>
            </w:r>
            <w:r>
              <w:rPr>
                <w:rFonts w:hint="eastAsia" w:ascii="仿宋" w:hAnsi="仿宋" w:eastAsia="仿宋" w:cs="Times New Roman"/>
                <w:b/>
                <w:bCs/>
                <w:sz w:val="24"/>
                <w:szCs w:val="24"/>
                <w:highlight w:val="none"/>
                <w:lang w:eastAsia="zh-CN"/>
              </w:rPr>
              <w:t>小微企业、监狱企业或残疾人福利性单位的其报价扣除10%后参与评审。</w:t>
            </w:r>
          </w:p>
          <w:p w14:paraId="737C6E03">
            <w:pPr>
              <w:spacing w:line="38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eastAsia="zh-CN"/>
              </w:rPr>
              <w:t>注</w:t>
            </w:r>
            <w:r>
              <w:rPr>
                <w:rFonts w:hint="eastAsia" w:ascii="仿宋" w:hAnsi="仿宋" w:eastAsia="仿宋" w:cs="Times New Roman"/>
                <w:sz w:val="24"/>
                <w:szCs w:val="24"/>
                <w:highlight w:val="none"/>
                <w:lang w:val="en-US" w:eastAsia="zh-CN"/>
              </w:rPr>
              <w:t>：请根据要求提供有效的《中小企业声明函》，（监狱企业、残疾人福利性单位视同小型、微型企业）。</w:t>
            </w:r>
          </w:p>
          <w:p w14:paraId="15C40AA0">
            <w:pPr>
              <w:spacing w:line="38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6D3C3D7F">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2、超过200万元的货物和服务采购项目，预留该部分采购项目预算总额的30%以上专门面向中小企业采购，其中预留给小微企业的比例不低于60%。</w:t>
            </w:r>
          </w:p>
          <w:p w14:paraId="68C71C75">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3、超过400万元的工程采购项目中适宜由中小企业提供的，预留该部分采购项目预算总额的40%以上专门面向中小企业采购，其中预留给小微企业的比例不低于60%。</w:t>
            </w:r>
          </w:p>
          <w:p w14:paraId="13DC4A4E">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0B36D6">
            <w:pPr>
              <w:spacing w:line="380" w:lineRule="exact"/>
              <w:rPr>
                <w:rFonts w:hint="eastAsia" w:ascii="仿宋" w:hAnsi="仿宋" w:eastAsia="仿宋" w:cs="仿宋"/>
                <w:sz w:val="24"/>
                <w:szCs w:val="24"/>
                <w:highlight w:val="none"/>
                <w:lang w:val="en-US" w:eastAsia="zh-CN"/>
              </w:rPr>
            </w:pPr>
            <w:r>
              <w:rPr>
                <w:rFonts w:hint="eastAsia" w:ascii="仿宋" w:hAnsi="仿宋" w:eastAsia="仿宋" w:cs="Times New Roman"/>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spacing w:val="-3"/>
                <w:sz w:val="24"/>
                <w:szCs w:val="24"/>
                <w:highlight w:val="none"/>
              </w:rPr>
              <w:t>。</w:t>
            </w:r>
          </w:p>
        </w:tc>
      </w:tr>
    </w:tbl>
    <w:p w14:paraId="7917B8E7">
      <w:pPr>
        <w:spacing w:afterLines="50" w:line="440" w:lineRule="exact"/>
        <w:jc w:val="center"/>
        <w:rPr>
          <w:rFonts w:ascii="黑体" w:hAnsi="黑体" w:eastAsia="黑体"/>
          <w:sz w:val="28"/>
          <w:szCs w:val="28"/>
          <w:highlight w:val="none"/>
        </w:rPr>
      </w:pPr>
      <w:r>
        <w:rPr>
          <w:rFonts w:hint="eastAsia" w:ascii="黑体" w:hAnsi="黑体" w:eastAsia="黑体"/>
          <w:sz w:val="28"/>
          <w:szCs w:val="28"/>
          <w:highlight w:val="none"/>
        </w:rPr>
        <w:br w:type="page"/>
      </w:r>
    </w:p>
    <w:p w14:paraId="5342216B">
      <w:pPr>
        <w:spacing w:afterLines="50" w:line="440" w:lineRule="exact"/>
        <w:jc w:val="center"/>
        <w:outlineLvl w:val="1"/>
        <w:rPr>
          <w:rFonts w:hint="eastAsia" w:ascii="黑体" w:hAnsi="黑体" w:eastAsia="黑体"/>
          <w:sz w:val="28"/>
          <w:szCs w:val="28"/>
          <w:highlight w:val="none"/>
          <w:lang w:val="en-US" w:eastAsia="zh-CN"/>
        </w:rPr>
      </w:pPr>
      <w:bookmarkStart w:id="15" w:name="_Toc12882"/>
      <w:bookmarkStart w:id="16" w:name="_Toc28718"/>
      <w:r>
        <w:rPr>
          <w:rFonts w:hint="eastAsia" w:ascii="黑体" w:hAnsi="黑体" w:eastAsia="黑体"/>
          <w:sz w:val="28"/>
          <w:szCs w:val="28"/>
          <w:highlight w:val="none"/>
        </w:rPr>
        <w:t>投标人须知</w:t>
      </w:r>
      <w:r>
        <w:rPr>
          <w:rFonts w:hint="eastAsia" w:ascii="黑体" w:hAnsi="黑体" w:eastAsia="黑体"/>
          <w:sz w:val="28"/>
          <w:szCs w:val="28"/>
          <w:highlight w:val="none"/>
          <w:lang w:val="en-US" w:eastAsia="zh-CN"/>
        </w:rPr>
        <w:t>正文</w:t>
      </w:r>
      <w:bookmarkEnd w:id="15"/>
      <w:bookmarkEnd w:id="16"/>
    </w:p>
    <w:p w14:paraId="11FC439C">
      <w:pPr>
        <w:spacing w:line="440" w:lineRule="exact"/>
        <w:ind w:firstLine="560" w:firstLineChars="200"/>
        <w:outlineLvl w:val="2"/>
        <w:rPr>
          <w:rFonts w:ascii="楷体" w:hAnsi="楷体" w:eastAsia="楷体"/>
          <w:sz w:val="28"/>
          <w:szCs w:val="28"/>
          <w:highlight w:val="none"/>
        </w:rPr>
      </w:pPr>
      <w:bookmarkStart w:id="17" w:name="_Toc31140"/>
      <w:bookmarkStart w:id="18" w:name="_Toc494455650"/>
      <w:bookmarkStart w:id="19" w:name="_Toc32375"/>
      <w:r>
        <w:rPr>
          <w:rFonts w:ascii="楷体" w:hAnsi="楷体" w:eastAsia="楷体"/>
          <w:sz w:val="28"/>
          <w:szCs w:val="28"/>
          <w:highlight w:val="none"/>
        </w:rPr>
        <w:t>1</w:t>
      </w:r>
      <w:r>
        <w:rPr>
          <w:rFonts w:hint="eastAsia" w:ascii="楷体" w:hAnsi="楷体" w:eastAsia="楷体"/>
          <w:sz w:val="28"/>
          <w:szCs w:val="28"/>
          <w:highlight w:val="none"/>
        </w:rPr>
        <w:t>.招标依据以及原则</w:t>
      </w:r>
      <w:bookmarkEnd w:id="17"/>
      <w:bookmarkEnd w:id="18"/>
      <w:bookmarkEnd w:id="19"/>
    </w:p>
    <w:p w14:paraId="6CB77647">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w:t>
      </w:r>
      <w:r>
        <w:rPr>
          <w:rFonts w:hint="eastAsia" w:ascii="仿宋" w:hAnsi="仿宋" w:eastAsia="仿宋"/>
          <w:sz w:val="24"/>
          <w:szCs w:val="24"/>
          <w:highlight w:val="none"/>
        </w:rPr>
        <w:t>《中华人民共和国政府采购法》；</w:t>
      </w:r>
    </w:p>
    <w:p w14:paraId="2CE92D02">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1.2</w:t>
      </w:r>
      <w:r>
        <w:rPr>
          <w:rFonts w:hint="eastAsia" w:ascii="仿宋" w:hAnsi="仿宋" w:eastAsia="仿宋"/>
          <w:sz w:val="24"/>
          <w:szCs w:val="24"/>
          <w:highlight w:val="none"/>
        </w:rPr>
        <w:t>《中华人民共和国合同法》；</w:t>
      </w:r>
    </w:p>
    <w:p w14:paraId="0C047EA2">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《中华人民共和国政府采购法实施条例》；</w:t>
      </w:r>
    </w:p>
    <w:p w14:paraId="7ECF4FD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1.4</w:t>
      </w:r>
      <w:r>
        <w:rPr>
          <w:rFonts w:hint="eastAsia" w:ascii="仿宋" w:hAnsi="仿宋" w:eastAsia="仿宋"/>
          <w:sz w:val="24"/>
          <w:szCs w:val="24"/>
          <w:highlight w:val="none"/>
        </w:rPr>
        <w:t>《政府采购货物和服务招标投标管理办法》；</w:t>
      </w:r>
    </w:p>
    <w:p w14:paraId="7A64F4E9">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《政府采购供应商投诉处理办法》；</w:t>
      </w:r>
    </w:p>
    <w:p w14:paraId="36046756">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6其他有关法律、行政法规以及省市规范性文件规定。</w:t>
      </w:r>
    </w:p>
    <w:p w14:paraId="5891E740">
      <w:pPr>
        <w:numPr>
          <w:ilvl w:val="0"/>
          <w:numId w:val="0"/>
        </w:numPr>
        <w:spacing w:line="440" w:lineRule="exact"/>
        <w:ind w:firstLine="560" w:firstLineChars="200"/>
        <w:outlineLvl w:val="2"/>
        <w:rPr>
          <w:rFonts w:hint="eastAsia" w:ascii="楷体" w:hAnsi="楷体" w:eastAsia="楷体" w:cs="Times New Roman"/>
          <w:sz w:val="28"/>
          <w:szCs w:val="28"/>
          <w:lang w:eastAsia="zh-CN"/>
        </w:rPr>
      </w:pPr>
      <w:bookmarkStart w:id="20" w:name="_Toc494455651"/>
      <w:bookmarkStart w:id="21" w:name="_Toc25275"/>
      <w:bookmarkStart w:id="22" w:name="_Toc27952"/>
      <w:r>
        <w:rPr>
          <w:rFonts w:hint="eastAsia" w:ascii="楷体" w:hAnsi="楷体" w:eastAsia="楷体"/>
          <w:sz w:val="28"/>
          <w:szCs w:val="28"/>
          <w:highlight w:val="none"/>
          <w:lang w:val="en-US" w:eastAsia="zh-CN"/>
        </w:rPr>
        <w:t>2.</w:t>
      </w:r>
      <w:r>
        <w:rPr>
          <w:rFonts w:hint="eastAsia" w:ascii="楷体" w:hAnsi="楷体" w:eastAsia="楷体"/>
          <w:sz w:val="28"/>
          <w:szCs w:val="28"/>
          <w:highlight w:val="none"/>
        </w:rPr>
        <w:t>合格的投标人</w:t>
      </w:r>
      <w:bookmarkEnd w:id="20"/>
      <w:bookmarkEnd w:id="21"/>
      <w:r>
        <w:rPr>
          <w:rFonts w:hint="eastAsia" w:ascii="楷体" w:hAnsi="楷体" w:eastAsia="楷体" w:cs="Times New Roman"/>
          <w:sz w:val="28"/>
          <w:szCs w:val="28"/>
          <w:lang w:eastAsia="zh-CN"/>
        </w:rPr>
        <w:t>（实质性要求）</w:t>
      </w:r>
      <w:bookmarkEnd w:id="22"/>
    </w:p>
    <w:p w14:paraId="108CD46D">
      <w:pPr>
        <w:numPr>
          <w:ilvl w:val="0"/>
          <w:numId w:val="0"/>
        </w:numPr>
        <w:spacing w:line="440" w:lineRule="exact"/>
        <w:ind w:firstLine="480" w:firstLineChars="200"/>
        <w:outlineLvl w:val="2"/>
        <w:rPr>
          <w:rFonts w:ascii="仿宋" w:hAnsi="仿宋" w:eastAsia="仿宋"/>
          <w:sz w:val="24"/>
          <w:szCs w:val="24"/>
          <w:highlight w:val="none"/>
        </w:rPr>
      </w:pPr>
      <w:bookmarkStart w:id="23" w:name="_Toc9273"/>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符合《中华人民共和国政府采购法》第二十二条规定的条件；</w:t>
      </w:r>
      <w:bookmarkEnd w:id="23"/>
    </w:p>
    <w:p w14:paraId="534F551B">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符合本招标文件规定的资格要求，且按照要求提供相关证明材料；</w:t>
      </w:r>
    </w:p>
    <w:p w14:paraId="34F933AF">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.3单位负责人为同一个人的两个以及两个以上法人，母公司、全资子公司以及其控股公司或者存在管理关系的不同单位，都不得在同一包或者未划分包的同一招标项目同时投标；</w:t>
      </w:r>
    </w:p>
    <w:p w14:paraId="7DCF05F8">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4投标人须知前附表规定接受联合体投标的，应符合以下规定：</w:t>
      </w:r>
    </w:p>
    <w:p w14:paraId="46B1550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.1</w:t>
      </w:r>
      <w:r>
        <w:rPr>
          <w:rFonts w:hint="eastAsia" w:ascii="仿宋" w:hAnsi="仿宋" w:eastAsia="仿宋"/>
          <w:sz w:val="24"/>
          <w:szCs w:val="24"/>
          <w:highlight w:val="none"/>
        </w:rPr>
        <w:t>联合体各方应按照招标文件提供的格式签订联合体协议书，明确联合体牵头人和各方权利义务；</w:t>
      </w:r>
    </w:p>
    <w:p w14:paraId="012E0B38">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联合体各方均应当符合《政府采购法》第二十二条第一款规定的条件；</w:t>
      </w:r>
    </w:p>
    <w:p w14:paraId="2D8D343A">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.3</w:t>
      </w:r>
      <w:r>
        <w:rPr>
          <w:rFonts w:hint="eastAsia" w:ascii="仿宋" w:hAnsi="仿宋" w:eastAsia="仿宋"/>
          <w:sz w:val="24"/>
          <w:szCs w:val="24"/>
          <w:highlight w:val="none"/>
        </w:rPr>
        <w:t>联合体中有同类资质的投标人按照联合体分工承担相同工作的，应当按照资质等级较低的投标人确定资质等级。</w:t>
      </w:r>
    </w:p>
    <w:p w14:paraId="54D6D99D">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.4</w:t>
      </w:r>
      <w:r>
        <w:rPr>
          <w:rFonts w:hint="eastAsia" w:ascii="仿宋" w:hAnsi="仿宋" w:eastAsia="仿宋"/>
          <w:sz w:val="24"/>
          <w:szCs w:val="24"/>
          <w:highlight w:val="none"/>
        </w:rPr>
        <w:t>以联合体形式参加政府采购活动的，联合体各方不得再单独参加或者与其他投标人另外组成联合体参加同一合同项下的政府采购活动。</w:t>
      </w:r>
    </w:p>
    <w:p w14:paraId="56A47A99">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.5</w:t>
      </w:r>
      <w:r>
        <w:rPr>
          <w:rFonts w:hint="eastAsia" w:ascii="仿宋" w:hAnsi="仿宋" w:eastAsia="仿宋"/>
          <w:sz w:val="24"/>
          <w:szCs w:val="24"/>
          <w:highlight w:val="none"/>
        </w:rPr>
        <w:t>联合体各方应当共同与</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签订采购合同，就合同约定的事项对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承担连带责任；</w:t>
      </w:r>
    </w:p>
    <w:p w14:paraId="74382AEF">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w:t>
      </w:r>
      <w:r>
        <w:rPr>
          <w:rFonts w:ascii="仿宋" w:hAnsi="仿宋" w:eastAsia="仿宋"/>
          <w:sz w:val="24"/>
          <w:szCs w:val="24"/>
          <w:highlight w:val="none"/>
        </w:rPr>
        <w:t>.6</w:t>
      </w:r>
      <w:r>
        <w:rPr>
          <w:rFonts w:hint="eastAsia" w:ascii="仿宋" w:hAnsi="仿宋" w:eastAsia="仿宋"/>
          <w:sz w:val="24"/>
          <w:szCs w:val="24"/>
          <w:highlight w:val="none"/>
        </w:rPr>
        <w:t>鼓励大中型企业和其他自然人、法人或者其他组织与小型、微型企业组成联合体投标，但联合体各方均应符合上述规定。</w:t>
      </w:r>
    </w:p>
    <w:p w14:paraId="1B66C9C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5除</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拟采购进口产品通过财政部门审核外，投标人不得提供直接进口或者委托进口产品（包括已进入中国境内的进口产品）。</w:t>
      </w:r>
    </w:p>
    <w:p w14:paraId="68B883D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6为本项目提供整体设计、规范编制或者项目管理、监理、检测等服务的投标人，不得再参加本项目的招标活动。</w:t>
      </w:r>
    </w:p>
    <w:p w14:paraId="5529EEA8">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7</w:t>
      </w:r>
      <w:r>
        <w:rPr>
          <w:rFonts w:ascii="仿宋" w:hAnsi="仿宋" w:eastAsia="仿宋"/>
          <w:sz w:val="24"/>
          <w:szCs w:val="24"/>
          <w:highlight w:val="none"/>
        </w:rPr>
        <w:t>采购代理机构及其分支机构不得在所代理的采购项目中投标或者代理投标，不得为所代理的采购项目的投标人参加本项目提供投标咨询。</w:t>
      </w:r>
    </w:p>
    <w:p w14:paraId="6FE5DA53">
      <w:pPr>
        <w:spacing w:before="79" w:line="360" w:lineRule="auto"/>
        <w:ind w:right="65" w:firstLine="477"/>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2.8</w:t>
      </w:r>
      <w:r>
        <w:rPr>
          <w:rFonts w:hint="eastAsia" w:ascii="仿宋" w:hAnsi="仿宋" w:eastAsia="仿宋" w:cs="仿宋"/>
          <w:spacing w:val="-1"/>
          <w:sz w:val="24"/>
          <w:szCs w:val="24"/>
          <w:highlight w:val="none"/>
        </w:rPr>
        <w:t>投标人参加政府采购活动近三年内无违法违规记录和法律诉讼纠纷，需提供书面声明</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14:paraId="6298E55E">
      <w:pPr>
        <w:spacing w:line="440" w:lineRule="exact"/>
        <w:ind w:firstLine="476" w:firstLineChars="200"/>
        <w:rPr>
          <w:rFonts w:ascii="仿宋" w:hAnsi="仿宋" w:eastAsia="仿宋"/>
          <w:sz w:val="24"/>
          <w:szCs w:val="24"/>
          <w:highlight w:val="none"/>
        </w:rPr>
      </w:pPr>
      <w:r>
        <w:rPr>
          <w:rFonts w:hint="eastAsia" w:ascii="仿宋" w:hAnsi="仿宋" w:eastAsia="仿宋" w:cs="仿宋"/>
          <w:spacing w:val="-1"/>
          <w:sz w:val="24"/>
          <w:szCs w:val="24"/>
          <w:highlight w:val="none"/>
          <w:lang w:val="en-US" w:eastAsia="zh-CN"/>
        </w:rPr>
        <w:t>2.9</w:t>
      </w:r>
      <w:r>
        <w:rPr>
          <w:rFonts w:hint="eastAsia" w:ascii="仿宋" w:hAnsi="仿宋" w:eastAsia="仿宋" w:cs="仿宋"/>
          <w:spacing w:val="-1"/>
          <w:sz w:val="24"/>
          <w:szCs w:val="24"/>
          <w:highlight w:val="none"/>
        </w:rPr>
        <w:t>为保证政府采购活动公平、公正、诚实信用，投标人提供的材料及技术参数应真实有效，响应文件内提供书面诚信投标承诺书</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格式自拟）</w:t>
      </w:r>
      <w:r>
        <w:rPr>
          <w:rFonts w:hint="eastAsia" w:ascii="仿宋" w:hAnsi="仿宋" w:eastAsia="仿宋" w:cs="仿宋"/>
          <w:spacing w:val="-1"/>
          <w:sz w:val="24"/>
          <w:szCs w:val="24"/>
          <w:highlight w:val="none"/>
        </w:rPr>
        <w:t>。</w:t>
      </w:r>
    </w:p>
    <w:p w14:paraId="42810BC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投标人提供的证明材料内容必须真实可靠</w:t>
      </w:r>
      <w:r>
        <w:rPr>
          <w:rFonts w:hint="eastAsia" w:ascii="仿宋" w:hAnsi="仿宋" w:eastAsia="仿宋"/>
          <w:sz w:val="24"/>
          <w:szCs w:val="24"/>
          <w:highlight w:val="none"/>
          <w:lang w:eastAsia="zh-CN"/>
        </w:rPr>
        <w:t>，</w:t>
      </w:r>
      <w:r>
        <w:rPr>
          <w:rFonts w:hint="eastAsia" w:ascii="仿宋" w:hAnsi="仿宋" w:eastAsia="仿宋"/>
          <w:sz w:val="24"/>
          <w:szCs w:val="24"/>
          <w:highlight w:val="none"/>
        </w:rPr>
        <w:t>符合上述条件的投标人即为合格投标人，具有参与公开招标的资格。</w:t>
      </w:r>
    </w:p>
    <w:p w14:paraId="53D3408D">
      <w:pPr>
        <w:spacing w:line="440" w:lineRule="exact"/>
        <w:ind w:firstLine="560" w:firstLineChars="200"/>
        <w:outlineLvl w:val="2"/>
        <w:rPr>
          <w:rFonts w:ascii="楷体" w:hAnsi="楷体" w:eastAsia="楷体"/>
          <w:sz w:val="28"/>
          <w:szCs w:val="28"/>
          <w:highlight w:val="none"/>
        </w:rPr>
      </w:pPr>
      <w:bookmarkStart w:id="24" w:name="_Toc494455652"/>
      <w:bookmarkStart w:id="25" w:name="_Toc2751"/>
      <w:bookmarkStart w:id="26" w:name="_Toc17836"/>
      <w:r>
        <w:rPr>
          <w:rFonts w:ascii="楷体" w:hAnsi="楷体" w:eastAsia="楷体"/>
          <w:sz w:val="28"/>
          <w:szCs w:val="28"/>
          <w:highlight w:val="none"/>
        </w:rPr>
        <w:t>3</w:t>
      </w:r>
      <w:r>
        <w:rPr>
          <w:rFonts w:hint="eastAsia" w:ascii="楷体" w:hAnsi="楷体" w:eastAsia="楷体"/>
          <w:sz w:val="28"/>
          <w:szCs w:val="28"/>
          <w:highlight w:val="none"/>
        </w:rPr>
        <w:t>.保密</w:t>
      </w:r>
      <w:bookmarkEnd w:id="24"/>
      <w:bookmarkEnd w:id="25"/>
      <w:bookmarkEnd w:id="26"/>
    </w:p>
    <w:p w14:paraId="54A4AED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参与招标投标活动的当事人应对招标文件和投标文件中的商业和技术等秘密保密，违者应对由此造成的后果承担法律责任。</w:t>
      </w:r>
    </w:p>
    <w:p w14:paraId="6B3513EB">
      <w:pPr>
        <w:spacing w:line="440" w:lineRule="exact"/>
        <w:ind w:firstLine="560" w:firstLineChars="200"/>
        <w:outlineLvl w:val="2"/>
        <w:rPr>
          <w:rFonts w:ascii="楷体" w:hAnsi="楷体" w:eastAsia="楷体"/>
          <w:sz w:val="28"/>
          <w:szCs w:val="28"/>
          <w:highlight w:val="none"/>
        </w:rPr>
      </w:pPr>
      <w:bookmarkStart w:id="27" w:name="_Toc23836"/>
      <w:bookmarkStart w:id="28" w:name="_Toc494455653"/>
      <w:bookmarkStart w:id="29" w:name="_Toc18314"/>
      <w:r>
        <w:rPr>
          <w:rFonts w:ascii="楷体" w:hAnsi="楷体" w:eastAsia="楷体"/>
          <w:sz w:val="28"/>
          <w:szCs w:val="28"/>
          <w:highlight w:val="none"/>
        </w:rPr>
        <w:t>4.</w:t>
      </w:r>
      <w:r>
        <w:rPr>
          <w:rFonts w:hint="eastAsia" w:ascii="楷体" w:hAnsi="楷体" w:eastAsia="楷体"/>
          <w:sz w:val="28"/>
          <w:szCs w:val="28"/>
          <w:highlight w:val="none"/>
        </w:rPr>
        <w:t>语言文字、计量单位、时间单位、投标有效期以及投标费用</w:t>
      </w:r>
      <w:bookmarkEnd w:id="27"/>
      <w:bookmarkEnd w:id="28"/>
      <w:bookmarkEnd w:id="29"/>
    </w:p>
    <w:p w14:paraId="0067116B">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1语言文字</w:t>
      </w:r>
    </w:p>
    <w:p w14:paraId="5A4754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14:paraId="6D8ED884">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4.2</w:t>
      </w:r>
      <w:r>
        <w:rPr>
          <w:rFonts w:hint="eastAsia" w:ascii="仿宋" w:hAnsi="仿宋" w:eastAsia="仿宋"/>
          <w:sz w:val="24"/>
          <w:szCs w:val="24"/>
          <w:highlight w:val="none"/>
        </w:rPr>
        <w:t>计量单位</w:t>
      </w:r>
    </w:p>
    <w:p w14:paraId="37A07F2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除招标文件另有规定外，计量均应采用中华人民共和国法定计量单位；所有报价一律使用人民币，货币单位为“元”。</w:t>
      </w:r>
    </w:p>
    <w:p w14:paraId="01A35C44">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4.3</w:t>
      </w:r>
      <w:r>
        <w:rPr>
          <w:rFonts w:hint="eastAsia" w:ascii="仿宋" w:hAnsi="仿宋" w:eastAsia="仿宋"/>
          <w:sz w:val="24"/>
          <w:szCs w:val="24"/>
          <w:highlight w:val="none"/>
        </w:rPr>
        <w:t>时间单位</w:t>
      </w:r>
    </w:p>
    <w:p w14:paraId="6A03CBF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除招标文件中另有规定外，招标文件所使用的时间单位“天”、“日”均指日历天，时、分均为北京时间。</w:t>
      </w:r>
    </w:p>
    <w:p w14:paraId="67C976F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4投标有效期</w:t>
      </w:r>
    </w:p>
    <w:p w14:paraId="649776EB">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4.4.1</w:t>
      </w:r>
      <w:r>
        <w:rPr>
          <w:rFonts w:hint="eastAsia" w:ascii="仿宋" w:hAnsi="仿宋" w:eastAsia="仿宋"/>
          <w:sz w:val="24"/>
          <w:szCs w:val="24"/>
          <w:highlight w:val="none"/>
        </w:rPr>
        <w:t>在投标人须知前附表规定的投标有效期内，投标文件以及其补充、承诺等部分均保持有效。</w:t>
      </w:r>
    </w:p>
    <w:p w14:paraId="6332958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4.4.2</w:t>
      </w:r>
      <w:r>
        <w:rPr>
          <w:rFonts w:hint="eastAsia" w:ascii="仿宋" w:hAnsi="仿宋" w:eastAsia="仿宋"/>
          <w:sz w:val="24"/>
          <w:szCs w:val="24"/>
          <w:highlight w:val="none"/>
        </w:rPr>
        <w:t>在招标文件规定的投标文件有效期满之前，如果出现特殊情况，</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20E205B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4.4.3</w:t>
      </w:r>
      <w:r>
        <w:rPr>
          <w:rFonts w:ascii="仿宋" w:hAnsi="仿宋" w:eastAsia="仿宋"/>
          <w:sz w:val="24"/>
          <w:szCs w:val="24"/>
          <w:highlight w:val="none"/>
        </w:rPr>
        <w:t>投标有效期内投标人撤销投标文件的，</w:t>
      </w:r>
      <w:r>
        <w:rPr>
          <w:rFonts w:hint="eastAsia" w:ascii="仿宋" w:hAnsi="仿宋" w:eastAsia="仿宋"/>
          <w:sz w:val="24"/>
          <w:szCs w:val="24"/>
          <w:highlight w:val="none"/>
          <w:lang w:eastAsia="zh-CN"/>
        </w:rPr>
        <w:t>招标人</w:t>
      </w:r>
      <w:r>
        <w:rPr>
          <w:rFonts w:ascii="仿宋" w:hAnsi="仿宋" w:eastAsia="仿宋"/>
          <w:sz w:val="24"/>
          <w:szCs w:val="24"/>
          <w:highlight w:val="none"/>
        </w:rPr>
        <w:t>或者采购代理机构可以不退还投标保证金。</w:t>
      </w:r>
    </w:p>
    <w:p w14:paraId="31F8A04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4.5投标费用</w:t>
      </w:r>
    </w:p>
    <w:p w14:paraId="0C9979C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投标人应自行承担其准备和参加投标活动发生的所有费用。</w:t>
      </w:r>
    </w:p>
    <w:p w14:paraId="5A757C56">
      <w:pPr>
        <w:spacing w:line="440" w:lineRule="exact"/>
        <w:ind w:firstLine="560" w:firstLineChars="200"/>
        <w:outlineLvl w:val="2"/>
        <w:rPr>
          <w:rFonts w:ascii="楷体" w:hAnsi="楷体" w:eastAsia="楷体"/>
          <w:sz w:val="28"/>
          <w:szCs w:val="28"/>
          <w:highlight w:val="none"/>
        </w:rPr>
      </w:pPr>
      <w:bookmarkStart w:id="30" w:name="_Toc29988"/>
      <w:bookmarkStart w:id="31" w:name="_Toc5777"/>
      <w:bookmarkStart w:id="32" w:name="_Toc494455654"/>
      <w:r>
        <w:rPr>
          <w:rFonts w:ascii="楷体" w:hAnsi="楷体" w:eastAsia="楷体"/>
          <w:sz w:val="28"/>
          <w:szCs w:val="28"/>
          <w:highlight w:val="none"/>
        </w:rPr>
        <w:t>5.</w:t>
      </w:r>
      <w:r>
        <w:rPr>
          <w:rFonts w:hint="eastAsia" w:ascii="楷体" w:hAnsi="楷体" w:eastAsia="楷体"/>
          <w:sz w:val="28"/>
          <w:szCs w:val="28"/>
          <w:highlight w:val="none"/>
        </w:rPr>
        <w:t>踏勘现场</w:t>
      </w:r>
      <w:bookmarkEnd w:id="30"/>
      <w:bookmarkEnd w:id="31"/>
      <w:bookmarkEnd w:id="32"/>
    </w:p>
    <w:p w14:paraId="6963F107">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5.1</w:t>
      </w:r>
      <w:r>
        <w:rPr>
          <w:rFonts w:hint="eastAsia" w:ascii="仿宋" w:hAnsi="仿宋" w:eastAsia="仿宋"/>
          <w:sz w:val="24"/>
          <w:szCs w:val="24"/>
          <w:highlight w:val="none"/>
        </w:rPr>
        <w:t>投标人须知前附表规定组织踏勘现场的，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必须按照规定时间、地点组织投标人踏勘项目现场，以便投标人获取有关编制投标文件和签署合同所涉及现场的资料。投标人承担踏勘现场所发生的自身费用。</w:t>
      </w:r>
    </w:p>
    <w:p w14:paraId="208A4640">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5.2</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向投标人提供的有关现场的资料和数据，是</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现有的能使投标人利用的资料，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对投标人由此而做出的推论、理解和结论不负责任。</w:t>
      </w:r>
    </w:p>
    <w:p w14:paraId="16A1999D">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5.3</w:t>
      </w:r>
      <w:r>
        <w:rPr>
          <w:rFonts w:hint="eastAsia" w:ascii="仿宋" w:hAnsi="仿宋" w:eastAsia="仿宋"/>
          <w:sz w:val="24"/>
          <w:szCs w:val="24"/>
          <w:highlight w:val="none"/>
        </w:rPr>
        <w:t>投标人经过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允许，可以进入项目现场踏勘，但不得因此使</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承担有关责任和蒙受损失。除</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原因外，投标人应对踏勘现场而造成的死亡、人身伤害、财产损失、损害以及其它任何损失、损害和引起的费用和开支承担责任。</w:t>
      </w:r>
    </w:p>
    <w:p w14:paraId="62FC82BB">
      <w:pPr>
        <w:spacing w:line="440" w:lineRule="exact"/>
        <w:ind w:firstLine="560" w:firstLineChars="200"/>
        <w:outlineLvl w:val="2"/>
        <w:rPr>
          <w:rFonts w:ascii="楷体" w:hAnsi="楷体" w:eastAsia="楷体"/>
          <w:sz w:val="28"/>
          <w:szCs w:val="28"/>
          <w:highlight w:val="none"/>
        </w:rPr>
      </w:pPr>
      <w:bookmarkStart w:id="33" w:name="_Toc23801"/>
      <w:bookmarkStart w:id="34" w:name="_Toc28022"/>
      <w:bookmarkStart w:id="35" w:name="_Toc494455655"/>
      <w:r>
        <w:rPr>
          <w:rFonts w:ascii="楷体" w:hAnsi="楷体" w:eastAsia="楷体"/>
          <w:sz w:val="28"/>
          <w:szCs w:val="28"/>
          <w:highlight w:val="none"/>
        </w:rPr>
        <w:t>6</w:t>
      </w:r>
      <w:r>
        <w:rPr>
          <w:rFonts w:hint="eastAsia" w:ascii="楷体" w:hAnsi="楷体" w:eastAsia="楷体"/>
          <w:sz w:val="28"/>
          <w:szCs w:val="28"/>
          <w:highlight w:val="none"/>
        </w:rPr>
        <w:t>.询问</w:t>
      </w:r>
      <w:bookmarkEnd w:id="33"/>
      <w:bookmarkEnd w:id="34"/>
      <w:bookmarkEnd w:id="35"/>
    </w:p>
    <w:p w14:paraId="4A2C27AC">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6.1</w:t>
      </w:r>
      <w:r>
        <w:rPr>
          <w:rFonts w:hint="eastAsia" w:ascii="仿宋" w:hAnsi="仿宋" w:eastAsia="仿宋"/>
          <w:sz w:val="24"/>
          <w:szCs w:val="24"/>
          <w:highlight w:val="none"/>
        </w:rPr>
        <w:t>投标人对招标投标活动事项有疑问的，可以向采购代理机构提出询问；采购代理机构应当及时作出答复，但答复的内容不得涉及商业秘密。</w:t>
      </w:r>
    </w:p>
    <w:p w14:paraId="148E5E5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w:t>
      </w:r>
      <w:r>
        <w:rPr>
          <w:rFonts w:ascii="仿宋" w:hAnsi="仿宋" w:eastAsia="仿宋"/>
          <w:sz w:val="24"/>
          <w:szCs w:val="24"/>
          <w:highlight w:val="none"/>
        </w:rPr>
        <w:t>2询问及答复既可以采取书面形式，也可以采取电话、面谈等口头方式。</w:t>
      </w:r>
    </w:p>
    <w:p w14:paraId="4A23D53E">
      <w:pPr>
        <w:spacing w:line="440" w:lineRule="exact"/>
        <w:ind w:firstLine="560" w:firstLineChars="200"/>
        <w:outlineLvl w:val="2"/>
        <w:rPr>
          <w:rFonts w:ascii="楷体" w:hAnsi="楷体" w:eastAsia="楷体"/>
          <w:sz w:val="28"/>
          <w:szCs w:val="28"/>
          <w:highlight w:val="none"/>
        </w:rPr>
      </w:pPr>
      <w:bookmarkStart w:id="36" w:name="_Toc24649"/>
      <w:bookmarkStart w:id="37" w:name="_Toc494455656"/>
      <w:bookmarkStart w:id="38" w:name="_Toc29919"/>
      <w:r>
        <w:rPr>
          <w:rFonts w:ascii="楷体" w:hAnsi="楷体" w:eastAsia="楷体"/>
          <w:sz w:val="28"/>
          <w:szCs w:val="28"/>
          <w:highlight w:val="none"/>
        </w:rPr>
        <w:t>7.</w:t>
      </w:r>
      <w:r>
        <w:rPr>
          <w:rFonts w:hint="eastAsia" w:ascii="楷体" w:hAnsi="楷体" w:eastAsia="楷体"/>
          <w:sz w:val="28"/>
          <w:szCs w:val="28"/>
          <w:highlight w:val="none"/>
        </w:rPr>
        <w:t>偏离</w:t>
      </w:r>
      <w:bookmarkEnd w:id="36"/>
      <w:bookmarkEnd w:id="37"/>
      <w:bookmarkEnd w:id="38"/>
    </w:p>
    <w:p w14:paraId="73B02D9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允许投标文件偏离招标文件某些非实质性要求的，偏离应当符合招标文件规定的偏离范围和幅度。</w:t>
      </w:r>
    </w:p>
    <w:p w14:paraId="4894C197">
      <w:pPr>
        <w:spacing w:line="440" w:lineRule="exact"/>
        <w:ind w:firstLine="560" w:firstLineChars="200"/>
        <w:outlineLvl w:val="2"/>
        <w:rPr>
          <w:rFonts w:ascii="楷体" w:hAnsi="楷体" w:eastAsia="楷体"/>
          <w:sz w:val="28"/>
          <w:szCs w:val="28"/>
          <w:highlight w:val="none"/>
        </w:rPr>
      </w:pPr>
      <w:bookmarkStart w:id="39" w:name="_Toc5882"/>
      <w:bookmarkStart w:id="40" w:name="_Toc494455657"/>
      <w:bookmarkStart w:id="41" w:name="_Toc24941"/>
      <w:r>
        <w:rPr>
          <w:rFonts w:ascii="楷体" w:hAnsi="楷体" w:eastAsia="楷体"/>
          <w:sz w:val="28"/>
          <w:szCs w:val="28"/>
          <w:highlight w:val="none"/>
        </w:rPr>
        <w:t>8</w:t>
      </w:r>
      <w:r>
        <w:rPr>
          <w:rFonts w:hint="eastAsia" w:ascii="楷体" w:hAnsi="楷体" w:eastAsia="楷体"/>
          <w:sz w:val="28"/>
          <w:szCs w:val="28"/>
          <w:highlight w:val="none"/>
        </w:rPr>
        <w:t>.履约担保</w:t>
      </w:r>
      <w:bookmarkEnd w:id="39"/>
      <w:bookmarkEnd w:id="40"/>
      <w:bookmarkEnd w:id="41"/>
    </w:p>
    <w:p w14:paraId="7844EFB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8.1</w:t>
      </w:r>
      <w:r>
        <w:rPr>
          <w:rFonts w:hint="eastAsia" w:ascii="仿宋" w:hAnsi="仿宋" w:eastAsia="仿宋"/>
          <w:sz w:val="24"/>
          <w:szCs w:val="24"/>
          <w:highlight w:val="none"/>
        </w:rPr>
        <w:t>在签订合同前，中标人应按照有关规定或者事先经过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书面认可的履约担保要求向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提交履约担保。除另有规定外，履约担保金额不超过中标合同金额的</w:t>
      </w:r>
      <w:r>
        <w:rPr>
          <w:rFonts w:ascii="仿宋" w:hAnsi="仿宋" w:eastAsia="仿宋"/>
          <w:sz w:val="24"/>
          <w:szCs w:val="24"/>
          <w:highlight w:val="none"/>
        </w:rPr>
        <w:t>10%</w:t>
      </w:r>
      <w:r>
        <w:rPr>
          <w:rFonts w:hint="eastAsia" w:ascii="仿宋" w:hAnsi="仿宋" w:eastAsia="仿宋"/>
          <w:sz w:val="24"/>
          <w:szCs w:val="24"/>
          <w:highlight w:val="none"/>
        </w:rPr>
        <w:t>。</w:t>
      </w:r>
    </w:p>
    <w:p w14:paraId="6E9CED2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8.2</w:t>
      </w:r>
      <w:r>
        <w:rPr>
          <w:rFonts w:hint="eastAsia" w:ascii="仿宋" w:hAnsi="仿宋" w:eastAsia="仿宋"/>
          <w:sz w:val="24"/>
          <w:szCs w:val="24"/>
          <w:highlight w:val="none"/>
        </w:rPr>
        <w:t>中标人未按照要求提交履约担保的，视为放弃中标，其投标保证金不予退还，给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造成的损失超过投标保证金的，中标人应当对超过部分予以赔偿。</w:t>
      </w:r>
    </w:p>
    <w:p w14:paraId="1EEA9187">
      <w:pPr>
        <w:spacing w:line="440" w:lineRule="exact"/>
        <w:ind w:firstLine="560" w:firstLineChars="200"/>
        <w:outlineLvl w:val="2"/>
        <w:rPr>
          <w:rFonts w:ascii="楷体" w:hAnsi="楷体" w:eastAsia="楷体"/>
          <w:sz w:val="28"/>
          <w:szCs w:val="28"/>
          <w:highlight w:val="none"/>
        </w:rPr>
      </w:pPr>
      <w:bookmarkStart w:id="42" w:name="_Toc9303"/>
      <w:bookmarkStart w:id="43" w:name="_Toc22454"/>
      <w:bookmarkStart w:id="44" w:name="_Toc494455658"/>
      <w:r>
        <w:rPr>
          <w:rFonts w:ascii="楷体" w:hAnsi="楷体" w:eastAsia="楷体"/>
          <w:sz w:val="28"/>
          <w:szCs w:val="28"/>
          <w:highlight w:val="none"/>
        </w:rPr>
        <w:t>9</w:t>
      </w:r>
      <w:r>
        <w:rPr>
          <w:rFonts w:hint="eastAsia" w:ascii="楷体" w:hAnsi="楷体" w:eastAsia="楷体"/>
          <w:sz w:val="28"/>
          <w:szCs w:val="28"/>
          <w:highlight w:val="none"/>
        </w:rPr>
        <w:t>.采购代理服务费</w:t>
      </w:r>
      <w:bookmarkEnd w:id="42"/>
      <w:bookmarkEnd w:id="43"/>
      <w:bookmarkEnd w:id="44"/>
    </w:p>
    <w:p w14:paraId="7AD2C9B6">
      <w:pPr>
        <w:spacing w:line="360" w:lineRule="auto"/>
        <w:ind w:firstLine="480" w:firstLineChars="200"/>
        <w:rPr>
          <w:rFonts w:ascii="仿宋" w:hAnsi="仿宋" w:eastAsia="仿宋"/>
          <w:color w:val="auto"/>
          <w:sz w:val="24"/>
          <w:szCs w:val="24"/>
        </w:rPr>
      </w:pPr>
      <w:bookmarkStart w:id="45" w:name="_Toc30445"/>
      <w:bookmarkStart w:id="46" w:name="_Toc494455659"/>
      <w:bookmarkStart w:id="47" w:name="_Toc2850"/>
      <w:r>
        <w:rPr>
          <w:rFonts w:hint="eastAsia" w:ascii="仿宋" w:hAnsi="仿宋" w:eastAsia="仿宋"/>
          <w:color w:val="auto"/>
          <w:sz w:val="24"/>
          <w:szCs w:val="24"/>
          <w:lang w:val="en-US" w:eastAsia="zh-CN"/>
        </w:rPr>
        <w:t>9.1</w:t>
      </w:r>
      <w:r>
        <w:rPr>
          <w:rFonts w:hint="eastAsia" w:ascii="仿宋" w:hAnsi="仿宋" w:eastAsia="仿宋"/>
          <w:color w:val="auto"/>
          <w:sz w:val="24"/>
          <w:szCs w:val="24"/>
        </w:rPr>
        <w:t>采购代理服务费收取按照原国家计委《招标代理服务收费管理暂行办法》（计价格〔</w:t>
      </w:r>
      <w:r>
        <w:rPr>
          <w:rFonts w:ascii="仿宋" w:hAnsi="仿宋" w:eastAsia="仿宋"/>
          <w:color w:val="auto"/>
          <w:sz w:val="24"/>
          <w:szCs w:val="24"/>
        </w:rPr>
        <w:t>2002</w:t>
      </w:r>
      <w:r>
        <w:rPr>
          <w:rFonts w:hint="eastAsia" w:ascii="仿宋" w:hAnsi="仿宋" w:eastAsia="仿宋"/>
          <w:color w:val="auto"/>
          <w:sz w:val="24"/>
          <w:szCs w:val="24"/>
        </w:rPr>
        <w:t>〕</w:t>
      </w:r>
      <w:r>
        <w:rPr>
          <w:rFonts w:ascii="仿宋" w:hAnsi="仿宋" w:eastAsia="仿宋"/>
          <w:color w:val="auto"/>
          <w:sz w:val="24"/>
          <w:szCs w:val="24"/>
        </w:rPr>
        <w:t>1980</w:t>
      </w:r>
      <w:r>
        <w:rPr>
          <w:rFonts w:hint="eastAsia" w:ascii="仿宋" w:hAnsi="仿宋" w:eastAsia="仿宋"/>
          <w:color w:val="auto"/>
          <w:sz w:val="24"/>
          <w:szCs w:val="24"/>
        </w:rPr>
        <w:t>号）、国家发展改革委办公厅《关于招标代理服务收费有关问题的通知》（发改办价格〔</w:t>
      </w:r>
      <w:r>
        <w:rPr>
          <w:rFonts w:ascii="仿宋" w:hAnsi="仿宋" w:eastAsia="仿宋"/>
          <w:color w:val="auto"/>
          <w:sz w:val="24"/>
          <w:szCs w:val="24"/>
        </w:rPr>
        <w:t>2003</w:t>
      </w:r>
      <w:r>
        <w:rPr>
          <w:rFonts w:hint="eastAsia" w:ascii="仿宋" w:hAnsi="仿宋" w:eastAsia="仿宋"/>
          <w:color w:val="auto"/>
          <w:sz w:val="24"/>
          <w:szCs w:val="24"/>
        </w:rPr>
        <w:t>〕</w:t>
      </w:r>
      <w:r>
        <w:rPr>
          <w:rFonts w:ascii="仿宋" w:hAnsi="仿宋" w:eastAsia="仿宋"/>
          <w:color w:val="auto"/>
          <w:sz w:val="24"/>
          <w:szCs w:val="24"/>
        </w:rPr>
        <w:t>857</w:t>
      </w:r>
      <w:r>
        <w:rPr>
          <w:rFonts w:hint="eastAsia" w:ascii="仿宋" w:hAnsi="仿宋" w:eastAsia="仿宋"/>
          <w:color w:val="auto"/>
          <w:sz w:val="24"/>
          <w:szCs w:val="24"/>
        </w:rPr>
        <w:t>号）和国家发展改革委《关于降低部分建设项目收费标准规范收费行为等有关问题的通知》（发改价格〔</w:t>
      </w:r>
      <w:r>
        <w:rPr>
          <w:rFonts w:ascii="仿宋" w:hAnsi="仿宋" w:eastAsia="仿宋"/>
          <w:color w:val="auto"/>
          <w:sz w:val="24"/>
          <w:szCs w:val="24"/>
        </w:rPr>
        <w:t>2011</w:t>
      </w:r>
      <w:r>
        <w:rPr>
          <w:rFonts w:hint="eastAsia" w:ascii="仿宋" w:hAnsi="仿宋" w:eastAsia="仿宋"/>
          <w:color w:val="auto"/>
          <w:sz w:val="24"/>
          <w:szCs w:val="24"/>
        </w:rPr>
        <w:t>〕</w:t>
      </w:r>
      <w:r>
        <w:rPr>
          <w:rFonts w:ascii="仿宋" w:hAnsi="仿宋" w:eastAsia="仿宋"/>
          <w:color w:val="auto"/>
          <w:sz w:val="24"/>
          <w:szCs w:val="24"/>
        </w:rPr>
        <w:t>534</w:t>
      </w:r>
      <w:r>
        <w:rPr>
          <w:rFonts w:hint="eastAsia" w:ascii="仿宋" w:hAnsi="仿宋" w:eastAsia="仿宋"/>
          <w:color w:val="auto"/>
          <w:sz w:val="24"/>
          <w:szCs w:val="24"/>
        </w:rPr>
        <w:t>号）规定</w:t>
      </w:r>
      <w:r>
        <w:rPr>
          <w:rFonts w:ascii="仿宋" w:hAnsi="仿宋" w:eastAsia="仿宋"/>
          <w:color w:val="auto"/>
          <w:sz w:val="24"/>
          <w:szCs w:val="24"/>
        </w:rPr>
        <w:t>，</w:t>
      </w:r>
      <w:r>
        <w:rPr>
          <w:rFonts w:hint="eastAsia" w:ascii="仿宋" w:hAnsi="仿宋" w:eastAsia="仿宋"/>
          <w:color w:val="auto"/>
          <w:sz w:val="24"/>
          <w:szCs w:val="24"/>
        </w:rPr>
        <w:t>以中标金额为基准计算并收取。中标金额在</w:t>
      </w:r>
      <w:r>
        <w:rPr>
          <w:rFonts w:ascii="仿宋" w:hAnsi="仿宋" w:eastAsia="仿宋"/>
          <w:color w:val="auto"/>
          <w:sz w:val="24"/>
          <w:szCs w:val="24"/>
        </w:rPr>
        <w:t>5</w:t>
      </w:r>
      <w:r>
        <w:rPr>
          <w:rFonts w:hint="eastAsia" w:ascii="仿宋" w:hAnsi="仿宋" w:eastAsia="仿宋"/>
          <w:color w:val="auto"/>
          <w:sz w:val="24"/>
          <w:szCs w:val="24"/>
        </w:rPr>
        <w:t>亿元以上的代理服务费实行收费上限，货物类代理服务费上限为</w:t>
      </w:r>
      <w:r>
        <w:rPr>
          <w:rFonts w:ascii="仿宋" w:hAnsi="仿宋" w:eastAsia="仿宋"/>
          <w:color w:val="auto"/>
          <w:sz w:val="24"/>
          <w:szCs w:val="24"/>
        </w:rPr>
        <w:t>350</w:t>
      </w:r>
      <w:r>
        <w:rPr>
          <w:rFonts w:hint="eastAsia" w:ascii="仿宋" w:hAnsi="仿宋" w:eastAsia="仿宋"/>
          <w:color w:val="auto"/>
          <w:sz w:val="24"/>
          <w:szCs w:val="24"/>
        </w:rPr>
        <w:t>万元。</w:t>
      </w:r>
    </w:p>
    <w:p w14:paraId="58224665">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9.2</w:t>
      </w:r>
      <w:r>
        <w:rPr>
          <w:rFonts w:hint="eastAsia" w:ascii="仿宋" w:hAnsi="仿宋" w:eastAsia="仿宋"/>
          <w:color w:val="auto"/>
          <w:sz w:val="24"/>
          <w:szCs w:val="24"/>
        </w:rPr>
        <w:t>采购代理服务费在审批的项目预算中已经列支的，由采购人支付，并按照财政部门规定列支；在审批的项目预算中未列支的，采购代理服务费用由成交供应商支付，见供应商须知前附表。</w:t>
      </w:r>
    </w:p>
    <w:p w14:paraId="6658B970">
      <w:pPr>
        <w:spacing w:after="156" w:afterLines="50" w:line="360" w:lineRule="auto"/>
        <w:ind w:firstLine="480" w:firstLineChars="200"/>
        <w:rPr>
          <w:rFonts w:ascii="仿宋" w:hAnsi="仿宋" w:eastAsia="仿宋"/>
          <w:color w:val="auto"/>
          <w:sz w:val="24"/>
          <w:szCs w:val="24"/>
        </w:rPr>
      </w:pPr>
      <w:r>
        <w:rPr>
          <w:rFonts w:ascii="仿宋" w:hAnsi="仿宋" w:eastAsia="仿宋"/>
          <w:color w:val="auto"/>
          <w:sz w:val="24"/>
          <w:szCs w:val="24"/>
        </w:rPr>
        <w:t>9.3</w:t>
      </w:r>
      <w:r>
        <w:rPr>
          <w:rFonts w:hint="eastAsia" w:ascii="仿宋" w:hAnsi="仿宋" w:eastAsia="仿宋"/>
          <w:color w:val="auto"/>
          <w:sz w:val="24"/>
          <w:szCs w:val="24"/>
        </w:rPr>
        <w:t>采购代理服务费采用差额定率累进计费方式。标准如下：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557"/>
      </w:tblGrid>
      <w:tr w14:paraId="2AB2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0A0F5DF3">
            <w:pPr>
              <w:widowControl/>
              <w:autoSpaceDE w:val="0"/>
              <w:autoSpaceDN w:val="0"/>
              <w:adjustRightInd w:val="0"/>
              <w:spacing w:line="360" w:lineRule="auto"/>
              <w:ind w:right="-89"/>
              <w:jc w:val="right"/>
              <w:rPr>
                <w:rFonts w:ascii="仿宋" w:hAnsi="仿宋" w:eastAsia="仿宋"/>
                <w:color w:val="auto"/>
                <w:kern w:val="0"/>
                <w:sz w:val="24"/>
                <w:szCs w:val="24"/>
              </w:rPr>
            </w:pPr>
            <w:r>
              <w:rPr>
                <w:rFonts w:ascii="仿宋" w:hAnsi="仿宋" w:eastAsia="仿宋"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-60960</wp:posOffset>
                      </wp:positionV>
                      <wp:extent cx="2966720" cy="962025"/>
                      <wp:effectExtent l="1270" t="4445" r="3810" b="5080"/>
                      <wp:wrapNone/>
                      <wp:docPr id="9" name="直接连接符 9"/>
                      <wp:cNvGraphicFramePr/>
                      <a:graphic xmlns:a="http://schemas.openxmlformats.org/drawingml/2006/main">
                        <a:graphicData uri="http://schemas.microsoft.com/office/word/2010/wordprocessingShape">
                          <wps:wsp>
                            <wps:cNvCnPr/>
                            <wps:spPr>
                              <a:xfrm>
                                <a:off x="0" y="0"/>
                                <a:ext cx="2966720" cy="96202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4.8pt;height:75.75pt;width:233.6pt;z-index:251660288;mso-width-relative:page;mso-height-relative:page;" filled="f" stroked="t" coordsize="21600,21600" o:gfxdata="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c67hNoAAAAJAQAADwAAAAAAAAABACAAAAAiAAAAZHJzL2Rvd25yZXYu&#10;eG1sUEsBAhQAFAAAAAgAh07iQCngoKn5AQAA6QMAAA4AAAAAAAAAAQAgAAAAKQEAAGRycy9lMm9E&#10;b2MueG1sUEsFBgAAAAAGAAYAWQEAAJQFAAAAAA==&#10;">
                      <v:fill on="f" focussize="0,0"/>
                      <v:stroke weight="0.25pt" color="#000000" joinstyle="round"/>
                      <v:imagedata o:title=""/>
                      <o:lock v:ext="edit" aspectratio="f"/>
                    </v:line>
                  </w:pict>
                </mc:Fallback>
              </mc:AlternateContent>
            </w:r>
            <w:r>
              <w:rPr>
                <w:rFonts w:ascii="仿宋" w:hAnsi="仿宋" w:eastAsia="仿宋" w:cs="仿宋"/>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-62230</wp:posOffset>
                      </wp:positionV>
                      <wp:extent cx="2968625" cy="389255"/>
                      <wp:effectExtent l="635" t="4445" r="2540" b="6350"/>
                      <wp:wrapNone/>
                      <wp:docPr id="10" name="直接连接符 10"/>
                      <wp:cNvGraphicFramePr/>
                      <a:graphic xmlns:a="http://schemas.openxmlformats.org/drawingml/2006/main">
                        <a:graphicData uri="http://schemas.microsoft.com/office/word/2010/wordprocessingShape">
                          <wps:wsp>
                            <wps:cNvCnPr/>
                            <wps:spPr>
                              <a:xfrm>
                                <a:off x="0" y="0"/>
                                <a:ext cx="2968625" cy="38925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4.9pt;height:30.65pt;width:233.75pt;z-index:251659264;mso-width-relative:page;mso-height-relative:page;" filled="f" stroked="t" coordsize="21600,21600" o:gfxdata="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4HazZAAAACQEAAA8AAAAAAAAAAQAgAAAAIgAAAGRycy9kb3ducmV2Lnht&#10;bFBLAQIUABQAAAAIAIdO4kCgBmTc+AEAAOsDAAAOAAAAAAAAAAEAIAAAACgBAABkcnMvZTJvRG9j&#10;LnhtbFBLBQYAAAAABgAGAFkBAACSBQAAAAA=&#10;">
                      <v:fill on="f" focussize="0,0"/>
                      <v:stroke weight="0.25pt" color="#000000" joinstyle="round"/>
                      <v:imagedata o:title=""/>
                      <o:lock v:ext="edit" aspectratio="f"/>
                    </v:line>
                  </w:pict>
                </mc:Fallback>
              </mc:AlternateContent>
            </w:r>
            <w:r>
              <w:rPr>
                <w:rFonts w:hint="eastAsia" w:ascii="仿宋" w:hAnsi="仿宋" w:eastAsia="仿宋" w:cs="仿宋"/>
                <w:color w:val="auto"/>
                <w:kern w:val="0"/>
                <w:sz w:val="24"/>
                <w:szCs w:val="24"/>
              </w:rPr>
              <w:t>服务类型</w:t>
            </w:r>
          </w:p>
          <w:p w14:paraId="203D8DA8">
            <w:pPr>
              <w:widowControl/>
              <w:autoSpaceDE w:val="0"/>
              <w:autoSpaceDN w:val="0"/>
              <w:adjustRightInd w:val="0"/>
              <w:spacing w:line="360" w:lineRule="auto"/>
              <w:ind w:right="-481"/>
              <w:jc w:val="center"/>
              <w:rPr>
                <w:rFonts w:ascii="仿宋" w:hAnsi="仿宋" w:eastAsia="仿宋"/>
                <w:color w:val="auto"/>
                <w:kern w:val="0"/>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费率</w:t>
            </w:r>
          </w:p>
          <w:p w14:paraId="11D62F6D">
            <w:pPr>
              <w:widowControl/>
              <w:autoSpaceDE w:val="0"/>
              <w:autoSpaceDN w:val="0"/>
              <w:adjustRightInd w:val="0"/>
              <w:spacing w:line="360" w:lineRule="auto"/>
              <w:ind w:right="-481"/>
              <w:rPr>
                <w:rFonts w:ascii="仿宋" w:hAnsi="仿宋" w:eastAsia="仿宋"/>
                <w:color w:val="auto"/>
                <w:kern w:val="1"/>
                <w:sz w:val="24"/>
                <w:szCs w:val="24"/>
              </w:rPr>
            </w:pPr>
            <w:r>
              <w:rPr>
                <w:rFonts w:hint="eastAsia" w:ascii="仿宋" w:hAnsi="仿宋" w:eastAsia="仿宋" w:cs="仿宋"/>
                <w:color w:val="auto"/>
                <w:kern w:val="0"/>
                <w:sz w:val="24"/>
                <w:szCs w:val="24"/>
              </w:rPr>
              <w:t>中标金额（万元）</w:t>
            </w:r>
          </w:p>
        </w:tc>
        <w:tc>
          <w:tcPr>
            <w:tcW w:w="4557" w:type="dxa"/>
            <w:noWrap w:val="0"/>
            <w:tcMar>
              <w:top w:w="100" w:type="dxa"/>
              <w:right w:w="100" w:type="dxa"/>
            </w:tcMar>
            <w:vAlign w:val="center"/>
          </w:tcPr>
          <w:p w14:paraId="037F6276">
            <w:pPr>
              <w:spacing w:line="360" w:lineRule="auto"/>
              <w:jc w:val="center"/>
              <w:rPr>
                <w:rFonts w:ascii="仿宋" w:hAnsi="仿宋" w:eastAsia="仿宋"/>
                <w:color w:val="auto"/>
                <w:kern w:val="1"/>
                <w:sz w:val="24"/>
                <w:szCs w:val="24"/>
              </w:rPr>
            </w:pPr>
            <w:r>
              <w:rPr>
                <w:rFonts w:hint="eastAsia" w:ascii="仿宋" w:hAnsi="仿宋" w:eastAsia="仿宋" w:cs="仿宋"/>
                <w:color w:val="auto"/>
                <w:kern w:val="0"/>
                <w:sz w:val="24"/>
                <w:szCs w:val="24"/>
              </w:rPr>
              <w:t>货物</w:t>
            </w:r>
          </w:p>
        </w:tc>
      </w:tr>
      <w:tr w14:paraId="4723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3FF94D92">
            <w:pPr>
              <w:spacing w:line="360" w:lineRule="auto"/>
              <w:jc w:val="center"/>
              <w:rPr>
                <w:rFonts w:ascii="仿宋" w:hAnsi="仿宋" w:eastAsia="仿宋"/>
                <w:color w:val="auto"/>
                <w:kern w:val="0"/>
                <w:sz w:val="24"/>
                <w:szCs w:val="24"/>
              </w:rPr>
            </w:pPr>
            <w:r>
              <w:rPr>
                <w:rFonts w:ascii="仿宋" w:hAnsi="仿宋" w:eastAsia="仿宋" w:cs="仿宋"/>
                <w:color w:val="auto"/>
                <w:kern w:val="0"/>
                <w:sz w:val="24"/>
                <w:szCs w:val="24"/>
              </w:rPr>
              <w:t>100</w:t>
            </w:r>
            <w:r>
              <w:rPr>
                <w:rFonts w:hint="eastAsia" w:ascii="仿宋" w:hAnsi="仿宋" w:eastAsia="仿宋" w:cs="仿宋"/>
                <w:color w:val="auto"/>
                <w:kern w:val="0"/>
                <w:sz w:val="24"/>
                <w:szCs w:val="24"/>
              </w:rPr>
              <w:t>以下</w:t>
            </w:r>
          </w:p>
        </w:tc>
        <w:tc>
          <w:tcPr>
            <w:tcW w:w="4557" w:type="dxa"/>
            <w:noWrap w:val="0"/>
            <w:tcMar>
              <w:top w:w="100" w:type="dxa"/>
              <w:right w:w="100" w:type="dxa"/>
            </w:tcMar>
            <w:vAlign w:val="center"/>
          </w:tcPr>
          <w:p w14:paraId="1A4D2593">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1.5%</w:t>
            </w:r>
          </w:p>
        </w:tc>
      </w:tr>
      <w:tr w14:paraId="1A03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2ACB355E">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100-500</w:t>
            </w:r>
          </w:p>
        </w:tc>
        <w:tc>
          <w:tcPr>
            <w:tcW w:w="4557" w:type="dxa"/>
            <w:noWrap w:val="0"/>
            <w:tcMar>
              <w:top w:w="100" w:type="dxa"/>
              <w:right w:w="100" w:type="dxa"/>
            </w:tcMar>
            <w:vAlign w:val="center"/>
          </w:tcPr>
          <w:p w14:paraId="59EC8003">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1.1%</w:t>
            </w:r>
          </w:p>
        </w:tc>
      </w:tr>
      <w:tr w14:paraId="4292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751E78FC">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500-1000</w:t>
            </w:r>
          </w:p>
        </w:tc>
        <w:tc>
          <w:tcPr>
            <w:tcW w:w="4557" w:type="dxa"/>
            <w:noWrap w:val="0"/>
            <w:tcMar>
              <w:top w:w="100" w:type="dxa"/>
              <w:right w:w="100" w:type="dxa"/>
            </w:tcMar>
            <w:vAlign w:val="center"/>
          </w:tcPr>
          <w:p w14:paraId="603E4233">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0.8%</w:t>
            </w:r>
          </w:p>
        </w:tc>
      </w:tr>
      <w:tr w14:paraId="24DD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622797EE">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1000-5000</w:t>
            </w:r>
          </w:p>
        </w:tc>
        <w:tc>
          <w:tcPr>
            <w:tcW w:w="4557" w:type="dxa"/>
            <w:noWrap w:val="0"/>
            <w:tcMar>
              <w:top w:w="100" w:type="dxa"/>
              <w:right w:w="100" w:type="dxa"/>
            </w:tcMar>
            <w:vAlign w:val="center"/>
          </w:tcPr>
          <w:p w14:paraId="519EF0C0">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0.5%</w:t>
            </w:r>
          </w:p>
        </w:tc>
      </w:tr>
      <w:tr w14:paraId="6BB1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41C6B6DE">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5000-10000</w:t>
            </w:r>
          </w:p>
        </w:tc>
        <w:tc>
          <w:tcPr>
            <w:tcW w:w="4557" w:type="dxa"/>
            <w:noWrap w:val="0"/>
            <w:tcMar>
              <w:top w:w="100" w:type="dxa"/>
              <w:right w:w="100" w:type="dxa"/>
            </w:tcMar>
            <w:vAlign w:val="center"/>
          </w:tcPr>
          <w:p w14:paraId="33E4057F">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0.25%</w:t>
            </w:r>
          </w:p>
        </w:tc>
      </w:tr>
      <w:tr w14:paraId="7DE5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16390537">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10000-</w:t>
            </w:r>
            <w:r>
              <w:rPr>
                <w:rFonts w:hint="eastAsia" w:ascii="仿宋" w:hAnsi="仿宋" w:eastAsia="仿宋" w:cs="仿宋"/>
                <w:color w:val="auto"/>
                <w:kern w:val="0"/>
                <w:sz w:val="24"/>
                <w:szCs w:val="24"/>
              </w:rPr>
              <w:t>1</w:t>
            </w:r>
            <w:r>
              <w:rPr>
                <w:rFonts w:ascii="仿宋" w:hAnsi="仿宋" w:eastAsia="仿宋" w:cs="仿宋"/>
                <w:color w:val="auto"/>
                <w:kern w:val="0"/>
                <w:sz w:val="24"/>
                <w:szCs w:val="24"/>
              </w:rPr>
              <w:t>0000</w:t>
            </w:r>
            <w:r>
              <w:rPr>
                <w:rFonts w:hint="eastAsia" w:ascii="仿宋" w:hAnsi="仿宋" w:eastAsia="仿宋" w:cs="仿宋"/>
                <w:color w:val="auto"/>
                <w:kern w:val="0"/>
                <w:sz w:val="24"/>
                <w:szCs w:val="24"/>
              </w:rPr>
              <w:t>0</w:t>
            </w:r>
          </w:p>
        </w:tc>
        <w:tc>
          <w:tcPr>
            <w:tcW w:w="4557" w:type="dxa"/>
            <w:noWrap w:val="0"/>
            <w:tcMar>
              <w:top w:w="100" w:type="dxa"/>
              <w:right w:w="100" w:type="dxa"/>
            </w:tcMar>
            <w:vAlign w:val="center"/>
          </w:tcPr>
          <w:p w14:paraId="0CEA9285">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0.05%</w:t>
            </w:r>
          </w:p>
        </w:tc>
      </w:tr>
      <w:tr w14:paraId="43CF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63EC46F2">
            <w:pPr>
              <w:spacing w:line="360" w:lineRule="auto"/>
              <w:jc w:val="center"/>
              <w:rPr>
                <w:rFonts w:hint="eastAsia" w:ascii="仿宋" w:hAnsi="仿宋" w:eastAsia="仿宋"/>
                <w:color w:val="auto"/>
                <w:kern w:val="0"/>
                <w:sz w:val="24"/>
                <w:szCs w:val="24"/>
              </w:rPr>
            </w:pPr>
            <w:r>
              <w:rPr>
                <w:rFonts w:ascii="仿宋" w:hAnsi="仿宋" w:eastAsia="仿宋" w:cs="仿宋"/>
                <w:color w:val="auto"/>
                <w:kern w:val="0"/>
                <w:sz w:val="24"/>
                <w:szCs w:val="24"/>
              </w:rPr>
              <w:t>100000</w:t>
            </w:r>
            <w:r>
              <w:rPr>
                <w:rFonts w:hint="eastAsia" w:ascii="仿宋" w:hAnsi="仿宋" w:eastAsia="仿宋" w:cs="仿宋"/>
                <w:color w:val="auto"/>
                <w:kern w:val="0"/>
                <w:sz w:val="24"/>
                <w:szCs w:val="24"/>
              </w:rPr>
              <w:t>0以上</w:t>
            </w:r>
          </w:p>
        </w:tc>
        <w:tc>
          <w:tcPr>
            <w:tcW w:w="4557" w:type="dxa"/>
            <w:noWrap w:val="0"/>
            <w:tcMar>
              <w:top w:w="100" w:type="dxa"/>
              <w:right w:w="100" w:type="dxa"/>
            </w:tcMar>
            <w:vAlign w:val="center"/>
          </w:tcPr>
          <w:p w14:paraId="5568D093">
            <w:pPr>
              <w:spacing w:line="36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0.0</w:t>
            </w:r>
            <w:r>
              <w:rPr>
                <w:rFonts w:hint="eastAsia" w:ascii="仿宋" w:hAnsi="仿宋" w:eastAsia="仿宋" w:cs="仿宋"/>
                <w:color w:val="auto"/>
                <w:kern w:val="0"/>
                <w:sz w:val="24"/>
                <w:szCs w:val="24"/>
              </w:rPr>
              <w:t>1</w:t>
            </w:r>
            <w:r>
              <w:rPr>
                <w:rFonts w:ascii="仿宋" w:hAnsi="仿宋" w:eastAsia="仿宋" w:cs="仿宋"/>
                <w:color w:val="auto"/>
                <w:kern w:val="0"/>
                <w:sz w:val="24"/>
                <w:szCs w:val="24"/>
              </w:rPr>
              <w:t>%</w:t>
            </w:r>
          </w:p>
        </w:tc>
      </w:tr>
    </w:tbl>
    <w:p w14:paraId="1849AC82">
      <w:pPr>
        <w:spacing w:line="440" w:lineRule="exact"/>
        <w:ind w:firstLine="560" w:firstLineChars="200"/>
        <w:outlineLvl w:val="2"/>
        <w:rPr>
          <w:rFonts w:ascii="楷体" w:hAnsi="楷体" w:eastAsia="楷体"/>
          <w:sz w:val="28"/>
          <w:szCs w:val="28"/>
          <w:highlight w:val="none"/>
        </w:rPr>
      </w:pPr>
      <w:r>
        <w:rPr>
          <w:rFonts w:hint="eastAsia" w:ascii="楷体" w:hAnsi="楷体" w:eastAsia="楷体"/>
          <w:sz w:val="28"/>
          <w:szCs w:val="28"/>
          <w:highlight w:val="none"/>
        </w:rPr>
        <w:t>1</w:t>
      </w:r>
      <w:r>
        <w:rPr>
          <w:rFonts w:ascii="楷体" w:hAnsi="楷体" w:eastAsia="楷体"/>
          <w:sz w:val="28"/>
          <w:szCs w:val="28"/>
          <w:highlight w:val="none"/>
        </w:rPr>
        <w:t>0.</w:t>
      </w:r>
      <w:r>
        <w:rPr>
          <w:rFonts w:hint="eastAsia" w:ascii="楷体" w:hAnsi="楷体" w:eastAsia="楷体"/>
          <w:sz w:val="28"/>
          <w:szCs w:val="28"/>
          <w:highlight w:val="none"/>
        </w:rPr>
        <w:t>招标文件</w:t>
      </w:r>
      <w:bookmarkEnd w:id="45"/>
      <w:bookmarkEnd w:id="46"/>
      <w:bookmarkEnd w:id="47"/>
    </w:p>
    <w:p w14:paraId="7211427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.1</w:t>
      </w:r>
      <w:r>
        <w:rPr>
          <w:rFonts w:ascii="仿宋" w:hAnsi="仿宋" w:eastAsia="仿宋"/>
          <w:sz w:val="24"/>
          <w:szCs w:val="24"/>
          <w:highlight w:val="none"/>
        </w:rPr>
        <w:t>招标文件的组成</w:t>
      </w:r>
    </w:p>
    <w:p w14:paraId="7320D77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1.1</w:t>
      </w:r>
      <w:r>
        <w:rPr>
          <w:rFonts w:hint="eastAsia" w:ascii="仿宋" w:hAnsi="仿宋" w:eastAsia="仿宋"/>
          <w:sz w:val="24"/>
          <w:szCs w:val="24"/>
          <w:highlight w:val="none"/>
        </w:rPr>
        <w:t>招标文件是用以阐明所需货物以及服务、招标程序和合同格式的规范性文件。招标文件主要由以下部分组成：</w:t>
      </w:r>
    </w:p>
    <w:p w14:paraId="409FFA4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第一章  招标公告；</w:t>
      </w:r>
    </w:p>
    <w:p w14:paraId="2EADD63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第二章  投标人须知前附表；</w:t>
      </w:r>
    </w:p>
    <w:p w14:paraId="3D5FB62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第三章  采购需求；</w:t>
      </w:r>
    </w:p>
    <w:p w14:paraId="7167CC6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第四章  评标办法；</w:t>
      </w:r>
    </w:p>
    <w:p w14:paraId="1FA8952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第五章  签订合同、合同主要条款；</w:t>
      </w:r>
    </w:p>
    <w:p w14:paraId="230769E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第六章  投标文件格式；</w:t>
      </w:r>
    </w:p>
    <w:p w14:paraId="698F7B5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1.2</w:t>
      </w:r>
      <w:r>
        <w:rPr>
          <w:rFonts w:hint="eastAsia" w:ascii="仿宋" w:hAnsi="仿宋" w:eastAsia="仿宋"/>
          <w:sz w:val="24"/>
          <w:szCs w:val="24"/>
          <w:highlight w:val="none"/>
        </w:rPr>
        <w:t>根据本章第1</w:t>
      </w:r>
      <w:r>
        <w:rPr>
          <w:rFonts w:ascii="仿宋" w:hAnsi="仿宋" w:eastAsia="仿宋"/>
          <w:sz w:val="24"/>
          <w:szCs w:val="24"/>
          <w:highlight w:val="none"/>
        </w:rPr>
        <w:t>0</w:t>
      </w:r>
      <w:r>
        <w:rPr>
          <w:rFonts w:hint="eastAsia" w:ascii="仿宋" w:hAnsi="仿宋" w:eastAsia="仿宋"/>
          <w:sz w:val="24"/>
          <w:szCs w:val="24"/>
          <w:highlight w:val="none"/>
        </w:rPr>
        <w:t>.2款对采购文件所作的澄清和修改，构成采购文件的组成部分。</w:t>
      </w:r>
    </w:p>
    <w:p w14:paraId="2A16227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1.3</w:t>
      </w:r>
      <w:r>
        <w:rPr>
          <w:rFonts w:hint="eastAsia" w:ascii="仿宋" w:hAnsi="仿宋" w:eastAsia="仿宋"/>
          <w:sz w:val="24"/>
          <w:szCs w:val="24"/>
          <w:highlight w:val="none"/>
        </w:rPr>
        <w:t>除非有特殊要求，招标文件不单独提供项目所在地的自然环境、气候条件、公用设施等情况，投标人被视为熟悉上述与履行合同有关的一切情况。</w:t>
      </w:r>
    </w:p>
    <w:p w14:paraId="2965F1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招标文件的澄清和修改</w:t>
      </w:r>
    </w:p>
    <w:p w14:paraId="38C6BF3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0.2</w:t>
      </w:r>
      <w:r>
        <w:rPr>
          <w:rFonts w:hint="eastAsia"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对已发出的招标文件进行必要澄清或者修改的，应当在规定的投标截止时间1</w:t>
      </w:r>
      <w:r>
        <w:rPr>
          <w:rFonts w:ascii="仿宋" w:hAnsi="仿宋" w:eastAsia="仿宋"/>
          <w:sz w:val="24"/>
          <w:szCs w:val="24"/>
          <w:highlight w:val="none"/>
        </w:rPr>
        <w:t>5</w:t>
      </w:r>
      <w:r>
        <w:rPr>
          <w:rFonts w:hint="eastAsia" w:ascii="仿宋" w:hAnsi="仿宋" w:eastAsia="仿宋"/>
          <w:sz w:val="24"/>
          <w:szCs w:val="24"/>
          <w:highlight w:val="none"/>
        </w:rPr>
        <w:t>日前，向各投标人发出补充文件，以书面形式通知所有招标文件收受人，但不指明澄清问题的来源。如果澄清或者修改招标文件的时间距投标截止时间不足1</w:t>
      </w:r>
      <w:r>
        <w:rPr>
          <w:rFonts w:ascii="仿宋" w:hAnsi="仿宋" w:eastAsia="仿宋"/>
          <w:sz w:val="24"/>
          <w:szCs w:val="24"/>
          <w:highlight w:val="none"/>
        </w:rPr>
        <w:t>5</w:t>
      </w:r>
      <w:r>
        <w:rPr>
          <w:rFonts w:hint="eastAsia" w:ascii="仿宋" w:hAnsi="仿宋" w:eastAsia="仿宋"/>
          <w:sz w:val="24"/>
          <w:szCs w:val="24"/>
          <w:highlight w:val="none"/>
        </w:rPr>
        <w:t>日，</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应延长投标截止时间，具体时间将在补充文件中予以明确。</w:t>
      </w:r>
    </w:p>
    <w:p w14:paraId="63CB310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sz w:val="24"/>
          <w:szCs w:val="24"/>
          <w:highlight w:val="none"/>
        </w:rPr>
        <w:t>的电子信箱</w:t>
      </w:r>
      <w:r>
        <w:rPr>
          <w:rFonts w:hint="eastAsia" w:ascii="仿宋" w:hAnsi="仿宋" w:eastAsia="仿宋"/>
          <w:sz w:val="24"/>
          <w:szCs w:val="24"/>
          <w:highlight w:val="none"/>
        </w:rPr>
        <w:t>，否则，由此引起的损失由投标人自负。同时，投标人有义务对招标文件的准确性进行复核，如发现有任何错误（打印的错误、逻辑的错误）或者前后矛盾的，应在规定提交答疑的时间内提交给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或采购代理机构，否则，投标人应无条件接受招标文件所有条款。</w:t>
      </w:r>
    </w:p>
    <w:p w14:paraId="04B6F09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0.2</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招标文件的澄清或者修改文件，应作为招标文件组成部分并具有法律效力，任何口头答复、通知无效。招标文件的澄清或者修改在同一内容的表述上不一致时，以最后发出的公告为准。</w:t>
      </w:r>
    </w:p>
    <w:p w14:paraId="3B7933C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.4投标人认为招标文件存在歧视性条款或者不合理要求等需要澄清的，应在规定时间内一次性全部提出。在规定时间未一次性提出或者对已澄清的条款再提异议者，即视为同意和接受相关条款。</w:t>
      </w:r>
    </w:p>
    <w:p w14:paraId="641437F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.5从补充文件发出时间开始，投标人应在</w:t>
      </w:r>
      <w:r>
        <w:rPr>
          <w:rFonts w:ascii="仿宋" w:hAnsi="仿宋" w:eastAsia="仿宋"/>
          <w:sz w:val="24"/>
          <w:szCs w:val="24"/>
          <w:highlight w:val="none"/>
        </w:rPr>
        <w:t>投标人须知前附表规定的时间</w:t>
      </w:r>
      <w:r>
        <w:rPr>
          <w:rFonts w:hint="eastAsia" w:ascii="仿宋" w:hAnsi="仿宋" w:eastAsia="仿宋"/>
          <w:sz w:val="24"/>
          <w:szCs w:val="24"/>
          <w:highlight w:val="none"/>
        </w:rPr>
        <w:t>内回复确认函，加盖投标人单位公章以及确认日期，采用信函、传真或者直接送达的形式通知采购代理机构。否则，即视为同意和接受该公告内容。</w:t>
      </w:r>
    </w:p>
    <w:p w14:paraId="4B4429E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延长投标截止时间和开标时间</w:t>
      </w:r>
    </w:p>
    <w:p w14:paraId="4576007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可以视采购具体情况，延长投标截止时间和开标时间，但至少应当在招标文件要求提交投标文件的截止时间3日前，以书面形式通知所有招标文件收受人。</w:t>
      </w:r>
    </w:p>
    <w:p w14:paraId="0D2BE527">
      <w:pPr>
        <w:spacing w:line="440" w:lineRule="exact"/>
        <w:ind w:firstLine="560" w:firstLineChars="200"/>
        <w:outlineLvl w:val="2"/>
        <w:rPr>
          <w:rFonts w:ascii="楷体" w:hAnsi="楷体" w:eastAsia="楷体"/>
          <w:sz w:val="28"/>
          <w:szCs w:val="28"/>
          <w:highlight w:val="none"/>
        </w:rPr>
      </w:pPr>
      <w:bookmarkStart w:id="48" w:name="_Toc136"/>
      <w:bookmarkStart w:id="49" w:name="_Toc494455660"/>
      <w:bookmarkStart w:id="50" w:name="_Toc12610"/>
      <w:r>
        <w:rPr>
          <w:rFonts w:hint="eastAsia" w:ascii="楷体" w:hAnsi="楷体" w:eastAsia="楷体"/>
          <w:sz w:val="28"/>
          <w:szCs w:val="28"/>
          <w:highlight w:val="none"/>
        </w:rPr>
        <w:t>1</w:t>
      </w:r>
      <w:r>
        <w:rPr>
          <w:rFonts w:ascii="楷体" w:hAnsi="楷体" w:eastAsia="楷体"/>
          <w:sz w:val="28"/>
          <w:szCs w:val="28"/>
          <w:highlight w:val="none"/>
        </w:rPr>
        <w:t>1</w:t>
      </w:r>
      <w:r>
        <w:rPr>
          <w:rFonts w:hint="eastAsia" w:ascii="楷体" w:hAnsi="楷体" w:eastAsia="楷体"/>
          <w:sz w:val="28"/>
          <w:szCs w:val="28"/>
          <w:highlight w:val="none"/>
        </w:rPr>
        <w:t>.投标文件的组成</w:t>
      </w:r>
      <w:bookmarkEnd w:id="48"/>
      <w:bookmarkEnd w:id="49"/>
      <w:bookmarkEnd w:id="50"/>
    </w:p>
    <w:p w14:paraId="180C457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投标人应按照招标文件的要求以及格式编制投标文件，并保证其真实性、准确性以及完整性，并按照招标文件要求提交全部资料并做出实质性响应。</w:t>
      </w:r>
    </w:p>
    <w:p w14:paraId="7E35345E">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11.2</w:t>
      </w:r>
      <w:r>
        <w:rPr>
          <w:rFonts w:hint="eastAsia" w:ascii="仿宋" w:hAnsi="仿宋" w:eastAsia="仿宋"/>
          <w:sz w:val="24"/>
          <w:szCs w:val="24"/>
          <w:highlight w:val="none"/>
        </w:rPr>
        <w:t>投标文件由商务文件、技术文件以及电子版投标文件组成：</w:t>
      </w:r>
    </w:p>
    <w:p w14:paraId="3E0671C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11.3商务文件：详见“第六章 投标文件格式 商务文件”</w:t>
      </w:r>
    </w:p>
    <w:p w14:paraId="0DC1EA04">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11.4</w:t>
      </w:r>
      <w:r>
        <w:rPr>
          <w:rFonts w:hint="eastAsia" w:ascii="仿宋" w:hAnsi="仿宋" w:eastAsia="仿宋"/>
          <w:sz w:val="24"/>
          <w:szCs w:val="24"/>
          <w:highlight w:val="none"/>
        </w:rPr>
        <w:t>技术文件：详见“第六章 投标文件格式 技术文件”</w:t>
      </w:r>
    </w:p>
    <w:p w14:paraId="53D3EBC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1.5</w:t>
      </w:r>
      <w:r>
        <w:rPr>
          <w:rFonts w:hint="eastAsia" w:ascii="仿宋" w:hAnsi="仿宋" w:eastAsia="仿宋"/>
          <w:sz w:val="24"/>
          <w:szCs w:val="24"/>
          <w:highlight w:val="none"/>
        </w:rPr>
        <w:t>电子版投标文件内容为技术文件、商务文件要求的内容。</w:t>
      </w:r>
    </w:p>
    <w:p w14:paraId="6A003F4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6电子版投标文件作为投标文件的一部分，均不退回。</w:t>
      </w:r>
    </w:p>
    <w:p w14:paraId="4F16E272">
      <w:pPr>
        <w:spacing w:line="440" w:lineRule="exact"/>
        <w:ind w:firstLine="560" w:firstLineChars="200"/>
        <w:outlineLvl w:val="2"/>
        <w:rPr>
          <w:rFonts w:ascii="楷体" w:hAnsi="楷体" w:eastAsia="楷体"/>
          <w:sz w:val="28"/>
          <w:szCs w:val="28"/>
          <w:highlight w:val="none"/>
        </w:rPr>
      </w:pPr>
      <w:bookmarkStart w:id="51" w:name="_Toc8131"/>
      <w:bookmarkStart w:id="52" w:name="_Toc494455661"/>
      <w:bookmarkStart w:id="53" w:name="_Toc24496"/>
      <w:r>
        <w:rPr>
          <w:rFonts w:hint="eastAsia" w:ascii="楷体" w:hAnsi="楷体" w:eastAsia="楷体"/>
          <w:sz w:val="28"/>
          <w:szCs w:val="28"/>
          <w:highlight w:val="none"/>
        </w:rPr>
        <w:t>1</w:t>
      </w:r>
      <w:r>
        <w:rPr>
          <w:rFonts w:ascii="楷体" w:hAnsi="楷体" w:eastAsia="楷体"/>
          <w:sz w:val="28"/>
          <w:szCs w:val="28"/>
          <w:highlight w:val="none"/>
        </w:rPr>
        <w:t>2</w:t>
      </w:r>
      <w:r>
        <w:rPr>
          <w:rFonts w:hint="eastAsia" w:ascii="楷体" w:hAnsi="楷体" w:eastAsia="楷体"/>
          <w:sz w:val="28"/>
          <w:szCs w:val="28"/>
          <w:highlight w:val="none"/>
        </w:rPr>
        <w:t>.投标报价</w:t>
      </w:r>
      <w:bookmarkEnd w:id="51"/>
      <w:bookmarkEnd w:id="52"/>
      <w:bookmarkEnd w:id="53"/>
    </w:p>
    <w:p w14:paraId="2A930F8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2.1</w:t>
      </w:r>
      <w:r>
        <w:rPr>
          <w:rFonts w:hint="eastAsia" w:ascii="仿宋" w:hAnsi="仿宋" w:eastAsia="仿宋"/>
          <w:sz w:val="24"/>
          <w:szCs w:val="24"/>
          <w:highlight w:val="none"/>
        </w:rPr>
        <w:t>投标报价的范围：见投标人须知前附表。</w:t>
      </w:r>
    </w:p>
    <w:p w14:paraId="568D1CD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2.2</w:t>
      </w:r>
      <w:r>
        <w:rPr>
          <w:rFonts w:hint="eastAsia" w:ascii="仿宋" w:hAnsi="仿宋" w:eastAsia="仿宋"/>
          <w:sz w:val="24"/>
          <w:szCs w:val="24"/>
          <w:highlight w:val="none"/>
        </w:rPr>
        <w:t>投标人应对所投包中的货物进行报价，对每一包货物的报价必须全部报齐。</w:t>
      </w:r>
    </w:p>
    <w:p w14:paraId="2112703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2.3投标报价的次数：见投标人须知前附表。</w:t>
      </w:r>
    </w:p>
    <w:p w14:paraId="78D3980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2.4</w:t>
      </w:r>
      <w:r>
        <w:rPr>
          <w:rFonts w:hint="eastAsia" w:ascii="仿宋" w:hAnsi="仿宋" w:eastAsia="仿宋"/>
          <w:sz w:val="24"/>
          <w:szCs w:val="24"/>
          <w:highlight w:val="none"/>
        </w:rPr>
        <w:t>投标人不得以任何方式或者方法提供投标以外的任何附赠条款。</w:t>
      </w:r>
    </w:p>
    <w:p w14:paraId="10D75AD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2.5</w:t>
      </w:r>
      <w:r>
        <w:rPr>
          <w:rFonts w:hint="eastAsia" w:ascii="仿宋" w:hAnsi="仿宋" w:eastAsia="仿宋"/>
          <w:sz w:val="24"/>
          <w:szCs w:val="24"/>
          <w:highlight w:val="none"/>
        </w:rPr>
        <w:t>投标人应按照招标文件中要求的内容填写报价，并由法定代表人或者被授权代表签署。</w:t>
      </w:r>
    </w:p>
    <w:p w14:paraId="3193968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2.6</w:t>
      </w:r>
      <w:r>
        <w:rPr>
          <w:rFonts w:hint="eastAsia" w:ascii="仿宋" w:hAnsi="仿宋" w:eastAsia="仿宋"/>
          <w:sz w:val="24"/>
          <w:szCs w:val="24"/>
          <w:highlight w:val="none"/>
        </w:rPr>
        <w:t>投标人须按照附件格式表中的各单项明细逐项填写，以方便评标委员会对各投标文件进行比较。</w:t>
      </w:r>
    </w:p>
    <w:p w14:paraId="24E94D7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2.7</w:t>
      </w:r>
      <w:r>
        <w:rPr>
          <w:rFonts w:hint="eastAsia" w:ascii="仿宋" w:hAnsi="仿宋" w:eastAsia="仿宋"/>
          <w:sz w:val="24"/>
          <w:szCs w:val="24"/>
          <w:highlight w:val="none"/>
        </w:rPr>
        <w:t>投标文件报价出现前后不一致的，除招标文件另有规定外，按照下列规定修正：</w:t>
      </w:r>
    </w:p>
    <w:p w14:paraId="4DEC65A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（一）投标文件中开标一览表（报价表）内容与投标文件中相应内容不一致的，以开标一览表（报价表）为准；</w:t>
      </w:r>
    </w:p>
    <w:p w14:paraId="51CEE67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（二）大写金额和小写金额不一致的，以大写金额为准；</w:t>
      </w:r>
    </w:p>
    <w:p w14:paraId="3F327D9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（三）单价金额小数点或者百分比有明显错位的，以开标一览表的总价为准，并修改单价；</w:t>
      </w:r>
    </w:p>
    <w:p w14:paraId="7BFBD3D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（四）总价金额与按单价汇总金额不一致的，以单价金额计算结果为准。</w:t>
      </w:r>
    </w:p>
    <w:p w14:paraId="5D3D07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同时出现两种以上不一致的，按照前款规定的顺序修正。修正后的报价经投标人确认后产生约束力，投标人不确认的，其投标无效。</w:t>
      </w:r>
    </w:p>
    <w:p w14:paraId="03C39AB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2.8</w:t>
      </w:r>
      <w:r>
        <w:rPr>
          <w:rFonts w:hint="eastAsia" w:ascii="仿宋" w:hAnsi="仿宋" w:eastAsia="仿宋"/>
          <w:sz w:val="24"/>
          <w:szCs w:val="24"/>
          <w:highlight w:val="none"/>
        </w:rPr>
        <w:t>唱标时，采购代理机构只对按照招标文件要求编制的投标报价进行唱标。</w:t>
      </w:r>
    </w:p>
    <w:p w14:paraId="7F03837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2.9</w:t>
      </w:r>
      <w:r>
        <w:rPr>
          <w:rFonts w:hint="eastAsia" w:ascii="仿宋" w:hAnsi="仿宋" w:eastAsia="仿宋"/>
          <w:sz w:val="24"/>
          <w:szCs w:val="24"/>
          <w:highlight w:val="none"/>
        </w:rPr>
        <w:t>投标人的中标价格在合同执行中是固定不变的，不得以任何理由予以变更，不得出现任何包含价格调整的要求。</w:t>
      </w:r>
    </w:p>
    <w:p w14:paraId="561C747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2.10</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不接受未经中国海关报验放进入中国境内且产自关境外的货物报价。</w:t>
      </w:r>
    </w:p>
    <w:p w14:paraId="2DCBD6A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.11</w:t>
      </w:r>
      <w:r>
        <w:rPr>
          <w:rFonts w:hint="eastAsia" w:ascii="仿宋" w:hAnsi="仿宋" w:eastAsia="仿宋"/>
          <w:sz w:val="24"/>
          <w:szCs w:val="24"/>
          <w:highlight w:val="none"/>
          <w:lang w:val="en-GB"/>
        </w:rPr>
        <w:t>投标人须知前附表未规定可以采购进口产品的，不允许进口产品参加投标。</w:t>
      </w:r>
    </w:p>
    <w:p w14:paraId="2745DF3D">
      <w:pPr>
        <w:spacing w:line="440" w:lineRule="exact"/>
        <w:ind w:firstLine="560" w:firstLineChars="200"/>
        <w:outlineLvl w:val="2"/>
        <w:rPr>
          <w:rFonts w:ascii="楷体" w:hAnsi="楷体" w:eastAsia="楷体"/>
          <w:sz w:val="28"/>
          <w:szCs w:val="28"/>
          <w:highlight w:val="none"/>
        </w:rPr>
      </w:pPr>
      <w:bookmarkStart w:id="54" w:name="_Toc494455662"/>
      <w:bookmarkStart w:id="55" w:name="_Toc2928"/>
      <w:bookmarkStart w:id="56" w:name="_Toc3613"/>
      <w:r>
        <w:rPr>
          <w:rFonts w:hint="eastAsia" w:ascii="楷体" w:hAnsi="楷体" w:eastAsia="楷体"/>
          <w:sz w:val="28"/>
          <w:szCs w:val="28"/>
          <w:highlight w:val="none"/>
        </w:rPr>
        <w:t>1</w:t>
      </w:r>
      <w:r>
        <w:rPr>
          <w:rFonts w:ascii="楷体" w:hAnsi="楷体" w:eastAsia="楷体"/>
          <w:sz w:val="28"/>
          <w:szCs w:val="28"/>
          <w:highlight w:val="none"/>
        </w:rPr>
        <w:t>3.</w:t>
      </w:r>
      <w:r>
        <w:rPr>
          <w:rFonts w:hint="eastAsia" w:ascii="楷体" w:hAnsi="楷体" w:eastAsia="楷体"/>
          <w:sz w:val="28"/>
          <w:szCs w:val="28"/>
          <w:highlight w:val="none"/>
        </w:rPr>
        <w:t>投标文件格式以及编制要求</w:t>
      </w:r>
      <w:bookmarkEnd w:id="54"/>
      <w:bookmarkEnd w:id="55"/>
      <w:bookmarkEnd w:id="56"/>
    </w:p>
    <w:p w14:paraId="698B2F1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投标文件应按所投包分别进行编制。</w:t>
      </w:r>
    </w:p>
    <w:p w14:paraId="43AAC3CF">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13.2</w:t>
      </w:r>
      <w:r>
        <w:rPr>
          <w:rFonts w:hint="eastAsia" w:ascii="仿宋" w:hAnsi="仿宋" w:eastAsia="仿宋"/>
          <w:sz w:val="24"/>
          <w:szCs w:val="24"/>
          <w:highlight w:val="none"/>
        </w:rPr>
        <w:t>投标文件编制装订：见投标人须知前附表。</w:t>
      </w:r>
    </w:p>
    <w:p w14:paraId="457B112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13.3投标文件签署和盖章：</w:t>
      </w:r>
      <w:r>
        <w:rPr>
          <w:rFonts w:hint="eastAsia" w:ascii="仿宋" w:hAnsi="仿宋" w:eastAsia="仿宋"/>
          <w:sz w:val="24"/>
          <w:szCs w:val="24"/>
          <w:highlight w:val="none"/>
        </w:rPr>
        <w:t>见投标人须知前附表。</w:t>
      </w:r>
    </w:p>
    <w:p w14:paraId="121AD41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3.4</w:t>
      </w:r>
      <w:r>
        <w:rPr>
          <w:rFonts w:hint="eastAsia" w:ascii="仿宋" w:hAnsi="仿宋" w:eastAsia="仿宋"/>
          <w:sz w:val="24"/>
          <w:szCs w:val="24"/>
          <w:highlight w:val="none"/>
        </w:rPr>
        <w:t>投标人可对供货现场以及其范围环境进行考察，以获取有关编制投标文件和签署实施合同所需的各项资料，投标人应承担现场考察的费用、责任和风险。</w:t>
      </w:r>
    </w:p>
    <w:p w14:paraId="454476ED">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13.5</w:t>
      </w:r>
      <w:r>
        <w:rPr>
          <w:rFonts w:hint="eastAsia" w:ascii="仿宋" w:hAnsi="仿宋" w:eastAsia="仿宋"/>
          <w:sz w:val="24"/>
          <w:szCs w:val="24"/>
          <w:highlight w:val="none"/>
        </w:rPr>
        <w:t>投标人编制投标文件时，应当如实在技术响应表和资信以及商务响应表中填写响应情况。</w:t>
      </w:r>
    </w:p>
    <w:p w14:paraId="4EC3CE2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3.6</w:t>
      </w:r>
      <w:r>
        <w:rPr>
          <w:rFonts w:hint="eastAsia" w:ascii="仿宋" w:hAnsi="仿宋" w:eastAsia="仿宋"/>
          <w:sz w:val="24"/>
          <w:szCs w:val="24"/>
          <w:highlight w:val="none"/>
        </w:rPr>
        <w:t>投标文件份数及要求：见投标人须知前附表。</w:t>
      </w:r>
    </w:p>
    <w:p w14:paraId="05510E09">
      <w:pPr>
        <w:spacing w:line="440" w:lineRule="exact"/>
        <w:ind w:firstLine="560" w:firstLineChars="200"/>
        <w:outlineLvl w:val="2"/>
        <w:rPr>
          <w:rFonts w:ascii="楷体" w:hAnsi="楷体" w:eastAsia="楷体"/>
          <w:sz w:val="28"/>
          <w:szCs w:val="28"/>
          <w:highlight w:val="none"/>
        </w:rPr>
      </w:pPr>
      <w:bookmarkStart w:id="57" w:name="_Toc16732"/>
      <w:bookmarkStart w:id="58" w:name="_Toc494455663"/>
      <w:bookmarkStart w:id="59" w:name="_Toc13258"/>
      <w:r>
        <w:rPr>
          <w:rFonts w:hint="eastAsia" w:ascii="楷体" w:hAnsi="楷体" w:eastAsia="楷体"/>
          <w:sz w:val="28"/>
          <w:szCs w:val="28"/>
          <w:highlight w:val="none"/>
        </w:rPr>
        <w:t>1</w:t>
      </w:r>
      <w:r>
        <w:rPr>
          <w:rFonts w:ascii="楷体" w:hAnsi="楷体" w:eastAsia="楷体"/>
          <w:sz w:val="28"/>
          <w:szCs w:val="28"/>
          <w:highlight w:val="none"/>
        </w:rPr>
        <w:t>4.</w:t>
      </w:r>
      <w:r>
        <w:rPr>
          <w:rFonts w:hint="eastAsia" w:ascii="楷体" w:hAnsi="楷体" w:eastAsia="楷体"/>
          <w:sz w:val="28"/>
          <w:szCs w:val="28"/>
          <w:highlight w:val="none"/>
        </w:rPr>
        <w:t>投标文件的密封和标记</w:t>
      </w:r>
      <w:bookmarkEnd w:id="57"/>
      <w:bookmarkEnd w:id="58"/>
      <w:bookmarkEnd w:id="59"/>
    </w:p>
    <w:p w14:paraId="0A513C0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见投标人须知前附表。</w:t>
      </w:r>
    </w:p>
    <w:p w14:paraId="091A8AE7">
      <w:pPr>
        <w:spacing w:line="440" w:lineRule="exact"/>
        <w:ind w:firstLine="560" w:firstLineChars="200"/>
        <w:outlineLvl w:val="2"/>
        <w:rPr>
          <w:rFonts w:ascii="楷体" w:hAnsi="楷体" w:eastAsia="楷体"/>
          <w:sz w:val="28"/>
          <w:szCs w:val="28"/>
          <w:highlight w:val="none"/>
        </w:rPr>
      </w:pPr>
      <w:bookmarkStart w:id="60" w:name="_Toc17783"/>
      <w:bookmarkStart w:id="61" w:name="_Toc494455664"/>
      <w:bookmarkStart w:id="62" w:name="_Toc1481"/>
      <w:r>
        <w:rPr>
          <w:rFonts w:hint="eastAsia" w:ascii="楷体" w:hAnsi="楷体" w:eastAsia="楷体"/>
          <w:sz w:val="28"/>
          <w:szCs w:val="28"/>
          <w:highlight w:val="none"/>
        </w:rPr>
        <w:t>1</w:t>
      </w:r>
      <w:r>
        <w:rPr>
          <w:rFonts w:ascii="楷体" w:hAnsi="楷体" w:eastAsia="楷体"/>
          <w:sz w:val="28"/>
          <w:szCs w:val="28"/>
          <w:highlight w:val="none"/>
        </w:rPr>
        <w:t>5.</w:t>
      </w:r>
      <w:r>
        <w:rPr>
          <w:rFonts w:hint="eastAsia" w:ascii="楷体" w:hAnsi="楷体" w:eastAsia="楷体"/>
          <w:sz w:val="28"/>
          <w:szCs w:val="28"/>
          <w:highlight w:val="none"/>
        </w:rPr>
        <w:t>投标文件的递交</w:t>
      </w:r>
      <w:bookmarkEnd w:id="60"/>
      <w:bookmarkEnd w:id="61"/>
      <w:bookmarkEnd w:id="62"/>
    </w:p>
    <w:p w14:paraId="0EFF6823">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.1投标人应在投标截止时间前递交投标文件。</w:t>
      </w:r>
    </w:p>
    <w:p w14:paraId="5DEECD5A">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15.</w:t>
      </w:r>
      <w:r>
        <w:rPr>
          <w:rFonts w:hint="eastAsia" w:ascii="仿宋" w:hAnsi="仿宋" w:eastAsia="仿宋"/>
          <w:sz w:val="24"/>
          <w:szCs w:val="24"/>
          <w:highlight w:val="none"/>
        </w:rPr>
        <w:t>2投标人递交投标文件的时间、地点和要求：见投标人须知前附表。</w:t>
      </w:r>
    </w:p>
    <w:p w14:paraId="5139C28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投标人有下列情况之一，</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或者采购代理机构应当拒绝接收投标人的投标文件：</w:t>
      </w:r>
    </w:p>
    <w:p w14:paraId="413A94A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3.1</w:t>
      </w:r>
      <w:r>
        <w:rPr>
          <w:rFonts w:hint="eastAsia" w:ascii="仿宋" w:hAnsi="仿宋" w:eastAsia="仿宋"/>
          <w:sz w:val="24"/>
          <w:szCs w:val="24"/>
          <w:highlight w:val="none"/>
        </w:rPr>
        <w:t>逾期送达的或者未送达指定地点的；</w:t>
      </w:r>
    </w:p>
    <w:p w14:paraId="03D0E04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3.2</w:t>
      </w:r>
      <w:r>
        <w:rPr>
          <w:rFonts w:hint="eastAsia" w:ascii="仿宋" w:hAnsi="仿宋" w:eastAsia="仿宋"/>
          <w:sz w:val="24"/>
          <w:szCs w:val="24"/>
          <w:highlight w:val="none"/>
        </w:rPr>
        <w:t>投标文件未按招标文件要求密封的。</w:t>
      </w:r>
    </w:p>
    <w:p w14:paraId="427B9B0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5.4</w:t>
      </w:r>
      <w:r>
        <w:rPr>
          <w:rFonts w:hint="eastAsia" w:ascii="仿宋" w:hAnsi="仿宋" w:eastAsia="仿宋"/>
          <w:sz w:val="24"/>
          <w:szCs w:val="24"/>
          <w:highlight w:val="none"/>
        </w:rPr>
        <w:t>除投标人须知前附表另有规定外，不论招标过程和结果如何，投标人的投标文件均不退还。</w:t>
      </w:r>
    </w:p>
    <w:p w14:paraId="4E20376E">
      <w:pPr>
        <w:spacing w:line="440" w:lineRule="exact"/>
        <w:ind w:firstLine="560" w:firstLineChars="200"/>
        <w:outlineLvl w:val="2"/>
        <w:rPr>
          <w:rFonts w:ascii="楷体" w:hAnsi="楷体" w:eastAsia="楷体"/>
          <w:sz w:val="28"/>
          <w:szCs w:val="28"/>
          <w:highlight w:val="none"/>
        </w:rPr>
      </w:pPr>
      <w:bookmarkStart w:id="63" w:name="_Toc494455665"/>
      <w:bookmarkStart w:id="64" w:name="_Toc4939"/>
      <w:bookmarkStart w:id="65" w:name="_Toc18200"/>
      <w:r>
        <w:rPr>
          <w:rFonts w:hint="eastAsia" w:ascii="楷体" w:hAnsi="楷体" w:eastAsia="楷体"/>
          <w:sz w:val="28"/>
          <w:szCs w:val="28"/>
          <w:highlight w:val="none"/>
        </w:rPr>
        <w:t>1</w:t>
      </w:r>
      <w:r>
        <w:rPr>
          <w:rFonts w:ascii="楷体" w:hAnsi="楷体" w:eastAsia="楷体"/>
          <w:sz w:val="28"/>
          <w:szCs w:val="28"/>
          <w:highlight w:val="none"/>
        </w:rPr>
        <w:t>6</w:t>
      </w:r>
      <w:r>
        <w:rPr>
          <w:rFonts w:hint="eastAsia" w:ascii="楷体" w:hAnsi="楷体" w:eastAsia="楷体"/>
          <w:sz w:val="28"/>
          <w:szCs w:val="28"/>
          <w:highlight w:val="none"/>
        </w:rPr>
        <w:t>.投标文件的修改与撤回</w:t>
      </w:r>
      <w:bookmarkEnd w:id="63"/>
      <w:bookmarkEnd w:id="64"/>
      <w:bookmarkEnd w:id="65"/>
    </w:p>
    <w:p w14:paraId="4049B96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6.1</w:t>
      </w:r>
      <w:r>
        <w:rPr>
          <w:rFonts w:hint="eastAsia" w:ascii="仿宋" w:hAnsi="仿宋" w:eastAsia="仿宋"/>
          <w:sz w:val="24"/>
          <w:szCs w:val="24"/>
          <w:highlight w:val="none"/>
        </w:rPr>
        <w:t>投标人在招标文件要求提交投标文件截止时间前，可以补充、修改或者撤回已提交的投标文件，并书面形式通知</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或者采购代理机构。补充、修改的内容为投标文件的组成部分。</w:t>
      </w:r>
    </w:p>
    <w:p w14:paraId="070787F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投标人对投标文件的补充、修改，应按照本招标文件有关规定进行编制、密封、标记、盖章和递交，并在投标文件密封袋上，清楚标明“修改投标文件”或者“撤回投标”字样。</w:t>
      </w:r>
    </w:p>
    <w:p w14:paraId="09D18CF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6.3</w:t>
      </w:r>
      <w:r>
        <w:rPr>
          <w:rFonts w:hint="eastAsia" w:ascii="仿宋" w:hAnsi="仿宋" w:eastAsia="仿宋"/>
          <w:sz w:val="24"/>
          <w:szCs w:val="24"/>
          <w:highlight w:val="none"/>
        </w:rPr>
        <w:t>在提交投标文件截止时间后到招标文件规定的投标有效期终止之前，投标人不得补充、修改或者撤回其投标文件。投标人撤回全部或者部分投标文件的，其投标保证金将被没收。</w:t>
      </w:r>
    </w:p>
    <w:p w14:paraId="4647E7BB">
      <w:pPr>
        <w:spacing w:line="440" w:lineRule="exact"/>
        <w:ind w:firstLine="560" w:firstLineChars="200"/>
        <w:outlineLvl w:val="2"/>
        <w:rPr>
          <w:rFonts w:ascii="楷体" w:hAnsi="楷体" w:eastAsia="楷体"/>
          <w:sz w:val="28"/>
          <w:szCs w:val="28"/>
          <w:highlight w:val="none"/>
        </w:rPr>
      </w:pPr>
      <w:bookmarkStart w:id="66" w:name="_Toc494455666"/>
      <w:bookmarkStart w:id="67" w:name="_Toc16466"/>
      <w:bookmarkStart w:id="68" w:name="_Toc21490"/>
      <w:r>
        <w:rPr>
          <w:rFonts w:hint="eastAsia" w:ascii="楷体" w:hAnsi="楷体" w:eastAsia="楷体"/>
          <w:sz w:val="28"/>
          <w:szCs w:val="28"/>
          <w:highlight w:val="none"/>
        </w:rPr>
        <w:t>1</w:t>
      </w:r>
      <w:r>
        <w:rPr>
          <w:rFonts w:ascii="楷体" w:hAnsi="楷体" w:eastAsia="楷体"/>
          <w:sz w:val="28"/>
          <w:szCs w:val="28"/>
          <w:highlight w:val="none"/>
        </w:rPr>
        <w:t>7.</w:t>
      </w:r>
      <w:r>
        <w:rPr>
          <w:rFonts w:hint="eastAsia" w:ascii="楷体" w:hAnsi="楷体" w:eastAsia="楷体"/>
          <w:sz w:val="28"/>
          <w:szCs w:val="28"/>
          <w:highlight w:val="none"/>
        </w:rPr>
        <w:t>投标保证金</w:t>
      </w:r>
      <w:bookmarkEnd w:id="66"/>
      <w:bookmarkEnd w:id="67"/>
      <w:bookmarkEnd w:id="68"/>
    </w:p>
    <w:p w14:paraId="54D7E55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7.1投标保证金</w:t>
      </w:r>
      <w:r>
        <w:rPr>
          <w:rFonts w:hint="eastAsia" w:ascii="仿宋" w:hAnsi="仿宋" w:eastAsia="仿宋"/>
          <w:sz w:val="24"/>
          <w:szCs w:val="24"/>
          <w:highlight w:val="none"/>
        </w:rPr>
        <w:t>的交纳</w:t>
      </w:r>
    </w:p>
    <w:p w14:paraId="41C8459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7.1.1投标保证金</w:t>
      </w:r>
      <w:r>
        <w:rPr>
          <w:rFonts w:hint="eastAsia" w:ascii="仿宋" w:hAnsi="仿宋" w:eastAsia="仿宋"/>
          <w:sz w:val="24"/>
          <w:szCs w:val="24"/>
          <w:highlight w:val="none"/>
        </w:rPr>
        <w:t>的交纳金额和形式：见投标人须知前附表。</w:t>
      </w:r>
    </w:p>
    <w:p w14:paraId="0E899C1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7.1.2</w:t>
      </w:r>
      <w:r>
        <w:rPr>
          <w:rFonts w:hint="eastAsia" w:ascii="仿宋" w:hAnsi="仿宋" w:eastAsia="仿宋"/>
          <w:sz w:val="24"/>
          <w:szCs w:val="24"/>
          <w:highlight w:val="none"/>
        </w:rPr>
        <w:t>投标保证金以到账时间为准。</w:t>
      </w:r>
    </w:p>
    <w:p w14:paraId="29FF77E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7.1.3</w:t>
      </w:r>
      <w:r>
        <w:rPr>
          <w:rFonts w:hint="eastAsia" w:ascii="仿宋" w:hAnsi="仿宋" w:eastAsia="仿宋"/>
          <w:sz w:val="24"/>
          <w:szCs w:val="24"/>
          <w:highlight w:val="none"/>
        </w:rPr>
        <w:t>投标人为联合体的，联合体牵头人交纳的保证金对联合体各方均具有约束力。</w:t>
      </w:r>
    </w:p>
    <w:p w14:paraId="50919AF5">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w:t>
      </w:r>
      <w:r>
        <w:rPr>
          <w:rFonts w:hint="eastAsia" w:ascii="仿宋" w:hAnsi="仿宋" w:eastAsia="仿宋"/>
          <w:sz w:val="24"/>
          <w:szCs w:val="24"/>
          <w:highlight w:val="none"/>
        </w:rPr>
        <w:t>2投标保证金的退还</w:t>
      </w:r>
    </w:p>
    <w:p w14:paraId="4B62E84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2</w:t>
      </w:r>
      <w:r>
        <w:rPr>
          <w:rFonts w:ascii="仿宋" w:hAnsi="仿宋" w:eastAsia="仿宋"/>
          <w:sz w:val="24"/>
          <w:szCs w:val="24"/>
          <w:highlight w:val="none"/>
        </w:rPr>
        <w:t>.1</w:t>
      </w:r>
      <w:r>
        <w:rPr>
          <w:rFonts w:hint="eastAsia" w:ascii="仿宋" w:hAnsi="仿宋" w:eastAsia="仿宋"/>
          <w:sz w:val="24"/>
          <w:szCs w:val="24"/>
          <w:highlight w:val="none"/>
        </w:rPr>
        <w:t>投标人在招标文件要求提交投标文件截止时间前撤回已提交的投标文件的，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或者采购代理机构自收到投标人书面撤回通知之日起</w:t>
      </w:r>
      <w:r>
        <w:rPr>
          <w:rFonts w:ascii="仿宋" w:hAnsi="仿宋" w:eastAsia="仿宋"/>
          <w:sz w:val="24"/>
          <w:szCs w:val="24"/>
          <w:highlight w:val="none"/>
        </w:rPr>
        <w:t>5</w:t>
      </w:r>
      <w:r>
        <w:rPr>
          <w:rFonts w:hint="eastAsia" w:ascii="仿宋" w:hAnsi="仿宋" w:eastAsia="仿宋"/>
          <w:sz w:val="24"/>
          <w:szCs w:val="24"/>
          <w:highlight w:val="none"/>
        </w:rPr>
        <w:t>个工作日内，退还已收取的投标保证金，</w:t>
      </w:r>
      <w:r>
        <w:rPr>
          <w:rFonts w:ascii="仿宋" w:hAnsi="仿宋" w:eastAsia="仿宋"/>
          <w:sz w:val="24"/>
          <w:szCs w:val="24"/>
          <w:highlight w:val="none"/>
        </w:rPr>
        <w:t>但因投标人自身原因导致无法及时退还的除外</w:t>
      </w:r>
      <w:r>
        <w:rPr>
          <w:rFonts w:hint="eastAsia" w:ascii="仿宋" w:hAnsi="仿宋" w:eastAsia="仿宋"/>
          <w:sz w:val="24"/>
          <w:szCs w:val="24"/>
          <w:highlight w:val="none"/>
        </w:rPr>
        <w:t>。</w:t>
      </w:r>
    </w:p>
    <w:p w14:paraId="44EDB40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2</w:t>
      </w:r>
      <w:r>
        <w:rPr>
          <w:rFonts w:ascii="仿宋" w:hAnsi="仿宋" w:eastAsia="仿宋"/>
          <w:sz w:val="24"/>
          <w:szCs w:val="24"/>
          <w:highlight w:val="none"/>
        </w:rPr>
        <w:t>.2</w:t>
      </w:r>
      <w:r>
        <w:rPr>
          <w:rFonts w:hint="eastAsia" w:ascii="仿宋" w:hAnsi="仿宋" w:eastAsia="仿宋"/>
          <w:sz w:val="24"/>
          <w:szCs w:val="24"/>
          <w:highlight w:val="none"/>
        </w:rPr>
        <w:t>采购代理机构</w:t>
      </w:r>
      <w:r>
        <w:rPr>
          <w:rFonts w:ascii="仿宋" w:hAnsi="仿宋" w:eastAsia="仿宋"/>
          <w:sz w:val="24"/>
          <w:szCs w:val="24"/>
          <w:highlight w:val="none"/>
        </w:rPr>
        <w:t>应当自中标通知书发出之日起</w:t>
      </w:r>
      <w:r>
        <w:rPr>
          <w:rFonts w:hint="eastAsia" w:ascii="仿宋" w:hAnsi="仿宋" w:eastAsia="仿宋"/>
          <w:sz w:val="24"/>
          <w:szCs w:val="24"/>
          <w:highlight w:val="none"/>
        </w:rPr>
        <w:t>2</w:t>
      </w:r>
      <w:r>
        <w:rPr>
          <w:rFonts w:ascii="仿宋" w:hAnsi="仿宋" w:eastAsia="仿宋"/>
          <w:sz w:val="24"/>
          <w:szCs w:val="24"/>
          <w:highlight w:val="none"/>
        </w:rPr>
        <w:t>个工作日内退还未中标人的投标保证金，自采购合同签订之日起5个工作日内退还中标人的投标保证金或者转为中标人的履约保证金</w:t>
      </w:r>
      <w:r>
        <w:rPr>
          <w:rFonts w:hint="eastAsia" w:ascii="仿宋" w:hAnsi="仿宋" w:eastAsia="仿宋"/>
          <w:sz w:val="24"/>
          <w:szCs w:val="24"/>
          <w:highlight w:val="none"/>
        </w:rPr>
        <w:t>。</w:t>
      </w:r>
    </w:p>
    <w:p w14:paraId="0C0FBBE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7.</w:t>
      </w:r>
      <w:r>
        <w:rPr>
          <w:rFonts w:hint="eastAsia" w:ascii="仿宋" w:hAnsi="仿宋" w:eastAsia="仿宋"/>
          <w:sz w:val="24"/>
          <w:szCs w:val="24"/>
          <w:highlight w:val="none"/>
        </w:rPr>
        <w:t>3投标保证金的不予退还</w:t>
      </w:r>
    </w:p>
    <w:p w14:paraId="6B49924A">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17.3.1投标人</w:t>
      </w:r>
      <w:r>
        <w:rPr>
          <w:rFonts w:hint="eastAsia" w:ascii="仿宋" w:hAnsi="仿宋" w:eastAsia="仿宋"/>
          <w:sz w:val="24"/>
          <w:szCs w:val="24"/>
          <w:highlight w:val="none"/>
        </w:rPr>
        <w:t>有下列情形之一的，投标保证金将不予退还：</w:t>
      </w:r>
    </w:p>
    <w:p w14:paraId="3E7FCB3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（1）提供的有关资料不真实或者提供虚假材料的；</w:t>
      </w:r>
    </w:p>
    <w:p w14:paraId="1D11BC5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）投标有效期内投标人撤销投标文件的；</w:t>
      </w:r>
    </w:p>
    <w:p w14:paraId="76AF748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）损害</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或者采购代理机构合法权益的；</w:t>
      </w:r>
    </w:p>
    <w:p w14:paraId="2EBD563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w:t>
      </w:r>
      <w:r>
        <w:rPr>
          <w:rFonts w:hint="eastAsia" w:ascii="仿宋" w:hAnsi="仿宋" w:eastAsia="仿宋"/>
          <w:sz w:val="24"/>
          <w:szCs w:val="24"/>
          <w:highlight w:val="none"/>
        </w:rPr>
        <w:t>）投标人向采购代理机构、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、专家提供不正当利益的；</w:t>
      </w:r>
    </w:p>
    <w:p w14:paraId="487E2AE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5</w:t>
      </w:r>
      <w:r>
        <w:rPr>
          <w:rFonts w:hint="eastAsia" w:ascii="仿宋" w:hAnsi="仿宋" w:eastAsia="仿宋"/>
          <w:sz w:val="24"/>
          <w:szCs w:val="24"/>
          <w:highlight w:val="none"/>
        </w:rPr>
        <w:t>）经评标委员会认定有故意哄抬报价、串标或者其它违法行为的</w:t>
      </w:r>
      <w:r>
        <w:rPr>
          <w:rFonts w:ascii="仿宋" w:hAnsi="仿宋" w:eastAsia="仿宋"/>
          <w:sz w:val="24"/>
          <w:szCs w:val="24"/>
          <w:highlight w:val="none"/>
        </w:rPr>
        <w:t>;</w:t>
      </w:r>
    </w:p>
    <w:p w14:paraId="76CDD54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6</w:t>
      </w:r>
      <w:r>
        <w:rPr>
          <w:rFonts w:hint="eastAsia" w:ascii="仿宋" w:hAnsi="仿宋" w:eastAsia="仿宋"/>
          <w:sz w:val="24"/>
          <w:szCs w:val="24"/>
          <w:highlight w:val="none"/>
        </w:rPr>
        <w:t>）中标人未按照招标文件规定签订合同或者未按照招标文件规定提供履约保证金的；</w:t>
      </w:r>
    </w:p>
    <w:p w14:paraId="6D73F4E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7</w:t>
      </w:r>
      <w:r>
        <w:rPr>
          <w:rFonts w:hint="eastAsia" w:ascii="仿宋" w:hAnsi="仿宋" w:eastAsia="仿宋"/>
          <w:sz w:val="24"/>
          <w:szCs w:val="24"/>
          <w:highlight w:val="none"/>
        </w:rPr>
        <w:t>）法律、行政法规以及有关规定的其它情形。</w:t>
      </w:r>
    </w:p>
    <w:p w14:paraId="4E9D5921">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17.3.2</w:t>
      </w:r>
      <w:r>
        <w:rPr>
          <w:rFonts w:hint="eastAsia" w:ascii="仿宋" w:hAnsi="仿宋" w:eastAsia="仿宋"/>
          <w:sz w:val="24"/>
          <w:szCs w:val="24"/>
          <w:highlight w:val="none"/>
        </w:rPr>
        <w:t>不予退还的投标保证金应在规定时间内上缴国库。</w:t>
      </w:r>
    </w:p>
    <w:p w14:paraId="69735BFC">
      <w:pPr>
        <w:spacing w:line="440" w:lineRule="exact"/>
        <w:ind w:firstLine="560" w:firstLineChars="200"/>
        <w:outlineLvl w:val="2"/>
        <w:rPr>
          <w:rFonts w:ascii="楷体" w:hAnsi="楷体" w:eastAsia="楷体"/>
          <w:sz w:val="28"/>
          <w:szCs w:val="28"/>
          <w:highlight w:val="none"/>
        </w:rPr>
      </w:pPr>
      <w:bookmarkStart w:id="69" w:name="_Toc5889"/>
      <w:bookmarkStart w:id="70" w:name="_Toc494455670"/>
      <w:bookmarkStart w:id="71" w:name="_Toc18149"/>
      <w:bookmarkStart w:id="72" w:name="_Toc494455667"/>
      <w:r>
        <w:rPr>
          <w:rFonts w:hint="eastAsia" w:ascii="楷体" w:hAnsi="楷体" w:eastAsia="楷体"/>
          <w:sz w:val="28"/>
          <w:szCs w:val="28"/>
          <w:highlight w:val="none"/>
        </w:rPr>
        <w:t>18.开标、评标、定标</w:t>
      </w:r>
      <w:bookmarkEnd w:id="69"/>
      <w:bookmarkEnd w:id="70"/>
      <w:bookmarkEnd w:id="71"/>
    </w:p>
    <w:p w14:paraId="5B4E98B0">
      <w:pPr>
        <w:spacing w:line="440" w:lineRule="exact"/>
        <w:ind w:firstLine="480" w:firstLineChars="200"/>
        <w:rPr>
          <w:rFonts w:ascii="仿宋" w:hAnsi="仿宋" w:eastAsia="仿宋"/>
          <w:sz w:val="24"/>
          <w:szCs w:val="24"/>
          <w:highlight w:val="none"/>
        </w:rPr>
      </w:pPr>
      <w:bookmarkStart w:id="73" w:name="_Toc494455671"/>
      <w:r>
        <w:rPr>
          <w:rFonts w:hint="eastAsia" w:ascii="仿宋" w:hAnsi="仿宋" w:eastAsia="仿宋"/>
          <w:sz w:val="24"/>
          <w:szCs w:val="24"/>
          <w:highlight w:val="none"/>
        </w:rPr>
        <w:t>18.1开标程序</w:t>
      </w:r>
      <w:bookmarkEnd w:id="73"/>
    </w:p>
    <w:p w14:paraId="1EE4C44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w:t>
      </w:r>
      <w:r>
        <w:rPr>
          <w:rFonts w:ascii="仿宋" w:hAnsi="仿宋" w:eastAsia="仿宋"/>
          <w:sz w:val="24"/>
          <w:szCs w:val="24"/>
          <w:highlight w:val="none"/>
        </w:rPr>
        <w:t>.1</w:t>
      </w:r>
      <w:r>
        <w:rPr>
          <w:rFonts w:hint="eastAsia" w:ascii="仿宋" w:hAnsi="仿宋" w:eastAsia="仿宋"/>
          <w:sz w:val="24"/>
          <w:szCs w:val="24"/>
          <w:highlight w:val="none"/>
        </w:rPr>
        <w:t>.1宣布开标纪律；</w:t>
      </w:r>
    </w:p>
    <w:p w14:paraId="64D74B0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.2</w:t>
      </w:r>
      <w:r>
        <w:rPr>
          <w:rFonts w:hint="eastAsia" w:ascii="仿宋" w:hAnsi="仿宋" w:eastAsia="仿宋"/>
          <w:sz w:val="24"/>
          <w:szCs w:val="24"/>
          <w:highlight w:val="none"/>
        </w:rPr>
        <w:t>宣布主持人、唱标人、记录人等有关人员姓名；</w:t>
      </w:r>
    </w:p>
    <w:p w14:paraId="180DF3B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.3</w:t>
      </w:r>
      <w:r>
        <w:rPr>
          <w:rFonts w:hint="eastAsia" w:ascii="仿宋" w:hAnsi="仿宋" w:eastAsia="仿宋"/>
          <w:sz w:val="24"/>
          <w:szCs w:val="24"/>
          <w:highlight w:val="none"/>
        </w:rPr>
        <w:t>公布在投标截止时间前递交投标文件的投标人名称及签到顺序；</w:t>
      </w:r>
    </w:p>
    <w:p w14:paraId="2C1D502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.4</w:t>
      </w:r>
      <w:r>
        <w:rPr>
          <w:rFonts w:hint="eastAsia" w:ascii="仿宋" w:hAnsi="仿宋" w:eastAsia="仿宋"/>
          <w:sz w:val="24"/>
          <w:szCs w:val="24"/>
          <w:highlight w:val="none"/>
        </w:rPr>
        <w:t>投标人相互检查投标文件密封情况，并签字确认；</w:t>
      </w:r>
    </w:p>
    <w:p w14:paraId="06B5EF7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.5</w:t>
      </w:r>
      <w:r>
        <w:rPr>
          <w:rFonts w:hint="eastAsia" w:ascii="仿宋" w:hAnsi="仿宋" w:eastAsia="仿宋"/>
          <w:sz w:val="24"/>
          <w:szCs w:val="24"/>
          <w:highlight w:val="none"/>
        </w:rPr>
        <w:t>由公证人员、</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及监督对各投标单位验资，各投标人在验资表上签字确认；</w:t>
      </w:r>
    </w:p>
    <w:p w14:paraId="0D110A7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6开启投标文件，按照签到顺序公布投标人名称、投标报价等内容，并记录在案；</w:t>
      </w:r>
    </w:p>
    <w:p w14:paraId="1094A8D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7投标人法定代表人（或者被授权代表）、</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代表、记录人等有关人员在开标记录上签字确认；</w:t>
      </w:r>
    </w:p>
    <w:p w14:paraId="5D40A93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18.1</w:t>
      </w:r>
      <w:r>
        <w:rPr>
          <w:rFonts w:ascii="仿宋" w:hAnsi="仿宋" w:eastAsia="仿宋"/>
          <w:sz w:val="24"/>
          <w:szCs w:val="24"/>
          <w:highlight w:val="none"/>
        </w:rPr>
        <w:t>.</w:t>
      </w:r>
      <w:r>
        <w:rPr>
          <w:rFonts w:hint="eastAsia" w:ascii="仿宋" w:hAnsi="仿宋" w:eastAsia="仿宋"/>
          <w:sz w:val="24"/>
          <w:szCs w:val="24"/>
          <w:highlight w:val="none"/>
        </w:rPr>
        <w:t>8开标结束。</w:t>
      </w:r>
    </w:p>
    <w:p w14:paraId="2CD340CE">
      <w:pPr>
        <w:spacing w:line="440" w:lineRule="exact"/>
        <w:ind w:firstLine="480" w:firstLineChars="200"/>
        <w:rPr>
          <w:rFonts w:ascii="仿宋" w:hAnsi="仿宋" w:eastAsia="仿宋"/>
          <w:sz w:val="24"/>
          <w:szCs w:val="24"/>
          <w:highlight w:val="none"/>
        </w:rPr>
      </w:pPr>
      <w:bookmarkStart w:id="74" w:name="_Toc494455672"/>
      <w:r>
        <w:rPr>
          <w:rFonts w:hint="eastAsia" w:ascii="仿宋" w:hAnsi="仿宋" w:eastAsia="仿宋"/>
          <w:sz w:val="24"/>
          <w:szCs w:val="24"/>
          <w:highlight w:val="none"/>
        </w:rPr>
        <w:t>18.2开标</w:t>
      </w:r>
      <w:bookmarkEnd w:id="74"/>
    </w:p>
    <w:p w14:paraId="4B63ED37">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18.2</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开标应当在招标文件确定的提交投标文件截止时间的同一时间公开进行。开标地点应当为招标文件中预先确定的地点。</w:t>
      </w:r>
    </w:p>
    <w:p w14:paraId="061BA620">
      <w:pPr>
        <w:spacing w:line="440" w:lineRule="exact"/>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18.2</w:t>
      </w: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lang w:val="en-US" w:eastAsia="zh-CN"/>
          <w14:textFill>
            <w14:solidFill>
              <w14:schemeClr w14:val="tx1"/>
            </w14:solidFill>
          </w14:textFill>
        </w:rPr>
        <w:t>供应商应在供应商须知规定的时间内完成解密</w:t>
      </w:r>
      <w:r>
        <w:rPr>
          <w:rFonts w:hint="eastAsia" w:ascii="仿宋" w:hAnsi="仿宋" w:eastAsia="仿宋"/>
          <w:color w:val="000000" w:themeColor="text1"/>
          <w:sz w:val="24"/>
          <w:szCs w:val="24"/>
          <w:highlight w:val="none"/>
          <w14:textFill>
            <w14:solidFill>
              <w14:schemeClr w14:val="tx1"/>
            </w14:solidFill>
          </w14:textFill>
        </w:rPr>
        <w:t>。</w:t>
      </w:r>
    </w:p>
    <w:p w14:paraId="29C6B0F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.3</w:t>
      </w:r>
      <w:r>
        <w:rPr>
          <w:rFonts w:hint="eastAsia" w:ascii="仿宋" w:hAnsi="仿宋" w:eastAsia="仿宋"/>
          <w:sz w:val="24"/>
          <w:szCs w:val="24"/>
          <w:highlight w:val="none"/>
        </w:rPr>
        <w:t>由采购代理机构工作人员唱标。</w:t>
      </w:r>
    </w:p>
    <w:p w14:paraId="594DFA1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14:paraId="41E6FE3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.4</w:t>
      </w:r>
      <w:r>
        <w:rPr>
          <w:rFonts w:hint="eastAsia" w:ascii="仿宋" w:hAnsi="仿宋" w:eastAsia="仿宋"/>
          <w:sz w:val="24"/>
          <w:szCs w:val="24"/>
          <w:highlight w:val="none"/>
        </w:rPr>
        <w:t>开标和唱标由采购代理机构指定专人负责，开标记录由投标人法定代表人或者被授权代表、</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代表、记录人等有关人员签字确认，采购代理机构负责存档备查。</w:t>
      </w:r>
    </w:p>
    <w:p w14:paraId="2E0EA59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.5</w:t>
      </w:r>
      <w:r>
        <w:rPr>
          <w:rFonts w:hint="eastAsia" w:ascii="仿宋" w:hAnsi="仿宋" w:eastAsia="仿宋"/>
          <w:sz w:val="24"/>
          <w:szCs w:val="24"/>
          <w:highlight w:val="none"/>
        </w:rPr>
        <w:t>投标人代表对开标过程和开标记录有疑义，以及认为</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、采购代理机构相关工作人员有需要回避的情形的，应当场提出询问或者回避申请。</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、采购代理机构对投标人代表提出的询问或者回避申请应当及时处理。投标人未参加开标的，视同认可开标结果。</w:t>
      </w:r>
    </w:p>
    <w:p w14:paraId="65C49F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18.2.6投标人不足3家的，不得开标。</w:t>
      </w:r>
    </w:p>
    <w:p w14:paraId="6053554E">
      <w:pPr>
        <w:spacing w:line="440" w:lineRule="exact"/>
        <w:ind w:firstLine="480" w:firstLineChars="200"/>
        <w:rPr>
          <w:rFonts w:ascii="仿宋" w:hAnsi="仿宋" w:eastAsia="仿宋"/>
          <w:sz w:val="24"/>
          <w:szCs w:val="24"/>
          <w:highlight w:val="none"/>
        </w:rPr>
      </w:pPr>
      <w:bookmarkStart w:id="75" w:name="_Toc494455673"/>
      <w:r>
        <w:rPr>
          <w:rFonts w:hint="eastAsia" w:ascii="仿宋" w:hAnsi="仿宋" w:eastAsia="仿宋"/>
          <w:sz w:val="24"/>
          <w:szCs w:val="24"/>
          <w:highlight w:val="none"/>
        </w:rPr>
        <w:t>18.3评标委员会</w:t>
      </w:r>
      <w:bookmarkEnd w:id="75"/>
    </w:p>
    <w:p w14:paraId="6530758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.1</w:t>
      </w:r>
      <w:r>
        <w:rPr>
          <w:rFonts w:hint="eastAsia" w:ascii="仿宋" w:hAnsi="仿宋" w:eastAsia="仿宋"/>
          <w:sz w:val="24"/>
          <w:szCs w:val="24"/>
          <w:highlight w:val="none"/>
        </w:rPr>
        <w:t>评标委员会的组成</w:t>
      </w:r>
    </w:p>
    <w:p w14:paraId="7D709F7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按照《中华人民共和国政府采购法》以及有关规定组建评标委员会。评标由依法组建的评标委员会负责。评标委员会由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代表和评标专家组成，成员人数为</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人以上单数，技术、经济等方面的评审专家不得少于成员总数的三分之二。</w:t>
      </w:r>
      <w:r>
        <w:rPr>
          <w:rFonts w:ascii="仿宋" w:hAnsi="仿宋" w:eastAsia="仿宋"/>
          <w:sz w:val="24"/>
          <w:szCs w:val="24"/>
          <w:highlight w:val="none"/>
        </w:rPr>
        <w:t>评审专家对本单位的采购项目只能作为</w:t>
      </w:r>
      <w:r>
        <w:rPr>
          <w:rFonts w:hint="eastAsia" w:ascii="仿宋" w:hAnsi="仿宋" w:eastAsia="仿宋"/>
          <w:sz w:val="24"/>
          <w:szCs w:val="24"/>
          <w:highlight w:val="none"/>
          <w:lang w:eastAsia="zh-CN"/>
        </w:rPr>
        <w:t>招标人</w:t>
      </w:r>
      <w:r>
        <w:rPr>
          <w:rFonts w:ascii="仿宋" w:hAnsi="仿宋" w:eastAsia="仿宋"/>
          <w:sz w:val="24"/>
          <w:szCs w:val="24"/>
          <w:highlight w:val="none"/>
        </w:rPr>
        <w:t>代表参与评标，</w:t>
      </w:r>
      <w:r>
        <w:rPr>
          <w:rFonts w:hint="eastAsia" w:ascii="仿宋" w:hAnsi="仿宋" w:eastAsia="仿宋"/>
          <w:sz w:val="24"/>
          <w:szCs w:val="24"/>
          <w:highlight w:val="none"/>
          <w:lang w:eastAsia="zh-CN"/>
        </w:rPr>
        <w:t>招标人</w:t>
      </w:r>
      <w:r>
        <w:rPr>
          <w:rFonts w:ascii="仿宋" w:hAnsi="仿宋" w:eastAsia="仿宋"/>
          <w:sz w:val="24"/>
          <w:szCs w:val="24"/>
          <w:highlight w:val="none"/>
        </w:rPr>
        <w:t>可以自行选定相应专业领域评审专家</w:t>
      </w:r>
      <w:r>
        <w:rPr>
          <w:rFonts w:hint="eastAsia" w:ascii="仿宋" w:hAnsi="仿宋" w:eastAsia="仿宋"/>
          <w:sz w:val="24"/>
          <w:szCs w:val="24"/>
          <w:highlight w:val="none"/>
        </w:rPr>
        <w:t>的</w:t>
      </w:r>
      <w:r>
        <w:rPr>
          <w:rFonts w:ascii="仿宋" w:hAnsi="仿宋" w:eastAsia="仿宋"/>
          <w:sz w:val="24"/>
          <w:szCs w:val="24"/>
          <w:highlight w:val="none"/>
        </w:rPr>
        <w:t>规定情形除外。采购代理机构工作人员不得参加由本机构代理的政府采购项目的评标。</w:t>
      </w:r>
    </w:p>
    <w:p w14:paraId="4E9B9B5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w:t>
      </w:r>
      <w:r>
        <w:rPr>
          <w:rFonts w:hint="eastAsia" w:ascii="仿宋" w:hAnsi="仿宋" w:eastAsia="仿宋"/>
          <w:sz w:val="24"/>
          <w:szCs w:val="24"/>
          <w:highlight w:val="none"/>
        </w:rPr>
        <w:t>评审专家的抽取</w:t>
      </w:r>
    </w:p>
    <w:p w14:paraId="393F795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.2.1</w:t>
      </w:r>
      <w:r>
        <w:rPr>
          <w:rFonts w:hint="eastAsia" w:ascii="仿宋" w:hAnsi="仿宋" w:eastAsia="仿宋"/>
          <w:sz w:val="24"/>
          <w:szCs w:val="24"/>
          <w:highlight w:val="none"/>
        </w:rPr>
        <w:t>采用随机抽取方式从地区以上财政部门设立的政府采购评审专家库中抽取评审专家。任何单位和个人都不得指定评审专家或干预评审专家的抽取工作。</w:t>
      </w:r>
    </w:p>
    <w:p w14:paraId="732D715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.2.2</w:t>
      </w:r>
      <w:r>
        <w:rPr>
          <w:rFonts w:hint="eastAsia" w:ascii="仿宋" w:hAnsi="仿宋" w:eastAsia="仿宋"/>
          <w:sz w:val="24"/>
          <w:szCs w:val="24"/>
          <w:highlight w:val="none"/>
        </w:rPr>
        <w:t>参加评审专家抽取的有关人员对被抽取的专家的姓名、单位和联系方式等内容负有保密的义务。评标委员会成员的名单在中标结果确定前必须严格保密。</w:t>
      </w:r>
    </w:p>
    <w:p w14:paraId="4FF0D2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.3</w:t>
      </w:r>
      <w:r>
        <w:rPr>
          <w:rFonts w:hint="eastAsia" w:ascii="仿宋" w:hAnsi="仿宋" w:eastAsia="仿宋"/>
          <w:sz w:val="24"/>
          <w:szCs w:val="24"/>
          <w:highlight w:val="none"/>
        </w:rPr>
        <w:t>评标委员会成员不得参加与自己有利害关系的评审活动，与自己有利害关系的应当回避，已经进入的必须更换。</w:t>
      </w:r>
    </w:p>
    <w:p w14:paraId="2E24173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.4</w:t>
      </w:r>
      <w:r>
        <w:rPr>
          <w:rFonts w:hint="eastAsia" w:ascii="仿宋" w:hAnsi="仿宋" w:eastAsia="仿宋"/>
          <w:sz w:val="24"/>
          <w:szCs w:val="24"/>
          <w:highlight w:val="none"/>
        </w:rPr>
        <w:t>评标委员会负责对各投标文件进行评审、比较、评定，并按本招标文件的规定确定中标候选人名单，以及根据</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委托直接确定中标人。</w:t>
      </w:r>
    </w:p>
    <w:p w14:paraId="4C0B3B0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.5</w:t>
      </w:r>
      <w:r>
        <w:rPr>
          <w:rFonts w:hint="eastAsia" w:ascii="仿宋" w:hAnsi="仿宋" w:eastAsia="仿宋"/>
          <w:sz w:val="24"/>
          <w:szCs w:val="24"/>
          <w:highlight w:val="none"/>
        </w:rPr>
        <w:t>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14:paraId="7EA91B9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.6</w:t>
      </w:r>
      <w:r>
        <w:rPr>
          <w:rFonts w:hint="eastAsia" w:ascii="仿宋" w:hAnsi="仿宋" w:eastAsia="仿宋"/>
          <w:sz w:val="24"/>
          <w:szCs w:val="24"/>
          <w:highlight w:val="none"/>
        </w:rPr>
        <w:t>评标委员会的职责：</w:t>
      </w:r>
    </w:p>
    <w:p w14:paraId="6F0B2BC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18.3.6.1</w:t>
      </w:r>
      <w:r>
        <w:rPr>
          <w:rFonts w:ascii="仿宋" w:hAnsi="仿宋" w:eastAsia="仿宋"/>
          <w:sz w:val="24"/>
          <w:szCs w:val="24"/>
          <w:highlight w:val="none"/>
        </w:rPr>
        <w:t>审查、评价投标文件是否符合招标文件的商务、技术等实质性要求；</w:t>
      </w:r>
    </w:p>
    <w:p w14:paraId="14218E8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18.3.6.2</w:t>
      </w:r>
      <w:r>
        <w:rPr>
          <w:rFonts w:ascii="仿宋" w:hAnsi="仿宋" w:eastAsia="仿宋"/>
          <w:sz w:val="24"/>
          <w:szCs w:val="24"/>
          <w:highlight w:val="none"/>
        </w:rPr>
        <w:t>要求投标人对投标文件有关事项作出澄清或者说明；</w:t>
      </w:r>
    </w:p>
    <w:p w14:paraId="071CF75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18.3.6.3</w:t>
      </w:r>
      <w:r>
        <w:rPr>
          <w:rFonts w:ascii="仿宋" w:hAnsi="仿宋" w:eastAsia="仿宋"/>
          <w:sz w:val="24"/>
          <w:szCs w:val="24"/>
          <w:highlight w:val="none"/>
        </w:rPr>
        <w:t>对投标文件进行比较和评价；</w:t>
      </w:r>
    </w:p>
    <w:p w14:paraId="64D914C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18.3.6.4</w:t>
      </w:r>
      <w:r>
        <w:rPr>
          <w:rFonts w:ascii="仿宋" w:hAnsi="仿宋" w:eastAsia="仿宋"/>
          <w:sz w:val="24"/>
          <w:szCs w:val="24"/>
          <w:highlight w:val="none"/>
        </w:rPr>
        <w:t>确定中标候选人名单，以及根据</w:t>
      </w:r>
      <w:r>
        <w:rPr>
          <w:rFonts w:hint="eastAsia" w:ascii="仿宋" w:hAnsi="仿宋" w:eastAsia="仿宋"/>
          <w:sz w:val="24"/>
          <w:szCs w:val="24"/>
          <w:highlight w:val="none"/>
          <w:lang w:eastAsia="zh-CN"/>
        </w:rPr>
        <w:t>招标人</w:t>
      </w:r>
      <w:r>
        <w:rPr>
          <w:rFonts w:ascii="仿宋" w:hAnsi="仿宋" w:eastAsia="仿宋"/>
          <w:sz w:val="24"/>
          <w:szCs w:val="24"/>
          <w:highlight w:val="none"/>
        </w:rPr>
        <w:t>委托直接确定中标人；</w:t>
      </w:r>
    </w:p>
    <w:p w14:paraId="77BD3DA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18.3.6.5</w:t>
      </w:r>
      <w:r>
        <w:rPr>
          <w:rFonts w:ascii="仿宋" w:hAnsi="仿宋" w:eastAsia="仿宋"/>
          <w:sz w:val="24"/>
          <w:szCs w:val="24"/>
          <w:highlight w:val="none"/>
        </w:rPr>
        <w:t>向</w:t>
      </w:r>
      <w:r>
        <w:rPr>
          <w:rFonts w:hint="eastAsia" w:ascii="仿宋" w:hAnsi="仿宋" w:eastAsia="仿宋"/>
          <w:sz w:val="24"/>
          <w:szCs w:val="24"/>
          <w:highlight w:val="none"/>
          <w:lang w:eastAsia="zh-CN"/>
        </w:rPr>
        <w:t>招标人</w:t>
      </w:r>
      <w:r>
        <w:rPr>
          <w:rFonts w:ascii="仿宋" w:hAnsi="仿宋" w:eastAsia="仿宋"/>
          <w:sz w:val="24"/>
          <w:szCs w:val="24"/>
          <w:highlight w:val="none"/>
        </w:rPr>
        <w:t>、采购代理机构或者有关部门报告评标中发现的违法行为。</w:t>
      </w:r>
    </w:p>
    <w:p w14:paraId="208CC8E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.7</w:t>
      </w:r>
      <w:r>
        <w:rPr>
          <w:rFonts w:hint="eastAsia" w:ascii="仿宋" w:hAnsi="仿宋" w:eastAsia="仿宋"/>
          <w:sz w:val="24"/>
          <w:szCs w:val="24"/>
          <w:highlight w:val="none"/>
        </w:rPr>
        <w:t>评标委员会的义务：</w:t>
      </w:r>
    </w:p>
    <w:p w14:paraId="59B5EC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1</w:t>
      </w:r>
      <w:r>
        <w:rPr>
          <w:rFonts w:hint="eastAsia" w:ascii="仿宋" w:hAnsi="仿宋" w:eastAsia="仿宋"/>
          <w:sz w:val="24"/>
          <w:szCs w:val="24"/>
          <w:highlight w:val="none"/>
        </w:rPr>
        <w:t>遵纪守法，客观、公正、廉洁地履行职责；</w:t>
      </w:r>
    </w:p>
    <w:p w14:paraId="3C7BD26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2</w:t>
      </w:r>
      <w:r>
        <w:rPr>
          <w:rFonts w:hint="eastAsia" w:ascii="仿宋" w:hAnsi="仿宋" w:eastAsia="仿宋"/>
          <w:sz w:val="24"/>
          <w:szCs w:val="24"/>
          <w:highlight w:val="none"/>
        </w:rPr>
        <w:t>提出真实、可靠的评审意见；</w:t>
      </w:r>
    </w:p>
    <w:p w14:paraId="0807E40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3</w:t>
      </w:r>
      <w:r>
        <w:rPr>
          <w:rFonts w:hint="eastAsia" w:ascii="仿宋" w:hAnsi="仿宋" w:eastAsia="仿宋"/>
          <w:sz w:val="24"/>
          <w:szCs w:val="24"/>
          <w:highlight w:val="none"/>
        </w:rPr>
        <w:t>严格遵守评标纪律，不得向外界泄露评标情况；</w:t>
      </w:r>
    </w:p>
    <w:p w14:paraId="038A6CC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4</w:t>
      </w:r>
      <w:r>
        <w:rPr>
          <w:rFonts w:hint="eastAsia" w:ascii="仿宋" w:hAnsi="仿宋" w:eastAsia="仿宋"/>
          <w:sz w:val="24"/>
          <w:szCs w:val="24"/>
          <w:highlight w:val="none"/>
        </w:rPr>
        <w:t>发现投标人在招投标活动中有不正当竞争或者恶意串通等违规行为，应及时向监督部门报告并加以制止；</w:t>
      </w:r>
    </w:p>
    <w:p w14:paraId="61D6B0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5</w:t>
      </w:r>
      <w:r>
        <w:rPr>
          <w:rFonts w:hint="eastAsia" w:ascii="仿宋" w:hAnsi="仿宋" w:eastAsia="仿宋"/>
          <w:sz w:val="24"/>
          <w:szCs w:val="24"/>
          <w:highlight w:val="none"/>
        </w:rPr>
        <w:t>按照招标文件规定的评标方法和评标标准进行评标，对评标意见承担个人责任；</w:t>
      </w:r>
    </w:p>
    <w:p w14:paraId="4746238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6</w:t>
      </w:r>
      <w:r>
        <w:rPr>
          <w:rFonts w:hint="eastAsia" w:ascii="仿宋" w:hAnsi="仿宋" w:eastAsia="仿宋"/>
          <w:sz w:val="24"/>
          <w:szCs w:val="24"/>
          <w:highlight w:val="none"/>
        </w:rPr>
        <w:t>编写评标报告；</w:t>
      </w:r>
    </w:p>
    <w:p w14:paraId="13C15F4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7</w:t>
      </w:r>
      <w:r>
        <w:rPr>
          <w:rFonts w:hint="eastAsia" w:ascii="仿宋" w:hAnsi="仿宋" w:eastAsia="仿宋"/>
          <w:sz w:val="24"/>
          <w:szCs w:val="24"/>
          <w:highlight w:val="none"/>
        </w:rPr>
        <w:t>配合</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或者采购代理机构答复投标人提出的质疑；</w:t>
      </w:r>
    </w:p>
    <w:p w14:paraId="0C4E9FB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8</w:t>
      </w:r>
      <w:r>
        <w:rPr>
          <w:rFonts w:hint="eastAsia" w:ascii="仿宋" w:hAnsi="仿宋" w:eastAsia="仿宋"/>
          <w:sz w:val="24"/>
          <w:szCs w:val="24"/>
          <w:highlight w:val="none"/>
        </w:rPr>
        <w:t>对评标过程和结果，以及</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、投标人的商业秘密保密；</w:t>
      </w:r>
    </w:p>
    <w:p w14:paraId="4732E6E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18.3.7.</w:t>
      </w:r>
      <w:r>
        <w:rPr>
          <w:rFonts w:ascii="仿宋" w:hAnsi="仿宋" w:eastAsia="仿宋"/>
          <w:sz w:val="24"/>
          <w:szCs w:val="24"/>
          <w:highlight w:val="none"/>
        </w:rPr>
        <w:t>9</w:t>
      </w:r>
      <w:r>
        <w:rPr>
          <w:rFonts w:hint="eastAsia" w:ascii="仿宋" w:hAnsi="仿宋" w:eastAsia="仿宋"/>
          <w:sz w:val="24"/>
          <w:szCs w:val="24"/>
          <w:highlight w:val="none"/>
        </w:rPr>
        <w:t>配合监管部门处理投诉；</w:t>
      </w:r>
    </w:p>
    <w:p w14:paraId="4B4619E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w:t>
      </w:r>
      <w:r>
        <w:rPr>
          <w:rFonts w:hint="eastAsia" w:ascii="仿宋" w:hAnsi="仿宋" w:eastAsia="仿宋"/>
          <w:sz w:val="24"/>
          <w:szCs w:val="24"/>
          <w:highlight w:val="none"/>
        </w:rPr>
        <w:t>评标委员会成员有下列情形之一的，应当回避</w:t>
      </w:r>
      <w:r>
        <w:rPr>
          <w:rFonts w:ascii="仿宋" w:hAnsi="仿宋" w:eastAsia="仿宋"/>
          <w:sz w:val="24"/>
          <w:szCs w:val="24"/>
          <w:highlight w:val="none"/>
        </w:rPr>
        <w:t>：</w:t>
      </w:r>
    </w:p>
    <w:p w14:paraId="1F30366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.8.1</w:t>
      </w:r>
      <w:r>
        <w:rPr>
          <w:rFonts w:hint="eastAsia" w:ascii="仿宋" w:hAnsi="仿宋" w:eastAsia="仿宋"/>
          <w:sz w:val="24"/>
          <w:szCs w:val="24"/>
          <w:highlight w:val="none"/>
        </w:rPr>
        <w:t>投标人或者投标人主要负责人的近亲属；</w:t>
      </w:r>
    </w:p>
    <w:p w14:paraId="59602E7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.8.2</w:t>
      </w:r>
      <w:r>
        <w:rPr>
          <w:rFonts w:hint="eastAsia" w:ascii="仿宋" w:hAnsi="仿宋" w:eastAsia="仿宋"/>
          <w:sz w:val="24"/>
          <w:szCs w:val="24"/>
          <w:highlight w:val="none"/>
        </w:rPr>
        <w:t>项目主管部门或者行政监督部门的人员；</w:t>
      </w:r>
    </w:p>
    <w:p w14:paraId="78587ED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.8.3</w:t>
      </w:r>
      <w:r>
        <w:rPr>
          <w:rFonts w:hint="eastAsia" w:ascii="仿宋" w:hAnsi="仿宋" w:eastAsia="仿宋"/>
          <w:sz w:val="24"/>
          <w:szCs w:val="24"/>
          <w:highlight w:val="none"/>
        </w:rPr>
        <w:t>与投标人有经济利益关系；</w:t>
      </w:r>
    </w:p>
    <w:p w14:paraId="3A0B686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.8.4</w:t>
      </w:r>
      <w:r>
        <w:rPr>
          <w:rFonts w:hint="eastAsia" w:ascii="仿宋" w:hAnsi="仿宋" w:eastAsia="仿宋"/>
          <w:sz w:val="24"/>
          <w:szCs w:val="24"/>
          <w:highlight w:val="none"/>
        </w:rPr>
        <w:t>曾因在招标、评标以及其他与招标投标有关系活动中从事违法行为而受到行政处罚或者刑事处罚的；</w:t>
      </w:r>
    </w:p>
    <w:p w14:paraId="10EB775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w:t>
      </w:r>
      <w:r>
        <w:rPr>
          <w:rFonts w:ascii="仿宋" w:hAnsi="仿宋" w:eastAsia="仿宋"/>
          <w:sz w:val="24"/>
          <w:szCs w:val="24"/>
          <w:highlight w:val="none"/>
        </w:rPr>
        <w:t>.8.5</w:t>
      </w:r>
      <w:r>
        <w:rPr>
          <w:rFonts w:hint="eastAsia" w:ascii="仿宋" w:hAnsi="仿宋" w:eastAsia="仿宋"/>
          <w:sz w:val="24"/>
          <w:szCs w:val="24"/>
          <w:highlight w:val="none"/>
        </w:rPr>
        <w:t>与投标人有其他利害关系。</w:t>
      </w:r>
    </w:p>
    <w:p w14:paraId="52E7501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18.3.9评标中因评标委员会成员缺席、回避或者健康等特殊原因导致评标委员会组成不符合本办法规定的，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或者采购代理机构应当依法补足后继续评标。被更换的评标委员会成员所作出的评标意见无效。</w:t>
      </w:r>
    </w:p>
    <w:p w14:paraId="4B87C44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无法及时补足评标委员会成员的，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或者采购代理机构应当停止评标活动，封存所有投标文件和开标、评标资料，依法重新组建评标委员会进行评标。原评标委员会所作出的评标意见无效。</w:t>
      </w:r>
    </w:p>
    <w:p w14:paraId="28EED1E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或者采购代理机构应当将变更、重新组建评标委员会的情况予以记录，并随采购文件一并存档。</w:t>
      </w:r>
    </w:p>
    <w:p w14:paraId="0020B49D">
      <w:pPr>
        <w:spacing w:line="440" w:lineRule="exact"/>
        <w:ind w:firstLine="480" w:firstLineChars="200"/>
        <w:rPr>
          <w:rFonts w:ascii="仿宋" w:hAnsi="仿宋" w:eastAsia="仿宋"/>
          <w:sz w:val="24"/>
          <w:szCs w:val="24"/>
          <w:highlight w:val="none"/>
        </w:rPr>
      </w:pPr>
      <w:bookmarkStart w:id="76" w:name="_Toc494455674"/>
      <w:r>
        <w:rPr>
          <w:rFonts w:hint="eastAsia" w:ascii="仿宋" w:hAnsi="仿宋" w:eastAsia="仿宋"/>
          <w:sz w:val="24"/>
          <w:szCs w:val="24"/>
          <w:highlight w:val="none"/>
        </w:rPr>
        <w:t>18.4评标程序</w:t>
      </w:r>
      <w:bookmarkEnd w:id="76"/>
    </w:p>
    <w:p w14:paraId="461A179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1</w:t>
      </w:r>
      <w:r>
        <w:rPr>
          <w:rFonts w:hint="eastAsia" w:ascii="仿宋" w:hAnsi="仿宋" w:eastAsia="仿宋"/>
          <w:sz w:val="24"/>
          <w:szCs w:val="24"/>
          <w:highlight w:val="none"/>
        </w:rPr>
        <w:t>宣布评标纪律以及回避提示；</w:t>
      </w:r>
    </w:p>
    <w:p w14:paraId="5918DB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2</w:t>
      </w:r>
      <w:r>
        <w:rPr>
          <w:rFonts w:hint="eastAsia" w:ascii="仿宋" w:hAnsi="仿宋" w:eastAsia="仿宋"/>
          <w:sz w:val="24"/>
          <w:szCs w:val="24"/>
          <w:highlight w:val="none"/>
        </w:rPr>
        <w:t>组织推荐评标委员会组长；</w:t>
      </w:r>
    </w:p>
    <w:p w14:paraId="1B6A18D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3</w:t>
      </w:r>
      <w:r>
        <w:rPr>
          <w:rFonts w:hint="eastAsia" w:ascii="仿宋" w:hAnsi="仿宋" w:eastAsia="仿宋"/>
          <w:sz w:val="24"/>
          <w:szCs w:val="24"/>
          <w:highlight w:val="none"/>
        </w:rPr>
        <w:t>资格性审查；</w:t>
      </w:r>
    </w:p>
    <w:p w14:paraId="32B3D85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4</w:t>
      </w:r>
      <w:r>
        <w:rPr>
          <w:rFonts w:hint="eastAsia" w:ascii="仿宋" w:hAnsi="仿宋" w:eastAsia="仿宋"/>
          <w:sz w:val="24"/>
          <w:szCs w:val="24"/>
          <w:highlight w:val="none"/>
        </w:rPr>
        <w:t>符合性审查；</w:t>
      </w:r>
    </w:p>
    <w:p w14:paraId="2272DB5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5</w:t>
      </w:r>
      <w:r>
        <w:rPr>
          <w:rFonts w:hint="eastAsia" w:ascii="仿宋" w:hAnsi="仿宋" w:eastAsia="仿宋"/>
          <w:sz w:val="24"/>
          <w:szCs w:val="24"/>
          <w:highlight w:val="none"/>
        </w:rPr>
        <w:t>技术和商务评审；</w:t>
      </w:r>
    </w:p>
    <w:p w14:paraId="48C05EC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6</w:t>
      </w:r>
      <w:r>
        <w:rPr>
          <w:rFonts w:hint="eastAsia" w:ascii="仿宋" w:hAnsi="仿宋" w:eastAsia="仿宋"/>
          <w:sz w:val="24"/>
          <w:szCs w:val="24"/>
          <w:highlight w:val="none"/>
        </w:rPr>
        <w:t>澄清有关问题；</w:t>
      </w:r>
    </w:p>
    <w:p w14:paraId="72C6717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7</w:t>
      </w:r>
      <w:r>
        <w:rPr>
          <w:rFonts w:hint="eastAsia" w:ascii="仿宋" w:hAnsi="仿宋" w:eastAsia="仿宋"/>
          <w:sz w:val="24"/>
          <w:szCs w:val="24"/>
          <w:highlight w:val="none"/>
        </w:rPr>
        <w:t>比较与评价；</w:t>
      </w:r>
    </w:p>
    <w:p w14:paraId="0C589E4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8</w:t>
      </w:r>
      <w:r>
        <w:rPr>
          <w:rFonts w:hint="eastAsia" w:ascii="仿宋" w:hAnsi="仿宋" w:eastAsia="仿宋"/>
          <w:sz w:val="24"/>
          <w:szCs w:val="24"/>
          <w:highlight w:val="none"/>
        </w:rPr>
        <w:t>确定中标人或者推荐中标候选人名单；</w:t>
      </w:r>
    </w:p>
    <w:p w14:paraId="0175DA2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9</w:t>
      </w:r>
      <w:r>
        <w:rPr>
          <w:rFonts w:hint="eastAsia" w:ascii="仿宋" w:hAnsi="仿宋" w:eastAsia="仿宋"/>
          <w:sz w:val="24"/>
          <w:szCs w:val="24"/>
          <w:highlight w:val="none"/>
        </w:rPr>
        <w:t>编写评标报告；</w:t>
      </w:r>
    </w:p>
    <w:p w14:paraId="7E9E3F8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18.4.</w:t>
      </w:r>
      <w:r>
        <w:rPr>
          <w:rFonts w:ascii="仿宋" w:hAnsi="仿宋" w:eastAsia="仿宋"/>
          <w:sz w:val="24"/>
          <w:szCs w:val="24"/>
          <w:highlight w:val="none"/>
        </w:rPr>
        <w:t>10</w:t>
      </w:r>
      <w:r>
        <w:rPr>
          <w:rFonts w:hint="eastAsia" w:ascii="仿宋" w:hAnsi="仿宋" w:eastAsia="仿宋"/>
          <w:sz w:val="24"/>
          <w:szCs w:val="24"/>
          <w:highlight w:val="none"/>
        </w:rPr>
        <w:t>宣布评标结果。</w:t>
      </w:r>
    </w:p>
    <w:p w14:paraId="512DF6A7">
      <w:pPr>
        <w:spacing w:line="440" w:lineRule="exact"/>
        <w:ind w:firstLine="480" w:firstLineChars="200"/>
        <w:rPr>
          <w:rFonts w:ascii="仿宋" w:hAnsi="仿宋" w:eastAsia="仿宋"/>
          <w:sz w:val="24"/>
          <w:szCs w:val="24"/>
          <w:highlight w:val="none"/>
        </w:rPr>
      </w:pPr>
      <w:bookmarkStart w:id="77" w:name="_Toc494455675"/>
      <w:r>
        <w:rPr>
          <w:rFonts w:hint="eastAsia" w:ascii="仿宋" w:hAnsi="仿宋" w:eastAsia="仿宋"/>
          <w:sz w:val="24"/>
          <w:szCs w:val="24"/>
          <w:highlight w:val="none"/>
        </w:rPr>
        <w:t>18.5评标</w:t>
      </w:r>
      <w:bookmarkEnd w:id="77"/>
    </w:p>
    <w:p w14:paraId="53CFDF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w:t>
      </w:r>
      <w:r>
        <w:rPr>
          <w:rFonts w:hint="eastAsia" w:ascii="仿宋" w:hAnsi="仿宋" w:eastAsia="仿宋"/>
          <w:sz w:val="24"/>
          <w:szCs w:val="24"/>
          <w:highlight w:val="none"/>
          <w:lang w:eastAsia="zh-CN"/>
        </w:rPr>
        <w:t>招标人</w:t>
      </w:r>
      <w:r>
        <w:rPr>
          <w:rFonts w:ascii="仿宋" w:hAnsi="仿宋" w:eastAsia="仿宋"/>
          <w:sz w:val="24"/>
          <w:szCs w:val="24"/>
          <w:highlight w:val="none"/>
        </w:rPr>
        <w:t>或者采购代理机构负责组织评标工作，并履行下列职责：</w:t>
      </w:r>
    </w:p>
    <w:p w14:paraId="0BFCC7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18.5.1.1</w:t>
      </w:r>
      <w:r>
        <w:rPr>
          <w:rFonts w:ascii="仿宋" w:hAnsi="仿宋" w:eastAsia="仿宋"/>
          <w:sz w:val="24"/>
          <w:szCs w:val="24"/>
          <w:highlight w:val="none"/>
        </w:rPr>
        <w:t>核对评审专家身份和</w:t>
      </w:r>
      <w:r>
        <w:rPr>
          <w:rFonts w:hint="eastAsia" w:ascii="仿宋" w:hAnsi="仿宋" w:eastAsia="仿宋"/>
          <w:sz w:val="24"/>
          <w:szCs w:val="24"/>
          <w:highlight w:val="none"/>
          <w:lang w:eastAsia="zh-CN"/>
        </w:rPr>
        <w:t>招标人</w:t>
      </w:r>
      <w:r>
        <w:rPr>
          <w:rFonts w:ascii="仿宋" w:hAnsi="仿宋" w:eastAsia="仿宋"/>
          <w:sz w:val="24"/>
          <w:szCs w:val="24"/>
          <w:highlight w:val="none"/>
        </w:rPr>
        <w:t>代表授权函，对评审专家在政府采购活动中的职责履行情况予以记录，并及时将有关违法违规行为向财政部门报告；</w:t>
      </w:r>
    </w:p>
    <w:p w14:paraId="51B3C71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18.5.1.2</w:t>
      </w:r>
      <w:r>
        <w:rPr>
          <w:rFonts w:ascii="仿宋" w:hAnsi="仿宋" w:eastAsia="仿宋"/>
          <w:sz w:val="24"/>
          <w:szCs w:val="24"/>
          <w:highlight w:val="none"/>
        </w:rPr>
        <w:t>宣布评标纪律；</w:t>
      </w:r>
    </w:p>
    <w:p w14:paraId="082C17E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18.5.1.3</w:t>
      </w:r>
      <w:r>
        <w:rPr>
          <w:rFonts w:ascii="仿宋" w:hAnsi="仿宋" w:eastAsia="仿宋"/>
          <w:sz w:val="24"/>
          <w:szCs w:val="24"/>
          <w:highlight w:val="none"/>
        </w:rPr>
        <w:t>公布投标人名单，告知评审专家应当回避的情形；</w:t>
      </w:r>
    </w:p>
    <w:p w14:paraId="533AD8E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18.5.1.4</w:t>
      </w:r>
      <w:r>
        <w:rPr>
          <w:rFonts w:ascii="仿宋" w:hAnsi="仿宋" w:eastAsia="仿宋"/>
          <w:sz w:val="24"/>
          <w:szCs w:val="24"/>
          <w:highlight w:val="none"/>
        </w:rPr>
        <w:t>组织评标委员会推选评标组长，</w:t>
      </w:r>
      <w:r>
        <w:rPr>
          <w:rFonts w:hint="eastAsia" w:ascii="仿宋" w:hAnsi="仿宋" w:eastAsia="仿宋"/>
          <w:sz w:val="24"/>
          <w:szCs w:val="24"/>
          <w:highlight w:val="none"/>
          <w:lang w:eastAsia="zh-CN"/>
        </w:rPr>
        <w:t>招标人</w:t>
      </w:r>
      <w:r>
        <w:rPr>
          <w:rFonts w:ascii="仿宋" w:hAnsi="仿宋" w:eastAsia="仿宋"/>
          <w:sz w:val="24"/>
          <w:szCs w:val="24"/>
          <w:highlight w:val="none"/>
        </w:rPr>
        <w:t>代表不得担任组长；</w:t>
      </w:r>
    </w:p>
    <w:p w14:paraId="03EA89D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18.5.1.5</w:t>
      </w:r>
      <w:r>
        <w:rPr>
          <w:rFonts w:ascii="仿宋" w:hAnsi="仿宋" w:eastAsia="仿宋"/>
          <w:sz w:val="24"/>
          <w:szCs w:val="24"/>
          <w:highlight w:val="none"/>
        </w:rPr>
        <w:t>在评标期间采取必要的通讯管理措施，保证评标活动不受外界干扰；</w:t>
      </w:r>
    </w:p>
    <w:p w14:paraId="08D37E5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18.5.1.6</w:t>
      </w:r>
      <w:r>
        <w:rPr>
          <w:rFonts w:ascii="仿宋" w:hAnsi="仿宋" w:eastAsia="仿宋"/>
          <w:sz w:val="24"/>
          <w:szCs w:val="24"/>
          <w:highlight w:val="none"/>
        </w:rPr>
        <w:t>根据评标委员会的要求介绍政府采购相关政策法规、招标文件；</w:t>
      </w:r>
    </w:p>
    <w:p w14:paraId="766D285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18.5.1.7</w:t>
      </w:r>
      <w:r>
        <w:rPr>
          <w:rFonts w:ascii="仿宋" w:hAnsi="仿宋" w:eastAsia="仿宋"/>
          <w:sz w:val="24"/>
          <w:szCs w:val="24"/>
          <w:highlight w:val="none"/>
        </w:rPr>
        <w:t>维护评标秩序，监督评标委员会依照招标文件规定的评标程序、方法和标准进行独立评审，及时制止和纠正</w:t>
      </w:r>
      <w:r>
        <w:rPr>
          <w:rFonts w:hint="eastAsia" w:ascii="仿宋" w:hAnsi="仿宋" w:eastAsia="仿宋"/>
          <w:sz w:val="24"/>
          <w:szCs w:val="24"/>
          <w:highlight w:val="none"/>
          <w:lang w:eastAsia="zh-CN"/>
        </w:rPr>
        <w:t>招标人</w:t>
      </w:r>
      <w:r>
        <w:rPr>
          <w:rFonts w:ascii="仿宋" w:hAnsi="仿宋" w:eastAsia="仿宋"/>
          <w:sz w:val="24"/>
          <w:szCs w:val="24"/>
          <w:highlight w:val="none"/>
        </w:rPr>
        <w:t>代表、评审专家的倾向性言论或者违法违规行为；</w:t>
      </w:r>
    </w:p>
    <w:p w14:paraId="1370EAF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w:t>
      </w:r>
      <w:r>
        <w:rPr>
          <w:rFonts w:ascii="仿宋" w:hAnsi="仿宋" w:eastAsia="仿宋"/>
          <w:sz w:val="24"/>
          <w:szCs w:val="24"/>
          <w:highlight w:val="none"/>
        </w:rPr>
        <w:t>核对评标结果，有</w:t>
      </w:r>
      <w:r>
        <w:rPr>
          <w:rFonts w:hint="eastAsia" w:ascii="仿宋" w:hAnsi="仿宋" w:eastAsia="仿宋"/>
          <w:sz w:val="24"/>
          <w:szCs w:val="24"/>
          <w:highlight w:val="none"/>
        </w:rPr>
        <w:t>以下</w:t>
      </w:r>
      <w:r>
        <w:rPr>
          <w:rFonts w:ascii="仿宋" w:hAnsi="仿宋" w:eastAsia="仿宋"/>
          <w:sz w:val="24"/>
          <w:szCs w:val="24"/>
          <w:highlight w:val="none"/>
        </w:rPr>
        <w:t>情形的，要求评标委员会复核或者书面说明理由，评标委员会拒绝的，应予记录并向本级财政部门报告；</w:t>
      </w:r>
    </w:p>
    <w:p w14:paraId="577CDC0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18.5.1.8.1</w:t>
      </w:r>
      <w:r>
        <w:rPr>
          <w:rFonts w:ascii="仿宋" w:hAnsi="仿宋" w:eastAsia="仿宋"/>
          <w:sz w:val="24"/>
          <w:szCs w:val="24"/>
          <w:highlight w:val="none"/>
        </w:rPr>
        <w:t>分值汇总计算错误的；</w:t>
      </w:r>
    </w:p>
    <w:p w14:paraId="4A0AED4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18.5.1.8.2</w:t>
      </w:r>
      <w:r>
        <w:rPr>
          <w:rFonts w:ascii="仿宋" w:hAnsi="仿宋" w:eastAsia="仿宋"/>
          <w:sz w:val="24"/>
          <w:szCs w:val="24"/>
          <w:highlight w:val="none"/>
        </w:rPr>
        <w:t>分项评分超出评分标准范围的；</w:t>
      </w:r>
    </w:p>
    <w:p w14:paraId="73DAA0D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18.5.1.8.3</w:t>
      </w:r>
      <w:r>
        <w:rPr>
          <w:rFonts w:ascii="仿宋" w:hAnsi="仿宋" w:eastAsia="仿宋"/>
          <w:sz w:val="24"/>
          <w:szCs w:val="24"/>
          <w:highlight w:val="none"/>
        </w:rPr>
        <w:t>评标委员会成员对客观评审因素评分不一致的；</w:t>
      </w:r>
    </w:p>
    <w:p w14:paraId="3103E9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18.5.1.8.4</w:t>
      </w:r>
      <w:r>
        <w:rPr>
          <w:rFonts w:ascii="仿宋" w:hAnsi="仿宋" w:eastAsia="仿宋"/>
          <w:sz w:val="24"/>
          <w:szCs w:val="24"/>
          <w:highlight w:val="none"/>
        </w:rPr>
        <w:t>经评标委员会认定评分畸高、畸低的。</w:t>
      </w:r>
    </w:p>
    <w:p w14:paraId="2986E7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18.5.1.9</w:t>
      </w:r>
      <w:r>
        <w:rPr>
          <w:rFonts w:ascii="仿宋" w:hAnsi="仿宋" w:eastAsia="仿宋"/>
          <w:sz w:val="24"/>
          <w:szCs w:val="24"/>
          <w:highlight w:val="none"/>
        </w:rPr>
        <w:t>评审工作完成后，按照规定向评审专家支付劳务报酬和异地评审差旅费，不得向评审专家以外的其他人员支付评审劳务报酬；</w:t>
      </w:r>
    </w:p>
    <w:p w14:paraId="14DE36D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18.5.1.10</w:t>
      </w:r>
      <w:r>
        <w:rPr>
          <w:rFonts w:ascii="仿宋" w:hAnsi="仿宋" w:eastAsia="仿宋"/>
          <w:sz w:val="24"/>
          <w:szCs w:val="24"/>
          <w:highlight w:val="none"/>
        </w:rPr>
        <w:t>处理与评标有关的其他事项。</w:t>
      </w:r>
    </w:p>
    <w:p w14:paraId="08FF57F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可以在评标前说明项目背景和采购需求，说明内容不得含有歧视性、倾向性意见，不得超出招标文件所述范围。说明应当提交书面材料，并随采购文件一并存档。</w:t>
      </w:r>
    </w:p>
    <w:p w14:paraId="0D9CD3A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18.5.2资格性审查</w:t>
      </w:r>
    </w:p>
    <w:p w14:paraId="41A55A6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w:t>
      </w:r>
      <w:r>
        <w:rPr>
          <w:rFonts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或者采购代理机构依据法律法规和招标文件的规定，对投标文件中的资格证明、投标保证金等进行审查，以确定投标人是否具备投标资格。</w:t>
      </w:r>
    </w:p>
    <w:p w14:paraId="170AB5E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w:t>
      </w:r>
      <w:r>
        <w:rPr>
          <w:rFonts w:ascii="仿宋" w:hAnsi="仿宋" w:eastAsia="仿宋"/>
          <w:sz w:val="24"/>
          <w:szCs w:val="24"/>
          <w:highlight w:val="none"/>
        </w:rPr>
        <w:t>.2</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通过“信用中国”网站（www.creditchina.gov.cn）、中国政府采购网（www.ccgp.gov.cn）查询投标人信用记录，查询时要将查询网页、内容进行截图或拍照，以作证据留存，截图或拍照内容要完整清晰，应包括网站网址、查询内容、电脑截屏时间。</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14:paraId="2B1D417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信用信息查询记录及相关证据应当与其他采购文件一并保存。</w:t>
      </w:r>
    </w:p>
    <w:p w14:paraId="05F6A3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18.5.2.3在资格性审查时，对属于不合格投标人，</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或者采购代理机构必须提出不合格的事实依据并出具不合格说明，由投标人签字确认。投标人拒绝签字确认的不影响</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或采购代理机构做出的不合格判定。合格投标人不足3家的，不得评标。</w:t>
      </w:r>
    </w:p>
    <w:p w14:paraId="79E674F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18.5.3符合性审查</w:t>
      </w:r>
    </w:p>
    <w:p w14:paraId="341294E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评标委员会依据招标文件的规定，从投标文件的有效性、完整性和对招标文件的响应程度进行审查，以确定是否对招标文件的实质性要求作出响应。</w:t>
      </w:r>
    </w:p>
    <w:p w14:paraId="1516CF0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14:paraId="52A507B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w:t>
      </w:r>
      <w:r>
        <w:rPr>
          <w:rFonts w:ascii="仿宋" w:hAnsi="仿宋" w:eastAsia="仿宋"/>
          <w:sz w:val="24"/>
          <w:szCs w:val="24"/>
          <w:highlight w:val="none"/>
        </w:rPr>
        <w:t>4</w:t>
      </w:r>
      <w:r>
        <w:rPr>
          <w:rFonts w:hint="eastAsia" w:ascii="仿宋" w:hAnsi="仿宋" w:eastAsia="仿宋"/>
          <w:sz w:val="24"/>
          <w:szCs w:val="24"/>
          <w:highlight w:val="none"/>
        </w:rPr>
        <w:t>技术和商务评审</w:t>
      </w:r>
    </w:p>
    <w:p w14:paraId="7C94419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1</w:t>
      </w:r>
      <w:r>
        <w:rPr>
          <w:rFonts w:hint="eastAsia" w:ascii="仿宋" w:hAnsi="仿宋" w:eastAsia="仿宋"/>
          <w:sz w:val="24"/>
          <w:szCs w:val="24"/>
          <w:highlight w:val="none"/>
        </w:rPr>
        <w:t>按照招标文件要求，评标委员会审查投标人所投货物和服务的规格、质量、数量以及服务等技术要求和参数，进行技术部分的评审，并记录实质性响应、技术偏离等事项。</w:t>
      </w:r>
    </w:p>
    <w:p w14:paraId="7929493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2</w:t>
      </w:r>
      <w:r>
        <w:rPr>
          <w:rFonts w:hint="eastAsia" w:ascii="仿宋" w:hAnsi="仿宋" w:eastAsia="仿宋"/>
          <w:sz w:val="24"/>
          <w:szCs w:val="24"/>
          <w:highlight w:val="none"/>
        </w:rPr>
        <w:t>按照招标文件要求，评标委员会审查投标人业绩、政策性加分、价格扣除等事项，进行商务部分评审，并记录相关事项。</w:t>
      </w:r>
    </w:p>
    <w:p w14:paraId="246871D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3采用综合评分法的，</w:t>
      </w:r>
      <w:r>
        <w:rPr>
          <w:rFonts w:hint="eastAsia" w:ascii="仿宋" w:hAnsi="仿宋" w:eastAsia="仿宋"/>
          <w:sz w:val="24"/>
          <w:szCs w:val="24"/>
          <w:highlight w:val="none"/>
        </w:rPr>
        <w:t>技术部分由评标委员会成员各自独立打分，按照招标文件规定的评标办法进行逐项打分，对客观评分项的评分应当一致，对需要借助专业知识评判的主观评分项应当严格按照评分标准公正评分。</w:t>
      </w:r>
    </w:p>
    <w:p w14:paraId="1884A10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w:t>
      </w:r>
      <w:r>
        <w:rPr>
          <w:rFonts w:ascii="仿宋" w:hAnsi="仿宋" w:eastAsia="仿宋"/>
          <w:sz w:val="24"/>
          <w:szCs w:val="24"/>
          <w:highlight w:val="none"/>
        </w:rPr>
        <w:t>4采用综合评分法的，</w:t>
      </w:r>
      <w:r>
        <w:rPr>
          <w:rFonts w:hint="eastAsia" w:ascii="仿宋" w:hAnsi="仿宋" w:eastAsia="仿宋"/>
          <w:sz w:val="24"/>
          <w:szCs w:val="24"/>
          <w:highlight w:val="none"/>
        </w:rPr>
        <w:t>商务部分由评标委员会审核认定评分结果，交各投标人签字确认。</w:t>
      </w:r>
    </w:p>
    <w:p w14:paraId="169CFA0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18.5.4.5</w:t>
      </w:r>
      <w:r>
        <w:rPr>
          <w:rFonts w:ascii="仿宋" w:hAnsi="仿宋" w:eastAsia="仿宋"/>
          <w:sz w:val="24"/>
          <w:szCs w:val="24"/>
          <w:highlight w:val="none"/>
        </w:rPr>
        <w:t>采用最低评标价法的采购项目，提供相同品牌产品</w:t>
      </w:r>
      <w:r>
        <w:rPr>
          <w:rFonts w:hint="eastAsia" w:ascii="仿宋" w:hAnsi="仿宋" w:eastAsia="仿宋"/>
          <w:sz w:val="24"/>
          <w:szCs w:val="24"/>
          <w:highlight w:val="none"/>
        </w:rPr>
        <w:t>（非单一产品采购项目，系指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确定的核心产品）</w:t>
      </w:r>
      <w:r>
        <w:rPr>
          <w:rFonts w:ascii="仿宋" w:hAnsi="仿宋" w:eastAsia="仿宋"/>
          <w:sz w:val="24"/>
          <w:szCs w:val="24"/>
          <w:highlight w:val="none"/>
        </w:rPr>
        <w:t>的不同投标人参加同一合同项下投标的，以其中通过资格审查、符合性审查且报价最低的参加评标；报价相同的，由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委托评标委员会采取随机抽取</w:t>
      </w:r>
      <w:r>
        <w:rPr>
          <w:rFonts w:hint="eastAsia" w:ascii="仿宋" w:hAnsi="仿宋" w:eastAsia="仿宋"/>
          <w:sz w:val="24"/>
          <w:szCs w:val="24"/>
          <w:highlight w:val="none"/>
        </w:rPr>
        <w:t>的</w:t>
      </w:r>
      <w:r>
        <w:rPr>
          <w:rFonts w:ascii="仿宋" w:hAnsi="仿宋" w:eastAsia="仿宋"/>
          <w:sz w:val="24"/>
          <w:szCs w:val="24"/>
          <w:highlight w:val="none"/>
        </w:rPr>
        <w:t>方式确定一个参加评标的投标人，其他投标无效。</w:t>
      </w:r>
    </w:p>
    <w:p w14:paraId="2F40C4B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18.5.4.6</w:t>
      </w:r>
      <w:r>
        <w:rPr>
          <w:rFonts w:ascii="仿宋" w:hAnsi="仿宋" w:eastAsia="仿宋"/>
          <w:sz w:val="24"/>
          <w:szCs w:val="24"/>
          <w:highlight w:val="none"/>
        </w:rPr>
        <w:t>使用综合评分法的采购项目，提供相同品牌产品</w:t>
      </w:r>
      <w:r>
        <w:rPr>
          <w:rFonts w:hint="eastAsia" w:ascii="仿宋" w:hAnsi="仿宋" w:eastAsia="仿宋"/>
          <w:sz w:val="24"/>
          <w:szCs w:val="24"/>
          <w:highlight w:val="none"/>
        </w:rPr>
        <w:t>（非单一产品采购项目，系指</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确定的核心产品）</w:t>
      </w:r>
      <w:r>
        <w:rPr>
          <w:rFonts w:ascii="仿宋" w:hAnsi="仿宋" w:eastAsia="仿宋"/>
          <w:sz w:val="24"/>
          <w:szCs w:val="24"/>
          <w:highlight w:val="none"/>
        </w:rPr>
        <w:t>且通过资格审查、符合性审查的不同投标人参加同一合同项下投标的，按一家投标人计算，评审后得分最高的同品牌投标人获得中标人推荐资格；评审得分相同的，由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委托评标委员会采取随机抽取</w:t>
      </w:r>
      <w:r>
        <w:rPr>
          <w:rFonts w:hint="eastAsia" w:ascii="仿宋" w:hAnsi="仿宋" w:eastAsia="仿宋"/>
          <w:sz w:val="24"/>
          <w:szCs w:val="24"/>
          <w:highlight w:val="none"/>
        </w:rPr>
        <w:t>的</w:t>
      </w:r>
      <w:r>
        <w:rPr>
          <w:rFonts w:ascii="仿宋" w:hAnsi="仿宋" w:eastAsia="仿宋"/>
          <w:sz w:val="24"/>
          <w:szCs w:val="24"/>
          <w:highlight w:val="none"/>
        </w:rPr>
        <w:t>方式确定一个投标人获得中标人推荐资格，其他同品牌投标人不作为中标候选人。</w:t>
      </w:r>
    </w:p>
    <w:p w14:paraId="7A70006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18.5.4.7评标委员会发现招标文件存在歧义、重大缺陷导致评标工作无法进行，或者招标文件内容违反国家有关强制性规定的，应当停止评标工作，与</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或者采购代理机构沟通并作书面记录。</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或者采购代理机构确认后，应当修改招标文件，重新组织采购活动。</w:t>
      </w:r>
    </w:p>
    <w:p w14:paraId="1587C763">
      <w:pPr>
        <w:spacing w:line="440" w:lineRule="exact"/>
        <w:ind w:firstLine="480" w:firstLineChars="200"/>
        <w:rPr>
          <w:rFonts w:ascii="仿宋" w:hAnsi="仿宋" w:eastAsia="仿宋"/>
          <w:sz w:val="24"/>
          <w:szCs w:val="24"/>
          <w:highlight w:val="none"/>
        </w:rPr>
      </w:pPr>
      <w:bookmarkStart w:id="78" w:name="_Toc494455676"/>
      <w:r>
        <w:rPr>
          <w:rFonts w:hint="eastAsia" w:ascii="仿宋" w:hAnsi="仿宋" w:eastAsia="仿宋"/>
          <w:sz w:val="24"/>
          <w:szCs w:val="24"/>
          <w:highlight w:val="none"/>
        </w:rPr>
        <w:t>18.6澄清有关问题</w:t>
      </w:r>
      <w:bookmarkEnd w:id="78"/>
    </w:p>
    <w:p w14:paraId="637DB8D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1</w:t>
      </w:r>
      <w:r>
        <w:rPr>
          <w:rFonts w:hint="eastAsia" w:ascii="仿宋" w:hAnsi="仿宋" w:eastAsia="仿宋"/>
          <w:sz w:val="24"/>
          <w:szCs w:val="24"/>
          <w:highlight w:val="none"/>
        </w:rPr>
        <w:t>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14:paraId="6560417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2</w:t>
      </w:r>
      <w:r>
        <w:rPr>
          <w:rFonts w:hint="eastAsia" w:ascii="仿宋" w:hAnsi="仿宋" w:eastAsia="仿宋"/>
          <w:sz w:val="24"/>
          <w:szCs w:val="24"/>
          <w:highlight w:val="none"/>
        </w:rPr>
        <w:t>评标委员会判断投标文件的响应性仅基于投标文件本身而不靠外部因素。未响应实质性条款的，评标委员会有权确定其投标无效，投标人不能通过修正、撤销或者澄清不符之处而使其投标成为实质性响应的投标。</w:t>
      </w:r>
    </w:p>
    <w:p w14:paraId="77A7A8A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18.6.</w:t>
      </w:r>
      <w:r>
        <w:rPr>
          <w:rFonts w:ascii="仿宋" w:hAnsi="仿宋" w:eastAsia="仿宋"/>
          <w:sz w:val="24"/>
          <w:szCs w:val="24"/>
          <w:highlight w:val="none"/>
        </w:rPr>
        <w:t>3</w:t>
      </w:r>
      <w:r>
        <w:rPr>
          <w:rFonts w:hint="eastAsia" w:ascii="仿宋" w:hAnsi="仿宋" w:eastAsia="仿宋"/>
          <w:sz w:val="24"/>
          <w:szCs w:val="24"/>
          <w:highlight w:val="none"/>
        </w:rPr>
        <w:t>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3AB88C">
      <w:pPr>
        <w:spacing w:line="440" w:lineRule="exact"/>
        <w:ind w:firstLine="480" w:firstLineChars="200"/>
        <w:rPr>
          <w:rFonts w:ascii="仿宋" w:hAnsi="仿宋" w:eastAsia="仿宋"/>
          <w:sz w:val="24"/>
          <w:szCs w:val="24"/>
          <w:highlight w:val="none"/>
        </w:rPr>
      </w:pPr>
      <w:bookmarkStart w:id="79" w:name="_Toc494455677"/>
      <w:r>
        <w:rPr>
          <w:rFonts w:hint="eastAsia" w:ascii="仿宋" w:hAnsi="仿宋" w:eastAsia="仿宋"/>
          <w:sz w:val="24"/>
          <w:szCs w:val="24"/>
          <w:highlight w:val="none"/>
        </w:rPr>
        <w:t>18.7定标</w:t>
      </w:r>
      <w:bookmarkEnd w:id="79"/>
    </w:p>
    <w:p w14:paraId="19ACFD7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1</w:t>
      </w:r>
      <w:r>
        <w:rPr>
          <w:rFonts w:hint="eastAsia" w:ascii="仿宋" w:hAnsi="仿宋" w:eastAsia="仿宋"/>
          <w:sz w:val="24"/>
          <w:szCs w:val="24"/>
          <w:highlight w:val="none"/>
        </w:rPr>
        <w:t>评标委员会根据投标人须知前附表的规定确定中标候选人或直接确定中标人。</w:t>
      </w:r>
    </w:p>
    <w:p w14:paraId="3B38AD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评标委员会确定中标候选人的，中标候选人数见投标人须知前附表。</w:t>
      </w:r>
      <w:r>
        <w:rPr>
          <w:rFonts w:hint="eastAsia" w:ascii="仿宋" w:hAnsi="仿宋" w:eastAsia="仿宋"/>
          <w:sz w:val="24"/>
          <w:szCs w:val="24"/>
          <w:highlight w:val="none"/>
          <w:lang w:eastAsia="zh-CN"/>
        </w:rPr>
        <w:t>招标人</w:t>
      </w:r>
      <w:r>
        <w:rPr>
          <w:rFonts w:ascii="仿宋" w:hAnsi="仿宋" w:eastAsia="仿宋"/>
          <w:sz w:val="24"/>
          <w:szCs w:val="24"/>
          <w:highlight w:val="none"/>
        </w:rPr>
        <w:t>应当自收到评标报告之日起５个工作日内，在评标报告确定的中标候选人名单中按顺序确定中标人。中标候选人并列的，由</w:t>
      </w:r>
      <w:r>
        <w:rPr>
          <w:rFonts w:hint="eastAsia" w:ascii="仿宋" w:hAnsi="仿宋" w:eastAsia="仿宋"/>
          <w:sz w:val="24"/>
          <w:szCs w:val="24"/>
          <w:highlight w:val="none"/>
          <w:lang w:eastAsia="zh-CN"/>
        </w:rPr>
        <w:t>招标人</w:t>
      </w:r>
      <w:r>
        <w:rPr>
          <w:rFonts w:ascii="仿宋" w:hAnsi="仿宋" w:eastAsia="仿宋"/>
          <w:sz w:val="24"/>
          <w:szCs w:val="24"/>
          <w:highlight w:val="none"/>
        </w:rPr>
        <w:t>或者</w:t>
      </w:r>
      <w:r>
        <w:rPr>
          <w:rFonts w:hint="eastAsia" w:ascii="仿宋" w:hAnsi="仿宋" w:eastAsia="仿宋"/>
          <w:sz w:val="24"/>
          <w:szCs w:val="24"/>
          <w:highlight w:val="none"/>
          <w:lang w:eastAsia="zh-CN"/>
        </w:rPr>
        <w:t>招标人</w:t>
      </w:r>
      <w:r>
        <w:rPr>
          <w:rFonts w:ascii="仿宋" w:hAnsi="仿宋" w:eastAsia="仿宋"/>
          <w:sz w:val="24"/>
          <w:szCs w:val="24"/>
          <w:highlight w:val="none"/>
        </w:rPr>
        <w:t>委托评标委员会按照招标文件规定的方式确定中标人；招标文件未规定的，采取随机抽取的方式确定。</w:t>
      </w:r>
    </w:p>
    <w:p w14:paraId="77C4B5D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2</w:t>
      </w:r>
      <w:r>
        <w:rPr>
          <w:rFonts w:hint="eastAsia" w:ascii="仿宋" w:hAnsi="仿宋" w:eastAsia="仿宋"/>
          <w:sz w:val="24"/>
          <w:szCs w:val="24"/>
          <w:highlight w:val="none"/>
        </w:rPr>
        <w:t>本次招标评标办法：见投标人须知前附表。</w:t>
      </w:r>
    </w:p>
    <w:p w14:paraId="3CA5B08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05349B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w:t>
      </w:r>
      <w:r>
        <w:rPr>
          <w:rFonts w:ascii="仿宋" w:hAnsi="仿宋" w:eastAsia="仿宋"/>
          <w:sz w:val="24"/>
          <w:szCs w:val="24"/>
          <w:highlight w:val="none"/>
        </w:rPr>
        <w:t>4</w:t>
      </w:r>
      <w:r>
        <w:rPr>
          <w:rFonts w:hint="eastAsia" w:ascii="仿宋" w:hAnsi="仿宋" w:eastAsia="仿宋"/>
          <w:sz w:val="24"/>
          <w:szCs w:val="24"/>
          <w:highlight w:val="none"/>
        </w:rPr>
        <w:t>采用最低评标价法的，评标结果按投标报价由低到高顺序排列，投标报价相同的并列。</w:t>
      </w:r>
      <w:r>
        <w:rPr>
          <w:rFonts w:ascii="仿宋" w:hAnsi="仿宋" w:eastAsia="仿宋"/>
          <w:sz w:val="24"/>
          <w:szCs w:val="24"/>
          <w:highlight w:val="none"/>
        </w:rPr>
        <w:t>投标文件满足招标文件全部实质性要求且投标报价最低的投标人为排名第一的中标候选人。</w:t>
      </w:r>
    </w:p>
    <w:p w14:paraId="779E564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18.7.5</w:t>
      </w:r>
      <w:r>
        <w:rPr>
          <w:rFonts w:ascii="仿宋" w:hAnsi="仿宋" w:eastAsia="仿宋"/>
          <w:sz w:val="24"/>
          <w:szCs w:val="24"/>
          <w:highlight w:val="none"/>
        </w:rPr>
        <w:t>对于可以投多个包，但只能中标</w:t>
      </w:r>
      <w:r>
        <w:rPr>
          <w:rFonts w:hint="eastAsia" w:ascii="仿宋" w:hAnsi="仿宋" w:eastAsia="仿宋"/>
          <w:sz w:val="24"/>
          <w:szCs w:val="24"/>
          <w:highlight w:val="none"/>
        </w:rPr>
        <w:t>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14:paraId="651C5192">
      <w:pPr>
        <w:spacing w:line="440" w:lineRule="exact"/>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根据前项规定，导致各包参与综合得分排名的投标人不足</w:t>
      </w:r>
      <w:r>
        <w:rPr>
          <w:rFonts w:hint="eastAsia" w:ascii="仿宋" w:hAnsi="仿宋" w:eastAsia="仿宋" w:cs="仿宋"/>
          <w:kern w:val="0"/>
          <w:sz w:val="24"/>
          <w:szCs w:val="24"/>
          <w:highlight w:val="none"/>
        </w:rPr>
        <w:t>3家时，评委会认为不足以构成竞争的有权对该包予以废标。</w:t>
      </w:r>
    </w:p>
    <w:p w14:paraId="05CA5269">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18.7.6按照有关规定中标人因不可抗力或者自身原因不能履行政府采购合同的，报经同级财政部门同意后，可顺延排序第二的投标人中标；或者报同级财政部门同意后，做废标处理，由</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依法重新组织招标。</w:t>
      </w:r>
    </w:p>
    <w:p w14:paraId="52EEFF0D">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18.7.7以入围方式确定多个中标人的，入围中标人数量应当根据招标需要并在招标活动开始前确定，由评标委员会按照招标文件规定的评标办法确定各投标人排列顺序，依照顺序确定入围中标人。</w:t>
      </w:r>
    </w:p>
    <w:p w14:paraId="59E7494E">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18.7.8评标委员会成员对需要共同认定的事项存在争议的，应当按照少数服从多数的原则作出结论。持不同意见的评标委员会成员应当在评标报告上签署不同意见及理由，否则视为同意评标报告。</w:t>
      </w:r>
    </w:p>
    <w:p w14:paraId="126EB6C9">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18.7.9评标结果汇总完成后，除下列情形外，任何人不得修改评标结果：</w:t>
      </w:r>
    </w:p>
    <w:p w14:paraId="50691258">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（一）分值汇总计算错误的；</w:t>
      </w:r>
    </w:p>
    <w:p w14:paraId="16EA2C5D">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（二）分项评分超出评分标准范围的；</w:t>
      </w:r>
    </w:p>
    <w:p w14:paraId="0F2B4810">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（三）评标委员会成员对客观评审因素评分不一致的；</w:t>
      </w:r>
    </w:p>
    <w:p w14:paraId="0846A496">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（四）经评标委员会认定评分畸高、畸低的。</w:t>
      </w:r>
    </w:p>
    <w:p w14:paraId="02A1B7E8">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评标报告签署前，经复核发现存在以上情形之一的，评标委员会应当当场修改评标结果，并在评标报告中记载；评标报告签署后，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或者采购代理机构发现存在以上情形之一的，应当组织原评标委员会进行重新评审，重新评审改变评标结果的，书面报告本级财政部门。</w:t>
      </w:r>
    </w:p>
    <w:p w14:paraId="5649F8F4">
      <w:pPr>
        <w:spacing w:line="440" w:lineRule="exact"/>
        <w:ind w:firstLine="480" w:firstLineChars="200"/>
        <w:rPr>
          <w:rFonts w:ascii="仿宋" w:hAnsi="仿宋" w:eastAsia="仿宋" w:cs="仿宋"/>
          <w:kern w:val="0"/>
          <w:sz w:val="24"/>
          <w:szCs w:val="24"/>
          <w:highlight w:val="none"/>
        </w:rPr>
      </w:pPr>
      <w:bookmarkStart w:id="80" w:name="_Toc494455678"/>
      <w:r>
        <w:rPr>
          <w:rFonts w:hint="eastAsia" w:ascii="仿宋" w:hAnsi="仿宋" w:eastAsia="仿宋" w:cs="仿宋"/>
          <w:kern w:val="0"/>
          <w:sz w:val="24"/>
          <w:szCs w:val="24"/>
          <w:highlight w:val="none"/>
        </w:rPr>
        <w:t>18.7.10</w:t>
      </w:r>
      <w:r>
        <w:rPr>
          <w:rFonts w:ascii="仿宋" w:hAnsi="仿宋" w:eastAsia="仿宋" w:cs="仿宋"/>
          <w:kern w:val="0"/>
          <w:sz w:val="24"/>
          <w:szCs w:val="24"/>
          <w:highlight w:val="none"/>
        </w:rPr>
        <w:t>评标委员会根据全体评标成员签字的原始评标记录和评标结果编写评标报告。</w:t>
      </w:r>
      <w:bookmarkEnd w:id="80"/>
    </w:p>
    <w:p w14:paraId="286B9990">
      <w:pPr>
        <w:spacing w:line="440" w:lineRule="exact"/>
        <w:ind w:firstLine="480" w:firstLineChars="200"/>
        <w:rPr>
          <w:rFonts w:ascii="仿宋" w:hAnsi="仿宋" w:eastAsia="仿宋" w:cs="仿宋"/>
          <w:kern w:val="0"/>
          <w:sz w:val="24"/>
          <w:szCs w:val="24"/>
          <w:highlight w:val="none"/>
        </w:rPr>
      </w:pPr>
      <w:bookmarkStart w:id="81" w:name="_Toc494455679"/>
      <w:r>
        <w:rPr>
          <w:rFonts w:hint="eastAsia" w:ascii="仿宋" w:hAnsi="仿宋" w:eastAsia="仿宋" w:cs="仿宋"/>
          <w:kern w:val="0"/>
          <w:sz w:val="24"/>
          <w:szCs w:val="24"/>
          <w:highlight w:val="none"/>
        </w:rPr>
        <w:t>18.8中标公告以及中标通知书</w:t>
      </w:r>
      <w:bookmarkEnd w:id="81"/>
    </w:p>
    <w:p w14:paraId="2C4C7644">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18.8</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或者采购代理机构应当自中标人确定之日起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个工作日内，发出中标通知书，并在相关媒介公告中标结果（公告期限为1个工作日），招标文件随中标结果同时公告；</w:t>
      </w:r>
      <w:r>
        <w:rPr>
          <w:rFonts w:ascii="仿宋" w:hAnsi="仿宋" w:eastAsia="仿宋" w:cs="仿宋"/>
          <w:kern w:val="0"/>
          <w:sz w:val="24"/>
          <w:szCs w:val="24"/>
          <w:highlight w:val="none"/>
        </w:rPr>
        <w:t>采用综合评分法评审的，还应当告知未中标人本人的评审得分与排序。</w:t>
      </w:r>
    </w:p>
    <w:p w14:paraId="4716E3D6">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18.8.2</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或采购代理机构不按照规定发布中标公告或者发布中标公告后不签发中标通知书的，应当承担法律责任，给中标人造成经济损失的应承担赔偿责任。</w:t>
      </w:r>
    </w:p>
    <w:p w14:paraId="37D62CCF">
      <w:pPr>
        <w:spacing w:line="440" w:lineRule="exact"/>
        <w:ind w:firstLine="480" w:firstLineChars="200"/>
        <w:rPr>
          <w:rStyle w:val="29"/>
          <w:sz w:val="24"/>
          <w:szCs w:val="24"/>
          <w:highlight w:val="none"/>
        </w:rPr>
      </w:pPr>
      <w:r>
        <w:rPr>
          <w:rStyle w:val="29"/>
          <w:rFonts w:hint="eastAsia"/>
          <w:sz w:val="24"/>
          <w:szCs w:val="24"/>
          <w:highlight w:val="none"/>
        </w:rPr>
        <w:t>18.8</w:t>
      </w:r>
      <w:r>
        <w:rPr>
          <w:rStyle w:val="29"/>
          <w:sz w:val="24"/>
          <w:szCs w:val="24"/>
          <w:highlight w:val="none"/>
        </w:rPr>
        <w:t>.</w:t>
      </w:r>
      <w:r>
        <w:rPr>
          <w:rStyle w:val="29"/>
          <w:rFonts w:hint="eastAsia"/>
          <w:sz w:val="24"/>
          <w:szCs w:val="24"/>
          <w:highlight w:val="none"/>
        </w:rPr>
        <w:t>3中标通知书对</w:t>
      </w:r>
      <w:r>
        <w:rPr>
          <w:rStyle w:val="29"/>
          <w:rFonts w:hint="eastAsia" w:eastAsia="仿宋"/>
          <w:sz w:val="24"/>
          <w:szCs w:val="24"/>
          <w:highlight w:val="none"/>
          <w:lang w:eastAsia="zh-CN"/>
        </w:rPr>
        <w:t>招标人</w:t>
      </w:r>
      <w:r>
        <w:rPr>
          <w:rStyle w:val="29"/>
          <w:rFonts w:hint="eastAsia"/>
          <w:sz w:val="24"/>
          <w:szCs w:val="24"/>
          <w:highlight w:val="none"/>
        </w:rPr>
        <w:t>和中标人都具有法律效力。中标通知书发出后，</w:t>
      </w:r>
      <w:r>
        <w:rPr>
          <w:rStyle w:val="29"/>
          <w:rFonts w:hint="eastAsia" w:eastAsia="仿宋"/>
          <w:sz w:val="24"/>
          <w:szCs w:val="24"/>
          <w:highlight w:val="none"/>
          <w:lang w:eastAsia="zh-CN"/>
        </w:rPr>
        <w:t>招标人</w:t>
      </w:r>
      <w:r>
        <w:rPr>
          <w:rStyle w:val="29"/>
          <w:rFonts w:hint="eastAsia"/>
          <w:sz w:val="24"/>
          <w:szCs w:val="24"/>
          <w:highlight w:val="none"/>
        </w:rPr>
        <w:t>改变中标结果的，或者中标人放弃中标，应当依法承担法律责任。</w:t>
      </w:r>
    </w:p>
    <w:p w14:paraId="265F00BF">
      <w:pPr>
        <w:spacing w:line="440" w:lineRule="exact"/>
        <w:ind w:firstLine="480" w:firstLineChars="200"/>
        <w:rPr>
          <w:rStyle w:val="29"/>
          <w:sz w:val="24"/>
          <w:szCs w:val="24"/>
          <w:highlight w:val="none"/>
        </w:rPr>
      </w:pPr>
      <w:bookmarkStart w:id="82" w:name="_Toc494455680"/>
      <w:r>
        <w:rPr>
          <w:rStyle w:val="29"/>
          <w:rFonts w:hint="eastAsia"/>
          <w:sz w:val="24"/>
          <w:szCs w:val="24"/>
          <w:highlight w:val="none"/>
        </w:rPr>
        <w:t>18.9投标无效</w:t>
      </w:r>
      <w:bookmarkEnd w:id="82"/>
    </w:p>
    <w:p w14:paraId="3D27F71F">
      <w:pPr>
        <w:spacing w:line="440" w:lineRule="exact"/>
        <w:ind w:firstLine="480" w:firstLineChars="200"/>
        <w:rPr>
          <w:rStyle w:val="29"/>
          <w:sz w:val="24"/>
          <w:szCs w:val="24"/>
          <w:highlight w:val="none"/>
        </w:rPr>
      </w:pPr>
      <w:r>
        <w:rPr>
          <w:rStyle w:val="29"/>
          <w:rFonts w:hint="eastAsia"/>
          <w:sz w:val="24"/>
          <w:szCs w:val="24"/>
          <w:highlight w:val="none"/>
        </w:rPr>
        <w:t>出现下列情形之一的，投标无效：</w:t>
      </w:r>
    </w:p>
    <w:p w14:paraId="1918C409">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sz w:val="24"/>
          <w:szCs w:val="24"/>
          <w:highlight w:val="none"/>
        </w:rPr>
        <w:t>1报价超过招标文件中规定的预算金额或者最高限价的</w:t>
      </w:r>
      <w:r>
        <w:rPr>
          <w:rStyle w:val="29"/>
          <w:rFonts w:hint="eastAsia"/>
          <w:sz w:val="24"/>
          <w:szCs w:val="24"/>
          <w:highlight w:val="none"/>
        </w:rPr>
        <w:t>；</w:t>
      </w:r>
    </w:p>
    <w:p w14:paraId="22BED508">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sz w:val="24"/>
          <w:szCs w:val="24"/>
          <w:highlight w:val="none"/>
        </w:rPr>
        <w:t>2</w:t>
      </w:r>
      <w:r>
        <w:rPr>
          <w:rStyle w:val="29"/>
          <w:rFonts w:hint="eastAsia"/>
          <w:sz w:val="24"/>
          <w:szCs w:val="24"/>
          <w:highlight w:val="none"/>
        </w:rPr>
        <w:t>对招标文件要求的不可更改的参数未做出实质性响应或者发生负偏离的；</w:t>
      </w:r>
    </w:p>
    <w:p w14:paraId="666BC78A">
      <w:pPr>
        <w:spacing w:line="440" w:lineRule="exact"/>
        <w:ind w:firstLine="480" w:firstLineChars="200"/>
        <w:rPr>
          <w:rStyle w:val="29"/>
          <w:sz w:val="24"/>
          <w:szCs w:val="24"/>
          <w:highlight w:val="none"/>
        </w:rPr>
      </w:pPr>
      <w:r>
        <w:rPr>
          <w:rStyle w:val="29"/>
          <w:rFonts w:hint="eastAsia"/>
          <w:sz w:val="24"/>
          <w:szCs w:val="24"/>
          <w:highlight w:val="none"/>
        </w:rPr>
        <w:t>18.9.3应提供而未提供标注的政府强制采购节能、环保产品的；</w:t>
      </w:r>
    </w:p>
    <w:p w14:paraId="06672236">
      <w:pPr>
        <w:spacing w:line="440" w:lineRule="exact"/>
        <w:ind w:firstLine="480" w:firstLineChars="200"/>
        <w:rPr>
          <w:rStyle w:val="29"/>
          <w:sz w:val="24"/>
          <w:szCs w:val="24"/>
          <w:highlight w:val="none"/>
        </w:rPr>
      </w:pPr>
      <w:r>
        <w:rPr>
          <w:rStyle w:val="29"/>
          <w:rFonts w:hint="eastAsia"/>
          <w:sz w:val="24"/>
          <w:szCs w:val="24"/>
          <w:highlight w:val="none"/>
        </w:rPr>
        <w:t>18.9.4</w:t>
      </w:r>
      <w:r>
        <w:rPr>
          <w:rStyle w:val="29"/>
          <w:sz w:val="24"/>
          <w:szCs w:val="24"/>
          <w:highlight w:val="none"/>
        </w:rPr>
        <w:t>对于不允许偏离的实质性要求和条件</w:t>
      </w:r>
      <w:r>
        <w:rPr>
          <w:rStyle w:val="29"/>
          <w:rFonts w:hint="eastAsia"/>
          <w:sz w:val="24"/>
          <w:szCs w:val="24"/>
          <w:highlight w:val="none"/>
        </w:rPr>
        <w:t>发生偏离的；</w:t>
      </w:r>
    </w:p>
    <w:p w14:paraId="323A7201">
      <w:pPr>
        <w:spacing w:line="440" w:lineRule="exact"/>
        <w:ind w:firstLine="480" w:firstLineChars="200"/>
        <w:rPr>
          <w:rStyle w:val="29"/>
          <w:sz w:val="24"/>
          <w:szCs w:val="24"/>
          <w:highlight w:val="none"/>
        </w:rPr>
      </w:pPr>
      <w:r>
        <w:rPr>
          <w:rStyle w:val="29"/>
          <w:rFonts w:hint="eastAsia"/>
          <w:sz w:val="24"/>
          <w:szCs w:val="24"/>
          <w:highlight w:val="none"/>
        </w:rPr>
        <w:t>18.9.5不按照招标文件规定报价、没有分项报价、拒绝报价、有多个报价（招标文件另有规定的除外）、有选择性报价、附有条件的报价或者拒绝修正报价的；</w:t>
      </w:r>
    </w:p>
    <w:p w14:paraId="0F48B795">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6</w:t>
      </w:r>
      <w:r>
        <w:rPr>
          <w:rStyle w:val="29"/>
          <w:sz w:val="24"/>
          <w:szCs w:val="24"/>
          <w:highlight w:val="none"/>
        </w:rPr>
        <w:t>未按照招标文件的规定提交投标保证金的</w:t>
      </w:r>
      <w:r>
        <w:rPr>
          <w:rStyle w:val="29"/>
          <w:rFonts w:hint="eastAsia"/>
          <w:sz w:val="24"/>
          <w:szCs w:val="24"/>
          <w:highlight w:val="none"/>
        </w:rPr>
        <w:t>；</w:t>
      </w:r>
    </w:p>
    <w:p w14:paraId="4723C7C6">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7</w:t>
      </w:r>
      <w:r>
        <w:rPr>
          <w:rStyle w:val="29"/>
          <w:rFonts w:hint="eastAsia"/>
          <w:sz w:val="24"/>
          <w:szCs w:val="24"/>
          <w:highlight w:val="none"/>
        </w:rPr>
        <w:t>投标有效期不满足招标文件要求的；</w:t>
      </w:r>
    </w:p>
    <w:p w14:paraId="26724B6C">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8</w:t>
      </w:r>
      <w:r>
        <w:rPr>
          <w:rStyle w:val="29"/>
          <w:rFonts w:hint="eastAsia"/>
          <w:sz w:val="24"/>
          <w:szCs w:val="24"/>
          <w:highlight w:val="none"/>
        </w:rPr>
        <w:t>评标委员会</w:t>
      </w:r>
      <w:r>
        <w:rPr>
          <w:rStyle w:val="29"/>
          <w:sz w:val="24"/>
          <w:szCs w:val="24"/>
          <w:highlight w:val="none"/>
        </w:rPr>
        <w:t>2/3</w:t>
      </w:r>
      <w:r>
        <w:rPr>
          <w:rStyle w:val="29"/>
          <w:rFonts w:hint="eastAsia"/>
          <w:sz w:val="24"/>
          <w:szCs w:val="24"/>
          <w:highlight w:val="none"/>
        </w:rPr>
        <w:t>及以上成员认定投标方案技术含量低、不符合招标文件要求的；</w:t>
      </w:r>
    </w:p>
    <w:p w14:paraId="19E60417">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9</w:t>
      </w:r>
      <w:r>
        <w:rPr>
          <w:rStyle w:val="29"/>
          <w:rFonts w:hint="eastAsia"/>
          <w:sz w:val="24"/>
          <w:szCs w:val="24"/>
          <w:highlight w:val="none"/>
        </w:rPr>
        <w:t>评标委员会判定投标人涂改证明材料或者提供虚假材料和承诺的；</w:t>
      </w:r>
    </w:p>
    <w:p w14:paraId="2A8ACA70">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10</w:t>
      </w:r>
      <w:r>
        <w:rPr>
          <w:rStyle w:val="29"/>
          <w:sz w:val="24"/>
          <w:szCs w:val="24"/>
          <w:highlight w:val="none"/>
        </w:rPr>
        <w:t>投标文件未按招标文件要求</w:t>
      </w:r>
      <w:r>
        <w:rPr>
          <w:rStyle w:val="29"/>
          <w:rFonts w:hint="eastAsia"/>
          <w:sz w:val="24"/>
          <w:szCs w:val="24"/>
          <w:highlight w:val="none"/>
        </w:rPr>
        <w:t>编制、</w:t>
      </w:r>
      <w:r>
        <w:rPr>
          <w:rStyle w:val="29"/>
          <w:sz w:val="24"/>
          <w:szCs w:val="24"/>
          <w:highlight w:val="none"/>
        </w:rPr>
        <w:t>签署、盖章的</w:t>
      </w:r>
      <w:r>
        <w:rPr>
          <w:rStyle w:val="29"/>
          <w:rFonts w:hint="eastAsia"/>
          <w:sz w:val="24"/>
          <w:szCs w:val="24"/>
          <w:highlight w:val="none"/>
        </w:rPr>
        <w:t>；</w:t>
      </w:r>
    </w:p>
    <w:p w14:paraId="75AC25E0">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11</w:t>
      </w:r>
      <w:r>
        <w:rPr>
          <w:rStyle w:val="29"/>
          <w:rFonts w:hint="eastAsia"/>
          <w:sz w:val="24"/>
          <w:szCs w:val="24"/>
          <w:highlight w:val="none"/>
        </w:rPr>
        <w:t>资格、资信等证明文件可以为复印件的，复印件未加盖单位公章的；</w:t>
      </w:r>
    </w:p>
    <w:p w14:paraId="521DAA10">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12</w:t>
      </w:r>
      <w:r>
        <w:rPr>
          <w:rStyle w:val="29"/>
          <w:rFonts w:hint="eastAsia"/>
          <w:sz w:val="24"/>
          <w:szCs w:val="24"/>
          <w:highlight w:val="none"/>
        </w:rPr>
        <w:t>投标文件含有</w:t>
      </w:r>
      <w:r>
        <w:rPr>
          <w:rStyle w:val="29"/>
          <w:rFonts w:hint="eastAsia" w:eastAsia="仿宋"/>
          <w:sz w:val="24"/>
          <w:szCs w:val="24"/>
          <w:highlight w:val="none"/>
          <w:lang w:eastAsia="zh-CN"/>
        </w:rPr>
        <w:t>招标人</w:t>
      </w:r>
      <w:r>
        <w:rPr>
          <w:rStyle w:val="29"/>
          <w:rFonts w:hint="eastAsia"/>
          <w:sz w:val="24"/>
          <w:szCs w:val="24"/>
          <w:highlight w:val="none"/>
        </w:rPr>
        <w:t>不能接受的附加条件的；</w:t>
      </w:r>
    </w:p>
    <w:p w14:paraId="09DA4F72">
      <w:pPr>
        <w:spacing w:line="440" w:lineRule="exact"/>
        <w:ind w:firstLine="480" w:firstLineChars="200"/>
        <w:rPr>
          <w:rStyle w:val="29"/>
          <w:sz w:val="24"/>
          <w:szCs w:val="24"/>
          <w:highlight w:val="none"/>
        </w:rPr>
      </w:pPr>
      <w:r>
        <w:rPr>
          <w:rStyle w:val="29"/>
          <w:rFonts w:hint="eastAsia"/>
          <w:sz w:val="24"/>
          <w:szCs w:val="24"/>
          <w:highlight w:val="none"/>
        </w:rPr>
        <w:t>18.9.</w:t>
      </w:r>
      <w:r>
        <w:rPr>
          <w:rStyle w:val="29"/>
          <w:rFonts w:hint="eastAsia" w:eastAsia="仿宋"/>
          <w:sz w:val="24"/>
          <w:szCs w:val="24"/>
          <w:highlight w:val="none"/>
          <w:lang w:val="en-US" w:eastAsia="zh-CN"/>
        </w:rPr>
        <w:t>13</w:t>
      </w:r>
      <w:r>
        <w:rPr>
          <w:rStyle w:val="29"/>
          <w:sz w:val="24"/>
          <w:szCs w:val="24"/>
          <w:highlight w:val="none"/>
        </w:rPr>
        <w:t>法律、法规和招标文件规定的其他无效情形</w:t>
      </w:r>
      <w:r>
        <w:rPr>
          <w:rStyle w:val="29"/>
          <w:rFonts w:hint="eastAsia"/>
          <w:sz w:val="24"/>
          <w:szCs w:val="24"/>
          <w:highlight w:val="none"/>
        </w:rPr>
        <w:t>。</w:t>
      </w:r>
    </w:p>
    <w:p w14:paraId="299E6534">
      <w:pPr>
        <w:spacing w:line="440" w:lineRule="exact"/>
        <w:ind w:firstLine="480" w:firstLineChars="200"/>
        <w:rPr>
          <w:rStyle w:val="29"/>
          <w:sz w:val="24"/>
          <w:szCs w:val="24"/>
          <w:highlight w:val="none"/>
        </w:rPr>
      </w:pPr>
      <w:r>
        <w:rPr>
          <w:rStyle w:val="29"/>
          <w:rFonts w:hint="eastAsia"/>
          <w:sz w:val="24"/>
          <w:szCs w:val="24"/>
          <w:highlight w:val="none"/>
        </w:rPr>
        <w:t>对投标无效的认定，必须经评标委员会集体做出决定并出具投标无效的事实依据，由投标人法定代表人或者被授权代表签字确认，拒绝签字的，不影响评标委员会做出的决定。</w:t>
      </w:r>
    </w:p>
    <w:p w14:paraId="4B9C8EFE">
      <w:pPr>
        <w:spacing w:line="440" w:lineRule="exact"/>
        <w:ind w:firstLine="480" w:firstLineChars="200"/>
        <w:rPr>
          <w:rStyle w:val="29"/>
          <w:sz w:val="24"/>
          <w:szCs w:val="24"/>
          <w:highlight w:val="none"/>
        </w:rPr>
      </w:pPr>
      <w:bookmarkStart w:id="83" w:name="_Toc494455681"/>
      <w:r>
        <w:rPr>
          <w:rStyle w:val="29"/>
          <w:rFonts w:hint="eastAsia"/>
          <w:sz w:val="24"/>
          <w:szCs w:val="24"/>
          <w:highlight w:val="none"/>
        </w:rPr>
        <w:t>18.10废标</w:t>
      </w:r>
      <w:bookmarkEnd w:id="83"/>
    </w:p>
    <w:p w14:paraId="575BFB34">
      <w:pPr>
        <w:spacing w:line="440" w:lineRule="exact"/>
        <w:ind w:firstLine="480" w:firstLineChars="200"/>
        <w:rPr>
          <w:rStyle w:val="29"/>
          <w:sz w:val="24"/>
          <w:szCs w:val="24"/>
          <w:highlight w:val="none"/>
        </w:rPr>
      </w:pPr>
      <w:r>
        <w:rPr>
          <w:rStyle w:val="29"/>
          <w:rFonts w:hint="eastAsia"/>
          <w:sz w:val="24"/>
          <w:szCs w:val="24"/>
          <w:highlight w:val="none"/>
        </w:rPr>
        <w:t>18.10.</w:t>
      </w:r>
      <w:r>
        <w:rPr>
          <w:rStyle w:val="29"/>
          <w:sz w:val="24"/>
          <w:szCs w:val="24"/>
          <w:highlight w:val="none"/>
        </w:rPr>
        <w:t>1</w:t>
      </w:r>
      <w:r>
        <w:rPr>
          <w:rStyle w:val="29"/>
          <w:rFonts w:hint="eastAsia"/>
          <w:sz w:val="24"/>
          <w:szCs w:val="24"/>
          <w:highlight w:val="none"/>
        </w:rPr>
        <w:t>出现下列情形之一的，应予废标：</w:t>
      </w:r>
    </w:p>
    <w:p w14:paraId="73989C7F">
      <w:pPr>
        <w:spacing w:line="440" w:lineRule="exact"/>
        <w:ind w:firstLine="480" w:firstLineChars="200"/>
        <w:rPr>
          <w:rStyle w:val="29"/>
          <w:sz w:val="24"/>
          <w:szCs w:val="24"/>
          <w:highlight w:val="none"/>
        </w:rPr>
      </w:pPr>
      <w:r>
        <w:rPr>
          <w:rStyle w:val="29"/>
          <w:rFonts w:hint="eastAsia"/>
          <w:sz w:val="24"/>
          <w:szCs w:val="24"/>
          <w:highlight w:val="none"/>
        </w:rPr>
        <w:t>18.10.</w:t>
      </w:r>
      <w:r>
        <w:rPr>
          <w:rStyle w:val="29"/>
          <w:sz w:val="24"/>
          <w:szCs w:val="24"/>
          <w:highlight w:val="none"/>
        </w:rPr>
        <w:t>1.1</w:t>
      </w:r>
      <w:r>
        <w:rPr>
          <w:rStyle w:val="29"/>
          <w:rFonts w:hint="eastAsia"/>
          <w:sz w:val="24"/>
          <w:szCs w:val="24"/>
          <w:highlight w:val="none"/>
        </w:rPr>
        <w:t>在投标截止时间后参加投标的投标人不足3家或者通过资格审查或符合性审查的投标人不足3家的；</w:t>
      </w:r>
    </w:p>
    <w:p w14:paraId="45A21876">
      <w:pPr>
        <w:spacing w:line="440" w:lineRule="exact"/>
        <w:ind w:firstLine="480" w:firstLineChars="200"/>
        <w:rPr>
          <w:rStyle w:val="29"/>
          <w:sz w:val="24"/>
          <w:szCs w:val="24"/>
          <w:highlight w:val="none"/>
        </w:rPr>
      </w:pPr>
      <w:r>
        <w:rPr>
          <w:rStyle w:val="29"/>
          <w:rFonts w:hint="eastAsia"/>
          <w:sz w:val="24"/>
          <w:szCs w:val="24"/>
          <w:highlight w:val="none"/>
        </w:rPr>
        <w:t>18.10.</w:t>
      </w:r>
      <w:r>
        <w:rPr>
          <w:rStyle w:val="29"/>
          <w:sz w:val="24"/>
          <w:szCs w:val="24"/>
          <w:highlight w:val="none"/>
        </w:rPr>
        <w:t>1.2</w:t>
      </w:r>
      <w:r>
        <w:rPr>
          <w:rStyle w:val="29"/>
          <w:rFonts w:hint="eastAsia"/>
          <w:sz w:val="24"/>
          <w:szCs w:val="24"/>
          <w:highlight w:val="none"/>
        </w:rPr>
        <w:t>出现影响采购公正的违法违规行为的；</w:t>
      </w:r>
    </w:p>
    <w:p w14:paraId="3788C006">
      <w:pPr>
        <w:spacing w:line="440" w:lineRule="exact"/>
        <w:ind w:firstLine="480" w:firstLineChars="200"/>
        <w:rPr>
          <w:rStyle w:val="29"/>
          <w:sz w:val="24"/>
          <w:szCs w:val="24"/>
          <w:highlight w:val="none"/>
        </w:rPr>
      </w:pPr>
      <w:r>
        <w:rPr>
          <w:rStyle w:val="29"/>
          <w:rFonts w:hint="eastAsia"/>
          <w:sz w:val="24"/>
          <w:szCs w:val="24"/>
          <w:highlight w:val="none"/>
        </w:rPr>
        <w:t>18.10.</w:t>
      </w:r>
      <w:r>
        <w:rPr>
          <w:rStyle w:val="29"/>
          <w:sz w:val="24"/>
          <w:szCs w:val="24"/>
          <w:highlight w:val="none"/>
        </w:rPr>
        <w:t>1.3</w:t>
      </w:r>
      <w:r>
        <w:rPr>
          <w:rStyle w:val="29"/>
          <w:rFonts w:hint="eastAsia"/>
          <w:sz w:val="24"/>
          <w:szCs w:val="24"/>
          <w:highlight w:val="none"/>
        </w:rPr>
        <w:t>投标人的报价均超过预算金额或者最高限价的；</w:t>
      </w:r>
    </w:p>
    <w:p w14:paraId="1650759A">
      <w:pPr>
        <w:spacing w:line="440" w:lineRule="exact"/>
        <w:ind w:firstLine="480" w:firstLineChars="200"/>
        <w:rPr>
          <w:rStyle w:val="29"/>
          <w:sz w:val="24"/>
          <w:szCs w:val="24"/>
          <w:highlight w:val="none"/>
        </w:rPr>
      </w:pPr>
      <w:r>
        <w:rPr>
          <w:rStyle w:val="29"/>
          <w:rFonts w:hint="eastAsia"/>
          <w:sz w:val="24"/>
          <w:szCs w:val="24"/>
          <w:highlight w:val="none"/>
        </w:rPr>
        <w:t>18.10.</w:t>
      </w:r>
      <w:r>
        <w:rPr>
          <w:rStyle w:val="29"/>
          <w:sz w:val="24"/>
          <w:szCs w:val="24"/>
          <w:highlight w:val="none"/>
        </w:rPr>
        <w:t>1.4</w:t>
      </w:r>
      <w:r>
        <w:rPr>
          <w:rStyle w:val="29"/>
          <w:rFonts w:hint="eastAsia"/>
          <w:sz w:val="24"/>
          <w:szCs w:val="24"/>
          <w:highlight w:val="none"/>
        </w:rPr>
        <w:t>因重大变故，采购任务取消的；</w:t>
      </w:r>
    </w:p>
    <w:p w14:paraId="6F530544">
      <w:pPr>
        <w:spacing w:line="440" w:lineRule="exact"/>
        <w:ind w:firstLine="480" w:firstLineChars="200"/>
        <w:rPr>
          <w:rStyle w:val="29"/>
          <w:sz w:val="24"/>
          <w:szCs w:val="24"/>
          <w:highlight w:val="none"/>
        </w:rPr>
      </w:pPr>
      <w:r>
        <w:rPr>
          <w:rStyle w:val="29"/>
          <w:rFonts w:hint="eastAsia"/>
          <w:sz w:val="24"/>
          <w:szCs w:val="24"/>
          <w:highlight w:val="none"/>
        </w:rPr>
        <w:t>18.10.</w:t>
      </w:r>
      <w:r>
        <w:rPr>
          <w:rStyle w:val="29"/>
          <w:sz w:val="24"/>
          <w:szCs w:val="24"/>
          <w:highlight w:val="none"/>
        </w:rPr>
        <w:t>1.5</w:t>
      </w:r>
      <w:r>
        <w:rPr>
          <w:rStyle w:val="29"/>
          <w:rFonts w:hint="eastAsia"/>
          <w:sz w:val="24"/>
          <w:szCs w:val="24"/>
          <w:highlight w:val="none"/>
        </w:rPr>
        <w:t>法律、法规以及招标文件规定的其他废标情形。</w:t>
      </w:r>
    </w:p>
    <w:p w14:paraId="1BF96FE8">
      <w:pPr>
        <w:spacing w:line="440" w:lineRule="exact"/>
        <w:ind w:firstLine="480" w:firstLineChars="200"/>
        <w:rPr>
          <w:rStyle w:val="29"/>
          <w:sz w:val="24"/>
          <w:szCs w:val="24"/>
          <w:highlight w:val="none"/>
        </w:rPr>
      </w:pPr>
      <w:r>
        <w:rPr>
          <w:rStyle w:val="29"/>
          <w:rFonts w:hint="eastAsia"/>
          <w:sz w:val="24"/>
          <w:szCs w:val="24"/>
          <w:highlight w:val="none"/>
        </w:rPr>
        <w:t>18.10.</w:t>
      </w:r>
      <w:r>
        <w:rPr>
          <w:rStyle w:val="29"/>
          <w:sz w:val="24"/>
          <w:szCs w:val="24"/>
          <w:highlight w:val="none"/>
        </w:rPr>
        <w:t>2</w:t>
      </w:r>
      <w:r>
        <w:rPr>
          <w:rStyle w:val="29"/>
          <w:rFonts w:hint="eastAsia"/>
          <w:sz w:val="24"/>
          <w:szCs w:val="24"/>
          <w:highlight w:val="none"/>
        </w:rPr>
        <w:t>废标后，</w:t>
      </w:r>
      <w:r>
        <w:rPr>
          <w:rStyle w:val="29"/>
          <w:rFonts w:hint="eastAsia" w:eastAsia="仿宋"/>
          <w:sz w:val="24"/>
          <w:szCs w:val="24"/>
          <w:highlight w:val="none"/>
          <w:lang w:eastAsia="zh-CN"/>
        </w:rPr>
        <w:t>招标人</w:t>
      </w:r>
      <w:r>
        <w:rPr>
          <w:rStyle w:val="29"/>
          <w:rFonts w:hint="eastAsia"/>
          <w:sz w:val="24"/>
          <w:szCs w:val="24"/>
          <w:highlight w:val="none"/>
        </w:rPr>
        <w:t>或者采购代理机构应当将废标理由通知所有投标人。</w:t>
      </w:r>
    </w:p>
    <w:p w14:paraId="21D93238">
      <w:pPr>
        <w:spacing w:line="440" w:lineRule="exact"/>
        <w:ind w:firstLine="480" w:firstLineChars="200"/>
        <w:rPr>
          <w:rStyle w:val="29"/>
          <w:sz w:val="24"/>
          <w:szCs w:val="24"/>
          <w:highlight w:val="none"/>
        </w:rPr>
      </w:pPr>
      <w:bookmarkStart w:id="84" w:name="_Toc494455682"/>
      <w:r>
        <w:rPr>
          <w:rStyle w:val="29"/>
          <w:rFonts w:hint="eastAsia"/>
          <w:sz w:val="24"/>
          <w:szCs w:val="24"/>
          <w:highlight w:val="none"/>
        </w:rPr>
        <w:t>18.11特殊情况处置程序</w:t>
      </w:r>
      <w:bookmarkEnd w:id="84"/>
    </w:p>
    <w:p w14:paraId="3AFA0D63">
      <w:pPr>
        <w:spacing w:line="440" w:lineRule="exact"/>
        <w:ind w:firstLine="480" w:firstLineChars="200"/>
        <w:rPr>
          <w:rStyle w:val="29"/>
          <w:sz w:val="24"/>
          <w:szCs w:val="24"/>
          <w:highlight w:val="none"/>
        </w:rPr>
      </w:pPr>
      <w:r>
        <w:rPr>
          <w:rStyle w:val="29"/>
          <w:rFonts w:hint="eastAsia"/>
          <w:sz w:val="24"/>
          <w:szCs w:val="24"/>
          <w:highlight w:val="none"/>
        </w:rPr>
        <w:t>18.11.</w:t>
      </w:r>
      <w:r>
        <w:rPr>
          <w:rStyle w:val="29"/>
          <w:sz w:val="24"/>
          <w:szCs w:val="24"/>
          <w:highlight w:val="none"/>
        </w:rPr>
        <w:t>1</w:t>
      </w:r>
      <w:r>
        <w:rPr>
          <w:rStyle w:val="29"/>
          <w:rFonts w:hint="eastAsia"/>
          <w:sz w:val="24"/>
          <w:szCs w:val="24"/>
          <w:highlight w:val="none"/>
        </w:rPr>
        <w:t>评标委员会成员的更换</w:t>
      </w:r>
    </w:p>
    <w:p w14:paraId="0A1DC82E">
      <w:pPr>
        <w:spacing w:line="440" w:lineRule="exact"/>
        <w:ind w:firstLine="480" w:firstLineChars="200"/>
        <w:rPr>
          <w:rStyle w:val="29"/>
          <w:sz w:val="24"/>
          <w:szCs w:val="24"/>
          <w:highlight w:val="none"/>
        </w:rPr>
      </w:pPr>
      <w:r>
        <w:rPr>
          <w:rStyle w:val="29"/>
          <w:rFonts w:hint="eastAsia"/>
          <w:sz w:val="24"/>
          <w:szCs w:val="24"/>
          <w:highlight w:val="none"/>
        </w:rPr>
        <w:t>18.11.</w:t>
      </w:r>
      <w:r>
        <w:rPr>
          <w:rStyle w:val="29"/>
          <w:sz w:val="24"/>
          <w:szCs w:val="24"/>
          <w:highlight w:val="none"/>
        </w:rPr>
        <w:t>1.1</w:t>
      </w:r>
      <w:r>
        <w:rPr>
          <w:rStyle w:val="29"/>
          <w:rFonts w:hint="eastAsia"/>
          <w:sz w:val="24"/>
          <w:szCs w:val="24"/>
          <w:highlight w:val="none"/>
        </w:rPr>
        <w:t>评标委员会应当执行连续评标的原则，按照招标文件规定的程序、内容、方法、标准完成全部评标工作。出现评审专家临时缺席、回避等情形导致评审现场专家数量不符合法定标准的，</w:t>
      </w:r>
      <w:r>
        <w:rPr>
          <w:rStyle w:val="29"/>
          <w:rFonts w:hint="eastAsia" w:eastAsia="仿宋"/>
          <w:sz w:val="24"/>
          <w:szCs w:val="24"/>
          <w:highlight w:val="none"/>
          <w:lang w:eastAsia="zh-CN"/>
        </w:rPr>
        <w:t>招标人</w:t>
      </w:r>
      <w:r>
        <w:rPr>
          <w:rStyle w:val="29"/>
          <w:rFonts w:hint="eastAsia"/>
          <w:sz w:val="24"/>
          <w:szCs w:val="24"/>
          <w:highlight w:val="none"/>
        </w:rPr>
        <w:t>或者采购代理机构要按照有关程序及时补抽专家，继续组织评审。如无法及时补齐专家，则要立即停止评审工作，封存招标文件和所有投标文件，择期重新组建评标委员会进行评审。</w:t>
      </w:r>
    </w:p>
    <w:p w14:paraId="2CAA4D9C">
      <w:pPr>
        <w:spacing w:line="440" w:lineRule="exact"/>
        <w:ind w:firstLine="480" w:firstLineChars="200"/>
        <w:rPr>
          <w:rStyle w:val="29"/>
          <w:sz w:val="24"/>
          <w:szCs w:val="24"/>
          <w:highlight w:val="none"/>
        </w:rPr>
      </w:pPr>
      <w:r>
        <w:rPr>
          <w:rStyle w:val="29"/>
          <w:rFonts w:hint="eastAsia"/>
          <w:sz w:val="24"/>
          <w:szCs w:val="24"/>
          <w:highlight w:val="none"/>
        </w:rPr>
        <w:t>18.11.</w:t>
      </w:r>
      <w:r>
        <w:rPr>
          <w:rStyle w:val="29"/>
          <w:sz w:val="24"/>
          <w:szCs w:val="24"/>
          <w:highlight w:val="none"/>
        </w:rPr>
        <w:t>1.2</w:t>
      </w:r>
      <w:r>
        <w:rPr>
          <w:rStyle w:val="29"/>
          <w:rFonts w:hint="eastAsia"/>
          <w:sz w:val="24"/>
          <w:szCs w:val="24"/>
          <w:highlight w:val="none"/>
        </w:rPr>
        <w:t>退出评标委员会的成员，其已完成的评审行为无效。由</w:t>
      </w:r>
      <w:r>
        <w:rPr>
          <w:rStyle w:val="29"/>
          <w:rFonts w:hint="eastAsia" w:eastAsia="仿宋"/>
          <w:sz w:val="24"/>
          <w:szCs w:val="24"/>
          <w:highlight w:val="none"/>
          <w:lang w:eastAsia="zh-CN"/>
        </w:rPr>
        <w:t>招标人</w:t>
      </w:r>
      <w:r>
        <w:rPr>
          <w:rStyle w:val="29"/>
          <w:rFonts w:hint="eastAsia"/>
          <w:sz w:val="24"/>
          <w:szCs w:val="24"/>
          <w:highlight w:val="none"/>
        </w:rPr>
        <w:t>向监督人员提出更换评标委员会成员意见并获准后，根据本招标文件规定的评标委员会成员产生方式另行确定替代者进行评标。</w:t>
      </w:r>
    </w:p>
    <w:p w14:paraId="16406F9B">
      <w:pPr>
        <w:spacing w:line="440" w:lineRule="exact"/>
        <w:ind w:firstLine="480" w:firstLineChars="200"/>
        <w:rPr>
          <w:rStyle w:val="29"/>
          <w:sz w:val="24"/>
          <w:szCs w:val="24"/>
          <w:highlight w:val="none"/>
        </w:rPr>
      </w:pPr>
      <w:r>
        <w:rPr>
          <w:rStyle w:val="29"/>
          <w:rFonts w:hint="eastAsia"/>
          <w:sz w:val="24"/>
          <w:szCs w:val="24"/>
          <w:highlight w:val="none"/>
        </w:rPr>
        <w:t>18.11.</w:t>
      </w:r>
      <w:r>
        <w:rPr>
          <w:rStyle w:val="29"/>
          <w:sz w:val="24"/>
          <w:szCs w:val="24"/>
          <w:highlight w:val="none"/>
        </w:rPr>
        <w:t>2</w:t>
      </w:r>
      <w:r>
        <w:rPr>
          <w:rStyle w:val="29"/>
          <w:rFonts w:hint="eastAsia"/>
          <w:sz w:val="24"/>
          <w:szCs w:val="24"/>
          <w:highlight w:val="none"/>
        </w:rPr>
        <w:t>记名投票</w:t>
      </w:r>
    </w:p>
    <w:p w14:paraId="46E0EA4D">
      <w:pPr>
        <w:spacing w:line="440" w:lineRule="exact"/>
        <w:ind w:firstLine="480" w:firstLineChars="200"/>
        <w:rPr>
          <w:rStyle w:val="29"/>
          <w:sz w:val="24"/>
          <w:szCs w:val="24"/>
          <w:highlight w:val="none"/>
        </w:rPr>
      </w:pPr>
      <w:r>
        <w:rPr>
          <w:rStyle w:val="29"/>
          <w:rFonts w:hint="eastAsia"/>
          <w:sz w:val="24"/>
          <w:szCs w:val="24"/>
          <w:highlight w:val="none"/>
        </w:rPr>
        <w:t>在评标过程中，评标委员会发生分歧或者评审结论有异议需表决的，按照少数服从多数的原则，由评标委员会全体成员以记名投票方式表决。</w:t>
      </w:r>
    </w:p>
    <w:p w14:paraId="1DC55B76">
      <w:pPr>
        <w:spacing w:line="440" w:lineRule="exact"/>
        <w:ind w:firstLine="480" w:firstLineChars="200"/>
        <w:rPr>
          <w:rStyle w:val="29"/>
          <w:sz w:val="24"/>
          <w:szCs w:val="24"/>
          <w:highlight w:val="none"/>
        </w:rPr>
      </w:pPr>
      <w:r>
        <w:rPr>
          <w:rStyle w:val="29"/>
          <w:rFonts w:hint="eastAsia"/>
          <w:sz w:val="24"/>
          <w:szCs w:val="24"/>
          <w:highlight w:val="none"/>
        </w:rPr>
        <w:t>18.11.</w:t>
      </w:r>
      <w:r>
        <w:rPr>
          <w:rStyle w:val="29"/>
          <w:sz w:val="24"/>
          <w:szCs w:val="24"/>
          <w:highlight w:val="none"/>
        </w:rPr>
        <w:t>3</w:t>
      </w:r>
      <w:r>
        <w:rPr>
          <w:rStyle w:val="29"/>
          <w:rFonts w:hint="eastAsia"/>
          <w:sz w:val="24"/>
          <w:szCs w:val="24"/>
          <w:highlight w:val="none"/>
        </w:rPr>
        <w:t>延期开标</w:t>
      </w:r>
    </w:p>
    <w:p w14:paraId="7707678A">
      <w:pPr>
        <w:spacing w:line="440" w:lineRule="exact"/>
        <w:ind w:firstLine="480" w:firstLineChars="200"/>
        <w:rPr>
          <w:rStyle w:val="29"/>
          <w:sz w:val="24"/>
          <w:szCs w:val="24"/>
          <w:highlight w:val="none"/>
        </w:rPr>
      </w:pPr>
      <w:r>
        <w:rPr>
          <w:rStyle w:val="29"/>
          <w:rFonts w:hint="eastAsia"/>
          <w:sz w:val="24"/>
          <w:szCs w:val="24"/>
          <w:highlight w:val="none"/>
        </w:rPr>
        <w:t>因特殊情况需要推迟开标时间的，</w:t>
      </w:r>
      <w:r>
        <w:rPr>
          <w:rStyle w:val="29"/>
          <w:rFonts w:hint="eastAsia" w:eastAsia="仿宋"/>
          <w:sz w:val="24"/>
          <w:szCs w:val="24"/>
          <w:highlight w:val="none"/>
          <w:lang w:eastAsia="zh-CN"/>
        </w:rPr>
        <w:t>招标人</w:t>
      </w:r>
      <w:r>
        <w:rPr>
          <w:rStyle w:val="29"/>
          <w:rFonts w:hint="eastAsia"/>
          <w:sz w:val="24"/>
          <w:szCs w:val="24"/>
          <w:highlight w:val="none"/>
        </w:rPr>
        <w:t>或者采购代理机构必须提前报监督部门审批，经批准后按规定提前告知所有参加投标的投标人，否则必须按时开标。</w:t>
      </w:r>
    </w:p>
    <w:p w14:paraId="492887EF">
      <w:pPr>
        <w:spacing w:line="440" w:lineRule="exact"/>
        <w:ind w:firstLine="480" w:firstLineChars="200"/>
        <w:rPr>
          <w:rStyle w:val="29"/>
          <w:sz w:val="24"/>
          <w:szCs w:val="24"/>
          <w:highlight w:val="none"/>
        </w:rPr>
      </w:pPr>
      <w:bookmarkStart w:id="85" w:name="_Toc494455683"/>
      <w:r>
        <w:rPr>
          <w:rStyle w:val="29"/>
          <w:rFonts w:hint="eastAsia"/>
          <w:sz w:val="24"/>
          <w:szCs w:val="24"/>
          <w:highlight w:val="none"/>
        </w:rPr>
        <w:t>18.12违法违规情形</w:t>
      </w:r>
      <w:bookmarkEnd w:id="85"/>
    </w:p>
    <w:p w14:paraId="09CB9E8D">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1</w:t>
      </w:r>
      <w:r>
        <w:rPr>
          <w:rStyle w:val="29"/>
          <w:rFonts w:hint="eastAsia"/>
          <w:sz w:val="24"/>
          <w:szCs w:val="24"/>
          <w:highlight w:val="none"/>
        </w:rPr>
        <w:t>有下列情形之一的，属于投标人相互串通投标：</w:t>
      </w:r>
    </w:p>
    <w:p w14:paraId="1D115CBA">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1.1</w:t>
      </w:r>
      <w:r>
        <w:rPr>
          <w:rStyle w:val="29"/>
          <w:rFonts w:hint="eastAsia"/>
          <w:sz w:val="24"/>
          <w:szCs w:val="24"/>
          <w:highlight w:val="none"/>
        </w:rPr>
        <w:t>投标人之间协商投标报价等投标文件的实质性内容；</w:t>
      </w:r>
    </w:p>
    <w:p w14:paraId="2519B32C">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1.2</w:t>
      </w:r>
      <w:r>
        <w:rPr>
          <w:rStyle w:val="29"/>
          <w:rFonts w:hint="eastAsia"/>
          <w:sz w:val="24"/>
          <w:szCs w:val="24"/>
          <w:highlight w:val="none"/>
        </w:rPr>
        <w:t>投标人之间约定中标人；</w:t>
      </w:r>
    </w:p>
    <w:p w14:paraId="1E26C3FE">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1.3</w:t>
      </w:r>
      <w:r>
        <w:rPr>
          <w:rStyle w:val="29"/>
          <w:rFonts w:hint="eastAsia"/>
          <w:sz w:val="24"/>
          <w:szCs w:val="24"/>
          <w:highlight w:val="none"/>
        </w:rPr>
        <w:t>投标人之间约定部分投标人放弃投标或者中标；</w:t>
      </w:r>
    </w:p>
    <w:p w14:paraId="00911757">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1.4</w:t>
      </w:r>
      <w:r>
        <w:rPr>
          <w:rStyle w:val="29"/>
          <w:rFonts w:hint="eastAsia"/>
          <w:sz w:val="24"/>
          <w:szCs w:val="24"/>
          <w:highlight w:val="none"/>
        </w:rPr>
        <w:t>属于同一集团、协会、商会等组织成员的投标人按照该组织要求协同投标；</w:t>
      </w:r>
    </w:p>
    <w:p w14:paraId="10AD7AB3">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1.5</w:t>
      </w:r>
      <w:r>
        <w:rPr>
          <w:rStyle w:val="29"/>
          <w:rFonts w:hint="eastAsia"/>
          <w:sz w:val="24"/>
          <w:szCs w:val="24"/>
          <w:highlight w:val="none"/>
        </w:rPr>
        <w:t>投标人之间为谋取中标或者排斥特定投标人而采取的其他联合行动。</w:t>
      </w:r>
    </w:p>
    <w:p w14:paraId="7353D40B">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2</w:t>
      </w:r>
      <w:r>
        <w:rPr>
          <w:rStyle w:val="29"/>
          <w:rFonts w:hint="eastAsia"/>
          <w:sz w:val="24"/>
          <w:szCs w:val="24"/>
          <w:highlight w:val="none"/>
        </w:rPr>
        <w:t>有下列情形之一的，视为投标人相互串通投标，评标委员会应当出具违法违规认定意见并作投标无效处理：</w:t>
      </w:r>
    </w:p>
    <w:p w14:paraId="581BC635">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2.1</w:t>
      </w:r>
      <w:r>
        <w:rPr>
          <w:rStyle w:val="29"/>
          <w:rFonts w:hint="eastAsia"/>
          <w:sz w:val="24"/>
          <w:szCs w:val="24"/>
          <w:highlight w:val="none"/>
        </w:rPr>
        <w:t>不同投标人的投标文件由同一单位或者个人编制；</w:t>
      </w:r>
    </w:p>
    <w:p w14:paraId="1D6F494D">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2.2</w:t>
      </w:r>
      <w:r>
        <w:rPr>
          <w:rStyle w:val="29"/>
          <w:rFonts w:hint="eastAsia"/>
          <w:sz w:val="24"/>
          <w:szCs w:val="24"/>
          <w:highlight w:val="none"/>
        </w:rPr>
        <w:t>不同投标人委托同一单位或者个人办理投标事宜；</w:t>
      </w:r>
    </w:p>
    <w:p w14:paraId="2366B371">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2.3</w:t>
      </w:r>
      <w:r>
        <w:rPr>
          <w:rStyle w:val="29"/>
          <w:rFonts w:hint="eastAsia"/>
          <w:sz w:val="24"/>
          <w:szCs w:val="24"/>
          <w:highlight w:val="none"/>
        </w:rPr>
        <w:t>不同投标人的投标文件载明的项目管理成员或者联系人员为同一人；</w:t>
      </w:r>
    </w:p>
    <w:p w14:paraId="5A63F328">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2.4</w:t>
      </w:r>
      <w:r>
        <w:rPr>
          <w:rStyle w:val="29"/>
          <w:rFonts w:hint="eastAsia"/>
          <w:sz w:val="24"/>
          <w:szCs w:val="24"/>
          <w:highlight w:val="none"/>
        </w:rPr>
        <w:t>不同投标人的投标文件异常一致或者投标报价呈规律性差异；</w:t>
      </w:r>
    </w:p>
    <w:p w14:paraId="095EA5C5">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2.5</w:t>
      </w:r>
      <w:r>
        <w:rPr>
          <w:rStyle w:val="29"/>
          <w:rFonts w:hint="eastAsia"/>
          <w:sz w:val="24"/>
          <w:szCs w:val="24"/>
          <w:highlight w:val="none"/>
        </w:rPr>
        <w:t>不同投标人的投标文件相互混装；</w:t>
      </w:r>
    </w:p>
    <w:p w14:paraId="0980000B">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2.6</w:t>
      </w:r>
      <w:r>
        <w:rPr>
          <w:rStyle w:val="29"/>
          <w:rFonts w:hint="eastAsia"/>
          <w:sz w:val="24"/>
          <w:szCs w:val="24"/>
          <w:highlight w:val="none"/>
        </w:rPr>
        <w:t>不同投标人的投标保证金从同一单位或者个人的账户转出。</w:t>
      </w:r>
    </w:p>
    <w:p w14:paraId="0F847AE8">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3</w:t>
      </w:r>
      <w:r>
        <w:rPr>
          <w:rStyle w:val="29"/>
          <w:rFonts w:hint="eastAsia"/>
          <w:sz w:val="24"/>
          <w:szCs w:val="24"/>
          <w:highlight w:val="none"/>
        </w:rPr>
        <w:t>有下列情形之一的，属于</w:t>
      </w:r>
      <w:r>
        <w:rPr>
          <w:rStyle w:val="29"/>
          <w:rFonts w:hint="eastAsia" w:eastAsia="仿宋"/>
          <w:sz w:val="24"/>
          <w:szCs w:val="24"/>
          <w:highlight w:val="none"/>
          <w:lang w:eastAsia="zh-CN"/>
        </w:rPr>
        <w:t>招标人</w:t>
      </w:r>
      <w:r>
        <w:rPr>
          <w:rStyle w:val="29"/>
          <w:rFonts w:hint="eastAsia"/>
          <w:sz w:val="24"/>
          <w:szCs w:val="24"/>
          <w:highlight w:val="none"/>
        </w:rPr>
        <w:t>与投标人串通投标：</w:t>
      </w:r>
    </w:p>
    <w:p w14:paraId="7EE47DA5">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3.1</w:t>
      </w:r>
      <w:r>
        <w:rPr>
          <w:rStyle w:val="29"/>
          <w:rFonts w:hint="eastAsia" w:eastAsia="仿宋"/>
          <w:sz w:val="24"/>
          <w:szCs w:val="24"/>
          <w:highlight w:val="none"/>
          <w:lang w:eastAsia="zh-CN"/>
        </w:rPr>
        <w:t>招标人</w:t>
      </w:r>
      <w:r>
        <w:rPr>
          <w:rStyle w:val="29"/>
          <w:rFonts w:hint="eastAsia"/>
          <w:sz w:val="24"/>
          <w:szCs w:val="24"/>
          <w:highlight w:val="none"/>
        </w:rPr>
        <w:t>在开标前开启投标文件并将有关信息泄露给其他投标人</w:t>
      </w:r>
      <w:r>
        <w:rPr>
          <w:rStyle w:val="29"/>
          <w:sz w:val="24"/>
          <w:szCs w:val="24"/>
          <w:highlight w:val="none"/>
        </w:rPr>
        <w:t>；</w:t>
      </w:r>
    </w:p>
    <w:p w14:paraId="26C93F02">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3.2</w:t>
      </w:r>
      <w:r>
        <w:rPr>
          <w:rStyle w:val="29"/>
          <w:rFonts w:hint="eastAsia" w:eastAsia="仿宋"/>
          <w:sz w:val="24"/>
          <w:szCs w:val="24"/>
          <w:highlight w:val="none"/>
          <w:lang w:eastAsia="zh-CN"/>
        </w:rPr>
        <w:t>招标人</w:t>
      </w:r>
      <w:r>
        <w:rPr>
          <w:rStyle w:val="29"/>
          <w:rFonts w:hint="eastAsia"/>
          <w:sz w:val="24"/>
          <w:szCs w:val="24"/>
          <w:highlight w:val="none"/>
        </w:rPr>
        <w:t>直接或者间接向投标人泄露标底、评标委员会成员等信息；</w:t>
      </w:r>
    </w:p>
    <w:p w14:paraId="7868C3B2">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3.3</w:t>
      </w:r>
      <w:r>
        <w:rPr>
          <w:rStyle w:val="29"/>
          <w:rFonts w:hint="eastAsia" w:eastAsia="仿宋"/>
          <w:sz w:val="24"/>
          <w:szCs w:val="24"/>
          <w:highlight w:val="none"/>
          <w:lang w:eastAsia="zh-CN"/>
        </w:rPr>
        <w:t>招标人</w:t>
      </w:r>
      <w:r>
        <w:rPr>
          <w:rStyle w:val="29"/>
          <w:rFonts w:hint="eastAsia"/>
          <w:sz w:val="24"/>
          <w:szCs w:val="24"/>
          <w:highlight w:val="none"/>
        </w:rPr>
        <w:t>明示或者暗示投标人压低或者抬高投标报价；</w:t>
      </w:r>
    </w:p>
    <w:p w14:paraId="2715E454">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3.4</w:t>
      </w:r>
      <w:r>
        <w:rPr>
          <w:rStyle w:val="29"/>
          <w:rFonts w:hint="eastAsia" w:eastAsia="仿宋"/>
          <w:sz w:val="24"/>
          <w:szCs w:val="24"/>
          <w:highlight w:val="none"/>
          <w:lang w:eastAsia="zh-CN"/>
        </w:rPr>
        <w:t>招标人</w:t>
      </w:r>
      <w:r>
        <w:rPr>
          <w:rStyle w:val="29"/>
          <w:rFonts w:hint="eastAsia"/>
          <w:sz w:val="24"/>
          <w:szCs w:val="24"/>
          <w:highlight w:val="none"/>
        </w:rPr>
        <w:t>授意投标人撤换、修改投标文件；</w:t>
      </w:r>
    </w:p>
    <w:p w14:paraId="0957A851">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3.5</w:t>
      </w:r>
      <w:r>
        <w:rPr>
          <w:rStyle w:val="29"/>
          <w:rFonts w:hint="eastAsia" w:eastAsia="仿宋"/>
          <w:sz w:val="24"/>
          <w:szCs w:val="24"/>
          <w:highlight w:val="none"/>
          <w:lang w:eastAsia="zh-CN"/>
        </w:rPr>
        <w:t>招标人</w:t>
      </w:r>
      <w:r>
        <w:rPr>
          <w:rStyle w:val="29"/>
          <w:rFonts w:hint="eastAsia"/>
          <w:sz w:val="24"/>
          <w:szCs w:val="24"/>
          <w:highlight w:val="none"/>
        </w:rPr>
        <w:t>明示或者暗示投标人为特定投标人中标提供方便；</w:t>
      </w:r>
    </w:p>
    <w:p w14:paraId="54E0C0F3">
      <w:pPr>
        <w:spacing w:line="440" w:lineRule="exact"/>
        <w:ind w:firstLine="480" w:firstLineChars="200"/>
        <w:rPr>
          <w:rStyle w:val="29"/>
          <w:sz w:val="24"/>
          <w:szCs w:val="24"/>
          <w:highlight w:val="none"/>
        </w:rPr>
      </w:pPr>
      <w:r>
        <w:rPr>
          <w:rStyle w:val="29"/>
          <w:rFonts w:hint="eastAsia"/>
          <w:sz w:val="24"/>
          <w:szCs w:val="24"/>
          <w:highlight w:val="none"/>
        </w:rPr>
        <w:t>18.12.</w:t>
      </w:r>
      <w:r>
        <w:rPr>
          <w:rStyle w:val="29"/>
          <w:sz w:val="24"/>
          <w:szCs w:val="24"/>
          <w:highlight w:val="none"/>
        </w:rPr>
        <w:t>3.6</w:t>
      </w:r>
      <w:r>
        <w:rPr>
          <w:rStyle w:val="29"/>
          <w:rFonts w:hint="eastAsia" w:eastAsia="仿宋"/>
          <w:sz w:val="24"/>
          <w:szCs w:val="24"/>
          <w:highlight w:val="none"/>
          <w:lang w:eastAsia="zh-CN"/>
        </w:rPr>
        <w:t>招标人</w:t>
      </w:r>
      <w:r>
        <w:rPr>
          <w:rStyle w:val="29"/>
          <w:rFonts w:hint="eastAsia"/>
          <w:sz w:val="24"/>
          <w:szCs w:val="24"/>
          <w:highlight w:val="none"/>
        </w:rPr>
        <w:t>与投标人为谋求特定投标人中标而采取的其他串通行为。</w:t>
      </w:r>
    </w:p>
    <w:p w14:paraId="5B8C6C92">
      <w:pPr>
        <w:spacing w:line="440" w:lineRule="exact"/>
        <w:ind w:firstLine="480" w:firstLineChars="200"/>
        <w:rPr>
          <w:rStyle w:val="29"/>
          <w:sz w:val="24"/>
          <w:szCs w:val="24"/>
          <w:highlight w:val="none"/>
        </w:rPr>
      </w:pPr>
      <w:r>
        <w:rPr>
          <w:rStyle w:val="29"/>
          <w:sz w:val="24"/>
          <w:szCs w:val="24"/>
          <w:highlight w:val="none"/>
        </w:rPr>
        <w:t>在评标过程中发现投标人有上述情形的，评标委员会应当认定其投标无效，并书面报告本级财政部门。</w:t>
      </w:r>
    </w:p>
    <w:p w14:paraId="10BB3AA1">
      <w:pPr>
        <w:spacing w:line="440" w:lineRule="exact"/>
        <w:ind w:firstLine="480" w:firstLineChars="200"/>
        <w:rPr>
          <w:rStyle w:val="29"/>
          <w:sz w:val="24"/>
          <w:szCs w:val="24"/>
          <w:highlight w:val="none"/>
        </w:rPr>
      </w:pPr>
      <w:bookmarkStart w:id="86" w:name="_Toc494455684"/>
      <w:r>
        <w:rPr>
          <w:rStyle w:val="29"/>
          <w:rFonts w:hint="eastAsia"/>
          <w:sz w:val="24"/>
          <w:szCs w:val="24"/>
          <w:highlight w:val="none"/>
        </w:rPr>
        <w:t>18.13违规处理</w:t>
      </w:r>
      <w:bookmarkEnd w:id="86"/>
    </w:p>
    <w:p w14:paraId="0CF0FEBC">
      <w:pPr>
        <w:spacing w:line="440" w:lineRule="exact"/>
        <w:ind w:firstLine="480" w:firstLineChars="200"/>
        <w:rPr>
          <w:rStyle w:val="29"/>
          <w:sz w:val="24"/>
          <w:szCs w:val="24"/>
          <w:highlight w:val="none"/>
        </w:rPr>
      </w:pPr>
      <w:r>
        <w:rPr>
          <w:rStyle w:val="29"/>
          <w:rFonts w:hint="eastAsia"/>
          <w:sz w:val="24"/>
          <w:szCs w:val="24"/>
          <w:highlight w:val="none"/>
        </w:rPr>
        <w:t>投标人有下列情形之一的，列入不良行为记录名单，在一至三年内禁止参加政府采购活动：</w:t>
      </w:r>
    </w:p>
    <w:p w14:paraId="7D9700AC">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1</w:t>
      </w:r>
      <w:r>
        <w:rPr>
          <w:rStyle w:val="29"/>
          <w:rFonts w:hint="eastAsia"/>
          <w:sz w:val="24"/>
          <w:szCs w:val="24"/>
          <w:highlight w:val="none"/>
        </w:rPr>
        <w:t>提供虚假投标材料谋取中标、成交的；</w:t>
      </w:r>
    </w:p>
    <w:p w14:paraId="042E6CC3">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2</w:t>
      </w:r>
      <w:r>
        <w:rPr>
          <w:rStyle w:val="29"/>
          <w:rFonts w:hint="eastAsia"/>
          <w:sz w:val="24"/>
          <w:szCs w:val="24"/>
          <w:highlight w:val="none"/>
        </w:rPr>
        <w:t>采取不正当手段诋毁、排挤其他投标人的；</w:t>
      </w:r>
    </w:p>
    <w:p w14:paraId="3B309B92">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3</w:t>
      </w:r>
      <w:r>
        <w:rPr>
          <w:rStyle w:val="29"/>
          <w:rFonts w:hint="eastAsia"/>
          <w:sz w:val="24"/>
          <w:szCs w:val="24"/>
          <w:highlight w:val="none"/>
        </w:rPr>
        <w:t>与</w:t>
      </w:r>
      <w:r>
        <w:rPr>
          <w:rStyle w:val="29"/>
          <w:rFonts w:hint="eastAsia" w:eastAsia="仿宋"/>
          <w:sz w:val="24"/>
          <w:szCs w:val="24"/>
          <w:highlight w:val="none"/>
          <w:lang w:eastAsia="zh-CN"/>
        </w:rPr>
        <w:t>招标人</w:t>
      </w:r>
      <w:r>
        <w:rPr>
          <w:rStyle w:val="29"/>
          <w:rFonts w:hint="eastAsia"/>
          <w:sz w:val="24"/>
          <w:szCs w:val="24"/>
          <w:highlight w:val="none"/>
        </w:rPr>
        <w:t>、其他投标人或者采购代理机构恶意串通的；</w:t>
      </w:r>
    </w:p>
    <w:p w14:paraId="6D6DCCE6">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4</w:t>
      </w:r>
      <w:r>
        <w:rPr>
          <w:rStyle w:val="29"/>
          <w:rFonts w:hint="eastAsia"/>
          <w:sz w:val="24"/>
          <w:szCs w:val="24"/>
          <w:highlight w:val="none"/>
        </w:rPr>
        <w:t>向</w:t>
      </w:r>
      <w:r>
        <w:rPr>
          <w:rStyle w:val="29"/>
          <w:rFonts w:hint="eastAsia" w:eastAsia="仿宋"/>
          <w:sz w:val="24"/>
          <w:szCs w:val="24"/>
          <w:highlight w:val="none"/>
          <w:lang w:eastAsia="zh-CN"/>
        </w:rPr>
        <w:t>招标人</w:t>
      </w:r>
      <w:r>
        <w:rPr>
          <w:rStyle w:val="29"/>
          <w:rFonts w:hint="eastAsia"/>
          <w:sz w:val="24"/>
          <w:szCs w:val="24"/>
          <w:highlight w:val="none"/>
        </w:rPr>
        <w:t>、采购代理机构行贿或者提供其他不正当利益的；</w:t>
      </w:r>
    </w:p>
    <w:p w14:paraId="5EADDD45">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5</w:t>
      </w:r>
      <w:r>
        <w:rPr>
          <w:rStyle w:val="29"/>
          <w:rFonts w:hint="eastAsia"/>
          <w:sz w:val="24"/>
          <w:szCs w:val="24"/>
          <w:highlight w:val="none"/>
        </w:rPr>
        <w:t>在招标采购过程中与</w:t>
      </w:r>
      <w:r>
        <w:rPr>
          <w:rStyle w:val="29"/>
          <w:rFonts w:hint="eastAsia" w:eastAsia="仿宋"/>
          <w:sz w:val="24"/>
          <w:szCs w:val="24"/>
          <w:highlight w:val="none"/>
          <w:lang w:eastAsia="zh-CN"/>
        </w:rPr>
        <w:t>招标人</w:t>
      </w:r>
      <w:r>
        <w:rPr>
          <w:rStyle w:val="29"/>
          <w:rFonts w:hint="eastAsia"/>
          <w:sz w:val="24"/>
          <w:szCs w:val="24"/>
          <w:highlight w:val="none"/>
        </w:rPr>
        <w:t>进行协商谈判的；</w:t>
      </w:r>
    </w:p>
    <w:p w14:paraId="49435085">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6</w:t>
      </w:r>
      <w:r>
        <w:rPr>
          <w:rStyle w:val="29"/>
          <w:rFonts w:hint="eastAsia"/>
          <w:sz w:val="24"/>
          <w:szCs w:val="24"/>
          <w:highlight w:val="none"/>
        </w:rPr>
        <w:t>拒绝有关部门监督检查或者提供虚假情况的；</w:t>
      </w:r>
    </w:p>
    <w:p w14:paraId="3A455676">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7</w:t>
      </w:r>
      <w:r>
        <w:rPr>
          <w:rStyle w:val="29"/>
          <w:rFonts w:hint="eastAsia"/>
          <w:sz w:val="24"/>
          <w:szCs w:val="24"/>
          <w:highlight w:val="none"/>
        </w:rPr>
        <w:t>一年内累计三次以上投诉均查无实据，并带有明显故意行为的；</w:t>
      </w:r>
    </w:p>
    <w:p w14:paraId="587EF86B">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8</w:t>
      </w:r>
      <w:r>
        <w:rPr>
          <w:rStyle w:val="29"/>
          <w:rFonts w:hint="eastAsia"/>
          <w:sz w:val="24"/>
          <w:szCs w:val="24"/>
          <w:highlight w:val="none"/>
        </w:rPr>
        <w:t>捏造事实或者提供虚假投诉材料的；</w:t>
      </w:r>
    </w:p>
    <w:p w14:paraId="6691A2F2">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9</w:t>
      </w:r>
      <w:r>
        <w:rPr>
          <w:rStyle w:val="29"/>
          <w:rFonts w:hint="eastAsia"/>
          <w:sz w:val="24"/>
          <w:szCs w:val="24"/>
          <w:highlight w:val="none"/>
        </w:rPr>
        <w:t>不按照规定程序以及正常途径质疑、投诉，采用匿名信、匿名电话、发短信息等手段，威胁、恫吓、辱骂、恶意中伤其他相关当事人的；</w:t>
      </w:r>
    </w:p>
    <w:p w14:paraId="2A90506A">
      <w:pPr>
        <w:spacing w:line="440" w:lineRule="exact"/>
        <w:ind w:firstLine="480" w:firstLineChars="200"/>
        <w:rPr>
          <w:rStyle w:val="29"/>
          <w:sz w:val="24"/>
          <w:szCs w:val="24"/>
          <w:highlight w:val="none"/>
        </w:rPr>
      </w:pPr>
      <w:r>
        <w:rPr>
          <w:rStyle w:val="29"/>
          <w:rFonts w:hint="eastAsia"/>
          <w:sz w:val="24"/>
          <w:szCs w:val="24"/>
          <w:highlight w:val="none"/>
        </w:rPr>
        <w:t>18.13.</w:t>
      </w:r>
      <w:r>
        <w:rPr>
          <w:rStyle w:val="29"/>
          <w:sz w:val="24"/>
          <w:szCs w:val="24"/>
          <w:highlight w:val="none"/>
        </w:rPr>
        <w:t>10</w:t>
      </w:r>
      <w:r>
        <w:rPr>
          <w:rStyle w:val="29"/>
          <w:rFonts w:hint="eastAsia"/>
          <w:sz w:val="24"/>
          <w:szCs w:val="24"/>
          <w:highlight w:val="none"/>
        </w:rPr>
        <w:t>法律、法规和招标文件中规定的其他情形。</w:t>
      </w:r>
    </w:p>
    <w:p w14:paraId="4C80DFCE">
      <w:pPr>
        <w:spacing w:line="440" w:lineRule="exact"/>
        <w:ind w:firstLine="560" w:firstLineChars="200"/>
        <w:outlineLvl w:val="2"/>
        <w:rPr>
          <w:rFonts w:ascii="楷体" w:hAnsi="楷体" w:eastAsia="楷体"/>
          <w:sz w:val="28"/>
          <w:szCs w:val="28"/>
          <w:highlight w:val="none"/>
        </w:rPr>
      </w:pPr>
      <w:bookmarkStart w:id="87" w:name="_Toc22180"/>
      <w:bookmarkStart w:id="88" w:name="_Toc15662"/>
      <w:r>
        <w:rPr>
          <w:rFonts w:hint="eastAsia" w:ascii="楷体" w:hAnsi="楷体" w:eastAsia="楷体"/>
          <w:sz w:val="28"/>
          <w:szCs w:val="28"/>
          <w:highlight w:val="none"/>
        </w:rPr>
        <w:t>19.纪律要求</w:t>
      </w:r>
      <w:bookmarkEnd w:id="87"/>
      <w:bookmarkEnd w:id="88"/>
    </w:p>
    <w:p w14:paraId="41DAB17C">
      <w:pPr>
        <w:spacing w:line="440" w:lineRule="exact"/>
        <w:ind w:firstLine="480" w:firstLineChars="200"/>
        <w:rPr>
          <w:rFonts w:ascii="仿宋" w:hAnsi="仿宋" w:eastAsia="仿宋"/>
          <w:sz w:val="24"/>
          <w:szCs w:val="24"/>
          <w:highlight w:val="none"/>
        </w:rPr>
      </w:pPr>
      <w:bookmarkStart w:id="89" w:name="_Toc494455686"/>
      <w:r>
        <w:rPr>
          <w:rFonts w:hint="eastAsia" w:ascii="仿宋" w:hAnsi="仿宋" w:eastAsia="仿宋"/>
          <w:sz w:val="24"/>
          <w:szCs w:val="24"/>
          <w:highlight w:val="none"/>
        </w:rPr>
        <w:t>19.1对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的纪律要求</w:t>
      </w:r>
      <w:bookmarkEnd w:id="89"/>
    </w:p>
    <w:p w14:paraId="6D525E3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2FFF66B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eastAsia="zh-CN"/>
        </w:rPr>
        <w:t>招标人</w:t>
      </w:r>
      <w:r>
        <w:rPr>
          <w:rFonts w:ascii="仿宋" w:hAnsi="仿宋" w:eastAsia="仿宋"/>
          <w:sz w:val="24"/>
          <w:szCs w:val="24"/>
          <w:highlight w:val="none"/>
        </w:rPr>
        <w:t>不得向供应商索要或者接受其给予的赠品、回扣或者与采购无关的其他</w:t>
      </w:r>
      <w:r>
        <w:rPr>
          <w:rFonts w:hint="eastAsia" w:ascii="仿宋" w:hAnsi="仿宋" w:eastAsia="仿宋"/>
          <w:sz w:val="24"/>
          <w:szCs w:val="24"/>
          <w:highlight w:val="none"/>
        </w:rPr>
        <w:t>商品、服务。</w:t>
      </w:r>
    </w:p>
    <w:p w14:paraId="21429B9F">
      <w:pPr>
        <w:spacing w:line="440" w:lineRule="exact"/>
        <w:ind w:firstLine="480" w:firstLineChars="200"/>
        <w:rPr>
          <w:rFonts w:ascii="仿宋" w:hAnsi="仿宋" w:eastAsia="仿宋"/>
          <w:sz w:val="24"/>
          <w:szCs w:val="24"/>
          <w:highlight w:val="none"/>
        </w:rPr>
      </w:pPr>
      <w:bookmarkStart w:id="90" w:name="_Toc494455687"/>
      <w:r>
        <w:rPr>
          <w:rFonts w:hint="eastAsia" w:ascii="仿宋" w:hAnsi="仿宋" w:eastAsia="仿宋"/>
          <w:sz w:val="24"/>
          <w:szCs w:val="24"/>
          <w:highlight w:val="none"/>
        </w:rPr>
        <w:t>19.2对投标人的纪律要求</w:t>
      </w:r>
      <w:bookmarkEnd w:id="90"/>
    </w:p>
    <w:p w14:paraId="54FD5322">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投标人应当遵循公平竞争的原则，不得恶意串通，不得妨碍其他投标人的竞争行为，不得损害</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或者其他投标人的合法权益。</w:t>
      </w:r>
    </w:p>
    <w:p w14:paraId="306C49F4">
      <w:pPr>
        <w:spacing w:line="440" w:lineRule="exact"/>
        <w:ind w:firstLine="480" w:firstLineChars="200"/>
        <w:rPr>
          <w:rFonts w:ascii="仿宋" w:hAnsi="仿宋" w:eastAsia="仿宋"/>
          <w:sz w:val="24"/>
          <w:szCs w:val="24"/>
          <w:highlight w:val="none"/>
        </w:rPr>
      </w:pPr>
      <w:bookmarkStart w:id="91" w:name="_Toc494455688"/>
      <w:r>
        <w:rPr>
          <w:rFonts w:hint="eastAsia" w:ascii="仿宋" w:hAnsi="仿宋" w:eastAsia="仿宋"/>
          <w:sz w:val="24"/>
          <w:szCs w:val="24"/>
          <w:highlight w:val="none"/>
        </w:rPr>
        <w:t>19.3对评标委员会成员的纪律要求</w:t>
      </w:r>
      <w:bookmarkEnd w:id="91"/>
    </w:p>
    <w:p w14:paraId="53D314B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评标委员会及其成员不得有下列行为：</w:t>
      </w:r>
    </w:p>
    <w:p w14:paraId="7C64429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（一）确定参与评标至评标结束前私自接触投标人；</w:t>
      </w:r>
    </w:p>
    <w:p w14:paraId="064FB679">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（二）接受投标人提出的与投标文件不一致的澄清或者说明，法律规定允许澄清或说明的情形除外；</w:t>
      </w:r>
    </w:p>
    <w:p w14:paraId="6EBBF98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（三）违反评标纪律发表倾向性意见或者征询</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的倾向性意见；</w:t>
      </w:r>
    </w:p>
    <w:p w14:paraId="19198B3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（四）对需要专业判断的主观评审因素协商评分；</w:t>
      </w:r>
    </w:p>
    <w:p w14:paraId="7132393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（五）在评标过程中擅离职守，影响评标程序正常进行的；</w:t>
      </w:r>
    </w:p>
    <w:p w14:paraId="66964857">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（六）记录、复制或者带走任何评标资料；</w:t>
      </w:r>
    </w:p>
    <w:p w14:paraId="1DF0193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（七）其他不遵守评标纪律的行为。</w:t>
      </w:r>
    </w:p>
    <w:p w14:paraId="01D0385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评标委员会成员有前款第一至五项行为之一的，其评审意见无效，并不得获取评审劳务报酬和报销异地评审差旅费。</w:t>
      </w:r>
    </w:p>
    <w:p w14:paraId="79064863">
      <w:pPr>
        <w:spacing w:line="440" w:lineRule="exact"/>
        <w:ind w:firstLine="480" w:firstLineChars="200"/>
        <w:rPr>
          <w:rFonts w:ascii="仿宋" w:hAnsi="仿宋" w:eastAsia="仿宋"/>
          <w:sz w:val="24"/>
          <w:szCs w:val="24"/>
          <w:highlight w:val="none"/>
        </w:rPr>
      </w:pPr>
      <w:bookmarkStart w:id="92" w:name="_Toc494455689"/>
      <w:r>
        <w:rPr>
          <w:rFonts w:hint="eastAsia" w:ascii="仿宋" w:hAnsi="仿宋" w:eastAsia="仿宋"/>
          <w:sz w:val="24"/>
          <w:szCs w:val="24"/>
          <w:highlight w:val="none"/>
        </w:rPr>
        <w:t>19.4对与评标活动有关的工作人员的纪律要求</w:t>
      </w:r>
      <w:bookmarkEnd w:id="92"/>
    </w:p>
    <w:p w14:paraId="54F27DE6">
      <w:pPr>
        <w:spacing w:line="440" w:lineRule="exact"/>
        <w:ind w:firstLine="480" w:firstLineChars="200"/>
        <w:rPr>
          <w:rStyle w:val="29"/>
          <w:sz w:val="24"/>
          <w:szCs w:val="24"/>
          <w:highlight w:val="none"/>
        </w:rPr>
      </w:pPr>
      <w:r>
        <w:rPr>
          <w:rFonts w:hint="eastAsia" w:ascii="仿宋" w:hAnsi="仿宋" w:eastAsia="仿宋"/>
          <w:sz w:val="24"/>
          <w:szCs w:val="24"/>
          <w:highlight w:val="none"/>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bookmarkEnd w:id="72"/>
    <w:p w14:paraId="134DC530">
      <w:pPr>
        <w:spacing w:line="440" w:lineRule="exact"/>
        <w:ind w:firstLine="560" w:firstLineChars="200"/>
        <w:outlineLvl w:val="2"/>
        <w:rPr>
          <w:rFonts w:ascii="楷体" w:hAnsi="楷体" w:eastAsia="楷体"/>
          <w:sz w:val="28"/>
          <w:szCs w:val="28"/>
          <w:highlight w:val="none"/>
        </w:rPr>
      </w:pPr>
      <w:bookmarkStart w:id="93" w:name="_Toc6067"/>
      <w:bookmarkStart w:id="94" w:name="_Toc14350"/>
      <w:r>
        <w:rPr>
          <w:rFonts w:hint="eastAsia" w:ascii="楷体" w:hAnsi="楷体" w:eastAsia="楷体"/>
          <w:sz w:val="28"/>
          <w:szCs w:val="28"/>
          <w:highlight w:val="none"/>
        </w:rPr>
        <w:t>20.质疑</w:t>
      </w:r>
      <w:bookmarkEnd w:id="93"/>
      <w:bookmarkEnd w:id="94"/>
    </w:p>
    <w:p w14:paraId="3E5F05D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20.1参加本次政府采购活动的投标人认为招标文件、招标过程和中标结果使自己的权益受到损害的，可以在知道或者应知道其权益受到损害之日起7个工作日内，以书面形式向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或者采购代理机构提出质疑。</w:t>
      </w:r>
    </w:p>
    <w:p w14:paraId="3717C1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w:t>
      </w:r>
      <w:r>
        <w:rPr>
          <w:rFonts w:hint="eastAsia" w:ascii="仿宋" w:hAnsi="仿宋" w:eastAsia="仿宋"/>
          <w:sz w:val="24"/>
          <w:szCs w:val="24"/>
          <w:highlight w:val="none"/>
        </w:rPr>
        <w:t>质疑书内容应包括以下主要内容：</w:t>
      </w:r>
    </w:p>
    <w:p w14:paraId="793D9C6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2.1</w:t>
      </w:r>
      <w:r>
        <w:rPr>
          <w:rFonts w:hint="eastAsia" w:ascii="仿宋" w:hAnsi="仿宋" w:eastAsia="仿宋"/>
          <w:sz w:val="24"/>
          <w:szCs w:val="24"/>
          <w:highlight w:val="none"/>
        </w:rPr>
        <w:t>质疑人的名称、地址、电话等；</w:t>
      </w:r>
    </w:p>
    <w:p w14:paraId="2F0F10D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2.2</w:t>
      </w:r>
      <w:r>
        <w:rPr>
          <w:rFonts w:hint="eastAsia" w:ascii="仿宋" w:hAnsi="仿宋" w:eastAsia="仿宋"/>
          <w:sz w:val="24"/>
          <w:szCs w:val="24"/>
          <w:highlight w:val="none"/>
        </w:rPr>
        <w:t>具体的质疑事项、证据以及法律、法规依据；</w:t>
      </w:r>
    </w:p>
    <w:p w14:paraId="112F618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2.3</w:t>
      </w:r>
      <w:r>
        <w:rPr>
          <w:rFonts w:hint="eastAsia" w:ascii="仿宋" w:hAnsi="仿宋" w:eastAsia="仿宋"/>
          <w:sz w:val="24"/>
          <w:szCs w:val="24"/>
          <w:highlight w:val="none"/>
        </w:rPr>
        <w:t>提出质疑的日期。</w:t>
      </w:r>
    </w:p>
    <w:p w14:paraId="3537E31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3</w:t>
      </w:r>
      <w:r>
        <w:rPr>
          <w:rFonts w:hint="eastAsia" w:ascii="仿宋" w:hAnsi="仿宋" w:eastAsia="仿宋"/>
          <w:sz w:val="24"/>
          <w:szCs w:val="24"/>
          <w:highlight w:val="none"/>
        </w:rPr>
        <w:t>质疑书应当署名，一式叁份。由法定代表人或者主要负责人签字并加盖公章后生效。代理人办理质疑事务时，还应当提交授权委托书，授权委托书应当载明代理的具体权限和事项。否则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或者采购代理机构不予受理。</w:t>
      </w:r>
    </w:p>
    <w:p w14:paraId="69B0710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4</w:t>
      </w:r>
      <w:r>
        <w:rPr>
          <w:rFonts w:hint="eastAsia" w:ascii="仿宋" w:hAnsi="仿宋" w:eastAsia="仿宋"/>
          <w:sz w:val="24"/>
          <w:szCs w:val="24"/>
          <w:highlight w:val="none"/>
        </w:rPr>
        <w:t>除书面形式外，其他任何方式的质疑，</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或者采购代理机构均不予接受和回复。</w:t>
      </w:r>
    </w:p>
    <w:p w14:paraId="7B728BE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5</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或者采购代理机构在收到质疑书后7个工作日内做出书面答复，并以书面形式通知质疑人和其他有关投标人，但答复不得涉及商业秘密。</w:t>
      </w:r>
    </w:p>
    <w:p w14:paraId="324CCD2D">
      <w:pPr>
        <w:ind w:firstLine="480" w:firstLineChars="200"/>
        <w:jc w:val="both"/>
        <w:rPr>
          <w:rStyle w:val="29"/>
          <w:rFonts w:hint="eastAsia" w:eastAsia="仿宋"/>
          <w:color w:val="auto"/>
          <w:sz w:val="24"/>
          <w:szCs w:val="24"/>
          <w:lang w:val="en-US" w:eastAsia="zh-CN"/>
        </w:rPr>
      </w:pPr>
      <w:r>
        <w:rPr>
          <w:rFonts w:hint="eastAsia" w:ascii="仿宋" w:hAnsi="仿宋" w:eastAsia="仿宋"/>
          <w:sz w:val="24"/>
          <w:szCs w:val="24"/>
          <w:highlight w:val="none"/>
        </w:rPr>
        <w:t>20.</w:t>
      </w:r>
      <w:r>
        <w:rPr>
          <w:rFonts w:ascii="仿宋" w:hAnsi="仿宋" w:eastAsia="仿宋"/>
          <w:sz w:val="24"/>
          <w:szCs w:val="24"/>
          <w:highlight w:val="none"/>
        </w:rPr>
        <w:t>6</w:t>
      </w:r>
      <w:r>
        <w:rPr>
          <w:rFonts w:hint="eastAsia" w:ascii="仿宋" w:hAnsi="仿宋" w:eastAsia="仿宋"/>
          <w:sz w:val="24"/>
          <w:szCs w:val="24"/>
          <w:highlight w:val="none"/>
        </w:rPr>
        <w:t>质疑人对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、采购代理机构的答复不满意或者</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、采购代理机构未在规定的时间内做出答复的，可以在答复期满后1</w:t>
      </w:r>
      <w:r>
        <w:rPr>
          <w:rFonts w:ascii="仿宋" w:hAnsi="仿宋" w:eastAsia="仿宋"/>
          <w:sz w:val="24"/>
          <w:szCs w:val="24"/>
          <w:highlight w:val="none"/>
        </w:rPr>
        <w:t>5</w:t>
      </w:r>
      <w:r>
        <w:rPr>
          <w:rFonts w:hint="eastAsia" w:ascii="仿宋" w:hAnsi="仿宋" w:eastAsia="仿宋"/>
          <w:sz w:val="24"/>
          <w:szCs w:val="24"/>
          <w:highlight w:val="none"/>
        </w:rPr>
        <w:t>个工作日内向同级监管部门投诉。</w:t>
      </w:r>
    </w:p>
    <w:p w14:paraId="47B1FB32">
      <w:pPr>
        <w:jc w:val="center"/>
        <w:rPr>
          <w:rFonts w:hint="eastAsia" w:ascii="仿宋" w:hAnsi="仿宋" w:eastAsia="仿宋" w:cs="仿宋"/>
          <w:b/>
          <w:bCs/>
          <w:sz w:val="24"/>
          <w:szCs w:val="24"/>
        </w:rPr>
      </w:pPr>
    </w:p>
    <w:p w14:paraId="30D810C2">
      <w:pPr>
        <w:jc w:val="center"/>
        <w:rPr>
          <w:rFonts w:ascii="仿宋" w:hAnsi="仿宋" w:eastAsia="仿宋" w:cs="仿宋"/>
          <w:b/>
          <w:bCs/>
          <w:sz w:val="24"/>
          <w:szCs w:val="24"/>
        </w:rPr>
      </w:pPr>
      <w:r>
        <w:rPr>
          <w:rFonts w:hint="eastAsia" w:ascii="仿宋" w:hAnsi="仿宋" w:eastAsia="仿宋" w:cs="仿宋"/>
          <w:b/>
          <w:bCs/>
          <w:sz w:val="24"/>
          <w:szCs w:val="24"/>
        </w:rPr>
        <w:t>质疑函范本</w:t>
      </w:r>
    </w:p>
    <w:p w14:paraId="32EA0D73">
      <w:pPr>
        <w:adjustRightInd w:val="0"/>
        <w:snapToGrid w:val="0"/>
        <w:spacing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14:paraId="208F362B">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7ABC983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5D5F3E9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E83B13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72D8329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14:paraId="70E5F65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F32B189">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14:paraId="0623BF9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280DB47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44EE2ED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039F91C8">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20161D4C">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14:paraId="0DB64FAE">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7DDAF18C">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2CF7DC3F">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14:paraId="04E982B3">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222DC02B">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14:paraId="73E1F68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14:paraId="3D05521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14:paraId="45B6300E">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14:paraId="2B4C5E3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674BF06F">
      <w:pPr>
        <w:rPr>
          <w:rFonts w:ascii="仿宋_GB2312" w:eastAsia="仿宋_GB2312"/>
          <w:sz w:val="24"/>
          <w:szCs w:val="24"/>
        </w:rPr>
      </w:pPr>
      <w:r>
        <w:rPr>
          <w:rFonts w:hint="eastAsia" w:ascii="仿宋_GB2312" w:eastAsia="仿宋_GB2312"/>
          <w:sz w:val="24"/>
          <w:szCs w:val="24"/>
        </w:rPr>
        <w:t xml:space="preserve">签字(签章)：                   公章：                      </w:t>
      </w:r>
    </w:p>
    <w:p w14:paraId="14D68C30">
      <w:pPr>
        <w:rPr>
          <w:rFonts w:ascii="仿宋" w:hAnsi="仿宋" w:eastAsia="仿宋"/>
          <w:sz w:val="24"/>
          <w:szCs w:val="24"/>
          <w:highlight w:val="none"/>
        </w:rPr>
      </w:pPr>
      <w:r>
        <w:rPr>
          <w:rFonts w:hint="eastAsia" w:ascii="仿宋_GB2312" w:eastAsia="仿宋_GB2312"/>
          <w:sz w:val="24"/>
          <w:szCs w:val="24"/>
        </w:rPr>
        <w:t xml:space="preserve">日期：    </w:t>
      </w:r>
    </w:p>
    <w:p w14:paraId="38CC99B4">
      <w:pPr>
        <w:spacing w:line="440" w:lineRule="exact"/>
        <w:ind w:firstLine="560" w:firstLineChars="200"/>
        <w:outlineLvl w:val="2"/>
        <w:rPr>
          <w:rFonts w:ascii="楷体" w:hAnsi="楷体" w:eastAsia="楷体"/>
          <w:sz w:val="28"/>
          <w:szCs w:val="28"/>
          <w:highlight w:val="none"/>
        </w:rPr>
      </w:pPr>
      <w:bookmarkStart w:id="95" w:name="_Toc13204"/>
      <w:bookmarkStart w:id="96" w:name="_Toc494455668"/>
      <w:bookmarkStart w:id="97" w:name="_Toc3301"/>
      <w:r>
        <w:rPr>
          <w:rFonts w:hint="eastAsia" w:ascii="楷体" w:hAnsi="楷体" w:eastAsia="楷体"/>
          <w:sz w:val="28"/>
          <w:szCs w:val="28"/>
          <w:highlight w:val="none"/>
        </w:rPr>
        <w:t>21.投诉</w:t>
      </w:r>
      <w:bookmarkEnd w:id="95"/>
      <w:bookmarkEnd w:id="96"/>
      <w:bookmarkEnd w:id="97"/>
    </w:p>
    <w:p w14:paraId="59152D8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1</w:t>
      </w:r>
      <w:r>
        <w:rPr>
          <w:rFonts w:hint="eastAsia" w:ascii="仿宋" w:hAnsi="仿宋" w:eastAsia="仿宋"/>
          <w:sz w:val="24"/>
          <w:szCs w:val="24"/>
          <w:highlight w:val="none"/>
        </w:rPr>
        <w:t>按照《中华人民共和国政府采购法》、财政部</w:t>
      </w:r>
      <w:r>
        <w:rPr>
          <w:rFonts w:hint="eastAsia" w:ascii="仿宋" w:hAnsi="仿宋" w:eastAsia="仿宋"/>
          <w:color w:val="auto"/>
          <w:sz w:val="24"/>
          <w:szCs w:val="24"/>
          <w:highlight w:val="none"/>
          <w:lang w:eastAsia="zh-CN"/>
        </w:rPr>
        <w:t>《政府采购质疑和投诉办法》（财政部令第94号）</w:t>
      </w:r>
      <w:r>
        <w:rPr>
          <w:rFonts w:hint="eastAsia" w:ascii="仿宋" w:hAnsi="仿宋" w:eastAsia="仿宋"/>
          <w:sz w:val="24"/>
          <w:szCs w:val="24"/>
          <w:highlight w:val="none"/>
        </w:rPr>
        <w:t>文件以及相关的法律、法规及规定，质疑人对</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、采购代理机构的答复不满意或者</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、采购代理机构未在规定的时间内做出答复的，可以在答复期满后1</w:t>
      </w:r>
      <w:r>
        <w:rPr>
          <w:rFonts w:ascii="仿宋" w:hAnsi="仿宋" w:eastAsia="仿宋"/>
          <w:sz w:val="24"/>
          <w:szCs w:val="24"/>
          <w:highlight w:val="none"/>
        </w:rPr>
        <w:t>5</w:t>
      </w:r>
      <w:r>
        <w:rPr>
          <w:rFonts w:hint="eastAsia" w:ascii="仿宋" w:hAnsi="仿宋" w:eastAsia="仿宋"/>
          <w:sz w:val="24"/>
          <w:szCs w:val="24"/>
          <w:highlight w:val="none"/>
        </w:rPr>
        <w:t>个工作日内向同级监管部门投诉。</w:t>
      </w:r>
    </w:p>
    <w:p w14:paraId="04BE0CAE">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w:t>
      </w:r>
      <w:r>
        <w:rPr>
          <w:rFonts w:hint="eastAsia" w:ascii="仿宋" w:hAnsi="仿宋" w:eastAsia="仿宋"/>
          <w:sz w:val="24"/>
          <w:szCs w:val="24"/>
          <w:highlight w:val="none"/>
        </w:rPr>
        <w:t>投诉人提起投诉应符合下列条件：</w:t>
      </w:r>
    </w:p>
    <w:p w14:paraId="3FA6BC2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2.1</w:t>
      </w:r>
      <w:r>
        <w:rPr>
          <w:rFonts w:hint="eastAsia" w:ascii="仿宋" w:hAnsi="仿宋" w:eastAsia="仿宋"/>
          <w:sz w:val="24"/>
          <w:szCs w:val="24"/>
          <w:highlight w:val="none"/>
        </w:rPr>
        <w:t>投诉人是参与所投诉政府采购活动的投标人；</w:t>
      </w:r>
    </w:p>
    <w:p w14:paraId="6320534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2.2</w:t>
      </w:r>
      <w:r>
        <w:rPr>
          <w:rFonts w:hint="eastAsia" w:ascii="仿宋" w:hAnsi="仿宋" w:eastAsia="仿宋"/>
          <w:sz w:val="24"/>
          <w:szCs w:val="24"/>
          <w:highlight w:val="none"/>
        </w:rPr>
        <w:t>提起投诉前已依法进行质疑；</w:t>
      </w:r>
    </w:p>
    <w:p w14:paraId="4913796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2.3</w:t>
      </w:r>
      <w:r>
        <w:rPr>
          <w:rFonts w:hint="eastAsia" w:ascii="仿宋" w:hAnsi="仿宋" w:eastAsia="仿宋"/>
          <w:sz w:val="24"/>
          <w:szCs w:val="24"/>
          <w:highlight w:val="none"/>
        </w:rPr>
        <w:t>投诉书内容符合财政部</w:t>
      </w:r>
      <w:r>
        <w:rPr>
          <w:rFonts w:hint="eastAsia" w:ascii="仿宋" w:hAnsi="仿宋" w:eastAsia="仿宋"/>
          <w:color w:val="auto"/>
          <w:sz w:val="24"/>
          <w:szCs w:val="24"/>
          <w:highlight w:val="none"/>
          <w:lang w:eastAsia="zh-CN"/>
        </w:rPr>
        <w:t>《政府采购质疑和投诉办法》（财政部令第94号）</w:t>
      </w:r>
      <w:r>
        <w:rPr>
          <w:rFonts w:hint="eastAsia" w:ascii="仿宋" w:hAnsi="仿宋" w:eastAsia="仿宋"/>
          <w:sz w:val="24"/>
          <w:szCs w:val="24"/>
          <w:highlight w:val="none"/>
        </w:rPr>
        <w:t>规定；</w:t>
      </w:r>
    </w:p>
    <w:p w14:paraId="6F47E02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2.4</w:t>
      </w:r>
      <w:r>
        <w:rPr>
          <w:rFonts w:hint="eastAsia" w:ascii="仿宋" w:hAnsi="仿宋" w:eastAsia="仿宋"/>
          <w:sz w:val="24"/>
          <w:szCs w:val="24"/>
          <w:highlight w:val="none"/>
        </w:rPr>
        <w:t>在投诉有效期限内提起投诉；</w:t>
      </w:r>
    </w:p>
    <w:p w14:paraId="19AADEC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2.5</w:t>
      </w:r>
      <w:r>
        <w:rPr>
          <w:rFonts w:hint="eastAsia" w:ascii="仿宋" w:hAnsi="仿宋" w:eastAsia="仿宋"/>
          <w:sz w:val="24"/>
          <w:szCs w:val="24"/>
          <w:highlight w:val="none"/>
        </w:rPr>
        <w:t>属于本财政部门管辖；</w:t>
      </w:r>
    </w:p>
    <w:p w14:paraId="4188A61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2.6</w:t>
      </w:r>
      <w:r>
        <w:rPr>
          <w:rFonts w:hint="eastAsia" w:ascii="仿宋" w:hAnsi="仿宋" w:eastAsia="仿宋"/>
          <w:sz w:val="24"/>
          <w:szCs w:val="24"/>
          <w:highlight w:val="none"/>
        </w:rPr>
        <w:t>同一投诉事项未经财政部门投诉处理；</w:t>
      </w:r>
    </w:p>
    <w:p w14:paraId="76033154">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2.7</w:t>
      </w:r>
      <w:r>
        <w:rPr>
          <w:rFonts w:hint="eastAsia" w:ascii="仿宋" w:hAnsi="仿宋" w:eastAsia="仿宋"/>
          <w:sz w:val="24"/>
          <w:szCs w:val="24"/>
          <w:highlight w:val="none"/>
        </w:rPr>
        <w:t>法律法规规定的其他条件。</w:t>
      </w:r>
    </w:p>
    <w:p w14:paraId="6550F34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3</w:t>
      </w:r>
      <w:r>
        <w:rPr>
          <w:rFonts w:hint="eastAsia" w:ascii="仿宋" w:hAnsi="仿宋" w:eastAsia="仿宋"/>
          <w:sz w:val="24"/>
          <w:szCs w:val="24"/>
          <w:highlight w:val="none"/>
        </w:rPr>
        <w:t>投诉人投诉时，应当提交投诉书，并按照被投诉</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、采购代理机构和与投诉事项有关的投标人数量提供投诉书的副本。</w:t>
      </w:r>
    </w:p>
    <w:p w14:paraId="1BB00C9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w:t>
      </w:r>
      <w:r>
        <w:rPr>
          <w:rFonts w:hint="eastAsia" w:ascii="仿宋" w:hAnsi="仿宋" w:eastAsia="仿宋"/>
          <w:sz w:val="24"/>
          <w:szCs w:val="24"/>
          <w:highlight w:val="none"/>
        </w:rPr>
        <w:t>投诉书应当包括以下主要内容：</w:t>
      </w:r>
    </w:p>
    <w:p w14:paraId="556628D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4.1</w:t>
      </w:r>
      <w:r>
        <w:rPr>
          <w:rFonts w:hint="eastAsia" w:ascii="仿宋" w:hAnsi="仿宋" w:eastAsia="仿宋"/>
          <w:sz w:val="24"/>
          <w:szCs w:val="24"/>
          <w:highlight w:val="none"/>
        </w:rPr>
        <w:t>投诉人和被投诉人的名称、地址、电话等；</w:t>
      </w:r>
    </w:p>
    <w:p w14:paraId="42AC50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4.2</w:t>
      </w:r>
      <w:r>
        <w:rPr>
          <w:rFonts w:hint="eastAsia" w:ascii="仿宋" w:hAnsi="仿宋" w:eastAsia="仿宋"/>
          <w:sz w:val="24"/>
          <w:szCs w:val="24"/>
          <w:highlight w:val="none"/>
        </w:rPr>
        <w:t>具体的投诉事宜以及事实依据；</w:t>
      </w:r>
    </w:p>
    <w:p w14:paraId="7D2ED45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4.3</w:t>
      </w:r>
      <w:r>
        <w:rPr>
          <w:rFonts w:hint="eastAsia" w:ascii="仿宋" w:hAnsi="仿宋" w:eastAsia="仿宋"/>
          <w:sz w:val="24"/>
          <w:szCs w:val="24"/>
          <w:highlight w:val="none"/>
        </w:rPr>
        <w:t>质疑书和质疑答复情况以及相关证明材料；</w:t>
      </w:r>
    </w:p>
    <w:p w14:paraId="783CAC9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4.4</w:t>
      </w:r>
      <w:r>
        <w:rPr>
          <w:rFonts w:hint="eastAsia" w:ascii="仿宋" w:hAnsi="仿宋" w:eastAsia="仿宋"/>
          <w:sz w:val="24"/>
          <w:szCs w:val="24"/>
          <w:highlight w:val="none"/>
        </w:rPr>
        <w:t>提起投诉的日期。</w:t>
      </w:r>
    </w:p>
    <w:p w14:paraId="3060801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5</w:t>
      </w:r>
      <w:r>
        <w:rPr>
          <w:rFonts w:hint="eastAsia" w:ascii="仿宋" w:hAnsi="仿宋" w:eastAsia="仿宋"/>
          <w:sz w:val="24"/>
          <w:szCs w:val="24"/>
          <w:highlight w:val="none"/>
        </w:rPr>
        <w:t>投诉书应当署名。投诉人为自然人的，应当由本人签字；投诉人为法人或者其他组织的，应当由法定代表人或者主要负责人签字盖章并加盖公章。</w:t>
      </w:r>
    </w:p>
    <w:p w14:paraId="63B3140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6</w:t>
      </w:r>
      <w:r>
        <w:rPr>
          <w:rFonts w:hint="eastAsia" w:ascii="仿宋" w:hAnsi="仿宋" w:eastAsia="仿宋"/>
          <w:sz w:val="24"/>
          <w:szCs w:val="24"/>
          <w:highlight w:val="none"/>
        </w:rPr>
        <w:t>投诉人可以委托代理人办理投诉事务。代理人办理投诉事务时，除提交投诉书外，还应当向同级监管部门提交投诉人的授权委托书，授权委托书应当载明委托代理的具体权限和事项。</w:t>
      </w:r>
    </w:p>
    <w:p w14:paraId="1A2A563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21.</w:t>
      </w:r>
      <w:r>
        <w:rPr>
          <w:rFonts w:ascii="仿宋" w:hAnsi="仿宋" w:eastAsia="仿宋"/>
          <w:sz w:val="24"/>
          <w:szCs w:val="24"/>
          <w:highlight w:val="none"/>
        </w:rPr>
        <w:t>7</w:t>
      </w:r>
      <w:r>
        <w:rPr>
          <w:rFonts w:hint="eastAsia" w:ascii="仿宋" w:hAnsi="仿宋" w:eastAsia="仿宋"/>
          <w:sz w:val="24"/>
          <w:szCs w:val="24"/>
          <w:highlight w:val="none"/>
        </w:rPr>
        <w:t>投诉人不符合上述规定提起的投诉，监管部门不予受理。</w:t>
      </w:r>
    </w:p>
    <w:p w14:paraId="324AF8ED">
      <w:pPr>
        <w:spacing w:line="440" w:lineRule="exact"/>
        <w:ind w:firstLine="560" w:firstLineChars="200"/>
        <w:outlineLvl w:val="2"/>
        <w:rPr>
          <w:rFonts w:ascii="楷体" w:hAnsi="楷体" w:eastAsia="楷体"/>
          <w:sz w:val="28"/>
          <w:szCs w:val="28"/>
          <w:highlight w:val="none"/>
        </w:rPr>
      </w:pPr>
      <w:bookmarkStart w:id="98" w:name="_Toc29429"/>
      <w:bookmarkStart w:id="99" w:name="_Toc494455669"/>
      <w:bookmarkStart w:id="100" w:name="_Toc21734"/>
      <w:r>
        <w:rPr>
          <w:rFonts w:ascii="楷体" w:hAnsi="楷体" w:eastAsia="楷体"/>
          <w:sz w:val="28"/>
          <w:szCs w:val="28"/>
          <w:highlight w:val="none"/>
        </w:rPr>
        <w:t>2</w:t>
      </w:r>
      <w:r>
        <w:rPr>
          <w:rFonts w:hint="eastAsia" w:ascii="楷体" w:hAnsi="楷体" w:eastAsia="楷体"/>
          <w:sz w:val="28"/>
          <w:szCs w:val="28"/>
          <w:highlight w:val="none"/>
        </w:rPr>
        <w:t>2.其他需补充的内容</w:t>
      </w:r>
      <w:bookmarkEnd w:id="98"/>
      <w:bookmarkEnd w:id="99"/>
      <w:bookmarkEnd w:id="100"/>
    </w:p>
    <w:p w14:paraId="712FF58C">
      <w:pPr>
        <w:rPr>
          <w:rFonts w:ascii="仿宋" w:hAnsi="仿宋" w:eastAsia="仿宋"/>
          <w:sz w:val="24"/>
          <w:szCs w:val="24"/>
          <w:highlight w:val="none"/>
        </w:rPr>
      </w:pPr>
      <w:r>
        <w:rPr>
          <w:rFonts w:hint="eastAsia" w:ascii="仿宋" w:hAnsi="仿宋" w:eastAsia="仿宋"/>
          <w:sz w:val="24"/>
          <w:szCs w:val="24"/>
          <w:highlight w:val="none"/>
        </w:rPr>
        <w:t>其他需补充的内容：见投标人须知前附表。</w:t>
      </w:r>
    </w:p>
    <w:p w14:paraId="3FC56A97">
      <w:pPr>
        <w:rPr>
          <w:rFonts w:ascii="仿宋" w:hAnsi="仿宋" w:eastAsia="仿宋"/>
          <w:sz w:val="24"/>
          <w:szCs w:val="24"/>
          <w:highlight w:val="none"/>
        </w:rPr>
      </w:pPr>
      <w:r>
        <w:rPr>
          <w:rFonts w:hint="eastAsia" w:ascii="仿宋" w:hAnsi="仿宋" w:eastAsia="仿宋"/>
          <w:sz w:val="24"/>
          <w:szCs w:val="24"/>
          <w:highlight w:val="none"/>
        </w:rPr>
        <w:br w:type="page"/>
      </w:r>
    </w:p>
    <w:p w14:paraId="40002DBB">
      <w:pPr>
        <w:spacing w:afterLines="50" w:line="400" w:lineRule="exact"/>
        <w:jc w:val="center"/>
        <w:outlineLvl w:val="1"/>
        <w:rPr>
          <w:rFonts w:ascii="黑体" w:hAnsi="黑体" w:eastAsia="黑体"/>
          <w:sz w:val="28"/>
          <w:szCs w:val="28"/>
          <w:highlight w:val="none"/>
        </w:rPr>
      </w:pPr>
      <w:bookmarkStart w:id="101" w:name="_Toc11059"/>
      <w:bookmarkStart w:id="102" w:name="_Toc494455912"/>
      <w:bookmarkStart w:id="103" w:name="_Toc9349"/>
      <w:r>
        <w:rPr>
          <w:rFonts w:ascii="黑体" w:hAnsi="黑体" w:eastAsia="黑体"/>
          <w:sz w:val="32"/>
          <w:szCs w:val="32"/>
          <w:highlight w:val="none"/>
        </w:rPr>
        <w:t>第</w:t>
      </w:r>
      <w:r>
        <w:rPr>
          <w:rFonts w:hint="eastAsia" w:ascii="黑体" w:hAnsi="黑体" w:eastAsia="黑体"/>
          <w:sz w:val="32"/>
          <w:szCs w:val="32"/>
          <w:highlight w:val="none"/>
        </w:rPr>
        <w:t>三</w:t>
      </w:r>
      <w:r>
        <w:rPr>
          <w:rFonts w:ascii="黑体" w:hAnsi="黑体" w:eastAsia="黑体"/>
          <w:sz w:val="32"/>
          <w:szCs w:val="32"/>
          <w:highlight w:val="none"/>
        </w:rPr>
        <w:t>章</w:t>
      </w:r>
      <w:r>
        <w:rPr>
          <w:rFonts w:hint="eastAsia" w:ascii="黑体" w:hAnsi="黑体" w:eastAsia="黑体"/>
          <w:sz w:val="32"/>
          <w:szCs w:val="32"/>
          <w:highlight w:val="none"/>
        </w:rPr>
        <w:t xml:space="preserve">  采购需求</w:t>
      </w:r>
      <w:bookmarkEnd w:id="101"/>
      <w:bookmarkEnd w:id="102"/>
      <w:bookmarkEnd w:id="103"/>
    </w:p>
    <w:p w14:paraId="19CE5698">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ascii="楷体" w:hAnsi="楷体" w:eastAsia="楷体"/>
          <w:sz w:val="28"/>
          <w:szCs w:val="28"/>
          <w:highlight w:val="none"/>
        </w:rPr>
      </w:pPr>
      <w:bookmarkStart w:id="104" w:name="_Toc3379"/>
      <w:bookmarkStart w:id="105" w:name="_Toc494455913"/>
      <w:bookmarkStart w:id="106" w:name="_Toc20743"/>
      <w:r>
        <w:rPr>
          <w:rFonts w:hint="eastAsia" w:ascii="楷体" w:hAnsi="楷体" w:eastAsia="楷体"/>
          <w:sz w:val="28"/>
          <w:szCs w:val="28"/>
          <w:highlight w:val="none"/>
        </w:rPr>
        <w:t>1.项目说明</w:t>
      </w:r>
      <w:bookmarkEnd w:id="104"/>
      <w:bookmarkEnd w:id="105"/>
      <w:bookmarkEnd w:id="106"/>
    </w:p>
    <w:p w14:paraId="402AD6DB">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1.1本章内容是根据采购项目的实际需求制定的。</w:t>
      </w:r>
    </w:p>
    <w:p w14:paraId="1388E39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货物必须为合格产品，质量达到国家相关标准、行业标准、地方标准或者其他标准、规范，中标人供货时应当提供有关货物的合格证明材料等。</w:t>
      </w:r>
    </w:p>
    <w:p w14:paraId="109683AD">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14:paraId="20F3009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进口产品是指通过中国海关报关验放进入中国境内且产自关境外的产品。</w:t>
      </w:r>
    </w:p>
    <w:p w14:paraId="46FF0E76">
      <w:pPr>
        <w:spacing w:line="400" w:lineRule="exact"/>
        <w:ind w:firstLine="480" w:firstLineChars="200"/>
        <w:jc w:val="left"/>
        <w:rPr>
          <w:rFonts w:ascii="仿宋" w:hAnsi="仿宋" w:eastAsia="仿宋" w:cs="仿宋"/>
          <w:sz w:val="24"/>
          <w:szCs w:val="24"/>
          <w:highlight w:val="none"/>
        </w:rPr>
      </w:pPr>
      <w:r>
        <w:rPr>
          <w:rFonts w:hint="eastAsia" w:ascii="仿宋" w:hAnsi="仿宋" w:eastAsia="仿宋"/>
          <w:sz w:val="24"/>
          <w:szCs w:val="24"/>
          <w:highlight w:val="none"/>
        </w:rPr>
        <w:t>政府采购应当采购本国产品。</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确需招标采购进口产品的，应在招投标活动开始前，按照财政部《政府采购进口产品管理办法》（财库〔</w:t>
      </w:r>
      <w:r>
        <w:rPr>
          <w:rFonts w:ascii="仿宋" w:hAnsi="仿宋" w:eastAsia="仿宋"/>
          <w:sz w:val="24"/>
          <w:szCs w:val="24"/>
          <w:highlight w:val="none"/>
        </w:rPr>
        <w:t>2007</w:t>
      </w:r>
      <w:r>
        <w:rPr>
          <w:rFonts w:hint="eastAsia" w:ascii="仿宋" w:hAnsi="仿宋" w:eastAsia="仿宋"/>
          <w:sz w:val="24"/>
          <w:szCs w:val="24"/>
          <w:highlight w:val="none"/>
        </w:rPr>
        <w:t>〕</w:t>
      </w:r>
      <w:r>
        <w:rPr>
          <w:rFonts w:ascii="仿宋" w:hAnsi="仿宋" w:eastAsia="仿宋"/>
          <w:sz w:val="24"/>
          <w:szCs w:val="24"/>
          <w:highlight w:val="none"/>
        </w:rPr>
        <w:t>119</w:t>
      </w:r>
      <w:r>
        <w:rPr>
          <w:rFonts w:hint="eastAsia" w:ascii="仿宋" w:hAnsi="仿宋" w:eastAsia="仿宋"/>
          <w:sz w:val="24"/>
          <w:szCs w:val="24"/>
          <w:highlight w:val="none"/>
        </w:rPr>
        <w:t>号）文件规定办理审核手续，通过财政部门审核后，方可招标采购进口产品，否则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不得招标采购</w:t>
      </w:r>
      <w:r>
        <w:rPr>
          <w:rFonts w:hint="eastAsia" w:ascii="仿宋" w:hAnsi="仿宋" w:eastAsia="仿宋" w:cs="仿宋"/>
          <w:sz w:val="24"/>
          <w:szCs w:val="24"/>
          <w:highlight w:val="none"/>
        </w:rPr>
        <w:t>进口产品，投标人不得提供直接进口或者委托进口产品（包括已进入中国境内的进口产品）。</w:t>
      </w:r>
    </w:p>
    <w:p w14:paraId="0CFA013A">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或采购代理机构在采购进口产品时不得拒绝国产相同质量产品的制造商或代理商参与投标。</w:t>
      </w:r>
    </w:p>
    <w:p w14:paraId="1AE9F68F">
      <w:pPr>
        <w:keepNext w:val="0"/>
        <w:keepLines w:val="0"/>
        <w:pageBreakBefore w:val="0"/>
        <w:widowControl w:val="0"/>
        <w:numPr>
          <w:ilvl w:val="0"/>
          <w:numId w:val="0"/>
        </w:numPr>
        <w:kinsoku/>
        <w:wordWrap/>
        <w:overflowPunct/>
        <w:topLinePunct w:val="0"/>
        <w:autoSpaceDE/>
        <w:autoSpaceDN/>
        <w:bidi w:val="0"/>
        <w:adjustRightInd/>
        <w:snapToGrid/>
        <w:spacing w:before="318" w:beforeLines="100" w:afterLines="50" w:line="400" w:lineRule="exact"/>
        <w:ind w:firstLine="560" w:firstLineChars="200"/>
        <w:jc w:val="both"/>
        <w:textAlignment w:val="auto"/>
        <w:outlineLvl w:val="2"/>
        <w:rPr>
          <w:rFonts w:hint="eastAsia" w:ascii="楷体" w:hAnsi="楷体" w:eastAsia="楷体"/>
          <w:sz w:val="28"/>
          <w:szCs w:val="28"/>
          <w:highlight w:val="none"/>
          <w:lang w:val="en-US" w:eastAsia="zh-CN"/>
        </w:rPr>
      </w:pPr>
      <w:bookmarkStart w:id="107" w:name="_Toc8497"/>
      <w:bookmarkStart w:id="108" w:name="_Toc7889"/>
      <w:bookmarkStart w:id="109" w:name="_Toc24669"/>
      <w:bookmarkStart w:id="110" w:name="_Toc9977"/>
      <w:bookmarkStart w:id="111" w:name="_Toc8637"/>
      <w:r>
        <w:rPr>
          <w:rFonts w:hint="eastAsia" w:ascii="楷体" w:hAnsi="楷体" w:eastAsia="楷体"/>
          <w:sz w:val="28"/>
          <w:szCs w:val="28"/>
          <w:highlight w:val="none"/>
          <w:lang w:val="en-US" w:eastAsia="zh-CN"/>
        </w:rPr>
        <w:t>2.技术要求</w:t>
      </w:r>
      <w:bookmarkEnd w:id="107"/>
      <w:bookmarkEnd w:id="108"/>
    </w:p>
    <w:p w14:paraId="0D5B31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2"/>
        <w:rPr>
          <w:rFonts w:hint="default" w:ascii="楷体" w:hAnsi="楷体" w:eastAsia="楷体"/>
          <w:sz w:val="28"/>
          <w:szCs w:val="28"/>
          <w:highlight w:val="none"/>
          <w:lang w:val="en-US" w:eastAsia="zh-CN"/>
        </w:rPr>
      </w:pPr>
      <w:r>
        <w:rPr>
          <w:rFonts w:hint="eastAsia" w:ascii="楷体" w:hAnsi="楷体" w:eastAsia="楷体"/>
          <w:sz w:val="28"/>
          <w:szCs w:val="28"/>
          <w:highlight w:val="none"/>
          <w:lang w:val="en-US" w:eastAsia="zh-CN"/>
        </w:rPr>
        <w:t>2.1采购清单</w:t>
      </w:r>
    </w:p>
    <w:tbl>
      <w:tblPr>
        <w:tblStyle w:val="24"/>
        <w:tblW w:w="8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4"/>
        <w:gridCol w:w="3573"/>
        <w:gridCol w:w="1391"/>
        <w:gridCol w:w="1963"/>
        <w:gridCol w:w="1078"/>
      </w:tblGrid>
      <w:tr w14:paraId="72D5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CD1738A">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序号</w:t>
            </w:r>
          </w:p>
        </w:tc>
        <w:tc>
          <w:tcPr>
            <w:tcW w:w="3573" w:type="dxa"/>
            <w:tcBorders>
              <w:top w:val="single" w:color="000000" w:sz="4" w:space="0"/>
              <w:left w:val="single" w:color="000000" w:sz="4" w:space="0"/>
              <w:bottom w:val="single" w:color="000000" w:sz="4" w:space="0"/>
              <w:right w:val="single" w:color="000000" w:sz="4" w:space="0"/>
            </w:tcBorders>
            <w:noWrap w:val="0"/>
            <w:vAlign w:val="center"/>
          </w:tcPr>
          <w:p w14:paraId="0F269689">
            <w:pPr>
              <w:keepNext w:val="0"/>
              <w:keepLines w:val="0"/>
              <w:widowControl/>
              <w:suppressLineNumbers w:val="0"/>
              <w:jc w:val="center"/>
              <w:textAlignment w:val="center"/>
              <w:rPr>
                <w:rStyle w:val="40"/>
                <w:rFonts w:hint="default"/>
                <w:sz w:val="24"/>
                <w:szCs w:val="24"/>
                <w:lang w:val="en-US" w:eastAsia="zh-CN" w:bidi="ar"/>
              </w:rPr>
            </w:pPr>
            <w:r>
              <w:rPr>
                <w:rStyle w:val="40"/>
                <w:rFonts w:hint="eastAsia"/>
                <w:sz w:val="24"/>
                <w:szCs w:val="24"/>
                <w:lang w:val="en-US" w:eastAsia="zh-CN" w:bidi="ar"/>
              </w:rPr>
              <w:t>产品名称</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9C02F43">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数量</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14:paraId="69FDCC9E">
            <w:pPr>
              <w:keepNext w:val="0"/>
              <w:keepLines w:val="0"/>
              <w:widowControl/>
              <w:suppressLineNumbers w:val="0"/>
              <w:jc w:val="center"/>
              <w:textAlignment w:val="center"/>
              <w:rPr>
                <w:rStyle w:val="40"/>
                <w:rFonts w:hint="default"/>
                <w:sz w:val="24"/>
                <w:szCs w:val="24"/>
                <w:lang w:val="en-US" w:eastAsia="zh-CN" w:bidi="ar"/>
              </w:rPr>
            </w:pPr>
            <w:r>
              <w:rPr>
                <w:rStyle w:val="40"/>
                <w:rFonts w:hint="eastAsia"/>
                <w:sz w:val="24"/>
                <w:szCs w:val="24"/>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CBF381B">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备注</w:t>
            </w:r>
          </w:p>
        </w:tc>
      </w:tr>
      <w:tr w14:paraId="46DF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6EF2F8A3">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1</w:t>
            </w:r>
          </w:p>
        </w:tc>
        <w:tc>
          <w:tcPr>
            <w:tcW w:w="3573" w:type="dxa"/>
            <w:tcBorders>
              <w:top w:val="single" w:color="000000" w:sz="4" w:space="0"/>
              <w:left w:val="single" w:color="000000" w:sz="4" w:space="0"/>
              <w:bottom w:val="single" w:color="000000" w:sz="4" w:space="0"/>
              <w:right w:val="single" w:color="000000" w:sz="4" w:space="0"/>
            </w:tcBorders>
            <w:noWrap w:val="0"/>
            <w:vAlign w:val="center"/>
          </w:tcPr>
          <w:p w14:paraId="63B2945B">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眼底532激光治疗仪</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BCA8F26">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1</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14:paraId="61B500DC">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92BA5D6">
            <w:pPr>
              <w:spacing w:line="400" w:lineRule="exact"/>
              <w:ind w:firstLine="480" w:firstLineChars="200"/>
              <w:jc w:val="both"/>
              <w:rPr>
                <w:rFonts w:hint="eastAsia" w:ascii="仿宋" w:hAnsi="仿宋" w:eastAsia="仿宋" w:cs="仿宋"/>
                <w:sz w:val="24"/>
                <w:szCs w:val="24"/>
                <w:highlight w:val="none"/>
                <w:lang w:val="en-US" w:eastAsia="zh-CN"/>
              </w:rPr>
            </w:pPr>
          </w:p>
        </w:tc>
      </w:tr>
      <w:tr w14:paraId="38C0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1CC9A727">
            <w:pPr>
              <w:keepNext w:val="0"/>
              <w:keepLines w:val="0"/>
              <w:widowControl/>
              <w:suppressLineNumbers w:val="0"/>
              <w:jc w:val="center"/>
              <w:textAlignment w:val="center"/>
              <w:rPr>
                <w:rStyle w:val="40"/>
                <w:rFonts w:hint="default"/>
                <w:sz w:val="24"/>
                <w:szCs w:val="24"/>
                <w:lang w:val="en-US" w:eastAsia="zh-CN" w:bidi="ar"/>
              </w:rPr>
            </w:pPr>
            <w:r>
              <w:rPr>
                <w:rStyle w:val="40"/>
                <w:rFonts w:hint="eastAsia"/>
                <w:sz w:val="24"/>
                <w:szCs w:val="24"/>
                <w:lang w:val="en-US" w:eastAsia="zh-CN" w:bidi="ar"/>
              </w:rPr>
              <w:t>2</w:t>
            </w:r>
          </w:p>
        </w:tc>
        <w:tc>
          <w:tcPr>
            <w:tcW w:w="3573" w:type="dxa"/>
            <w:tcBorders>
              <w:top w:val="single" w:color="000000" w:sz="4" w:space="0"/>
              <w:left w:val="single" w:color="000000" w:sz="4" w:space="0"/>
              <w:bottom w:val="single" w:color="000000" w:sz="4" w:space="0"/>
              <w:right w:val="single" w:color="000000" w:sz="4" w:space="0"/>
            </w:tcBorders>
            <w:noWrap w:val="0"/>
            <w:vAlign w:val="center"/>
          </w:tcPr>
          <w:p w14:paraId="38E4D2A7">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肾镜</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BF2F378">
            <w:pPr>
              <w:keepNext w:val="0"/>
              <w:keepLines w:val="0"/>
              <w:widowControl/>
              <w:suppressLineNumbers w:val="0"/>
              <w:jc w:val="center"/>
              <w:textAlignment w:val="center"/>
              <w:rPr>
                <w:rStyle w:val="40"/>
                <w:rFonts w:hint="default"/>
                <w:sz w:val="24"/>
                <w:szCs w:val="24"/>
                <w:lang w:val="en-US" w:eastAsia="zh-CN" w:bidi="ar"/>
              </w:rPr>
            </w:pPr>
            <w:r>
              <w:rPr>
                <w:rStyle w:val="40"/>
                <w:rFonts w:hint="eastAsia"/>
                <w:sz w:val="24"/>
                <w:szCs w:val="24"/>
                <w:lang w:val="en-US" w:eastAsia="zh-CN" w:bidi="ar"/>
              </w:rPr>
              <w:t>1</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14:paraId="6F1238DA">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DCCCA01">
            <w:pPr>
              <w:spacing w:line="400" w:lineRule="exact"/>
              <w:ind w:firstLine="480" w:firstLineChars="200"/>
              <w:jc w:val="both"/>
              <w:rPr>
                <w:rFonts w:hint="eastAsia" w:ascii="仿宋" w:hAnsi="仿宋" w:eastAsia="仿宋" w:cs="仿宋"/>
                <w:sz w:val="24"/>
                <w:szCs w:val="24"/>
                <w:highlight w:val="none"/>
                <w:lang w:val="en-US" w:eastAsia="zh-CN"/>
              </w:rPr>
            </w:pPr>
          </w:p>
        </w:tc>
      </w:tr>
      <w:tr w14:paraId="226E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984" w:type="dxa"/>
            <w:tcBorders>
              <w:top w:val="single" w:color="000000" w:sz="4" w:space="0"/>
              <w:left w:val="single" w:color="000000" w:sz="4" w:space="0"/>
              <w:bottom w:val="single" w:color="auto" w:sz="4" w:space="0"/>
              <w:right w:val="single" w:color="000000" w:sz="4" w:space="0"/>
            </w:tcBorders>
            <w:noWrap w:val="0"/>
            <w:vAlign w:val="center"/>
          </w:tcPr>
          <w:p w14:paraId="677BCFC3">
            <w:pPr>
              <w:keepNext w:val="0"/>
              <w:keepLines w:val="0"/>
              <w:widowControl/>
              <w:suppressLineNumbers w:val="0"/>
              <w:jc w:val="center"/>
              <w:textAlignment w:val="center"/>
              <w:rPr>
                <w:rStyle w:val="40"/>
                <w:rFonts w:hint="default"/>
                <w:sz w:val="24"/>
                <w:szCs w:val="24"/>
                <w:lang w:val="en-US" w:eastAsia="zh-CN" w:bidi="ar"/>
              </w:rPr>
            </w:pPr>
            <w:r>
              <w:rPr>
                <w:rStyle w:val="40"/>
                <w:rFonts w:hint="eastAsia"/>
                <w:sz w:val="24"/>
                <w:szCs w:val="24"/>
                <w:lang w:val="en-US" w:eastAsia="zh-CN" w:bidi="ar"/>
              </w:rPr>
              <w:t>3</w:t>
            </w:r>
          </w:p>
        </w:tc>
        <w:tc>
          <w:tcPr>
            <w:tcW w:w="3573" w:type="dxa"/>
            <w:tcBorders>
              <w:top w:val="single" w:color="000000" w:sz="4" w:space="0"/>
              <w:left w:val="single" w:color="000000" w:sz="4" w:space="0"/>
              <w:bottom w:val="single" w:color="auto" w:sz="4" w:space="0"/>
              <w:right w:val="single" w:color="000000" w:sz="4" w:space="0"/>
            </w:tcBorders>
            <w:noWrap w:val="0"/>
            <w:vAlign w:val="center"/>
          </w:tcPr>
          <w:p w14:paraId="0BC478B5">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视野计</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699B3BE">
            <w:pPr>
              <w:keepNext w:val="0"/>
              <w:keepLines w:val="0"/>
              <w:widowControl/>
              <w:suppressLineNumbers w:val="0"/>
              <w:jc w:val="center"/>
              <w:textAlignment w:val="center"/>
              <w:rPr>
                <w:rStyle w:val="40"/>
                <w:rFonts w:hint="default"/>
                <w:sz w:val="24"/>
                <w:szCs w:val="24"/>
                <w:lang w:val="en-US" w:eastAsia="zh-CN" w:bidi="ar"/>
              </w:rPr>
            </w:pPr>
            <w:r>
              <w:rPr>
                <w:rStyle w:val="40"/>
                <w:rFonts w:hint="eastAsia"/>
                <w:sz w:val="24"/>
                <w:szCs w:val="24"/>
                <w:lang w:val="en-US" w:eastAsia="zh-CN" w:bidi="ar"/>
              </w:rPr>
              <w:t>1</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14:paraId="1E64951A">
            <w:pPr>
              <w:keepNext w:val="0"/>
              <w:keepLines w:val="0"/>
              <w:widowControl/>
              <w:suppressLineNumbers w:val="0"/>
              <w:jc w:val="center"/>
              <w:textAlignment w:val="center"/>
              <w:rPr>
                <w:rStyle w:val="40"/>
                <w:rFonts w:hint="eastAsia"/>
                <w:sz w:val="24"/>
                <w:szCs w:val="24"/>
                <w:lang w:val="en-US" w:eastAsia="zh-CN" w:bidi="ar"/>
              </w:rPr>
            </w:pPr>
            <w:r>
              <w:rPr>
                <w:rStyle w:val="40"/>
                <w:rFonts w:hint="eastAsia"/>
                <w:sz w:val="24"/>
                <w:szCs w:val="24"/>
                <w:lang w:val="en-US" w:eastAsia="zh-CN" w:bidi="ar"/>
              </w:rPr>
              <w:t>台</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CE8D6DE">
            <w:pPr>
              <w:spacing w:line="400" w:lineRule="exact"/>
              <w:ind w:firstLine="480" w:firstLineChars="200"/>
              <w:jc w:val="both"/>
              <w:rPr>
                <w:rFonts w:hint="eastAsia" w:ascii="仿宋" w:hAnsi="仿宋" w:eastAsia="仿宋" w:cs="仿宋"/>
                <w:sz w:val="24"/>
                <w:szCs w:val="24"/>
                <w:highlight w:val="none"/>
                <w:lang w:val="en-US" w:eastAsia="zh-CN"/>
              </w:rPr>
            </w:pPr>
          </w:p>
        </w:tc>
      </w:tr>
    </w:tbl>
    <w:p w14:paraId="2823FD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2"/>
        <w:rPr>
          <w:rFonts w:hint="eastAsia" w:ascii="楷体" w:hAnsi="楷体" w:eastAsia="楷体" w:cs="Times New Roman"/>
          <w:sz w:val="28"/>
          <w:szCs w:val="28"/>
          <w:highlight w:val="none"/>
          <w:lang w:val="en-US" w:eastAsia="zh-CN"/>
        </w:rPr>
      </w:pPr>
      <w:bookmarkStart w:id="112" w:name="_Toc15633"/>
      <w:r>
        <w:rPr>
          <w:rFonts w:hint="eastAsia" w:ascii="楷体" w:hAnsi="楷体" w:eastAsia="楷体" w:cs="Times New Roman"/>
          <w:sz w:val="28"/>
          <w:szCs w:val="28"/>
          <w:highlight w:val="none"/>
          <w:lang w:val="en-US" w:eastAsia="zh-CN"/>
        </w:rPr>
        <w:t>2.2采购产品规格参数</w:t>
      </w:r>
      <w:bookmarkEnd w:id="112"/>
    </w:p>
    <w:p w14:paraId="03815D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2"/>
        <w:rPr>
          <w:rFonts w:hint="eastAsia" w:ascii="楷体" w:hAnsi="楷体" w:eastAsia="楷体" w:cs="Times New Roman"/>
          <w:b/>
          <w:bCs/>
          <w:sz w:val="28"/>
          <w:szCs w:val="28"/>
          <w:highlight w:val="none"/>
          <w:lang w:val="en-US" w:eastAsia="zh-CN"/>
        </w:rPr>
      </w:pPr>
      <w:r>
        <w:rPr>
          <w:rFonts w:hint="eastAsia" w:ascii="楷体" w:hAnsi="楷体" w:eastAsia="楷体" w:cs="Times New Roman"/>
          <w:b/>
          <w:bCs/>
          <w:sz w:val="28"/>
          <w:szCs w:val="28"/>
          <w:highlight w:val="none"/>
          <w:lang w:val="en-US" w:eastAsia="zh-CN"/>
        </w:rPr>
        <w:t>（带“★”规格参数不允许负偏离，否则将作为无效投标处理）</w:t>
      </w:r>
    </w:p>
    <w:p w14:paraId="1F8E3B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2"/>
        <w:rPr>
          <w:rFonts w:hint="eastAsia" w:ascii="楷体" w:hAnsi="楷体" w:eastAsia="楷体" w:cs="Times New Roman"/>
          <w:b/>
          <w:bCs/>
          <w:sz w:val="28"/>
          <w:szCs w:val="28"/>
          <w:highlight w:val="none"/>
          <w:lang w:val="en-US" w:eastAsia="zh-CN"/>
        </w:rPr>
      </w:pPr>
      <w:r>
        <w:rPr>
          <w:rFonts w:hint="eastAsia" w:ascii="楷体" w:hAnsi="楷体" w:eastAsia="楷体" w:cs="Times New Roman"/>
          <w:b/>
          <w:bCs/>
          <w:sz w:val="28"/>
          <w:szCs w:val="28"/>
          <w:highlight w:val="none"/>
          <w:lang w:val="en-US" w:eastAsia="zh-CN"/>
        </w:rPr>
        <w:t>（须根据投标人所投设备真实参数如实填写，并后附相关检测报告等资料，如未如实填写，否则将作为无效投标处理）</w:t>
      </w:r>
    </w:p>
    <w:tbl>
      <w:tblPr>
        <w:tblStyle w:val="25"/>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12"/>
        <w:gridCol w:w="1025"/>
        <w:gridCol w:w="5938"/>
      </w:tblGrid>
      <w:tr w14:paraId="6FE6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A6C064B">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412" w:type="dxa"/>
            <w:vAlign w:val="center"/>
          </w:tcPr>
          <w:p w14:paraId="20BC3ACD">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设备名称</w:t>
            </w:r>
          </w:p>
        </w:tc>
        <w:tc>
          <w:tcPr>
            <w:tcW w:w="1025" w:type="dxa"/>
            <w:vAlign w:val="center"/>
          </w:tcPr>
          <w:p w14:paraId="17A317C2">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数量、单位</w:t>
            </w:r>
          </w:p>
        </w:tc>
        <w:tc>
          <w:tcPr>
            <w:tcW w:w="5938" w:type="dxa"/>
            <w:vAlign w:val="center"/>
          </w:tcPr>
          <w:p w14:paraId="13CFF9E7">
            <w:pPr>
              <w:spacing w:line="400" w:lineRule="exact"/>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主要参数</w:t>
            </w:r>
          </w:p>
        </w:tc>
      </w:tr>
      <w:tr w14:paraId="472F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287C9CAB">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12" w:type="dxa"/>
            <w:vAlign w:val="center"/>
          </w:tcPr>
          <w:p w14:paraId="28493482">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肾镜</w:t>
            </w:r>
          </w:p>
        </w:tc>
        <w:tc>
          <w:tcPr>
            <w:tcW w:w="1025" w:type="dxa"/>
            <w:vAlign w:val="center"/>
          </w:tcPr>
          <w:p w14:paraId="2AA7BA54">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1台</w:t>
            </w:r>
          </w:p>
        </w:tc>
        <w:tc>
          <w:tcPr>
            <w:tcW w:w="5938" w:type="dxa"/>
            <w:vAlign w:val="top"/>
          </w:tcPr>
          <w:p w14:paraId="404B3D55">
            <w:pPr>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主要技术参数及要求：</w:t>
            </w:r>
          </w:p>
          <w:p w14:paraId="416F9EE8">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1、超广角、适用于泌尿外科手术</w:t>
            </w:r>
            <w:r>
              <w:rPr>
                <w:rFonts w:hint="eastAsia" w:ascii="仿宋" w:hAnsi="仿宋" w:eastAsia="仿宋" w:cs="仿宋"/>
                <w:sz w:val="24"/>
                <w:szCs w:val="24"/>
                <w:highlight w:val="none"/>
                <w:lang w:eastAsia="zh-CN"/>
              </w:rPr>
              <w:t>；</w:t>
            </w:r>
          </w:p>
          <w:p w14:paraId="6BAD5D99">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★2、输尿管肾镜，视向角5度，工作长度≥430mm，直径6-7.5Fr</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通道≥5Fr</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可容纳一个1*4Fr的器械</w:t>
            </w:r>
            <w:r>
              <w:rPr>
                <w:rFonts w:hint="eastAsia" w:ascii="仿宋" w:hAnsi="仿宋" w:eastAsia="仿宋" w:cs="仿宋"/>
                <w:sz w:val="24"/>
                <w:szCs w:val="24"/>
                <w:highlight w:val="none"/>
                <w:lang w:eastAsia="zh-CN"/>
              </w:rPr>
              <w:t>；</w:t>
            </w:r>
          </w:p>
          <w:p w14:paraId="783539B9">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3、蓝宝石纯平面透镜透光均匀、清晰</w:t>
            </w:r>
            <w:r>
              <w:rPr>
                <w:rFonts w:hint="eastAsia" w:ascii="仿宋" w:hAnsi="仿宋" w:eastAsia="仿宋" w:cs="仿宋"/>
                <w:sz w:val="24"/>
                <w:szCs w:val="24"/>
                <w:highlight w:val="none"/>
                <w:lang w:eastAsia="zh-CN"/>
              </w:rPr>
              <w:t>；</w:t>
            </w:r>
          </w:p>
          <w:p w14:paraId="34C3DA74">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4、无鱼眼现象，水无划痕，实用、新颖、不失真</w:t>
            </w:r>
            <w:r>
              <w:rPr>
                <w:rFonts w:hint="eastAsia" w:ascii="仿宋" w:hAnsi="仿宋" w:eastAsia="仿宋" w:cs="仿宋"/>
                <w:sz w:val="24"/>
                <w:szCs w:val="24"/>
                <w:highlight w:val="none"/>
                <w:lang w:eastAsia="zh-CN"/>
              </w:rPr>
              <w:t>；</w:t>
            </w:r>
          </w:p>
          <w:p w14:paraId="26EBC317">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5、金属外壳，海螺型卡口，操控性好</w:t>
            </w:r>
            <w:r>
              <w:rPr>
                <w:rFonts w:hint="eastAsia" w:ascii="仿宋" w:hAnsi="仿宋" w:eastAsia="仿宋" w:cs="仿宋"/>
                <w:sz w:val="24"/>
                <w:szCs w:val="24"/>
                <w:highlight w:val="none"/>
                <w:lang w:eastAsia="zh-CN"/>
              </w:rPr>
              <w:t>；</w:t>
            </w:r>
          </w:p>
          <w:p w14:paraId="3BBA0316">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★6、5°超广角，观察到的视野范围更广阔</w:t>
            </w:r>
            <w:r>
              <w:rPr>
                <w:rFonts w:hint="eastAsia" w:ascii="仿宋" w:hAnsi="仿宋" w:eastAsia="仿宋" w:cs="仿宋"/>
                <w:sz w:val="24"/>
                <w:szCs w:val="24"/>
                <w:highlight w:val="none"/>
                <w:lang w:eastAsia="zh-CN"/>
              </w:rPr>
              <w:t>；</w:t>
            </w:r>
          </w:p>
          <w:p w14:paraId="01A8F463">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7、可浸泡、蒸熏、高温高压消毒，耐134度高温3bar压力</w:t>
            </w:r>
            <w:r>
              <w:rPr>
                <w:rFonts w:hint="eastAsia" w:ascii="仿宋" w:hAnsi="仿宋" w:eastAsia="仿宋" w:cs="仿宋"/>
                <w:sz w:val="24"/>
                <w:szCs w:val="24"/>
                <w:highlight w:val="none"/>
                <w:lang w:eastAsia="zh-CN"/>
              </w:rPr>
              <w:t>；</w:t>
            </w:r>
          </w:p>
          <w:p w14:paraId="5CCD988D">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配备</w:t>
            </w:r>
            <w:r>
              <w:rPr>
                <w:rFonts w:hint="eastAsia" w:ascii="仿宋" w:hAnsi="仿宋" w:eastAsia="仿宋" w:cs="仿宋"/>
                <w:sz w:val="24"/>
                <w:szCs w:val="24"/>
                <w:highlight w:val="none"/>
              </w:rPr>
              <w:t>硬性鼠齿抓钳</w:t>
            </w:r>
            <w:r>
              <w:rPr>
                <w:rFonts w:hint="eastAsia" w:ascii="仿宋" w:hAnsi="仿宋" w:eastAsia="仿宋" w:cs="仿宋"/>
                <w:sz w:val="24"/>
                <w:szCs w:val="24"/>
                <w:highlight w:val="none"/>
                <w:lang w:val="en-US" w:eastAsia="zh-CN"/>
              </w:rPr>
              <w:t>1把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4Fr、工作长度≥550mm</w:t>
            </w:r>
            <w:r>
              <w:rPr>
                <w:rFonts w:hint="eastAsia" w:ascii="仿宋" w:hAnsi="仿宋" w:eastAsia="仿宋" w:cs="仿宋"/>
                <w:sz w:val="24"/>
                <w:szCs w:val="24"/>
                <w:highlight w:val="none"/>
                <w:lang w:eastAsia="zh-CN"/>
              </w:rPr>
              <w:t>；</w:t>
            </w:r>
          </w:p>
          <w:p w14:paraId="48B0358B">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9、专用消毒盒：700mm*100mm*100mm、带固定硅胶架、有盖带旋转锁扣</w:t>
            </w:r>
            <w:r>
              <w:rPr>
                <w:rFonts w:hint="eastAsia" w:ascii="仿宋" w:hAnsi="仿宋" w:eastAsia="仿宋" w:cs="仿宋"/>
                <w:sz w:val="24"/>
                <w:szCs w:val="24"/>
                <w:highlight w:val="none"/>
                <w:lang w:val="en-US" w:eastAsia="zh-CN"/>
              </w:rPr>
              <w:t>；</w:t>
            </w:r>
          </w:p>
        </w:tc>
      </w:tr>
      <w:tr w14:paraId="153C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29" w:type="dxa"/>
            <w:vAlign w:val="center"/>
          </w:tcPr>
          <w:p w14:paraId="2AE0F5D8">
            <w:pPr>
              <w:spacing w:line="400" w:lineRule="exact"/>
              <w:ind w:firstLine="480" w:firstLineChars="200"/>
              <w:jc w:val="left"/>
              <w:rPr>
                <w:rFonts w:hint="eastAsia" w:ascii="仿宋" w:hAnsi="仿宋" w:eastAsia="仿宋" w:cs="仿宋"/>
                <w:sz w:val="24"/>
                <w:szCs w:val="24"/>
                <w:highlight w:val="none"/>
                <w:lang w:val="en-US" w:eastAsia="zh-CN"/>
              </w:rPr>
            </w:pPr>
          </w:p>
          <w:p w14:paraId="695197DB">
            <w:pPr>
              <w:spacing w:line="400" w:lineRule="exact"/>
              <w:ind w:firstLine="480" w:firstLineChars="200"/>
              <w:jc w:val="left"/>
              <w:rPr>
                <w:rFonts w:hint="eastAsia" w:ascii="仿宋" w:hAnsi="仿宋" w:eastAsia="仿宋" w:cs="仿宋"/>
                <w:sz w:val="24"/>
                <w:szCs w:val="24"/>
                <w:highlight w:val="none"/>
                <w:lang w:val="en-US" w:eastAsia="zh-CN"/>
              </w:rPr>
            </w:pPr>
          </w:p>
          <w:p w14:paraId="275813AA">
            <w:pPr>
              <w:spacing w:line="400" w:lineRule="exact"/>
              <w:ind w:firstLine="480" w:firstLineChars="200"/>
              <w:jc w:val="left"/>
              <w:rPr>
                <w:rFonts w:hint="eastAsia" w:ascii="仿宋" w:hAnsi="仿宋" w:eastAsia="仿宋" w:cs="仿宋"/>
                <w:sz w:val="24"/>
                <w:szCs w:val="24"/>
                <w:highlight w:val="none"/>
                <w:lang w:val="en-US" w:eastAsia="zh-CN"/>
              </w:rPr>
            </w:pPr>
          </w:p>
          <w:p w14:paraId="737A6C27">
            <w:pPr>
              <w:spacing w:line="400" w:lineRule="exact"/>
              <w:ind w:firstLine="480" w:firstLineChars="200"/>
              <w:jc w:val="left"/>
              <w:rPr>
                <w:rFonts w:hint="eastAsia" w:ascii="仿宋" w:hAnsi="仿宋" w:eastAsia="仿宋" w:cs="仿宋"/>
                <w:sz w:val="24"/>
                <w:szCs w:val="24"/>
                <w:highlight w:val="none"/>
                <w:lang w:val="en-US" w:eastAsia="zh-CN"/>
              </w:rPr>
            </w:pPr>
          </w:p>
          <w:p w14:paraId="652BB514">
            <w:pPr>
              <w:spacing w:line="400" w:lineRule="exact"/>
              <w:ind w:firstLine="480" w:firstLineChars="200"/>
              <w:jc w:val="left"/>
              <w:rPr>
                <w:rFonts w:hint="eastAsia" w:ascii="仿宋" w:hAnsi="仿宋" w:eastAsia="仿宋" w:cs="仿宋"/>
                <w:sz w:val="24"/>
                <w:szCs w:val="24"/>
                <w:highlight w:val="none"/>
                <w:lang w:val="en-US" w:eastAsia="zh-CN"/>
              </w:rPr>
            </w:pPr>
          </w:p>
          <w:p w14:paraId="21A2186D">
            <w:pPr>
              <w:spacing w:line="400" w:lineRule="exact"/>
              <w:ind w:firstLine="480" w:firstLineChars="200"/>
              <w:jc w:val="left"/>
              <w:rPr>
                <w:rFonts w:hint="eastAsia" w:ascii="仿宋" w:hAnsi="仿宋" w:eastAsia="仿宋" w:cs="仿宋"/>
                <w:sz w:val="24"/>
                <w:szCs w:val="24"/>
                <w:highlight w:val="none"/>
                <w:lang w:val="en-US" w:eastAsia="zh-CN"/>
              </w:rPr>
            </w:pPr>
          </w:p>
          <w:p w14:paraId="372697FF">
            <w:pPr>
              <w:spacing w:line="400" w:lineRule="exact"/>
              <w:ind w:firstLine="480" w:firstLineChars="200"/>
              <w:jc w:val="left"/>
              <w:rPr>
                <w:rFonts w:hint="eastAsia" w:ascii="仿宋" w:hAnsi="仿宋" w:eastAsia="仿宋" w:cs="仿宋"/>
                <w:sz w:val="24"/>
                <w:szCs w:val="24"/>
                <w:highlight w:val="none"/>
                <w:lang w:val="en-US" w:eastAsia="zh-CN"/>
              </w:rPr>
            </w:pPr>
          </w:p>
          <w:p w14:paraId="24C56CDA">
            <w:pPr>
              <w:spacing w:line="400" w:lineRule="exact"/>
              <w:ind w:firstLine="480" w:firstLineChars="200"/>
              <w:jc w:val="left"/>
              <w:rPr>
                <w:rFonts w:hint="eastAsia" w:ascii="仿宋" w:hAnsi="仿宋" w:eastAsia="仿宋" w:cs="仿宋"/>
                <w:sz w:val="24"/>
                <w:szCs w:val="24"/>
                <w:highlight w:val="none"/>
                <w:lang w:val="en-US" w:eastAsia="zh-CN"/>
              </w:rPr>
            </w:pPr>
          </w:p>
          <w:p w14:paraId="7DD6CA60">
            <w:pPr>
              <w:spacing w:line="400" w:lineRule="exact"/>
              <w:ind w:firstLine="480" w:firstLineChars="200"/>
              <w:jc w:val="left"/>
              <w:rPr>
                <w:rFonts w:hint="eastAsia" w:ascii="仿宋" w:hAnsi="仿宋" w:eastAsia="仿宋" w:cs="仿宋"/>
                <w:sz w:val="24"/>
                <w:szCs w:val="24"/>
                <w:highlight w:val="none"/>
                <w:lang w:val="en-US" w:eastAsia="zh-CN"/>
              </w:rPr>
            </w:pPr>
          </w:p>
          <w:p w14:paraId="1B9841D2">
            <w:pPr>
              <w:spacing w:line="400" w:lineRule="exact"/>
              <w:ind w:firstLine="480" w:firstLineChars="200"/>
              <w:jc w:val="left"/>
              <w:rPr>
                <w:rFonts w:hint="eastAsia" w:ascii="仿宋" w:hAnsi="仿宋" w:eastAsia="仿宋" w:cs="仿宋"/>
                <w:sz w:val="24"/>
                <w:szCs w:val="24"/>
                <w:highlight w:val="none"/>
                <w:lang w:val="en-US" w:eastAsia="zh-CN"/>
              </w:rPr>
            </w:pPr>
          </w:p>
          <w:p w14:paraId="021D470E">
            <w:pPr>
              <w:spacing w:line="400" w:lineRule="exact"/>
              <w:ind w:firstLine="480" w:firstLineChars="200"/>
              <w:jc w:val="left"/>
              <w:rPr>
                <w:rFonts w:hint="eastAsia" w:ascii="仿宋" w:hAnsi="仿宋" w:eastAsia="仿宋" w:cs="仿宋"/>
                <w:sz w:val="24"/>
                <w:szCs w:val="24"/>
                <w:highlight w:val="none"/>
                <w:lang w:val="en-US" w:eastAsia="zh-CN"/>
              </w:rPr>
            </w:pPr>
          </w:p>
          <w:p w14:paraId="06541DCD">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412" w:type="dxa"/>
            <w:vAlign w:val="center"/>
          </w:tcPr>
          <w:p w14:paraId="6D0582AB">
            <w:pPr>
              <w:spacing w:line="400" w:lineRule="exact"/>
              <w:ind w:firstLine="480" w:firstLineChars="200"/>
              <w:jc w:val="left"/>
              <w:rPr>
                <w:rFonts w:hint="eastAsia" w:ascii="仿宋" w:hAnsi="仿宋" w:eastAsia="仿宋" w:cs="仿宋"/>
                <w:sz w:val="24"/>
                <w:szCs w:val="24"/>
                <w:highlight w:val="none"/>
              </w:rPr>
            </w:pPr>
          </w:p>
          <w:p w14:paraId="722BF211">
            <w:pPr>
              <w:spacing w:line="400" w:lineRule="exact"/>
              <w:ind w:firstLine="480" w:firstLineChars="200"/>
              <w:jc w:val="left"/>
              <w:rPr>
                <w:rFonts w:hint="eastAsia" w:ascii="仿宋" w:hAnsi="仿宋" w:eastAsia="仿宋" w:cs="仿宋"/>
                <w:sz w:val="24"/>
                <w:szCs w:val="24"/>
                <w:highlight w:val="none"/>
              </w:rPr>
            </w:pPr>
          </w:p>
          <w:p w14:paraId="7330C29A">
            <w:pPr>
              <w:spacing w:line="400" w:lineRule="exact"/>
              <w:ind w:firstLine="480" w:firstLineChars="200"/>
              <w:jc w:val="left"/>
              <w:rPr>
                <w:rFonts w:hint="eastAsia" w:ascii="仿宋" w:hAnsi="仿宋" w:eastAsia="仿宋" w:cs="仿宋"/>
                <w:sz w:val="24"/>
                <w:szCs w:val="24"/>
                <w:highlight w:val="none"/>
              </w:rPr>
            </w:pPr>
          </w:p>
          <w:p w14:paraId="34D53DD3">
            <w:pPr>
              <w:spacing w:line="400" w:lineRule="exact"/>
              <w:ind w:firstLine="480" w:firstLineChars="200"/>
              <w:jc w:val="left"/>
              <w:rPr>
                <w:rFonts w:hint="eastAsia" w:ascii="仿宋" w:hAnsi="仿宋" w:eastAsia="仿宋" w:cs="仿宋"/>
                <w:sz w:val="24"/>
                <w:szCs w:val="24"/>
                <w:highlight w:val="none"/>
              </w:rPr>
            </w:pPr>
          </w:p>
          <w:p w14:paraId="3286714D">
            <w:pPr>
              <w:spacing w:line="400" w:lineRule="exact"/>
              <w:ind w:firstLine="480" w:firstLineChars="200"/>
              <w:jc w:val="left"/>
              <w:rPr>
                <w:rFonts w:hint="eastAsia" w:ascii="仿宋" w:hAnsi="仿宋" w:eastAsia="仿宋" w:cs="仿宋"/>
                <w:sz w:val="24"/>
                <w:szCs w:val="24"/>
                <w:highlight w:val="none"/>
              </w:rPr>
            </w:pPr>
          </w:p>
          <w:p w14:paraId="08426977">
            <w:pPr>
              <w:spacing w:line="400" w:lineRule="exact"/>
              <w:jc w:val="left"/>
              <w:rPr>
                <w:rFonts w:hint="eastAsia" w:ascii="仿宋" w:hAnsi="仿宋" w:eastAsia="仿宋" w:cs="仿宋"/>
                <w:sz w:val="24"/>
                <w:szCs w:val="24"/>
                <w:highlight w:val="none"/>
              </w:rPr>
            </w:pPr>
          </w:p>
          <w:p w14:paraId="3AA4C15E">
            <w:pPr>
              <w:spacing w:line="400" w:lineRule="exact"/>
              <w:jc w:val="left"/>
              <w:rPr>
                <w:rFonts w:hint="eastAsia" w:ascii="仿宋" w:hAnsi="仿宋" w:eastAsia="仿宋" w:cs="仿宋"/>
                <w:sz w:val="24"/>
                <w:szCs w:val="24"/>
                <w:highlight w:val="none"/>
              </w:rPr>
            </w:pPr>
          </w:p>
          <w:p w14:paraId="5C293759">
            <w:pPr>
              <w:spacing w:line="400" w:lineRule="exact"/>
              <w:jc w:val="left"/>
              <w:rPr>
                <w:rFonts w:hint="eastAsia" w:ascii="仿宋" w:hAnsi="仿宋" w:eastAsia="仿宋" w:cs="仿宋"/>
                <w:sz w:val="24"/>
                <w:szCs w:val="24"/>
                <w:highlight w:val="none"/>
              </w:rPr>
            </w:pPr>
          </w:p>
          <w:p w14:paraId="768011FB">
            <w:pPr>
              <w:spacing w:line="400" w:lineRule="exact"/>
              <w:jc w:val="left"/>
              <w:rPr>
                <w:rFonts w:hint="eastAsia" w:ascii="仿宋" w:hAnsi="仿宋" w:eastAsia="仿宋" w:cs="仿宋"/>
                <w:sz w:val="24"/>
                <w:szCs w:val="24"/>
                <w:highlight w:val="none"/>
              </w:rPr>
            </w:pPr>
          </w:p>
          <w:p w14:paraId="100440F7">
            <w:pPr>
              <w:spacing w:line="400" w:lineRule="exact"/>
              <w:jc w:val="left"/>
              <w:rPr>
                <w:rFonts w:hint="eastAsia" w:ascii="仿宋" w:hAnsi="仿宋" w:eastAsia="仿宋" w:cs="仿宋"/>
                <w:sz w:val="24"/>
                <w:szCs w:val="24"/>
                <w:highlight w:val="none"/>
              </w:rPr>
            </w:pPr>
          </w:p>
          <w:p w14:paraId="4C5D9AC1">
            <w:pPr>
              <w:spacing w:line="400" w:lineRule="exact"/>
              <w:jc w:val="left"/>
              <w:rPr>
                <w:rFonts w:hint="eastAsia" w:ascii="仿宋" w:hAnsi="仿宋" w:eastAsia="仿宋" w:cs="仿宋"/>
                <w:sz w:val="24"/>
                <w:szCs w:val="24"/>
                <w:highlight w:val="none"/>
              </w:rPr>
            </w:pPr>
          </w:p>
          <w:p w14:paraId="507E54C5">
            <w:pPr>
              <w:spacing w:line="400" w:lineRule="exact"/>
              <w:jc w:val="left"/>
              <w:rPr>
                <w:rFonts w:hint="eastAsia" w:ascii="仿宋" w:hAnsi="仿宋" w:eastAsia="仿宋" w:cs="仿宋"/>
                <w:sz w:val="24"/>
                <w:szCs w:val="24"/>
                <w:highlight w:val="none"/>
              </w:rPr>
            </w:pPr>
          </w:p>
          <w:p w14:paraId="55EA675C">
            <w:pPr>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眼底</w:t>
            </w:r>
            <w:r>
              <w:rPr>
                <w:rFonts w:hint="eastAsia" w:ascii="仿宋" w:hAnsi="仿宋" w:eastAsia="仿宋" w:cs="仿宋"/>
                <w:sz w:val="24"/>
                <w:szCs w:val="24"/>
                <w:highlight w:val="none"/>
                <w:lang w:val="en-US" w:eastAsia="zh-CN"/>
              </w:rPr>
              <w:t>532</w:t>
            </w:r>
            <w:r>
              <w:rPr>
                <w:rFonts w:hint="eastAsia" w:ascii="仿宋" w:hAnsi="仿宋" w:eastAsia="仿宋" w:cs="仿宋"/>
                <w:sz w:val="24"/>
                <w:szCs w:val="24"/>
                <w:highlight w:val="none"/>
              </w:rPr>
              <w:t>激光治疗仪</w:t>
            </w:r>
          </w:p>
          <w:p w14:paraId="06A31D92">
            <w:pPr>
              <w:spacing w:line="400" w:lineRule="exact"/>
              <w:ind w:firstLine="480" w:firstLineChars="200"/>
              <w:jc w:val="left"/>
              <w:rPr>
                <w:rFonts w:hint="eastAsia" w:ascii="仿宋" w:hAnsi="仿宋" w:eastAsia="仿宋" w:cs="仿宋"/>
                <w:sz w:val="24"/>
                <w:szCs w:val="24"/>
                <w:highlight w:val="none"/>
                <w:lang w:val="en-US" w:eastAsia="zh-CN"/>
              </w:rPr>
            </w:pPr>
          </w:p>
        </w:tc>
        <w:tc>
          <w:tcPr>
            <w:tcW w:w="1025" w:type="dxa"/>
            <w:vAlign w:val="center"/>
          </w:tcPr>
          <w:p w14:paraId="39F77011">
            <w:pPr>
              <w:spacing w:line="400" w:lineRule="exact"/>
              <w:ind w:firstLine="480" w:firstLineChars="200"/>
              <w:jc w:val="left"/>
              <w:rPr>
                <w:rFonts w:hint="eastAsia" w:ascii="仿宋" w:hAnsi="仿宋" w:eastAsia="仿宋" w:cs="仿宋"/>
                <w:sz w:val="24"/>
                <w:szCs w:val="24"/>
                <w:highlight w:val="none"/>
                <w:lang w:val="en-US" w:eastAsia="zh-CN"/>
              </w:rPr>
            </w:pPr>
          </w:p>
          <w:p w14:paraId="031BF0F6">
            <w:pPr>
              <w:spacing w:line="400" w:lineRule="exact"/>
              <w:ind w:firstLine="480" w:firstLineChars="200"/>
              <w:jc w:val="left"/>
              <w:rPr>
                <w:rFonts w:hint="eastAsia" w:ascii="仿宋" w:hAnsi="仿宋" w:eastAsia="仿宋" w:cs="仿宋"/>
                <w:sz w:val="24"/>
                <w:szCs w:val="24"/>
                <w:highlight w:val="none"/>
                <w:lang w:val="en-US" w:eastAsia="zh-CN"/>
              </w:rPr>
            </w:pPr>
          </w:p>
          <w:p w14:paraId="7FCC972C">
            <w:pPr>
              <w:spacing w:line="400" w:lineRule="exact"/>
              <w:ind w:firstLine="480" w:firstLineChars="200"/>
              <w:jc w:val="left"/>
              <w:rPr>
                <w:rFonts w:hint="eastAsia" w:ascii="仿宋" w:hAnsi="仿宋" w:eastAsia="仿宋" w:cs="仿宋"/>
                <w:sz w:val="24"/>
                <w:szCs w:val="24"/>
                <w:highlight w:val="none"/>
                <w:lang w:val="en-US" w:eastAsia="zh-CN"/>
              </w:rPr>
            </w:pPr>
          </w:p>
          <w:p w14:paraId="0EB9F641">
            <w:pPr>
              <w:spacing w:line="400" w:lineRule="exact"/>
              <w:ind w:firstLine="480" w:firstLineChars="200"/>
              <w:jc w:val="left"/>
              <w:rPr>
                <w:rFonts w:hint="eastAsia" w:ascii="仿宋" w:hAnsi="仿宋" w:eastAsia="仿宋" w:cs="仿宋"/>
                <w:sz w:val="24"/>
                <w:szCs w:val="24"/>
                <w:highlight w:val="none"/>
                <w:lang w:val="en-US" w:eastAsia="zh-CN"/>
              </w:rPr>
            </w:pPr>
          </w:p>
          <w:p w14:paraId="40910693">
            <w:pPr>
              <w:spacing w:line="400" w:lineRule="exact"/>
              <w:ind w:firstLine="480" w:firstLineChars="200"/>
              <w:jc w:val="left"/>
              <w:rPr>
                <w:rFonts w:hint="eastAsia" w:ascii="仿宋" w:hAnsi="仿宋" w:eastAsia="仿宋" w:cs="仿宋"/>
                <w:sz w:val="24"/>
                <w:szCs w:val="24"/>
                <w:highlight w:val="none"/>
                <w:lang w:val="en-US" w:eastAsia="zh-CN"/>
              </w:rPr>
            </w:pPr>
          </w:p>
          <w:p w14:paraId="12E55AC8">
            <w:pPr>
              <w:spacing w:line="400" w:lineRule="exact"/>
              <w:ind w:firstLine="480" w:firstLineChars="200"/>
              <w:jc w:val="left"/>
              <w:rPr>
                <w:rFonts w:hint="eastAsia" w:ascii="仿宋" w:hAnsi="仿宋" w:eastAsia="仿宋" w:cs="仿宋"/>
                <w:sz w:val="24"/>
                <w:szCs w:val="24"/>
                <w:highlight w:val="none"/>
                <w:lang w:val="en-US" w:eastAsia="zh-CN"/>
              </w:rPr>
            </w:pPr>
          </w:p>
          <w:p w14:paraId="473EB191">
            <w:pPr>
              <w:spacing w:line="400" w:lineRule="exact"/>
              <w:ind w:firstLine="480" w:firstLineChars="200"/>
              <w:jc w:val="left"/>
              <w:rPr>
                <w:rFonts w:hint="eastAsia" w:ascii="仿宋" w:hAnsi="仿宋" w:eastAsia="仿宋" w:cs="仿宋"/>
                <w:sz w:val="24"/>
                <w:szCs w:val="24"/>
                <w:highlight w:val="none"/>
                <w:lang w:val="en-US" w:eastAsia="zh-CN"/>
              </w:rPr>
            </w:pPr>
          </w:p>
          <w:p w14:paraId="7840EDBE">
            <w:pPr>
              <w:spacing w:line="400" w:lineRule="exact"/>
              <w:ind w:firstLine="480" w:firstLineChars="200"/>
              <w:jc w:val="left"/>
              <w:rPr>
                <w:rFonts w:hint="eastAsia" w:ascii="仿宋" w:hAnsi="仿宋" w:eastAsia="仿宋" w:cs="仿宋"/>
                <w:sz w:val="24"/>
                <w:szCs w:val="24"/>
                <w:highlight w:val="none"/>
                <w:lang w:val="en-US" w:eastAsia="zh-CN"/>
              </w:rPr>
            </w:pPr>
          </w:p>
          <w:p w14:paraId="16B4EA12">
            <w:pPr>
              <w:spacing w:line="400" w:lineRule="exact"/>
              <w:ind w:firstLine="480" w:firstLineChars="200"/>
              <w:jc w:val="left"/>
              <w:rPr>
                <w:rFonts w:hint="eastAsia" w:ascii="仿宋" w:hAnsi="仿宋" w:eastAsia="仿宋" w:cs="仿宋"/>
                <w:sz w:val="24"/>
                <w:szCs w:val="24"/>
                <w:highlight w:val="none"/>
                <w:lang w:val="en-US" w:eastAsia="zh-CN"/>
              </w:rPr>
            </w:pPr>
          </w:p>
          <w:p w14:paraId="355FE69C">
            <w:pPr>
              <w:spacing w:line="400" w:lineRule="exact"/>
              <w:ind w:firstLine="480" w:firstLineChars="200"/>
              <w:jc w:val="left"/>
              <w:rPr>
                <w:rFonts w:hint="eastAsia" w:ascii="仿宋" w:hAnsi="仿宋" w:eastAsia="仿宋" w:cs="仿宋"/>
                <w:sz w:val="24"/>
                <w:szCs w:val="24"/>
                <w:highlight w:val="none"/>
                <w:lang w:val="en-US" w:eastAsia="zh-CN"/>
              </w:rPr>
            </w:pPr>
          </w:p>
          <w:p w14:paraId="3C9210E7">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1台</w:t>
            </w:r>
          </w:p>
        </w:tc>
        <w:tc>
          <w:tcPr>
            <w:tcW w:w="5938" w:type="dxa"/>
            <w:vAlign w:val="top"/>
          </w:tcPr>
          <w:p w14:paraId="5E32FBA9">
            <w:pPr>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主要技术参数及要求：</w:t>
            </w:r>
          </w:p>
          <w:p w14:paraId="756D5FA5">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1.临床应用：用于视网膜光凝、小梁成形术、虹膜切开术</w:t>
            </w:r>
            <w:r>
              <w:rPr>
                <w:rFonts w:hint="eastAsia" w:ascii="仿宋" w:hAnsi="仿宋" w:eastAsia="仿宋" w:cs="仿宋"/>
                <w:sz w:val="24"/>
                <w:szCs w:val="24"/>
                <w:highlight w:val="none"/>
                <w:lang w:eastAsia="zh-CN"/>
              </w:rPr>
              <w:t>；</w:t>
            </w:r>
          </w:p>
          <w:p w14:paraId="3E4D110A">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2.应用范围：门诊、手术室两用</w:t>
            </w:r>
            <w:r>
              <w:rPr>
                <w:rFonts w:hint="eastAsia" w:ascii="仿宋" w:hAnsi="仿宋" w:eastAsia="仿宋" w:cs="仿宋"/>
                <w:sz w:val="24"/>
                <w:szCs w:val="24"/>
                <w:highlight w:val="none"/>
                <w:lang w:eastAsia="zh-CN"/>
              </w:rPr>
              <w:t>；</w:t>
            </w:r>
          </w:p>
          <w:p w14:paraId="3BB17D2E">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★3.主机要求：裂隙灯与激光原厂一体化生产，需显示在一张医疗器械注册证。非不同厂商组装机器</w:t>
            </w:r>
            <w:r>
              <w:rPr>
                <w:rFonts w:hint="eastAsia" w:ascii="仿宋" w:hAnsi="仿宋" w:eastAsia="仿宋" w:cs="仿宋"/>
                <w:sz w:val="24"/>
                <w:szCs w:val="24"/>
                <w:highlight w:val="none"/>
                <w:lang w:eastAsia="zh-CN"/>
              </w:rPr>
              <w:t>；</w:t>
            </w:r>
          </w:p>
          <w:p w14:paraId="00D2B585">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4.激光光纤接入裂隙灯采用内耦合方式接入，采用方形光纤，输出方形光斑</w:t>
            </w:r>
            <w:r>
              <w:rPr>
                <w:rFonts w:hint="eastAsia" w:ascii="仿宋" w:hAnsi="仿宋" w:eastAsia="仿宋" w:cs="仿宋"/>
                <w:sz w:val="24"/>
                <w:szCs w:val="24"/>
                <w:highlight w:val="none"/>
                <w:lang w:eastAsia="zh-CN"/>
              </w:rPr>
              <w:t>；</w:t>
            </w:r>
          </w:p>
          <w:p w14:paraId="2FF6A86A">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5.控制面板：可移动触摸屏控制</w:t>
            </w:r>
            <w:r>
              <w:rPr>
                <w:rFonts w:hint="eastAsia" w:ascii="仿宋" w:hAnsi="仿宋" w:eastAsia="仿宋" w:cs="仿宋"/>
                <w:sz w:val="24"/>
                <w:szCs w:val="24"/>
                <w:highlight w:val="none"/>
                <w:lang w:eastAsia="zh-CN"/>
              </w:rPr>
              <w:t>；</w:t>
            </w:r>
          </w:p>
          <w:p w14:paraId="7090C65A">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6.用户个性化参数设定：≥3组记忆值</w:t>
            </w:r>
            <w:r>
              <w:rPr>
                <w:rFonts w:hint="eastAsia" w:ascii="仿宋" w:hAnsi="仿宋" w:eastAsia="仿宋" w:cs="仿宋"/>
                <w:sz w:val="24"/>
                <w:szCs w:val="24"/>
                <w:highlight w:val="none"/>
                <w:lang w:eastAsia="zh-CN"/>
              </w:rPr>
              <w:t>；</w:t>
            </w:r>
          </w:p>
          <w:p w14:paraId="0D48003E">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7.个性化参数：每组可自定义能量、脉冲间隔和脉冲持续时间</w:t>
            </w:r>
            <w:r>
              <w:rPr>
                <w:rFonts w:hint="eastAsia" w:ascii="仿宋" w:hAnsi="仿宋" w:eastAsia="仿宋" w:cs="仿宋"/>
                <w:sz w:val="24"/>
                <w:szCs w:val="24"/>
                <w:highlight w:val="none"/>
                <w:lang w:eastAsia="zh-CN"/>
              </w:rPr>
              <w:t>；</w:t>
            </w:r>
          </w:p>
          <w:p w14:paraId="15DC332F">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 激光类型：倍频固态激光技术</w:t>
            </w:r>
            <w:r>
              <w:rPr>
                <w:rFonts w:hint="eastAsia" w:ascii="仿宋" w:hAnsi="仿宋" w:eastAsia="仿宋" w:cs="仿宋"/>
                <w:sz w:val="24"/>
                <w:szCs w:val="24"/>
                <w:highlight w:val="none"/>
                <w:lang w:eastAsia="zh-CN"/>
              </w:rPr>
              <w:t>；</w:t>
            </w:r>
          </w:p>
          <w:p w14:paraId="5F94B278">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★9.激光波长：纯连续波，波长532nm</w:t>
            </w:r>
            <w:r>
              <w:rPr>
                <w:rFonts w:hint="eastAsia" w:ascii="仿宋" w:hAnsi="仿宋" w:eastAsia="仿宋" w:cs="仿宋"/>
                <w:sz w:val="24"/>
                <w:szCs w:val="24"/>
                <w:highlight w:val="none"/>
                <w:lang w:eastAsia="zh-CN"/>
              </w:rPr>
              <w:t>；</w:t>
            </w:r>
          </w:p>
          <w:p w14:paraId="58DEB2DE">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10.激光束投射：经由裂隙照明光路</w:t>
            </w:r>
            <w:r>
              <w:rPr>
                <w:rFonts w:hint="eastAsia" w:ascii="仿宋" w:hAnsi="仿宋" w:eastAsia="仿宋" w:cs="仿宋"/>
                <w:sz w:val="24"/>
                <w:szCs w:val="24"/>
                <w:highlight w:val="none"/>
                <w:lang w:eastAsia="zh-CN"/>
              </w:rPr>
              <w:t>；</w:t>
            </w:r>
          </w:p>
          <w:p w14:paraId="2D26F5E5">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11.医生保护滤片：原色内置固定滤光片，不影响观察，安全可靠</w:t>
            </w:r>
            <w:r>
              <w:rPr>
                <w:rFonts w:hint="eastAsia" w:ascii="仿宋" w:hAnsi="仿宋" w:eastAsia="仿宋" w:cs="仿宋"/>
                <w:sz w:val="24"/>
                <w:szCs w:val="24"/>
                <w:highlight w:val="none"/>
                <w:lang w:eastAsia="zh-CN"/>
              </w:rPr>
              <w:t>；</w:t>
            </w:r>
          </w:p>
          <w:p w14:paraId="553AD8B4">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12.裂隙灯放大：需有3级放大可调，8/12/20X</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13.裂隙高度：1 / 3 / 5 / 7 / 12 / 14 / 15mm，≥7级调节</w:t>
            </w:r>
            <w:r>
              <w:rPr>
                <w:rFonts w:hint="eastAsia" w:ascii="仿宋" w:hAnsi="仿宋" w:eastAsia="仿宋" w:cs="仿宋"/>
                <w:sz w:val="24"/>
                <w:szCs w:val="24"/>
                <w:highlight w:val="none"/>
                <w:lang w:eastAsia="zh-CN"/>
              </w:rPr>
              <w:t>；</w:t>
            </w:r>
          </w:p>
          <w:p w14:paraId="0A9D6F2A">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14.裂隙宽度：0.2 / 0.6 / 1.6 / 4.4 / 15.0 mm，≥5级调节</w:t>
            </w:r>
            <w:r>
              <w:rPr>
                <w:rFonts w:hint="eastAsia" w:ascii="仿宋" w:hAnsi="仿宋" w:eastAsia="仿宋" w:cs="仿宋"/>
                <w:sz w:val="24"/>
                <w:szCs w:val="24"/>
                <w:highlight w:val="none"/>
                <w:lang w:eastAsia="zh-CN"/>
              </w:rPr>
              <w:t>；</w:t>
            </w:r>
          </w:p>
          <w:p w14:paraId="2ED8B8B9">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15.裂隙旋转：-45°/0°/+45°/90°四档可调</w:t>
            </w:r>
            <w:r>
              <w:rPr>
                <w:rFonts w:hint="eastAsia" w:ascii="仿宋" w:hAnsi="仿宋" w:eastAsia="仿宋" w:cs="仿宋"/>
                <w:sz w:val="24"/>
                <w:szCs w:val="24"/>
                <w:highlight w:val="none"/>
                <w:lang w:eastAsia="zh-CN"/>
              </w:rPr>
              <w:t>；</w:t>
            </w:r>
          </w:p>
          <w:p w14:paraId="0DEE197A">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16. 光斑直径：50－1000um可调节，连续可调，等焦面</w:t>
            </w:r>
            <w:r>
              <w:rPr>
                <w:rFonts w:hint="eastAsia" w:ascii="仿宋" w:hAnsi="仿宋" w:eastAsia="仿宋" w:cs="仿宋"/>
                <w:sz w:val="24"/>
                <w:szCs w:val="24"/>
                <w:highlight w:val="none"/>
                <w:lang w:eastAsia="zh-CN"/>
              </w:rPr>
              <w:t>；</w:t>
            </w:r>
          </w:p>
          <w:p w14:paraId="3B71FF67">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17.瞄准光束：红光二极管，波长620-650nm，亮度10级可调，到角膜≤1mW</w:t>
            </w:r>
            <w:r>
              <w:rPr>
                <w:rFonts w:hint="eastAsia" w:ascii="仿宋" w:hAnsi="仿宋" w:eastAsia="仿宋" w:cs="仿宋"/>
                <w:sz w:val="24"/>
                <w:szCs w:val="24"/>
                <w:highlight w:val="none"/>
                <w:lang w:eastAsia="zh-CN"/>
              </w:rPr>
              <w:t>；</w:t>
            </w:r>
          </w:p>
          <w:p w14:paraId="42B283C3">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18.脉冲持续时间（单脉冲）：10到2500ms，CW到角膜处≤180s</w:t>
            </w:r>
            <w:r>
              <w:rPr>
                <w:rFonts w:hint="eastAsia" w:ascii="仿宋" w:hAnsi="仿宋" w:eastAsia="仿宋" w:cs="仿宋"/>
                <w:sz w:val="24"/>
                <w:szCs w:val="24"/>
                <w:highlight w:val="none"/>
                <w:lang w:eastAsia="zh-CN"/>
              </w:rPr>
              <w:t>；</w:t>
            </w:r>
          </w:p>
          <w:p w14:paraId="02D8F7E3">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19.脉冲间隔：100 - 6000 ms</w:t>
            </w:r>
            <w:r>
              <w:rPr>
                <w:rFonts w:hint="eastAsia" w:ascii="仿宋" w:hAnsi="仿宋" w:eastAsia="仿宋" w:cs="仿宋"/>
                <w:sz w:val="24"/>
                <w:szCs w:val="24"/>
                <w:highlight w:val="none"/>
                <w:lang w:eastAsia="zh-CN"/>
              </w:rPr>
              <w:t>；</w:t>
            </w:r>
          </w:p>
          <w:p w14:paraId="2B35479D">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★20.接触镜数据库：≥13种预设常用接触镜参数，在设置中可添加</w:t>
            </w:r>
            <w:r>
              <w:rPr>
                <w:rFonts w:hint="eastAsia" w:ascii="仿宋" w:hAnsi="仿宋" w:eastAsia="仿宋" w:cs="仿宋"/>
                <w:sz w:val="24"/>
                <w:szCs w:val="24"/>
                <w:highlight w:val="none"/>
                <w:lang w:eastAsia="zh-CN"/>
              </w:rPr>
              <w:t>；</w:t>
            </w:r>
          </w:p>
          <w:p w14:paraId="5EA89102">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21. 冷却方式：采用热电冷却技术</w:t>
            </w:r>
            <w:r>
              <w:rPr>
                <w:rFonts w:hint="eastAsia" w:ascii="仿宋" w:hAnsi="仿宋" w:eastAsia="仿宋" w:cs="仿宋"/>
                <w:sz w:val="24"/>
                <w:szCs w:val="24"/>
                <w:highlight w:val="none"/>
                <w:lang w:eastAsia="zh-CN"/>
              </w:rPr>
              <w:t>；</w:t>
            </w:r>
          </w:p>
          <w:p w14:paraId="320AFC5F">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22.激光触发方式≥2种选项：脚踏控制和裂隙灯手控两种方法</w:t>
            </w:r>
            <w:r>
              <w:rPr>
                <w:rFonts w:hint="eastAsia" w:ascii="仿宋" w:hAnsi="仿宋" w:eastAsia="仿宋" w:cs="仿宋"/>
                <w:sz w:val="24"/>
                <w:szCs w:val="24"/>
                <w:highlight w:val="none"/>
                <w:lang w:eastAsia="zh-CN"/>
              </w:rPr>
              <w:t>；</w:t>
            </w:r>
          </w:p>
          <w:p w14:paraId="44D66AAE">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23.智能触控：具备裂隙灯控制台触控调节功能，向下、向左、向右，三向调节治疗参数，可调节能量，脉冲持续时间，脉冲间隔</w:t>
            </w:r>
            <w:r>
              <w:rPr>
                <w:rFonts w:hint="eastAsia" w:ascii="仿宋" w:hAnsi="仿宋" w:eastAsia="仿宋" w:cs="仿宋"/>
                <w:sz w:val="24"/>
                <w:szCs w:val="24"/>
                <w:highlight w:val="none"/>
                <w:lang w:eastAsia="zh-CN"/>
              </w:rPr>
              <w:t>；</w:t>
            </w:r>
          </w:p>
          <w:p w14:paraId="5EA2ECE3">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24.数字化治疗报告：选中治疗区域，自动生成</w:t>
            </w:r>
            <w:r>
              <w:rPr>
                <w:rFonts w:hint="eastAsia" w:ascii="仿宋" w:hAnsi="仿宋" w:eastAsia="仿宋" w:cs="仿宋"/>
                <w:sz w:val="24"/>
                <w:szCs w:val="24"/>
                <w:highlight w:val="none"/>
                <w:lang w:eastAsia="zh-CN"/>
              </w:rPr>
              <w:t>；</w:t>
            </w:r>
          </w:p>
          <w:p w14:paraId="71A4AE2A">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25.报告导出：USB导出</w:t>
            </w:r>
            <w:r>
              <w:rPr>
                <w:rFonts w:hint="eastAsia" w:ascii="仿宋" w:hAnsi="仿宋" w:eastAsia="仿宋" w:cs="仿宋"/>
                <w:sz w:val="24"/>
                <w:szCs w:val="24"/>
                <w:highlight w:val="none"/>
                <w:lang w:eastAsia="zh-CN"/>
              </w:rPr>
              <w:t>；</w:t>
            </w:r>
          </w:p>
          <w:p w14:paraId="4BE736E8">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26.语言：具有中文界面功能</w:t>
            </w:r>
            <w:r>
              <w:rPr>
                <w:rFonts w:hint="eastAsia" w:ascii="仿宋" w:hAnsi="仿宋" w:eastAsia="仿宋" w:cs="仿宋"/>
                <w:sz w:val="24"/>
                <w:szCs w:val="24"/>
                <w:highlight w:val="none"/>
                <w:lang w:eastAsia="zh-CN"/>
              </w:rPr>
              <w:t>；</w:t>
            </w:r>
          </w:p>
          <w:p w14:paraId="60723461">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27.</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个三面镜前置镜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一个全视网膜镜</w:t>
            </w:r>
            <w:r>
              <w:rPr>
                <w:rFonts w:hint="eastAsia" w:ascii="仿宋" w:hAnsi="仿宋" w:eastAsia="仿宋" w:cs="仿宋"/>
                <w:sz w:val="24"/>
                <w:szCs w:val="24"/>
                <w:highlight w:val="none"/>
              </w:rPr>
              <w:t>（打激光用）</w:t>
            </w:r>
            <w:r>
              <w:rPr>
                <w:rFonts w:hint="eastAsia" w:ascii="仿宋" w:hAnsi="仿宋" w:eastAsia="仿宋" w:cs="仿宋"/>
                <w:sz w:val="24"/>
                <w:szCs w:val="24"/>
                <w:highlight w:val="none"/>
                <w:lang w:eastAsia="zh-CN"/>
              </w:rPr>
              <w:t>；</w:t>
            </w:r>
          </w:p>
        </w:tc>
      </w:tr>
      <w:tr w14:paraId="58DC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29" w:type="dxa"/>
            <w:vAlign w:val="center"/>
          </w:tcPr>
          <w:p w14:paraId="76D7A384">
            <w:pPr>
              <w:spacing w:line="400" w:lineRule="exact"/>
              <w:ind w:firstLine="480" w:firstLineChars="200"/>
              <w:jc w:val="center"/>
              <w:rPr>
                <w:rFonts w:hint="eastAsia" w:ascii="仿宋" w:hAnsi="仿宋" w:eastAsia="仿宋" w:cs="仿宋"/>
                <w:sz w:val="24"/>
                <w:szCs w:val="24"/>
                <w:highlight w:val="none"/>
                <w:lang w:val="en-US" w:eastAsia="zh-CN"/>
              </w:rPr>
            </w:pPr>
          </w:p>
          <w:p w14:paraId="6ACD6053">
            <w:pPr>
              <w:spacing w:line="400" w:lineRule="exact"/>
              <w:ind w:firstLine="480" w:firstLineChars="200"/>
              <w:jc w:val="center"/>
              <w:rPr>
                <w:rFonts w:hint="eastAsia" w:ascii="仿宋" w:hAnsi="仿宋" w:eastAsia="仿宋" w:cs="仿宋"/>
                <w:sz w:val="24"/>
                <w:szCs w:val="24"/>
                <w:highlight w:val="none"/>
                <w:lang w:val="en-US" w:eastAsia="zh-CN"/>
              </w:rPr>
            </w:pPr>
          </w:p>
          <w:p w14:paraId="36D63EE9">
            <w:pPr>
              <w:spacing w:line="400" w:lineRule="exact"/>
              <w:ind w:firstLine="480" w:firstLineChars="200"/>
              <w:jc w:val="center"/>
              <w:rPr>
                <w:rFonts w:hint="eastAsia" w:ascii="仿宋" w:hAnsi="仿宋" w:eastAsia="仿宋" w:cs="仿宋"/>
                <w:sz w:val="24"/>
                <w:szCs w:val="24"/>
                <w:highlight w:val="none"/>
                <w:lang w:val="en-US" w:eastAsia="zh-CN"/>
              </w:rPr>
            </w:pPr>
          </w:p>
          <w:p w14:paraId="01BB7E42">
            <w:pPr>
              <w:spacing w:line="400" w:lineRule="exact"/>
              <w:ind w:firstLine="480" w:firstLineChars="200"/>
              <w:jc w:val="center"/>
              <w:rPr>
                <w:rFonts w:hint="eastAsia" w:ascii="仿宋" w:hAnsi="仿宋" w:eastAsia="仿宋" w:cs="仿宋"/>
                <w:sz w:val="24"/>
                <w:szCs w:val="24"/>
                <w:highlight w:val="none"/>
                <w:lang w:val="en-US" w:eastAsia="zh-CN"/>
              </w:rPr>
            </w:pPr>
          </w:p>
          <w:p w14:paraId="5D7D9522">
            <w:pPr>
              <w:spacing w:line="400" w:lineRule="exact"/>
              <w:ind w:firstLine="480" w:firstLineChars="200"/>
              <w:jc w:val="center"/>
              <w:rPr>
                <w:rFonts w:hint="eastAsia" w:ascii="仿宋" w:hAnsi="仿宋" w:eastAsia="仿宋" w:cs="仿宋"/>
                <w:sz w:val="24"/>
                <w:szCs w:val="24"/>
                <w:highlight w:val="none"/>
                <w:lang w:val="en-US" w:eastAsia="zh-CN"/>
              </w:rPr>
            </w:pPr>
          </w:p>
          <w:p w14:paraId="52EC8D1A">
            <w:pPr>
              <w:spacing w:line="400" w:lineRule="exact"/>
              <w:ind w:firstLine="480" w:firstLineChars="200"/>
              <w:jc w:val="center"/>
              <w:rPr>
                <w:rFonts w:hint="eastAsia" w:ascii="仿宋" w:hAnsi="仿宋" w:eastAsia="仿宋" w:cs="仿宋"/>
                <w:sz w:val="24"/>
                <w:szCs w:val="24"/>
                <w:highlight w:val="none"/>
                <w:lang w:val="en-US" w:eastAsia="zh-CN"/>
              </w:rPr>
            </w:pPr>
          </w:p>
          <w:p w14:paraId="3D36BFD6">
            <w:pPr>
              <w:spacing w:line="400" w:lineRule="exact"/>
              <w:ind w:firstLine="480" w:firstLineChars="200"/>
              <w:jc w:val="center"/>
              <w:rPr>
                <w:rFonts w:hint="eastAsia" w:ascii="仿宋" w:hAnsi="仿宋" w:eastAsia="仿宋" w:cs="仿宋"/>
                <w:sz w:val="24"/>
                <w:szCs w:val="24"/>
                <w:highlight w:val="none"/>
                <w:lang w:val="en-US" w:eastAsia="zh-CN"/>
              </w:rPr>
            </w:pPr>
          </w:p>
          <w:p w14:paraId="777FE6CD">
            <w:pPr>
              <w:spacing w:line="400" w:lineRule="exact"/>
              <w:ind w:firstLine="480" w:firstLineChars="200"/>
              <w:jc w:val="center"/>
              <w:rPr>
                <w:rFonts w:hint="eastAsia" w:ascii="仿宋" w:hAnsi="仿宋" w:eastAsia="仿宋" w:cs="仿宋"/>
                <w:sz w:val="24"/>
                <w:szCs w:val="24"/>
                <w:highlight w:val="none"/>
                <w:lang w:val="en-US" w:eastAsia="zh-CN"/>
              </w:rPr>
            </w:pPr>
          </w:p>
          <w:p w14:paraId="5F8BB7A5">
            <w:pPr>
              <w:spacing w:line="400" w:lineRule="exact"/>
              <w:ind w:firstLine="480" w:firstLineChars="200"/>
              <w:jc w:val="center"/>
              <w:rPr>
                <w:rFonts w:hint="eastAsia" w:ascii="仿宋" w:hAnsi="仿宋" w:eastAsia="仿宋" w:cs="仿宋"/>
                <w:sz w:val="24"/>
                <w:szCs w:val="24"/>
                <w:highlight w:val="none"/>
                <w:lang w:val="en-US" w:eastAsia="zh-CN"/>
              </w:rPr>
            </w:pPr>
          </w:p>
          <w:p w14:paraId="4EC90F7D">
            <w:pPr>
              <w:spacing w:line="400" w:lineRule="exact"/>
              <w:ind w:firstLine="480" w:firstLineChars="200"/>
              <w:jc w:val="center"/>
              <w:rPr>
                <w:rFonts w:hint="eastAsia" w:ascii="仿宋" w:hAnsi="仿宋" w:eastAsia="仿宋" w:cs="仿宋"/>
                <w:sz w:val="24"/>
                <w:szCs w:val="24"/>
                <w:highlight w:val="none"/>
                <w:lang w:val="en-US" w:eastAsia="zh-CN"/>
              </w:rPr>
            </w:pPr>
          </w:p>
          <w:p w14:paraId="16C6DB5F">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412" w:type="dxa"/>
            <w:vAlign w:val="center"/>
          </w:tcPr>
          <w:p w14:paraId="21FFB4E4">
            <w:pPr>
              <w:spacing w:line="400" w:lineRule="exact"/>
              <w:ind w:firstLine="480" w:firstLineChars="200"/>
              <w:jc w:val="center"/>
              <w:rPr>
                <w:rFonts w:hint="eastAsia" w:ascii="仿宋" w:hAnsi="仿宋" w:eastAsia="仿宋" w:cs="仿宋"/>
                <w:sz w:val="24"/>
                <w:szCs w:val="24"/>
                <w:highlight w:val="none"/>
                <w:lang w:val="en-US" w:eastAsia="zh-CN"/>
              </w:rPr>
            </w:pPr>
          </w:p>
          <w:p w14:paraId="78B5D8DD">
            <w:pPr>
              <w:spacing w:line="400" w:lineRule="exact"/>
              <w:ind w:firstLine="480" w:firstLineChars="200"/>
              <w:jc w:val="center"/>
              <w:rPr>
                <w:rFonts w:hint="eastAsia" w:ascii="仿宋" w:hAnsi="仿宋" w:eastAsia="仿宋" w:cs="仿宋"/>
                <w:sz w:val="24"/>
                <w:szCs w:val="24"/>
                <w:highlight w:val="none"/>
                <w:lang w:val="en-US" w:eastAsia="zh-CN"/>
              </w:rPr>
            </w:pPr>
          </w:p>
          <w:p w14:paraId="5B26CE6A">
            <w:pPr>
              <w:spacing w:line="400" w:lineRule="exact"/>
              <w:ind w:firstLine="480" w:firstLineChars="200"/>
              <w:jc w:val="center"/>
              <w:rPr>
                <w:rFonts w:hint="eastAsia" w:ascii="仿宋" w:hAnsi="仿宋" w:eastAsia="仿宋" w:cs="仿宋"/>
                <w:sz w:val="24"/>
                <w:szCs w:val="24"/>
                <w:highlight w:val="none"/>
                <w:lang w:val="en-US" w:eastAsia="zh-CN"/>
              </w:rPr>
            </w:pPr>
          </w:p>
          <w:p w14:paraId="2C78A1B0">
            <w:pPr>
              <w:spacing w:line="400" w:lineRule="exact"/>
              <w:ind w:firstLine="480" w:firstLineChars="200"/>
              <w:jc w:val="center"/>
              <w:rPr>
                <w:rFonts w:hint="eastAsia" w:ascii="仿宋" w:hAnsi="仿宋" w:eastAsia="仿宋" w:cs="仿宋"/>
                <w:sz w:val="24"/>
                <w:szCs w:val="24"/>
                <w:highlight w:val="none"/>
                <w:lang w:val="en-US" w:eastAsia="zh-CN"/>
              </w:rPr>
            </w:pPr>
          </w:p>
          <w:p w14:paraId="5C6BB3D7">
            <w:pPr>
              <w:spacing w:line="400" w:lineRule="exact"/>
              <w:ind w:firstLine="480" w:firstLineChars="200"/>
              <w:jc w:val="center"/>
              <w:rPr>
                <w:rFonts w:hint="eastAsia" w:ascii="仿宋" w:hAnsi="仿宋" w:eastAsia="仿宋" w:cs="仿宋"/>
                <w:sz w:val="24"/>
                <w:szCs w:val="24"/>
                <w:highlight w:val="none"/>
                <w:lang w:val="en-US" w:eastAsia="zh-CN"/>
              </w:rPr>
            </w:pPr>
          </w:p>
          <w:p w14:paraId="1CE7A87E">
            <w:pPr>
              <w:spacing w:line="400" w:lineRule="exact"/>
              <w:ind w:firstLine="480" w:firstLineChars="200"/>
              <w:jc w:val="center"/>
              <w:rPr>
                <w:rFonts w:hint="eastAsia" w:ascii="仿宋" w:hAnsi="仿宋" w:eastAsia="仿宋" w:cs="仿宋"/>
                <w:sz w:val="24"/>
                <w:szCs w:val="24"/>
                <w:highlight w:val="none"/>
                <w:lang w:val="en-US" w:eastAsia="zh-CN"/>
              </w:rPr>
            </w:pPr>
          </w:p>
          <w:p w14:paraId="45C68101">
            <w:pPr>
              <w:spacing w:line="400" w:lineRule="exact"/>
              <w:ind w:firstLine="480" w:firstLineChars="200"/>
              <w:jc w:val="center"/>
              <w:rPr>
                <w:rFonts w:hint="eastAsia" w:ascii="仿宋" w:hAnsi="仿宋" w:eastAsia="仿宋" w:cs="仿宋"/>
                <w:sz w:val="24"/>
                <w:szCs w:val="24"/>
                <w:highlight w:val="none"/>
                <w:lang w:val="en-US" w:eastAsia="zh-CN"/>
              </w:rPr>
            </w:pPr>
          </w:p>
          <w:p w14:paraId="7C6CF01F">
            <w:pPr>
              <w:spacing w:line="400" w:lineRule="exact"/>
              <w:ind w:firstLine="480" w:firstLineChars="200"/>
              <w:jc w:val="center"/>
              <w:rPr>
                <w:rFonts w:hint="eastAsia" w:ascii="仿宋" w:hAnsi="仿宋" w:eastAsia="仿宋" w:cs="仿宋"/>
                <w:sz w:val="24"/>
                <w:szCs w:val="24"/>
                <w:highlight w:val="none"/>
                <w:lang w:val="en-US" w:eastAsia="zh-CN"/>
              </w:rPr>
            </w:pPr>
          </w:p>
          <w:p w14:paraId="3F62A0DB">
            <w:pPr>
              <w:spacing w:line="400" w:lineRule="exact"/>
              <w:ind w:firstLine="480" w:firstLineChars="200"/>
              <w:jc w:val="center"/>
              <w:rPr>
                <w:rFonts w:hint="eastAsia" w:ascii="仿宋" w:hAnsi="仿宋" w:eastAsia="仿宋" w:cs="仿宋"/>
                <w:sz w:val="24"/>
                <w:szCs w:val="24"/>
                <w:highlight w:val="none"/>
                <w:lang w:val="en-US" w:eastAsia="zh-CN"/>
              </w:rPr>
            </w:pPr>
          </w:p>
          <w:p w14:paraId="16094587">
            <w:pPr>
              <w:spacing w:line="400" w:lineRule="exact"/>
              <w:ind w:firstLine="480" w:firstLineChars="200"/>
              <w:jc w:val="center"/>
              <w:rPr>
                <w:rFonts w:hint="eastAsia" w:ascii="仿宋" w:hAnsi="仿宋" w:eastAsia="仿宋" w:cs="仿宋"/>
                <w:sz w:val="24"/>
                <w:szCs w:val="24"/>
                <w:highlight w:val="none"/>
                <w:lang w:val="en-US" w:eastAsia="zh-CN"/>
              </w:rPr>
            </w:pPr>
          </w:p>
          <w:p w14:paraId="74434E32">
            <w:pPr>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视野计</w:t>
            </w:r>
          </w:p>
        </w:tc>
        <w:tc>
          <w:tcPr>
            <w:tcW w:w="1025" w:type="dxa"/>
            <w:vAlign w:val="center"/>
          </w:tcPr>
          <w:p w14:paraId="526DA046">
            <w:pPr>
              <w:spacing w:line="400" w:lineRule="exact"/>
              <w:ind w:firstLine="480" w:firstLineChars="200"/>
              <w:jc w:val="center"/>
              <w:rPr>
                <w:rFonts w:hint="eastAsia" w:ascii="仿宋" w:hAnsi="仿宋" w:eastAsia="仿宋" w:cs="仿宋"/>
                <w:sz w:val="24"/>
                <w:szCs w:val="24"/>
                <w:highlight w:val="none"/>
                <w:lang w:val="en-US" w:eastAsia="zh-CN"/>
              </w:rPr>
            </w:pPr>
          </w:p>
          <w:p w14:paraId="63062CEF">
            <w:pPr>
              <w:spacing w:line="400" w:lineRule="exact"/>
              <w:ind w:firstLine="480" w:firstLineChars="200"/>
              <w:jc w:val="center"/>
              <w:rPr>
                <w:rFonts w:hint="eastAsia" w:ascii="仿宋" w:hAnsi="仿宋" w:eastAsia="仿宋" w:cs="仿宋"/>
                <w:sz w:val="24"/>
                <w:szCs w:val="24"/>
                <w:highlight w:val="none"/>
                <w:lang w:val="en-US" w:eastAsia="zh-CN"/>
              </w:rPr>
            </w:pPr>
          </w:p>
          <w:p w14:paraId="7955E78F">
            <w:pPr>
              <w:spacing w:line="400" w:lineRule="exact"/>
              <w:ind w:firstLine="480" w:firstLineChars="200"/>
              <w:jc w:val="center"/>
              <w:rPr>
                <w:rFonts w:hint="eastAsia" w:ascii="仿宋" w:hAnsi="仿宋" w:eastAsia="仿宋" w:cs="仿宋"/>
                <w:sz w:val="24"/>
                <w:szCs w:val="24"/>
                <w:highlight w:val="none"/>
                <w:lang w:val="en-US" w:eastAsia="zh-CN"/>
              </w:rPr>
            </w:pPr>
          </w:p>
          <w:p w14:paraId="6B15E34B">
            <w:pPr>
              <w:spacing w:line="400" w:lineRule="exact"/>
              <w:ind w:firstLine="480" w:firstLineChars="200"/>
              <w:jc w:val="center"/>
              <w:rPr>
                <w:rFonts w:hint="eastAsia" w:ascii="仿宋" w:hAnsi="仿宋" w:eastAsia="仿宋" w:cs="仿宋"/>
                <w:sz w:val="24"/>
                <w:szCs w:val="24"/>
                <w:highlight w:val="none"/>
                <w:lang w:val="en-US" w:eastAsia="zh-CN"/>
              </w:rPr>
            </w:pPr>
          </w:p>
          <w:p w14:paraId="129AAC1A">
            <w:pPr>
              <w:spacing w:line="400" w:lineRule="exact"/>
              <w:ind w:firstLine="480" w:firstLineChars="200"/>
              <w:jc w:val="center"/>
              <w:rPr>
                <w:rFonts w:hint="eastAsia" w:ascii="仿宋" w:hAnsi="仿宋" w:eastAsia="仿宋" w:cs="仿宋"/>
                <w:sz w:val="24"/>
                <w:szCs w:val="24"/>
                <w:highlight w:val="none"/>
                <w:lang w:val="en-US" w:eastAsia="zh-CN"/>
              </w:rPr>
            </w:pPr>
          </w:p>
          <w:p w14:paraId="048FD626">
            <w:pPr>
              <w:spacing w:line="400" w:lineRule="exact"/>
              <w:ind w:firstLine="480" w:firstLineChars="200"/>
              <w:jc w:val="center"/>
              <w:rPr>
                <w:rFonts w:hint="eastAsia" w:ascii="仿宋" w:hAnsi="仿宋" w:eastAsia="仿宋" w:cs="仿宋"/>
                <w:sz w:val="24"/>
                <w:szCs w:val="24"/>
                <w:highlight w:val="none"/>
                <w:lang w:val="en-US" w:eastAsia="zh-CN"/>
              </w:rPr>
            </w:pPr>
          </w:p>
          <w:p w14:paraId="6F89FBD0">
            <w:pPr>
              <w:spacing w:line="400" w:lineRule="exact"/>
              <w:ind w:firstLine="480" w:firstLineChars="200"/>
              <w:jc w:val="center"/>
              <w:rPr>
                <w:rFonts w:hint="eastAsia" w:ascii="仿宋" w:hAnsi="仿宋" w:eastAsia="仿宋" w:cs="仿宋"/>
                <w:sz w:val="24"/>
                <w:szCs w:val="24"/>
                <w:highlight w:val="none"/>
                <w:lang w:val="en-US" w:eastAsia="zh-CN"/>
              </w:rPr>
            </w:pPr>
          </w:p>
          <w:p w14:paraId="1F48336F">
            <w:pPr>
              <w:spacing w:line="400" w:lineRule="exact"/>
              <w:ind w:firstLine="480" w:firstLineChars="200"/>
              <w:jc w:val="center"/>
              <w:rPr>
                <w:rFonts w:hint="eastAsia" w:ascii="仿宋" w:hAnsi="仿宋" w:eastAsia="仿宋" w:cs="仿宋"/>
                <w:sz w:val="24"/>
                <w:szCs w:val="24"/>
                <w:highlight w:val="none"/>
                <w:lang w:val="en-US" w:eastAsia="zh-CN"/>
              </w:rPr>
            </w:pPr>
          </w:p>
          <w:p w14:paraId="4D7BF935">
            <w:pPr>
              <w:spacing w:line="400" w:lineRule="exact"/>
              <w:ind w:firstLine="480" w:firstLineChars="200"/>
              <w:jc w:val="center"/>
              <w:rPr>
                <w:rFonts w:hint="eastAsia" w:ascii="仿宋" w:hAnsi="仿宋" w:eastAsia="仿宋" w:cs="仿宋"/>
                <w:sz w:val="24"/>
                <w:szCs w:val="24"/>
                <w:highlight w:val="none"/>
                <w:lang w:val="en-US" w:eastAsia="zh-CN"/>
              </w:rPr>
            </w:pPr>
          </w:p>
          <w:p w14:paraId="29E7F3EA">
            <w:pPr>
              <w:spacing w:line="400" w:lineRule="exact"/>
              <w:ind w:firstLine="480" w:firstLineChars="200"/>
              <w:jc w:val="center"/>
              <w:rPr>
                <w:rFonts w:hint="eastAsia" w:ascii="仿宋" w:hAnsi="仿宋" w:eastAsia="仿宋" w:cs="仿宋"/>
                <w:sz w:val="24"/>
                <w:szCs w:val="24"/>
                <w:highlight w:val="none"/>
                <w:lang w:val="en-US" w:eastAsia="zh-CN"/>
              </w:rPr>
            </w:pPr>
          </w:p>
          <w:p w14:paraId="110CBD1F">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1台</w:t>
            </w:r>
          </w:p>
        </w:tc>
        <w:tc>
          <w:tcPr>
            <w:tcW w:w="5938" w:type="dxa"/>
            <w:vAlign w:val="top"/>
          </w:tcPr>
          <w:p w14:paraId="75DF6B5B">
            <w:pPr>
              <w:spacing w:line="40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主要技术参数及要求：</w:t>
            </w:r>
          </w:p>
          <w:p w14:paraId="20FABB5F">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1.临床应用：视野功能的检测与随访；</w:t>
            </w:r>
          </w:p>
          <w:p w14:paraId="601076CF">
            <w:pPr>
              <w:spacing w:line="40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检测方式</w:t>
            </w:r>
            <w:r>
              <w:rPr>
                <w:rFonts w:hint="eastAsia" w:ascii="仿宋" w:hAnsi="仿宋" w:eastAsia="仿宋" w:cs="仿宋"/>
                <w:sz w:val="24"/>
                <w:szCs w:val="24"/>
                <w:highlight w:val="none"/>
                <w:lang w:val="en-US" w:eastAsia="zh-CN"/>
              </w:rPr>
              <w:t>：全自动计算机控制；</w:t>
            </w:r>
          </w:p>
          <w:p w14:paraId="19DE25F8">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2.1、检测程序：有阈值检查和筛选检查程序；</w:t>
            </w:r>
          </w:p>
          <w:p w14:paraId="78678F25">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2.2、快速程序：SITA Faster程序，正常患者2分钟内完成检查，而不影响结果准确性， 检测结果与SITA Standard， SITA Fast 等效；</w:t>
            </w:r>
          </w:p>
          <w:p w14:paraId="51899454">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2.3：分析程序：以≥31.5asb背景光亮度下的正常数据库为基础；</w:t>
            </w:r>
          </w:p>
          <w:p w14:paraId="3840467F">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2.4：青光眼半视野分析程序(GHT)；</w:t>
            </w:r>
          </w:p>
          <w:p w14:paraId="4D8C36FA">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2.5、青光眼指导性进展分析程序GPA：使用VFI评估，用于青光眼随访，需FDA已批准）；</w:t>
            </w:r>
          </w:p>
          <w:p w14:paraId="28E25AC0">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3、正常值数据库：多中心、多人种、年龄匹配；</w:t>
            </w:r>
          </w:p>
          <w:p w14:paraId="2E1C2226">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4、背景光亮度：≥31.5asb；</w:t>
            </w:r>
          </w:p>
          <w:p w14:paraId="0BEBA41B">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5、操作方式：高灵敏电容触摸屏；</w:t>
            </w:r>
          </w:p>
          <w:p w14:paraId="3D67E704">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5.1、系统语言：包含全中文的多国语言；</w:t>
            </w:r>
          </w:p>
          <w:p w14:paraId="38208126">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6、刺激光标大小：GOLDMAN－I,II,III,IV,V；刺激光颜色：白-白；</w:t>
            </w:r>
          </w:p>
          <w:p w14:paraId="2FC1E7BA">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7、光标呈现方式：投射式，可测中心和周边视野；</w:t>
            </w:r>
          </w:p>
          <w:p w14:paraId="21538186">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8、视野检查距离：30cm；</w:t>
            </w:r>
          </w:p>
          <w:p w14:paraId="058D1237">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9、网络功能：有；</w:t>
            </w:r>
          </w:p>
          <w:p w14:paraId="251FFD85">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10、最大光强度：10,000 ASB；</w:t>
            </w:r>
          </w:p>
          <w:p w14:paraId="3CCB6CB3">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11、光刺激时间：200ms；</w:t>
            </w:r>
          </w:p>
          <w:p w14:paraId="355981E5">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12、最大颞侧测试范围：90度；</w:t>
            </w:r>
          </w:p>
          <w:p w14:paraId="4E6A1E04">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13、可测量中心凹阈值：无；</w:t>
            </w:r>
          </w:p>
          <w:p w14:paraId="6EFB18C9">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14、阈值测试程序：7种(24-2C,24-2, 30-2, 10-2, Macula,60-4, Nasal step)；</w:t>
            </w:r>
          </w:p>
          <w:p w14:paraId="687631E7">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15、筛选测试程序：6种( C40, C76, C80,C64, C-Armaly,Peripheral test patterns)；</w:t>
            </w:r>
          </w:p>
          <w:p w14:paraId="08718F52">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16、特殊测试程序：7种(Social Security Disability, monocular, binocular,Esterman monocular, binocular, superior 36, 64)；</w:t>
            </w:r>
          </w:p>
          <w:p w14:paraId="1172E0F6">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17、自定义阈值检查程序：可自定义设置检查，适合新交规的150度单眼视野检查；</w:t>
            </w:r>
          </w:p>
          <w:p w14:paraId="3A1FDC47">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18、检测时间：30度阈值测试时间&lt;6分钟；</w:t>
            </w:r>
          </w:p>
          <w:p w14:paraId="6BFC9F47">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19、电脑：内置，一体化；</w:t>
            </w:r>
          </w:p>
          <w:p w14:paraId="3C5F92EE">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20、固视目标：中心点，小钻石形，大钻石形可选；</w:t>
            </w:r>
          </w:p>
          <w:p w14:paraId="3EFEBB01">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21、固视监测：盲点法和CCD视频监测；</w:t>
            </w:r>
          </w:p>
          <w:p w14:paraId="30CE9C47">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22、设备桌：偏心柱设计；</w:t>
            </w:r>
          </w:p>
          <w:p w14:paraId="07A8EA09">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23、磁光盘存储：有；</w:t>
            </w:r>
          </w:p>
          <w:p w14:paraId="1CA742F7">
            <w:pPr>
              <w:spacing w:line="40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24、硬盘：</w:t>
            </w:r>
            <w:r>
              <w:rPr>
                <w:rFonts w:hint="eastAsia" w:ascii="仿宋" w:hAnsi="仿宋" w:eastAsia="仿宋" w:cs="仿宋"/>
                <w:sz w:val="24"/>
                <w:szCs w:val="24"/>
                <w:highlight w:val="none"/>
              </w:rPr>
              <w:t>≥40G</w:t>
            </w:r>
            <w:r>
              <w:rPr>
                <w:rFonts w:hint="eastAsia" w:ascii="仿宋" w:hAnsi="仿宋" w:eastAsia="仿宋" w:cs="仿宋"/>
                <w:sz w:val="24"/>
                <w:szCs w:val="24"/>
                <w:highlight w:val="none"/>
                <w:lang w:eastAsia="zh-CN"/>
              </w:rPr>
              <w:t>；</w:t>
            </w:r>
          </w:p>
        </w:tc>
      </w:tr>
      <w:bookmarkEnd w:id="109"/>
      <w:bookmarkEnd w:id="110"/>
      <w:bookmarkEnd w:id="111"/>
    </w:tbl>
    <w:p w14:paraId="7476A3B5">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560" w:firstLineChars="200"/>
        <w:textAlignment w:val="auto"/>
        <w:outlineLvl w:val="2"/>
        <w:rPr>
          <w:rFonts w:hint="default" w:ascii="楷体" w:hAnsi="楷体" w:eastAsia="楷体"/>
          <w:sz w:val="28"/>
          <w:szCs w:val="28"/>
          <w:highlight w:val="none"/>
          <w:lang w:val="en-US" w:eastAsia="zh-CN"/>
        </w:rPr>
      </w:pPr>
      <w:bookmarkStart w:id="113" w:name="_Toc494455915"/>
      <w:bookmarkStart w:id="114" w:name="_Toc10338"/>
      <w:bookmarkStart w:id="115" w:name="_Toc23575"/>
      <w:bookmarkStart w:id="116" w:name="_Toc14034"/>
      <w:bookmarkStart w:id="117" w:name="_Toc494455916"/>
      <w:r>
        <w:rPr>
          <w:rFonts w:hint="eastAsia" w:ascii="楷体" w:hAnsi="楷体" w:eastAsia="楷体"/>
          <w:sz w:val="28"/>
          <w:szCs w:val="28"/>
          <w:highlight w:val="none"/>
          <w:lang w:val="en-US" w:eastAsia="zh-CN"/>
        </w:rPr>
        <w:t>3.商务条件</w:t>
      </w:r>
      <w:bookmarkEnd w:id="113"/>
      <w:bookmarkEnd w:id="114"/>
      <w:r>
        <w:rPr>
          <w:rFonts w:hint="eastAsia" w:ascii="楷体" w:hAnsi="楷体" w:eastAsia="楷体"/>
          <w:b/>
          <w:bCs/>
          <w:sz w:val="28"/>
          <w:szCs w:val="28"/>
          <w:highlight w:val="none"/>
          <w:lang w:val="en-US" w:eastAsia="zh-CN"/>
        </w:rPr>
        <w:t>（</w:t>
      </w:r>
      <w:r>
        <w:rPr>
          <w:rFonts w:hint="eastAsia" w:ascii="仿宋" w:hAnsi="仿宋" w:eastAsia="仿宋"/>
          <w:b/>
          <w:bCs/>
          <w:sz w:val="24"/>
          <w:szCs w:val="24"/>
          <w:lang w:val="en-US" w:eastAsia="zh-CN"/>
        </w:rPr>
        <w:t>★</w:t>
      </w:r>
      <w:r>
        <w:rPr>
          <w:rFonts w:hint="eastAsia" w:ascii="楷体" w:hAnsi="楷体" w:eastAsia="楷体"/>
          <w:b/>
          <w:bCs/>
          <w:sz w:val="28"/>
          <w:szCs w:val="28"/>
          <w:highlight w:val="none"/>
          <w:lang w:val="en-US" w:eastAsia="zh-CN"/>
        </w:rPr>
        <w:t>不允许负偏离，否则将作为无效投标处理）</w:t>
      </w:r>
      <w:bookmarkEnd w:id="115"/>
      <w:bookmarkEnd w:id="116"/>
    </w:p>
    <w:p w14:paraId="112034AA">
      <w:pPr>
        <w:spacing w:beforeLines="50" w:line="240" w:lineRule="auto"/>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3.1交货期</w:t>
      </w:r>
      <w:r>
        <w:rPr>
          <w:rFonts w:hint="eastAsia" w:ascii="仿宋" w:hAnsi="仿宋" w:eastAsia="仿宋"/>
          <w:b/>
          <w:bCs/>
          <w:sz w:val="24"/>
          <w:szCs w:val="24"/>
          <w:lang w:val="en-US" w:eastAsia="zh-CN"/>
        </w:rPr>
        <w:t>★</w:t>
      </w:r>
    </w:p>
    <w:p w14:paraId="11D93948">
      <w:pPr>
        <w:spacing w:line="400" w:lineRule="exact"/>
        <w:ind w:firstLine="480" w:firstLineChars="200"/>
        <w:rPr>
          <w:rFonts w:hint="default" w:ascii="仿宋" w:hAnsi="仿宋" w:eastAsia="仿宋"/>
          <w:color w:val="auto"/>
          <w:sz w:val="24"/>
          <w:szCs w:val="24"/>
          <w:highlight w:val="none"/>
          <w:u w:val="none"/>
          <w:lang w:val="en-US" w:eastAsia="zh-CN"/>
        </w:rPr>
      </w:pPr>
      <w:r>
        <w:rPr>
          <w:rFonts w:hint="eastAsia" w:ascii="仿宋" w:hAnsi="仿宋" w:eastAsia="仿宋"/>
          <w:color w:val="auto"/>
          <w:sz w:val="24"/>
          <w:szCs w:val="24"/>
          <w:highlight w:val="none"/>
          <w:u w:val="none"/>
          <w:lang w:val="en-US" w:eastAsia="zh-CN"/>
        </w:rPr>
        <w:t>合同签订后30日内完成供货及安装调试。</w:t>
      </w:r>
    </w:p>
    <w:p w14:paraId="38248838">
      <w:pPr>
        <w:spacing w:beforeLines="50" w:line="24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3.2交货地点</w:t>
      </w:r>
      <w:r>
        <w:rPr>
          <w:rFonts w:hint="eastAsia" w:ascii="仿宋" w:hAnsi="仿宋" w:eastAsia="仿宋"/>
          <w:b/>
          <w:bCs/>
          <w:sz w:val="24"/>
          <w:szCs w:val="24"/>
          <w:lang w:val="en-US" w:eastAsia="zh-CN"/>
        </w:rPr>
        <w:t>★</w:t>
      </w:r>
    </w:p>
    <w:p w14:paraId="4B205A56">
      <w:pPr>
        <w:spacing w:beforeLines="50" w:line="240" w:lineRule="auto"/>
        <w:ind w:firstLine="480" w:firstLineChars="200"/>
        <w:rPr>
          <w:rFonts w:hint="default" w:ascii="仿宋" w:hAnsi="仿宋" w:eastAsia="仿宋" w:cs="仿宋"/>
          <w:color w:val="auto"/>
          <w:sz w:val="24"/>
          <w:highlight w:val="none"/>
          <w:u w:val="none"/>
          <w:lang w:val="en-US" w:eastAsia="zh-CN"/>
        </w:rPr>
      </w:pPr>
      <w:r>
        <w:rPr>
          <w:rFonts w:hint="default" w:ascii="仿宋" w:hAnsi="仿宋" w:eastAsia="仿宋" w:cs="仿宋"/>
          <w:color w:val="auto"/>
          <w:sz w:val="24"/>
          <w:highlight w:val="none"/>
          <w:u w:val="none"/>
          <w:lang w:val="en-US" w:eastAsia="zh-CN"/>
        </w:rPr>
        <w:t>新疆维吾尔自治区温宿县人民医院</w:t>
      </w:r>
      <w:r>
        <w:rPr>
          <w:rFonts w:hint="eastAsia" w:ascii="仿宋" w:hAnsi="仿宋" w:eastAsia="仿宋" w:cs="仿宋"/>
          <w:color w:val="auto"/>
          <w:sz w:val="24"/>
          <w:highlight w:val="none"/>
          <w:u w:val="none"/>
          <w:lang w:val="en-US" w:eastAsia="zh-CN"/>
        </w:rPr>
        <w:t>。</w:t>
      </w:r>
    </w:p>
    <w:p w14:paraId="5B28DC24">
      <w:pPr>
        <w:spacing w:beforeLines="50" w:line="24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.3付款方式</w:t>
      </w:r>
      <w:r>
        <w:rPr>
          <w:rFonts w:hint="eastAsia" w:ascii="仿宋" w:hAnsi="仿宋" w:eastAsia="仿宋"/>
          <w:b/>
          <w:bCs/>
          <w:sz w:val="24"/>
          <w:szCs w:val="24"/>
          <w:lang w:val="en-US" w:eastAsia="zh-CN"/>
        </w:rPr>
        <w:t>★</w:t>
      </w:r>
    </w:p>
    <w:p w14:paraId="07295608">
      <w:pPr>
        <w:spacing w:line="400" w:lineRule="exact"/>
        <w:ind w:firstLine="480" w:firstLineChars="200"/>
        <w:rPr>
          <w:rFonts w:hint="default" w:ascii="仿宋" w:hAnsi="仿宋" w:eastAsia="仿宋"/>
          <w:color w:val="auto"/>
          <w:sz w:val="24"/>
          <w:szCs w:val="24"/>
          <w:highlight w:val="none"/>
          <w:u w:val="none"/>
          <w:lang w:val="en-US"/>
        </w:rPr>
      </w:pPr>
      <w:r>
        <w:rPr>
          <w:rFonts w:hint="eastAsia" w:ascii="仿宋" w:hAnsi="仿宋" w:eastAsia="仿宋"/>
          <w:color w:val="auto"/>
          <w:sz w:val="24"/>
          <w:szCs w:val="24"/>
          <w:highlight w:val="none"/>
          <w:u w:val="none"/>
          <w:lang w:val="en-US" w:eastAsia="zh-CN"/>
        </w:rPr>
        <w:t xml:space="preserve">甲乙双方合同中约定。  </w:t>
      </w:r>
    </w:p>
    <w:p w14:paraId="29CECDD3">
      <w:pPr>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.4验收</w:t>
      </w:r>
      <w:r>
        <w:rPr>
          <w:rFonts w:hint="eastAsia" w:ascii="仿宋" w:hAnsi="仿宋" w:eastAsia="仿宋"/>
          <w:b/>
          <w:bCs/>
          <w:sz w:val="24"/>
          <w:szCs w:val="24"/>
          <w:lang w:val="en-US" w:eastAsia="zh-CN"/>
        </w:rPr>
        <w:t>★</w:t>
      </w:r>
    </w:p>
    <w:p w14:paraId="7CA0AF2B">
      <w:pPr>
        <w:spacing w:line="400" w:lineRule="exact"/>
        <w:ind w:firstLine="480" w:firstLineChars="200"/>
        <w:rPr>
          <w:rFonts w:hint="eastAsia" w:ascii="仿宋" w:hAnsi="仿宋" w:eastAsia="仿宋"/>
          <w:color w:val="auto"/>
          <w:sz w:val="24"/>
          <w:szCs w:val="24"/>
          <w:highlight w:val="none"/>
          <w:u w:val="none"/>
        </w:rPr>
      </w:pPr>
      <w:r>
        <w:rPr>
          <w:rFonts w:hint="eastAsia" w:ascii="仿宋" w:hAnsi="仿宋" w:eastAsia="仿宋"/>
          <w:color w:val="auto"/>
          <w:sz w:val="24"/>
          <w:szCs w:val="24"/>
          <w:highlight w:val="none"/>
          <w:u w:val="none"/>
          <w:lang w:val="en-US" w:eastAsia="zh-CN"/>
        </w:rPr>
        <w:t>3</w:t>
      </w:r>
      <w:r>
        <w:rPr>
          <w:rFonts w:hint="eastAsia" w:ascii="仿宋" w:hAnsi="仿宋" w:eastAsia="仿宋"/>
          <w:color w:val="auto"/>
          <w:sz w:val="24"/>
          <w:szCs w:val="24"/>
          <w:highlight w:val="none"/>
          <w:u w:val="none"/>
        </w:rPr>
        <w:t>.4</w:t>
      </w:r>
      <w:r>
        <w:rPr>
          <w:rFonts w:ascii="仿宋" w:hAnsi="仿宋" w:eastAsia="仿宋"/>
          <w:color w:val="auto"/>
          <w:sz w:val="24"/>
          <w:szCs w:val="24"/>
          <w:highlight w:val="none"/>
          <w:u w:val="none"/>
        </w:rPr>
        <w:t>.1</w:t>
      </w:r>
      <w:r>
        <w:rPr>
          <w:rFonts w:hint="eastAsia" w:ascii="仿宋" w:hAnsi="仿宋" w:eastAsia="仿宋"/>
          <w:color w:val="auto"/>
          <w:sz w:val="24"/>
          <w:szCs w:val="24"/>
          <w:highlight w:val="none"/>
          <w:u w:val="none"/>
          <w:lang w:val="en-US" w:eastAsia="zh-CN"/>
        </w:rPr>
        <w:t>物品</w:t>
      </w:r>
      <w:r>
        <w:rPr>
          <w:rFonts w:hint="eastAsia" w:ascii="仿宋" w:hAnsi="仿宋" w:eastAsia="仿宋"/>
          <w:color w:val="auto"/>
          <w:sz w:val="24"/>
          <w:szCs w:val="24"/>
          <w:highlight w:val="none"/>
          <w:u w:val="none"/>
        </w:rPr>
        <w:t>运抵现场后，</w:t>
      </w:r>
      <w:r>
        <w:rPr>
          <w:rFonts w:hint="eastAsia" w:ascii="仿宋" w:hAnsi="仿宋" w:eastAsia="仿宋"/>
          <w:color w:val="auto"/>
          <w:sz w:val="24"/>
          <w:szCs w:val="24"/>
          <w:highlight w:val="none"/>
          <w:u w:val="none"/>
          <w:lang w:eastAsia="zh-CN"/>
        </w:rPr>
        <w:t>招标人</w:t>
      </w:r>
      <w:r>
        <w:rPr>
          <w:rFonts w:hint="eastAsia" w:ascii="仿宋" w:hAnsi="仿宋" w:eastAsia="仿宋"/>
          <w:color w:val="auto"/>
          <w:sz w:val="24"/>
          <w:szCs w:val="24"/>
          <w:highlight w:val="none"/>
          <w:u w:val="none"/>
        </w:rPr>
        <w:t>将对</w:t>
      </w:r>
      <w:r>
        <w:rPr>
          <w:rFonts w:hint="eastAsia" w:ascii="仿宋" w:hAnsi="仿宋" w:eastAsia="仿宋"/>
          <w:color w:val="auto"/>
          <w:sz w:val="24"/>
          <w:szCs w:val="24"/>
          <w:highlight w:val="none"/>
          <w:u w:val="none"/>
          <w:lang w:val="en-US" w:eastAsia="zh-CN"/>
        </w:rPr>
        <w:t>物品</w:t>
      </w:r>
      <w:r>
        <w:rPr>
          <w:rFonts w:hint="eastAsia" w:ascii="仿宋" w:hAnsi="仿宋" w:eastAsia="仿宋"/>
          <w:color w:val="auto"/>
          <w:sz w:val="24"/>
          <w:szCs w:val="24"/>
          <w:highlight w:val="none"/>
          <w:u w:val="none"/>
        </w:rPr>
        <w:t>数量、质量、规格等进行检验。如发现货物和规格或者两者都与招标文件、投标文件、合同不符，</w:t>
      </w:r>
      <w:r>
        <w:rPr>
          <w:rFonts w:hint="eastAsia" w:ascii="仿宋" w:hAnsi="仿宋" w:eastAsia="仿宋"/>
          <w:color w:val="auto"/>
          <w:sz w:val="24"/>
          <w:szCs w:val="24"/>
          <w:highlight w:val="none"/>
          <w:u w:val="none"/>
          <w:lang w:eastAsia="zh-CN"/>
        </w:rPr>
        <w:t>招标人</w:t>
      </w:r>
      <w:r>
        <w:rPr>
          <w:rFonts w:hint="eastAsia" w:ascii="仿宋" w:hAnsi="仿宋" w:eastAsia="仿宋"/>
          <w:color w:val="auto"/>
          <w:sz w:val="24"/>
          <w:szCs w:val="24"/>
          <w:highlight w:val="none"/>
          <w:u w:val="none"/>
        </w:rPr>
        <w:t>有权限根据检验结果要求中标人立即更换或者提出索赔要求。</w:t>
      </w:r>
    </w:p>
    <w:p w14:paraId="5DFBA6D4">
      <w:pPr>
        <w:spacing w:line="400" w:lineRule="exact"/>
        <w:ind w:firstLine="480" w:firstLineChars="200"/>
        <w:rPr>
          <w:rFonts w:ascii="仿宋" w:hAnsi="仿宋" w:eastAsia="仿宋"/>
          <w:sz w:val="24"/>
          <w:szCs w:val="24"/>
          <w:u w:val="none"/>
        </w:rPr>
      </w:pPr>
      <w:r>
        <w:rPr>
          <w:rFonts w:hint="eastAsia" w:ascii="仿宋" w:hAnsi="仿宋" w:eastAsia="仿宋"/>
          <w:sz w:val="24"/>
          <w:szCs w:val="24"/>
          <w:u w:val="none"/>
          <w:lang w:val="en-US" w:eastAsia="zh-CN"/>
        </w:rPr>
        <w:t>3</w:t>
      </w:r>
      <w:r>
        <w:rPr>
          <w:rFonts w:hint="eastAsia" w:ascii="仿宋" w:hAnsi="仿宋" w:eastAsia="仿宋"/>
          <w:sz w:val="24"/>
          <w:szCs w:val="24"/>
          <w:u w:val="none"/>
        </w:rPr>
        <w:t>.4</w:t>
      </w:r>
      <w:r>
        <w:rPr>
          <w:rFonts w:ascii="仿宋" w:hAnsi="仿宋" w:eastAsia="仿宋"/>
          <w:sz w:val="24"/>
          <w:szCs w:val="24"/>
          <w:u w:val="none"/>
        </w:rPr>
        <w:t>.2</w:t>
      </w:r>
      <w:r>
        <w:rPr>
          <w:rFonts w:hint="eastAsia" w:ascii="仿宋" w:hAnsi="仿宋" w:eastAsia="仿宋"/>
          <w:sz w:val="24"/>
          <w:szCs w:val="24"/>
          <w:u w:val="none"/>
        </w:rPr>
        <w:t>货物由中标人进行安装，完毕后，采购人应对货物的数量、质量、规格、性能等进行详细而全面的检验。安装完毕</w:t>
      </w:r>
      <w:r>
        <w:rPr>
          <w:rFonts w:ascii="仿宋" w:hAnsi="仿宋" w:eastAsia="仿宋"/>
          <w:sz w:val="24"/>
          <w:szCs w:val="24"/>
          <w:u w:val="none"/>
        </w:rPr>
        <w:t>7</w:t>
      </w:r>
      <w:r>
        <w:rPr>
          <w:rFonts w:hint="eastAsia" w:ascii="仿宋" w:hAnsi="仿宋" w:eastAsia="仿宋"/>
          <w:sz w:val="24"/>
          <w:szCs w:val="24"/>
          <w:u w:val="none"/>
        </w:rPr>
        <w:t>日后，证明货物以及安装质量无任何问题，由采购人组成的验收小组签署验收报告，作为付款凭据之一。</w:t>
      </w:r>
    </w:p>
    <w:p w14:paraId="2EC4EA9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.5质量保证期</w:t>
      </w:r>
      <w:r>
        <w:rPr>
          <w:rFonts w:hint="eastAsia" w:ascii="仿宋" w:hAnsi="仿宋" w:eastAsia="仿宋"/>
          <w:b/>
          <w:bCs/>
          <w:sz w:val="24"/>
          <w:szCs w:val="24"/>
          <w:lang w:val="en-US" w:eastAsia="zh-CN"/>
        </w:rPr>
        <w:t>★</w:t>
      </w:r>
    </w:p>
    <w:p w14:paraId="08E85632">
      <w:pPr>
        <w:spacing w:line="400" w:lineRule="exact"/>
        <w:ind w:firstLine="480" w:firstLineChars="200"/>
        <w:rPr>
          <w:rFonts w:hint="default" w:ascii="仿宋" w:hAnsi="仿宋" w:eastAsia="仿宋" w:cs="Times New Roman"/>
          <w:sz w:val="24"/>
          <w:szCs w:val="24"/>
          <w:highlight w:val="none"/>
          <w:u w:val="none"/>
          <w:lang w:val="en-US" w:eastAsia="zh-CN"/>
        </w:rPr>
      </w:pPr>
      <w:r>
        <w:rPr>
          <w:rFonts w:hint="eastAsia" w:ascii="仿宋" w:hAnsi="仿宋" w:eastAsia="仿宋" w:cs="Times New Roman"/>
          <w:sz w:val="24"/>
          <w:szCs w:val="24"/>
          <w:highlight w:val="none"/>
          <w:lang w:val="en-US" w:eastAsia="zh-CN"/>
        </w:rPr>
        <w:t>3.5</w:t>
      </w:r>
      <w:r>
        <w:rPr>
          <w:rFonts w:hint="eastAsia" w:ascii="仿宋" w:hAnsi="仿宋" w:eastAsia="仿宋" w:cs="Times New Roman"/>
          <w:sz w:val="24"/>
          <w:szCs w:val="24"/>
          <w:highlight w:val="none"/>
          <w:u w:val="none"/>
          <w:lang w:val="en-US" w:eastAsia="zh-CN"/>
        </w:rPr>
        <w:t>.1 质量保证期3年。</w:t>
      </w:r>
    </w:p>
    <w:p w14:paraId="1F58AF3A">
      <w:pPr>
        <w:spacing w:line="360" w:lineRule="auto"/>
        <w:ind w:firstLine="480" w:firstLineChars="200"/>
        <w:rPr>
          <w:rFonts w:hint="default" w:ascii="仿宋" w:hAnsi="仿宋" w:eastAsia="仿宋"/>
          <w:sz w:val="24"/>
          <w:szCs w:val="24"/>
          <w:u w:val="none"/>
          <w:lang w:val="en-US" w:eastAsia="zh-CN"/>
        </w:rPr>
      </w:pPr>
      <w:r>
        <w:rPr>
          <w:rFonts w:hint="eastAsia" w:ascii="仿宋" w:hAnsi="仿宋" w:eastAsia="仿宋" w:cs="Times New Roman"/>
          <w:sz w:val="24"/>
          <w:szCs w:val="24"/>
          <w:u w:val="none"/>
        </w:rPr>
        <w:t>3.5.2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6776AF9C">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.6售后服务</w:t>
      </w:r>
      <w:r>
        <w:rPr>
          <w:rFonts w:hint="eastAsia" w:ascii="仿宋" w:hAnsi="仿宋" w:eastAsia="仿宋"/>
          <w:b/>
          <w:bCs/>
          <w:sz w:val="24"/>
          <w:szCs w:val="24"/>
          <w:lang w:val="en-US" w:eastAsia="zh-CN"/>
        </w:rPr>
        <w:t>★</w:t>
      </w:r>
    </w:p>
    <w:p w14:paraId="39232F6E">
      <w:pPr>
        <w:spacing w:line="360" w:lineRule="auto"/>
        <w:ind w:firstLine="480" w:firstLineChars="200"/>
        <w:rPr>
          <w:rFonts w:hint="eastAsia" w:ascii="仿宋" w:hAnsi="仿宋" w:eastAsia="仿宋" w:cs="Times New Roman"/>
          <w:sz w:val="24"/>
          <w:szCs w:val="24"/>
          <w:u w:val="none"/>
        </w:rPr>
      </w:pPr>
      <w:r>
        <w:rPr>
          <w:rFonts w:hint="eastAsia" w:ascii="仿宋" w:hAnsi="仿宋" w:eastAsia="仿宋"/>
          <w:sz w:val="24"/>
          <w:szCs w:val="24"/>
          <w:u w:val="none"/>
          <w:lang w:val="en-US" w:eastAsia="zh-CN"/>
        </w:rPr>
        <w:t>3</w:t>
      </w:r>
      <w:r>
        <w:rPr>
          <w:rFonts w:hint="eastAsia" w:ascii="仿宋" w:hAnsi="仿宋" w:eastAsia="仿宋"/>
          <w:sz w:val="24"/>
          <w:szCs w:val="24"/>
          <w:u w:val="none"/>
        </w:rPr>
        <w:t>.6.</w:t>
      </w:r>
      <w:r>
        <w:rPr>
          <w:rFonts w:ascii="仿宋" w:hAnsi="仿宋" w:eastAsia="仿宋"/>
          <w:sz w:val="24"/>
          <w:szCs w:val="24"/>
          <w:u w:val="none"/>
        </w:rPr>
        <w:t>1</w:t>
      </w:r>
      <w:r>
        <w:rPr>
          <w:rFonts w:hint="eastAsia" w:ascii="仿宋" w:hAnsi="仿宋" w:eastAsia="仿宋" w:cs="Times New Roman"/>
          <w:sz w:val="24"/>
          <w:szCs w:val="24"/>
          <w:u w:val="none"/>
        </w:rPr>
        <w:t>中标人应提供及时周到的售后服务，应保证每季度至少一次上门回访、检修。</w:t>
      </w:r>
    </w:p>
    <w:p w14:paraId="7938FF24">
      <w:pPr>
        <w:spacing w:line="360" w:lineRule="auto"/>
        <w:ind w:firstLine="480" w:firstLineChars="200"/>
        <w:rPr>
          <w:rFonts w:hint="eastAsia" w:ascii="仿宋" w:hAnsi="仿宋" w:eastAsia="仿宋" w:cs="Times New Roman"/>
          <w:sz w:val="24"/>
          <w:szCs w:val="24"/>
          <w:u w:val="none"/>
        </w:rPr>
      </w:pPr>
      <w:r>
        <w:rPr>
          <w:rFonts w:hint="eastAsia" w:ascii="仿宋" w:hAnsi="仿宋" w:eastAsia="仿宋" w:cs="Times New Roman"/>
          <w:sz w:val="24"/>
          <w:szCs w:val="24"/>
          <w:u w:val="none"/>
          <w:lang w:val="en-US" w:eastAsia="zh-CN"/>
        </w:rPr>
        <w:t>3</w:t>
      </w:r>
      <w:r>
        <w:rPr>
          <w:rFonts w:hint="eastAsia" w:ascii="仿宋" w:hAnsi="仿宋" w:eastAsia="仿宋" w:cs="Times New Roman"/>
          <w:sz w:val="24"/>
          <w:szCs w:val="24"/>
          <w:u w:val="none"/>
        </w:rPr>
        <w:t>.6.</w:t>
      </w:r>
      <w:r>
        <w:rPr>
          <w:rFonts w:hint="eastAsia" w:ascii="仿宋" w:hAnsi="仿宋" w:eastAsia="仿宋" w:cs="Times New Roman"/>
          <w:sz w:val="24"/>
          <w:szCs w:val="24"/>
          <w:u w:val="none"/>
          <w:lang w:val="en-US" w:eastAsia="zh-CN"/>
        </w:rPr>
        <w:t>2</w:t>
      </w:r>
      <w:r>
        <w:rPr>
          <w:rFonts w:hint="eastAsia" w:ascii="仿宋" w:hAnsi="仿宋" w:eastAsia="仿宋" w:cs="Times New Roman"/>
          <w:sz w:val="24"/>
          <w:szCs w:val="24"/>
          <w:u w:val="none"/>
        </w:rPr>
        <w:t>中标人在接</w:t>
      </w:r>
      <w:r>
        <w:rPr>
          <w:rFonts w:hint="eastAsia" w:ascii="仿宋" w:hAnsi="仿宋" w:eastAsia="仿宋" w:cs="Times New Roman"/>
          <w:sz w:val="24"/>
          <w:szCs w:val="24"/>
          <w:u w:val="none"/>
          <w:lang w:val="en-US" w:eastAsia="zh-CN"/>
        </w:rPr>
        <w:t>招标</w:t>
      </w:r>
      <w:r>
        <w:rPr>
          <w:rFonts w:hint="eastAsia" w:ascii="仿宋" w:hAnsi="仿宋" w:eastAsia="仿宋" w:cs="Times New Roman"/>
          <w:sz w:val="24"/>
          <w:szCs w:val="24"/>
          <w:u w:val="none"/>
        </w:rPr>
        <w:t>人通知1小时做出响应，2小时内到达现场，24小时内维修完毕，不能在规定时间内修好的要免费提供备品（机）备件。</w:t>
      </w:r>
    </w:p>
    <w:p w14:paraId="52FE5B4E">
      <w:pPr>
        <w:spacing w:line="360" w:lineRule="auto"/>
        <w:ind w:firstLine="480" w:firstLineChars="200"/>
        <w:rPr>
          <w:rFonts w:hint="eastAsia" w:ascii="仿宋" w:hAnsi="仿宋" w:eastAsia="仿宋" w:cs="Times New Roman"/>
          <w:sz w:val="24"/>
          <w:szCs w:val="24"/>
          <w:u w:val="none"/>
        </w:rPr>
      </w:pPr>
      <w:r>
        <w:rPr>
          <w:rFonts w:hint="eastAsia" w:ascii="仿宋" w:hAnsi="仿宋" w:eastAsia="仿宋" w:cs="Times New Roman"/>
          <w:sz w:val="24"/>
          <w:szCs w:val="24"/>
          <w:u w:val="none"/>
          <w:lang w:val="en-US" w:eastAsia="zh-CN"/>
        </w:rPr>
        <w:t>3</w:t>
      </w:r>
      <w:r>
        <w:rPr>
          <w:rFonts w:hint="eastAsia" w:ascii="仿宋" w:hAnsi="仿宋" w:eastAsia="仿宋" w:cs="Times New Roman"/>
          <w:sz w:val="24"/>
          <w:szCs w:val="24"/>
          <w:u w:val="none"/>
        </w:rPr>
        <w:t>.6</w:t>
      </w:r>
      <w:r>
        <w:rPr>
          <w:rFonts w:hint="eastAsia" w:ascii="仿宋" w:hAnsi="仿宋" w:eastAsia="仿宋" w:cs="Times New Roman"/>
          <w:sz w:val="24"/>
          <w:szCs w:val="24"/>
          <w:u w:val="none"/>
          <w:lang w:val="en-US" w:eastAsia="zh-CN"/>
        </w:rPr>
        <w:t>.3</w:t>
      </w:r>
      <w:r>
        <w:rPr>
          <w:rFonts w:hint="eastAsia" w:ascii="仿宋" w:hAnsi="仿宋" w:eastAsia="仿宋" w:cs="Times New Roman"/>
          <w:sz w:val="24"/>
          <w:szCs w:val="24"/>
          <w:u w:val="none"/>
        </w:rPr>
        <w:t>中标人免费为采购人提供中文操作手册并培训操作人员，其中包括讲解产品的结构以及原理、产品的使用以及维护保养，直至操作人员能够独立的操作使用。</w:t>
      </w:r>
    </w:p>
    <w:p w14:paraId="19FE3ACD">
      <w:pPr>
        <w:rPr>
          <w:rFonts w:ascii="黑体" w:hAnsi="黑体" w:eastAsia="黑体"/>
          <w:sz w:val="32"/>
          <w:szCs w:val="32"/>
        </w:rPr>
      </w:pPr>
      <w:r>
        <w:rPr>
          <w:rFonts w:hint="eastAsia" w:ascii="仿宋" w:hAnsi="仿宋" w:eastAsia="仿宋"/>
          <w:b/>
          <w:bCs/>
          <w:sz w:val="24"/>
          <w:szCs w:val="24"/>
          <w:lang w:val="en-US" w:eastAsia="zh-CN"/>
        </w:rPr>
        <w:t>注：以上要求标“★”条款不允许负偏离，出现负偏离则按废标处理</w:t>
      </w:r>
      <w:r>
        <w:rPr>
          <w:rFonts w:hint="eastAsia" w:ascii="仿宋" w:hAnsi="仿宋" w:eastAsia="仿宋"/>
          <w:sz w:val="24"/>
          <w:szCs w:val="24"/>
          <w:lang w:val="en-US" w:eastAsia="zh-CN"/>
        </w:rPr>
        <w:t>。</w:t>
      </w:r>
    </w:p>
    <w:p w14:paraId="05B7A1DB">
      <w:pPr>
        <w:spacing w:afterLines="50" w:line="400" w:lineRule="exact"/>
        <w:ind w:firstLine="480" w:firstLineChars="200"/>
        <w:rPr>
          <w:rFonts w:hint="eastAsia" w:ascii="仿宋" w:hAnsi="仿宋" w:eastAsia="仿宋"/>
          <w:sz w:val="24"/>
          <w:szCs w:val="24"/>
        </w:rPr>
      </w:pPr>
    </w:p>
    <w:p w14:paraId="4D275AEC">
      <w:pPr>
        <w:spacing w:line="400" w:lineRule="exact"/>
        <w:ind w:firstLine="640" w:firstLineChars="200"/>
        <w:rPr>
          <w:rFonts w:ascii="黑体" w:hAnsi="黑体" w:eastAsia="黑体"/>
          <w:color w:val="FF0000"/>
          <w:sz w:val="32"/>
          <w:szCs w:val="32"/>
          <w:highlight w:val="none"/>
        </w:rPr>
      </w:pPr>
      <w:r>
        <w:rPr>
          <w:rFonts w:ascii="黑体" w:hAnsi="黑体" w:eastAsia="黑体"/>
          <w:color w:val="FF0000"/>
          <w:sz w:val="32"/>
          <w:szCs w:val="32"/>
          <w:highlight w:val="none"/>
        </w:rPr>
        <w:br w:type="page"/>
      </w:r>
    </w:p>
    <w:p w14:paraId="75977EB9">
      <w:pPr>
        <w:spacing w:afterLines="50" w:line="400" w:lineRule="exact"/>
        <w:jc w:val="center"/>
        <w:outlineLvl w:val="1"/>
        <w:rPr>
          <w:rFonts w:ascii="黑体" w:hAnsi="黑体" w:eastAsia="黑体"/>
          <w:sz w:val="28"/>
          <w:szCs w:val="28"/>
          <w:highlight w:val="none"/>
        </w:rPr>
      </w:pPr>
      <w:bookmarkStart w:id="118" w:name="_Toc27941"/>
      <w:bookmarkStart w:id="119" w:name="_Toc30852"/>
      <w:r>
        <w:rPr>
          <w:rFonts w:ascii="黑体" w:hAnsi="黑体" w:eastAsia="黑体"/>
          <w:sz w:val="32"/>
          <w:szCs w:val="32"/>
          <w:highlight w:val="none"/>
        </w:rPr>
        <w:t>第</w:t>
      </w:r>
      <w:r>
        <w:rPr>
          <w:rFonts w:hint="eastAsia" w:ascii="黑体" w:hAnsi="黑体" w:eastAsia="黑体"/>
          <w:sz w:val="32"/>
          <w:szCs w:val="32"/>
          <w:highlight w:val="none"/>
        </w:rPr>
        <w:t>四</w:t>
      </w:r>
      <w:r>
        <w:rPr>
          <w:rFonts w:ascii="黑体" w:hAnsi="黑体" w:eastAsia="黑体"/>
          <w:sz w:val="32"/>
          <w:szCs w:val="32"/>
          <w:highlight w:val="none"/>
        </w:rPr>
        <w:t>章</w:t>
      </w:r>
      <w:r>
        <w:rPr>
          <w:rFonts w:hint="eastAsia" w:ascii="黑体" w:hAnsi="黑体" w:eastAsia="黑体"/>
          <w:sz w:val="32"/>
          <w:szCs w:val="32"/>
          <w:highlight w:val="none"/>
        </w:rPr>
        <w:t xml:space="preserve">  评标办法</w:t>
      </w:r>
      <w:bookmarkEnd w:id="117"/>
      <w:bookmarkEnd w:id="118"/>
      <w:bookmarkEnd w:id="119"/>
    </w:p>
    <w:p w14:paraId="51B93EF3">
      <w:pPr>
        <w:spacing w:afterLines="50" w:line="400" w:lineRule="exact"/>
        <w:ind w:firstLine="560" w:firstLineChars="200"/>
        <w:outlineLvl w:val="2"/>
        <w:rPr>
          <w:rFonts w:ascii="楷体" w:hAnsi="楷体" w:eastAsia="楷体"/>
          <w:sz w:val="28"/>
          <w:szCs w:val="28"/>
          <w:highlight w:val="none"/>
        </w:rPr>
      </w:pPr>
      <w:bookmarkStart w:id="120" w:name="_Toc494455917"/>
      <w:bookmarkStart w:id="121" w:name="_Toc624"/>
      <w:bookmarkStart w:id="122" w:name="_Toc2007"/>
      <w:r>
        <w:rPr>
          <w:rFonts w:hint="eastAsia" w:ascii="楷体" w:hAnsi="楷体" w:eastAsia="楷体"/>
          <w:sz w:val="28"/>
          <w:szCs w:val="28"/>
          <w:highlight w:val="none"/>
        </w:rPr>
        <w:t>1.相关要求</w:t>
      </w:r>
      <w:bookmarkEnd w:id="120"/>
      <w:bookmarkEnd w:id="121"/>
      <w:bookmarkEnd w:id="122"/>
    </w:p>
    <w:p w14:paraId="4A6209C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当投标人未提供符合招标文件规定的技术支持资料时，其技术部分得</w:t>
      </w:r>
      <w:r>
        <w:rPr>
          <w:rFonts w:ascii="仿宋" w:hAnsi="仿宋" w:eastAsia="仿宋"/>
          <w:sz w:val="24"/>
          <w:szCs w:val="24"/>
          <w:highlight w:val="none"/>
        </w:rPr>
        <w:t>0</w:t>
      </w:r>
      <w:r>
        <w:rPr>
          <w:rFonts w:hint="eastAsia" w:ascii="仿宋" w:hAnsi="仿宋" w:eastAsia="仿宋"/>
          <w:sz w:val="24"/>
          <w:szCs w:val="24"/>
          <w:highlight w:val="none"/>
        </w:rPr>
        <w:t>分。</w:t>
      </w:r>
    </w:p>
    <w:p w14:paraId="2E5656C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技术汇总得分的计算方法：评标委员会成员技术评分的算术平均值。</w:t>
      </w:r>
    </w:p>
    <w:p w14:paraId="56ED4D2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当投标人所投设备功能与招标文件要求相同，但其表述不同时不扣分。</w:t>
      </w:r>
    </w:p>
    <w:p w14:paraId="36378F6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“同类项目”是指投标人已经完成的与本次采购要求相同或者类同的货物，并且签订合同一方必须是投标人，以相同或者类同部分的合同金额为准。</w:t>
      </w:r>
    </w:p>
    <w:p w14:paraId="234C993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1.5</w:t>
      </w:r>
      <w:r>
        <w:rPr>
          <w:rFonts w:ascii="仿宋" w:hAnsi="仿宋" w:eastAsia="仿宋"/>
          <w:sz w:val="24"/>
          <w:szCs w:val="24"/>
          <w:highlight w:val="none"/>
        </w:rPr>
        <w:t>执行国家统一定价标准和采用固定价格采购的项目，其价格不列为评审因素。</w:t>
      </w:r>
    </w:p>
    <w:p w14:paraId="61D78166">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6中型、小型、微型企业应当同时符合以下条件：</w:t>
      </w:r>
    </w:p>
    <w:p w14:paraId="217B72BD">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6.1依据《关于印发&lt;统计上大中小微型企业划分办法(2017)&gt;的通知》规定，中型、小型和微型企业投标的须提供《中小企业声明函》原件并对声明函的真实性负责；</w:t>
      </w:r>
    </w:p>
    <w:p w14:paraId="7626175A">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14:paraId="3A8116AF">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6.3提供本企业制造的货物、承担的工程或者服务，或者提供其他中小企业制造的货物。本项所称货物不包括使用大型企业注册商标的货物。</w:t>
      </w:r>
    </w:p>
    <w:p w14:paraId="6994B1E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1.7小型、微型企业提供中型企业制造的货物的，视同为中型企业。</w:t>
      </w:r>
    </w:p>
    <w:p w14:paraId="447E16D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8小型和微型企业提供的货物中含有中型及以上企业的产品或者大中型企业提供货物中含有小型、微型企业产品的，均不给予价格扣除。</w:t>
      </w:r>
    </w:p>
    <w:p w14:paraId="3722E86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1.9评分得分非整数的保留小数点后两位（小数点后第三位数四舍五入）。</w:t>
      </w:r>
    </w:p>
    <w:p w14:paraId="7F7BD9CA">
      <w:pPr>
        <w:spacing w:beforeLines="100" w:afterLines="50" w:line="400" w:lineRule="exact"/>
        <w:ind w:firstLine="560" w:firstLineChars="200"/>
        <w:outlineLvl w:val="2"/>
        <w:rPr>
          <w:rFonts w:ascii="楷体" w:hAnsi="楷体" w:eastAsia="楷体"/>
          <w:sz w:val="28"/>
          <w:szCs w:val="28"/>
          <w:highlight w:val="none"/>
        </w:rPr>
      </w:pPr>
      <w:bookmarkStart w:id="123" w:name="_Toc494455918"/>
      <w:bookmarkStart w:id="124" w:name="_Toc9220"/>
      <w:bookmarkStart w:id="125" w:name="_Toc5292"/>
      <w:r>
        <w:rPr>
          <w:rFonts w:hint="eastAsia" w:ascii="楷体" w:hAnsi="楷体" w:eastAsia="楷体"/>
          <w:sz w:val="28"/>
          <w:szCs w:val="28"/>
          <w:highlight w:val="none"/>
        </w:rPr>
        <w:t>2.评</w:t>
      </w:r>
      <w:bookmarkEnd w:id="123"/>
      <w:r>
        <w:rPr>
          <w:rFonts w:hint="eastAsia" w:ascii="楷体" w:hAnsi="楷体" w:eastAsia="楷体"/>
          <w:sz w:val="28"/>
          <w:szCs w:val="28"/>
          <w:highlight w:val="none"/>
        </w:rPr>
        <w:t>标附表</w:t>
      </w:r>
      <w:bookmarkEnd w:id="124"/>
      <w:bookmarkEnd w:id="125"/>
    </w:p>
    <w:p w14:paraId="6194B8C8">
      <w:pPr>
        <w:spacing w:afterLines="50" w:line="400" w:lineRule="exact"/>
        <w:ind w:firstLine="480" w:firstLineChars="200"/>
        <w:rPr>
          <w:rFonts w:ascii="楷体" w:hAnsi="楷体" w:eastAsia="楷体"/>
          <w:sz w:val="24"/>
          <w:szCs w:val="24"/>
          <w:highlight w:val="none"/>
        </w:rPr>
      </w:pPr>
      <w:r>
        <w:rPr>
          <w:rFonts w:hint="eastAsia" w:ascii="楷体" w:hAnsi="楷体" w:eastAsia="楷体"/>
          <w:sz w:val="24"/>
          <w:szCs w:val="24"/>
          <w:highlight w:val="none"/>
        </w:rPr>
        <w:t>2.1评分因素以及分值</w:t>
      </w:r>
    </w:p>
    <w:tbl>
      <w:tblPr>
        <w:tblStyle w:val="24"/>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6"/>
      </w:tblGrid>
      <w:tr w14:paraId="7213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14:paraId="64330005">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评分因素</w:t>
            </w:r>
          </w:p>
        </w:tc>
        <w:tc>
          <w:tcPr>
            <w:tcW w:w="2457" w:type="dxa"/>
            <w:vAlign w:val="center"/>
          </w:tcPr>
          <w:p w14:paraId="1C723133">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商务部分</w:t>
            </w:r>
          </w:p>
        </w:tc>
        <w:tc>
          <w:tcPr>
            <w:tcW w:w="2484" w:type="dxa"/>
            <w:vAlign w:val="center"/>
          </w:tcPr>
          <w:p w14:paraId="291E3A5A">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技术部分</w:t>
            </w:r>
          </w:p>
        </w:tc>
        <w:tc>
          <w:tcPr>
            <w:tcW w:w="2306" w:type="dxa"/>
            <w:vAlign w:val="center"/>
          </w:tcPr>
          <w:p w14:paraId="564B0AD9">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总分</w:t>
            </w:r>
          </w:p>
        </w:tc>
      </w:tr>
      <w:tr w14:paraId="5712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14:paraId="449055F4">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分值比重</w:t>
            </w:r>
          </w:p>
        </w:tc>
        <w:tc>
          <w:tcPr>
            <w:tcW w:w="2457" w:type="dxa"/>
            <w:vAlign w:val="center"/>
          </w:tcPr>
          <w:p w14:paraId="6766EDA0">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分</w:t>
            </w:r>
          </w:p>
        </w:tc>
        <w:tc>
          <w:tcPr>
            <w:tcW w:w="2484" w:type="dxa"/>
            <w:vAlign w:val="center"/>
          </w:tcPr>
          <w:p w14:paraId="4ADBEB46">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70</w:t>
            </w:r>
            <w:r>
              <w:rPr>
                <w:rFonts w:hint="eastAsia" w:ascii="仿宋" w:hAnsi="仿宋" w:eastAsia="仿宋"/>
                <w:sz w:val="24"/>
                <w:szCs w:val="24"/>
                <w:highlight w:val="none"/>
              </w:rPr>
              <w:t>分</w:t>
            </w:r>
          </w:p>
        </w:tc>
        <w:tc>
          <w:tcPr>
            <w:tcW w:w="2306" w:type="dxa"/>
            <w:vAlign w:val="center"/>
          </w:tcPr>
          <w:p w14:paraId="1AEA430E">
            <w:pPr>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100分</w:t>
            </w:r>
          </w:p>
        </w:tc>
      </w:tr>
    </w:tbl>
    <w:p w14:paraId="690F62DC">
      <w:pPr>
        <w:spacing w:afterLines="50" w:line="400" w:lineRule="exact"/>
        <w:ind w:firstLine="480" w:firstLineChars="200"/>
        <w:rPr>
          <w:rFonts w:ascii="楷体" w:hAnsi="楷体" w:eastAsia="楷体"/>
          <w:sz w:val="24"/>
          <w:szCs w:val="24"/>
          <w:highlight w:val="none"/>
        </w:rPr>
      </w:pPr>
      <w:bookmarkStart w:id="126" w:name="_Toc381951225"/>
      <w:bookmarkStart w:id="127" w:name="_Toc391306856"/>
      <w:r>
        <w:rPr>
          <w:rFonts w:hint="eastAsia" w:ascii="楷体" w:hAnsi="楷体" w:eastAsia="楷体"/>
          <w:sz w:val="24"/>
          <w:szCs w:val="24"/>
          <w:highlight w:val="none"/>
        </w:rPr>
        <w:t>2.2初步评审表</w:t>
      </w:r>
      <w:bookmarkEnd w:id="126"/>
      <w:bookmarkEnd w:id="127"/>
    </w:p>
    <w:tbl>
      <w:tblPr>
        <w:tblStyle w:val="24"/>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14:paraId="2DE98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14:paraId="19894CD3">
            <w:pPr>
              <w:spacing w:beforeLines="30"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条款号</w:t>
            </w:r>
          </w:p>
        </w:tc>
        <w:tc>
          <w:tcPr>
            <w:tcW w:w="5947" w:type="dxa"/>
            <w:tcBorders>
              <w:top w:val="single" w:color="auto" w:sz="4" w:space="0"/>
              <w:left w:val="single" w:color="auto" w:sz="4" w:space="0"/>
              <w:bottom w:val="single" w:color="auto" w:sz="4" w:space="0"/>
              <w:right w:val="single" w:color="auto" w:sz="4" w:space="0"/>
            </w:tcBorders>
            <w:vAlign w:val="center"/>
          </w:tcPr>
          <w:p w14:paraId="1E5DAF8A">
            <w:pPr>
              <w:spacing w:beforeLines="30" w:line="312"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评审标准</w:t>
            </w:r>
          </w:p>
        </w:tc>
      </w:tr>
      <w:tr w14:paraId="43F6A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5EC16796">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1881" w:type="dxa"/>
            <w:vMerge w:val="restart"/>
            <w:tcBorders>
              <w:top w:val="single" w:color="auto" w:sz="4" w:space="0"/>
              <w:left w:val="nil"/>
              <w:right w:val="single" w:color="auto" w:sz="4" w:space="0"/>
            </w:tcBorders>
            <w:vAlign w:val="center"/>
          </w:tcPr>
          <w:p w14:paraId="50620E6F">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资格性审查</w:t>
            </w:r>
          </w:p>
        </w:tc>
        <w:tc>
          <w:tcPr>
            <w:tcW w:w="5947" w:type="dxa"/>
            <w:tcBorders>
              <w:top w:val="single" w:color="auto" w:sz="4" w:space="0"/>
              <w:left w:val="single" w:color="auto" w:sz="4" w:space="0"/>
              <w:bottom w:val="single" w:color="auto" w:sz="4" w:space="0"/>
              <w:right w:val="single" w:color="auto" w:sz="4" w:space="0"/>
            </w:tcBorders>
            <w:vAlign w:val="top"/>
          </w:tcPr>
          <w:p w14:paraId="547E533D">
            <w:pPr>
              <w:pStyle w:val="46"/>
              <w:spacing w:before="178" w:line="326" w:lineRule="auto"/>
              <w:ind w:left="121" w:leftChars="0" w:right="106" w:rightChars="0"/>
              <w:rPr>
                <w:rFonts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具备有效的营业执照</w:t>
            </w:r>
          </w:p>
        </w:tc>
      </w:tr>
      <w:tr w14:paraId="63269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26395E29">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44A285E6">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top"/>
          </w:tcPr>
          <w:p w14:paraId="60B8BB1C">
            <w:pPr>
              <w:pStyle w:val="46"/>
              <w:spacing w:before="178" w:line="326" w:lineRule="auto"/>
              <w:ind w:left="121" w:leftChars="0" w:right="106" w:rightChars="0"/>
              <w:rPr>
                <w:rFonts w:hint="eastAsia" w:ascii="仿宋" w:hAnsi="仿宋" w:eastAsia="仿宋" w:cs="仿宋"/>
                <w:sz w:val="24"/>
                <w:szCs w:val="24"/>
                <w:highlight w:val="none"/>
                <w:lang w:val="zh-CN" w:eastAsia="zh-CN"/>
              </w:rPr>
            </w:pPr>
            <w:r>
              <w:rPr>
                <w:rFonts w:hint="eastAsia" w:ascii="仿宋" w:hAnsi="仿宋" w:eastAsia="仿宋" w:cs="仿宋"/>
                <w:color w:val="auto"/>
                <w:kern w:val="2"/>
                <w:sz w:val="24"/>
                <w:szCs w:val="24"/>
                <w:lang w:val="en-US" w:eastAsia="zh-CN" w:bidi="ar-SA"/>
              </w:rPr>
              <w:t>具有《二类医疗器械经营备案凭证》以及《医疗器械经营许可证》或《医疗器械生产许可证》</w:t>
            </w:r>
          </w:p>
        </w:tc>
      </w:tr>
      <w:tr w14:paraId="1AECE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573B480D">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166FCA3A">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top"/>
          </w:tcPr>
          <w:p w14:paraId="2EF44FC1">
            <w:pPr>
              <w:pStyle w:val="46"/>
              <w:spacing w:before="178" w:line="326" w:lineRule="auto"/>
              <w:ind w:left="121" w:leftChars="0" w:right="106" w:rightChars="0"/>
              <w:rPr>
                <w:rFonts w:ascii="仿宋" w:hAnsi="仿宋" w:eastAsia="仿宋" w:cs="仿宋"/>
                <w:spacing w:val="-1"/>
                <w:sz w:val="24"/>
                <w:szCs w:val="24"/>
              </w:rPr>
            </w:pPr>
            <w:r>
              <w:rPr>
                <w:rFonts w:hint="eastAsia" w:ascii="仿宋" w:hAnsi="仿宋" w:eastAsia="仿宋" w:cs="仿宋"/>
                <w:color w:val="auto"/>
                <w:kern w:val="2"/>
                <w:sz w:val="24"/>
                <w:szCs w:val="24"/>
                <w:lang w:val="en-US" w:eastAsia="zh-CN" w:bidi="ar-SA"/>
              </w:rPr>
              <w:t>法定代表人参加</w:t>
            </w:r>
            <w:r>
              <w:rPr>
                <w:rFonts w:hint="eastAsia" w:cs="仿宋"/>
                <w:color w:val="auto"/>
                <w:kern w:val="2"/>
                <w:sz w:val="24"/>
                <w:szCs w:val="24"/>
                <w:lang w:val="en-US" w:eastAsia="zh-CN" w:bidi="ar-SA"/>
              </w:rPr>
              <w:t>须</w:t>
            </w:r>
            <w:r>
              <w:rPr>
                <w:rFonts w:hint="eastAsia" w:ascii="仿宋" w:hAnsi="仿宋" w:eastAsia="仿宋" w:cs="仿宋"/>
                <w:color w:val="auto"/>
                <w:kern w:val="2"/>
                <w:sz w:val="24"/>
                <w:szCs w:val="24"/>
                <w:lang w:val="en-US" w:eastAsia="zh-CN" w:bidi="ar-SA"/>
              </w:rPr>
              <w:t>提供法定代表人身份证明书</w:t>
            </w:r>
            <w:r>
              <w:rPr>
                <w:rFonts w:hint="eastAsia"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委托代理人</w:t>
            </w:r>
            <w:r>
              <w:rPr>
                <w:rFonts w:hint="eastAsia" w:cs="仿宋"/>
                <w:color w:val="auto"/>
                <w:kern w:val="2"/>
                <w:sz w:val="24"/>
                <w:szCs w:val="24"/>
                <w:lang w:val="en-US" w:eastAsia="zh-CN" w:bidi="ar-SA"/>
              </w:rPr>
              <w:t>参加须</w:t>
            </w:r>
            <w:r>
              <w:rPr>
                <w:rFonts w:hint="eastAsia" w:ascii="仿宋" w:hAnsi="仿宋" w:eastAsia="仿宋" w:cs="仿宋"/>
                <w:color w:val="auto"/>
                <w:kern w:val="2"/>
                <w:sz w:val="24"/>
                <w:szCs w:val="24"/>
                <w:lang w:val="en-US" w:eastAsia="zh-CN" w:bidi="ar-SA"/>
              </w:rPr>
              <w:t>提供《法</w:t>
            </w:r>
            <w:r>
              <w:rPr>
                <w:rFonts w:hint="eastAsia" w:cs="仿宋"/>
                <w:color w:val="auto"/>
                <w:kern w:val="2"/>
                <w:sz w:val="24"/>
                <w:szCs w:val="24"/>
                <w:lang w:val="en-US" w:eastAsia="zh-CN" w:bidi="ar-SA"/>
              </w:rPr>
              <w:t>定代表人</w:t>
            </w:r>
            <w:r>
              <w:rPr>
                <w:rFonts w:hint="eastAsia" w:ascii="仿宋" w:hAnsi="仿宋" w:eastAsia="仿宋" w:cs="仿宋"/>
                <w:color w:val="auto"/>
                <w:kern w:val="2"/>
                <w:sz w:val="24"/>
                <w:szCs w:val="24"/>
                <w:lang w:val="en-US" w:eastAsia="zh-CN" w:bidi="ar-SA"/>
              </w:rPr>
              <w:t>授权委托书》</w:t>
            </w:r>
          </w:p>
        </w:tc>
      </w:tr>
      <w:tr w14:paraId="0B66B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1332" w:type="dxa"/>
            <w:vMerge w:val="continue"/>
            <w:tcBorders>
              <w:left w:val="single" w:color="auto" w:sz="4" w:space="0"/>
              <w:right w:val="single" w:color="auto" w:sz="4" w:space="0"/>
            </w:tcBorders>
            <w:vAlign w:val="center"/>
          </w:tcPr>
          <w:p w14:paraId="1A728097">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2B4B5483">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top"/>
          </w:tcPr>
          <w:p w14:paraId="467FBCA1">
            <w:pPr>
              <w:pStyle w:val="46"/>
              <w:spacing w:before="178" w:line="326" w:lineRule="auto"/>
              <w:ind w:left="121" w:leftChars="0" w:right="106" w:rightChars="0"/>
              <w:rPr>
                <w:rFonts w:ascii="仿宋" w:hAnsi="仿宋" w:eastAsia="仿宋" w:cs="仿宋"/>
                <w:spacing w:val="-1"/>
                <w:sz w:val="24"/>
                <w:szCs w:val="24"/>
              </w:rPr>
            </w:pPr>
            <w:r>
              <w:rPr>
                <w:rFonts w:hint="eastAsia" w:ascii="仿宋" w:hAnsi="仿宋" w:eastAsia="仿宋" w:cs="仿宋"/>
                <w:color w:val="auto"/>
                <w:kern w:val="2"/>
                <w:sz w:val="24"/>
                <w:szCs w:val="24"/>
                <w:lang w:val="en-US" w:eastAsia="zh-CN" w:bidi="ar-SA"/>
              </w:rPr>
              <w:t>提供近三个月</w:t>
            </w:r>
            <w:r>
              <w:rPr>
                <w:rFonts w:hint="eastAsia" w:cs="仿宋"/>
                <w:color w:val="auto"/>
                <w:kern w:val="2"/>
                <w:sz w:val="24"/>
                <w:szCs w:val="24"/>
                <w:lang w:val="en-US" w:eastAsia="zh-CN" w:bidi="ar-SA"/>
              </w:rPr>
              <w:t>（2024年10月-2024年12月）</w:t>
            </w:r>
            <w:r>
              <w:rPr>
                <w:rFonts w:hint="eastAsia" w:ascii="仿宋" w:hAnsi="仿宋" w:eastAsia="仿宋" w:cs="仿宋"/>
                <w:color w:val="auto"/>
                <w:kern w:val="2"/>
                <w:sz w:val="24"/>
                <w:szCs w:val="24"/>
                <w:lang w:val="en-US" w:eastAsia="zh-CN" w:bidi="ar-SA"/>
              </w:rPr>
              <w:t>完税证明或无欠税证明</w:t>
            </w:r>
            <w:r>
              <w:rPr>
                <w:rFonts w:hint="eastAsia" w:cs="仿宋"/>
                <w:color w:val="auto"/>
                <w:kern w:val="2"/>
                <w:sz w:val="24"/>
                <w:szCs w:val="24"/>
                <w:lang w:val="en-US" w:eastAsia="zh-CN" w:bidi="ar-SA"/>
              </w:rPr>
              <w:t>（落款日期为发布本项目招标公告之后）</w:t>
            </w:r>
          </w:p>
        </w:tc>
      </w:tr>
      <w:tr w14:paraId="2AE9A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67F7E400">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42EE3B41">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top"/>
          </w:tcPr>
          <w:p w14:paraId="1E27883A">
            <w:pPr>
              <w:pStyle w:val="46"/>
              <w:spacing w:before="178" w:line="326" w:lineRule="auto"/>
              <w:ind w:left="121" w:leftChars="0" w:right="106" w:rightChars="0"/>
              <w:rPr>
                <w:rFonts w:ascii="仿宋" w:hAnsi="仿宋" w:eastAsia="仿宋" w:cs="仿宋"/>
                <w:spacing w:val="-1"/>
                <w:sz w:val="24"/>
                <w:szCs w:val="24"/>
              </w:rPr>
            </w:pPr>
            <w:r>
              <w:rPr>
                <w:rFonts w:hint="eastAsia" w:ascii="仿宋" w:hAnsi="仿宋" w:eastAsia="仿宋" w:cs="仿宋"/>
                <w:color w:val="auto"/>
                <w:kern w:val="2"/>
                <w:sz w:val="24"/>
                <w:szCs w:val="24"/>
                <w:lang w:val="en-US" w:eastAsia="zh-CN" w:bidi="ar-SA"/>
              </w:rPr>
              <w:t>提供近三个月</w:t>
            </w:r>
            <w:r>
              <w:rPr>
                <w:rFonts w:hint="eastAsia" w:cs="仿宋"/>
                <w:color w:val="auto"/>
                <w:kern w:val="2"/>
                <w:sz w:val="24"/>
                <w:szCs w:val="24"/>
                <w:lang w:val="en-US" w:eastAsia="zh-CN" w:bidi="ar-SA"/>
              </w:rPr>
              <w:t>（2024年11月-2025年01月）</w:t>
            </w:r>
            <w:r>
              <w:rPr>
                <w:rFonts w:hint="eastAsia" w:ascii="仿宋" w:hAnsi="仿宋" w:eastAsia="仿宋" w:cs="仿宋"/>
                <w:color w:val="auto"/>
                <w:kern w:val="2"/>
                <w:sz w:val="24"/>
                <w:szCs w:val="24"/>
                <w:lang w:val="en-US" w:eastAsia="zh-CN" w:bidi="ar-SA"/>
              </w:rPr>
              <w:t>社保缴纳明细（须有法</w:t>
            </w:r>
            <w:r>
              <w:rPr>
                <w:rFonts w:hint="eastAsia" w:cs="仿宋"/>
                <w:color w:val="auto"/>
                <w:kern w:val="2"/>
                <w:sz w:val="24"/>
                <w:szCs w:val="24"/>
                <w:lang w:val="en-US" w:eastAsia="zh-CN" w:bidi="ar-SA"/>
              </w:rPr>
              <w:t>定代表</w:t>
            </w:r>
            <w:r>
              <w:rPr>
                <w:rFonts w:hint="eastAsia" w:ascii="仿宋" w:hAnsi="仿宋" w:eastAsia="仿宋" w:cs="仿宋"/>
                <w:color w:val="auto"/>
                <w:kern w:val="2"/>
                <w:sz w:val="24"/>
                <w:szCs w:val="24"/>
                <w:lang w:val="en-US" w:eastAsia="zh-CN" w:bidi="ar-SA"/>
              </w:rPr>
              <w:t>人或授权委托人</w:t>
            </w:r>
            <w:r>
              <w:rPr>
                <w:rFonts w:hint="eastAsia" w:cs="仿宋"/>
                <w:color w:val="auto"/>
                <w:kern w:val="2"/>
                <w:sz w:val="24"/>
                <w:szCs w:val="24"/>
                <w:lang w:val="en-US" w:eastAsia="zh-CN" w:bidi="ar-SA"/>
              </w:rPr>
              <w:t>明细</w:t>
            </w:r>
            <w:r>
              <w:rPr>
                <w:rFonts w:hint="eastAsia" w:ascii="仿宋" w:hAnsi="仿宋" w:eastAsia="仿宋" w:cs="仿宋"/>
                <w:color w:val="auto"/>
                <w:kern w:val="2"/>
                <w:sz w:val="24"/>
                <w:szCs w:val="24"/>
                <w:lang w:val="en-US" w:eastAsia="zh-CN" w:bidi="ar-SA"/>
              </w:rPr>
              <w:t>）</w:t>
            </w:r>
          </w:p>
        </w:tc>
      </w:tr>
      <w:tr w14:paraId="2887E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318AB0BA">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0E5AA70A">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top"/>
          </w:tcPr>
          <w:p w14:paraId="14D26BA2">
            <w:pPr>
              <w:pStyle w:val="46"/>
              <w:spacing w:before="178" w:line="326" w:lineRule="auto"/>
              <w:ind w:left="121" w:leftChars="0" w:right="106" w:rightChars="0"/>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提供202</w:t>
            </w:r>
            <w:r>
              <w:rPr>
                <w:rFonts w:hint="eastAsia" w:cs="仿宋"/>
                <w:color w:val="auto"/>
                <w:kern w:val="2"/>
                <w:sz w:val="24"/>
                <w:szCs w:val="24"/>
                <w:lang w:val="en-US" w:eastAsia="zh-CN" w:bidi="ar-SA"/>
              </w:rPr>
              <w:t>4</w:t>
            </w:r>
            <w:r>
              <w:rPr>
                <w:rFonts w:hint="eastAsia" w:ascii="仿宋" w:hAnsi="仿宋" w:eastAsia="仿宋" w:cs="仿宋"/>
                <w:color w:val="auto"/>
                <w:kern w:val="2"/>
                <w:sz w:val="24"/>
                <w:szCs w:val="24"/>
                <w:lang w:val="en-US" w:eastAsia="zh-CN" w:bidi="ar-SA"/>
              </w:rPr>
              <w:t>年财务审计报告，成立不足一年的提供成立至今的财务报表</w:t>
            </w:r>
          </w:p>
        </w:tc>
      </w:tr>
      <w:tr w14:paraId="4EA3B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38A8F857">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left w:val="nil"/>
              <w:right w:val="single" w:color="auto" w:sz="4" w:space="0"/>
            </w:tcBorders>
            <w:vAlign w:val="center"/>
          </w:tcPr>
          <w:p w14:paraId="6A59437B">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top"/>
          </w:tcPr>
          <w:p w14:paraId="05F1AFB5">
            <w:pPr>
              <w:pStyle w:val="46"/>
              <w:spacing w:before="178" w:line="326" w:lineRule="auto"/>
              <w:ind w:left="121" w:leftChars="0" w:right="106" w:rightChars="0"/>
              <w:rPr>
                <w:rFonts w:hint="default" w:ascii="仿宋" w:hAnsi="仿宋" w:eastAsia="仿宋" w:cs="仿宋"/>
                <w:sz w:val="24"/>
                <w:szCs w:val="24"/>
                <w:highlight w:val="none"/>
                <w:lang w:val="en-US" w:eastAsia="zh-CN"/>
              </w:rPr>
            </w:pPr>
            <w:r>
              <w:rPr>
                <w:rFonts w:hint="eastAsia" w:ascii="仿宋" w:hAnsi="仿宋" w:eastAsia="仿宋" w:cs="仿宋"/>
                <w:color w:val="auto"/>
                <w:kern w:val="2"/>
                <w:sz w:val="24"/>
                <w:szCs w:val="24"/>
                <w:lang w:val="en-US" w:eastAsia="zh-CN" w:bidi="ar-SA"/>
              </w:rPr>
              <w:t>供应商须具有良好的信誉，未在“信用中国”网站（www.creditch</w:t>
            </w:r>
            <w:r>
              <w:rPr>
                <w:rFonts w:hint="default" w:ascii="仿宋" w:hAnsi="仿宋" w:eastAsia="仿宋" w:cs="仿宋"/>
                <w:color w:val="auto"/>
                <w:kern w:val="2"/>
                <w:sz w:val="24"/>
                <w:szCs w:val="24"/>
                <w:lang w:val="en-US" w:eastAsia="zh-CN" w:bidi="ar-SA"/>
              </w:rPr>
              <w:t>ina.gov.cn）、中国政府采购网（www.ccgp.gov.cn）被列入失信被执行人、重大税收违法案件当事人名单、政府采购违法失信名单且在处罚期内 （无须供应商提供，开标时由</w:t>
            </w:r>
            <w:r>
              <w:rPr>
                <w:rFonts w:hint="eastAsia" w:cs="仿宋"/>
                <w:color w:val="auto"/>
                <w:kern w:val="2"/>
                <w:sz w:val="24"/>
                <w:szCs w:val="24"/>
                <w:lang w:val="en-US" w:eastAsia="zh-CN" w:bidi="ar-SA"/>
              </w:rPr>
              <w:t>招标</w:t>
            </w:r>
            <w:r>
              <w:rPr>
                <w:rFonts w:hint="default" w:ascii="仿宋" w:hAnsi="仿宋" w:eastAsia="仿宋" w:cs="仿宋"/>
                <w:color w:val="auto"/>
                <w:kern w:val="2"/>
                <w:sz w:val="24"/>
                <w:szCs w:val="24"/>
                <w:lang w:val="en-US" w:eastAsia="zh-CN" w:bidi="ar-SA"/>
              </w:rPr>
              <w:t>人或</w:t>
            </w:r>
            <w:r>
              <w:rPr>
                <w:rFonts w:hint="eastAsia" w:cs="仿宋"/>
                <w:color w:val="auto"/>
                <w:kern w:val="2"/>
                <w:sz w:val="24"/>
                <w:szCs w:val="24"/>
                <w:lang w:val="en-US" w:eastAsia="zh-CN" w:bidi="ar-SA"/>
              </w:rPr>
              <w:t>招标</w:t>
            </w:r>
            <w:r>
              <w:rPr>
                <w:rFonts w:hint="default" w:ascii="仿宋" w:hAnsi="仿宋" w:eastAsia="仿宋" w:cs="仿宋"/>
                <w:color w:val="auto"/>
                <w:kern w:val="2"/>
                <w:sz w:val="24"/>
                <w:szCs w:val="24"/>
                <w:lang w:val="en-US" w:eastAsia="zh-CN" w:bidi="ar-SA"/>
              </w:rPr>
              <w:t>代理机构现场查询）</w:t>
            </w:r>
          </w:p>
        </w:tc>
      </w:tr>
      <w:tr w14:paraId="58BB1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restart"/>
            <w:tcBorders>
              <w:top w:val="single" w:color="auto" w:sz="4" w:space="0"/>
              <w:left w:val="single" w:color="auto" w:sz="4" w:space="0"/>
              <w:bottom w:val="single" w:color="auto" w:sz="4" w:space="0"/>
              <w:right w:val="single" w:color="auto" w:sz="4" w:space="0"/>
            </w:tcBorders>
            <w:vAlign w:val="center"/>
          </w:tcPr>
          <w:p w14:paraId="15B54A87">
            <w:pPr>
              <w:spacing w:beforeLines="30" w:line="312" w:lineRule="auto"/>
              <w:ind w:firstLine="480" w:firstLineChars="200"/>
              <w:jc w:val="center"/>
              <w:rPr>
                <w:rFonts w:hint="default" w:ascii="仿宋" w:hAnsi="仿宋" w:eastAsia="仿宋" w:cs="仿宋"/>
                <w:sz w:val="24"/>
                <w:szCs w:val="24"/>
                <w:highlight w:val="none"/>
                <w:lang w:val="en-US" w:eastAsia="zh-CN"/>
              </w:rPr>
            </w:pPr>
            <w:bookmarkStart w:id="128" w:name="_Toc494455919"/>
            <w:r>
              <w:rPr>
                <w:rFonts w:hint="eastAsia" w:ascii="仿宋" w:hAnsi="仿宋" w:eastAsia="仿宋" w:cs="仿宋"/>
                <w:sz w:val="24"/>
                <w:szCs w:val="24"/>
                <w:highlight w:val="none"/>
                <w:lang w:val="en-US" w:eastAsia="zh-CN"/>
              </w:rPr>
              <w:t>2.2.2</w:t>
            </w:r>
          </w:p>
        </w:tc>
        <w:tc>
          <w:tcPr>
            <w:tcW w:w="1881" w:type="dxa"/>
            <w:vMerge w:val="restart"/>
            <w:tcBorders>
              <w:top w:val="single" w:color="auto" w:sz="4" w:space="0"/>
              <w:left w:val="nil"/>
              <w:bottom w:val="single" w:color="auto" w:sz="4" w:space="0"/>
              <w:right w:val="single" w:color="auto" w:sz="4" w:space="0"/>
            </w:tcBorders>
            <w:vAlign w:val="center"/>
          </w:tcPr>
          <w:p w14:paraId="64715EC0">
            <w:pPr>
              <w:spacing w:beforeLines="30" w:line="31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14:paraId="3A4DEBF9">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投标文件格式符合招标文件要求</w:t>
            </w:r>
          </w:p>
        </w:tc>
      </w:tr>
      <w:tr w14:paraId="38B7D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48516FEE">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4EEBF222">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EF1F5C1">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投标文件的签名盖章符合招标文件要求</w:t>
            </w:r>
          </w:p>
        </w:tc>
      </w:tr>
      <w:tr w14:paraId="5E588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55BFB139">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7B45A5B6">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5C2C7FB3">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投标有效期符合招标文件要求</w:t>
            </w:r>
          </w:p>
        </w:tc>
      </w:tr>
      <w:tr w14:paraId="4B820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419ABB78">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05CB41AB">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A0E33AC">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w:t>
            </w:r>
            <w:r>
              <w:rPr>
                <w:rFonts w:hint="eastAsia" w:ascii="仿宋" w:hAnsi="仿宋" w:eastAsia="仿宋" w:cs="仿宋"/>
                <w:sz w:val="24"/>
                <w:szCs w:val="24"/>
                <w:highlight w:val="none"/>
              </w:rPr>
              <w:t>货期符合招标文件要求</w:t>
            </w:r>
          </w:p>
        </w:tc>
      </w:tr>
      <w:tr w14:paraId="43362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009C7C77">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7C596A55">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367BFE2">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货物质量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参数</w:t>
            </w:r>
            <w:r>
              <w:rPr>
                <w:rFonts w:hint="eastAsia" w:ascii="仿宋" w:hAnsi="仿宋" w:eastAsia="仿宋" w:cs="仿宋"/>
                <w:sz w:val="24"/>
                <w:szCs w:val="24"/>
                <w:highlight w:val="none"/>
              </w:rPr>
              <w:t>符合招标文件要求</w:t>
            </w:r>
          </w:p>
        </w:tc>
      </w:tr>
      <w:tr w14:paraId="2947A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0D3A3830">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55E00794">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5063E4B">
            <w:pPr>
              <w:spacing w:before="72" w:beforeLines="30" w:line="312" w:lineRule="auto"/>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商务偏离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技术偏离</w:t>
            </w:r>
            <w:r>
              <w:rPr>
                <w:rFonts w:hint="eastAsia" w:ascii="仿宋" w:hAnsi="仿宋" w:eastAsia="仿宋" w:cs="仿宋"/>
                <w:color w:val="auto"/>
                <w:sz w:val="24"/>
                <w:szCs w:val="24"/>
                <w:highlight w:val="none"/>
                <w:lang w:val="en-US" w:eastAsia="zh-CN"/>
              </w:rPr>
              <w:t>符合</w:t>
            </w:r>
            <w:r>
              <w:rPr>
                <w:rFonts w:hint="eastAsia" w:ascii="仿宋" w:hAnsi="仿宋" w:eastAsia="仿宋" w:cs="仿宋"/>
                <w:sz w:val="24"/>
                <w:szCs w:val="24"/>
                <w:highlight w:val="none"/>
              </w:rPr>
              <w:t>招标文件</w:t>
            </w:r>
            <w:r>
              <w:rPr>
                <w:rFonts w:hint="eastAsia" w:ascii="仿宋" w:hAnsi="仿宋" w:eastAsia="仿宋" w:cs="仿宋"/>
                <w:color w:val="auto"/>
                <w:sz w:val="24"/>
                <w:szCs w:val="24"/>
                <w:highlight w:val="none"/>
                <w:lang w:val="en-US" w:eastAsia="zh-CN"/>
              </w:rPr>
              <w:t>要求</w:t>
            </w:r>
          </w:p>
        </w:tc>
      </w:tr>
      <w:tr w14:paraId="4D136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7E716305">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19DD7DCE">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3E2A88A4">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按照招标文件规定报价只有一个有效报价且没有漏项</w:t>
            </w:r>
          </w:p>
        </w:tc>
      </w:tr>
      <w:tr w14:paraId="63129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79733C3D">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1AB4481B">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7B836531">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按招标文件要求编制了目录及页码</w:t>
            </w:r>
          </w:p>
        </w:tc>
      </w:tr>
      <w:tr w14:paraId="28C30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14:paraId="62128269">
            <w:pPr>
              <w:spacing w:beforeLines="30" w:line="312" w:lineRule="auto"/>
              <w:ind w:firstLine="480" w:firstLineChars="200"/>
              <w:jc w:val="center"/>
              <w:rPr>
                <w:rFonts w:ascii="仿宋" w:hAnsi="仿宋" w:eastAsia="仿宋" w:cs="仿宋"/>
                <w:sz w:val="24"/>
                <w:szCs w:val="24"/>
                <w:highlight w:val="none"/>
              </w:rPr>
            </w:pPr>
          </w:p>
        </w:tc>
        <w:tc>
          <w:tcPr>
            <w:tcW w:w="1881" w:type="dxa"/>
            <w:vMerge w:val="continue"/>
            <w:tcBorders>
              <w:top w:val="single" w:color="auto" w:sz="4" w:space="0"/>
              <w:left w:val="nil"/>
              <w:bottom w:val="single" w:color="auto" w:sz="4" w:space="0"/>
              <w:right w:val="single" w:color="auto" w:sz="4" w:space="0"/>
            </w:tcBorders>
            <w:vAlign w:val="center"/>
          </w:tcPr>
          <w:p w14:paraId="4E26CE59">
            <w:pPr>
              <w:spacing w:beforeLines="30" w:line="312" w:lineRule="auto"/>
              <w:ind w:firstLine="480" w:firstLineChars="200"/>
              <w:jc w:val="center"/>
              <w:rPr>
                <w:rFonts w:ascii="仿宋" w:hAnsi="仿宋" w:eastAsia="仿宋" w:cs="仿宋"/>
                <w:sz w:val="24"/>
                <w:szCs w:val="24"/>
                <w:highlight w:val="none"/>
              </w:rPr>
            </w:pPr>
          </w:p>
        </w:tc>
        <w:tc>
          <w:tcPr>
            <w:tcW w:w="5947" w:type="dxa"/>
            <w:tcBorders>
              <w:top w:val="single" w:color="auto" w:sz="4" w:space="0"/>
              <w:left w:val="single" w:color="auto" w:sz="4" w:space="0"/>
              <w:bottom w:val="single" w:color="auto" w:sz="4" w:space="0"/>
              <w:right w:val="single" w:color="auto" w:sz="4" w:space="0"/>
            </w:tcBorders>
            <w:vAlign w:val="center"/>
          </w:tcPr>
          <w:p w14:paraId="0CA96534">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其他不符合招标文件的实质性要求</w:t>
            </w:r>
          </w:p>
        </w:tc>
      </w:tr>
    </w:tbl>
    <w:p w14:paraId="11E84941">
      <w:pPr>
        <w:spacing w:beforeLines="30" w:line="312" w:lineRule="auto"/>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2.3商务部分</w:t>
      </w:r>
    </w:p>
    <w:tbl>
      <w:tblPr>
        <w:tblStyle w:val="24"/>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1"/>
        <w:gridCol w:w="1943"/>
        <w:gridCol w:w="5948"/>
      </w:tblGrid>
      <w:tr w14:paraId="761FF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BFFD31">
            <w:pPr>
              <w:spacing w:beforeLines="30"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59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17DF9">
            <w:pPr>
              <w:spacing w:beforeLines="30" w:line="312"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评审标准</w:t>
            </w:r>
          </w:p>
        </w:tc>
      </w:tr>
      <w:tr w14:paraId="4B911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94AD8">
            <w:pPr>
              <w:spacing w:beforeLines="30" w:line="312" w:lineRule="auto"/>
              <w:jc w:val="center"/>
              <w:rPr>
                <w:rFonts w:hint="eastAsia" w:ascii="仿宋" w:hAnsi="仿宋" w:eastAsia="仿宋" w:cs="仿宋"/>
                <w:sz w:val="24"/>
                <w:szCs w:val="24"/>
                <w:highlight w:val="none"/>
              </w:rPr>
            </w:pPr>
            <w:r>
              <w:rPr>
                <w:rFonts w:hint="eastAsia" w:ascii="仿宋" w:hAnsi="仿宋" w:eastAsia="仿宋" w:cs="仿宋"/>
                <w:sz w:val="24"/>
                <w:szCs w:val="24"/>
              </w:rPr>
              <w:t>2.3.1</w:t>
            </w:r>
          </w:p>
        </w:tc>
        <w:tc>
          <w:tcPr>
            <w:tcW w:w="1943" w:type="dxa"/>
            <w:tcBorders>
              <w:top w:val="single" w:color="auto" w:sz="4" w:space="0"/>
              <w:left w:val="nil"/>
              <w:bottom w:val="single" w:color="auto" w:sz="4" w:space="0"/>
              <w:right w:val="single" w:color="auto" w:sz="4" w:space="0"/>
              <w:tl2br w:val="nil"/>
              <w:tr2bl w:val="nil"/>
            </w:tcBorders>
            <w:noWrap w:val="0"/>
            <w:vAlign w:val="center"/>
          </w:tcPr>
          <w:p w14:paraId="30535BD1">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rPr>
              <w:t>报价得分（</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5948" w:type="dxa"/>
            <w:tcBorders>
              <w:top w:val="single" w:color="auto" w:sz="4" w:space="0"/>
              <w:left w:val="nil"/>
              <w:bottom w:val="single" w:color="auto" w:sz="4" w:space="0"/>
              <w:right w:val="single" w:color="auto" w:sz="4" w:space="0"/>
              <w:tl2br w:val="nil"/>
              <w:tr2bl w:val="nil"/>
            </w:tcBorders>
            <w:noWrap w:val="0"/>
            <w:vAlign w:val="center"/>
          </w:tcPr>
          <w:p w14:paraId="63ACDFF1">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14:paraId="3B5D8449">
            <w:pPr>
              <w:spacing w:line="400" w:lineRule="exact"/>
              <w:rPr>
                <w:rFonts w:hint="eastAsia"/>
              </w:rPr>
            </w:pPr>
            <w:r>
              <w:rPr>
                <w:rFonts w:hint="eastAsia" w:ascii="仿宋" w:hAnsi="仿宋" w:eastAsia="仿宋" w:cs="仿宋"/>
                <w:b/>
                <w:bCs/>
                <w:sz w:val="24"/>
                <w:szCs w:val="24"/>
                <w:highlight w:val="none"/>
                <w:lang w:val="zh-CN" w:eastAsia="zh-CN"/>
              </w:rPr>
              <w:t>本项目不属于专门面向中小企业采购的项目。对于中小微企业、监狱企业、残疾人福利性单位等参与本项目的在项目评审时对符合的小微企业、监狱企业、残疾人福利性单位报价给予10%的扣除，用扣除后的价格参与评审。</w:t>
            </w:r>
          </w:p>
          <w:p w14:paraId="182AD33F">
            <w:pPr>
              <w:keepNext w:val="0"/>
              <w:keepLines w:val="0"/>
              <w:widowControl/>
              <w:suppressLineNumbers w:val="0"/>
              <w:jc w:val="left"/>
            </w:pPr>
            <w:r>
              <w:rPr>
                <w:rFonts w:hint="eastAsia" w:ascii="仿宋" w:hAnsi="仿宋" w:eastAsia="仿宋" w:cs="仿宋"/>
                <w:sz w:val="24"/>
                <w:szCs w:val="24"/>
                <w:lang w:val="en-US" w:eastAsia="zh-CN"/>
              </w:rPr>
              <w:t>1、</w:t>
            </w:r>
            <w:r>
              <w:rPr>
                <w:rFonts w:ascii="仿宋" w:hAnsi="仿宋" w:eastAsia="仿宋" w:cs="仿宋"/>
                <w:color w:val="000000"/>
                <w:kern w:val="0"/>
                <w:sz w:val="24"/>
                <w:szCs w:val="24"/>
                <w:lang w:val="en-US" w:eastAsia="zh-CN" w:bidi="ar"/>
              </w:rPr>
              <w:t>在价格评审中，若评标委员会认为投标人的报价明显低</w:t>
            </w:r>
            <w:r>
              <w:rPr>
                <w:rFonts w:hint="eastAsia" w:ascii="仿宋" w:hAnsi="仿宋" w:eastAsia="仿宋" w:cs="仿宋"/>
                <w:color w:val="000000"/>
                <w:kern w:val="0"/>
                <w:sz w:val="24"/>
                <w:szCs w:val="24"/>
                <w:lang w:val="en-US" w:eastAsia="zh-CN" w:bidi="ar"/>
              </w:rPr>
              <w:t xml:space="preserve">于其他通过符合性审查投标人的报价，有可能影响产品质量 或者不能诚信履约的，应当要求其在评标现场合理的时间内提供书面说明，必要时提交相关证明材料；投标人不能证明其报价合理性的，评标委员会应当将其作为无效投标处理。 </w:t>
            </w:r>
          </w:p>
          <w:p w14:paraId="2743DD88">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2、最低报价不作为评标的唯一依据。采购人不承诺将合同授予报价最低的投标人。 </w:t>
            </w:r>
          </w:p>
          <w:p w14:paraId="0525787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3、经评标委员会评议，认为投标报价过高、超出采购人预算的项目，可以不确立中标人，做为废标处理。</w:t>
            </w:r>
          </w:p>
          <w:p w14:paraId="00ED4352">
            <w:pPr>
              <w:bidi w:val="0"/>
              <w:rPr>
                <w:rFonts w:hint="eastAsia" w:ascii="仿宋" w:hAnsi="仿宋" w:eastAsia="仿宋" w:cs="仿宋"/>
                <w:sz w:val="24"/>
                <w:szCs w:val="24"/>
                <w:highlight w:val="none"/>
              </w:rPr>
            </w:pPr>
            <w:r>
              <w:rPr>
                <w:rFonts w:hint="eastAsia" w:ascii="仿宋" w:hAnsi="仿宋" w:eastAsia="仿宋" w:cs="仿宋"/>
                <w:sz w:val="24"/>
                <w:szCs w:val="24"/>
                <w:lang w:val="en-US" w:eastAsia="zh-CN"/>
              </w:rPr>
              <w:t>注：潜在供应商应充分考虑以低于成本价报价竞争的，其报价为无效报价的情形。</w:t>
            </w:r>
          </w:p>
        </w:tc>
      </w:tr>
    </w:tbl>
    <w:p w14:paraId="09AC516D">
      <w:pPr>
        <w:spacing w:afterAutospacing="0" w:line="240" w:lineRule="auto"/>
        <w:ind w:firstLine="0" w:firstLineChars="0"/>
        <w:rPr>
          <w:rFonts w:hint="eastAsia" w:ascii="楷体" w:hAnsi="楷体" w:eastAsia="楷体"/>
          <w:sz w:val="24"/>
          <w:szCs w:val="24"/>
          <w:highlight w:val="none"/>
        </w:rPr>
      </w:pPr>
    </w:p>
    <w:p w14:paraId="2083654F">
      <w:pPr>
        <w:spacing w:line="240" w:lineRule="auto"/>
        <w:rPr>
          <w:rFonts w:hint="eastAsia" w:ascii="楷体" w:hAnsi="楷体" w:eastAsia="楷体"/>
          <w:sz w:val="24"/>
          <w:szCs w:val="24"/>
          <w:highlight w:val="none"/>
        </w:rPr>
      </w:pPr>
      <w:r>
        <w:rPr>
          <w:rFonts w:hint="eastAsia" w:ascii="楷体" w:hAnsi="楷体" w:eastAsia="楷体"/>
          <w:sz w:val="24"/>
          <w:szCs w:val="24"/>
          <w:highlight w:val="none"/>
        </w:rPr>
        <w:t>2.4技术部分</w:t>
      </w:r>
    </w:p>
    <w:tbl>
      <w:tblPr>
        <w:tblStyle w:val="24"/>
        <w:tblpPr w:leftFromText="180" w:rightFromText="180" w:vertAnchor="text" w:horzAnchor="page" w:tblpX="1441" w:tblpY="556"/>
        <w:tblOverlap w:val="never"/>
        <w:tblW w:w="91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1"/>
        <w:gridCol w:w="1950"/>
        <w:gridCol w:w="5924"/>
      </w:tblGrid>
      <w:tr w14:paraId="66970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DA91A37">
            <w:pPr>
              <w:spacing w:beforeAutospacing="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24" w:type="dxa"/>
            <w:tcBorders>
              <w:top w:val="single" w:color="auto" w:sz="4" w:space="0"/>
              <w:left w:val="single" w:color="auto" w:sz="4" w:space="0"/>
              <w:bottom w:val="single" w:color="auto" w:sz="4" w:space="0"/>
              <w:right w:val="single" w:color="auto" w:sz="4" w:space="0"/>
            </w:tcBorders>
            <w:vAlign w:val="center"/>
          </w:tcPr>
          <w:p w14:paraId="2C1BBCA1">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756BD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311" w:type="dxa"/>
            <w:tcBorders>
              <w:top w:val="single" w:color="auto" w:sz="4" w:space="0"/>
              <w:left w:val="single" w:color="auto" w:sz="4" w:space="0"/>
              <w:right w:val="single" w:color="auto" w:sz="4" w:space="0"/>
            </w:tcBorders>
            <w:vAlign w:val="center"/>
          </w:tcPr>
          <w:p w14:paraId="7CC9E752">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2.4.1</w:t>
            </w:r>
          </w:p>
        </w:tc>
        <w:tc>
          <w:tcPr>
            <w:tcW w:w="1950" w:type="dxa"/>
            <w:tcBorders>
              <w:top w:val="single" w:color="auto" w:sz="4" w:space="0"/>
              <w:left w:val="nil"/>
              <w:right w:val="single" w:color="auto" w:sz="4" w:space="0"/>
            </w:tcBorders>
            <w:vAlign w:val="center"/>
          </w:tcPr>
          <w:p w14:paraId="776A58AF">
            <w:pPr>
              <w:spacing w:beforeLines="30" w:line="312" w:lineRule="auto"/>
              <w:rPr>
                <w:rFonts w:hint="eastAsia" w:ascii="仿宋" w:hAnsi="仿宋" w:eastAsia="仿宋" w:cs="仿宋"/>
                <w:sz w:val="24"/>
                <w:szCs w:val="24"/>
              </w:rPr>
            </w:pPr>
            <w:r>
              <w:rPr>
                <w:rFonts w:hint="eastAsia" w:ascii="仿宋" w:hAnsi="仿宋" w:eastAsia="仿宋" w:cs="仿宋"/>
                <w:sz w:val="24"/>
                <w:szCs w:val="24"/>
                <w:lang w:val="en-US" w:eastAsia="zh-CN"/>
              </w:rPr>
              <w:t>供货方案</w:t>
            </w:r>
            <w:r>
              <w:rPr>
                <w:rFonts w:hint="eastAsia" w:ascii="仿宋" w:hAnsi="仿宋" w:eastAsia="仿宋" w:cs="仿宋"/>
                <w:sz w:val="24"/>
                <w:szCs w:val="24"/>
              </w:rPr>
              <w:t>（</w:t>
            </w: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vAlign w:val="center"/>
          </w:tcPr>
          <w:p w14:paraId="61812841">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提供完整可行的供货实施方案①运输方案，②安全管理制度，③质量保证措施，④产品包装措施，⑤安装调试方案，⑥供货时间节点，⑦服务质量措施， ⑧配送安全保障措施等，针对以上 8 项内容进行评审，逐项打分，每项3分，共24 分：每缺一项的扣 3分，每有一项内容有缺陷或不符合项目需求的扣1.5分，直至扣完为止，未提供不得分；</w:t>
            </w:r>
          </w:p>
          <w:p w14:paraId="028F5005">
            <w:pPr>
              <w:spacing w:beforeLines="30" w:line="312" w:lineRule="auto"/>
              <w:rPr>
                <w:rFonts w:hint="eastAsia" w:ascii="仿宋" w:hAnsi="仿宋" w:eastAsia="仿宋" w:cs="仿宋"/>
                <w:sz w:val="24"/>
                <w:szCs w:val="24"/>
              </w:rPr>
            </w:pPr>
            <w:r>
              <w:rPr>
                <w:rFonts w:hint="eastAsia" w:ascii="仿宋" w:hAnsi="仿宋" w:eastAsia="仿宋" w:cs="仿宋"/>
                <w:sz w:val="24"/>
                <w:szCs w:val="24"/>
                <w:lang w:val="en-US" w:eastAsia="zh-CN"/>
              </w:rPr>
              <w:t>【内容存在缺陷或不足是指：内容与实际情况不符、内容与项目无关、内容表述错误、内容前后表述矛盾、内容凭空造、逻辑漏洞、科学原理错误以及不可能实现的夸大情形、内容与项目不匹配、项目信息错误（包括时间、地点、名称等）、不符合本项目涉及的相关规范或标准要求等情形。】</w:t>
            </w:r>
          </w:p>
        </w:tc>
      </w:tr>
      <w:tr w14:paraId="7D2F4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11" w:type="dxa"/>
            <w:tcBorders>
              <w:top w:val="single" w:color="auto" w:sz="4" w:space="0"/>
              <w:left w:val="single" w:color="auto" w:sz="4" w:space="0"/>
              <w:right w:val="single" w:color="auto" w:sz="4" w:space="0"/>
            </w:tcBorders>
            <w:vAlign w:val="center"/>
          </w:tcPr>
          <w:p w14:paraId="08BDC773">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2</w:t>
            </w:r>
          </w:p>
        </w:tc>
        <w:tc>
          <w:tcPr>
            <w:tcW w:w="1950" w:type="dxa"/>
            <w:tcBorders>
              <w:top w:val="single" w:color="auto" w:sz="4" w:space="0"/>
              <w:left w:val="nil"/>
              <w:right w:val="single" w:color="auto" w:sz="4" w:space="0"/>
            </w:tcBorders>
            <w:vAlign w:val="center"/>
          </w:tcPr>
          <w:p w14:paraId="3A2F08E8">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货物参数（23.6分）</w:t>
            </w:r>
          </w:p>
        </w:tc>
        <w:tc>
          <w:tcPr>
            <w:tcW w:w="5924" w:type="dxa"/>
            <w:tcBorders>
              <w:top w:val="single" w:color="auto" w:sz="4" w:space="0"/>
              <w:left w:val="single" w:color="auto" w:sz="4" w:space="0"/>
              <w:bottom w:val="single" w:color="auto" w:sz="4" w:space="0"/>
              <w:right w:val="single" w:color="auto" w:sz="4" w:space="0"/>
            </w:tcBorders>
            <w:vAlign w:val="center"/>
          </w:tcPr>
          <w:p w14:paraId="295961ED">
            <w:pPr>
              <w:spacing w:beforeLines="30" w:line="312" w:lineRule="auto"/>
              <w:rPr>
                <w:rFonts w:hint="eastAsia" w:ascii="仿宋" w:hAnsi="仿宋" w:eastAsia="仿宋" w:cs="仿宋"/>
                <w:sz w:val="24"/>
                <w:szCs w:val="24"/>
                <w:highlight w:val="none"/>
                <w:lang w:val="en-US" w:eastAsia="zh-CN"/>
              </w:rPr>
            </w:pPr>
            <w:bookmarkStart w:id="167" w:name="_GoBack"/>
            <w:r>
              <w:rPr>
                <w:rFonts w:hint="eastAsia" w:ascii="仿宋" w:hAnsi="仿宋" w:eastAsia="仿宋" w:cs="仿宋"/>
                <w:sz w:val="24"/>
                <w:szCs w:val="24"/>
                <w:highlight w:val="none"/>
                <w:lang w:val="en-US" w:eastAsia="zh-CN"/>
              </w:rPr>
              <w:t>若标注“★”的规格参数每有一个正偏离的加1分，最高加13分；</w:t>
            </w:r>
          </w:p>
          <w:p w14:paraId="04070BE4">
            <w:pPr>
              <w:spacing w:beforeLines="30"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投标人对招标文件中货物无标识的非关键参数无偏离得10.6分;</w:t>
            </w:r>
          </w:p>
          <w:p w14:paraId="4BB0A5EC">
            <w:pPr>
              <w:spacing w:beforeLines="30"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无标识的非关键参数每一项负偏离的扣0.2分，直至扣完。</w:t>
            </w:r>
          </w:p>
          <w:p w14:paraId="33E7FCE4">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（需提供产品说明书、产品白皮书、检验报告等相关的支持资料或证明文件）</w:t>
            </w:r>
            <w:bookmarkEnd w:id="167"/>
          </w:p>
        </w:tc>
      </w:tr>
      <w:tr w14:paraId="71309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311" w:type="dxa"/>
            <w:tcBorders>
              <w:top w:val="single" w:color="auto" w:sz="4" w:space="0"/>
              <w:left w:val="single" w:color="auto" w:sz="4" w:space="0"/>
              <w:right w:val="single" w:color="auto" w:sz="4" w:space="0"/>
            </w:tcBorders>
            <w:vAlign w:val="center"/>
          </w:tcPr>
          <w:p w14:paraId="375EFB3A">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3</w:t>
            </w:r>
          </w:p>
        </w:tc>
        <w:tc>
          <w:tcPr>
            <w:tcW w:w="1950" w:type="dxa"/>
            <w:tcBorders>
              <w:top w:val="single" w:color="auto" w:sz="4" w:space="0"/>
              <w:left w:val="single" w:color="auto" w:sz="4" w:space="0"/>
              <w:right w:val="single" w:color="auto" w:sz="4" w:space="0"/>
            </w:tcBorders>
            <w:vAlign w:val="center"/>
          </w:tcPr>
          <w:p w14:paraId="3B23D48D">
            <w:pPr>
              <w:spacing w:beforeLines="30" w:line="312" w:lineRule="auto"/>
              <w:rPr>
                <w:rFonts w:ascii="仿宋" w:hAnsi="仿宋" w:eastAsia="仿宋" w:cs="仿宋"/>
                <w:sz w:val="24"/>
                <w:szCs w:val="24"/>
              </w:rPr>
            </w:pPr>
            <w:r>
              <w:rPr>
                <w:rFonts w:hint="eastAsia" w:ascii="仿宋" w:hAnsi="仿宋" w:eastAsia="仿宋" w:cs="仿宋"/>
                <w:sz w:val="24"/>
                <w:szCs w:val="24"/>
              </w:rPr>
              <w:t>人员配置（</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924" w:type="dxa"/>
            <w:tcBorders>
              <w:top w:val="single" w:color="auto" w:sz="4" w:space="0"/>
              <w:left w:val="single" w:color="auto" w:sz="4" w:space="0"/>
              <w:bottom w:val="single" w:color="auto" w:sz="4" w:space="0"/>
              <w:right w:val="single" w:color="auto" w:sz="4" w:space="0"/>
            </w:tcBorders>
            <w:vAlign w:val="center"/>
          </w:tcPr>
          <w:p w14:paraId="21860096">
            <w:pPr>
              <w:spacing w:beforeLines="30" w:line="312" w:lineRule="auto"/>
              <w:rPr>
                <w:rFonts w:ascii="仿宋" w:hAnsi="仿宋" w:eastAsia="仿宋" w:cs="仿宋"/>
                <w:sz w:val="24"/>
                <w:szCs w:val="24"/>
              </w:rPr>
            </w:pPr>
            <w:r>
              <w:rPr>
                <w:rFonts w:hint="eastAsia" w:ascii="仿宋" w:hAnsi="仿宋" w:eastAsia="仿宋" w:cs="仿宋"/>
                <w:sz w:val="24"/>
                <w:szCs w:val="24"/>
              </w:rPr>
              <w:t>投标人针对本项目配置</w:t>
            </w:r>
            <w:r>
              <w:rPr>
                <w:rFonts w:hint="eastAsia" w:ascii="仿宋" w:hAnsi="仿宋" w:eastAsia="仿宋" w:cs="仿宋"/>
                <w:sz w:val="24"/>
                <w:szCs w:val="24"/>
                <w:lang w:val="en-US" w:eastAsia="zh-CN"/>
              </w:rPr>
              <w:t>相关</w:t>
            </w:r>
            <w:r>
              <w:rPr>
                <w:rFonts w:hint="eastAsia" w:ascii="仿宋" w:hAnsi="仿宋" w:eastAsia="仿宋" w:cs="仿宋"/>
                <w:sz w:val="24"/>
                <w:szCs w:val="24"/>
              </w:rPr>
              <w:t>人员，每提供1名得1分，最多得</w:t>
            </w:r>
            <w:r>
              <w:rPr>
                <w:rFonts w:hint="eastAsia" w:ascii="仿宋" w:hAnsi="仿宋" w:eastAsia="仿宋" w:cs="仿宋"/>
                <w:sz w:val="24"/>
                <w:szCs w:val="24"/>
                <w:lang w:val="en-US" w:eastAsia="zh-CN"/>
              </w:rPr>
              <w:t>4</w:t>
            </w:r>
            <w:r>
              <w:rPr>
                <w:rFonts w:hint="eastAsia" w:ascii="仿宋" w:hAnsi="仿宋" w:eastAsia="仿宋" w:cs="仿宋"/>
                <w:sz w:val="24"/>
                <w:szCs w:val="24"/>
              </w:rPr>
              <w:t>分（须提供学历证书及近三个月社会保险参保证明作为证明材料）</w:t>
            </w:r>
            <w:r>
              <w:rPr>
                <w:rFonts w:hint="eastAsia" w:ascii="仿宋" w:hAnsi="仿宋" w:eastAsia="仿宋" w:cs="仿宋"/>
                <w:sz w:val="24"/>
                <w:szCs w:val="24"/>
                <w:lang w:val="en-US" w:eastAsia="zh-CN"/>
              </w:rPr>
              <w:t>，不提供不得分</w:t>
            </w:r>
            <w:r>
              <w:rPr>
                <w:rFonts w:hint="default" w:ascii="仿宋" w:hAnsi="仿宋" w:eastAsia="仿宋" w:cs="仿宋"/>
                <w:sz w:val="24"/>
                <w:szCs w:val="24"/>
                <w:lang w:val="en-US" w:eastAsia="zh-CN"/>
              </w:rPr>
              <w:t>；</w:t>
            </w:r>
          </w:p>
        </w:tc>
      </w:tr>
      <w:tr w14:paraId="04D70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11" w:type="dxa"/>
            <w:tcBorders>
              <w:top w:val="single" w:color="auto" w:sz="4" w:space="0"/>
              <w:left w:val="single" w:color="auto" w:sz="4" w:space="0"/>
              <w:bottom w:val="single" w:color="auto" w:sz="4" w:space="0"/>
              <w:right w:val="single" w:color="auto" w:sz="4" w:space="0"/>
            </w:tcBorders>
            <w:vAlign w:val="center"/>
          </w:tcPr>
          <w:p w14:paraId="2D8C4334">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4</w:t>
            </w:r>
          </w:p>
        </w:tc>
        <w:tc>
          <w:tcPr>
            <w:tcW w:w="1950" w:type="dxa"/>
            <w:tcBorders>
              <w:top w:val="single" w:color="auto" w:sz="4" w:space="0"/>
              <w:left w:val="single" w:color="auto" w:sz="4" w:space="0"/>
              <w:bottom w:val="single" w:color="auto" w:sz="4" w:space="0"/>
              <w:right w:val="single" w:color="auto" w:sz="4" w:space="0"/>
            </w:tcBorders>
            <w:vAlign w:val="center"/>
          </w:tcPr>
          <w:p w14:paraId="4C7C7AD4">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质保期（2分）</w:t>
            </w:r>
          </w:p>
        </w:tc>
        <w:tc>
          <w:tcPr>
            <w:tcW w:w="5924" w:type="dxa"/>
            <w:tcBorders>
              <w:top w:val="single" w:color="auto" w:sz="4" w:space="0"/>
              <w:left w:val="single" w:color="auto" w:sz="4" w:space="0"/>
              <w:bottom w:val="single" w:color="auto" w:sz="4" w:space="0"/>
              <w:right w:val="single" w:color="auto" w:sz="4" w:space="0"/>
            </w:tcBorders>
            <w:vAlign w:val="center"/>
          </w:tcPr>
          <w:p w14:paraId="5FE70E99">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在满足招标文件质保期要求的基础上，质保期增加一年的得2分，最多得2分。</w:t>
            </w:r>
          </w:p>
        </w:tc>
      </w:tr>
      <w:tr w14:paraId="38001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311" w:type="dxa"/>
            <w:tcBorders>
              <w:top w:val="single" w:color="auto" w:sz="4" w:space="0"/>
              <w:left w:val="single" w:color="auto" w:sz="4" w:space="0"/>
              <w:bottom w:val="single" w:color="auto" w:sz="4" w:space="0"/>
              <w:right w:val="single" w:color="auto" w:sz="4" w:space="0"/>
            </w:tcBorders>
            <w:vAlign w:val="center"/>
          </w:tcPr>
          <w:p w14:paraId="0E9153A3">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2.4.5</w:t>
            </w:r>
          </w:p>
        </w:tc>
        <w:tc>
          <w:tcPr>
            <w:tcW w:w="1950" w:type="dxa"/>
            <w:tcBorders>
              <w:top w:val="single" w:color="auto" w:sz="4" w:space="0"/>
              <w:left w:val="single" w:color="auto" w:sz="4" w:space="0"/>
              <w:bottom w:val="single" w:color="auto" w:sz="4" w:space="0"/>
              <w:right w:val="single" w:color="auto" w:sz="4" w:space="0"/>
            </w:tcBorders>
            <w:vAlign w:val="center"/>
          </w:tcPr>
          <w:p w14:paraId="7DA93432">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售后服务保障（5分）</w:t>
            </w:r>
          </w:p>
        </w:tc>
        <w:tc>
          <w:tcPr>
            <w:tcW w:w="5924" w:type="dxa"/>
            <w:tcBorders>
              <w:top w:val="single" w:color="auto" w:sz="4" w:space="0"/>
              <w:left w:val="single" w:color="auto" w:sz="4" w:space="0"/>
              <w:bottom w:val="single" w:color="auto" w:sz="4" w:space="0"/>
              <w:right w:val="single" w:color="auto" w:sz="4" w:space="0"/>
            </w:tcBorders>
            <w:vAlign w:val="center"/>
          </w:tcPr>
          <w:p w14:paraId="08D26309">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针对本项目制定的详细售后服务方案：</w:t>
            </w:r>
          </w:p>
          <w:p w14:paraId="067D7B03">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①售后服务承诺和保障措施；②项目机构设置；③售后人员安排、响应时间；④售后服务体系；⑤</w:t>
            </w:r>
            <w:r>
              <w:rPr>
                <w:rFonts w:hint="eastAsia" w:ascii="仿宋" w:hAnsi="仿宋" w:eastAsia="仿宋" w:cs="仿宋"/>
                <w:sz w:val="24"/>
                <w:szCs w:val="24"/>
              </w:rPr>
              <w:t>设立专门的用户服务机构及热线，对产品实行维护服务的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针对以上 5项内容进行评审，描述详细明确完全符合项目需求的得5分，每缺一项的扣1分，每有一项内容有缺陷或不符合项目需求的扣0.5分，直至扣完为止，未提供不得分；</w:t>
            </w:r>
          </w:p>
          <w:p w14:paraId="161DF075">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存在缺陷或不足是指：内容与实际情况不符、内容与项目无关、内容表述错误、内容前后表述矛盾、内容凭空造、逻辑漏洞、科学原理错误以及不可能实现的夸大情形、内容与项目不匹配、项目信息错误（包括时间、地点、名称等）、不符合本项目涉及的相关规范或标准要求等情形。】</w:t>
            </w:r>
          </w:p>
        </w:tc>
      </w:tr>
      <w:tr w14:paraId="6FD2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311" w:type="dxa"/>
            <w:tcBorders>
              <w:top w:val="single" w:color="auto" w:sz="4" w:space="0"/>
              <w:left w:val="single" w:color="auto" w:sz="4" w:space="0"/>
              <w:bottom w:val="single" w:color="auto" w:sz="4" w:space="0"/>
              <w:right w:val="single" w:color="auto" w:sz="4" w:space="0"/>
            </w:tcBorders>
            <w:vAlign w:val="center"/>
          </w:tcPr>
          <w:p w14:paraId="0A6E9E22">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2.4.6</w:t>
            </w:r>
          </w:p>
        </w:tc>
        <w:tc>
          <w:tcPr>
            <w:tcW w:w="1950" w:type="dxa"/>
            <w:tcBorders>
              <w:top w:val="single" w:color="auto" w:sz="4" w:space="0"/>
              <w:left w:val="single" w:color="auto" w:sz="4" w:space="0"/>
              <w:bottom w:val="single" w:color="auto" w:sz="4" w:space="0"/>
              <w:right w:val="single" w:color="auto" w:sz="4" w:space="0"/>
            </w:tcBorders>
            <w:vAlign w:val="center"/>
          </w:tcPr>
          <w:p w14:paraId="7C4C3ED8">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安装验收方案（5分）</w:t>
            </w:r>
          </w:p>
        </w:tc>
        <w:tc>
          <w:tcPr>
            <w:tcW w:w="5924" w:type="dxa"/>
            <w:tcBorders>
              <w:top w:val="single" w:color="auto" w:sz="4" w:space="0"/>
              <w:left w:val="single" w:color="auto" w:sz="4" w:space="0"/>
              <w:bottom w:val="single" w:color="auto" w:sz="4" w:space="0"/>
              <w:right w:val="single" w:color="auto" w:sz="4" w:space="0"/>
            </w:tcBorders>
            <w:vAlign w:val="center"/>
          </w:tcPr>
          <w:p w14:paraId="592E0CB6">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针对本项目制定安装验收方案：</w:t>
            </w:r>
          </w:p>
          <w:p w14:paraId="2EB089A1">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①配送车辆安排；②货物到指定地点的时间；③能承诺按用户要求配送到指定地点；④安装人员安排；⑤安装实施方案。针对以上5 项内容进行评审，逐项打分，每项1分，共5分：每缺一项的扣 1分，每有一项内容有缺陷或不符合项目需求的扣0.5分，直至扣完为止，未提供不得分。</w:t>
            </w:r>
          </w:p>
          <w:p w14:paraId="53FEEA61">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存在缺陷或不足是指：内容与实际情况不符、内容与项目无关、内容表述错误、内容前后表述矛盾、内容凭空造、逻辑漏洞、科学原理错误以及不可能实现的夸大情形、内容与项目不匹配、项目信息错误（包括时间、地点、名称等）、不符合本项目涉及的相关规范或标准要求等情形。】</w:t>
            </w:r>
          </w:p>
        </w:tc>
      </w:tr>
      <w:tr w14:paraId="0E9C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311" w:type="dxa"/>
            <w:tcBorders>
              <w:top w:val="single" w:color="auto" w:sz="4" w:space="0"/>
              <w:left w:val="single" w:color="auto" w:sz="4" w:space="0"/>
              <w:bottom w:val="single" w:color="auto" w:sz="4" w:space="0"/>
              <w:right w:val="single" w:color="auto" w:sz="4" w:space="0"/>
            </w:tcBorders>
            <w:vAlign w:val="center"/>
          </w:tcPr>
          <w:p w14:paraId="2142868C">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2.4.7</w:t>
            </w:r>
          </w:p>
        </w:tc>
        <w:tc>
          <w:tcPr>
            <w:tcW w:w="1950" w:type="dxa"/>
            <w:tcBorders>
              <w:top w:val="single" w:color="auto" w:sz="4" w:space="0"/>
              <w:left w:val="single" w:color="auto" w:sz="4" w:space="0"/>
              <w:bottom w:val="single" w:color="auto" w:sz="4" w:space="0"/>
              <w:right w:val="single" w:color="auto" w:sz="4" w:space="0"/>
            </w:tcBorders>
            <w:vAlign w:val="center"/>
          </w:tcPr>
          <w:p w14:paraId="5F155282">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产品配件服务供应方案（1.4分）</w:t>
            </w:r>
          </w:p>
        </w:tc>
        <w:tc>
          <w:tcPr>
            <w:tcW w:w="5924" w:type="dxa"/>
            <w:tcBorders>
              <w:top w:val="single" w:color="auto" w:sz="4" w:space="0"/>
              <w:left w:val="single" w:color="auto" w:sz="4" w:space="0"/>
              <w:bottom w:val="single" w:color="auto" w:sz="4" w:space="0"/>
              <w:right w:val="single" w:color="auto" w:sz="4" w:space="0"/>
            </w:tcBorders>
            <w:vAlign w:val="center"/>
          </w:tcPr>
          <w:p w14:paraId="0CCB5EAE">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1.针对各投标人提供产品配件的库存充裕且种类齐全，能够及时满足使用单位产品配件更换需求，并提供相关服务及承诺的得1分；未提供服务承诺得 0 分。 </w:t>
            </w:r>
          </w:p>
          <w:p w14:paraId="12634E51">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2.承诺在质保期内免费更换并安装配件得0.4分，没有配件或不免费更换并安装的不得分。</w:t>
            </w:r>
          </w:p>
        </w:tc>
      </w:tr>
      <w:tr w14:paraId="3102C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311" w:type="dxa"/>
            <w:tcBorders>
              <w:top w:val="single" w:color="auto" w:sz="4" w:space="0"/>
              <w:left w:val="single" w:color="auto" w:sz="4" w:space="0"/>
              <w:bottom w:val="single" w:color="auto" w:sz="4" w:space="0"/>
              <w:right w:val="single" w:color="auto" w:sz="4" w:space="0"/>
            </w:tcBorders>
            <w:vAlign w:val="center"/>
          </w:tcPr>
          <w:p w14:paraId="68D4C7B5">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2.4.8</w:t>
            </w:r>
          </w:p>
        </w:tc>
        <w:tc>
          <w:tcPr>
            <w:tcW w:w="1950" w:type="dxa"/>
            <w:tcBorders>
              <w:top w:val="single" w:color="auto" w:sz="4" w:space="0"/>
              <w:left w:val="single" w:color="auto" w:sz="4" w:space="0"/>
              <w:bottom w:val="single" w:color="auto" w:sz="4" w:space="0"/>
              <w:right w:val="single" w:color="auto" w:sz="4" w:space="0"/>
            </w:tcBorders>
            <w:vAlign w:val="center"/>
          </w:tcPr>
          <w:p w14:paraId="3EF9A41D">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培训方案（5分）</w:t>
            </w:r>
          </w:p>
        </w:tc>
        <w:tc>
          <w:tcPr>
            <w:tcW w:w="5924" w:type="dxa"/>
            <w:tcBorders>
              <w:top w:val="single" w:color="auto" w:sz="4" w:space="0"/>
              <w:left w:val="single" w:color="auto" w:sz="4" w:space="0"/>
              <w:bottom w:val="single" w:color="auto" w:sz="4" w:space="0"/>
              <w:right w:val="single" w:color="auto" w:sz="4" w:space="0"/>
            </w:tcBorders>
            <w:vAlign w:val="center"/>
          </w:tcPr>
          <w:p w14:paraId="0E75CCA0">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使用培训方案。培训方案应包括①培训目标②培训方式③培训内容④培训地点时间安排⑤派专业人员在现场指导培训等内容，内容详细全面。上述5项内容，描述详细明确完全符合项目需求的得5分，每缺一项的扣1分，每有一项内容有缺陷或不符合项目需求的扣0.5分，直至扣完为止，未提供不得分。</w:t>
            </w:r>
          </w:p>
          <w:p w14:paraId="1C7FD129">
            <w:pPr>
              <w:spacing w:beforeLines="30" w:line="312"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内容存在缺陷或不足是指：内容与实际情况不符、内容与项目无关、内容表述错误、内容前后表述矛盾、内容凭空造、逻辑漏洞、科学原理错误以及不可能实现的夸大情形、内容与项目不匹配、项目信息错误（包括时间、地点、名称等）、不符合本项目涉及的相关规范或标准要求等情形。】</w:t>
            </w:r>
          </w:p>
        </w:tc>
      </w:tr>
      <w:bookmarkEnd w:id="128"/>
    </w:tbl>
    <w:p w14:paraId="2470C43A">
      <w:pPr>
        <w:spacing w:beforeLines="100" w:afterLines="50" w:line="400" w:lineRule="exact"/>
        <w:ind w:firstLine="560" w:firstLineChars="200"/>
        <w:outlineLvl w:val="2"/>
        <w:rPr>
          <w:rFonts w:ascii="楷体" w:hAnsi="楷体" w:eastAsia="楷体"/>
          <w:sz w:val="28"/>
          <w:szCs w:val="28"/>
          <w:highlight w:val="none"/>
        </w:rPr>
      </w:pPr>
      <w:bookmarkStart w:id="129" w:name="_Toc21920"/>
      <w:bookmarkStart w:id="130" w:name="_Toc10861"/>
      <w:r>
        <w:rPr>
          <w:rFonts w:hint="eastAsia" w:ascii="楷体" w:hAnsi="楷体" w:eastAsia="楷体"/>
          <w:sz w:val="28"/>
          <w:szCs w:val="28"/>
          <w:highlight w:val="none"/>
          <w:lang w:val="en-US" w:eastAsia="zh-CN"/>
        </w:rPr>
        <w:t>3</w:t>
      </w:r>
      <w:r>
        <w:rPr>
          <w:rFonts w:hint="eastAsia" w:ascii="楷体" w:hAnsi="楷体" w:eastAsia="楷体"/>
          <w:sz w:val="28"/>
          <w:szCs w:val="28"/>
          <w:highlight w:val="none"/>
        </w:rPr>
        <w:t>.评标方法</w:t>
      </w:r>
      <w:bookmarkEnd w:id="129"/>
      <w:bookmarkEnd w:id="130"/>
    </w:p>
    <w:p w14:paraId="60085132">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7FCA9B04">
      <w:pPr>
        <w:spacing w:line="240" w:lineRule="auto"/>
        <w:ind w:firstLine="560" w:firstLineChars="200"/>
        <w:outlineLvl w:val="2"/>
        <w:rPr>
          <w:rFonts w:ascii="楷体" w:hAnsi="楷体" w:eastAsia="楷体"/>
          <w:sz w:val="28"/>
          <w:szCs w:val="28"/>
          <w:highlight w:val="none"/>
        </w:rPr>
      </w:pPr>
      <w:bookmarkStart w:id="131" w:name="_Toc8667"/>
      <w:bookmarkStart w:id="132" w:name="_Toc6704"/>
      <w:r>
        <w:rPr>
          <w:rFonts w:hint="eastAsia" w:ascii="楷体" w:hAnsi="楷体" w:eastAsia="楷体"/>
          <w:sz w:val="28"/>
          <w:szCs w:val="28"/>
          <w:highlight w:val="none"/>
          <w:lang w:val="en-US" w:eastAsia="zh-CN"/>
        </w:rPr>
        <w:t>4</w:t>
      </w:r>
      <w:r>
        <w:rPr>
          <w:rFonts w:hint="eastAsia" w:ascii="楷体" w:hAnsi="楷体" w:eastAsia="楷体"/>
          <w:sz w:val="28"/>
          <w:szCs w:val="28"/>
          <w:highlight w:val="none"/>
        </w:rPr>
        <w:t>.评审标准</w:t>
      </w:r>
      <w:bookmarkEnd w:id="131"/>
      <w:bookmarkEnd w:id="132"/>
    </w:p>
    <w:p w14:paraId="7BF96BD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.1初步评审标准</w:t>
      </w:r>
    </w:p>
    <w:p w14:paraId="3C98B361">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.1.1资格性审查：详见评标办法前附表；</w:t>
      </w:r>
    </w:p>
    <w:p w14:paraId="176009F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.1.2符合性审查：详见评标办法前附表。</w:t>
      </w:r>
    </w:p>
    <w:p w14:paraId="61DC7152">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.2分值构成与评分标准</w:t>
      </w:r>
    </w:p>
    <w:p w14:paraId="0608B56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.2.1分值构成：详见评标办法前附表。</w:t>
      </w:r>
    </w:p>
    <w:p w14:paraId="429EF4FB">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.2.2评标基准价的确定：满足招标要求且投标价格最低的投标报价为评标基准价。</w:t>
      </w:r>
    </w:p>
    <w:p w14:paraId="5644872B">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有效报价：未超过最高限价的所以投标报价均为有效报价。</w:t>
      </w:r>
    </w:p>
    <w:p w14:paraId="57BEEA9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.2.3投标报价的得分计算</w:t>
      </w:r>
    </w:p>
    <w:p w14:paraId="418526A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投标商务得分：投标报价得分=(评标基准价／投标报价)×价格权值×100</w:t>
      </w:r>
    </w:p>
    <w:p w14:paraId="41E0B2E4">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.2.4发包人有权接受或拒绝投标人在投标文件中提出偏离、保留。发包人不接受投标人在开标后提出的优惠条件。</w:t>
      </w:r>
    </w:p>
    <w:p w14:paraId="223C8EE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.2.5评分标准：详见评标附表。</w:t>
      </w:r>
    </w:p>
    <w:p w14:paraId="7841C373">
      <w:pPr>
        <w:spacing w:line="240" w:lineRule="auto"/>
        <w:ind w:firstLine="560" w:firstLineChars="200"/>
        <w:outlineLvl w:val="2"/>
        <w:rPr>
          <w:rFonts w:ascii="楷体" w:hAnsi="楷体" w:eastAsia="楷体"/>
          <w:sz w:val="28"/>
          <w:szCs w:val="28"/>
          <w:highlight w:val="none"/>
        </w:rPr>
      </w:pPr>
      <w:bookmarkStart w:id="133" w:name="_Toc32660"/>
      <w:bookmarkStart w:id="134" w:name="_Toc13474"/>
      <w:r>
        <w:rPr>
          <w:rFonts w:hint="eastAsia" w:ascii="楷体" w:hAnsi="楷体" w:eastAsia="楷体"/>
          <w:sz w:val="28"/>
          <w:szCs w:val="28"/>
          <w:highlight w:val="none"/>
          <w:lang w:val="en-US" w:eastAsia="zh-CN"/>
        </w:rPr>
        <w:t>5</w:t>
      </w:r>
      <w:r>
        <w:rPr>
          <w:rFonts w:hint="eastAsia" w:ascii="楷体" w:hAnsi="楷体" w:eastAsia="楷体"/>
          <w:sz w:val="28"/>
          <w:szCs w:val="28"/>
          <w:highlight w:val="none"/>
        </w:rPr>
        <w:t>.评标程序</w:t>
      </w:r>
      <w:bookmarkEnd w:id="133"/>
      <w:bookmarkEnd w:id="134"/>
    </w:p>
    <w:p w14:paraId="1D7C987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.1初步评审</w:t>
      </w:r>
    </w:p>
    <w:p w14:paraId="6CCBBA49">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.1.1评标委员会依据本章第2.1款规定的标准对投标文件进行初步评审。有一项不符合评审标准的，作废标处理。</w:t>
      </w:r>
    </w:p>
    <w:p w14:paraId="29C20F5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.1.2投标人有以下情形之一的，其投标作废标处理：</w:t>
      </w:r>
    </w:p>
    <w:p w14:paraId="74FE481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（1）串通投标或弄虚作假或有其他违法行为的；</w:t>
      </w:r>
    </w:p>
    <w:p w14:paraId="5E108E33">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（2）不按评标委员会要求澄清、说明或补正的。</w:t>
      </w:r>
    </w:p>
    <w:p w14:paraId="691032C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（3）投标函中投标报价与采购清单汇总价不一致时投标文件作废标处理。</w:t>
      </w:r>
    </w:p>
    <w:p w14:paraId="5931BB2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（4）提供虚假资料的其投标文件作废标处理。</w:t>
      </w:r>
    </w:p>
    <w:p w14:paraId="047D700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）评标委员会认定投标人以低于成本报价竞标的。</w:t>
      </w:r>
    </w:p>
    <w:p w14:paraId="527272E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）投标人附有招标人不能接受的条件。</w:t>
      </w:r>
    </w:p>
    <w:p w14:paraId="598E109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）投标文件偏离招标文件实质性要求和条件的。</w:t>
      </w:r>
    </w:p>
    <w:p w14:paraId="6BA7CFC4">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）一个投标人递交两份或多分内容不同的投标文件，或在一份投标文件中对同一招标项目有两个或多个报价，且未声明哪一个报价有效的。</w:t>
      </w:r>
    </w:p>
    <w:p w14:paraId="03381BB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.1.3投标报价有算术错误的，评标委员会按以下原则对投标报价进行修正，修正的价格经投标人书面确认后具有约束力。投标人不接受修正价格的，其投标作废标处理。</w:t>
      </w:r>
    </w:p>
    <w:p w14:paraId="2928526F">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（1）投标文件中的大写金额与小写金额不一致的，以大写金额为准；</w:t>
      </w:r>
    </w:p>
    <w:p w14:paraId="48F2D3E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（2）总价金额与依据单价计算出的结果不一致的，以单价金额为准修正总价，但单价金额小数点有明显错误的除外。</w:t>
      </w:r>
    </w:p>
    <w:p w14:paraId="155232E4">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.2详细评审</w:t>
      </w:r>
    </w:p>
    <w:p w14:paraId="5152792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评标委员会分别进行技术评审、商务评审和信用与业绩评审，在技术组评委技术评分表提交后，在进行商务评分汇总。</w:t>
      </w:r>
    </w:p>
    <w:p w14:paraId="62B274BE">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.2.1评标委员会按照本章第2.2款规定的量化因素和分值进行打分,计算出综合评分得分,投标人的总得分等于评委评分的算术和的平均值。</w:t>
      </w:r>
    </w:p>
    <w:p w14:paraId="38B41B6F">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（1）按本章规定的评审项目及内容对技术因素部分计算出得分∑1；</w:t>
      </w:r>
    </w:p>
    <w:p w14:paraId="6C94C5DA">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（2）按本章规定的评审项目及内容对投标报价部分计算出∑2；</w:t>
      </w:r>
    </w:p>
    <w:p w14:paraId="40FC8847">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.2.2评分分值计算保留小数点后两位，小数点后第三位按“四舍五入”;</w:t>
      </w:r>
    </w:p>
    <w:p w14:paraId="580DD950">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.2.3投标人得分：∑1+∑2</w:t>
      </w:r>
    </w:p>
    <w:p w14:paraId="4E00F425">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.3投标文件的澄清和补正</w:t>
      </w:r>
    </w:p>
    <w:p w14:paraId="7CB2FC2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.3.1在评标过程中，评标委员会可以书面形式要求投标人对所提交投标文件中不明确的内容进行书面澄清或说明，或者对细微偏差进行补正。评标委员会不接受投标人主动提出的澄清、说明或补正。</w:t>
      </w:r>
    </w:p>
    <w:p w14:paraId="768F551F">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.3.2澄清、说明和补正不得改变投标文件的实质性内容（算术性错误修正的除外）。投标人的书面澄清、说明和补正属于投标文件的组成部分。</w:t>
      </w:r>
    </w:p>
    <w:p w14:paraId="6E507C0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.3.3评标委员会对投标人提交的澄清、说明或补正有疑问的，可以要求投标人进一步澄清、说明或补正，直至满足评标委员会的要求。</w:t>
      </w:r>
    </w:p>
    <w:p w14:paraId="4E55B909">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.4评标结果</w:t>
      </w:r>
    </w:p>
    <w:p w14:paraId="21854279">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.4.1评标委员会依据本章第评分标准进行评分，按评标办法前附表的约定计算投标人最终得分，根据得分由高到低的顺序推荐3名中标候选人，并标明推荐顺序。</w:t>
      </w:r>
    </w:p>
    <w:p w14:paraId="41EF5888">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.4.2评标委员会完成评标后，应当向招标人提交书面评标报告。</w:t>
      </w:r>
    </w:p>
    <w:p w14:paraId="438D98E0">
      <w:pPr>
        <w:rPr>
          <w:rFonts w:ascii="仿宋" w:hAnsi="仿宋" w:eastAsia="仿宋"/>
          <w:sz w:val="24"/>
          <w:szCs w:val="24"/>
          <w:highlight w:val="none"/>
          <w:lang w:val="en-GB"/>
        </w:rPr>
      </w:pPr>
      <w:r>
        <w:rPr>
          <w:rFonts w:hint="eastAsia" w:ascii="仿宋" w:hAnsi="仿宋" w:eastAsia="仿宋"/>
          <w:sz w:val="24"/>
          <w:szCs w:val="24"/>
          <w:highlight w:val="none"/>
          <w:lang w:val="en-GB"/>
        </w:rPr>
        <w:br w:type="page"/>
      </w:r>
    </w:p>
    <w:p w14:paraId="09959622">
      <w:pPr>
        <w:spacing w:afterLines="50" w:line="440" w:lineRule="exact"/>
        <w:jc w:val="center"/>
        <w:outlineLvl w:val="1"/>
        <w:rPr>
          <w:rFonts w:ascii="黑体" w:hAnsi="黑体" w:eastAsia="黑体"/>
          <w:sz w:val="28"/>
          <w:szCs w:val="28"/>
          <w:highlight w:val="none"/>
        </w:rPr>
      </w:pPr>
      <w:bookmarkStart w:id="135" w:name="_Toc4111"/>
      <w:bookmarkStart w:id="136" w:name="_Toc4130"/>
      <w:bookmarkStart w:id="137" w:name="_Toc494455690"/>
      <w:r>
        <w:rPr>
          <w:rFonts w:ascii="黑体" w:hAnsi="黑体" w:eastAsia="黑体"/>
          <w:sz w:val="32"/>
          <w:szCs w:val="32"/>
          <w:highlight w:val="none"/>
        </w:rPr>
        <w:t>第</w:t>
      </w:r>
      <w:r>
        <w:rPr>
          <w:rFonts w:hint="eastAsia" w:ascii="黑体" w:hAnsi="黑体" w:eastAsia="黑体"/>
          <w:sz w:val="32"/>
          <w:szCs w:val="32"/>
          <w:highlight w:val="none"/>
        </w:rPr>
        <w:t>五</w:t>
      </w:r>
      <w:r>
        <w:rPr>
          <w:rFonts w:ascii="黑体" w:hAnsi="黑体" w:eastAsia="黑体"/>
          <w:sz w:val="32"/>
          <w:szCs w:val="32"/>
          <w:highlight w:val="none"/>
        </w:rPr>
        <w:t>章</w:t>
      </w:r>
      <w:r>
        <w:rPr>
          <w:rFonts w:hint="eastAsia" w:ascii="黑体" w:hAnsi="黑体" w:eastAsia="黑体"/>
          <w:sz w:val="32"/>
          <w:szCs w:val="32"/>
          <w:highlight w:val="none"/>
        </w:rPr>
        <w:t xml:space="preserve">  签订合同、合同主要条款</w:t>
      </w:r>
      <w:bookmarkEnd w:id="135"/>
      <w:bookmarkEnd w:id="136"/>
      <w:bookmarkEnd w:id="137"/>
    </w:p>
    <w:p w14:paraId="196CBE69">
      <w:pPr>
        <w:spacing w:line="440" w:lineRule="exact"/>
        <w:ind w:firstLine="560" w:firstLineChars="200"/>
        <w:outlineLvl w:val="2"/>
        <w:rPr>
          <w:rFonts w:ascii="楷体" w:hAnsi="楷体" w:eastAsia="楷体"/>
          <w:sz w:val="28"/>
          <w:szCs w:val="28"/>
          <w:highlight w:val="none"/>
        </w:rPr>
      </w:pPr>
      <w:bookmarkStart w:id="138" w:name="_Toc20091"/>
      <w:bookmarkStart w:id="139" w:name="_Toc1451"/>
      <w:bookmarkStart w:id="140" w:name="_Toc494455691"/>
      <w:r>
        <w:rPr>
          <w:rFonts w:hint="eastAsia" w:ascii="楷体" w:hAnsi="楷体" w:eastAsia="楷体"/>
          <w:sz w:val="28"/>
          <w:szCs w:val="28"/>
          <w:highlight w:val="none"/>
        </w:rPr>
        <w:t>1.签订合同</w:t>
      </w:r>
      <w:bookmarkEnd w:id="138"/>
      <w:bookmarkEnd w:id="139"/>
      <w:bookmarkEnd w:id="140"/>
    </w:p>
    <w:p w14:paraId="275E25D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应当自中标通知书发出之日起</w:t>
      </w:r>
      <w:r>
        <w:rPr>
          <w:rFonts w:hint="eastAsia" w:ascii="仿宋" w:hAnsi="仿宋" w:eastAsia="仿宋"/>
          <w:color w:val="auto"/>
          <w:sz w:val="24"/>
          <w:szCs w:val="24"/>
        </w:rPr>
        <w:t>三十日内</w:t>
      </w:r>
      <w:r>
        <w:rPr>
          <w:rFonts w:hint="eastAsia" w:ascii="仿宋" w:hAnsi="仿宋" w:eastAsia="仿宋"/>
          <w:sz w:val="24"/>
          <w:szCs w:val="24"/>
          <w:highlight w:val="none"/>
        </w:rPr>
        <w:t>，按照招标文件和中标人投标文件的约定，与中标人签订书面合同。所签订合同不得对招标文件和中标人投标文件作实质性修改。</w:t>
      </w:r>
    </w:p>
    <w:p w14:paraId="5293D1C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签订的合同原则以本章第4条的规定为基础，并根据评标、答疑情况进行修改补充，但该款并不限制</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以其他方式签订合同的权利。</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不得向中标人提出任何不合理的要求，作为签订合同的条件，不得与中标人私下订立背离合同实质性内容的协议。</w:t>
      </w:r>
    </w:p>
    <w:p w14:paraId="2B1D8E9A">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招标文件、投标文件、书面承诺和中标通知书均作为经济合同的一部分，且具有法律效力。中标人应严格履行经济合同所规定的各项义务和责任，否则将依法处理。</w:t>
      </w:r>
    </w:p>
    <w:p w14:paraId="1719FDD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有关法规或者招标文件明确不允许分包方式履行合同的，中标人不得分包履行合同，否则将依法承担法律责任。招标文件明确允许分包方式履行合同的，按照招标文件相关规定执行。</w:t>
      </w:r>
    </w:p>
    <w:p w14:paraId="33C4B3B5">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当中标人放弃中标结果或者因被质疑、投诉，经查属实或者因不可抗力而不能履行合同的，</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可从推荐中标候选人名单中按顺序重新确定中标人，但应符合相关规定；否则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应重新组织招标。</w:t>
      </w:r>
    </w:p>
    <w:p w14:paraId="649A2716">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.5</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应当自采购合同签订之日起7个工作日内，将采购合同副本报同级财政部门和有关部门备案。</w:t>
      </w:r>
    </w:p>
    <w:p w14:paraId="7D03DAFB">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.6</w:t>
      </w:r>
      <w:r>
        <w:rPr>
          <w:rFonts w:hint="eastAsia" w:ascii="仿宋" w:hAnsi="仿宋" w:eastAsia="仿宋"/>
          <w:sz w:val="24"/>
          <w:szCs w:val="24"/>
          <w:highlight w:val="none"/>
        </w:rPr>
        <w:t>法律、行政法规规定应当办理批准、登记等手续后生效的合同，依照其规定。</w:t>
      </w:r>
    </w:p>
    <w:p w14:paraId="3E8D2875">
      <w:pPr>
        <w:spacing w:line="440" w:lineRule="exact"/>
        <w:ind w:firstLine="560" w:firstLineChars="200"/>
        <w:outlineLvl w:val="2"/>
        <w:rPr>
          <w:rFonts w:ascii="楷体" w:hAnsi="楷体" w:eastAsia="楷体"/>
          <w:sz w:val="28"/>
          <w:szCs w:val="28"/>
          <w:highlight w:val="none"/>
        </w:rPr>
      </w:pPr>
      <w:bookmarkStart w:id="141" w:name="_Toc15317"/>
      <w:bookmarkStart w:id="142" w:name="_Toc13470"/>
      <w:bookmarkStart w:id="143" w:name="_Toc494455692"/>
      <w:r>
        <w:rPr>
          <w:rFonts w:hint="eastAsia" w:ascii="楷体" w:hAnsi="楷体" w:eastAsia="楷体"/>
          <w:sz w:val="28"/>
          <w:szCs w:val="28"/>
          <w:highlight w:val="none"/>
        </w:rPr>
        <w:t>2.追加合同金额</w:t>
      </w:r>
      <w:bookmarkEnd w:id="141"/>
      <w:bookmarkEnd w:id="142"/>
      <w:bookmarkEnd w:id="143"/>
    </w:p>
    <w:p w14:paraId="2A3732AC">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政府采购合同履行中，</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需要追加与合同标的相同的货物的，在不改变合同其他条款的前提下并且在签订合同后</w:t>
      </w:r>
      <w:r>
        <w:rPr>
          <w:rFonts w:ascii="仿宋" w:hAnsi="仿宋" w:eastAsia="仿宋"/>
          <w:sz w:val="24"/>
          <w:szCs w:val="24"/>
          <w:highlight w:val="none"/>
        </w:rPr>
        <w:t>1</w:t>
      </w:r>
      <w:r>
        <w:rPr>
          <w:rFonts w:hint="eastAsia" w:ascii="仿宋" w:hAnsi="仿宋" w:eastAsia="仿宋"/>
          <w:sz w:val="24"/>
          <w:szCs w:val="24"/>
          <w:highlight w:val="none"/>
        </w:rPr>
        <w:t>年内，经</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报同级财政部门批准后，可以与中标人协商签订补充合同，但所有补充合同的采购金额不得超过原合同采购金额的</w:t>
      </w:r>
      <w:r>
        <w:rPr>
          <w:rFonts w:ascii="仿宋" w:hAnsi="仿宋" w:eastAsia="仿宋"/>
          <w:sz w:val="24"/>
          <w:szCs w:val="24"/>
          <w:highlight w:val="none"/>
        </w:rPr>
        <w:t>10%</w:t>
      </w:r>
      <w:r>
        <w:rPr>
          <w:rFonts w:hint="eastAsia" w:ascii="仿宋" w:hAnsi="仿宋" w:eastAsia="仿宋"/>
          <w:sz w:val="24"/>
          <w:szCs w:val="24"/>
          <w:highlight w:val="none"/>
        </w:rPr>
        <w:t>，否则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应重新组织招标。</w:t>
      </w:r>
    </w:p>
    <w:p w14:paraId="56794870">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5E7509CA">
      <w:pPr>
        <w:spacing w:line="440" w:lineRule="exact"/>
        <w:ind w:firstLine="560" w:firstLineChars="200"/>
        <w:outlineLvl w:val="2"/>
        <w:rPr>
          <w:rFonts w:ascii="楷体" w:hAnsi="楷体" w:eastAsia="楷体"/>
          <w:sz w:val="28"/>
          <w:szCs w:val="28"/>
          <w:highlight w:val="none"/>
        </w:rPr>
      </w:pPr>
      <w:bookmarkStart w:id="144" w:name="_Toc20804"/>
      <w:bookmarkStart w:id="145" w:name="_Toc494455693"/>
      <w:bookmarkStart w:id="146" w:name="_Toc16930"/>
      <w:r>
        <w:rPr>
          <w:rFonts w:hint="eastAsia" w:ascii="楷体" w:hAnsi="楷体" w:eastAsia="楷体"/>
          <w:sz w:val="28"/>
          <w:szCs w:val="28"/>
          <w:highlight w:val="none"/>
        </w:rPr>
        <w:t>3.货物质量与验收</w:t>
      </w:r>
      <w:bookmarkEnd w:id="144"/>
      <w:bookmarkEnd w:id="145"/>
      <w:bookmarkEnd w:id="146"/>
    </w:p>
    <w:p w14:paraId="4D5C7FCD">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1</w:t>
      </w:r>
      <w:r>
        <w:rPr>
          <w:rFonts w:hint="eastAsia" w:ascii="仿宋" w:hAnsi="仿宋" w:eastAsia="仿宋"/>
          <w:sz w:val="24"/>
          <w:szCs w:val="24"/>
          <w:highlight w:val="none"/>
        </w:rPr>
        <w:t>招标文件中的货物按照国标、部标、行业标准或者双方技术协议或者招标文件、投标文件、书面承诺的技术要求制造。货到后，由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组织验收小组对货物进行验收（以《项目验收报告单》为准）。如对货物质量有争议，</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可委托国家认定的相关部门对货物进行质量检验，并以质检部门出具的检验报告为准，并由责任方承担全部责任。</w:t>
      </w:r>
    </w:p>
    <w:p w14:paraId="241B1A53">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.2</w:t>
      </w:r>
      <w:r>
        <w:rPr>
          <w:rFonts w:hint="eastAsia" w:ascii="仿宋" w:hAnsi="仿宋" w:eastAsia="仿宋"/>
          <w:sz w:val="24"/>
          <w:szCs w:val="24"/>
          <w:highlight w:val="none"/>
        </w:rPr>
        <w:t>货物制造完毕经出厂检验合格后方能发货，并提供货物合格证书。</w:t>
      </w:r>
    </w:p>
    <w:p w14:paraId="63010D3F">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w:t>
      </w:r>
      <w:r>
        <w:rPr>
          <w:rFonts w:ascii="仿宋" w:hAnsi="仿宋" w:eastAsia="仿宋"/>
          <w:sz w:val="24"/>
          <w:szCs w:val="24"/>
          <w:highlight w:val="none"/>
        </w:rPr>
        <w:t>.3</w:t>
      </w:r>
      <w:r>
        <w:rPr>
          <w:rFonts w:hint="eastAsia" w:ascii="仿宋" w:hAnsi="仿宋" w:eastAsia="仿宋"/>
          <w:sz w:val="24"/>
          <w:szCs w:val="24"/>
          <w:highlight w:val="none"/>
        </w:rPr>
        <w:t>货物的表面涂漆颜色：由</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和中标人商定。</w:t>
      </w:r>
    </w:p>
    <w:p w14:paraId="7B3530A9">
      <w:pPr>
        <w:spacing w:line="440" w:lineRule="exact"/>
        <w:ind w:firstLine="480" w:firstLineChars="200"/>
        <w:rPr>
          <w:rFonts w:ascii="仿宋" w:hAnsi="仿宋" w:eastAsia="仿宋"/>
          <w:kern w:val="1"/>
          <w:sz w:val="24"/>
          <w:szCs w:val="24"/>
          <w:highlight w:val="none"/>
        </w:rPr>
      </w:pPr>
      <w:r>
        <w:rPr>
          <w:rFonts w:hint="eastAsia" w:ascii="仿宋" w:hAnsi="仿宋" w:eastAsia="仿宋" w:cs="仿宋"/>
          <w:kern w:val="1"/>
          <w:sz w:val="24"/>
          <w:szCs w:val="24"/>
          <w:highlight w:val="none"/>
        </w:rPr>
        <w:t>3</w:t>
      </w:r>
      <w:r>
        <w:rPr>
          <w:rFonts w:ascii="仿宋" w:hAnsi="仿宋" w:eastAsia="仿宋" w:cs="仿宋"/>
          <w:kern w:val="1"/>
          <w:sz w:val="24"/>
          <w:szCs w:val="24"/>
          <w:highlight w:val="none"/>
        </w:rPr>
        <w:t>.4</w:t>
      </w:r>
      <w:r>
        <w:rPr>
          <w:rFonts w:hint="eastAsia" w:ascii="仿宋" w:hAnsi="仿宋" w:eastAsia="仿宋" w:cs="仿宋"/>
          <w:kern w:val="1"/>
          <w:sz w:val="24"/>
          <w:szCs w:val="24"/>
          <w:highlight w:val="none"/>
        </w:rPr>
        <w:t>货物包装按照国标、部标以及有关标准执行。</w:t>
      </w:r>
    </w:p>
    <w:p w14:paraId="28D41ABC">
      <w:pPr>
        <w:spacing w:line="440" w:lineRule="exact"/>
        <w:ind w:firstLine="560" w:firstLineChars="200"/>
        <w:outlineLvl w:val="2"/>
        <w:rPr>
          <w:rFonts w:ascii="楷体" w:hAnsi="楷体" w:eastAsia="楷体"/>
          <w:sz w:val="28"/>
          <w:szCs w:val="28"/>
          <w:highlight w:val="none"/>
        </w:rPr>
      </w:pPr>
      <w:bookmarkStart w:id="147" w:name="_Toc494455694"/>
      <w:bookmarkStart w:id="148" w:name="_Toc11633"/>
      <w:bookmarkStart w:id="149" w:name="_Toc13421"/>
      <w:r>
        <w:rPr>
          <w:rFonts w:hint="eastAsia" w:ascii="楷体" w:hAnsi="楷体" w:eastAsia="楷体"/>
          <w:sz w:val="28"/>
          <w:szCs w:val="28"/>
          <w:highlight w:val="none"/>
        </w:rPr>
        <w:t>4.合同主要条款</w:t>
      </w:r>
      <w:bookmarkEnd w:id="147"/>
      <w:bookmarkEnd w:id="148"/>
      <w:bookmarkEnd w:id="149"/>
    </w:p>
    <w:p w14:paraId="4F0A0BF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合同编号：</w:t>
      </w:r>
      <w:r>
        <w:rPr>
          <w:rFonts w:hint="eastAsia" w:ascii="仿宋" w:hAnsi="仿宋" w:eastAsia="仿宋" w:cs="仿宋"/>
          <w:sz w:val="24"/>
          <w:szCs w:val="24"/>
          <w:highlight w:val="none"/>
          <w:u w:val="single"/>
          <w:lang w:val="zh-CN"/>
        </w:rPr>
        <w:t xml:space="preserve">                         </w:t>
      </w:r>
    </w:p>
    <w:p w14:paraId="0014DFA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签 订 地： </w:t>
      </w:r>
      <w:r>
        <w:rPr>
          <w:rFonts w:hint="eastAsia" w:ascii="仿宋" w:hAnsi="仿宋" w:eastAsia="仿宋" w:cs="仿宋"/>
          <w:sz w:val="24"/>
          <w:szCs w:val="24"/>
          <w:highlight w:val="none"/>
          <w:u w:val="single"/>
          <w:lang w:val="zh-CN"/>
        </w:rPr>
        <w:t xml:space="preserve">                        </w:t>
      </w:r>
    </w:p>
    <w:p w14:paraId="3FB74AE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甲方（招标人）：</w:t>
      </w:r>
      <w:r>
        <w:rPr>
          <w:rFonts w:hint="eastAsia" w:ascii="仿宋" w:hAnsi="仿宋" w:eastAsia="仿宋" w:cs="仿宋"/>
          <w:sz w:val="24"/>
          <w:szCs w:val="24"/>
          <w:highlight w:val="none"/>
          <w:u w:val="single"/>
          <w:lang w:val="zh-CN"/>
        </w:rPr>
        <w:t xml:space="preserve">                    </w:t>
      </w:r>
    </w:p>
    <w:p w14:paraId="2ED0BCF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住所地：</w:t>
      </w:r>
      <w:r>
        <w:rPr>
          <w:rFonts w:hint="eastAsia" w:ascii="仿宋" w:hAnsi="仿宋" w:eastAsia="仿宋" w:cs="仿宋"/>
          <w:sz w:val="24"/>
          <w:szCs w:val="24"/>
          <w:highlight w:val="none"/>
          <w:u w:val="single"/>
          <w:lang w:val="zh-CN"/>
        </w:rPr>
        <w:t xml:space="preserve">                           </w:t>
      </w:r>
    </w:p>
    <w:p w14:paraId="7C78EAE6">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乙方（中标人）：</w:t>
      </w:r>
      <w:r>
        <w:rPr>
          <w:rFonts w:hint="eastAsia" w:ascii="仿宋" w:hAnsi="仿宋" w:eastAsia="仿宋" w:cs="仿宋"/>
          <w:sz w:val="24"/>
          <w:szCs w:val="24"/>
          <w:highlight w:val="none"/>
          <w:u w:val="single"/>
          <w:lang w:val="zh-CN"/>
        </w:rPr>
        <w:t xml:space="preserve">                    </w:t>
      </w:r>
    </w:p>
    <w:p w14:paraId="784DBB2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住 所 地：</w:t>
      </w:r>
      <w:r>
        <w:rPr>
          <w:rFonts w:hint="eastAsia" w:ascii="仿宋" w:hAnsi="仿宋" w:eastAsia="仿宋" w:cs="仿宋"/>
          <w:sz w:val="24"/>
          <w:szCs w:val="24"/>
          <w:highlight w:val="none"/>
          <w:u w:val="single"/>
          <w:lang w:val="zh-CN"/>
        </w:rPr>
        <w:t xml:space="preserve">                         </w:t>
      </w:r>
    </w:p>
    <w:p w14:paraId="56A1A2D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乙方于</w:t>
      </w:r>
      <w:r>
        <w:rPr>
          <w:rFonts w:ascii="仿宋" w:hAnsi="仿宋" w:eastAsia="仿宋" w:cs="仿宋"/>
          <w:sz w:val="24"/>
          <w:szCs w:val="24"/>
          <w:highlight w:val="none"/>
          <w:lang w:val="zh-CN"/>
        </w:rPr>
        <w:t>20</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日参加了</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（招标人）</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组织的“</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（项目名称及项目编号）</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”政府采购活动，经评标委员会评审确定乙方为</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（包及包名称）</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中标人，按照《中华人民共和国合同法》、《中华人民共和国政府采购法》和相关的法律法规规定，以及招标文件规定，经甲乙双方协商一致，签订本政府采购合同。</w:t>
      </w:r>
    </w:p>
    <w:p w14:paraId="0FAB0A2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第一条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货物条款</w:t>
      </w:r>
    </w:p>
    <w:p w14:paraId="0C3A6A71">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乙方向甲方提供以下货物</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22A7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2C20CE03">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货物名称</w:t>
            </w:r>
          </w:p>
        </w:tc>
        <w:tc>
          <w:tcPr>
            <w:tcW w:w="5013" w:type="dxa"/>
            <w:vAlign w:val="center"/>
          </w:tcPr>
          <w:p w14:paraId="78CB94BF">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品牌、规格型号（技术参数）</w:t>
            </w:r>
          </w:p>
        </w:tc>
        <w:tc>
          <w:tcPr>
            <w:tcW w:w="884" w:type="dxa"/>
            <w:vAlign w:val="center"/>
          </w:tcPr>
          <w:p w14:paraId="3A94BB6D">
            <w:pPr>
              <w:spacing w:line="440" w:lineRule="exact"/>
              <w:ind w:firstLine="105"/>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单价</w:t>
            </w:r>
          </w:p>
        </w:tc>
        <w:tc>
          <w:tcPr>
            <w:tcW w:w="884" w:type="dxa"/>
            <w:vAlign w:val="center"/>
          </w:tcPr>
          <w:p w14:paraId="2018E652">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数量</w:t>
            </w:r>
          </w:p>
        </w:tc>
        <w:tc>
          <w:tcPr>
            <w:tcW w:w="1179" w:type="dxa"/>
            <w:vAlign w:val="center"/>
          </w:tcPr>
          <w:p w14:paraId="719B6748">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小</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计</w:t>
            </w:r>
          </w:p>
        </w:tc>
      </w:tr>
      <w:tr w14:paraId="08C4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4581A3D5">
            <w:pPr>
              <w:spacing w:line="440" w:lineRule="exact"/>
              <w:jc w:val="center"/>
              <w:rPr>
                <w:rFonts w:ascii="仿宋" w:hAnsi="仿宋" w:eastAsia="仿宋" w:cs="仿宋"/>
                <w:sz w:val="24"/>
                <w:szCs w:val="24"/>
                <w:highlight w:val="none"/>
                <w:lang w:val="zh-CN"/>
              </w:rPr>
            </w:pPr>
          </w:p>
        </w:tc>
        <w:tc>
          <w:tcPr>
            <w:tcW w:w="5013" w:type="dxa"/>
            <w:vAlign w:val="center"/>
          </w:tcPr>
          <w:p w14:paraId="45AACC49">
            <w:pPr>
              <w:spacing w:line="440" w:lineRule="exact"/>
              <w:jc w:val="center"/>
              <w:rPr>
                <w:rFonts w:ascii="仿宋" w:hAnsi="仿宋" w:eastAsia="仿宋" w:cs="仿宋"/>
                <w:sz w:val="24"/>
                <w:szCs w:val="24"/>
                <w:highlight w:val="none"/>
                <w:lang w:val="zh-CN"/>
              </w:rPr>
            </w:pPr>
          </w:p>
        </w:tc>
        <w:tc>
          <w:tcPr>
            <w:tcW w:w="884" w:type="dxa"/>
            <w:vAlign w:val="center"/>
          </w:tcPr>
          <w:p w14:paraId="217A579E">
            <w:pPr>
              <w:spacing w:line="440" w:lineRule="exact"/>
              <w:jc w:val="center"/>
              <w:rPr>
                <w:rFonts w:ascii="仿宋" w:hAnsi="仿宋" w:eastAsia="仿宋" w:cs="仿宋"/>
                <w:sz w:val="24"/>
                <w:szCs w:val="24"/>
                <w:highlight w:val="none"/>
                <w:lang w:val="zh-CN"/>
              </w:rPr>
            </w:pPr>
          </w:p>
        </w:tc>
        <w:tc>
          <w:tcPr>
            <w:tcW w:w="884" w:type="dxa"/>
            <w:vAlign w:val="center"/>
          </w:tcPr>
          <w:p w14:paraId="7ABDA75D">
            <w:pPr>
              <w:spacing w:line="440" w:lineRule="exact"/>
              <w:jc w:val="center"/>
              <w:rPr>
                <w:rFonts w:ascii="仿宋" w:hAnsi="仿宋" w:eastAsia="仿宋" w:cs="仿宋"/>
                <w:sz w:val="24"/>
                <w:szCs w:val="24"/>
                <w:highlight w:val="none"/>
                <w:lang w:val="zh-CN"/>
              </w:rPr>
            </w:pPr>
          </w:p>
        </w:tc>
        <w:tc>
          <w:tcPr>
            <w:tcW w:w="1179" w:type="dxa"/>
            <w:vAlign w:val="center"/>
          </w:tcPr>
          <w:p w14:paraId="3A8EE348">
            <w:pPr>
              <w:spacing w:line="440" w:lineRule="exact"/>
              <w:jc w:val="center"/>
              <w:rPr>
                <w:rFonts w:ascii="仿宋" w:hAnsi="仿宋" w:eastAsia="仿宋" w:cs="仿宋"/>
                <w:sz w:val="24"/>
                <w:szCs w:val="24"/>
                <w:highlight w:val="none"/>
                <w:lang w:val="zh-CN"/>
              </w:rPr>
            </w:pPr>
          </w:p>
        </w:tc>
      </w:tr>
      <w:tr w14:paraId="474D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2F3EA979">
            <w:pPr>
              <w:spacing w:line="440" w:lineRule="exact"/>
              <w:jc w:val="center"/>
              <w:rPr>
                <w:rFonts w:ascii="仿宋" w:hAnsi="仿宋" w:eastAsia="仿宋" w:cs="仿宋"/>
                <w:sz w:val="24"/>
                <w:szCs w:val="24"/>
                <w:highlight w:val="none"/>
                <w:lang w:val="zh-CN"/>
              </w:rPr>
            </w:pPr>
          </w:p>
        </w:tc>
        <w:tc>
          <w:tcPr>
            <w:tcW w:w="5013" w:type="dxa"/>
            <w:vAlign w:val="center"/>
          </w:tcPr>
          <w:p w14:paraId="386F319D">
            <w:pPr>
              <w:spacing w:line="440" w:lineRule="exact"/>
              <w:jc w:val="center"/>
              <w:rPr>
                <w:rFonts w:ascii="仿宋" w:hAnsi="仿宋" w:eastAsia="仿宋" w:cs="仿宋"/>
                <w:sz w:val="24"/>
                <w:szCs w:val="24"/>
                <w:highlight w:val="none"/>
                <w:lang w:val="zh-CN"/>
              </w:rPr>
            </w:pPr>
          </w:p>
        </w:tc>
        <w:tc>
          <w:tcPr>
            <w:tcW w:w="884" w:type="dxa"/>
            <w:vAlign w:val="center"/>
          </w:tcPr>
          <w:p w14:paraId="1ACEDD15">
            <w:pPr>
              <w:spacing w:line="440" w:lineRule="exact"/>
              <w:jc w:val="center"/>
              <w:rPr>
                <w:rFonts w:ascii="仿宋" w:hAnsi="仿宋" w:eastAsia="仿宋" w:cs="仿宋"/>
                <w:sz w:val="24"/>
                <w:szCs w:val="24"/>
                <w:highlight w:val="none"/>
                <w:lang w:val="zh-CN"/>
              </w:rPr>
            </w:pPr>
          </w:p>
        </w:tc>
        <w:tc>
          <w:tcPr>
            <w:tcW w:w="884" w:type="dxa"/>
            <w:vAlign w:val="center"/>
          </w:tcPr>
          <w:p w14:paraId="469F067C">
            <w:pPr>
              <w:spacing w:line="440" w:lineRule="exact"/>
              <w:jc w:val="center"/>
              <w:rPr>
                <w:rFonts w:ascii="仿宋" w:hAnsi="仿宋" w:eastAsia="仿宋" w:cs="仿宋"/>
                <w:sz w:val="24"/>
                <w:szCs w:val="24"/>
                <w:highlight w:val="none"/>
                <w:lang w:val="zh-CN"/>
              </w:rPr>
            </w:pPr>
          </w:p>
        </w:tc>
        <w:tc>
          <w:tcPr>
            <w:tcW w:w="1179" w:type="dxa"/>
            <w:vAlign w:val="center"/>
          </w:tcPr>
          <w:p w14:paraId="3946E65E">
            <w:pPr>
              <w:spacing w:line="440" w:lineRule="exact"/>
              <w:jc w:val="center"/>
              <w:rPr>
                <w:rFonts w:ascii="仿宋" w:hAnsi="仿宋" w:eastAsia="仿宋" w:cs="仿宋"/>
                <w:sz w:val="24"/>
                <w:szCs w:val="24"/>
                <w:highlight w:val="none"/>
                <w:lang w:val="zh-CN"/>
              </w:rPr>
            </w:pPr>
          </w:p>
        </w:tc>
      </w:tr>
      <w:tr w14:paraId="0F20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14:paraId="0F353DC2">
            <w:pPr>
              <w:spacing w:line="440" w:lineRule="exact"/>
              <w:jc w:val="center"/>
              <w:rPr>
                <w:rFonts w:ascii="仿宋" w:hAnsi="仿宋" w:eastAsia="仿宋" w:cs="仿宋"/>
                <w:sz w:val="24"/>
                <w:szCs w:val="24"/>
                <w:highlight w:val="none"/>
                <w:lang w:val="zh-CN"/>
              </w:rPr>
            </w:pPr>
          </w:p>
        </w:tc>
        <w:tc>
          <w:tcPr>
            <w:tcW w:w="5013" w:type="dxa"/>
            <w:vAlign w:val="center"/>
          </w:tcPr>
          <w:p w14:paraId="3BE06B36">
            <w:pPr>
              <w:spacing w:line="440" w:lineRule="exact"/>
              <w:jc w:val="center"/>
              <w:rPr>
                <w:rFonts w:ascii="仿宋" w:hAnsi="仿宋" w:eastAsia="仿宋" w:cs="仿宋"/>
                <w:sz w:val="24"/>
                <w:szCs w:val="24"/>
                <w:highlight w:val="none"/>
                <w:lang w:val="zh-CN"/>
              </w:rPr>
            </w:pPr>
          </w:p>
        </w:tc>
        <w:tc>
          <w:tcPr>
            <w:tcW w:w="884" w:type="dxa"/>
            <w:vAlign w:val="center"/>
          </w:tcPr>
          <w:p w14:paraId="4D7E082D">
            <w:pPr>
              <w:spacing w:line="440" w:lineRule="exact"/>
              <w:jc w:val="center"/>
              <w:rPr>
                <w:rFonts w:ascii="仿宋" w:hAnsi="仿宋" w:eastAsia="仿宋" w:cs="仿宋"/>
                <w:sz w:val="24"/>
                <w:szCs w:val="24"/>
                <w:highlight w:val="none"/>
                <w:lang w:val="zh-CN"/>
              </w:rPr>
            </w:pPr>
          </w:p>
        </w:tc>
        <w:tc>
          <w:tcPr>
            <w:tcW w:w="884" w:type="dxa"/>
            <w:vAlign w:val="center"/>
          </w:tcPr>
          <w:p w14:paraId="5C23185E">
            <w:pPr>
              <w:spacing w:line="440" w:lineRule="exact"/>
              <w:jc w:val="center"/>
              <w:rPr>
                <w:rFonts w:ascii="仿宋" w:hAnsi="仿宋" w:eastAsia="仿宋" w:cs="仿宋"/>
                <w:sz w:val="24"/>
                <w:szCs w:val="24"/>
                <w:highlight w:val="none"/>
                <w:lang w:val="zh-CN"/>
              </w:rPr>
            </w:pPr>
          </w:p>
        </w:tc>
        <w:tc>
          <w:tcPr>
            <w:tcW w:w="1179" w:type="dxa"/>
            <w:vAlign w:val="center"/>
          </w:tcPr>
          <w:p w14:paraId="06BC7D1D">
            <w:pPr>
              <w:spacing w:line="440" w:lineRule="exact"/>
              <w:jc w:val="center"/>
              <w:rPr>
                <w:rFonts w:ascii="仿宋" w:hAnsi="仿宋" w:eastAsia="仿宋" w:cs="仿宋"/>
                <w:sz w:val="24"/>
                <w:szCs w:val="24"/>
                <w:highlight w:val="none"/>
                <w:lang w:val="zh-CN"/>
              </w:rPr>
            </w:pPr>
          </w:p>
        </w:tc>
      </w:tr>
      <w:tr w14:paraId="693D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14:paraId="11E956B1">
            <w:pPr>
              <w:spacing w:line="440" w:lineRule="exact"/>
              <w:jc w:val="center"/>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计</w:t>
            </w:r>
          </w:p>
        </w:tc>
        <w:tc>
          <w:tcPr>
            <w:tcW w:w="2947" w:type="dxa"/>
            <w:gridSpan w:val="3"/>
            <w:vAlign w:val="center"/>
          </w:tcPr>
          <w:p w14:paraId="46220B98">
            <w:pPr>
              <w:spacing w:line="440" w:lineRule="exact"/>
              <w:jc w:val="center"/>
              <w:rPr>
                <w:rFonts w:ascii="仿宋" w:hAnsi="仿宋" w:eastAsia="仿宋" w:cs="仿宋"/>
                <w:sz w:val="24"/>
                <w:szCs w:val="24"/>
                <w:highlight w:val="none"/>
                <w:lang w:val="zh-CN"/>
              </w:rPr>
            </w:pPr>
          </w:p>
        </w:tc>
      </w:tr>
    </w:tbl>
    <w:p w14:paraId="64CD232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注：如上述表格不适用相关货物的，具体品牌、数量、规格型号（技术参数）及质保期等可用附件形式列明，作为本合同组成部分。</w:t>
      </w:r>
    </w:p>
    <w:p w14:paraId="24F1878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9196B6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第二条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合同总金额</w:t>
      </w:r>
    </w:p>
    <w:p w14:paraId="20BA9A28">
      <w:pPr>
        <w:spacing w:line="440" w:lineRule="exact"/>
        <w:ind w:firstLine="480" w:firstLineChars="200"/>
        <w:rPr>
          <w:rFonts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合同总金额为人民币（大写）：</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p>
    <w:p w14:paraId="0EBB8CF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461F520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80A2D4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第三条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质量要求及技术标准</w:t>
      </w:r>
    </w:p>
    <w:p w14:paraId="5F18934B">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.货物原产地：</w:t>
      </w:r>
      <w:r>
        <w:rPr>
          <w:rFonts w:ascii="仿宋" w:hAnsi="仿宋" w:eastAsia="仿宋" w:cs="仿宋"/>
          <w:sz w:val="24"/>
          <w:szCs w:val="24"/>
          <w:highlight w:val="none"/>
          <w:lang w:val="zh-CN"/>
        </w:rPr>
        <w:t xml:space="preserve">         </w:t>
      </w:r>
    </w:p>
    <w:p w14:paraId="2D71DF66">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.货物的质量要求：</w:t>
      </w:r>
    </w:p>
    <w:p w14:paraId="1CD931C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236BFD2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.货物的技术标准：</w:t>
      </w:r>
    </w:p>
    <w:p w14:paraId="3C9222A4">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3CF9AB84">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第四条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交货</w:t>
      </w:r>
    </w:p>
    <w:p w14:paraId="1BABC70D">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.交货日期：</w:t>
      </w:r>
      <w:r>
        <w:rPr>
          <w:rFonts w:ascii="仿宋" w:hAnsi="仿宋" w:eastAsia="仿宋" w:cs="仿宋"/>
          <w:sz w:val="24"/>
          <w:szCs w:val="24"/>
          <w:highlight w:val="none"/>
          <w:lang w:val="zh-CN"/>
        </w:rPr>
        <w:t xml:space="preserve"> </w:t>
      </w:r>
    </w:p>
    <w:p w14:paraId="2F06F6B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.交货地点：</w:t>
      </w:r>
    </w:p>
    <w:p w14:paraId="17A857B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7ADD742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第五条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包装、装运及运输</w:t>
      </w:r>
    </w:p>
    <w:p w14:paraId="3B41F27E">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.乙方负责包装、装运和运输，由于不适当的包装、装运和运输造成货物有任何损坏均由乙方负责。</w:t>
      </w:r>
    </w:p>
    <w:p w14:paraId="3685419D">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.包装费、运费及相关费用已包含在合同总金额内。</w:t>
      </w:r>
    </w:p>
    <w:p w14:paraId="221AB578">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6028B96">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第六条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货款支付</w:t>
      </w:r>
    </w:p>
    <w:p w14:paraId="58B7FDA5">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.货物运到交货地点，经甲乙双方共同验收合格后由甲方负责办理货款支付手续。</w:t>
      </w:r>
    </w:p>
    <w:p w14:paraId="74DA7EE1">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.属国库集中支付资金，甲方应按照双方约定的付款期限，及时向同级财政部门报送资金支付申请，同级财政部门对支付申请审核无误后，将货款直接支付至乙方账户。</w:t>
      </w:r>
    </w:p>
    <w:p w14:paraId="2DACD15C">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.付款方式</w:t>
      </w:r>
      <w:r>
        <w:rPr>
          <w:rFonts w:ascii="仿宋" w:hAnsi="仿宋" w:eastAsia="仿宋" w:cs="仿宋"/>
          <w:sz w:val="24"/>
          <w:szCs w:val="24"/>
          <w:highlight w:val="none"/>
          <w:lang w:val="zh-CN"/>
        </w:rPr>
        <w:t xml:space="preserve"> </w:t>
      </w:r>
    </w:p>
    <w:p w14:paraId="67D5B616">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w:t>
      </w:r>
    </w:p>
    <w:p w14:paraId="4FDF20A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2672A3E">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第七条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履约保证金</w:t>
      </w:r>
    </w:p>
    <w:p w14:paraId="229A3540">
      <w:pPr>
        <w:tabs>
          <w:tab w:val="left" w:pos="840"/>
        </w:tabs>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.乙方须向甲方交纳人民币</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大写</w:t>
      </w:r>
      <w:r>
        <w:rPr>
          <w:rFonts w:ascii="仿宋" w:hAnsi="仿宋" w:eastAsia="仿宋" w:cs="仿宋"/>
          <w:sz w:val="24"/>
          <w:szCs w:val="24"/>
          <w:highlight w:val="non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作为本合同的履约保证金。</w:t>
      </w:r>
      <w:r>
        <w:rPr>
          <w:rFonts w:ascii="仿宋" w:hAnsi="仿宋" w:eastAsia="仿宋" w:cs="仿宋"/>
          <w:sz w:val="24"/>
          <w:szCs w:val="24"/>
          <w:highlight w:val="none"/>
          <w:lang w:val="zh-CN"/>
        </w:rPr>
        <w:t xml:space="preserve"> </w:t>
      </w:r>
    </w:p>
    <w:p w14:paraId="70431659">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.履约保证金用于补偿甲方因乙方不能履行或不能完全履行合同义务而蒙受的损失。</w:t>
      </w:r>
    </w:p>
    <w:p w14:paraId="102FA2C6">
      <w:pPr>
        <w:spacing w:line="440" w:lineRule="exact"/>
        <w:ind w:firstLine="480" w:firstLineChars="200"/>
        <w:rPr>
          <w:rFonts w:ascii="仿宋" w:hAnsi="仿宋" w:eastAsia="仿宋"/>
          <w:kern w:val="1"/>
          <w:sz w:val="24"/>
          <w:szCs w:val="24"/>
          <w:highlight w:val="none"/>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w:t>
      </w:r>
      <w:r>
        <w:rPr>
          <w:rFonts w:hint="eastAsia" w:ascii="仿宋" w:hAnsi="仿宋" w:eastAsia="仿宋" w:cs="仿宋"/>
          <w:kern w:val="1"/>
          <w:sz w:val="24"/>
          <w:szCs w:val="24"/>
          <w:highlight w:val="none"/>
        </w:rPr>
        <w:t>履约保证金在货物交付验收合格</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月无质量问题后，填写《阿克苏市政府采购项目履约保证金退付表》、《阿克苏市政府采购项目验收单》和资金往来收款收据交监督部门审核后</w:t>
      </w:r>
      <w:r>
        <w:rPr>
          <w:rFonts w:ascii="仿宋" w:hAnsi="仿宋" w:eastAsia="仿宋" w:cs="仿宋"/>
          <w:kern w:val="1"/>
          <w:sz w:val="24"/>
          <w:szCs w:val="24"/>
          <w:highlight w:val="none"/>
        </w:rPr>
        <w:t>20</w:t>
      </w:r>
      <w:r>
        <w:rPr>
          <w:rFonts w:hint="eastAsia" w:ascii="仿宋" w:hAnsi="仿宋" w:eastAsia="仿宋" w:cs="仿宋"/>
          <w:kern w:val="1"/>
          <w:sz w:val="24"/>
          <w:szCs w:val="24"/>
          <w:highlight w:val="none"/>
        </w:rPr>
        <w:t>个工作日内退还。</w:t>
      </w:r>
    </w:p>
    <w:p w14:paraId="78006A81">
      <w:pPr>
        <w:tabs>
          <w:tab w:val="left" w:pos="840"/>
        </w:tabs>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A45468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第八条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售后服务及承诺</w:t>
      </w:r>
    </w:p>
    <w:p w14:paraId="01712347">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.乙方有完善的服务体系，有能力提供持续的、本地化售后服务。</w:t>
      </w:r>
    </w:p>
    <w:p w14:paraId="65D1BF3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.乙方负责系统安装和调试以及操作人员培训，并制定详细的培训计划，使操作人员能独立进行管理、操作、维护和故障处理等工作，做好相关记录及技术文档收集整理，待验收合格后移交给甲方。</w:t>
      </w:r>
    </w:p>
    <w:p w14:paraId="4636FCB6">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.供货及服务范围：乙方负责货物的供应、运输、安装调试、免费培训、售后服务。</w:t>
      </w:r>
    </w:p>
    <w:p w14:paraId="2291837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1A294BC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第九条</w:t>
      </w:r>
      <w:r>
        <w:rPr>
          <w:rFonts w:ascii="仿宋" w:hAnsi="仿宋" w:eastAsia="仿宋" w:cs="仿宋"/>
          <w:sz w:val="24"/>
          <w:szCs w:val="24"/>
          <w:highlight w:val="none"/>
          <w:lang w:val="zh-CN"/>
        </w:rPr>
        <w:t xml:space="preserve">  </w:t>
      </w:r>
      <w:r>
        <w:rPr>
          <w:rStyle w:val="29"/>
          <w:rFonts w:hint="eastAsia"/>
          <w:sz w:val="24"/>
          <w:szCs w:val="24"/>
          <w:highlight w:val="none"/>
        </w:rPr>
        <w:t>验收</w:t>
      </w:r>
    </w:p>
    <w:p w14:paraId="1DD48D2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.货物运抵现场后，招标人将对货物数量、质量、规格等进行检验。如发现货物和规格或者两者都与合同不符，招标人有权限根据检验结果要求中标人立即更换或者提出索赔要求。</w:t>
      </w:r>
    </w:p>
    <w:p w14:paraId="23CD8FC0">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.开箱检查设备外观，如有损伤或质量缺陷，乙方应及时更换。</w:t>
      </w:r>
    </w:p>
    <w:p w14:paraId="41331B49">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.依据合同设备清单，对设备品牌、规格型号（技术参数）、数量、质保书等必备附件进行检查。</w:t>
      </w:r>
    </w:p>
    <w:p w14:paraId="6001ABB6">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.货物由中标人进行安装，完毕后，招标人应对货物的数量、质量、规格、性能等进行详细而全面的检验。安装调试完毕</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日内，证明货物以及安装质量无任何问题，甲乙双方共同确认设备正常运行后，由招标人组成的验收小组签署验收报告，作为付款凭据之一。</w:t>
      </w:r>
    </w:p>
    <w:p w14:paraId="59A9FD8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437761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知识产权</w:t>
      </w:r>
    </w:p>
    <w:p w14:paraId="7A28118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14:paraId="6D1FC870">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.乙方为执行本合同而提供的技术资料或者其他相关资料、软件等由甲方永久免费使用。</w:t>
      </w:r>
    </w:p>
    <w:p w14:paraId="4CF5CEA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BE9394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第十一条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甲方责任</w:t>
      </w:r>
    </w:p>
    <w:p w14:paraId="244670E4">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.及时办理付款手续。</w:t>
      </w:r>
    </w:p>
    <w:p w14:paraId="6E931D0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.负责提供工作场地，协助乙方办理有关事宜。</w:t>
      </w:r>
    </w:p>
    <w:p w14:paraId="16EE4174">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.对合同条款及所知悉的乙方商业秘密负有保密义务。</w:t>
      </w:r>
    </w:p>
    <w:p w14:paraId="22D51C3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66CC073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第十二条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乙方责任</w:t>
      </w:r>
    </w:p>
    <w:p w14:paraId="5B34ABDC">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.保证所供货物均为投标文件承诺的货物，符合相关质量检测标准，具有该产品的出厂标准或国家鉴定证书</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保证其全部部件为全新的未使用的且符合相关质量要求。</w:t>
      </w:r>
    </w:p>
    <w:p w14:paraId="314E6F7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.保证货物的售后服务，严格依据投标文件及相关承诺，对货物及系统进行保修、维护等服务。</w:t>
      </w:r>
    </w:p>
    <w:p w14:paraId="054D4187">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.保证其所供货物不存在侵犯第三方知识产权的行为，否则由此产生的损失由乙方承担。</w:t>
      </w:r>
    </w:p>
    <w:p w14:paraId="3C440B9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F58455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第十三条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违约责任</w:t>
      </w:r>
    </w:p>
    <w:p w14:paraId="2FC6905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.甲乙双方任意一方无故终止合同的，违约方应当按照合同总金额的</w:t>
      </w:r>
      <w:r>
        <w:rPr>
          <w:rFonts w:ascii="仿宋" w:hAnsi="仿宋" w:eastAsia="仿宋" w:cs="仿宋"/>
          <w:sz w:val="24"/>
          <w:szCs w:val="24"/>
          <w:highlight w:val="none"/>
          <w:lang w:val="zh-CN"/>
        </w:rPr>
        <w:t>20%</w:t>
      </w:r>
      <w:r>
        <w:rPr>
          <w:rFonts w:hint="eastAsia" w:ascii="仿宋" w:hAnsi="仿宋" w:eastAsia="仿宋" w:cs="仿宋"/>
          <w:sz w:val="24"/>
          <w:szCs w:val="24"/>
          <w:highlight w:val="none"/>
          <w:lang w:val="zh-CN"/>
        </w:rPr>
        <w:t>向守约方支付违约金。</w:t>
      </w:r>
    </w:p>
    <w:p w14:paraId="01501E3D">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2.乙方逾期交付货物时，每逾</w:t>
      </w: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日乙方向甲方支付合同总金额0.5‰的滞纳金。逾期交货超过</w:t>
      </w:r>
      <w:r>
        <w:rPr>
          <w:rFonts w:ascii="仿宋" w:hAnsi="仿宋" w:eastAsia="仿宋" w:cs="仿宋"/>
          <w:sz w:val="24"/>
          <w:szCs w:val="24"/>
          <w:highlight w:val="none"/>
          <w:lang w:val="zh-CN"/>
        </w:rPr>
        <w:t>30</w:t>
      </w:r>
      <w:r>
        <w:rPr>
          <w:rFonts w:hint="eastAsia" w:ascii="仿宋" w:hAnsi="仿宋" w:eastAsia="仿宋" w:cs="仿宋"/>
          <w:sz w:val="24"/>
          <w:szCs w:val="24"/>
          <w:highlight w:val="none"/>
          <w:lang w:val="zh-CN"/>
        </w:rPr>
        <w:t>日的，甲方有权决定是否继续履行合同，如甲方决定终止履行合同的，乙方应按照第1款的规定赔偿甲方违约金。</w:t>
      </w:r>
    </w:p>
    <w:p w14:paraId="2C51C03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szCs w:val="24"/>
          <w:highlight w:val="none"/>
          <w:lang w:val="zh-CN"/>
        </w:rPr>
        <w:t>20%</w:t>
      </w:r>
      <w:r>
        <w:rPr>
          <w:rFonts w:hint="eastAsia" w:ascii="仿宋" w:hAnsi="仿宋" w:eastAsia="仿宋" w:cs="仿宋"/>
          <w:sz w:val="24"/>
          <w:szCs w:val="24"/>
          <w:highlight w:val="none"/>
          <w:lang w:val="zh-CN"/>
        </w:rPr>
        <w:t>的违约金，如果违约金不足以支付甲方所受损失的，甲方有权要求其赔偿。</w:t>
      </w:r>
    </w:p>
    <w:p w14:paraId="187829A4">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4.在质保期内产品出现质量问题，乙方必须在接到甲方通知后</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小时内到达现场解决，否则甲方有权另请单位解决，由此产生的费用由乙方承担，甲方有权从质保金中扣除相关费用，产生的损失由乙方赔偿。</w:t>
      </w:r>
    </w:p>
    <w:p w14:paraId="3CBCF68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5.甲乙双方违背其他合同条款，违约方赔偿对方损失。</w:t>
      </w:r>
    </w:p>
    <w:p w14:paraId="661873D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5E7E2620">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第十四条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不可抗力</w:t>
      </w:r>
    </w:p>
    <w:p w14:paraId="14A6902C">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295DD50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450F191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第十五条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保密</w:t>
      </w:r>
    </w:p>
    <w:p w14:paraId="5909AEB9">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7E340522">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乙方违反本合同所规定的保密义务，应按照本合同总金额的</w:t>
      </w:r>
      <w:r>
        <w:rPr>
          <w:rFonts w:ascii="仿宋" w:hAnsi="仿宋" w:eastAsia="仿宋" w:cs="仿宋"/>
          <w:sz w:val="24"/>
          <w:szCs w:val="24"/>
          <w:highlight w:val="none"/>
          <w:lang w:val="zh-CN"/>
        </w:rPr>
        <w:t>10%</w:t>
      </w:r>
      <w:r>
        <w:rPr>
          <w:rFonts w:hint="eastAsia" w:ascii="仿宋" w:hAnsi="仿宋" w:eastAsia="仿宋" w:cs="仿宋"/>
          <w:sz w:val="24"/>
          <w:szCs w:val="24"/>
          <w:highlight w:val="none"/>
          <w:lang w:val="zh-CN"/>
        </w:rPr>
        <w:t>支付违约金。</w:t>
      </w:r>
    </w:p>
    <w:p w14:paraId="6B06560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37752575">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第十六条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争议解决</w:t>
      </w:r>
    </w:p>
    <w:p w14:paraId="73F1A08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甲乙双方在合同履行中发生争议，应通过协商解决。如协商不成，可以向合同签订地法院提起诉讼。</w:t>
      </w:r>
    </w:p>
    <w:p w14:paraId="15B7557F">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71F1BA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第十七条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合同生效及其它</w:t>
      </w:r>
    </w:p>
    <w:p w14:paraId="54EAB6A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.除招标文件规定且甲方事先书面同意外，乙方不得部分或者全部转让、分包履行其应履行的合同项下的义务。</w:t>
      </w:r>
    </w:p>
    <w:p w14:paraId="12651503">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.合同由甲、乙双方法定代表人（或者被授权代表）签字并加盖单位公章，以最后一方签字日期为合同生效日期。</w:t>
      </w:r>
    </w:p>
    <w:p w14:paraId="101AE5B1">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.本合同一式六份，甲方一份，乙方一份，采购代理机构二份，市财政局一份，市公共资源交易管理办公室一份。</w:t>
      </w:r>
    </w:p>
    <w:p w14:paraId="31B5295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01508886">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第十八条</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本合同附件</w:t>
      </w:r>
    </w:p>
    <w:p w14:paraId="28F76DF4">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.中标通知书；</w:t>
      </w:r>
    </w:p>
    <w:p w14:paraId="3D2A1F38">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.政府采购招标文件（含招标文件的澄清、修改等）；</w:t>
      </w:r>
    </w:p>
    <w:p w14:paraId="13C7644A">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3</w:t>
      </w:r>
      <w:r>
        <w:rPr>
          <w:rFonts w:hint="eastAsia" w:ascii="仿宋" w:hAnsi="仿宋" w:eastAsia="仿宋" w:cs="仿宋"/>
          <w:sz w:val="24"/>
          <w:szCs w:val="24"/>
          <w:highlight w:val="none"/>
          <w:lang w:val="zh-CN"/>
        </w:rPr>
        <w:t>.乙方投标文件；</w:t>
      </w:r>
    </w:p>
    <w:p w14:paraId="60C805A5">
      <w:pPr>
        <w:spacing w:line="440" w:lineRule="exact"/>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4</w:t>
      </w:r>
      <w:r>
        <w:rPr>
          <w:rFonts w:hint="eastAsia" w:ascii="仿宋" w:hAnsi="仿宋" w:eastAsia="仿宋" w:cs="仿宋"/>
          <w:sz w:val="24"/>
          <w:szCs w:val="24"/>
          <w:highlight w:val="none"/>
          <w:lang w:val="zh-CN"/>
        </w:rPr>
        <w:t>.中标人在评标过程中做出的有关澄清、说明、承诺或者补正文件（材料）；</w:t>
      </w:r>
    </w:p>
    <w:p w14:paraId="5519435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p w14:paraId="68249E57">
      <w:pPr>
        <w:spacing w:line="440" w:lineRule="exact"/>
        <w:ind w:firstLine="480" w:firstLineChars="200"/>
        <w:rPr>
          <w:rFonts w:ascii="仿宋" w:hAnsi="仿宋" w:eastAsia="仿宋" w:cs="仿宋"/>
          <w:sz w:val="24"/>
          <w:szCs w:val="24"/>
          <w:highlight w:val="none"/>
          <w:lang w:val="zh-CN"/>
        </w:rPr>
      </w:pPr>
    </w:p>
    <w:p w14:paraId="741BDA13">
      <w:pPr>
        <w:spacing w:line="440" w:lineRule="exact"/>
        <w:ind w:firstLine="480" w:firstLineChars="200"/>
        <w:rPr>
          <w:rFonts w:ascii="仿宋" w:hAnsi="仿宋" w:eastAsia="仿宋" w:cs="仿宋"/>
          <w:sz w:val="24"/>
          <w:szCs w:val="24"/>
          <w:highlight w:val="none"/>
          <w:lang w:val="zh-CN"/>
        </w:rPr>
      </w:pPr>
    </w:p>
    <w:p w14:paraId="764F2326">
      <w:pPr>
        <w:spacing w:line="440" w:lineRule="exact"/>
        <w:ind w:firstLine="480" w:firstLineChars="200"/>
        <w:rPr>
          <w:rFonts w:ascii="仿宋" w:hAnsi="仿宋" w:eastAsia="仿宋" w:cs="仿宋"/>
          <w:sz w:val="24"/>
          <w:szCs w:val="24"/>
          <w:highlight w:val="none"/>
          <w:lang w:val="zh-CN"/>
        </w:rPr>
      </w:pPr>
    </w:p>
    <w:p w14:paraId="336685A3">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甲</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方：</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乙</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方：</w:t>
      </w:r>
    </w:p>
    <w:p w14:paraId="0F6BCB7A">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单位名称</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单位名称</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w:t>
      </w:r>
    </w:p>
    <w:p w14:paraId="26C20F47">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法定代表人（授权代表）签字：</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法定代表人（授权代表）签字：</w:t>
      </w:r>
    </w:p>
    <w:p w14:paraId="770DEFCE">
      <w:pPr>
        <w:spacing w:line="44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电</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话：</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话：</w:t>
      </w:r>
    </w:p>
    <w:p w14:paraId="684A9593">
      <w:pPr>
        <w:spacing w:line="440" w:lineRule="exact"/>
        <w:ind w:firstLine="480" w:firstLineChars="200"/>
        <w:rPr>
          <w:rFonts w:ascii="仿宋" w:hAnsi="仿宋" w:eastAsia="仿宋" w:cs="仿宋"/>
          <w:sz w:val="24"/>
          <w:szCs w:val="24"/>
          <w:highlight w:val="none"/>
          <w:lang w:val="zh-CN"/>
        </w:rPr>
      </w:pPr>
    </w:p>
    <w:p w14:paraId="6C1702DB">
      <w:pPr>
        <w:spacing w:line="440" w:lineRule="exact"/>
        <w:ind w:firstLine="480" w:firstLineChars="200"/>
        <w:rPr>
          <w:rFonts w:ascii="仿宋" w:hAnsi="仿宋" w:eastAsia="仿宋" w:cs="仿宋"/>
          <w:sz w:val="24"/>
          <w:szCs w:val="24"/>
          <w:highlight w:val="none"/>
          <w:lang w:val="zh-CN"/>
        </w:rPr>
      </w:pPr>
    </w:p>
    <w:p w14:paraId="3B72B105">
      <w:pPr>
        <w:spacing w:line="440" w:lineRule="exact"/>
        <w:ind w:firstLine="2400" w:firstLineChars="10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年</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日</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日</w:t>
      </w:r>
    </w:p>
    <w:p w14:paraId="542C2C5C">
      <w:pPr>
        <w:spacing w:line="440" w:lineRule="exact"/>
        <w:rPr>
          <w:rFonts w:ascii="宋体" w:hAnsi="宋体" w:cs="仿宋"/>
          <w:szCs w:val="21"/>
          <w:highlight w:val="none"/>
          <w:lang w:val="zh-CN"/>
        </w:rPr>
      </w:pPr>
    </w:p>
    <w:p w14:paraId="58B3C858">
      <w:pPr>
        <w:spacing w:line="440" w:lineRule="exact"/>
        <w:rPr>
          <w:rFonts w:ascii="宋体" w:hAnsi="宋体" w:cs="仿宋"/>
          <w:szCs w:val="21"/>
          <w:highlight w:val="none"/>
          <w:lang w:val="zh-CN"/>
        </w:rPr>
        <w:sectPr>
          <w:footerReference r:id="rId6" w:type="default"/>
          <w:pgSz w:w="11906" w:h="16838"/>
          <w:pgMar w:top="1440" w:right="1440" w:bottom="1440" w:left="1440" w:header="851" w:footer="992" w:gutter="0"/>
          <w:cols w:space="0" w:num="1"/>
          <w:docGrid w:type="lines" w:linePitch="317" w:charSpace="0"/>
        </w:sectPr>
      </w:pPr>
    </w:p>
    <w:p w14:paraId="5DA4617B">
      <w:pPr>
        <w:spacing w:afterLines="50" w:line="440" w:lineRule="exact"/>
        <w:jc w:val="center"/>
        <w:outlineLvl w:val="1"/>
        <w:rPr>
          <w:rFonts w:ascii="黑体" w:hAnsi="黑体" w:eastAsia="黑体"/>
          <w:sz w:val="32"/>
          <w:szCs w:val="32"/>
          <w:highlight w:val="none"/>
        </w:rPr>
      </w:pPr>
      <w:bookmarkStart w:id="150" w:name="_Toc494455695"/>
      <w:bookmarkStart w:id="151" w:name="_Toc11459"/>
      <w:bookmarkStart w:id="152" w:name="_Toc18208"/>
      <w:r>
        <w:rPr>
          <w:rFonts w:ascii="黑体" w:hAnsi="黑体" w:eastAsia="黑体"/>
          <w:sz w:val="32"/>
          <w:szCs w:val="32"/>
          <w:highlight w:val="none"/>
        </w:rPr>
        <w:t>第</w:t>
      </w:r>
      <w:r>
        <w:rPr>
          <w:rFonts w:hint="eastAsia" w:ascii="黑体" w:hAnsi="黑体" w:eastAsia="黑体"/>
          <w:sz w:val="32"/>
          <w:szCs w:val="32"/>
          <w:highlight w:val="none"/>
        </w:rPr>
        <w:t>六</w:t>
      </w:r>
      <w:r>
        <w:rPr>
          <w:rFonts w:ascii="黑体" w:hAnsi="黑体" w:eastAsia="黑体"/>
          <w:sz w:val="32"/>
          <w:szCs w:val="32"/>
          <w:highlight w:val="none"/>
        </w:rPr>
        <w:t>章</w:t>
      </w:r>
      <w:r>
        <w:rPr>
          <w:rFonts w:hint="eastAsia" w:ascii="黑体" w:hAnsi="黑体" w:eastAsia="黑体"/>
          <w:sz w:val="32"/>
          <w:szCs w:val="32"/>
          <w:highlight w:val="none"/>
        </w:rPr>
        <w:t xml:space="preserve">  投标文件</w:t>
      </w:r>
      <w:bookmarkEnd w:id="150"/>
      <w:r>
        <w:rPr>
          <w:rFonts w:hint="eastAsia" w:ascii="黑体" w:hAnsi="黑体" w:eastAsia="黑体"/>
          <w:sz w:val="32"/>
          <w:szCs w:val="32"/>
          <w:highlight w:val="none"/>
        </w:rPr>
        <w:t>格式</w:t>
      </w:r>
      <w:bookmarkEnd w:id="151"/>
      <w:bookmarkEnd w:id="152"/>
    </w:p>
    <w:p w14:paraId="4D2E80A6">
      <w:pPr>
        <w:spacing w:afterLines="50" w:line="440" w:lineRule="exact"/>
        <w:jc w:val="right"/>
        <w:rPr>
          <w:rFonts w:ascii="黑体" w:hAnsi="黑体" w:eastAsia="黑体" w:cs="黑体"/>
          <w:kern w:val="1"/>
          <w:sz w:val="36"/>
          <w:szCs w:val="36"/>
          <w:highlight w:val="none"/>
        </w:rPr>
      </w:pPr>
    </w:p>
    <w:p w14:paraId="32EA15A6">
      <w:pPr>
        <w:spacing w:afterLines="50" w:line="440" w:lineRule="exact"/>
        <w:jc w:val="right"/>
        <w:rPr>
          <w:rFonts w:ascii="黑体" w:hAnsi="黑体" w:eastAsia="黑体" w:cs="黑体"/>
          <w:kern w:val="1"/>
          <w:sz w:val="36"/>
          <w:szCs w:val="36"/>
          <w:highlight w:val="none"/>
        </w:rPr>
      </w:pPr>
    </w:p>
    <w:p w14:paraId="041D9BE4">
      <w:pPr>
        <w:spacing w:afterLines="50" w:line="440" w:lineRule="exact"/>
        <w:jc w:val="center"/>
        <w:rPr>
          <w:rFonts w:ascii="黑体" w:hAnsi="黑体" w:eastAsia="黑体" w:cs="黑体"/>
          <w:kern w:val="1"/>
          <w:sz w:val="36"/>
          <w:szCs w:val="36"/>
          <w:highlight w:val="none"/>
        </w:rPr>
      </w:pPr>
      <w:r>
        <w:rPr>
          <w:rFonts w:hint="eastAsia" w:ascii="黑体" w:hAnsi="黑体" w:eastAsia="黑体" w:cs="黑体"/>
          <w:kern w:val="1"/>
          <w:sz w:val="36"/>
          <w:szCs w:val="36"/>
          <w:highlight w:val="none"/>
        </w:rPr>
        <w:br w:type="page"/>
      </w:r>
    </w:p>
    <w:p w14:paraId="51D47A6B">
      <w:pPr>
        <w:widowControl/>
        <w:autoSpaceDE w:val="0"/>
        <w:autoSpaceDN w:val="0"/>
        <w:adjustRightInd w:val="0"/>
        <w:ind w:right="-481"/>
        <w:jc w:val="center"/>
        <w:rPr>
          <w:highlight w:val="none"/>
        </w:rPr>
      </w:pPr>
      <w:bookmarkStart w:id="153" w:name="_Toc23525"/>
      <w:r>
        <w:rPr>
          <w:rFonts w:hint="eastAsia"/>
          <w:sz w:val="28"/>
          <w:szCs w:val="28"/>
          <w:highlight w:val="none"/>
        </w:rPr>
        <w:t>密封档案袋封面格式：</w:t>
      </w:r>
      <w:bookmarkEnd w:id="153"/>
    </w:p>
    <w:p w14:paraId="5F29126A">
      <w:pPr>
        <w:spacing w:line="360" w:lineRule="auto"/>
        <w:jc w:val="center"/>
        <w:rPr>
          <w:highlight w:val="none"/>
        </w:rPr>
      </w:pPr>
      <w:r>
        <w:rPr>
          <w:rFonts w:hint="eastAsia"/>
          <w:b/>
          <w:bCs/>
          <w:sz w:val="52"/>
          <w:szCs w:val="52"/>
          <w:highlight w:val="none"/>
          <w:u w:val="single"/>
        </w:rPr>
        <w:t xml:space="preserve">****          </w:t>
      </w:r>
      <w:r>
        <w:rPr>
          <w:rFonts w:hint="eastAsia"/>
          <w:b/>
          <w:bCs/>
          <w:sz w:val="52"/>
          <w:szCs w:val="52"/>
          <w:highlight w:val="none"/>
        </w:rPr>
        <w:t>项目</w:t>
      </w:r>
    </w:p>
    <w:p w14:paraId="3286D89C">
      <w:pPr>
        <w:spacing w:line="360" w:lineRule="auto"/>
        <w:jc w:val="center"/>
        <w:rPr>
          <w:sz w:val="30"/>
          <w:szCs w:val="30"/>
          <w:highlight w:val="none"/>
        </w:rPr>
      </w:pPr>
      <w:r>
        <w:rPr>
          <w:rFonts w:hint="eastAsia"/>
          <w:sz w:val="30"/>
          <w:szCs w:val="30"/>
          <w:highlight w:val="none"/>
        </w:rPr>
        <w:t>项目编号：</w:t>
      </w:r>
    </w:p>
    <w:p w14:paraId="764F13D8">
      <w:pPr>
        <w:spacing w:line="360" w:lineRule="auto"/>
        <w:rPr>
          <w:highlight w:val="none"/>
        </w:rPr>
      </w:pPr>
    </w:p>
    <w:p w14:paraId="6AE82933">
      <w:pPr>
        <w:spacing w:line="360" w:lineRule="auto"/>
        <w:rPr>
          <w:highlight w:val="none"/>
        </w:rPr>
      </w:pPr>
    </w:p>
    <w:p w14:paraId="2E7AFC28">
      <w:pPr>
        <w:spacing w:line="360" w:lineRule="auto"/>
        <w:rPr>
          <w:highlight w:val="none"/>
        </w:rPr>
      </w:pPr>
    </w:p>
    <w:p w14:paraId="125AA37F">
      <w:pPr>
        <w:spacing w:line="360" w:lineRule="auto"/>
        <w:rPr>
          <w:highlight w:val="none"/>
        </w:rPr>
      </w:pPr>
    </w:p>
    <w:p w14:paraId="0762EED1">
      <w:pPr>
        <w:spacing w:line="360" w:lineRule="auto"/>
        <w:rPr>
          <w:highlight w:val="none"/>
        </w:rPr>
      </w:pPr>
    </w:p>
    <w:p w14:paraId="4BAA7A00">
      <w:pPr>
        <w:spacing w:line="360" w:lineRule="auto"/>
        <w:jc w:val="center"/>
        <w:rPr>
          <w:sz w:val="72"/>
          <w:szCs w:val="144"/>
          <w:highlight w:val="none"/>
        </w:rPr>
      </w:pPr>
      <w:r>
        <w:rPr>
          <w:rFonts w:hint="eastAsia"/>
          <w:b/>
          <w:bCs/>
          <w:sz w:val="72"/>
          <w:szCs w:val="144"/>
          <w:highlight w:val="none"/>
        </w:rPr>
        <w:t>商 务（技 术） 文 件</w:t>
      </w:r>
    </w:p>
    <w:p w14:paraId="47979707">
      <w:pPr>
        <w:spacing w:line="360" w:lineRule="auto"/>
        <w:jc w:val="center"/>
        <w:rPr>
          <w:sz w:val="44"/>
          <w:szCs w:val="52"/>
          <w:highlight w:val="none"/>
        </w:rPr>
      </w:pPr>
    </w:p>
    <w:p w14:paraId="41BA4BBE">
      <w:pPr>
        <w:spacing w:line="360" w:lineRule="auto"/>
        <w:jc w:val="center"/>
        <w:rPr>
          <w:sz w:val="72"/>
          <w:szCs w:val="144"/>
          <w:highlight w:val="none"/>
        </w:rPr>
      </w:pPr>
    </w:p>
    <w:p w14:paraId="41987F1F">
      <w:pPr>
        <w:spacing w:line="360" w:lineRule="auto"/>
        <w:jc w:val="center"/>
        <w:rPr>
          <w:sz w:val="72"/>
          <w:szCs w:val="144"/>
          <w:highlight w:val="none"/>
        </w:rPr>
      </w:pPr>
    </w:p>
    <w:p w14:paraId="1C498E49">
      <w:pPr>
        <w:spacing w:line="360" w:lineRule="auto"/>
        <w:rPr>
          <w:rFonts w:ascii="宋体" w:hAnsi="宋体" w:cs="宋体"/>
          <w:sz w:val="28"/>
          <w:szCs w:val="28"/>
          <w:highlight w:val="none"/>
        </w:rPr>
      </w:pPr>
      <w:bookmarkStart w:id="154" w:name="_Toc32738"/>
      <w:r>
        <w:rPr>
          <w:rFonts w:hint="eastAsia" w:ascii="宋体" w:hAnsi="宋体" w:cs="宋体"/>
          <w:sz w:val="28"/>
          <w:szCs w:val="28"/>
          <w:highlight w:val="none"/>
        </w:rPr>
        <w:t>投标人名称：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（盖章）</w:t>
      </w:r>
      <w:bookmarkEnd w:id="154"/>
    </w:p>
    <w:p w14:paraId="0FB30010">
      <w:pPr>
        <w:spacing w:line="360" w:lineRule="auto"/>
        <w:rPr>
          <w:rFonts w:ascii="宋体" w:hAnsi="宋体" w:cs="宋体"/>
          <w:sz w:val="28"/>
          <w:szCs w:val="28"/>
          <w:highlight w:val="none"/>
        </w:rPr>
      </w:pPr>
      <w:bookmarkStart w:id="155" w:name="_Toc6652"/>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bookmarkEnd w:id="155"/>
    </w:p>
    <w:p w14:paraId="7545B6AB">
      <w:pPr>
        <w:spacing w:line="360" w:lineRule="auto"/>
        <w:rPr>
          <w:rFonts w:ascii="宋体" w:hAnsi="宋体" w:cs="宋体"/>
          <w:sz w:val="28"/>
          <w:szCs w:val="28"/>
          <w:highlight w:val="none"/>
          <w:u w:val="single"/>
        </w:rPr>
      </w:pPr>
      <w:bookmarkStart w:id="156" w:name="_Toc3693"/>
      <w:r>
        <w:rPr>
          <w:rFonts w:hint="eastAsia" w:ascii="宋体" w:hAnsi="宋体" w:cs="宋体"/>
          <w:sz w:val="28"/>
          <w:szCs w:val="28"/>
          <w:highlight w:val="none"/>
        </w:rPr>
        <w:t>投标人地址：</w:t>
      </w:r>
      <w:bookmarkEnd w:id="156"/>
      <w:r>
        <w:rPr>
          <w:rFonts w:hint="eastAsia" w:ascii="宋体" w:hAnsi="宋体" w:cs="宋体"/>
          <w:sz w:val="28"/>
          <w:szCs w:val="28"/>
          <w:highlight w:val="none"/>
          <w:u w:val="single"/>
        </w:rPr>
        <w:t xml:space="preserve">                   </w:t>
      </w:r>
    </w:p>
    <w:p w14:paraId="12C6D3AF">
      <w:pPr>
        <w:spacing w:line="360" w:lineRule="auto"/>
        <w:rPr>
          <w:rFonts w:ascii="宋体" w:hAnsi="宋体" w:cs="宋体"/>
          <w:sz w:val="28"/>
          <w:szCs w:val="28"/>
          <w:highlight w:val="none"/>
        </w:rPr>
      </w:pPr>
      <w:bookmarkStart w:id="157" w:name="_Toc10765"/>
      <w:r>
        <w:rPr>
          <w:rFonts w:hint="eastAsia" w:ascii="宋体" w:hAnsi="宋体" w:cs="宋体"/>
          <w:sz w:val="28"/>
          <w:szCs w:val="28"/>
          <w:highlight w:val="none"/>
        </w:rPr>
        <w:t>联  系  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联系电话：</w:t>
      </w:r>
      <w:bookmarkEnd w:id="157"/>
      <w:r>
        <w:rPr>
          <w:rFonts w:hint="eastAsia" w:ascii="宋体" w:hAnsi="宋体" w:cs="宋体"/>
          <w:sz w:val="28"/>
          <w:szCs w:val="28"/>
          <w:highlight w:val="none"/>
          <w:u w:val="single"/>
        </w:rPr>
        <w:t xml:space="preserve">           </w:t>
      </w:r>
    </w:p>
    <w:p w14:paraId="77D9DFCB">
      <w:pPr>
        <w:spacing w:line="360" w:lineRule="auto"/>
        <w:rPr>
          <w:rFonts w:ascii="宋体" w:hAnsi="宋体" w:cs="宋体"/>
          <w:sz w:val="28"/>
          <w:szCs w:val="28"/>
          <w:highlight w:val="none"/>
        </w:rPr>
      </w:pPr>
      <w:bookmarkStart w:id="158" w:name="_Toc26817"/>
      <w:r>
        <w:rPr>
          <w:rFonts w:hint="eastAsia" w:ascii="宋体" w:hAnsi="宋体" w:cs="宋体"/>
          <w:sz w:val="28"/>
          <w:szCs w:val="28"/>
          <w:highlight w:val="none"/>
        </w:rPr>
        <w:t>年   月    日</w:t>
      </w:r>
      <w:bookmarkEnd w:id="158"/>
    </w:p>
    <w:p w14:paraId="62344EF7">
      <w:pPr>
        <w:spacing w:line="360" w:lineRule="auto"/>
        <w:rPr>
          <w:sz w:val="28"/>
          <w:szCs w:val="28"/>
          <w:highlight w:val="none"/>
        </w:rPr>
      </w:pPr>
    </w:p>
    <w:p w14:paraId="105B196F">
      <w:pPr>
        <w:widowControl/>
        <w:autoSpaceDE w:val="0"/>
        <w:autoSpaceDN w:val="0"/>
        <w:adjustRightInd w:val="0"/>
        <w:spacing w:before="260" w:after="260"/>
        <w:ind w:right="-482"/>
        <w:jc w:val="center"/>
        <w:rPr>
          <w:rFonts w:ascii="宋体" w:hAnsi="宋体"/>
          <w:kern w:val="1"/>
          <w:sz w:val="30"/>
          <w:szCs w:val="30"/>
          <w:highlight w:val="none"/>
        </w:rPr>
      </w:pPr>
      <w:r>
        <w:rPr>
          <w:sz w:val="28"/>
          <w:szCs w:val="28"/>
          <w:highlight w:val="none"/>
        </w:rPr>
        <w:t>在  年  月  日  时  分之前不得启封</w:t>
      </w:r>
      <w:r>
        <w:rPr>
          <w:rFonts w:hint="eastAsia"/>
          <w:highlight w:val="none"/>
        </w:rPr>
        <w:br w:type="page"/>
      </w:r>
      <w:r>
        <w:rPr>
          <w:rFonts w:hint="eastAsia" w:ascii="宋体" w:hAnsi="宋体" w:cs="宋体"/>
          <w:kern w:val="1"/>
          <w:sz w:val="30"/>
          <w:szCs w:val="30"/>
          <w:highlight w:val="none"/>
        </w:rPr>
        <w:t>目 录</w:t>
      </w:r>
    </w:p>
    <w:p w14:paraId="52453912">
      <w:pPr>
        <w:widowControl/>
        <w:autoSpaceDE w:val="0"/>
        <w:autoSpaceDN w:val="0"/>
        <w:adjustRightInd w:val="0"/>
        <w:spacing w:line="440" w:lineRule="exact"/>
        <w:ind w:right="-481"/>
        <w:rPr>
          <w:rFonts w:ascii="宋体" w:hAnsi="宋体" w:cs="Arial"/>
          <w:kern w:val="1"/>
          <w:sz w:val="24"/>
          <w:szCs w:val="24"/>
          <w:highlight w:val="none"/>
        </w:rPr>
      </w:pPr>
    </w:p>
    <w:p w14:paraId="4B578939">
      <w:pPr>
        <w:widowControl/>
        <w:autoSpaceDE w:val="0"/>
        <w:autoSpaceDN w:val="0"/>
        <w:adjustRightInd w:val="0"/>
        <w:spacing w:line="440" w:lineRule="exact"/>
        <w:ind w:right="-482" w:firstLine="480"/>
        <w:rPr>
          <w:rStyle w:val="29"/>
          <w:sz w:val="24"/>
          <w:szCs w:val="24"/>
          <w:highlight w:val="none"/>
        </w:rPr>
      </w:pPr>
      <w:r>
        <w:rPr>
          <w:rStyle w:val="29"/>
          <w:rFonts w:hint="eastAsia"/>
          <w:sz w:val="24"/>
          <w:szCs w:val="24"/>
          <w:highlight w:val="none"/>
        </w:rPr>
        <w:t>一、投标函；</w:t>
      </w:r>
    </w:p>
    <w:p w14:paraId="644ED62E">
      <w:pPr>
        <w:widowControl/>
        <w:autoSpaceDE w:val="0"/>
        <w:autoSpaceDN w:val="0"/>
        <w:adjustRightInd w:val="0"/>
        <w:spacing w:line="440" w:lineRule="exact"/>
        <w:ind w:right="-482" w:firstLine="480"/>
        <w:rPr>
          <w:rStyle w:val="29"/>
          <w:sz w:val="24"/>
          <w:szCs w:val="24"/>
          <w:highlight w:val="none"/>
        </w:rPr>
      </w:pPr>
      <w:r>
        <w:rPr>
          <w:rStyle w:val="29"/>
          <w:rFonts w:hint="eastAsia"/>
          <w:sz w:val="24"/>
          <w:szCs w:val="24"/>
          <w:highlight w:val="none"/>
        </w:rPr>
        <w:t>二、投标报价一览表；</w:t>
      </w:r>
    </w:p>
    <w:p w14:paraId="0E62840B">
      <w:pPr>
        <w:widowControl/>
        <w:autoSpaceDE w:val="0"/>
        <w:autoSpaceDN w:val="0"/>
        <w:adjustRightInd w:val="0"/>
        <w:spacing w:line="440" w:lineRule="exact"/>
        <w:ind w:right="-482" w:firstLine="480"/>
        <w:rPr>
          <w:rStyle w:val="29"/>
          <w:sz w:val="24"/>
          <w:szCs w:val="24"/>
          <w:highlight w:val="none"/>
        </w:rPr>
      </w:pPr>
      <w:r>
        <w:rPr>
          <w:rFonts w:hint="eastAsia" w:ascii="仿宋" w:hAnsi="仿宋" w:eastAsia="仿宋"/>
          <w:kern w:val="1"/>
          <w:sz w:val="24"/>
          <w:szCs w:val="24"/>
          <w:highlight w:val="none"/>
        </w:rPr>
        <w:t>三、</w:t>
      </w:r>
      <w:r>
        <w:rPr>
          <w:rStyle w:val="29"/>
          <w:rFonts w:hint="eastAsia"/>
          <w:sz w:val="24"/>
          <w:szCs w:val="24"/>
          <w:highlight w:val="none"/>
        </w:rPr>
        <w:t>分项报价明细表</w:t>
      </w:r>
      <w:r>
        <w:rPr>
          <w:rFonts w:hint="eastAsia" w:ascii="仿宋" w:hAnsi="仿宋" w:eastAsia="仿宋"/>
          <w:kern w:val="1"/>
          <w:sz w:val="24"/>
          <w:szCs w:val="24"/>
          <w:highlight w:val="none"/>
        </w:rPr>
        <w:t>；</w:t>
      </w:r>
    </w:p>
    <w:p w14:paraId="28F7CB94">
      <w:pPr>
        <w:widowControl/>
        <w:autoSpaceDE w:val="0"/>
        <w:autoSpaceDN w:val="0"/>
        <w:adjustRightInd w:val="0"/>
        <w:spacing w:line="440" w:lineRule="exact"/>
        <w:ind w:right="-482" w:firstLine="480"/>
        <w:rPr>
          <w:rStyle w:val="29"/>
          <w:sz w:val="24"/>
          <w:szCs w:val="24"/>
          <w:highlight w:val="none"/>
        </w:rPr>
      </w:pPr>
      <w:r>
        <w:rPr>
          <w:rStyle w:val="29"/>
          <w:rFonts w:hint="eastAsia"/>
          <w:sz w:val="24"/>
          <w:szCs w:val="24"/>
          <w:highlight w:val="none"/>
        </w:rPr>
        <w:t>四、联合投标协议书；</w:t>
      </w:r>
    </w:p>
    <w:p w14:paraId="72A14A26">
      <w:pPr>
        <w:widowControl/>
        <w:autoSpaceDE w:val="0"/>
        <w:autoSpaceDN w:val="0"/>
        <w:adjustRightInd w:val="0"/>
        <w:spacing w:line="440" w:lineRule="exact"/>
        <w:ind w:right="-482" w:firstLine="480"/>
        <w:rPr>
          <w:rFonts w:hint="eastAsia" w:ascii="仿宋" w:hAnsi="仿宋" w:eastAsia="仿宋"/>
          <w:kern w:val="1"/>
          <w:sz w:val="24"/>
          <w:szCs w:val="24"/>
          <w:highlight w:val="none"/>
          <w:lang w:eastAsia="zh-CN"/>
        </w:rPr>
      </w:pPr>
      <w:r>
        <w:rPr>
          <w:rStyle w:val="29"/>
          <w:rFonts w:hint="eastAsia"/>
          <w:sz w:val="24"/>
          <w:szCs w:val="24"/>
          <w:highlight w:val="none"/>
        </w:rPr>
        <w:t>五、</w:t>
      </w:r>
      <w:r>
        <w:rPr>
          <w:rFonts w:ascii="仿宋" w:hAnsi="仿宋" w:eastAsia="仿宋"/>
          <w:kern w:val="1"/>
          <w:sz w:val="24"/>
          <w:szCs w:val="24"/>
          <w:highlight w:val="none"/>
        </w:rPr>
        <w:t>法定代表人身份证明</w:t>
      </w:r>
      <w:r>
        <w:rPr>
          <w:rFonts w:hint="eastAsia" w:ascii="仿宋" w:hAnsi="仿宋" w:eastAsia="仿宋"/>
          <w:kern w:val="1"/>
          <w:sz w:val="24"/>
          <w:szCs w:val="24"/>
          <w:highlight w:val="none"/>
          <w:lang w:eastAsia="zh-CN"/>
        </w:rPr>
        <w:t>；</w:t>
      </w:r>
    </w:p>
    <w:p w14:paraId="1D667576">
      <w:pPr>
        <w:widowControl/>
        <w:autoSpaceDE w:val="0"/>
        <w:autoSpaceDN w:val="0"/>
        <w:adjustRightInd w:val="0"/>
        <w:spacing w:line="440" w:lineRule="exact"/>
        <w:ind w:right="-482" w:firstLine="480"/>
        <w:rPr>
          <w:rStyle w:val="29"/>
          <w:rFonts w:hint="eastAsia" w:cs="Times New Roman"/>
          <w:sz w:val="24"/>
          <w:szCs w:val="24"/>
          <w:highlight w:val="none"/>
        </w:rPr>
      </w:pPr>
      <w:r>
        <w:rPr>
          <w:rStyle w:val="29"/>
          <w:rFonts w:hint="eastAsia" w:cs="Times New Roman"/>
          <w:sz w:val="24"/>
          <w:szCs w:val="24"/>
          <w:highlight w:val="none"/>
          <w:lang w:val="en-US" w:eastAsia="zh-CN"/>
        </w:rPr>
        <w:t>六</w:t>
      </w:r>
      <w:r>
        <w:rPr>
          <w:rStyle w:val="29"/>
          <w:rFonts w:hint="eastAsia" w:cs="Times New Roman"/>
          <w:sz w:val="24"/>
          <w:szCs w:val="24"/>
          <w:highlight w:val="none"/>
        </w:rPr>
        <w:t>、投标人情况介绍；</w:t>
      </w:r>
    </w:p>
    <w:p w14:paraId="7F951DAC">
      <w:pPr>
        <w:widowControl/>
        <w:autoSpaceDE w:val="0"/>
        <w:autoSpaceDN w:val="0"/>
        <w:adjustRightInd w:val="0"/>
        <w:spacing w:line="440" w:lineRule="exact"/>
        <w:ind w:right="-482" w:firstLine="480"/>
        <w:rPr>
          <w:rStyle w:val="29"/>
          <w:rFonts w:hint="default" w:cs="Times New Roman"/>
          <w:sz w:val="24"/>
          <w:szCs w:val="24"/>
          <w:highlight w:val="none"/>
          <w:lang w:val="en-US" w:eastAsia="zh-CN"/>
        </w:rPr>
      </w:pPr>
      <w:r>
        <w:rPr>
          <w:rStyle w:val="29"/>
          <w:rFonts w:hint="eastAsia" w:cs="Times New Roman"/>
          <w:sz w:val="24"/>
          <w:szCs w:val="24"/>
          <w:highlight w:val="none"/>
          <w:lang w:val="en-US" w:eastAsia="zh-CN"/>
        </w:rPr>
        <w:t>七</w:t>
      </w:r>
      <w:r>
        <w:rPr>
          <w:rStyle w:val="29"/>
          <w:rFonts w:hint="eastAsia" w:cs="Times New Roman"/>
          <w:sz w:val="24"/>
          <w:szCs w:val="24"/>
          <w:highlight w:val="none"/>
        </w:rPr>
        <w:t>、</w:t>
      </w:r>
      <w:r>
        <w:rPr>
          <w:rStyle w:val="29"/>
          <w:rFonts w:hint="eastAsia" w:cs="Times New Roman"/>
          <w:sz w:val="24"/>
          <w:szCs w:val="24"/>
          <w:highlight w:val="none"/>
          <w:lang w:val="en-US" w:eastAsia="zh-CN"/>
        </w:rPr>
        <w:t>完税证明和社保缴纳证明；</w:t>
      </w:r>
    </w:p>
    <w:p w14:paraId="3C8715E0">
      <w:pPr>
        <w:widowControl/>
        <w:autoSpaceDE w:val="0"/>
        <w:autoSpaceDN w:val="0"/>
        <w:adjustRightInd w:val="0"/>
        <w:spacing w:line="440" w:lineRule="exact"/>
        <w:ind w:right="-482" w:firstLine="480"/>
        <w:rPr>
          <w:rStyle w:val="29"/>
          <w:rFonts w:hint="eastAsia" w:cs="Times New Roman"/>
          <w:sz w:val="24"/>
          <w:szCs w:val="24"/>
          <w:highlight w:val="none"/>
          <w:lang w:eastAsia="zh-CN"/>
        </w:rPr>
      </w:pPr>
      <w:r>
        <w:rPr>
          <w:rStyle w:val="29"/>
          <w:rFonts w:hint="eastAsia" w:cs="Times New Roman"/>
          <w:sz w:val="24"/>
          <w:szCs w:val="24"/>
          <w:highlight w:val="none"/>
          <w:lang w:val="en-US" w:eastAsia="zh-CN"/>
        </w:rPr>
        <w:t>八</w:t>
      </w:r>
      <w:r>
        <w:rPr>
          <w:rStyle w:val="29"/>
          <w:rFonts w:hint="eastAsia" w:cs="Times New Roman"/>
          <w:sz w:val="24"/>
          <w:szCs w:val="24"/>
          <w:highlight w:val="none"/>
        </w:rPr>
        <w:t>、财务状况</w:t>
      </w:r>
      <w:r>
        <w:rPr>
          <w:rStyle w:val="29"/>
          <w:rFonts w:hint="eastAsia" w:cs="Times New Roman"/>
          <w:sz w:val="24"/>
          <w:szCs w:val="24"/>
          <w:highlight w:val="none"/>
          <w:lang w:eastAsia="zh-CN"/>
        </w:rPr>
        <w:t>；</w:t>
      </w:r>
    </w:p>
    <w:p w14:paraId="6F557641">
      <w:pPr>
        <w:widowControl/>
        <w:autoSpaceDE w:val="0"/>
        <w:autoSpaceDN w:val="0"/>
        <w:adjustRightInd w:val="0"/>
        <w:spacing w:line="440" w:lineRule="exact"/>
        <w:ind w:right="-482" w:firstLine="480"/>
        <w:rPr>
          <w:rStyle w:val="29"/>
          <w:rFonts w:hint="default" w:cs="Times New Roman"/>
          <w:sz w:val="24"/>
          <w:szCs w:val="24"/>
          <w:highlight w:val="none"/>
          <w:lang w:val="en-US" w:eastAsia="zh-CN"/>
        </w:rPr>
      </w:pPr>
      <w:r>
        <w:rPr>
          <w:rStyle w:val="29"/>
          <w:rFonts w:hint="eastAsia" w:cs="Times New Roman"/>
          <w:sz w:val="24"/>
          <w:szCs w:val="24"/>
          <w:highlight w:val="none"/>
          <w:lang w:val="en-US" w:eastAsia="zh-CN"/>
        </w:rPr>
        <w:t xml:space="preserve">九、投标保证金缴存凭证； </w:t>
      </w:r>
    </w:p>
    <w:p w14:paraId="62495EDA">
      <w:pPr>
        <w:widowControl/>
        <w:autoSpaceDE w:val="0"/>
        <w:autoSpaceDN w:val="0"/>
        <w:adjustRightInd w:val="0"/>
        <w:spacing w:line="440" w:lineRule="exact"/>
        <w:ind w:right="-482" w:firstLine="480"/>
        <w:rPr>
          <w:rStyle w:val="29"/>
          <w:rFonts w:hint="eastAsia" w:cs="Times New Roman"/>
          <w:sz w:val="24"/>
          <w:szCs w:val="24"/>
          <w:highlight w:val="none"/>
        </w:rPr>
      </w:pPr>
      <w:r>
        <w:rPr>
          <w:rStyle w:val="29"/>
          <w:rFonts w:hint="eastAsia" w:cs="Times New Roman"/>
          <w:sz w:val="24"/>
          <w:szCs w:val="24"/>
          <w:highlight w:val="none"/>
        </w:rPr>
        <w:t>十、在经营活动中没有重大违法记录的书面声明；</w:t>
      </w:r>
    </w:p>
    <w:p w14:paraId="57419D60">
      <w:pPr>
        <w:widowControl/>
        <w:autoSpaceDE w:val="0"/>
        <w:autoSpaceDN w:val="0"/>
        <w:adjustRightInd w:val="0"/>
        <w:spacing w:line="440" w:lineRule="exact"/>
        <w:ind w:right="-482" w:firstLine="480"/>
        <w:rPr>
          <w:rStyle w:val="29"/>
          <w:rFonts w:hint="eastAsia" w:cs="Times New Roman"/>
          <w:sz w:val="24"/>
          <w:szCs w:val="24"/>
          <w:highlight w:val="none"/>
        </w:rPr>
      </w:pPr>
      <w:r>
        <w:rPr>
          <w:rStyle w:val="29"/>
          <w:rFonts w:hint="eastAsia" w:cs="Times New Roman"/>
          <w:sz w:val="24"/>
          <w:szCs w:val="24"/>
          <w:highlight w:val="none"/>
        </w:rPr>
        <w:t>十</w:t>
      </w:r>
      <w:r>
        <w:rPr>
          <w:rStyle w:val="29"/>
          <w:rFonts w:hint="eastAsia" w:cs="Times New Roman"/>
          <w:sz w:val="24"/>
          <w:szCs w:val="24"/>
          <w:highlight w:val="none"/>
          <w:lang w:val="en-US" w:eastAsia="zh-CN"/>
        </w:rPr>
        <w:t>一</w:t>
      </w:r>
      <w:r>
        <w:rPr>
          <w:rStyle w:val="29"/>
          <w:rFonts w:hint="eastAsia" w:cs="Times New Roman"/>
          <w:sz w:val="24"/>
          <w:szCs w:val="24"/>
          <w:highlight w:val="none"/>
        </w:rPr>
        <w:t>、政府采购诚信承诺书；</w:t>
      </w:r>
    </w:p>
    <w:p w14:paraId="1334552C">
      <w:pPr>
        <w:widowControl/>
        <w:autoSpaceDE w:val="0"/>
        <w:autoSpaceDN w:val="0"/>
        <w:adjustRightInd w:val="0"/>
        <w:spacing w:line="440" w:lineRule="exact"/>
        <w:ind w:right="-482" w:firstLine="480"/>
        <w:rPr>
          <w:rFonts w:hint="eastAsia"/>
        </w:rPr>
      </w:pPr>
      <w:r>
        <w:rPr>
          <w:rStyle w:val="29"/>
          <w:rFonts w:hint="eastAsia" w:eastAsia="仿宋"/>
          <w:sz w:val="24"/>
          <w:szCs w:val="24"/>
          <w:highlight w:val="none"/>
          <w:lang w:val="en-US" w:eastAsia="zh-CN"/>
        </w:rPr>
        <w:t>十二</w:t>
      </w:r>
      <w:r>
        <w:rPr>
          <w:rStyle w:val="29"/>
          <w:rFonts w:hint="eastAsia"/>
          <w:sz w:val="24"/>
          <w:szCs w:val="24"/>
          <w:highlight w:val="none"/>
        </w:rPr>
        <w:t>、</w:t>
      </w:r>
      <w:r>
        <w:rPr>
          <w:rStyle w:val="29"/>
          <w:rFonts w:hint="eastAsia" w:cs="Times New Roman"/>
          <w:sz w:val="24"/>
          <w:szCs w:val="24"/>
          <w:highlight w:val="none"/>
        </w:rPr>
        <w:t>商务偏离表；</w:t>
      </w:r>
    </w:p>
    <w:p w14:paraId="09FB4D10">
      <w:pPr>
        <w:widowControl/>
        <w:autoSpaceDE w:val="0"/>
        <w:autoSpaceDN w:val="0"/>
        <w:adjustRightInd w:val="0"/>
        <w:spacing w:line="440" w:lineRule="exact"/>
        <w:ind w:right="-482" w:firstLine="480"/>
        <w:rPr>
          <w:rStyle w:val="29"/>
          <w:rFonts w:hint="eastAsia" w:cs="Times New Roman"/>
          <w:sz w:val="24"/>
          <w:szCs w:val="24"/>
          <w:highlight w:val="none"/>
          <w:lang w:val="en-US" w:eastAsia="zh-CN"/>
        </w:rPr>
      </w:pPr>
      <w:r>
        <w:rPr>
          <w:rStyle w:val="29"/>
          <w:rFonts w:hint="eastAsia" w:cs="Times New Roman"/>
          <w:sz w:val="24"/>
          <w:szCs w:val="24"/>
          <w:highlight w:val="none"/>
          <w:lang w:val="en-US" w:eastAsia="zh-CN"/>
        </w:rPr>
        <w:t>十三、技术偏离表；</w:t>
      </w:r>
    </w:p>
    <w:p w14:paraId="454E7E2D">
      <w:pPr>
        <w:widowControl/>
        <w:autoSpaceDE w:val="0"/>
        <w:autoSpaceDN w:val="0"/>
        <w:adjustRightInd w:val="0"/>
        <w:spacing w:line="440" w:lineRule="exact"/>
        <w:ind w:right="-482" w:firstLine="480"/>
        <w:rPr>
          <w:rStyle w:val="29"/>
          <w:rFonts w:hint="eastAsia" w:eastAsia="仿宋" w:cs="Times New Roman"/>
          <w:sz w:val="24"/>
          <w:szCs w:val="24"/>
          <w:highlight w:val="none"/>
          <w:lang w:val="en-US" w:eastAsia="zh-CN"/>
        </w:rPr>
      </w:pPr>
      <w:r>
        <w:rPr>
          <w:rStyle w:val="29"/>
          <w:rFonts w:hint="eastAsia" w:cs="Times New Roman"/>
          <w:sz w:val="24"/>
          <w:szCs w:val="24"/>
          <w:highlight w:val="none"/>
          <w:lang w:val="en-US" w:eastAsia="zh-CN"/>
        </w:rPr>
        <w:t>十四、</w:t>
      </w:r>
      <w:r>
        <w:rPr>
          <w:rStyle w:val="29"/>
          <w:rFonts w:hint="eastAsia" w:cs="Times New Roman"/>
          <w:sz w:val="24"/>
          <w:szCs w:val="24"/>
          <w:highlight w:val="none"/>
        </w:rPr>
        <w:t>供货方案、人员配置、售后服务保障、安装验收方案、产品配件服务供应方案、培训方案</w:t>
      </w:r>
      <w:r>
        <w:rPr>
          <w:rStyle w:val="29"/>
          <w:rFonts w:hint="eastAsia" w:eastAsia="仿宋" w:cs="Times New Roman"/>
          <w:sz w:val="24"/>
          <w:szCs w:val="24"/>
          <w:highlight w:val="none"/>
          <w:lang w:eastAsia="zh-CN"/>
        </w:rPr>
        <w:t>；</w:t>
      </w:r>
    </w:p>
    <w:p w14:paraId="4B84565C">
      <w:pPr>
        <w:widowControl/>
        <w:autoSpaceDE w:val="0"/>
        <w:autoSpaceDN w:val="0"/>
        <w:adjustRightInd w:val="0"/>
        <w:spacing w:line="440" w:lineRule="exact"/>
        <w:ind w:right="-482" w:firstLine="480"/>
        <w:rPr>
          <w:rStyle w:val="29"/>
          <w:rFonts w:hint="default" w:cs="Times New Roman"/>
          <w:sz w:val="24"/>
          <w:szCs w:val="24"/>
          <w:highlight w:val="none"/>
          <w:lang w:val="en-US" w:eastAsia="zh-CN"/>
        </w:rPr>
      </w:pPr>
      <w:r>
        <w:rPr>
          <w:rStyle w:val="29"/>
          <w:rFonts w:hint="eastAsia" w:cs="Times New Roman"/>
          <w:sz w:val="24"/>
          <w:szCs w:val="24"/>
          <w:highlight w:val="none"/>
          <w:lang w:val="en-US" w:eastAsia="zh-CN"/>
        </w:rPr>
        <w:t>十五</w:t>
      </w:r>
      <w:r>
        <w:rPr>
          <w:rStyle w:val="29"/>
          <w:rFonts w:hint="eastAsia" w:cs="Times New Roman"/>
          <w:sz w:val="24"/>
          <w:szCs w:val="24"/>
          <w:highlight w:val="none"/>
        </w:rPr>
        <w:t>、投标人需要说明的其他文件和说明</w:t>
      </w:r>
    </w:p>
    <w:p w14:paraId="1DA47DA8">
      <w:pPr>
        <w:widowControl/>
        <w:autoSpaceDE w:val="0"/>
        <w:autoSpaceDN w:val="0"/>
        <w:adjustRightInd w:val="0"/>
        <w:spacing w:line="440" w:lineRule="exact"/>
        <w:ind w:right="-482" w:firstLine="480"/>
        <w:rPr>
          <w:rStyle w:val="29"/>
          <w:rFonts w:hint="eastAsia" w:cs="Times New Roman"/>
          <w:sz w:val="24"/>
          <w:szCs w:val="24"/>
          <w:highlight w:val="none"/>
          <w:lang w:val="en-US" w:eastAsia="zh-CN"/>
        </w:rPr>
      </w:pPr>
      <w:r>
        <w:rPr>
          <w:rStyle w:val="29"/>
          <w:rFonts w:hint="eastAsia" w:cs="Times New Roman"/>
          <w:sz w:val="24"/>
          <w:szCs w:val="24"/>
          <w:highlight w:val="none"/>
          <w:lang w:val="en-US" w:eastAsia="zh-CN"/>
        </w:rPr>
        <w:t>十六、中小企业声明函（货物）、残疾人福利性单位声明函、监狱企业声明函</w:t>
      </w:r>
    </w:p>
    <w:p w14:paraId="6F704B80">
      <w:pPr>
        <w:widowControl/>
        <w:autoSpaceDE w:val="0"/>
        <w:autoSpaceDN w:val="0"/>
        <w:adjustRightInd w:val="0"/>
        <w:spacing w:line="440" w:lineRule="exact"/>
        <w:ind w:right="-482" w:firstLine="480"/>
        <w:rPr>
          <w:rStyle w:val="29"/>
          <w:rFonts w:hint="eastAsia"/>
          <w:sz w:val="24"/>
          <w:szCs w:val="24"/>
          <w:highlight w:val="none"/>
          <w:lang w:eastAsia="zh-CN"/>
        </w:rPr>
      </w:pPr>
    </w:p>
    <w:p w14:paraId="3841D727">
      <w:pPr>
        <w:widowControl/>
        <w:autoSpaceDE w:val="0"/>
        <w:autoSpaceDN w:val="0"/>
        <w:adjustRightInd w:val="0"/>
        <w:spacing w:line="440" w:lineRule="exact"/>
        <w:ind w:right="-482" w:firstLine="470"/>
        <w:jc w:val="left"/>
        <w:rPr>
          <w:rFonts w:ascii="仿宋" w:hAnsi="仿宋" w:eastAsia="仿宋"/>
          <w:kern w:val="1"/>
          <w:sz w:val="24"/>
          <w:szCs w:val="24"/>
          <w:highlight w:val="none"/>
        </w:rPr>
      </w:pPr>
    </w:p>
    <w:p w14:paraId="0EDB4888">
      <w:pPr>
        <w:widowControl/>
        <w:autoSpaceDE w:val="0"/>
        <w:autoSpaceDN w:val="0"/>
        <w:adjustRightInd w:val="0"/>
        <w:spacing w:line="440" w:lineRule="exact"/>
        <w:ind w:right="-481"/>
        <w:jc w:val="left"/>
        <w:rPr>
          <w:rFonts w:ascii="宋体" w:hAnsi="宋体"/>
          <w:kern w:val="1"/>
          <w:sz w:val="24"/>
          <w:szCs w:val="24"/>
          <w:highlight w:val="none"/>
        </w:rPr>
      </w:pPr>
    </w:p>
    <w:p w14:paraId="5C2D7461">
      <w:pPr>
        <w:widowControl/>
        <w:autoSpaceDE w:val="0"/>
        <w:autoSpaceDN w:val="0"/>
        <w:adjustRightInd w:val="0"/>
        <w:spacing w:line="440" w:lineRule="exact"/>
        <w:ind w:right="-481"/>
        <w:jc w:val="center"/>
        <w:rPr>
          <w:rFonts w:ascii="宋体" w:hAnsi="宋体"/>
          <w:kern w:val="1"/>
          <w:sz w:val="32"/>
          <w:szCs w:val="32"/>
          <w:highlight w:val="none"/>
        </w:rPr>
      </w:pPr>
    </w:p>
    <w:p w14:paraId="27660415">
      <w:pPr>
        <w:widowControl/>
        <w:autoSpaceDE w:val="0"/>
        <w:autoSpaceDN w:val="0"/>
        <w:adjustRightInd w:val="0"/>
        <w:spacing w:line="440" w:lineRule="exact"/>
        <w:ind w:right="-481"/>
        <w:jc w:val="left"/>
        <w:rPr>
          <w:rStyle w:val="29"/>
          <w:sz w:val="24"/>
          <w:szCs w:val="24"/>
          <w:highlight w:val="none"/>
        </w:rPr>
      </w:pPr>
      <w:r>
        <w:rPr>
          <w:rFonts w:ascii="宋体" w:hAnsi="宋体"/>
          <w:kern w:val="1"/>
          <w:highlight w:val="none"/>
        </w:rPr>
        <w:br w:type="page"/>
      </w:r>
    </w:p>
    <w:p w14:paraId="79BAE83B">
      <w:pPr>
        <w:widowControl/>
        <w:autoSpaceDE w:val="0"/>
        <w:autoSpaceDN w:val="0"/>
        <w:adjustRightInd w:val="0"/>
        <w:spacing w:before="120" w:after="120" w:line="440" w:lineRule="exact"/>
        <w:ind w:right="-481"/>
        <w:jc w:val="center"/>
        <w:rPr>
          <w:rFonts w:ascii="仿宋" w:hAnsi="仿宋" w:eastAsia="仿宋"/>
          <w:b/>
          <w:bCs/>
          <w:kern w:val="1"/>
          <w:sz w:val="28"/>
          <w:szCs w:val="28"/>
          <w:highlight w:val="none"/>
        </w:rPr>
      </w:pPr>
      <w:r>
        <w:rPr>
          <w:rFonts w:hint="eastAsia" w:ascii="仿宋" w:hAnsi="仿宋" w:eastAsia="仿宋" w:cs="宋体"/>
          <w:b/>
          <w:bCs/>
          <w:kern w:val="1"/>
          <w:sz w:val="28"/>
          <w:szCs w:val="28"/>
          <w:highlight w:val="none"/>
        </w:rPr>
        <w:t>一、投标函</w:t>
      </w:r>
    </w:p>
    <w:p w14:paraId="5C43D430">
      <w:pPr>
        <w:widowControl/>
        <w:autoSpaceDE w:val="0"/>
        <w:autoSpaceDN w:val="0"/>
        <w:adjustRightInd w:val="0"/>
        <w:spacing w:line="440" w:lineRule="exact"/>
        <w:ind w:right="-481"/>
        <w:rPr>
          <w:rFonts w:ascii="仿宋" w:hAnsi="仿宋" w:eastAsia="仿宋"/>
          <w:kern w:val="1"/>
          <w:sz w:val="24"/>
          <w:szCs w:val="24"/>
          <w:highlight w:val="none"/>
          <w:u w:val="single"/>
        </w:rPr>
      </w:pPr>
    </w:p>
    <w:p w14:paraId="16F1B05C">
      <w:pPr>
        <w:widowControl/>
        <w:autoSpaceDE w:val="0"/>
        <w:autoSpaceDN w:val="0"/>
        <w:adjustRightInd w:val="0"/>
        <w:spacing w:line="440" w:lineRule="exact"/>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Style w:val="29"/>
          <w:rFonts w:hint="eastAsia"/>
          <w:sz w:val="24"/>
          <w:szCs w:val="24"/>
          <w:highlight w:val="none"/>
        </w:rPr>
        <w:t>：</w:t>
      </w:r>
    </w:p>
    <w:p w14:paraId="1DF607F2">
      <w:pPr>
        <w:widowControl/>
        <w:autoSpaceDE w:val="0"/>
        <w:autoSpaceDN w:val="0"/>
        <w:adjustRightInd w:val="0"/>
        <w:spacing w:line="440" w:lineRule="exact"/>
        <w:rPr>
          <w:rFonts w:ascii="仿宋" w:hAnsi="仿宋" w:eastAsia="仿宋"/>
          <w:kern w:val="1"/>
          <w:sz w:val="24"/>
          <w:szCs w:val="24"/>
          <w:highlight w:val="none"/>
        </w:rPr>
      </w:pPr>
    </w:p>
    <w:p w14:paraId="414038FF">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cs="仿宋"/>
          <w:kern w:val="1"/>
          <w:sz w:val="24"/>
          <w:szCs w:val="24"/>
          <w:highlight w:val="none"/>
          <w:u w:val="single"/>
        </w:rPr>
        <w:t>（投标人名称）</w:t>
      </w:r>
      <w:r>
        <w:rPr>
          <w:rStyle w:val="29"/>
          <w:rFonts w:hint="eastAsia"/>
          <w:sz w:val="24"/>
          <w:szCs w:val="24"/>
          <w:highlight w:val="none"/>
        </w:rPr>
        <w:t>系中华人民共和国合法企业，经营地址</w:t>
      </w:r>
      <w:r>
        <w:rPr>
          <w:rFonts w:ascii="仿宋" w:hAnsi="仿宋" w:eastAsia="仿宋" w:cs="仿宋"/>
          <w:kern w:val="1"/>
          <w:sz w:val="24"/>
          <w:szCs w:val="24"/>
          <w:highlight w:val="none"/>
          <w:u w:val="single"/>
        </w:rPr>
        <w:t xml:space="preserve">          </w:t>
      </w:r>
      <w:r>
        <w:rPr>
          <w:rStyle w:val="29"/>
          <w:rFonts w:hint="eastAsia"/>
          <w:sz w:val="24"/>
          <w:szCs w:val="24"/>
          <w:highlight w:val="none"/>
        </w:rPr>
        <w:t>。</w:t>
      </w:r>
    </w:p>
    <w:p w14:paraId="658B7C8A">
      <w:pPr>
        <w:widowControl/>
        <w:autoSpaceDE w:val="0"/>
        <w:autoSpaceDN w:val="0"/>
        <w:adjustRightInd w:val="0"/>
        <w:spacing w:line="440" w:lineRule="exact"/>
        <w:ind w:firstLine="480"/>
        <w:rPr>
          <w:rFonts w:ascii="仿宋" w:hAnsi="仿宋" w:eastAsia="仿宋"/>
          <w:kern w:val="1"/>
          <w:sz w:val="24"/>
          <w:szCs w:val="24"/>
          <w:highlight w:val="none"/>
        </w:rPr>
      </w:pPr>
      <w:r>
        <w:rPr>
          <w:rStyle w:val="29"/>
          <w:rFonts w:hint="eastAsia"/>
          <w:sz w:val="24"/>
          <w:szCs w:val="24"/>
          <w:highlight w:val="none"/>
        </w:rPr>
        <w:t>我</w:t>
      </w:r>
      <w:r>
        <w:rPr>
          <w:rFonts w:hint="eastAsia" w:ascii="仿宋" w:hAnsi="仿宋" w:eastAsia="仿宋" w:cs="仿宋"/>
          <w:kern w:val="1"/>
          <w:sz w:val="24"/>
          <w:szCs w:val="24"/>
          <w:highlight w:val="none"/>
          <w:u w:val="single"/>
        </w:rPr>
        <w:t>（姓名）</w:t>
      </w:r>
      <w:r>
        <w:rPr>
          <w:rStyle w:val="29"/>
          <w:rFonts w:hint="eastAsia"/>
          <w:sz w:val="24"/>
          <w:szCs w:val="24"/>
          <w:highlight w:val="none"/>
        </w:rPr>
        <w:t>系</w:t>
      </w:r>
      <w:r>
        <w:rPr>
          <w:rFonts w:hint="eastAsia" w:ascii="仿宋" w:hAnsi="仿宋" w:eastAsia="仿宋" w:cs="仿宋"/>
          <w:kern w:val="1"/>
          <w:sz w:val="24"/>
          <w:szCs w:val="24"/>
          <w:highlight w:val="none"/>
          <w:u w:val="single"/>
        </w:rPr>
        <w:t>（投标人名称）</w:t>
      </w:r>
      <w:r>
        <w:rPr>
          <w:rStyle w:val="29"/>
          <w:rFonts w:hint="eastAsia"/>
          <w:sz w:val="24"/>
          <w:szCs w:val="24"/>
          <w:highlight w:val="none"/>
        </w:rPr>
        <w:t>的法定代表人，我方愿意参加贵方组织的</w:t>
      </w:r>
      <w:r>
        <w:rPr>
          <w:rFonts w:hint="eastAsia" w:ascii="仿宋" w:hAnsi="仿宋" w:eastAsia="仿宋" w:cs="仿宋"/>
          <w:kern w:val="1"/>
          <w:sz w:val="24"/>
          <w:szCs w:val="24"/>
          <w:highlight w:val="none"/>
          <w:u w:val="single"/>
        </w:rPr>
        <w:t>（招标项目名称）（编号为</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Style w:val="29"/>
          <w:rFonts w:hint="eastAsia"/>
          <w:sz w:val="24"/>
          <w:szCs w:val="24"/>
          <w:highlight w:val="none"/>
        </w:rPr>
        <w:t>的投标，为此，我方就本次投标有关事项郑重声明如下：</w:t>
      </w:r>
    </w:p>
    <w:p w14:paraId="7FB0C47D">
      <w:pPr>
        <w:widowControl/>
        <w:autoSpaceDE w:val="0"/>
        <w:autoSpaceDN w:val="0"/>
        <w:adjustRightInd w:val="0"/>
        <w:spacing w:line="440" w:lineRule="exact"/>
        <w:ind w:firstLine="480"/>
        <w:rPr>
          <w:rStyle w:val="29"/>
          <w:sz w:val="24"/>
          <w:szCs w:val="24"/>
          <w:highlight w:val="none"/>
        </w:rPr>
      </w:pPr>
      <w:r>
        <w:rPr>
          <w:rStyle w:val="29"/>
          <w:sz w:val="24"/>
          <w:szCs w:val="24"/>
          <w:highlight w:val="none"/>
        </w:rPr>
        <w:t>1</w:t>
      </w:r>
      <w:r>
        <w:rPr>
          <w:rStyle w:val="29"/>
          <w:rFonts w:hint="eastAsia"/>
          <w:sz w:val="24"/>
          <w:szCs w:val="24"/>
          <w:highlight w:val="none"/>
        </w:rPr>
        <w:t>、我方已详细审查全部招标文件，同意招标文件的各项要求。</w:t>
      </w:r>
    </w:p>
    <w:p w14:paraId="0DBF8D31">
      <w:pPr>
        <w:widowControl/>
        <w:autoSpaceDE w:val="0"/>
        <w:autoSpaceDN w:val="0"/>
        <w:adjustRightInd w:val="0"/>
        <w:spacing w:line="440" w:lineRule="exact"/>
        <w:ind w:firstLine="480"/>
        <w:rPr>
          <w:rStyle w:val="29"/>
          <w:sz w:val="24"/>
          <w:szCs w:val="24"/>
          <w:highlight w:val="none"/>
        </w:rPr>
      </w:pPr>
      <w:r>
        <w:rPr>
          <w:rStyle w:val="29"/>
          <w:sz w:val="24"/>
          <w:szCs w:val="24"/>
          <w:highlight w:val="none"/>
        </w:rPr>
        <w:t>2</w:t>
      </w:r>
      <w:r>
        <w:rPr>
          <w:rStyle w:val="29"/>
          <w:rFonts w:hint="eastAsia"/>
          <w:sz w:val="24"/>
          <w:szCs w:val="24"/>
          <w:highlight w:val="none"/>
        </w:rPr>
        <w:t>、我方向贵方提交的所有投标文件、资料都是准确的和真实的。</w:t>
      </w:r>
    </w:p>
    <w:p w14:paraId="2F7935B5">
      <w:pPr>
        <w:widowControl/>
        <w:autoSpaceDE w:val="0"/>
        <w:autoSpaceDN w:val="0"/>
        <w:adjustRightInd w:val="0"/>
        <w:spacing w:line="440" w:lineRule="exact"/>
        <w:ind w:firstLine="480"/>
        <w:rPr>
          <w:rStyle w:val="29"/>
          <w:sz w:val="24"/>
          <w:szCs w:val="24"/>
          <w:highlight w:val="none"/>
        </w:rPr>
      </w:pPr>
      <w:r>
        <w:rPr>
          <w:rStyle w:val="29"/>
          <w:sz w:val="24"/>
          <w:szCs w:val="24"/>
          <w:highlight w:val="none"/>
        </w:rPr>
        <w:t>3</w:t>
      </w:r>
      <w:r>
        <w:rPr>
          <w:rStyle w:val="29"/>
          <w:rFonts w:hint="eastAsia"/>
          <w:sz w:val="24"/>
          <w:szCs w:val="24"/>
          <w:highlight w:val="none"/>
        </w:rPr>
        <w:t>、若中标，我方将按照招标文件规定履行合同责任和义务。</w:t>
      </w:r>
    </w:p>
    <w:p w14:paraId="2CFC628C">
      <w:pPr>
        <w:widowControl/>
        <w:autoSpaceDE w:val="0"/>
        <w:autoSpaceDN w:val="0"/>
        <w:adjustRightInd w:val="0"/>
        <w:spacing w:line="440" w:lineRule="exact"/>
        <w:ind w:firstLine="480"/>
        <w:rPr>
          <w:rStyle w:val="29"/>
          <w:sz w:val="24"/>
          <w:szCs w:val="24"/>
          <w:highlight w:val="none"/>
        </w:rPr>
      </w:pPr>
      <w:r>
        <w:rPr>
          <w:rStyle w:val="29"/>
          <w:sz w:val="24"/>
          <w:szCs w:val="24"/>
          <w:highlight w:val="none"/>
        </w:rPr>
        <w:t>4</w:t>
      </w:r>
      <w:r>
        <w:rPr>
          <w:rStyle w:val="29"/>
          <w:rFonts w:hint="eastAsia"/>
          <w:sz w:val="24"/>
          <w:szCs w:val="24"/>
          <w:highlight w:val="none"/>
        </w:rPr>
        <w:t>、我方不是</w:t>
      </w:r>
      <w:r>
        <w:rPr>
          <w:rStyle w:val="29"/>
          <w:rFonts w:hint="eastAsia" w:eastAsia="仿宋"/>
          <w:sz w:val="24"/>
          <w:szCs w:val="24"/>
          <w:highlight w:val="none"/>
          <w:lang w:eastAsia="zh-CN"/>
        </w:rPr>
        <w:t>招标人</w:t>
      </w:r>
      <w:r>
        <w:rPr>
          <w:rStyle w:val="29"/>
          <w:rFonts w:hint="eastAsia"/>
          <w:sz w:val="24"/>
          <w:szCs w:val="24"/>
          <w:highlight w:val="none"/>
        </w:rPr>
        <w:t>的附属机构；在获知本项目采购信息后，与</w:t>
      </w:r>
      <w:r>
        <w:rPr>
          <w:rStyle w:val="29"/>
          <w:rFonts w:hint="eastAsia" w:eastAsia="仿宋"/>
          <w:sz w:val="24"/>
          <w:szCs w:val="24"/>
          <w:highlight w:val="none"/>
          <w:lang w:eastAsia="zh-CN"/>
        </w:rPr>
        <w:t>招标人</w:t>
      </w:r>
      <w:r>
        <w:rPr>
          <w:rStyle w:val="29"/>
          <w:rFonts w:hint="eastAsia"/>
          <w:sz w:val="24"/>
          <w:szCs w:val="24"/>
          <w:highlight w:val="none"/>
        </w:rPr>
        <w:t>聘请的为此项目提供咨询服务的公司以及其附属机构没有任何联系。</w:t>
      </w:r>
    </w:p>
    <w:p w14:paraId="3CE3307B">
      <w:pPr>
        <w:widowControl/>
        <w:autoSpaceDE w:val="0"/>
        <w:autoSpaceDN w:val="0"/>
        <w:adjustRightInd w:val="0"/>
        <w:spacing w:line="440" w:lineRule="exact"/>
        <w:ind w:firstLine="480"/>
        <w:rPr>
          <w:rFonts w:ascii="仿宋" w:hAnsi="仿宋" w:eastAsia="仿宋"/>
          <w:kern w:val="1"/>
          <w:sz w:val="24"/>
          <w:szCs w:val="24"/>
          <w:highlight w:val="none"/>
        </w:rPr>
      </w:pPr>
      <w:r>
        <w:rPr>
          <w:rStyle w:val="29"/>
          <w:sz w:val="24"/>
          <w:szCs w:val="24"/>
          <w:highlight w:val="none"/>
        </w:rPr>
        <w:t>5</w:t>
      </w:r>
      <w:r>
        <w:rPr>
          <w:rStyle w:val="29"/>
          <w:rFonts w:hint="eastAsia"/>
          <w:sz w:val="24"/>
          <w:szCs w:val="24"/>
          <w:highlight w:val="none"/>
        </w:rPr>
        <w:t>、投标文件自开标日起有效期为</w:t>
      </w:r>
      <w:r>
        <w:rPr>
          <w:rStyle w:val="29"/>
          <w:rFonts w:hint="eastAsia" w:eastAsia="仿宋"/>
          <w:sz w:val="24"/>
          <w:szCs w:val="24"/>
          <w:highlight w:val="none"/>
          <w:u w:val="single"/>
          <w:lang w:val="en-US" w:eastAsia="zh-CN"/>
        </w:rPr>
        <w:t xml:space="preserve"> </w:t>
      </w:r>
      <w:r>
        <w:rPr>
          <w:rFonts w:hint="eastAsia" w:ascii="仿宋" w:hAnsi="仿宋" w:eastAsia="仿宋" w:cs="仿宋"/>
          <w:kern w:val="1"/>
          <w:sz w:val="24"/>
          <w:szCs w:val="24"/>
          <w:highlight w:val="none"/>
          <w:u w:val="single"/>
          <w:lang w:val="en-US" w:eastAsia="zh-CN"/>
        </w:rPr>
        <w:t xml:space="preserve">60 </w:t>
      </w:r>
      <w:r>
        <w:rPr>
          <w:rStyle w:val="29"/>
          <w:rFonts w:hint="eastAsia"/>
          <w:sz w:val="24"/>
          <w:szCs w:val="24"/>
          <w:highlight w:val="none"/>
        </w:rPr>
        <w:t>日历</w:t>
      </w:r>
      <w:r>
        <w:rPr>
          <w:rStyle w:val="29"/>
          <w:rFonts w:hint="eastAsia" w:eastAsia="仿宋"/>
          <w:sz w:val="24"/>
          <w:szCs w:val="24"/>
          <w:highlight w:val="none"/>
          <w:lang w:val="en-US" w:eastAsia="zh-CN"/>
        </w:rPr>
        <w:t>天</w:t>
      </w:r>
      <w:r>
        <w:rPr>
          <w:rStyle w:val="29"/>
          <w:rFonts w:hint="eastAsia"/>
          <w:sz w:val="24"/>
          <w:szCs w:val="24"/>
          <w:highlight w:val="none"/>
        </w:rPr>
        <w:t>。</w:t>
      </w:r>
    </w:p>
    <w:p w14:paraId="204616CC">
      <w:pPr>
        <w:widowControl/>
        <w:autoSpaceDE w:val="0"/>
        <w:autoSpaceDN w:val="0"/>
        <w:adjustRightInd w:val="0"/>
        <w:spacing w:line="440" w:lineRule="exact"/>
        <w:ind w:firstLine="480"/>
        <w:rPr>
          <w:rStyle w:val="29"/>
          <w:sz w:val="24"/>
          <w:szCs w:val="24"/>
          <w:highlight w:val="none"/>
        </w:rPr>
      </w:pPr>
      <w:r>
        <w:rPr>
          <w:rStyle w:val="29"/>
          <w:sz w:val="24"/>
          <w:szCs w:val="24"/>
          <w:highlight w:val="none"/>
        </w:rPr>
        <w:t>6</w:t>
      </w:r>
      <w:r>
        <w:rPr>
          <w:rStyle w:val="29"/>
          <w:rFonts w:hint="eastAsia" w:eastAsia="仿宋"/>
          <w:sz w:val="24"/>
          <w:szCs w:val="24"/>
          <w:highlight w:val="none"/>
          <w:lang w:eastAsia="zh-CN"/>
        </w:rPr>
        <w:t>、</w:t>
      </w:r>
      <w:r>
        <w:rPr>
          <w:rStyle w:val="29"/>
          <w:rFonts w:hint="eastAsia"/>
          <w:sz w:val="24"/>
          <w:szCs w:val="24"/>
          <w:highlight w:val="none"/>
        </w:rPr>
        <w:t>以上事项如有虚假或者隐瞒，我方愿意承担一切后果。</w:t>
      </w:r>
    </w:p>
    <w:p w14:paraId="36D064DA">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14:paraId="25F2DD94">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14:paraId="4C37ED9E">
      <w:pPr>
        <w:widowControl/>
        <w:tabs>
          <w:tab w:val="left" w:pos="939"/>
        </w:tabs>
        <w:autoSpaceDE w:val="0"/>
        <w:autoSpaceDN w:val="0"/>
        <w:adjustRightInd w:val="0"/>
        <w:spacing w:line="440" w:lineRule="exact"/>
        <w:ind w:left="773" w:right="-481" w:hanging="458"/>
        <w:rPr>
          <w:rFonts w:ascii="仿宋" w:hAnsi="仿宋" w:eastAsia="仿宋"/>
          <w:kern w:val="1"/>
          <w:sz w:val="24"/>
          <w:szCs w:val="24"/>
          <w:highlight w:val="none"/>
        </w:rPr>
      </w:pPr>
    </w:p>
    <w:p w14:paraId="4EECF09D">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7BA44A7B">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4814546A">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6FC0A35B">
      <w:pPr>
        <w:spacing w:before="100" w:beforeAutospacing="1" w:after="100" w:afterAutospacing="1" w:line="440" w:lineRule="exact"/>
        <w:jc w:val="left"/>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5769326C">
      <w:pPr>
        <w:spacing w:before="100" w:beforeAutospacing="1" w:after="100" w:afterAutospacing="1" w:line="440" w:lineRule="exact"/>
        <w:jc w:val="center"/>
        <w:rPr>
          <w:rFonts w:ascii="仿宋" w:hAnsi="仿宋" w:eastAsia="仿宋" w:cs="仿宋"/>
          <w:b/>
          <w:bCs/>
          <w:kern w:val="1"/>
          <w:sz w:val="24"/>
          <w:szCs w:val="24"/>
          <w:highlight w:val="none"/>
          <w:u w:val="single"/>
        </w:rPr>
      </w:pPr>
      <w:r>
        <w:rPr>
          <w:rFonts w:hint="eastAsia" w:ascii="仿宋" w:hAnsi="仿宋" w:eastAsia="仿宋" w:cs="仿宋"/>
          <w:b/>
          <w:bCs/>
          <w:kern w:val="1"/>
          <w:sz w:val="28"/>
          <w:szCs w:val="28"/>
          <w:highlight w:val="none"/>
        </w:rPr>
        <w:t>二、投标报价一览表</w:t>
      </w:r>
    </w:p>
    <w:tbl>
      <w:tblPr>
        <w:tblStyle w:val="24"/>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47DE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vAlign w:val="center"/>
          </w:tcPr>
          <w:p w14:paraId="62CA29E6">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600" w:type="dxa"/>
            <w:vAlign w:val="center"/>
          </w:tcPr>
          <w:p w14:paraId="4E5FFDF1">
            <w:pPr>
              <w:spacing w:line="440" w:lineRule="exact"/>
              <w:jc w:val="center"/>
              <w:rPr>
                <w:rFonts w:ascii="仿宋" w:hAnsi="仿宋" w:eastAsia="仿宋" w:cs="仿宋"/>
                <w:sz w:val="24"/>
                <w:szCs w:val="24"/>
                <w:highlight w:val="none"/>
              </w:rPr>
            </w:pPr>
          </w:p>
        </w:tc>
      </w:tr>
      <w:tr w14:paraId="1B54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900" w:type="dxa"/>
            <w:vAlign w:val="center"/>
          </w:tcPr>
          <w:p w14:paraId="41EFE33E">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7600" w:type="dxa"/>
          </w:tcPr>
          <w:p w14:paraId="1BC29710">
            <w:pPr>
              <w:spacing w:line="440" w:lineRule="exact"/>
              <w:jc w:val="center"/>
              <w:rPr>
                <w:rFonts w:ascii="仿宋" w:hAnsi="仿宋" w:eastAsia="仿宋" w:cs="仿宋"/>
                <w:sz w:val="24"/>
                <w:szCs w:val="24"/>
                <w:highlight w:val="none"/>
              </w:rPr>
            </w:pPr>
          </w:p>
        </w:tc>
      </w:tr>
      <w:tr w14:paraId="78E1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900" w:type="dxa"/>
            <w:vAlign w:val="center"/>
          </w:tcPr>
          <w:p w14:paraId="0CAF39AC">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7600" w:type="dxa"/>
          </w:tcPr>
          <w:p w14:paraId="4863DBF0">
            <w:pPr>
              <w:spacing w:line="440" w:lineRule="exact"/>
              <w:jc w:val="center"/>
              <w:rPr>
                <w:rFonts w:ascii="仿宋" w:hAnsi="仿宋" w:eastAsia="仿宋" w:cs="仿宋"/>
                <w:sz w:val="24"/>
                <w:szCs w:val="24"/>
                <w:highlight w:val="none"/>
              </w:rPr>
            </w:pPr>
          </w:p>
        </w:tc>
      </w:tr>
      <w:tr w14:paraId="437D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00" w:type="dxa"/>
            <w:vAlign w:val="center"/>
          </w:tcPr>
          <w:p w14:paraId="7CC9E9F4">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交货</w:t>
            </w:r>
            <w:r>
              <w:rPr>
                <w:rFonts w:hint="eastAsia" w:ascii="仿宋" w:hAnsi="仿宋" w:eastAsia="仿宋" w:cs="仿宋"/>
                <w:sz w:val="24"/>
                <w:szCs w:val="24"/>
                <w:highlight w:val="none"/>
              </w:rPr>
              <w:t>期</w:t>
            </w:r>
          </w:p>
        </w:tc>
        <w:tc>
          <w:tcPr>
            <w:tcW w:w="7600" w:type="dxa"/>
            <w:vAlign w:val="center"/>
          </w:tcPr>
          <w:p w14:paraId="3EE81ECF">
            <w:pPr>
              <w:spacing w:line="440" w:lineRule="exact"/>
              <w:rPr>
                <w:rFonts w:ascii="仿宋" w:hAnsi="仿宋" w:eastAsia="仿宋" w:cs="仿宋"/>
                <w:sz w:val="24"/>
                <w:szCs w:val="24"/>
                <w:highlight w:val="none"/>
                <w:u w:val="single"/>
              </w:rPr>
            </w:pPr>
          </w:p>
        </w:tc>
      </w:tr>
      <w:tr w14:paraId="49AF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00" w:type="dxa"/>
            <w:vAlign w:val="center"/>
          </w:tcPr>
          <w:p w14:paraId="0D638F1E">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质量目标</w:t>
            </w:r>
          </w:p>
        </w:tc>
        <w:tc>
          <w:tcPr>
            <w:tcW w:w="7600" w:type="dxa"/>
            <w:vAlign w:val="center"/>
          </w:tcPr>
          <w:p w14:paraId="08CD30AA">
            <w:pPr>
              <w:spacing w:line="440" w:lineRule="exact"/>
              <w:rPr>
                <w:rFonts w:ascii="仿宋" w:hAnsi="仿宋" w:eastAsia="仿宋" w:cs="仿宋"/>
                <w:sz w:val="24"/>
                <w:szCs w:val="24"/>
                <w:highlight w:val="none"/>
              </w:rPr>
            </w:pPr>
          </w:p>
        </w:tc>
      </w:tr>
      <w:tr w14:paraId="2BF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900" w:type="dxa"/>
            <w:vAlign w:val="center"/>
          </w:tcPr>
          <w:p w14:paraId="28D68DE3">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w:t>
            </w:r>
          </w:p>
        </w:tc>
        <w:tc>
          <w:tcPr>
            <w:tcW w:w="7600" w:type="dxa"/>
            <w:vAlign w:val="center"/>
          </w:tcPr>
          <w:p w14:paraId="387FAA8D">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14:paraId="46A4E86D">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14:paraId="047CF7A7">
            <w:pPr>
              <w:spacing w:line="44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投标报价应包括：货物本身价格、保险费用、包装费、运输 费用、二次搬运费、损耗、税金费用、检疫费、管理费、随产品资料费、自检费及验收合格前和质保期内发生的一切费用、应当提供的伴随服务/售后服务费用</w:t>
            </w:r>
            <w:r>
              <w:rPr>
                <w:rFonts w:hint="eastAsia" w:ascii="仿宋" w:hAnsi="仿宋" w:eastAsia="仿宋" w:cs="仿宋"/>
                <w:color w:val="auto"/>
                <w:sz w:val="24"/>
                <w:szCs w:val="24"/>
                <w:highlight w:val="none"/>
              </w:rPr>
              <w:t>）</w:t>
            </w:r>
          </w:p>
        </w:tc>
      </w:tr>
      <w:tr w14:paraId="162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900" w:type="dxa"/>
            <w:vAlign w:val="center"/>
          </w:tcPr>
          <w:p w14:paraId="349B6EA5">
            <w:pPr>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7600" w:type="dxa"/>
          </w:tcPr>
          <w:p w14:paraId="767B4B1E">
            <w:pPr>
              <w:spacing w:line="440" w:lineRule="exact"/>
              <w:jc w:val="center"/>
              <w:rPr>
                <w:rFonts w:ascii="仿宋" w:hAnsi="仿宋" w:eastAsia="仿宋" w:cs="仿宋"/>
                <w:sz w:val="24"/>
                <w:szCs w:val="24"/>
                <w:highlight w:val="none"/>
              </w:rPr>
            </w:pPr>
          </w:p>
        </w:tc>
      </w:tr>
    </w:tbl>
    <w:p w14:paraId="6756B44F">
      <w:pPr>
        <w:spacing w:line="360" w:lineRule="auto"/>
        <w:rPr>
          <w:rFonts w:ascii="仿宋" w:hAnsi="仿宋" w:eastAsia="仿宋" w:cs="仿宋"/>
          <w:sz w:val="24"/>
          <w:szCs w:val="24"/>
          <w:highlight w:val="none"/>
        </w:rPr>
      </w:pPr>
    </w:p>
    <w:p w14:paraId="62FDE403">
      <w:pPr>
        <w:spacing w:line="360" w:lineRule="auto"/>
        <w:rPr>
          <w:rFonts w:ascii="仿宋" w:hAnsi="仿宋" w:eastAsia="仿宋" w:cs="仿宋"/>
          <w:sz w:val="24"/>
          <w:szCs w:val="24"/>
          <w:highlight w:val="none"/>
        </w:rPr>
      </w:pPr>
    </w:p>
    <w:p w14:paraId="20B73EA0">
      <w:pPr>
        <w:spacing w:line="360" w:lineRule="auto"/>
        <w:rPr>
          <w:rFonts w:ascii="仿宋" w:hAnsi="仿宋" w:eastAsia="仿宋" w:cs="仿宋"/>
          <w:sz w:val="24"/>
          <w:szCs w:val="24"/>
          <w:highlight w:val="none"/>
        </w:rPr>
      </w:pPr>
    </w:p>
    <w:p w14:paraId="391E402F">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68B3C372">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78F14CE6">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628E13A1">
      <w:pPr>
        <w:numPr>
          <w:ilvl w:val="0"/>
          <w:numId w:val="2"/>
        </w:numPr>
        <w:spacing w:before="100" w:beforeAutospacing="1" w:after="100" w:afterAutospacing="1" w:line="440" w:lineRule="exact"/>
        <w:jc w:val="center"/>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363C0ED1">
      <w:pPr>
        <w:pStyle w:val="30"/>
        <w:numPr>
          <w:ilvl w:val="0"/>
          <w:numId w:val="3"/>
        </w:numPr>
        <w:spacing w:afterLines="100" w:line="440" w:lineRule="exact"/>
        <w:rPr>
          <w:rFonts w:hint="eastAsia" w:ascii="仿宋" w:hAnsi="仿宋" w:eastAsia="仿宋"/>
          <w:b/>
          <w:bCs/>
          <w:highlight w:val="none"/>
          <w:lang w:val="zh-CN"/>
        </w:rPr>
      </w:pPr>
      <w:r>
        <w:rPr>
          <w:rFonts w:hint="eastAsia" w:ascii="仿宋" w:hAnsi="仿宋" w:eastAsia="仿宋"/>
          <w:b/>
          <w:bCs/>
          <w:highlight w:val="none"/>
          <w:lang w:val="zh-CN"/>
        </w:rPr>
        <w:t>分项报价明细表</w:t>
      </w:r>
    </w:p>
    <w:p w14:paraId="5D5891EB">
      <w:pPr>
        <w:autoSpaceDE w:val="0"/>
        <w:autoSpaceDN w:val="0"/>
        <w:adjustRightInd w:val="0"/>
        <w:spacing w:line="360" w:lineRule="auto"/>
        <w:rPr>
          <w:rFonts w:hint="eastAsia" w:ascii="仿宋" w:hAnsi="仿宋" w:eastAsia="仿宋"/>
          <w:highlight w:val="none"/>
          <w:lang w:val="zh-CN"/>
        </w:rPr>
      </w:pPr>
      <w:r>
        <w:rPr>
          <w:rFonts w:hint="eastAsia" w:ascii="仿宋" w:hAnsi="仿宋" w:eastAsia="仿宋" w:cs="仿宋"/>
          <w:color w:val="auto"/>
          <w:sz w:val="24"/>
          <w:szCs w:val="24"/>
          <w:lang w:val="zh-CN"/>
        </w:rPr>
        <w:t>项目名称：</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lang w:val="zh-CN"/>
        </w:rPr>
        <w:t>项目编号：</w:t>
      </w:r>
      <w:r>
        <w:rPr>
          <w:rFonts w:ascii="仿宋" w:hAnsi="仿宋" w:eastAsia="仿宋" w:cs="仿宋"/>
          <w:color w:val="auto"/>
          <w:sz w:val="24"/>
          <w:szCs w:val="24"/>
          <w:lang w:val="zh-CN"/>
        </w:rPr>
        <w:t xml:space="preserve"> </w:t>
      </w:r>
    </w:p>
    <w:tbl>
      <w:tblPr>
        <w:tblStyle w:val="25"/>
        <w:tblpPr w:leftFromText="180" w:rightFromText="180" w:vertAnchor="text" w:horzAnchor="page" w:tblpX="1066" w:tblpY="441"/>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74"/>
        <w:gridCol w:w="1129"/>
        <w:gridCol w:w="1287"/>
        <w:gridCol w:w="815"/>
        <w:gridCol w:w="1154"/>
        <w:gridCol w:w="1373"/>
        <w:gridCol w:w="1702"/>
        <w:gridCol w:w="4"/>
      </w:tblGrid>
      <w:tr w14:paraId="2C48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455" w:hRule="atLeast"/>
        </w:trPr>
        <w:tc>
          <w:tcPr>
            <w:tcW w:w="699" w:type="dxa"/>
            <w:noWrap w:val="0"/>
            <w:vAlign w:val="center"/>
          </w:tcPr>
          <w:p w14:paraId="2C95D722">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序</w:t>
            </w:r>
            <w:r>
              <w:rPr>
                <w:rFonts w:hint="eastAsia" w:ascii="仿宋" w:hAnsi="仿宋" w:eastAsia="仿宋" w:cs="仿宋"/>
                <w:color w:val="auto"/>
                <w:sz w:val="24"/>
                <w:szCs w:val="24"/>
                <w:lang w:eastAsia="zh-CN"/>
              </w:rPr>
              <w:t>号</w:t>
            </w:r>
          </w:p>
        </w:tc>
        <w:tc>
          <w:tcPr>
            <w:tcW w:w="1474" w:type="dxa"/>
            <w:noWrap w:val="0"/>
            <w:vAlign w:val="center"/>
          </w:tcPr>
          <w:p w14:paraId="18249594">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货物</w:t>
            </w:r>
            <w:r>
              <w:rPr>
                <w:rFonts w:hint="eastAsia" w:ascii="仿宋" w:hAnsi="仿宋" w:eastAsia="仿宋" w:cs="仿宋"/>
                <w:color w:val="auto"/>
                <w:sz w:val="24"/>
                <w:szCs w:val="24"/>
                <w:lang w:eastAsia="zh-CN"/>
              </w:rPr>
              <w:t>名称</w:t>
            </w:r>
          </w:p>
        </w:tc>
        <w:tc>
          <w:tcPr>
            <w:tcW w:w="1129" w:type="dxa"/>
            <w:noWrap w:val="0"/>
            <w:vAlign w:val="center"/>
          </w:tcPr>
          <w:p w14:paraId="0396885A">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品牌</w:t>
            </w:r>
          </w:p>
        </w:tc>
        <w:tc>
          <w:tcPr>
            <w:tcW w:w="1287" w:type="dxa"/>
            <w:noWrap w:val="0"/>
            <w:vAlign w:val="center"/>
          </w:tcPr>
          <w:p w14:paraId="6C1AB879">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规格</w:t>
            </w:r>
            <w:r>
              <w:rPr>
                <w:rFonts w:hint="eastAsia" w:ascii="仿宋" w:hAnsi="仿宋" w:eastAsia="仿宋" w:cs="仿宋"/>
                <w:color w:val="auto"/>
                <w:sz w:val="24"/>
                <w:szCs w:val="24"/>
                <w:lang w:val="zh-CN" w:eastAsia="zh-CN"/>
              </w:rPr>
              <w:t>型号</w:t>
            </w:r>
          </w:p>
        </w:tc>
        <w:tc>
          <w:tcPr>
            <w:tcW w:w="815" w:type="dxa"/>
            <w:noWrap w:val="0"/>
            <w:vAlign w:val="center"/>
          </w:tcPr>
          <w:p w14:paraId="23BCF9A6">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zh-CN" w:eastAsia="zh-CN"/>
              </w:rPr>
              <w:t>数量</w:t>
            </w:r>
          </w:p>
        </w:tc>
        <w:tc>
          <w:tcPr>
            <w:tcW w:w="1154" w:type="dxa"/>
            <w:noWrap w:val="0"/>
            <w:vAlign w:val="center"/>
          </w:tcPr>
          <w:p w14:paraId="5E5F6C5E">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zh-CN" w:eastAsia="zh-CN"/>
              </w:rPr>
              <w:t>单位</w:t>
            </w:r>
          </w:p>
        </w:tc>
        <w:tc>
          <w:tcPr>
            <w:tcW w:w="1373" w:type="dxa"/>
            <w:noWrap w:val="0"/>
            <w:vAlign w:val="center"/>
          </w:tcPr>
          <w:p w14:paraId="0CC06EE7">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单价（元）</w:t>
            </w:r>
          </w:p>
        </w:tc>
        <w:tc>
          <w:tcPr>
            <w:tcW w:w="1702" w:type="dxa"/>
            <w:noWrap w:val="0"/>
            <w:vAlign w:val="center"/>
          </w:tcPr>
          <w:p w14:paraId="2A93031C">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小计</w:t>
            </w:r>
            <w:r>
              <w:rPr>
                <w:rFonts w:hint="eastAsia" w:ascii="仿宋" w:hAnsi="仿宋" w:eastAsia="仿宋" w:cs="仿宋"/>
                <w:color w:val="auto"/>
                <w:sz w:val="24"/>
                <w:szCs w:val="24"/>
                <w:lang w:eastAsia="zh-CN"/>
              </w:rPr>
              <w:t>（元）</w:t>
            </w:r>
          </w:p>
        </w:tc>
      </w:tr>
      <w:tr w14:paraId="30B1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trPr>
        <w:tc>
          <w:tcPr>
            <w:tcW w:w="699" w:type="dxa"/>
            <w:noWrap w:val="0"/>
            <w:vAlign w:val="center"/>
          </w:tcPr>
          <w:p w14:paraId="4793B003">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74" w:type="dxa"/>
            <w:noWrap w:val="0"/>
            <w:vAlign w:val="center"/>
          </w:tcPr>
          <w:p w14:paraId="23AA29FA">
            <w:pPr>
              <w:spacing w:line="440" w:lineRule="exact"/>
              <w:jc w:val="center"/>
              <w:rPr>
                <w:rFonts w:hint="eastAsia" w:ascii="仿宋" w:hAnsi="仿宋" w:eastAsia="仿宋" w:cs="仿宋"/>
                <w:color w:val="auto"/>
                <w:sz w:val="24"/>
                <w:szCs w:val="24"/>
                <w:lang w:eastAsia="zh-CN"/>
              </w:rPr>
            </w:pPr>
          </w:p>
        </w:tc>
        <w:tc>
          <w:tcPr>
            <w:tcW w:w="1129" w:type="dxa"/>
            <w:noWrap w:val="0"/>
            <w:vAlign w:val="center"/>
          </w:tcPr>
          <w:p w14:paraId="704013BF">
            <w:pPr>
              <w:spacing w:line="440" w:lineRule="exact"/>
              <w:jc w:val="center"/>
              <w:rPr>
                <w:rFonts w:hint="eastAsia" w:ascii="仿宋" w:hAnsi="仿宋" w:eastAsia="仿宋" w:cs="仿宋"/>
                <w:color w:val="auto"/>
                <w:sz w:val="24"/>
                <w:szCs w:val="24"/>
                <w:lang w:val="en-US" w:eastAsia="zh-CN"/>
              </w:rPr>
            </w:pPr>
          </w:p>
        </w:tc>
        <w:tc>
          <w:tcPr>
            <w:tcW w:w="1287" w:type="dxa"/>
            <w:noWrap w:val="0"/>
            <w:vAlign w:val="center"/>
          </w:tcPr>
          <w:p w14:paraId="7D1D538A">
            <w:pPr>
              <w:spacing w:line="440" w:lineRule="exact"/>
              <w:jc w:val="center"/>
              <w:rPr>
                <w:rFonts w:hint="eastAsia" w:ascii="仿宋" w:hAnsi="仿宋" w:eastAsia="仿宋" w:cs="仿宋"/>
                <w:color w:val="auto"/>
                <w:sz w:val="24"/>
                <w:szCs w:val="24"/>
                <w:lang w:eastAsia="zh-CN"/>
              </w:rPr>
            </w:pPr>
          </w:p>
        </w:tc>
        <w:tc>
          <w:tcPr>
            <w:tcW w:w="815" w:type="dxa"/>
            <w:noWrap w:val="0"/>
            <w:vAlign w:val="center"/>
          </w:tcPr>
          <w:p w14:paraId="144E0218">
            <w:pPr>
              <w:spacing w:line="440" w:lineRule="exact"/>
              <w:jc w:val="center"/>
              <w:rPr>
                <w:rFonts w:hint="eastAsia" w:ascii="仿宋" w:hAnsi="仿宋" w:eastAsia="仿宋" w:cs="仿宋"/>
                <w:color w:val="auto"/>
                <w:sz w:val="24"/>
                <w:szCs w:val="24"/>
                <w:lang w:eastAsia="zh-CN"/>
              </w:rPr>
            </w:pPr>
          </w:p>
        </w:tc>
        <w:tc>
          <w:tcPr>
            <w:tcW w:w="1154" w:type="dxa"/>
            <w:noWrap w:val="0"/>
            <w:vAlign w:val="center"/>
          </w:tcPr>
          <w:p w14:paraId="3A7E0106">
            <w:pPr>
              <w:spacing w:line="440" w:lineRule="exact"/>
              <w:jc w:val="center"/>
              <w:rPr>
                <w:rFonts w:hint="eastAsia" w:ascii="仿宋" w:hAnsi="仿宋" w:eastAsia="仿宋" w:cs="仿宋"/>
                <w:color w:val="auto"/>
                <w:sz w:val="24"/>
                <w:szCs w:val="24"/>
                <w:lang w:eastAsia="zh-CN"/>
              </w:rPr>
            </w:pPr>
          </w:p>
        </w:tc>
        <w:tc>
          <w:tcPr>
            <w:tcW w:w="1373" w:type="dxa"/>
            <w:noWrap w:val="0"/>
            <w:vAlign w:val="center"/>
          </w:tcPr>
          <w:p w14:paraId="5DDB3804">
            <w:pPr>
              <w:spacing w:line="440" w:lineRule="exact"/>
              <w:jc w:val="center"/>
              <w:rPr>
                <w:rFonts w:hint="eastAsia" w:ascii="仿宋" w:hAnsi="仿宋" w:eastAsia="仿宋" w:cs="仿宋"/>
                <w:color w:val="auto"/>
                <w:sz w:val="24"/>
                <w:szCs w:val="24"/>
                <w:lang w:eastAsia="zh-CN"/>
              </w:rPr>
            </w:pPr>
          </w:p>
        </w:tc>
        <w:tc>
          <w:tcPr>
            <w:tcW w:w="1702" w:type="dxa"/>
            <w:noWrap w:val="0"/>
            <w:vAlign w:val="center"/>
          </w:tcPr>
          <w:p w14:paraId="6698F2D3">
            <w:pPr>
              <w:spacing w:line="440" w:lineRule="exact"/>
              <w:jc w:val="center"/>
              <w:rPr>
                <w:rFonts w:hint="eastAsia" w:ascii="仿宋" w:hAnsi="仿宋" w:eastAsia="仿宋" w:cs="仿宋"/>
                <w:color w:val="auto"/>
                <w:sz w:val="24"/>
                <w:szCs w:val="24"/>
                <w:lang w:eastAsia="zh-CN"/>
              </w:rPr>
            </w:pPr>
          </w:p>
        </w:tc>
      </w:tr>
      <w:tr w14:paraId="1946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trPr>
        <w:tc>
          <w:tcPr>
            <w:tcW w:w="699" w:type="dxa"/>
            <w:noWrap w:val="0"/>
            <w:vAlign w:val="center"/>
          </w:tcPr>
          <w:p w14:paraId="6589D552">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74" w:type="dxa"/>
            <w:noWrap w:val="0"/>
            <w:vAlign w:val="center"/>
          </w:tcPr>
          <w:p w14:paraId="12E1091C">
            <w:pPr>
              <w:spacing w:line="440" w:lineRule="exact"/>
              <w:jc w:val="center"/>
              <w:rPr>
                <w:rFonts w:hint="eastAsia" w:ascii="仿宋" w:hAnsi="仿宋" w:eastAsia="仿宋" w:cs="仿宋"/>
                <w:color w:val="auto"/>
                <w:sz w:val="24"/>
                <w:szCs w:val="24"/>
                <w:lang w:eastAsia="zh-CN"/>
              </w:rPr>
            </w:pPr>
          </w:p>
        </w:tc>
        <w:tc>
          <w:tcPr>
            <w:tcW w:w="1129" w:type="dxa"/>
            <w:noWrap w:val="0"/>
            <w:vAlign w:val="center"/>
          </w:tcPr>
          <w:p w14:paraId="65F82D92">
            <w:pPr>
              <w:spacing w:line="440" w:lineRule="exact"/>
              <w:jc w:val="center"/>
              <w:rPr>
                <w:rFonts w:hint="eastAsia" w:ascii="仿宋" w:hAnsi="仿宋" w:eastAsia="仿宋" w:cs="仿宋"/>
                <w:color w:val="auto"/>
                <w:sz w:val="24"/>
                <w:szCs w:val="24"/>
                <w:lang w:val="en-US" w:eastAsia="zh-CN"/>
              </w:rPr>
            </w:pPr>
          </w:p>
        </w:tc>
        <w:tc>
          <w:tcPr>
            <w:tcW w:w="1287" w:type="dxa"/>
            <w:noWrap w:val="0"/>
            <w:vAlign w:val="center"/>
          </w:tcPr>
          <w:p w14:paraId="79230A16">
            <w:pPr>
              <w:spacing w:line="440" w:lineRule="exact"/>
              <w:jc w:val="center"/>
              <w:rPr>
                <w:rFonts w:hint="eastAsia" w:ascii="仿宋" w:hAnsi="仿宋" w:eastAsia="仿宋" w:cs="仿宋"/>
                <w:color w:val="auto"/>
                <w:sz w:val="24"/>
                <w:szCs w:val="24"/>
                <w:lang w:eastAsia="zh-CN"/>
              </w:rPr>
            </w:pPr>
          </w:p>
        </w:tc>
        <w:tc>
          <w:tcPr>
            <w:tcW w:w="815" w:type="dxa"/>
            <w:noWrap w:val="0"/>
            <w:vAlign w:val="center"/>
          </w:tcPr>
          <w:p w14:paraId="21A4274E">
            <w:pPr>
              <w:spacing w:line="440" w:lineRule="exact"/>
              <w:jc w:val="center"/>
              <w:rPr>
                <w:rFonts w:hint="eastAsia" w:ascii="仿宋" w:hAnsi="仿宋" w:eastAsia="仿宋" w:cs="仿宋"/>
                <w:color w:val="auto"/>
                <w:sz w:val="24"/>
                <w:szCs w:val="24"/>
                <w:lang w:eastAsia="zh-CN"/>
              </w:rPr>
            </w:pPr>
          </w:p>
        </w:tc>
        <w:tc>
          <w:tcPr>
            <w:tcW w:w="1154" w:type="dxa"/>
            <w:noWrap w:val="0"/>
            <w:vAlign w:val="center"/>
          </w:tcPr>
          <w:p w14:paraId="4ABE2238">
            <w:pPr>
              <w:spacing w:line="440" w:lineRule="exact"/>
              <w:jc w:val="center"/>
              <w:rPr>
                <w:rFonts w:hint="eastAsia" w:ascii="仿宋" w:hAnsi="仿宋" w:eastAsia="仿宋" w:cs="仿宋"/>
                <w:color w:val="auto"/>
                <w:sz w:val="24"/>
                <w:szCs w:val="24"/>
                <w:lang w:eastAsia="zh-CN"/>
              </w:rPr>
            </w:pPr>
          </w:p>
        </w:tc>
        <w:tc>
          <w:tcPr>
            <w:tcW w:w="1373" w:type="dxa"/>
            <w:noWrap w:val="0"/>
            <w:vAlign w:val="center"/>
          </w:tcPr>
          <w:p w14:paraId="5816D0DA">
            <w:pPr>
              <w:spacing w:line="440" w:lineRule="exact"/>
              <w:jc w:val="center"/>
              <w:rPr>
                <w:rFonts w:hint="eastAsia" w:ascii="仿宋" w:hAnsi="仿宋" w:eastAsia="仿宋" w:cs="仿宋"/>
                <w:color w:val="auto"/>
                <w:sz w:val="24"/>
                <w:szCs w:val="24"/>
                <w:lang w:eastAsia="zh-CN"/>
              </w:rPr>
            </w:pPr>
          </w:p>
        </w:tc>
        <w:tc>
          <w:tcPr>
            <w:tcW w:w="1702" w:type="dxa"/>
            <w:noWrap w:val="0"/>
            <w:vAlign w:val="center"/>
          </w:tcPr>
          <w:p w14:paraId="3EB7817E">
            <w:pPr>
              <w:spacing w:line="440" w:lineRule="exact"/>
              <w:jc w:val="center"/>
              <w:rPr>
                <w:rFonts w:hint="eastAsia" w:ascii="仿宋" w:hAnsi="仿宋" w:eastAsia="仿宋" w:cs="仿宋"/>
                <w:color w:val="auto"/>
                <w:sz w:val="24"/>
                <w:szCs w:val="24"/>
                <w:lang w:eastAsia="zh-CN"/>
              </w:rPr>
            </w:pPr>
          </w:p>
        </w:tc>
      </w:tr>
      <w:tr w14:paraId="64C2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trPr>
        <w:tc>
          <w:tcPr>
            <w:tcW w:w="699" w:type="dxa"/>
            <w:noWrap w:val="0"/>
            <w:vAlign w:val="center"/>
          </w:tcPr>
          <w:p w14:paraId="104E6C33">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74" w:type="dxa"/>
            <w:noWrap w:val="0"/>
            <w:vAlign w:val="center"/>
          </w:tcPr>
          <w:p w14:paraId="5069D023">
            <w:pPr>
              <w:spacing w:line="440" w:lineRule="exact"/>
              <w:jc w:val="center"/>
              <w:rPr>
                <w:rFonts w:hint="eastAsia" w:ascii="仿宋" w:hAnsi="仿宋" w:eastAsia="仿宋" w:cs="仿宋"/>
                <w:color w:val="auto"/>
                <w:sz w:val="24"/>
                <w:szCs w:val="24"/>
                <w:lang w:eastAsia="zh-CN"/>
              </w:rPr>
            </w:pPr>
          </w:p>
        </w:tc>
        <w:tc>
          <w:tcPr>
            <w:tcW w:w="1129" w:type="dxa"/>
            <w:noWrap w:val="0"/>
            <w:vAlign w:val="center"/>
          </w:tcPr>
          <w:p w14:paraId="2D0CEC00">
            <w:pPr>
              <w:spacing w:line="440" w:lineRule="exact"/>
              <w:jc w:val="center"/>
              <w:rPr>
                <w:rFonts w:hint="eastAsia" w:ascii="仿宋" w:hAnsi="仿宋" w:eastAsia="仿宋" w:cs="仿宋"/>
                <w:color w:val="auto"/>
                <w:sz w:val="24"/>
                <w:szCs w:val="24"/>
                <w:lang w:val="en-US" w:eastAsia="zh-CN"/>
              </w:rPr>
            </w:pPr>
          </w:p>
        </w:tc>
        <w:tc>
          <w:tcPr>
            <w:tcW w:w="1287" w:type="dxa"/>
            <w:noWrap w:val="0"/>
            <w:vAlign w:val="center"/>
          </w:tcPr>
          <w:p w14:paraId="0571042F">
            <w:pPr>
              <w:spacing w:line="440" w:lineRule="exact"/>
              <w:jc w:val="center"/>
              <w:rPr>
                <w:rFonts w:hint="eastAsia" w:ascii="仿宋" w:hAnsi="仿宋" w:eastAsia="仿宋" w:cs="仿宋"/>
                <w:color w:val="auto"/>
                <w:sz w:val="24"/>
                <w:szCs w:val="24"/>
                <w:lang w:eastAsia="zh-CN"/>
              </w:rPr>
            </w:pPr>
          </w:p>
        </w:tc>
        <w:tc>
          <w:tcPr>
            <w:tcW w:w="815" w:type="dxa"/>
            <w:noWrap w:val="0"/>
            <w:vAlign w:val="center"/>
          </w:tcPr>
          <w:p w14:paraId="3E261E19">
            <w:pPr>
              <w:spacing w:line="440" w:lineRule="exact"/>
              <w:jc w:val="center"/>
              <w:rPr>
                <w:rFonts w:hint="eastAsia" w:ascii="仿宋" w:hAnsi="仿宋" w:eastAsia="仿宋" w:cs="仿宋"/>
                <w:color w:val="auto"/>
                <w:sz w:val="24"/>
                <w:szCs w:val="24"/>
                <w:lang w:eastAsia="zh-CN"/>
              </w:rPr>
            </w:pPr>
          </w:p>
        </w:tc>
        <w:tc>
          <w:tcPr>
            <w:tcW w:w="1154" w:type="dxa"/>
            <w:noWrap w:val="0"/>
            <w:vAlign w:val="center"/>
          </w:tcPr>
          <w:p w14:paraId="44AC3F1D">
            <w:pPr>
              <w:spacing w:line="440" w:lineRule="exact"/>
              <w:jc w:val="center"/>
              <w:rPr>
                <w:rFonts w:hint="eastAsia" w:ascii="仿宋" w:hAnsi="仿宋" w:eastAsia="仿宋" w:cs="仿宋"/>
                <w:color w:val="auto"/>
                <w:sz w:val="24"/>
                <w:szCs w:val="24"/>
                <w:lang w:eastAsia="zh-CN"/>
              </w:rPr>
            </w:pPr>
          </w:p>
        </w:tc>
        <w:tc>
          <w:tcPr>
            <w:tcW w:w="1373" w:type="dxa"/>
            <w:noWrap w:val="0"/>
            <w:vAlign w:val="center"/>
          </w:tcPr>
          <w:p w14:paraId="67BD42EA">
            <w:pPr>
              <w:spacing w:line="440" w:lineRule="exact"/>
              <w:jc w:val="center"/>
              <w:rPr>
                <w:rFonts w:hint="eastAsia" w:ascii="仿宋" w:hAnsi="仿宋" w:eastAsia="仿宋" w:cs="仿宋"/>
                <w:color w:val="auto"/>
                <w:sz w:val="24"/>
                <w:szCs w:val="24"/>
                <w:lang w:eastAsia="zh-CN"/>
              </w:rPr>
            </w:pPr>
          </w:p>
        </w:tc>
        <w:tc>
          <w:tcPr>
            <w:tcW w:w="1702" w:type="dxa"/>
            <w:noWrap w:val="0"/>
            <w:vAlign w:val="center"/>
          </w:tcPr>
          <w:p w14:paraId="60C7A742">
            <w:pPr>
              <w:spacing w:line="440" w:lineRule="exact"/>
              <w:jc w:val="center"/>
              <w:rPr>
                <w:rFonts w:hint="eastAsia" w:ascii="仿宋" w:hAnsi="仿宋" w:eastAsia="仿宋" w:cs="仿宋"/>
                <w:color w:val="auto"/>
                <w:sz w:val="24"/>
                <w:szCs w:val="24"/>
                <w:lang w:eastAsia="zh-CN"/>
              </w:rPr>
            </w:pPr>
          </w:p>
        </w:tc>
      </w:tr>
      <w:tr w14:paraId="5E53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trPr>
        <w:tc>
          <w:tcPr>
            <w:tcW w:w="699" w:type="dxa"/>
            <w:noWrap w:val="0"/>
            <w:vAlign w:val="center"/>
          </w:tcPr>
          <w:p w14:paraId="01A2AE75">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474" w:type="dxa"/>
            <w:noWrap w:val="0"/>
            <w:vAlign w:val="center"/>
          </w:tcPr>
          <w:p w14:paraId="213EB946">
            <w:pPr>
              <w:spacing w:line="440" w:lineRule="exact"/>
              <w:jc w:val="center"/>
              <w:rPr>
                <w:rFonts w:hint="eastAsia" w:ascii="仿宋" w:hAnsi="仿宋" w:eastAsia="仿宋" w:cs="仿宋"/>
                <w:color w:val="auto"/>
                <w:sz w:val="24"/>
                <w:szCs w:val="24"/>
                <w:lang w:eastAsia="zh-CN"/>
              </w:rPr>
            </w:pPr>
          </w:p>
        </w:tc>
        <w:tc>
          <w:tcPr>
            <w:tcW w:w="1129" w:type="dxa"/>
            <w:noWrap w:val="0"/>
            <w:vAlign w:val="center"/>
          </w:tcPr>
          <w:p w14:paraId="06A3DF0A">
            <w:pPr>
              <w:spacing w:line="440" w:lineRule="exact"/>
              <w:jc w:val="center"/>
              <w:rPr>
                <w:rFonts w:hint="eastAsia" w:ascii="仿宋" w:hAnsi="仿宋" w:eastAsia="仿宋" w:cs="仿宋"/>
                <w:color w:val="auto"/>
                <w:sz w:val="24"/>
                <w:szCs w:val="24"/>
                <w:lang w:val="en-US" w:eastAsia="zh-CN"/>
              </w:rPr>
            </w:pPr>
          </w:p>
        </w:tc>
        <w:tc>
          <w:tcPr>
            <w:tcW w:w="1287" w:type="dxa"/>
            <w:noWrap w:val="0"/>
            <w:vAlign w:val="center"/>
          </w:tcPr>
          <w:p w14:paraId="00A1603C">
            <w:pPr>
              <w:spacing w:line="440" w:lineRule="exact"/>
              <w:jc w:val="center"/>
              <w:rPr>
                <w:rFonts w:hint="eastAsia" w:ascii="仿宋" w:hAnsi="仿宋" w:eastAsia="仿宋" w:cs="仿宋"/>
                <w:color w:val="auto"/>
                <w:sz w:val="24"/>
                <w:szCs w:val="24"/>
                <w:lang w:eastAsia="zh-CN"/>
              </w:rPr>
            </w:pPr>
          </w:p>
        </w:tc>
        <w:tc>
          <w:tcPr>
            <w:tcW w:w="815" w:type="dxa"/>
            <w:noWrap w:val="0"/>
            <w:vAlign w:val="center"/>
          </w:tcPr>
          <w:p w14:paraId="2C2E8A43">
            <w:pPr>
              <w:spacing w:line="440" w:lineRule="exact"/>
              <w:jc w:val="center"/>
              <w:rPr>
                <w:rFonts w:hint="eastAsia" w:ascii="仿宋" w:hAnsi="仿宋" w:eastAsia="仿宋" w:cs="仿宋"/>
                <w:color w:val="auto"/>
                <w:sz w:val="24"/>
                <w:szCs w:val="24"/>
                <w:lang w:eastAsia="zh-CN"/>
              </w:rPr>
            </w:pPr>
          </w:p>
        </w:tc>
        <w:tc>
          <w:tcPr>
            <w:tcW w:w="1154" w:type="dxa"/>
            <w:noWrap w:val="0"/>
            <w:vAlign w:val="center"/>
          </w:tcPr>
          <w:p w14:paraId="7B8E322F">
            <w:pPr>
              <w:spacing w:line="440" w:lineRule="exact"/>
              <w:jc w:val="center"/>
              <w:rPr>
                <w:rFonts w:hint="eastAsia" w:ascii="仿宋" w:hAnsi="仿宋" w:eastAsia="仿宋" w:cs="仿宋"/>
                <w:color w:val="auto"/>
                <w:sz w:val="24"/>
                <w:szCs w:val="24"/>
                <w:lang w:eastAsia="zh-CN"/>
              </w:rPr>
            </w:pPr>
          </w:p>
        </w:tc>
        <w:tc>
          <w:tcPr>
            <w:tcW w:w="1373" w:type="dxa"/>
            <w:noWrap w:val="0"/>
            <w:vAlign w:val="center"/>
          </w:tcPr>
          <w:p w14:paraId="04425A7C">
            <w:pPr>
              <w:spacing w:line="440" w:lineRule="exact"/>
              <w:jc w:val="center"/>
              <w:rPr>
                <w:rFonts w:hint="eastAsia" w:ascii="仿宋" w:hAnsi="仿宋" w:eastAsia="仿宋" w:cs="仿宋"/>
                <w:color w:val="auto"/>
                <w:sz w:val="24"/>
                <w:szCs w:val="24"/>
                <w:lang w:eastAsia="zh-CN"/>
              </w:rPr>
            </w:pPr>
          </w:p>
        </w:tc>
        <w:tc>
          <w:tcPr>
            <w:tcW w:w="1702" w:type="dxa"/>
            <w:noWrap w:val="0"/>
            <w:vAlign w:val="center"/>
          </w:tcPr>
          <w:p w14:paraId="4928BC9E">
            <w:pPr>
              <w:spacing w:line="440" w:lineRule="exact"/>
              <w:jc w:val="center"/>
              <w:rPr>
                <w:rFonts w:hint="eastAsia" w:ascii="仿宋" w:hAnsi="仿宋" w:eastAsia="仿宋" w:cs="仿宋"/>
                <w:color w:val="auto"/>
                <w:sz w:val="24"/>
                <w:szCs w:val="24"/>
                <w:lang w:eastAsia="zh-CN"/>
              </w:rPr>
            </w:pPr>
          </w:p>
        </w:tc>
      </w:tr>
      <w:tr w14:paraId="39D8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6" w:hRule="atLeast"/>
        </w:trPr>
        <w:tc>
          <w:tcPr>
            <w:tcW w:w="699" w:type="dxa"/>
            <w:noWrap w:val="0"/>
            <w:vAlign w:val="center"/>
          </w:tcPr>
          <w:p w14:paraId="4A11F594">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74" w:type="dxa"/>
            <w:noWrap w:val="0"/>
            <w:vAlign w:val="center"/>
          </w:tcPr>
          <w:p w14:paraId="3CF346E3">
            <w:pPr>
              <w:spacing w:line="440" w:lineRule="exact"/>
              <w:jc w:val="center"/>
              <w:rPr>
                <w:rFonts w:hint="eastAsia" w:ascii="仿宋" w:hAnsi="仿宋" w:eastAsia="仿宋" w:cs="仿宋"/>
                <w:color w:val="auto"/>
                <w:sz w:val="24"/>
                <w:szCs w:val="24"/>
                <w:lang w:eastAsia="zh-CN"/>
              </w:rPr>
            </w:pPr>
          </w:p>
        </w:tc>
        <w:tc>
          <w:tcPr>
            <w:tcW w:w="1129" w:type="dxa"/>
            <w:noWrap w:val="0"/>
            <w:vAlign w:val="center"/>
          </w:tcPr>
          <w:p w14:paraId="21F0DB1A">
            <w:pPr>
              <w:spacing w:line="440" w:lineRule="exact"/>
              <w:jc w:val="center"/>
              <w:rPr>
                <w:rFonts w:hint="eastAsia" w:ascii="仿宋" w:hAnsi="仿宋" w:eastAsia="仿宋" w:cs="仿宋"/>
                <w:color w:val="auto"/>
                <w:sz w:val="24"/>
                <w:szCs w:val="24"/>
                <w:lang w:val="en-US" w:eastAsia="zh-CN"/>
              </w:rPr>
            </w:pPr>
          </w:p>
        </w:tc>
        <w:tc>
          <w:tcPr>
            <w:tcW w:w="1287" w:type="dxa"/>
            <w:noWrap w:val="0"/>
            <w:vAlign w:val="center"/>
          </w:tcPr>
          <w:p w14:paraId="4E1E00C3">
            <w:pPr>
              <w:spacing w:line="440" w:lineRule="exact"/>
              <w:jc w:val="center"/>
              <w:rPr>
                <w:rFonts w:hint="eastAsia" w:ascii="仿宋" w:hAnsi="仿宋" w:eastAsia="仿宋" w:cs="仿宋"/>
                <w:color w:val="auto"/>
                <w:sz w:val="24"/>
                <w:szCs w:val="24"/>
                <w:lang w:eastAsia="zh-CN"/>
              </w:rPr>
            </w:pPr>
          </w:p>
        </w:tc>
        <w:tc>
          <w:tcPr>
            <w:tcW w:w="815" w:type="dxa"/>
            <w:noWrap w:val="0"/>
            <w:vAlign w:val="center"/>
          </w:tcPr>
          <w:p w14:paraId="69648ABD">
            <w:pPr>
              <w:spacing w:line="440" w:lineRule="exact"/>
              <w:jc w:val="center"/>
              <w:rPr>
                <w:rFonts w:hint="eastAsia" w:ascii="仿宋" w:hAnsi="仿宋" w:eastAsia="仿宋" w:cs="仿宋"/>
                <w:color w:val="auto"/>
                <w:sz w:val="24"/>
                <w:szCs w:val="24"/>
                <w:lang w:eastAsia="zh-CN"/>
              </w:rPr>
            </w:pPr>
          </w:p>
        </w:tc>
        <w:tc>
          <w:tcPr>
            <w:tcW w:w="1154" w:type="dxa"/>
            <w:noWrap w:val="0"/>
            <w:vAlign w:val="center"/>
          </w:tcPr>
          <w:p w14:paraId="250414C1">
            <w:pPr>
              <w:spacing w:line="440" w:lineRule="exact"/>
              <w:jc w:val="center"/>
              <w:rPr>
                <w:rFonts w:hint="eastAsia" w:ascii="仿宋" w:hAnsi="仿宋" w:eastAsia="仿宋" w:cs="仿宋"/>
                <w:color w:val="auto"/>
                <w:sz w:val="24"/>
                <w:szCs w:val="24"/>
                <w:lang w:eastAsia="zh-CN"/>
              </w:rPr>
            </w:pPr>
          </w:p>
        </w:tc>
        <w:tc>
          <w:tcPr>
            <w:tcW w:w="1373" w:type="dxa"/>
            <w:noWrap w:val="0"/>
            <w:vAlign w:val="center"/>
          </w:tcPr>
          <w:p w14:paraId="6F9C8314">
            <w:pPr>
              <w:spacing w:line="440" w:lineRule="exact"/>
              <w:jc w:val="center"/>
              <w:rPr>
                <w:rFonts w:hint="eastAsia" w:ascii="仿宋" w:hAnsi="仿宋" w:eastAsia="仿宋" w:cs="仿宋"/>
                <w:color w:val="auto"/>
                <w:sz w:val="24"/>
                <w:szCs w:val="24"/>
                <w:lang w:eastAsia="zh-CN"/>
              </w:rPr>
            </w:pPr>
          </w:p>
        </w:tc>
        <w:tc>
          <w:tcPr>
            <w:tcW w:w="1702" w:type="dxa"/>
            <w:noWrap w:val="0"/>
            <w:vAlign w:val="center"/>
          </w:tcPr>
          <w:p w14:paraId="3C6BEEEE">
            <w:pPr>
              <w:spacing w:line="440" w:lineRule="exact"/>
              <w:jc w:val="center"/>
              <w:rPr>
                <w:rFonts w:hint="eastAsia" w:ascii="仿宋" w:hAnsi="仿宋" w:eastAsia="仿宋" w:cs="仿宋"/>
                <w:color w:val="auto"/>
                <w:sz w:val="24"/>
                <w:szCs w:val="24"/>
                <w:lang w:eastAsia="zh-CN"/>
              </w:rPr>
            </w:pPr>
          </w:p>
        </w:tc>
      </w:tr>
      <w:tr w14:paraId="3B74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32" w:hRule="atLeast"/>
        </w:trPr>
        <w:tc>
          <w:tcPr>
            <w:tcW w:w="699" w:type="dxa"/>
            <w:noWrap w:val="0"/>
            <w:vAlign w:val="center"/>
          </w:tcPr>
          <w:p w14:paraId="3A7E6795">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474" w:type="dxa"/>
            <w:noWrap w:val="0"/>
            <w:vAlign w:val="center"/>
          </w:tcPr>
          <w:p w14:paraId="4F4611D9">
            <w:pPr>
              <w:spacing w:line="440" w:lineRule="exact"/>
              <w:jc w:val="center"/>
              <w:rPr>
                <w:rFonts w:hint="eastAsia" w:ascii="仿宋" w:hAnsi="仿宋" w:eastAsia="仿宋" w:cs="仿宋"/>
                <w:color w:val="auto"/>
                <w:sz w:val="24"/>
                <w:szCs w:val="24"/>
                <w:lang w:eastAsia="zh-CN"/>
              </w:rPr>
            </w:pPr>
          </w:p>
        </w:tc>
        <w:tc>
          <w:tcPr>
            <w:tcW w:w="1129" w:type="dxa"/>
            <w:noWrap w:val="0"/>
            <w:vAlign w:val="center"/>
          </w:tcPr>
          <w:p w14:paraId="0B9AA319">
            <w:pPr>
              <w:spacing w:line="440" w:lineRule="exact"/>
              <w:jc w:val="center"/>
              <w:rPr>
                <w:rFonts w:hint="eastAsia" w:ascii="仿宋" w:hAnsi="仿宋" w:eastAsia="仿宋" w:cs="仿宋"/>
                <w:color w:val="auto"/>
                <w:sz w:val="24"/>
                <w:szCs w:val="24"/>
                <w:lang w:val="en-US" w:eastAsia="zh-CN"/>
              </w:rPr>
            </w:pPr>
          </w:p>
        </w:tc>
        <w:tc>
          <w:tcPr>
            <w:tcW w:w="1287" w:type="dxa"/>
            <w:noWrap w:val="0"/>
            <w:vAlign w:val="center"/>
          </w:tcPr>
          <w:p w14:paraId="781DBCEE">
            <w:pPr>
              <w:spacing w:line="440" w:lineRule="exact"/>
              <w:jc w:val="center"/>
              <w:rPr>
                <w:rFonts w:hint="eastAsia" w:ascii="仿宋" w:hAnsi="仿宋" w:eastAsia="仿宋" w:cs="仿宋"/>
                <w:color w:val="auto"/>
                <w:sz w:val="24"/>
                <w:szCs w:val="24"/>
                <w:lang w:eastAsia="zh-CN"/>
              </w:rPr>
            </w:pPr>
          </w:p>
        </w:tc>
        <w:tc>
          <w:tcPr>
            <w:tcW w:w="815" w:type="dxa"/>
            <w:noWrap w:val="0"/>
            <w:vAlign w:val="center"/>
          </w:tcPr>
          <w:p w14:paraId="3574E205">
            <w:pPr>
              <w:spacing w:line="440" w:lineRule="exact"/>
              <w:jc w:val="center"/>
              <w:rPr>
                <w:rFonts w:hint="eastAsia" w:ascii="仿宋" w:hAnsi="仿宋" w:eastAsia="仿宋" w:cs="仿宋"/>
                <w:color w:val="auto"/>
                <w:sz w:val="24"/>
                <w:szCs w:val="24"/>
                <w:lang w:eastAsia="zh-CN"/>
              </w:rPr>
            </w:pPr>
          </w:p>
        </w:tc>
        <w:tc>
          <w:tcPr>
            <w:tcW w:w="1154" w:type="dxa"/>
            <w:noWrap w:val="0"/>
            <w:vAlign w:val="center"/>
          </w:tcPr>
          <w:p w14:paraId="68F4E425">
            <w:pPr>
              <w:spacing w:line="440" w:lineRule="exact"/>
              <w:jc w:val="center"/>
              <w:rPr>
                <w:rFonts w:hint="eastAsia" w:ascii="仿宋" w:hAnsi="仿宋" w:eastAsia="仿宋" w:cs="仿宋"/>
                <w:color w:val="auto"/>
                <w:sz w:val="24"/>
                <w:szCs w:val="24"/>
                <w:lang w:eastAsia="zh-CN"/>
              </w:rPr>
            </w:pPr>
          </w:p>
        </w:tc>
        <w:tc>
          <w:tcPr>
            <w:tcW w:w="1373" w:type="dxa"/>
            <w:noWrap w:val="0"/>
            <w:vAlign w:val="center"/>
          </w:tcPr>
          <w:p w14:paraId="7FDF89FF">
            <w:pPr>
              <w:spacing w:line="440" w:lineRule="exact"/>
              <w:jc w:val="center"/>
              <w:rPr>
                <w:rFonts w:hint="eastAsia" w:ascii="仿宋" w:hAnsi="仿宋" w:eastAsia="仿宋" w:cs="仿宋"/>
                <w:color w:val="auto"/>
                <w:sz w:val="24"/>
                <w:szCs w:val="24"/>
                <w:lang w:eastAsia="zh-CN"/>
              </w:rPr>
            </w:pPr>
          </w:p>
        </w:tc>
        <w:tc>
          <w:tcPr>
            <w:tcW w:w="1702" w:type="dxa"/>
            <w:noWrap w:val="0"/>
            <w:vAlign w:val="center"/>
          </w:tcPr>
          <w:p w14:paraId="45D3381B">
            <w:pPr>
              <w:spacing w:line="440" w:lineRule="exact"/>
              <w:jc w:val="center"/>
              <w:rPr>
                <w:rFonts w:hint="eastAsia" w:ascii="仿宋" w:hAnsi="仿宋" w:eastAsia="仿宋" w:cs="仿宋"/>
                <w:color w:val="auto"/>
                <w:sz w:val="24"/>
                <w:szCs w:val="24"/>
                <w:lang w:eastAsia="zh-CN"/>
              </w:rPr>
            </w:pPr>
          </w:p>
        </w:tc>
      </w:tr>
      <w:tr w14:paraId="3DC4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73" w:type="dxa"/>
            <w:gridSpan w:val="2"/>
            <w:noWrap w:val="0"/>
            <w:vAlign w:val="center"/>
          </w:tcPr>
          <w:p w14:paraId="24C455ED">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总报价（元）</w:t>
            </w:r>
          </w:p>
        </w:tc>
        <w:tc>
          <w:tcPr>
            <w:tcW w:w="7464" w:type="dxa"/>
            <w:gridSpan w:val="7"/>
            <w:noWrap w:val="0"/>
            <w:vAlign w:val="center"/>
          </w:tcPr>
          <w:p w14:paraId="6FAA3573">
            <w:pPr>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小写：</w:t>
            </w:r>
          </w:p>
          <w:p w14:paraId="131E8211">
            <w:pPr>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大写：</w:t>
            </w:r>
          </w:p>
        </w:tc>
      </w:tr>
      <w:tr w14:paraId="258F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37" w:type="dxa"/>
            <w:gridSpan w:val="9"/>
            <w:noWrap w:val="0"/>
            <w:vAlign w:val="center"/>
          </w:tcPr>
          <w:p w14:paraId="246F94C1">
            <w:pPr>
              <w:autoSpaceDE w:val="0"/>
              <w:autoSpaceDN w:val="0"/>
              <w:adjustRightInd w:val="0"/>
              <w:jc w:val="left"/>
              <w:rPr>
                <w:rFonts w:hint="eastAsia" w:ascii="仿宋" w:hAnsi="仿宋" w:eastAsia="仿宋"/>
                <w:sz w:val="24"/>
                <w:szCs w:val="24"/>
                <w:lang w:eastAsia="zh-CN"/>
              </w:rPr>
            </w:pPr>
            <w:r>
              <w:rPr>
                <w:rFonts w:hint="eastAsia" w:ascii="仿宋" w:hAnsi="仿宋" w:eastAsia="仿宋"/>
                <w:sz w:val="24"/>
                <w:szCs w:val="24"/>
                <w:lang w:eastAsia="zh-CN"/>
              </w:rPr>
              <w:t>备注：</w:t>
            </w:r>
            <w:r>
              <w:rPr>
                <w:rFonts w:hint="eastAsia" w:ascii="仿宋" w:hAnsi="仿宋" w:eastAsia="仿宋" w:cs="仿宋"/>
                <w:sz w:val="24"/>
                <w:szCs w:val="24"/>
                <w:lang w:eastAsia="zh-CN"/>
              </w:rPr>
              <w:t>含运输安装费及税金。</w:t>
            </w:r>
          </w:p>
        </w:tc>
      </w:tr>
    </w:tbl>
    <w:p w14:paraId="46CEDB9B">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highlight w:val="none"/>
          <w:lang w:val="zh-CN"/>
        </w:rPr>
      </w:pPr>
    </w:p>
    <w:p w14:paraId="61188B83">
      <w:pPr>
        <w:spacing w:line="440" w:lineRule="exact"/>
        <w:rPr>
          <w:rFonts w:ascii="仿宋" w:hAnsi="仿宋" w:eastAsia="仿宋"/>
          <w:sz w:val="24"/>
          <w:szCs w:val="24"/>
          <w:highlight w:val="none"/>
        </w:rPr>
      </w:pPr>
      <w:r>
        <w:rPr>
          <w:rFonts w:hint="eastAsia" w:ascii="仿宋" w:hAnsi="仿宋" w:eastAsia="仿宋"/>
          <w:sz w:val="24"/>
          <w:szCs w:val="24"/>
          <w:highlight w:val="none"/>
        </w:rPr>
        <w:t>注：</w:t>
      </w:r>
      <w:r>
        <w:rPr>
          <w:rFonts w:hint="eastAsia" w:ascii="仿宋" w:hAnsi="仿宋" w:eastAsia="仿宋" w:cs="仿宋"/>
          <w:sz w:val="24"/>
          <w:szCs w:val="24"/>
          <w:highlight w:val="none"/>
          <w:lang w:val="en-US" w:eastAsia="zh-CN"/>
        </w:rPr>
        <w:t>投标报价应包括：货物本身价格、保险费用、包装费、运输 费用、二次搬运费、损耗、税金费用、检疫费、管理费、随产品资料费、自检费及验收合格前和质保期内发生的一切费用、应当提供的伴随服务/售后服务费用</w:t>
      </w:r>
    </w:p>
    <w:p w14:paraId="27EA7A58">
      <w:pPr>
        <w:spacing w:line="440" w:lineRule="exact"/>
        <w:ind w:firstLine="4108" w:firstLineChars="1712"/>
        <w:rPr>
          <w:rFonts w:ascii="仿宋" w:hAnsi="仿宋" w:eastAsia="仿宋"/>
          <w:sz w:val="24"/>
          <w:szCs w:val="24"/>
          <w:highlight w:val="none"/>
        </w:rPr>
      </w:pPr>
    </w:p>
    <w:p w14:paraId="2D92B870">
      <w:pPr>
        <w:spacing w:line="440" w:lineRule="exact"/>
        <w:ind w:firstLine="4108" w:firstLineChars="1712"/>
        <w:rPr>
          <w:rFonts w:ascii="仿宋" w:hAnsi="仿宋" w:eastAsia="仿宋"/>
          <w:sz w:val="24"/>
          <w:szCs w:val="24"/>
          <w:highlight w:val="none"/>
        </w:rPr>
      </w:pPr>
    </w:p>
    <w:p w14:paraId="60DC5540">
      <w:pPr>
        <w:spacing w:line="360" w:lineRule="auto"/>
        <w:rPr>
          <w:rFonts w:ascii="仿宋" w:hAnsi="仿宋" w:eastAsia="仿宋" w:cs="仿宋"/>
          <w:sz w:val="24"/>
          <w:szCs w:val="24"/>
          <w:highlight w:val="none"/>
        </w:rPr>
      </w:pPr>
    </w:p>
    <w:p w14:paraId="07DB682F">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113D323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2DE1B6E4">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2ADEFE6">
      <w:pPr>
        <w:numPr>
          <w:ilvl w:val="0"/>
          <w:numId w:val="2"/>
        </w:numPr>
        <w:spacing w:before="100" w:beforeAutospacing="1" w:after="100" w:afterAutospacing="1" w:line="440" w:lineRule="exact"/>
        <w:jc w:val="center"/>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33B186F4">
      <w:pPr>
        <w:widowControl/>
        <w:autoSpaceDE w:val="0"/>
        <w:autoSpaceDN w:val="0"/>
        <w:adjustRightInd w:val="0"/>
        <w:spacing w:line="440" w:lineRule="exact"/>
        <w:ind w:firstLine="630"/>
        <w:jc w:val="center"/>
        <w:rPr>
          <w:rFonts w:ascii="仿宋" w:hAnsi="仿宋" w:eastAsia="仿宋"/>
          <w:b/>
          <w:bCs/>
          <w:kern w:val="1"/>
          <w:sz w:val="28"/>
          <w:szCs w:val="28"/>
          <w:highlight w:val="none"/>
        </w:rPr>
      </w:pPr>
      <w:r>
        <w:rPr>
          <w:rFonts w:hint="eastAsia" w:ascii="仿宋" w:hAnsi="仿宋" w:eastAsia="仿宋" w:cs="宋体"/>
          <w:b/>
          <w:bCs/>
          <w:kern w:val="1"/>
          <w:sz w:val="28"/>
          <w:szCs w:val="28"/>
          <w:highlight w:val="none"/>
        </w:rPr>
        <w:t>四、联合投标协议书（本次不接受联合体投标）</w:t>
      </w:r>
    </w:p>
    <w:p w14:paraId="7F7DAB23">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甲方：</w:t>
      </w:r>
    </w:p>
    <w:p w14:paraId="5EAC2F3F">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乙方：</w:t>
      </w:r>
    </w:p>
    <w:p w14:paraId="141EC7ED">
      <w:pPr>
        <w:widowControl/>
        <w:autoSpaceDE w:val="0"/>
        <w:autoSpaceDN w:val="0"/>
        <w:adjustRightInd w:val="0"/>
        <w:spacing w:line="440" w:lineRule="exact"/>
        <w:ind w:firstLine="514"/>
        <w:rPr>
          <w:rStyle w:val="29"/>
          <w:sz w:val="24"/>
          <w:szCs w:val="24"/>
          <w:highlight w:val="none"/>
        </w:rPr>
      </w:pPr>
      <w:r>
        <w:rPr>
          <w:rStyle w:val="29"/>
          <w:rFonts w:hint="eastAsia"/>
          <w:sz w:val="24"/>
          <w:szCs w:val="24"/>
          <w:highlight w:val="none"/>
        </w:rPr>
        <w:t>（如果有的话，可按照甲、乙、丙、丁…序列增加）</w:t>
      </w:r>
    </w:p>
    <w:p w14:paraId="2F4ECEE1">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联合体各方经协商，就响应</w:t>
      </w:r>
      <w:r>
        <w:rPr>
          <w:rStyle w:val="29"/>
          <w:sz w:val="24"/>
          <w:szCs w:val="24"/>
          <w:highlight w:val="none"/>
        </w:rPr>
        <w:t xml:space="preserve"> </w:t>
      </w:r>
      <w:r>
        <w:rPr>
          <w:rFonts w:ascii="仿宋" w:hAnsi="仿宋" w:eastAsia="仿宋" w:cs="仿宋"/>
          <w:kern w:val="1"/>
          <w:sz w:val="24"/>
          <w:szCs w:val="24"/>
          <w:highlight w:val="none"/>
          <w:u w:val="single"/>
        </w:rPr>
        <w:t xml:space="preserve">            </w:t>
      </w:r>
      <w:r>
        <w:rPr>
          <w:rStyle w:val="29"/>
          <w:rFonts w:hint="eastAsia"/>
          <w:sz w:val="24"/>
          <w:szCs w:val="24"/>
          <w:highlight w:val="none"/>
        </w:rPr>
        <w:t>组织实施的编号为</w:t>
      </w:r>
      <w:r>
        <w:rPr>
          <w:rFonts w:ascii="仿宋" w:hAnsi="仿宋" w:eastAsia="仿宋" w:cs="仿宋"/>
          <w:kern w:val="1"/>
          <w:sz w:val="24"/>
          <w:szCs w:val="24"/>
          <w:highlight w:val="none"/>
          <w:u w:val="single"/>
        </w:rPr>
        <w:t xml:space="preserve">           </w:t>
      </w:r>
      <w:r>
        <w:rPr>
          <w:rStyle w:val="29"/>
          <w:rFonts w:hint="eastAsia"/>
          <w:sz w:val="24"/>
          <w:szCs w:val="24"/>
          <w:highlight w:val="none"/>
        </w:rPr>
        <w:t>号的招标活动联合进行投标之事宜，达成如下协议：</w:t>
      </w:r>
    </w:p>
    <w:p w14:paraId="6B7C2791">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一、联合体各方一致决定，以</w:t>
      </w:r>
      <w:r>
        <w:rPr>
          <w:rStyle w:val="29"/>
          <w:sz w:val="24"/>
          <w:szCs w:val="24"/>
          <w:highlight w:val="none"/>
        </w:rPr>
        <w:t xml:space="preserve"> </w:t>
      </w:r>
      <w:r>
        <w:rPr>
          <w:rFonts w:ascii="仿宋" w:hAnsi="仿宋" w:eastAsia="仿宋" w:cs="仿宋"/>
          <w:kern w:val="1"/>
          <w:sz w:val="24"/>
          <w:szCs w:val="24"/>
          <w:highlight w:val="none"/>
          <w:u w:val="single"/>
        </w:rPr>
        <w:t xml:space="preserve">         </w:t>
      </w:r>
      <w:r>
        <w:rPr>
          <w:rStyle w:val="29"/>
          <w:sz w:val="24"/>
          <w:szCs w:val="24"/>
          <w:highlight w:val="none"/>
        </w:rPr>
        <w:t xml:space="preserve"> </w:t>
      </w:r>
      <w:r>
        <w:rPr>
          <w:rStyle w:val="29"/>
          <w:rFonts w:hint="eastAsia"/>
          <w:sz w:val="24"/>
          <w:szCs w:val="24"/>
          <w:highlight w:val="none"/>
        </w:rPr>
        <w:t>为主办人进行投标，并按照招标文件的规定分别提交资格文件。</w:t>
      </w:r>
    </w:p>
    <w:p w14:paraId="707E25B0">
      <w:pPr>
        <w:widowControl/>
        <w:autoSpaceDE w:val="0"/>
        <w:autoSpaceDN w:val="0"/>
        <w:adjustRightInd w:val="0"/>
        <w:spacing w:line="440" w:lineRule="exact"/>
        <w:ind w:firstLine="514"/>
        <w:rPr>
          <w:rStyle w:val="29"/>
          <w:sz w:val="24"/>
          <w:szCs w:val="24"/>
          <w:highlight w:val="none"/>
        </w:rPr>
      </w:pPr>
      <w:r>
        <w:rPr>
          <w:rStyle w:val="29"/>
          <w:rFonts w:hint="eastAsia"/>
          <w:sz w:val="24"/>
          <w:szCs w:val="24"/>
          <w:highlight w:val="none"/>
        </w:rPr>
        <w:t>二、在本次投标过程中，主办人的法定代表人或者授权代理人根据招标文件规定以及投标内容对</w:t>
      </w:r>
      <w:r>
        <w:rPr>
          <w:rStyle w:val="29"/>
          <w:rFonts w:hint="eastAsia" w:eastAsia="仿宋"/>
          <w:sz w:val="24"/>
          <w:szCs w:val="24"/>
          <w:highlight w:val="none"/>
          <w:lang w:eastAsia="zh-CN"/>
        </w:rPr>
        <w:t>招标人</w:t>
      </w:r>
      <w:r>
        <w:rPr>
          <w:rStyle w:val="29"/>
          <w:rFonts w:hint="eastAsia"/>
          <w:sz w:val="24"/>
          <w:szCs w:val="24"/>
          <w:highlight w:val="none"/>
        </w:rPr>
        <w:t>所作的任何合法承诺，包括书面澄清以及响应等对联合体各方均有约束力。如果中标并签订合同，则联合体各方将共同履行对</w:t>
      </w:r>
      <w:r>
        <w:rPr>
          <w:rStyle w:val="29"/>
          <w:rFonts w:hint="eastAsia" w:eastAsia="仿宋"/>
          <w:sz w:val="24"/>
          <w:szCs w:val="24"/>
          <w:highlight w:val="none"/>
          <w:lang w:eastAsia="zh-CN"/>
        </w:rPr>
        <w:t>招标人</w:t>
      </w:r>
      <w:r>
        <w:rPr>
          <w:rStyle w:val="29"/>
          <w:rFonts w:hint="eastAsia"/>
          <w:sz w:val="24"/>
          <w:szCs w:val="24"/>
          <w:highlight w:val="none"/>
        </w:rPr>
        <w:t>或者采购代理机构所负有的全部义务，并就采购合同约定的事项对</w:t>
      </w:r>
      <w:r>
        <w:rPr>
          <w:rStyle w:val="29"/>
          <w:rFonts w:hint="eastAsia" w:eastAsia="仿宋"/>
          <w:sz w:val="24"/>
          <w:szCs w:val="24"/>
          <w:highlight w:val="none"/>
          <w:lang w:eastAsia="zh-CN"/>
        </w:rPr>
        <w:t>招标人</w:t>
      </w:r>
      <w:r>
        <w:rPr>
          <w:rStyle w:val="29"/>
          <w:rFonts w:hint="eastAsia"/>
          <w:sz w:val="24"/>
          <w:szCs w:val="24"/>
          <w:highlight w:val="none"/>
        </w:rPr>
        <w:t>承担连带责任。</w:t>
      </w:r>
    </w:p>
    <w:p w14:paraId="3B24C906">
      <w:pPr>
        <w:widowControl/>
        <w:autoSpaceDE w:val="0"/>
        <w:autoSpaceDN w:val="0"/>
        <w:adjustRightInd w:val="0"/>
        <w:spacing w:line="440" w:lineRule="exact"/>
        <w:ind w:firstLine="514"/>
        <w:rPr>
          <w:rStyle w:val="29"/>
          <w:sz w:val="24"/>
          <w:szCs w:val="24"/>
          <w:highlight w:val="none"/>
        </w:rPr>
      </w:pPr>
      <w:r>
        <w:rPr>
          <w:rStyle w:val="29"/>
          <w:rFonts w:hint="eastAsia"/>
          <w:sz w:val="24"/>
          <w:szCs w:val="24"/>
          <w:highlight w:val="none"/>
        </w:rPr>
        <w:t>三、联合体各方保证对主办人为响应本次招标而提供的产品和服务提供全部质量保证以及售后服务支持。</w:t>
      </w:r>
    </w:p>
    <w:p w14:paraId="3DFCAAA8">
      <w:pPr>
        <w:widowControl/>
        <w:autoSpaceDE w:val="0"/>
        <w:autoSpaceDN w:val="0"/>
        <w:adjustRightInd w:val="0"/>
        <w:spacing w:line="440" w:lineRule="exact"/>
        <w:ind w:firstLine="514"/>
        <w:rPr>
          <w:rStyle w:val="29"/>
          <w:sz w:val="24"/>
          <w:szCs w:val="24"/>
          <w:highlight w:val="none"/>
        </w:rPr>
      </w:pPr>
      <w:r>
        <w:rPr>
          <w:rStyle w:val="29"/>
          <w:rFonts w:hint="eastAsia"/>
          <w:sz w:val="24"/>
          <w:szCs w:val="24"/>
          <w:highlight w:val="none"/>
        </w:rPr>
        <w:t>四、本次联合投标中，联合体各方承担的工作和义务：</w:t>
      </w:r>
    </w:p>
    <w:p w14:paraId="3C7792BE">
      <w:pPr>
        <w:widowControl/>
        <w:autoSpaceDE w:val="0"/>
        <w:autoSpaceDN w:val="0"/>
        <w:adjustRightInd w:val="0"/>
        <w:spacing w:line="440" w:lineRule="exact"/>
        <w:ind w:firstLine="514"/>
        <w:rPr>
          <w:rFonts w:ascii="仿宋" w:hAnsi="仿宋" w:eastAsia="仿宋"/>
          <w:kern w:val="1"/>
          <w:sz w:val="24"/>
          <w:szCs w:val="24"/>
          <w:highlight w:val="none"/>
          <w:u w:val="single"/>
        </w:rPr>
      </w:pPr>
      <w:r>
        <w:rPr>
          <w:rFonts w:hint="eastAsia" w:ascii="仿宋" w:hAnsi="仿宋" w:eastAsia="仿宋" w:cs="仿宋"/>
          <w:kern w:val="1"/>
          <w:sz w:val="24"/>
          <w:szCs w:val="24"/>
          <w:highlight w:val="none"/>
        </w:rPr>
        <w:t>甲方承担的工作和义务为：</w:t>
      </w:r>
    </w:p>
    <w:p w14:paraId="3F585AED">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乙方承担的工作和义务为：</w:t>
      </w:r>
    </w:p>
    <w:p w14:paraId="7C6AE10D">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五、有关本次联合投标的其他事宜：</w:t>
      </w:r>
    </w:p>
    <w:p w14:paraId="78D8BD45">
      <w:pPr>
        <w:widowControl/>
        <w:autoSpaceDE w:val="0"/>
        <w:autoSpaceDN w:val="0"/>
        <w:adjustRightInd w:val="0"/>
        <w:spacing w:line="440" w:lineRule="exact"/>
        <w:ind w:firstLine="514"/>
        <w:rPr>
          <w:rStyle w:val="29"/>
          <w:sz w:val="24"/>
          <w:szCs w:val="24"/>
          <w:highlight w:val="none"/>
        </w:rPr>
      </w:pPr>
      <w:r>
        <w:rPr>
          <w:rStyle w:val="29"/>
          <w:rFonts w:hint="eastAsia"/>
          <w:sz w:val="24"/>
          <w:szCs w:val="24"/>
          <w:highlight w:val="none"/>
        </w:rPr>
        <w:t>六、本协议提交</w:t>
      </w:r>
      <w:r>
        <w:rPr>
          <w:rStyle w:val="29"/>
          <w:rFonts w:hint="eastAsia" w:eastAsia="仿宋"/>
          <w:sz w:val="24"/>
          <w:szCs w:val="24"/>
          <w:highlight w:val="none"/>
          <w:lang w:eastAsia="zh-CN"/>
        </w:rPr>
        <w:t>招标人</w:t>
      </w:r>
      <w:r>
        <w:rPr>
          <w:rStyle w:val="29"/>
          <w:rFonts w:hint="eastAsia"/>
          <w:sz w:val="24"/>
          <w:szCs w:val="24"/>
          <w:highlight w:val="none"/>
        </w:rPr>
        <w:t>或者采购代理机构后，联合体各方不得以任何形式对上述实质内容进行修改或者撤销。</w:t>
      </w:r>
    </w:p>
    <w:p w14:paraId="2D3E66EC">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七、本协议共</w:t>
      </w:r>
      <w:r>
        <w:rPr>
          <w:rFonts w:ascii="仿宋" w:hAnsi="仿宋" w:eastAsia="仿宋" w:cs="仿宋"/>
          <w:kern w:val="1"/>
          <w:sz w:val="24"/>
          <w:szCs w:val="24"/>
          <w:highlight w:val="none"/>
          <w:u w:val="single"/>
        </w:rPr>
        <w:t xml:space="preserve">  </w:t>
      </w:r>
      <w:r>
        <w:rPr>
          <w:rStyle w:val="29"/>
          <w:rFonts w:hint="eastAsia"/>
          <w:sz w:val="24"/>
          <w:szCs w:val="24"/>
          <w:highlight w:val="none"/>
        </w:rPr>
        <w:t>份，联合体各方各持一份，并作为投标文件的一部分。</w:t>
      </w:r>
    </w:p>
    <w:p w14:paraId="7074CBC4">
      <w:pPr>
        <w:widowControl/>
        <w:autoSpaceDE w:val="0"/>
        <w:autoSpaceDN w:val="0"/>
        <w:adjustRightInd w:val="0"/>
        <w:spacing w:line="440" w:lineRule="exact"/>
        <w:ind w:firstLine="514"/>
        <w:rPr>
          <w:rFonts w:ascii="仿宋" w:hAnsi="仿宋" w:eastAsia="仿宋"/>
          <w:kern w:val="1"/>
          <w:sz w:val="24"/>
          <w:szCs w:val="24"/>
          <w:highlight w:val="none"/>
        </w:rPr>
      </w:pPr>
    </w:p>
    <w:p w14:paraId="4D32523A">
      <w:pPr>
        <w:widowControl/>
        <w:autoSpaceDE w:val="0"/>
        <w:autoSpaceDN w:val="0"/>
        <w:adjustRightInd w:val="0"/>
        <w:spacing w:line="440" w:lineRule="exact"/>
        <w:rPr>
          <w:rStyle w:val="29"/>
          <w:sz w:val="24"/>
          <w:szCs w:val="24"/>
          <w:highlight w:val="none"/>
        </w:rPr>
      </w:pPr>
      <w:r>
        <w:rPr>
          <w:rStyle w:val="29"/>
          <w:rFonts w:hint="eastAsia"/>
          <w:sz w:val="24"/>
          <w:szCs w:val="24"/>
          <w:highlight w:val="none"/>
        </w:rPr>
        <w:t>甲方单位：</w:t>
      </w:r>
      <w:r>
        <w:rPr>
          <w:rStyle w:val="29"/>
          <w:sz w:val="24"/>
          <w:szCs w:val="24"/>
          <w:highlight w:val="none"/>
        </w:rPr>
        <w:t xml:space="preserve">       </w:t>
      </w:r>
      <w:r>
        <w:rPr>
          <w:rStyle w:val="29"/>
          <w:rFonts w:hint="eastAsia"/>
          <w:sz w:val="24"/>
          <w:szCs w:val="24"/>
          <w:highlight w:val="none"/>
        </w:rPr>
        <w:t>（公章）</w:t>
      </w:r>
      <w:r>
        <w:rPr>
          <w:rStyle w:val="29"/>
          <w:sz w:val="24"/>
          <w:szCs w:val="24"/>
          <w:highlight w:val="none"/>
        </w:rPr>
        <w:t xml:space="preserve">                    </w:t>
      </w:r>
      <w:r>
        <w:rPr>
          <w:rStyle w:val="29"/>
          <w:rFonts w:hint="eastAsia"/>
          <w:sz w:val="24"/>
          <w:szCs w:val="24"/>
          <w:highlight w:val="none"/>
        </w:rPr>
        <w:t>乙方单位：</w:t>
      </w:r>
      <w:r>
        <w:rPr>
          <w:rStyle w:val="29"/>
          <w:sz w:val="24"/>
          <w:szCs w:val="24"/>
          <w:highlight w:val="none"/>
        </w:rPr>
        <w:t xml:space="preserve">       </w:t>
      </w:r>
      <w:r>
        <w:rPr>
          <w:rStyle w:val="29"/>
          <w:rFonts w:hint="eastAsia"/>
          <w:sz w:val="24"/>
          <w:szCs w:val="24"/>
          <w:highlight w:val="none"/>
        </w:rPr>
        <w:t>（公章）</w:t>
      </w:r>
    </w:p>
    <w:p w14:paraId="28C9B05E">
      <w:pPr>
        <w:widowControl/>
        <w:autoSpaceDE w:val="0"/>
        <w:autoSpaceDN w:val="0"/>
        <w:adjustRightInd w:val="0"/>
        <w:spacing w:line="440" w:lineRule="exact"/>
        <w:rPr>
          <w:rStyle w:val="29"/>
          <w:sz w:val="24"/>
          <w:szCs w:val="24"/>
          <w:highlight w:val="none"/>
        </w:rPr>
      </w:pPr>
      <w:r>
        <w:rPr>
          <w:rStyle w:val="29"/>
          <w:rFonts w:hint="eastAsia"/>
          <w:sz w:val="24"/>
          <w:szCs w:val="24"/>
          <w:highlight w:val="none"/>
        </w:rPr>
        <w:t>法定代表人：</w:t>
      </w:r>
      <w:r>
        <w:rPr>
          <w:rStyle w:val="29"/>
          <w:sz w:val="24"/>
          <w:szCs w:val="24"/>
          <w:highlight w:val="none"/>
        </w:rPr>
        <w:t xml:space="preserve">     </w:t>
      </w:r>
      <w:r>
        <w:rPr>
          <w:rStyle w:val="29"/>
          <w:rFonts w:hint="eastAsia"/>
          <w:sz w:val="24"/>
          <w:szCs w:val="24"/>
          <w:highlight w:val="none"/>
        </w:rPr>
        <w:t>（签章）</w:t>
      </w:r>
      <w:r>
        <w:rPr>
          <w:rStyle w:val="29"/>
          <w:sz w:val="24"/>
          <w:szCs w:val="24"/>
          <w:highlight w:val="none"/>
        </w:rPr>
        <w:t xml:space="preserve">                    </w:t>
      </w:r>
      <w:r>
        <w:rPr>
          <w:rStyle w:val="29"/>
          <w:rFonts w:hint="eastAsia"/>
          <w:sz w:val="24"/>
          <w:szCs w:val="24"/>
          <w:highlight w:val="none"/>
        </w:rPr>
        <w:t>法定代表人：</w:t>
      </w:r>
      <w:r>
        <w:rPr>
          <w:rStyle w:val="29"/>
          <w:sz w:val="24"/>
          <w:szCs w:val="24"/>
          <w:highlight w:val="none"/>
        </w:rPr>
        <w:t xml:space="preserve">     </w:t>
      </w:r>
      <w:r>
        <w:rPr>
          <w:rStyle w:val="29"/>
          <w:rFonts w:hint="eastAsia"/>
          <w:sz w:val="24"/>
          <w:szCs w:val="24"/>
          <w:highlight w:val="none"/>
        </w:rPr>
        <w:t>（签章）</w:t>
      </w:r>
    </w:p>
    <w:p w14:paraId="0B241D62">
      <w:pPr>
        <w:widowControl/>
        <w:autoSpaceDE w:val="0"/>
        <w:autoSpaceDN w:val="0"/>
        <w:adjustRightInd w:val="0"/>
        <w:spacing w:line="440" w:lineRule="exact"/>
        <w:ind w:firstLine="480"/>
        <w:rPr>
          <w:rFonts w:ascii="仿宋" w:hAnsi="仿宋" w:eastAsia="仿宋"/>
          <w:kern w:val="1"/>
          <w:sz w:val="24"/>
          <w:szCs w:val="24"/>
          <w:highlight w:val="none"/>
        </w:rPr>
      </w:pPr>
    </w:p>
    <w:p w14:paraId="5861EAC1">
      <w:pPr>
        <w:widowControl/>
        <w:autoSpaceDE w:val="0"/>
        <w:autoSpaceDN w:val="0"/>
        <w:adjustRightInd w:val="0"/>
        <w:spacing w:line="440" w:lineRule="exact"/>
        <w:ind w:firstLine="514"/>
        <w:rPr>
          <w:rFonts w:ascii="仿宋" w:hAnsi="仿宋" w:eastAsia="仿宋"/>
          <w:kern w:val="1"/>
          <w:sz w:val="24"/>
          <w:szCs w:val="24"/>
          <w:highlight w:val="none"/>
        </w:rPr>
      </w:pPr>
      <w:r>
        <w:rPr>
          <w:rStyle w:val="29"/>
          <w:rFonts w:hint="eastAsia"/>
          <w:sz w:val="24"/>
          <w:szCs w:val="24"/>
          <w:highlight w:val="none"/>
        </w:rPr>
        <w:t>日期：</w:t>
      </w:r>
      <w:r>
        <w:rPr>
          <w:rStyle w:val="29"/>
          <w:sz w:val="24"/>
          <w:szCs w:val="24"/>
          <w:highlight w:val="none"/>
        </w:rPr>
        <w:t xml:space="preserve">  </w:t>
      </w:r>
      <w:r>
        <w:rPr>
          <w:rStyle w:val="29"/>
          <w:rFonts w:hint="eastAsia"/>
          <w:sz w:val="24"/>
          <w:szCs w:val="24"/>
          <w:highlight w:val="none"/>
        </w:rPr>
        <w:t>年</w:t>
      </w:r>
      <w:r>
        <w:rPr>
          <w:rStyle w:val="29"/>
          <w:sz w:val="24"/>
          <w:szCs w:val="24"/>
          <w:highlight w:val="none"/>
        </w:rPr>
        <w:t xml:space="preserve">  </w:t>
      </w:r>
      <w:r>
        <w:rPr>
          <w:rStyle w:val="29"/>
          <w:rFonts w:hint="eastAsia"/>
          <w:sz w:val="24"/>
          <w:szCs w:val="24"/>
          <w:highlight w:val="none"/>
        </w:rPr>
        <w:t>月</w:t>
      </w:r>
      <w:r>
        <w:rPr>
          <w:rStyle w:val="29"/>
          <w:sz w:val="24"/>
          <w:szCs w:val="24"/>
          <w:highlight w:val="none"/>
        </w:rPr>
        <w:t xml:space="preserve">   </w:t>
      </w:r>
      <w:r>
        <w:rPr>
          <w:rStyle w:val="29"/>
          <w:rFonts w:hint="eastAsia"/>
          <w:sz w:val="24"/>
          <w:szCs w:val="24"/>
          <w:highlight w:val="none"/>
        </w:rPr>
        <w:t>日</w:t>
      </w:r>
      <w:r>
        <w:rPr>
          <w:rStyle w:val="29"/>
          <w:sz w:val="24"/>
          <w:szCs w:val="24"/>
          <w:highlight w:val="none"/>
        </w:rPr>
        <w:t xml:space="preserve">                          </w:t>
      </w:r>
      <w:r>
        <w:rPr>
          <w:rStyle w:val="29"/>
          <w:rFonts w:hint="eastAsia"/>
          <w:sz w:val="24"/>
          <w:szCs w:val="24"/>
          <w:highlight w:val="none"/>
        </w:rPr>
        <w:t>日期：</w:t>
      </w:r>
      <w:r>
        <w:rPr>
          <w:rStyle w:val="29"/>
          <w:sz w:val="24"/>
          <w:szCs w:val="24"/>
          <w:highlight w:val="none"/>
        </w:rPr>
        <w:t xml:space="preserve">  </w:t>
      </w:r>
      <w:r>
        <w:rPr>
          <w:rStyle w:val="29"/>
          <w:rFonts w:hint="eastAsia"/>
          <w:sz w:val="24"/>
          <w:szCs w:val="24"/>
          <w:highlight w:val="none"/>
        </w:rPr>
        <w:t>年</w:t>
      </w:r>
      <w:r>
        <w:rPr>
          <w:rStyle w:val="29"/>
          <w:sz w:val="24"/>
          <w:szCs w:val="24"/>
          <w:highlight w:val="none"/>
        </w:rPr>
        <w:t xml:space="preserve">  </w:t>
      </w:r>
      <w:r>
        <w:rPr>
          <w:rStyle w:val="29"/>
          <w:rFonts w:hint="eastAsia"/>
          <w:sz w:val="24"/>
          <w:szCs w:val="24"/>
          <w:highlight w:val="none"/>
        </w:rPr>
        <w:t>月</w:t>
      </w:r>
      <w:r>
        <w:rPr>
          <w:rStyle w:val="29"/>
          <w:sz w:val="24"/>
          <w:szCs w:val="24"/>
          <w:highlight w:val="none"/>
        </w:rPr>
        <w:t xml:space="preserve">   </w:t>
      </w:r>
      <w:r>
        <w:rPr>
          <w:rStyle w:val="29"/>
          <w:rFonts w:hint="eastAsia"/>
          <w:sz w:val="24"/>
          <w:szCs w:val="24"/>
          <w:highlight w:val="none"/>
        </w:rPr>
        <w:t>日</w:t>
      </w:r>
    </w:p>
    <w:p w14:paraId="7B993674">
      <w:pPr>
        <w:spacing w:line="440" w:lineRule="exact"/>
        <w:rPr>
          <w:rFonts w:ascii="仿宋" w:hAnsi="仿宋" w:eastAsia="仿宋"/>
          <w:sz w:val="24"/>
          <w:szCs w:val="24"/>
          <w:highlight w:val="none"/>
        </w:rPr>
      </w:pPr>
    </w:p>
    <w:p w14:paraId="05C39B34">
      <w:pPr>
        <w:spacing w:before="100" w:beforeAutospacing="1" w:after="100" w:afterAutospacing="1" w:line="440" w:lineRule="exact"/>
        <w:jc w:val="left"/>
        <w:rPr>
          <w:rFonts w:ascii="仿宋" w:hAnsi="仿宋" w:eastAsia="仿宋" w:cs="仿宋"/>
          <w:kern w:val="1"/>
          <w:sz w:val="24"/>
          <w:szCs w:val="24"/>
          <w:highlight w:val="none"/>
          <w:u w:val="single"/>
        </w:rPr>
      </w:pPr>
      <w:r>
        <w:rPr>
          <w:rFonts w:ascii="仿宋" w:hAnsi="仿宋" w:eastAsia="仿宋" w:cs="仿宋"/>
          <w:kern w:val="1"/>
          <w:sz w:val="24"/>
          <w:szCs w:val="24"/>
          <w:highlight w:val="none"/>
          <w:u w:val="single"/>
        </w:rPr>
        <w:br w:type="page"/>
      </w:r>
    </w:p>
    <w:p w14:paraId="4CC66282">
      <w:pPr>
        <w:spacing w:line="44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五、</w:t>
      </w:r>
      <w:r>
        <w:rPr>
          <w:rFonts w:ascii="仿宋" w:hAnsi="仿宋" w:eastAsia="仿宋"/>
          <w:color w:val="auto"/>
          <w:sz w:val="28"/>
          <w:szCs w:val="28"/>
        </w:rPr>
        <w:t>法定代表人身份证明</w:t>
      </w:r>
      <w:r>
        <w:rPr>
          <w:rFonts w:hint="eastAsia" w:ascii="仿宋" w:hAnsi="仿宋" w:eastAsia="仿宋"/>
          <w:color w:val="auto"/>
          <w:sz w:val="28"/>
          <w:szCs w:val="28"/>
          <w:lang w:val="en-US" w:eastAsia="zh-CN"/>
        </w:rPr>
        <w:t>书</w:t>
      </w:r>
    </w:p>
    <w:p w14:paraId="7B557B49">
      <w:pPr>
        <w:spacing w:line="440" w:lineRule="exact"/>
        <w:rPr>
          <w:color w:val="auto"/>
          <w:sz w:val="20"/>
        </w:rPr>
      </w:pPr>
    </w:p>
    <w:p w14:paraId="23222E0A">
      <w:pPr>
        <w:spacing w:line="440" w:lineRule="exact"/>
        <w:rPr>
          <w:rFonts w:ascii="仿宋" w:hAnsi="仿宋" w:eastAsia="仿宋"/>
          <w:color w:val="auto"/>
          <w:sz w:val="24"/>
          <w:szCs w:val="24"/>
        </w:rPr>
      </w:pPr>
    </w:p>
    <w:p w14:paraId="247F9E2B">
      <w:pPr>
        <w:spacing w:line="440" w:lineRule="exact"/>
        <w:rPr>
          <w:rFonts w:ascii="仿宋" w:hAnsi="仿宋" w:eastAsia="仿宋"/>
          <w:color w:val="auto"/>
          <w:sz w:val="24"/>
          <w:szCs w:val="24"/>
        </w:rPr>
      </w:pPr>
      <w:r>
        <w:rPr>
          <w:rFonts w:ascii="仿宋" w:hAnsi="仿宋" w:eastAsia="仿宋"/>
          <w:color w:val="auto"/>
          <w:sz w:val="24"/>
          <w:szCs w:val="24"/>
        </w:rPr>
        <w:t>供应商名称：</w:t>
      </w:r>
      <w:r>
        <w:rPr>
          <w:rFonts w:ascii="仿宋" w:hAnsi="仿宋" w:eastAsia="仿宋"/>
          <w:color w:val="auto"/>
          <w:sz w:val="24"/>
          <w:szCs w:val="24"/>
          <w:u w:val="single"/>
        </w:rPr>
        <w:t xml:space="preserve">                            </w:t>
      </w:r>
      <w:r>
        <w:rPr>
          <w:rFonts w:ascii="仿宋" w:hAnsi="仿宋" w:eastAsia="仿宋"/>
          <w:color w:val="auto"/>
          <w:sz w:val="24"/>
          <w:szCs w:val="24"/>
        </w:rPr>
        <w:t xml:space="preserve"> </w:t>
      </w:r>
    </w:p>
    <w:p w14:paraId="208A6E65">
      <w:pPr>
        <w:spacing w:line="440" w:lineRule="exact"/>
        <w:rPr>
          <w:rFonts w:ascii="仿宋" w:hAnsi="仿宋" w:eastAsia="仿宋"/>
          <w:color w:val="auto"/>
          <w:sz w:val="24"/>
          <w:szCs w:val="24"/>
        </w:rPr>
      </w:pPr>
      <w:r>
        <w:rPr>
          <w:rFonts w:ascii="仿宋" w:hAnsi="仿宋" w:eastAsia="仿宋"/>
          <w:color w:val="auto"/>
          <w:sz w:val="24"/>
          <w:szCs w:val="24"/>
        </w:rPr>
        <w:t>单位性质：</w:t>
      </w:r>
      <w:r>
        <w:rPr>
          <w:rFonts w:ascii="仿宋" w:hAnsi="仿宋" w:eastAsia="仿宋"/>
          <w:color w:val="auto"/>
          <w:sz w:val="24"/>
          <w:szCs w:val="24"/>
          <w:u w:val="single"/>
        </w:rPr>
        <w:t xml:space="preserve">                               </w:t>
      </w:r>
      <w:r>
        <w:rPr>
          <w:rFonts w:ascii="仿宋" w:hAnsi="仿宋" w:eastAsia="仿宋"/>
          <w:color w:val="auto"/>
          <w:sz w:val="24"/>
          <w:szCs w:val="24"/>
        </w:rPr>
        <w:t xml:space="preserve"> </w:t>
      </w:r>
    </w:p>
    <w:p w14:paraId="641C421D">
      <w:pPr>
        <w:spacing w:line="440" w:lineRule="exact"/>
        <w:rPr>
          <w:rFonts w:ascii="仿宋" w:hAnsi="仿宋" w:eastAsia="仿宋"/>
          <w:color w:val="auto"/>
          <w:sz w:val="24"/>
          <w:szCs w:val="24"/>
        </w:rPr>
      </w:pPr>
      <w:r>
        <w:rPr>
          <w:rFonts w:ascii="仿宋" w:hAnsi="仿宋" w:eastAsia="仿宋"/>
          <w:color w:val="auto"/>
          <w:sz w:val="24"/>
          <w:szCs w:val="24"/>
        </w:rPr>
        <w:t>地址：</w:t>
      </w:r>
      <w:r>
        <w:rPr>
          <w:rFonts w:ascii="仿宋" w:hAnsi="仿宋" w:eastAsia="仿宋"/>
          <w:color w:val="auto"/>
          <w:sz w:val="24"/>
          <w:szCs w:val="24"/>
          <w:u w:val="single"/>
        </w:rPr>
        <w:t xml:space="preserve">                                   </w:t>
      </w:r>
    </w:p>
    <w:p w14:paraId="6B599075">
      <w:pPr>
        <w:spacing w:line="440" w:lineRule="exact"/>
        <w:rPr>
          <w:rFonts w:ascii="仿宋" w:hAnsi="仿宋" w:eastAsia="仿宋"/>
          <w:color w:val="auto"/>
          <w:sz w:val="24"/>
          <w:szCs w:val="24"/>
        </w:rPr>
      </w:pPr>
      <w:r>
        <w:rPr>
          <w:rFonts w:ascii="仿宋" w:hAnsi="仿宋" w:eastAsia="仿宋"/>
          <w:color w:val="auto"/>
          <w:sz w:val="24"/>
          <w:szCs w:val="24"/>
        </w:rPr>
        <w:t>成立时间：</w:t>
      </w:r>
      <w:r>
        <w:rPr>
          <w:rFonts w:ascii="仿宋" w:hAnsi="仿宋" w:eastAsia="仿宋"/>
          <w:color w:val="auto"/>
          <w:sz w:val="24"/>
          <w:szCs w:val="24"/>
          <w:u w:val="single"/>
        </w:rPr>
        <w:t xml:space="preserve">         </w:t>
      </w:r>
      <w:r>
        <w:rPr>
          <w:rFonts w:ascii="仿宋" w:hAnsi="仿宋" w:eastAsia="仿宋"/>
          <w:color w:val="auto"/>
          <w:sz w:val="24"/>
          <w:szCs w:val="24"/>
        </w:rPr>
        <w:t>年</w:t>
      </w:r>
      <w:r>
        <w:rPr>
          <w:rFonts w:ascii="仿宋" w:hAnsi="仿宋" w:eastAsia="仿宋"/>
          <w:color w:val="auto"/>
          <w:sz w:val="24"/>
          <w:szCs w:val="24"/>
          <w:u w:val="single"/>
        </w:rPr>
        <w:t xml:space="preserve">       </w:t>
      </w:r>
      <w:r>
        <w:rPr>
          <w:rFonts w:ascii="仿宋" w:hAnsi="仿宋" w:eastAsia="仿宋"/>
          <w:color w:val="auto"/>
          <w:sz w:val="24"/>
          <w:szCs w:val="24"/>
        </w:rPr>
        <w:t>月</w:t>
      </w:r>
      <w:r>
        <w:rPr>
          <w:rFonts w:ascii="仿宋" w:hAnsi="仿宋" w:eastAsia="仿宋"/>
          <w:color w:val="auto"/>
          <w:sz w:val="24"/>
          <w:szCs w:val="24"/>
          <w:u w:val="single"/>
        </w:rPr>
        <w:t xml:space="preserve">       </w:t>
      </w:r>
      <w:r>
        <w:rPr>
          <w:rFonts w:ascii="仿宋" w:hAnsi="仿宋" w:eastAsia="仿宋"/>
          <w:color w:val="auto"/>
          <w:sz w:val="24"/>
          <w:szCs w:val="24"/>
        </w:rPr>
        <w:t>日</w:t>
      </w:r>
    </w:p>
    <w:p w14:paraId="6090B137">
      <w:pPr>
        <w:spacing w:line="440" w:lineRule="exact"/>
        <w:rPr>
          <w:rFonts w:ascii="仿宋" w:hAnsi="仿宋" w:eastAsia="仿宋"/>
          <w:color w:val="auto"/>
          <w:sz w:val="24"/>
          <w:szCs w:val="24"/>
        </w:rPr>
      </w:pPr>
      <w:r>
        <w:rPr>
          <w:rFonts w:ascii="仿宋" w:hAnsi="仿宋" w:eastAsia="仿宋"/>
          <w:color w:val="auto"/>
          <w:sz w:val="24"/>
          <w:szCs w:val="24"/>
        </w:rPr>
        <w:t>经营期限：</w:t>
      </w:r>
      <w:r>
        <w:rPr>
          <w:rFonts w:ascii="仿宋" w:hAnsi="仿宋" w:eastAsia="仿宋"/>
          <w:color w:val="auto"/>
          <w:sz w:val="24"/>
          <w:szCs w:val="24"/>
          <w:u w:val="single"/>
        </w:rPr>
        <w:t xml:space="preserve">                               </w:t>
      </w:r>
    </w:p>
    <w:p w14:paraId="236DB7C6">
      <w:pPr>
        <w:spacing w:line="440" w:lineRule="exact"/>
        <w:rPr>
          <w:rFonts w:hint="eastAsia" w:ascii="仿宋" w:hAnsi="仿宋" w:eastAsia="仿宋"/>
          <w:color w:val="auto"/>
          <w:sz w:val="24"/>
          <w:szCs w:val="24"/>
        </w:rPr>
      </w:pPr>
    </w:p>
    <w:p w14:paraId="432BFF28">
      <w:pPr>
        <w:spacing w:line="440" w:lineRule="exact"/>
        <w:rPr>
          <w:rFonts w:ascii="仿宋" w:hAnsi="仿宋" w:eastAsia="仿宋"/>
          <w:color w:val="auto"/>
          <w:sz w:val="24"/>
          <w:szCs w:val="24"/>
        </w:rPr>
      </w:pPr>
      <w:r>
        <w:rPr>
          <w:rFonts w:ascii="仿宋" w:hAnsi="仿宋" w:eastAsia="仿宋"/>
          <w:color w:val="auto"/>
          <w:sz w:val="24"/>
          <w:szCs w:val="24"/>
        </w:rPr>
        <w:t>姓名：</w:t>
      </w:r>
      <w:r>
        <w:rPr>
          <w:rFonts w:ascii="仿宋" w:hAnsi="仿宋" w:eastAsia="仿宋"/>
          <w:color w:val="auto"/>
          <w:sz w:val="24"/>
          <w:szCs w:val="24"/>
          <w:u w:val="single"/>
        </w:rPr>
        <w:t xml:space="preserve">        </w:t>
      </w:r>
      <w:r>
        <w:rPr>
          <w:rFonts w:ascii="仿宋" w:hAnsi="仿宋" w:eastAsia="仿宋"/>
          <w:color w:val="auto"/>
          <w:sz w:val="24"/>
          <w:szCs w:val="24"/>
        </w:rPr>
        <w:t xml:space="preserve"> 性别：</w:t>
      </w:r>
      <w:r>
        <w:rPr>
          <w:rFonts w:ascii="仿宋" w:hAnsi="仿宋" w:eastAsia="仿宋"/>
          <w:color w:val="auto"/>
          <w:sz w:val="24"/>
          <w:szCs w:val="24"/>
          <w:u w:val="single"/>
        </w:rPr>
        <w:t xml:space="preserve">         </w:t>
      </w:r>
      <w:r>
        <w:rPr>
          <w:rFonts w:ascii="仿宋" w:hAnsi="仿宋" w:eastAsia="仿宋"/>
          <w:color w:val="auto"/>
          <w:sz w:val="24"/>
          <w:szCs w:val="24"/>
        </w:rPr>
        <w:t xml:space="preserve"> 年龄：</w:t>
      </w:r>
      <w:r>
        <w:rPr>
          <w:rFonts w:ascii="仿宋" w:hAnsi="仿宋" w:eastAsia="仿宋"/>
          <w:color w:val="auto"/>
          <w:sz w:val="24"/>
          <w:szCs w:val="24"/>
          <w:u w:val="single"/>
        </w:rPr>
        <w:t xml:space="preserve">        </w:t>
      </w:r>
      <w:r>
        <w:rPr>
          <w:rFonts w:ascii="仿宋" w:hAnsi="仿宋" w:eastAsia="仿宋"/>
          <w:color w:val="auto"/>
          <w:sz w:val="24"/>
          <w:szCs w:val="24"/>
        </w:rPr>
        <w:t>职务：</w:t>
      </w:r>
      <w:r>
        <w:rPr>
          <w:rFonts w:ascii="仿宋" w:hAnsi="仿宋" w:eastAsia="仿宋"/>
          <w:color w:val="auto"/>
          <w:sz w:val="24"/>
          <w:szCs w:val="24"/>
          <w:u w:val="single"/>
        </w:rPr>
        <w:t xml:space="preserve">        </w:t>
      </w:r>
    </w:p>
    <w:p w14:paraId="598DF5C8">
      <w:pPr>
        <w:spacing w:line="440" w:lineRule="exact"/>
        <w:rPr>
          <w:rFonts w:ascii="仿宋" w:hAnsi="仿宋" w:eastAsia="仿宋"/>
          <w:color w:val="auto"/>
          <w:sz w:val="24"/>
          <w:szCs w:val="24"/>
        </w:rPr>
      </w:pPr>
      <w:r>
        <w:rPr>
          <w:rFonts w:ascii="仿宋" w:hAnsi="仿宋" w:eastAsia="仿宋"/>
          <w:color w:val="auto"/>
          <w:sz w:val="24"/>
          <w:szCs w:val="24"/>
        </w:rPr>
        <w:t>系</w:t>
      </w:r>
      <w:r>
        <w:rPr>
          <w:rFonts w:ascii="仿宋" w:hAnsi="仿宋" w:eastAsia="仿宋"/>
          <w:color w:val="auto"/>
          <w:sz w:val="24"/>
          <w:szCs w:val="24"/>
          <w:u w:val="single"/>
        </w:rPr>
        <w:t xml:space="preserve">                             </w:t>
      </w:r>
      <w:r>
        <w:rPr>
          <w:rFonts w:ascii="仿宋" w:hAnsi="仿宋" w:eastAsia="仿宋"/>
          <w:color w:val="auto"/>
          <w:sz w:val="24"/>
          <w:szCs w:val="24"/>
        </w:rPr>
        <w:t xml:space="preserve"> </w:t>
      </w:r>
      <w:r>
        <w:rPr>
          <w:rFonts w:hint="eastAsia" w:ascii="仿宋" w:hAnsi="仿宋" w:eastAsia="仿宋"/>
          <w:color w:val="auto"/>
          <w:sz w:val="24"/>
          <w:szCs w:val="24"/>
        </w:rPr>
        <w:t>（</w:t>
      </w:r>
      <w:r>
        <w:rPr>
          <w:rFonts w:ascii="仿宋" w:hAnsi="仿宋" w:eastAsia="仿宋"/>
          <w:color w:val="auto"/>
          <w:sz w:val="24"/>
          <w:szCs w:val="24"/>
        </w:rPr>
        <w:t>供应商名称</w:t>
      </w:r>
      <w:r>
        <w:rPr>
          <w:rFonts w:hint="eastAsia" w:ascii="仿宋" w:hAnsi="仿宋" w:eastAsia="仿宋"/>
          <w:color w:val="auto"/>
          <w:sz w:val="24"/>
          <w:szCs w:val="24"/>
        </w:rPr>
        <w:t>）</w:t>
      </w:r>
      <w:r>
        <w:rPr>
          <w:rFonts w:ascii="仿宋" w:hAnsi="仿宋" w:eastAsia="仿宋"/>
          <w:color w:val="auto"/>
          <w:sz w:val="24"/>
          <w:szCs w:val="24"/>
        </w:rPr>
        <w:t>的法定代表人。</w:t>
      </w:r>
    </w:p>
    <w:p w14:paraId="21627523">
      <w:pPr>
        <w:spacing w:line="440" w:lineRule="exact"/>
        <w:ind w:firstLine="480" w:firstLineChars="200"/>
        <w:rPr>
          <w:rFonts w:ascii="仿宋" w:hAnsi="仿宋" w:eastAsia="仿宋"/>
          <w:color w:val="auto"/>
          <w:sz w:val="24"/>
          <w:szCs w:val="24"/>
        </w:rPr>
      </w:pPr>
      <w:r>
        <w:rPr>
          <w:rFonts w:ascii="仿宋" w:hAnsi="仿宋" w:eastAsia="仿宋"/>
          <w:color w:val="auto"/>
          <w:sz w:val="24"/>
          <w:szCs w:val="24"/>
        </w:rPr>
        <w:t>特此证明。</w:t>
      </w:r>
    </w:p>
    <w:p w14:paraId="5F71B626">
      <w:pPr>
        <w:spacing w:line="440" w:lineRule="exact"/>
        <w:rPr>
          <w:rFonts w:ascii="仿宋" w:hAnsi="仿宋" w:eastAsia="仿宋"/>
          <w:color w:val="auto"/>
          <w:sz w:val="24"/>
          <w:szCs w:val="24"/>
        </w:rPr>
      </w:pPr>
    </w:p>
    <w:p w14:paraId="2FD0DBBD">
      <w:pPr>
        <w:spacing w:line="440" w:lineRule="exact"/>
        <w:rPr>
          <w:rFonts w:hint="eastAsia" w:ascii="仿宋" w:hAnsi="仿宋" w:eastAsia="仿宋"/>
          <w:color w:val="auto"/>
          <w:sz w:val="24"/>
          <w:szCs w:val="24"/>
        </w:rPr>
      </w:pPr>
      <w:r>
        <w:rPr>
          <w:rFonts w:hint="eastAsia" w:ascii="仿宋" w:hAnsi="仿宋" w:eastAsia="仿宋"/>
          <w:color w:val="auto"/>
          <w:sz w:val="24"/>
          <w:szCs w:val="24"/>
        </w:rPr>
        <w:t>附：法定代表人身份证复印件。</w:t>
      </w:r>
    </w:p>
    <w:p w14:paraId="596CBDE7">
      <w:pPr>
        <w:spacing w:line="440" w:lineRule="exact"/>
        <w:rPr>
          <w:rFonts w:hint="eastAsia" w:ascii="仿宋" w:hAnsi="仿宋" w:eastAsia="仿宋"/>
          <w:color w:val="auto"/>
          <w:sz w:val="24"/>
          <w:szCs w:val="24"/>
        </w:rPr>
      </w:pPr>
    </w:p>
    <w:p w14:paraId="7C95BAF2">
      <w:pPr>
        <w:spacing w:line="440" w:lineRule="exact"/>
        <w:rPr>
          <w:rFonts w:hint="eastAsia" w:ascii="仿宋" w:hAnsi="仿宋" w:eastAsia="仿宋"/>
          <w:color w:val="auto"/>
          <w:sz w:val="24"/>
          <w:szCs w:val="24"/>
        </w:rPr>
      </w:pPr>
    </w:p>
    <w:p w14:paraId="164DEE7C">
      <w:pPr>
        <w:spacing w:line="440" w:lineRule="exact"/>
        <w:rPr>
          <w:rFonts w:hint="eastAsia" w:ascii="仿宋" w:hAnsi="仿宋" w:eastAsia="仿宋"/>
          <w:color w:val="auto"/>
          <w:sz w:val="24"/>
          <w:szCs w:val="24"/>
        </w:rPr>
      </w:pPr>
    </w:p>
    <w:p w14:paraId="1612348D">
      <w:pPr>
        <w:spacing w:line="360" w:lineRule="auto"/>
        <w:rPr>
          <w:rFonts w:hint="eastAsia" w:ascii="宋体" w:hAnsi="宋体" w:cs="宋体"/>
          <w:b/>
          <w:bCs/>
          <w:color w:val="auto"/>
          <w:szCs w:val="21"/>
        </w:rPr>
      </w:pPr>
      <w:r>
        <w:rPr>
          <w:rFonts w:hint="eastAsia" w:ascii="宋体" w:hAnsi="宋体" w:cs="宋体"/>
          <w:b/>
          <w:bCs/>
          <w:color w:val="auto"/>
          <w:szCs w:val="21"/>
        </w:rPr>
        <w:t>注：1、法定代表人参加本次投标的应签署本文件并附本人身份证复印件；</w:t>
      </w:r>
    </w:p>
    <w:p w14:paraId="5730CAB6">
      <w:pPr>
        <w:spacing w:line="440" w:lineRule="exact"/>
        <w:rPr>
          <w:rFonts w:hint="eastAsia" w:ascii="仿宋" w:hAnsi="仿宋" w:eastAsia="仿宋"/>
          <w:color w:val="auto"/>
          <w:sz w:val="24"/>
          <w:szCs w:val="24"/>
        </w:rPr>
      </w:pPr>
      <w:r>
        <w:rPr>
          <w:rFonts w:hint="eastAsia" w:ascii="宋体" w:hAnsi="宋体" w:cs="宋体"/>
          <w:b/>
          <w:bCs/>
          <w:color w:val="auto"/>
          <w:szCs w:val="21"/>
        </w:rPr>
        <w:t>2、如法定代表人不参加本次投标，应签署《法定代表人授权委托书》。</w:t>
      </w:r>
    </w:p>
    <w:p w14:paraId="141AF32A">
      <w:pPr>
        <w:spacing w:line="440" w:lineRule="exact"/>
        <w:rPr>
          <w:rFonts w:hint="eastAsia" w:ascii="仿宋" w:hAnsi="仿宋" w:eastAsia="仿宋"/>
          <w:color w:val="auto"/>
          <w:sz w:val="24"/>
          <w:szCs w:val="24"/>
        </w:rPr>
      </w:pPr>
    </w:p>
    <w:p w14:paraId="280747FD">
      <w:pPr>
        <w:spacing w:line="440" w:lineRule="exact"/>
        <w:rPr>
          <w:rFonts w:hint="eastAsia" w:ascii="仿宋" w:hAnsi="仿宋" w:eastAsia="仿宋"/>
          <w:color w:val="auto"/>
          <w:sz w:val="24"/>
          <w:szCs w:val="24"/>
        </w:rPr>
      </w:pPr>
    </w:p>
    <w:p w14:paraId="34857977">
      <w:pPr>
        <w:spacing w:line="440" w:lineRule="exact"/>
        <w:rPr>
          <w:rFonts w:hint="eastAsia" w:ascii="仿宋" w:hAnsi="仿宋" w:eastAsia="仿宋"/>
          <w:color w:val="auto"/>
          <w:sz w:val="24"/>
          <w:szCs w:val="24"/>
        </w:rPr>
      </w:pPr>
    </w:p>
    <w:p w14:paraId="2A60FE39">
      <w:pPr>
        <w:spacing w:line="440" w:lineRule="exact"/>
        <w:rPr>
          <w:rFonts w:hint="eastAsia" w:ascii="仿宋" w:hAnsi="仿宋" w:eastAsia="仿宋"/>
          <w:color w:val="auto"/>
          <w:sz w:val="24"/>
          <w:szCs w:val="24"/>
        </w:rPr>
      </w:pPr>
    </w:p>
    <w:p w14:paraId="7094CF51">
      <w:pPr>
        <w:spacing w:line="440" w:lineRule="exact"/>
        <w:rPr>
          <w:rFonts w:hint="eastAsia" w:ascii="仿宋" w:hAnsi="仿宋" w:eastAsia="仿宋"/>
          <w:color w:val="auto"/>
          <w:sz w:val="24"/>
          <w:szCs w:val="24"/>
        </w:rPr>
      </w:pPr>
    </w:p>
    <w:p w14:paraId="7D644F76">
      <w:pPr>
        <w:spacing w:line="440" w:lineRule="exact"/>
        <w:jc w:val="right"/>
        <w:rPr>
          <w:rFonts w:ascii="仿宋" w:hAnsi="仿宋" w:eastAsia="仿宋"/>
          <w:color w:val="auto"/>
          <w:sz w:val="24"/>
          <w:szCs w:val="24"/>
        </w:rPr>
      </w:pPr>
      <w:r>
        <w:rPr>
          <w:rFonts w:ascii="仿宋" w:hAnsi="仿宋" w:eastAsia="仿宋"/>
          <w:color w:val="auto"/>
          <w:sz w:val="24"/>
          <w:szCs w:val="24"/>
        </w:rPr>
        <w:t xml:space="preserve">                          供应商：</w:t>
      </w:r>
      <w:r>
        <w:rPr>
          <w:rFonts w:ascii="仿宋" w:hAnsi="仿宋" w:eastAsia="仿宋"/>
          <w:color w:val="auto"/>
          <w:sz w:val="24"/>
          <w:szCs w:val="24"/>
          <w:u w:val="single"/>
        </w:rPr>
        <w:t xml:space="preserve">                 </w:t>
      </w:r>
      <w:r>
        <w:rPr>
          <w:rFonts w:ascii="仿宋" w:hAnsi="仿宋" w:eastAsia="仿宋"/>
          <w:color w:val="auto"/>
          <w:sz w:val="24"/>
          <w:szCs w:val="24"/>
        </w:rPr>
        <w:t>（</w:t>
      </w:r>
      <w:r>
        <w:rPr>
          <w:rFonts w:hint="eastAsia" w:ascii="仿宋" w:hAnsi="仿宋" w:eastAsia="仿宋"/>
          <w:color w:val="auto"/>
          <w:sz w:val="24"/>
          <w:szCs w:val="24"/>
        </w:rPr>
        <w:t>公章</w:t>
      </w:r>
      <w:r>
        <w:rPr>
          <w:rFonts w:ascii="仿宋" w:hAnsi="仿宋" w:eastAsia="仿宋"/>
          <w:color w:val="auto"/>
          <w:sz w:val="24"/>
          <w:szCs w:val="24"/>
        </w:rPr>
        <w:t>）</w:t>
      </w:r>
    </w:p>
    <w:p w14:paraId="469BA940">
      <w:pPr>
        <w:widowControl/>
        <w:autoSpaceDE w:val="0"/>
        <w:autoSpaceDN w:val="0"/>
        <w:adjustRightInd w:val="0"/>
        <w:spacing w:line="460" w:lineRule="exact"/>
        <w:jc w:val="right"/>
        <w:rPr>
          <w:rFonts w:hint="eastAsia" w:ascii="仿宋" w:hAnsi="仿宋" w:eastAsia="仿宋"/>
          <w:color w:val="auto"/>
          <w:kern w:val="1"/>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年</w:t>
      </w:r>
      <w:r>
        <w:rPr>
          <w:rFonts w:ascii="仿宋" w:hAnsi="仿宋" w:eastAsia="仿宋"/>
          <w:color w:val="auto"/>
          <w:sz w:val="24"/>
          <w:szCs w:val="24"/>
          <w:u w:val="single"/>
        </w:rPr>
        <w:t xml:space="preserve">      </w:t>
      </w:r>
      <w:r>
        <w:rPr>
          <w:rFonts w:ascii="仿宋" w:hAnsi="仿宋" w:eastAsia="仿宋"/>
          <w:color w:val="auto"/>
          <w:sz w:val="24"/>
          <w:szCs w:val="24"/>
        </w:rPr>
        <w:t>月</w:t>
      </w:r>
      <w:r>
        <w:rPr>
          <w:rFonts w:ascii="仿宋" w:hAnsi="仿宋" w:eastAsia="仿宋"/>
          <w:color w:val="auto"/>
          <w:sz w:val="24"/>
          <w:szCs w:val="24"/>
          <w:u w:val="single"/>
        </w:rPr>
        <w:t xml:space="preserve">   </w:t>
      </w:r>
      <w:r>
        <w:rPr>
          <w:rFonts w:ascii="仿宋" w:hAnsi="仿宋" w:eastAsia="仿宋"/>
          <w:color w:val="auto"/>
          <w:sz w:val="24"/>
          <w:szCs w:val="24"/>
        </w:rPr>
        <w:t xml:space="preserve"> 日</w:t>
      </w:r>
    </w:p>
    <w:p w14:paraId="7125C93B">
      <w:pPr>
        <w:widowControl/>
        <w:autoSpaceDE w:val="0"/>
        <w:autoSpaceDN w:val="0"/>
        <w:adjustRightInd w:val="0"/>
        <w:spacing w:line="460" w:lineRule="exact"/>
        <w:rPr>
          <w:rFonts w:hint="eastAsia" w:ascii="仿宋" w:hAnsi="仿宋" w:eastAsia="仿宋"/>
          <w:color w:val="auto"/>
          <w:kern w:val="1"/>
          <w:sz w:val="24"/>
          <w:szCs w:val="24"/>
        </w:rPr>
      </w:pPr>
    </w:p>
    <w:p w14:paraId="44F250D4">
      <w:pPr>
        <w:spacing w:before="100" w:beforeAutospacing="1" w:after="100" w:afterAutospacing="1" w:line="440" w:lineRule="exact"/>
        <w:jc w:val="left"/>
        <w:rPr>
          <w:rFonts w:ascii="仿宋" w:hAnsi="仿宋" w:eastAsia="仿宋" w:cs="仿宋"/>
          <w:kern w:val="1"/>
          <w:sz w:val="24"/>
          <w:szCs w:val="24"/>
          <w:highlight w:val="none"/>
        </w:rPr>
      </w:pPr>
    </w:p>
    <w:p w14:paraId="0B9763E1">
      <w:pPr>
        <w:widowControl/>
        <w:autoSpaceDE w:val="0"/>
        <w:autoSpaceDN w:val="0"/>
        <w:adjustRightInd w:val="0"/>
        <w:spacing w:line="44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br w:type="page"/>
      </w:r>
    </w:p>
    <w:p w14:paraId="05992AF5">
      <w:pPr>
        <w:widowControl/>
        <w:autoSpaceDE w:val="0"/>
        <w:autoSpaceDN w:val="0"/>
        <w:adjustRightInd w:val="0"/>
        <w:spacing w:line="440" w:lineRule="exact"/>
        <w:jc w:val="center"/>
        <w:rPr>
          <w:rFonts w:ascii="仿宋" w:hAnsi="仿宋" w:eastAsia="仿宋"/>
          <w:b/>
          <w:bCs/>
          <w:kern w:val="1"/>
          <w:sz w:val="28"/>
          <w:szCs w:val="28"/>
          <w:highlight w:val="none"/>
        </w:rPr>
      </w:pPr>
      <w:r>
        <w:rPr>
          <w:rFonts w:hint="eastAsia" w:ascii="仿宋" w:hAnsi="仿宋" w:eastAsia="仿宋" w:cs="宋体"/>
          <w:b/>
          <w:bCs/>
          <w:kern w:val="1"/>
          <w:sz w:val="28"/>
          <w:szCs w:val="28"/>
          <w:highlight w:val="none"/>
        </w:rPr>
        <w:t>法定代表人授权委托书</w:t>
      </w:r>
    </w:p>
    <w:p w14:paraId="64731881">
      <w:pPr>
        <w:widowControl/>
        <w:autoSpaceDE w:val="0"/>
        <w:autoSpaceDN w:val="0"/>
        <w:adjustRightInd w:val="0"/>
        <w:spacing w:line="440" w:lineRule="exact"/>
        <w:rPr>
          <w:rFonts w:ascii="仿宋" w:hAnsi="仿宋" w:eastAsia="仿宋"/>
          <w:kern w:val="1"/>
          <w:sz w:val="24"/>
          <w:szCs w:val="24"/>
          <w:highlight w:val="none"/>
        </w:rPr>
      </w:pPr>
    </w:p>
    <w:p w14:paraId="57E0B578">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Style w:val="29"/>
          <w:rFonts w:hint="eastAsia"/>
          <w:sz w:val="24"/>
          <w:szCs w:val="24"/>
          <w:highlight w:val="none"/>
        </w:rPr>
        <w:t>：</w:t>
      </w:r>
    </w:p>
    <w:p w14:paraId="13C68F2E">
      <w:pPr>
        <w:widowControl/>
        <w:autoSpaceDE w:val="0"/>
        <w:autoSpaceDN w:val="0"/>
        <w:adjustRightInd w:val="0"/>
        <w:spacing w:line="440" w:lineRule="exact"/>
        <w:ind w:firstLine="480"/>
        <w:rPr>
          <w:rFonts w:ascii="仿宋" w:hAnsi="仿宋" w:eastAsia="仿宋"/>
          <w:kern w:val="1"/>
          <w:sz w:val="24"/>
          <w:szCs w:val="24"/>
          <w:highlight w:val="none"/>
        </w:rPr>
      </w:pPr>
      <w:r>
        <w:rPr>
          <w:rStyle w:val="29"/>
          <w:rFonts w:hint="eastAsia"/>
          <w:sz w:val="24"/>
          <w:szCs w:val="24"/>
          <w:highlight w:val="none"/>
        </w:rPr>
        <w:t>我</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w:t>
      </w:r>
      <w:r>
        <w:rPr>
          <w:rFonts w:ascii="仿宋" w:hAnsi="仿宋" w:eastAsia="仿宋" w:cs="仿宋"/>
          <w:kern w:val="1"/>
          <w:sz w:val="24"/>
          <w:szCs w:val="24"/>
          <w:highlight w:val="none"/>
          <w:u w:val="single"/>
        </w:rPr>
        <w:t xml:space="preserve"> </w:t>
      </w:r>
      <w:r>
        <w:rPr>
          <w:rStyle w:val="29"/>
          <w:rFonts w:hint="eastAsia"/>
          <w:sz w:val="24"/>
          <w:szCs w:val="24"/>
          <w:highlight w:val="none"/>
        </w:rPr>
        <w:t>系</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（投标人名称）</w:t>
      </w:r>
      <w:r>
        <w:rPr>
          <w:rStyle w:val="29"/>
          <w:rFonts w:hint="eastAsia"/>
          <w:sz w:val="24"/>
          <w:szCs w:val="24"/>
          <w:highlight w:val="none"/>
        </w:rPr>
        <w:t>法定代表人，现授权委托我公司的</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（姓名、职务或者职称）</w:t>
      </w:r>
      <w:r>
        <w:rPr>
          <w:rStyle w:val="29"/>
          <w:rFonts w:hint="eastAsia"/>
          <w:sz w:val="24"/>
          <w:szCs w:val="24"/>
          <w:highlight w:val="none"/>
        </w:rPr>
        <w:t>为我公司本次</w:t>
      </w:r>
      <w:r>
        <w:rPr>
          <w:rFonts w:ascii="仿宋" w:hAnsi="仿宋" w:eastAsia="仿宋" w:cs="仿宋"/>
          <w:kern w:val="1"/>
          <w:sz w:val="24"/>
          <w:szCs w:val="24"/>
          <w:highlight w:val="none"/>
          <w:u w:val="single"/>
        </w:rPr>
        <w:t xml:space="preserve">             </w:t>
      </w:r>
      <w:r>
        <w:rPr>
          <w:rStyle w:val="29"/>
          <w:rFonts w:hint="eastAsia"/>
          <w:sz w:val="24"/>
          <w:szCs w:val="24"/>
          <w:highlight w:val="none"/>
        </w:rPr>
        <w:t>项目的授权代表，代表我方办理本次投标、签约等相关事宜，签署全部有关的文件、协议、合同并具有法律效力。</w:t>
      </w:r>
    </w:p>
    <w:p w14:paraId="617DE78F">
      <w:pPr>
        <w:widowControl/>
        <w:autoSpaceDE w:val="0"/>
        <w:autoSpaceDN w:val="0"/>
        <w:adjustRightInd w:val="0"/>
        <w:spacing w:line="440" w:lineRule="exact"/>
        <w:ind w:firstLine="480"/>
        <w:rPr>
          <w:rStyle w:val="29"/>
          <w:sz w:val="24"/>
          <w:szCs w:val="24"/>
          <w:highlight w:val="none"/>
        </w:rPr>
      </w:pPr>
      <w:r>
        <w:rPr>
          <w:rStyle w:val="29"/>
          <w:rFonts w:hint="eastAsia"/>
          <w:sz w:val="24"/>
          <w:szCs w:val="24"/>
          <w:highlight w:val="none"/>
        </w:rPr>
        <w:t>在我方未发出撤销授权委托书的书面通知以前，本授权委托书一直有效。被授权人签署的所有文件（在授权书有效期内签署的）不因授权撤销而失效。</w:t>
      </w:r>
    </w:p>
    <w:p w14:paraId="66B4A732">
      <w:pPr>
        <w:widowControl/>
        <w:autoSpaceDE w:val="0"/>
        <w:autoSpaceDN w:val="0"/>
        <w:adjustRightInd w:val="0"/>
        <w:spacing w:line="440" w:lineRule="exact"/>
        <w:ind w:firstLine="480"/>
        <w:rPr>
          <w:rStyle w:val="29"/>
          <w:sz w:val="24"/>
          <w:szCs w:val="24"/>
          <w:highlight w:val="none"/>
        </w:rPr>
      </w:pPr>
      <w:r>
        <w:rPr>
          <w:rStyle w:val="29"/>
          <w:rFonts w:hint="eastAsia"/>
          <w:sz w:val="24"/>
          <w:szCs w:val="24"/>
          <w:highlight w:val="none"/>
        </w:rPr>
        <w:t>被授权代表无权转让委托权。特此授权。</w:t>
      </w:r>
    </w:p>
    <w:p w14:paraId="590D11D0">
      <w:pPr>
        <w:widowControl/>
        <w:autoSpaceDE w:val="0"/>
        <w:autoSpaceDN w:val="0"/>
        <w:adjustRightInd w:val="0"/>
        <w:spacing w:line="440" w:lineRule="exact"/>
        <w:ind w:firstLine="480"/>
        <w:rPr>
          <w:rFonts w:ascii="仿宋" w:hAnsi="仿宋" w:eastAsia="仿宋"/>
          <w:kern w:val="1"/>
          <w:sz w:val="24"/>
          <w:szCs w:val="24"/>
          <w:highlight w:val="none"/>
        </w:rPr>
      </w:pPr>
      <w:r>
        <w:rPr>
          <w:rStyle w:val="29"/>
          <w:rFonts w:hint="eastAsia"/>
          <w:sz w:val="24"/>
          <w:szCs w:val="24"/>
          <w:highlight w:val="none"/>
        </w:rPr>
        <w:t>本授权委托书于</w:t>
      </w:r>
      <w:r>
        <w:rPr>
          <w:rFonts w:ascii="仿宋" w:hAnsi="仿宋" w:eastAsia="仿宋" w:cs="仿宋"/>
          <w:kern w:val="1"/>
          <w:sz w:val="24"/>
          <w:szCs w:val="24"/>
          <w:highlight w:val="none"/>
          <w:u w:val="single"/>
        </w:rPr>
        <w:t xml:space="preserve">        </w:t>
      </w:r>
      <w:r>
        <w:rPr>
          <w:rStyle w:val="29"/>
          <w:rFonts w:hint="eastAsia"/>
          <w:sz w:val="24"/>
          <w:szCs w:val="24"/>
          <w:highlight w:val="none"/>
        </w:rPr>
        <w:t>年</w:t>
      </w:r>
      <w:r>
        <w:rPr>
          <w:rFonts w:ascii="仿宋" w:hAnsi="仿宋" w:eastAsia="仿宋" w:cs="仿宋"/>
          <w:kern w:val="1"/>
          <w:sz w:val="24"/>
          <w:szCs w:val="24"/>
          <w:highlight w:val="none"/>
          <w:u w:val="single"/>
        </w:rPr>
        <w:t xml:space="preserve">        </w:t>
      </w:r>
      <w:r>
        <w:rPr>
          <w:rStyle w:val="29"/>
          <w:rFonts w:hint="eastAsia"/>
          <w:sz w:val="24"/>
          <w:szCs w:val="24"/>
          <w:highlight w:val="none"/>
        </w:rPr>
        <w:t>月</w:t>
      </w:r>
      <w:r>
        <w:rPr>
          <w:rFonts w:ascii="仿宋" w:hAnsi="仿宋" w:eastAsia="仿宋" w:cs="仿宋"/>
          <w:kern w:val="1"/>
          <w:sz w:val="24"/>
          <w:szCs w:val="24"/>
          <w:highlight w:val="none"/>
          <w:u w:val="single"/>
        </w:rPr>
        <w:t xml:space="preserve">        </w:t>
      </w:r>
      <w:r>
        <w:rPr>
          <w:rStyle w:val="29"/>
          <w:rFonts w:hint="eastAsia"/>
          <w:sz w:val="24"/>
          <w:szCs w:val="24"/>
          <w:highlight w:val="none"/>
        </w:rPr>
        <w:t>日签字生效</w:t>
      </w:r>
      <w:r>
        <w:rPr>
          <w:rStyle w:val="29"/>
          <w:sz w:val="24"/>
          <w:szCs w:val="24"/>
          <w:highlight w:val="none"/>
        </w:rPr>
        <w:t>,</w:t>
      </w:r>
      <w:r>
        <w:rPr>
          <w:rStyle w:val="29"/>
          <w:rFonts w:hint="eastAsia"/>
          <w:sz w:val="24"/>
          <w:szCs w:val="24"/>
          <w:highlight w:val="none"/>
        </w:rPr>
        <w:t>特此声明。</w:t>
      </w:r>
    </w:p>
    <w:p w14:paraId="7214B592">
      <w:pPr>
        <w:widowControl/>
        <w:autoSpaceDE w:val="0"/>
        <w:autoSpaceDN w:val="0"/>
        <w:adjustRightInd w:val="0"/>
        <w:spacing w:line="440" w:lineRule="exact"/>
        <w:rPr>
          <w:rFonts w:ascii="仿宋" w:hAnsi="仿宋" w:eastAsia="仿宋"/>
          <w:kern w:val="1"/>
          <w:sz w:val="24"/>
          <w:szCs w:val="24"/>
          <w:highlight w:val="none"/>
        </w:rPr>
      </w:pPr>
    </w:p>
    <w:p w14:paraId="03C380B3">
      <w:pPr>
        <w:widowControl/>
        <w:autoSpaceDE w:val="0"/>
        <w:autoSpaceDN w:val="0"/>
        <w:adjustRightInd w:val="0"/>
        <w:spacing w:line="440" w:lineRule="exact"/>
        <w:ind w:right="-481"/>
        <w:jc w:val="center"/>
        <w:rPr>
          <w:rFonts w:ascii="仿宋" w:hAnsi="仿宋" w:eastAsia="仿宋" w:cs="仿宋"/>
          <w:kern w:val="1"/>
          <w:sz w:val="24"/>
          <w:szCs w:val="24"/>
          <w:highlight w:val="none"/>
        </w:rPr>
      </w:pPr>
      <w:r>
        <w:rPr>
          <w:rFonts w:ascii="仿宋" w:hAnsi="仿宋" w:eastAsia="仿宋" w:cs="仿宋"/>
          <w:kern w:val="1"/>
          <w:sz w:val="24"/>
          <w:szCs w:val="24"/>
          <w:highlight w:val="none"/>
        </w:rPr>
        <w:t>(</w:t>
      </w:r>
      <w:r>
        <w:rPr>
          <w:rFonts w:hint="eastAsia" w:ascii="仿宋" w:hAnsi="仿宋" w:eastAsia="仿宋" w:cs="仿宋"/>
          <w:kern w:val="1"/>
          <w:sz w:val="24"/>
          <w:szCs w:val="24"/>
          <w:highlight w:val="none"/>
        </w:rPr>
        <w:t>附法人代表身份证以及被授权代表身份证复印件</w:t>
      </w:r>
      <w:r>
        <w:rPr>
          <w:rFonts w:ascii="仿宋" w:hAnsi="仿宋" w:eastAsia="仿宋" w:cs="仿宋"/>
          <w:kern w:val="1"/>
          <w:sz w:val="24"/>
          <w:szCs w:val="24"/>
          <w:highlight w:val="none"/>
        </w:rPr>
        <w:t>)</w:t>
      </w:r>
    </w:p>
    <w:p w14:paraId="547D3146">
      <w:pPr>
        <w:widowControl/>
        <w:autoSpaceDE w:val="0"/>
        <w:autoSpaceDN w:val="0"/>
        <w:adjustRightInd w:val="0"/>
        <w:spacing w:line="440" w:lineRule="exact"/>
        <w:ind w:right="-481"/>
        <w:jc w:val="center"/>
        <w:rPr>
          <w:rFonts w:ascii="仿宋" w:hAnsi="仿宋" w:eastAsia="仿宋" w:cs="仿宋"/>
          <w:kern w:val="1"/>
          <w:sz w:val="24"/>
          <w:szCs w:val="24"/>
          <w:highlight w:val="none"/>
        </w:rPr>
      </w:pPr>
    </w:p>
    <w:p w14:paraId="23932F6E">
      <w:pPr>
        <w:widowControl/>
        <w:autoSpaceDE w:val="0"/>
        <w:autoSpaceDN w:val="0"/>
        <w:adjustRightInd w:val="0"/>
        <w:spacing w:line="440" w:lineRule="exact"/>
        <w:ind w:right="-481"/>
        <w:jc w:val="center"/>
        <w:rPr>
          <w:rFonts w:ascii="仿宋" w:hAnsi="仿宋" w:eastAsia="仿宋"/>
          <w:kern w:val="1"/>
          <w:sz w:val="24"/>
          <w:szCs w:val="24"/>
          <w:highlight w:val="none"/>
        </w:rPr>
      </w:pPr>
    </w:p>
    <w:p w14:paraId="417197B4">
      <w:pPr>
        <w:widowControl/>
        <w:autoSpaceDE w:val="0"/>
        <w:autoSpaceDN w:val="0"/>
        <w:adjustRightInd w:val="0"/>
        <w:spacing w:line="440" w:lineRule="exact"/>
        <w:ind w:right="-481"/>
        <w:rPr>
          <w:rStyle w:val="29"/>
          <w:sz w:val="24"/>
          <w:szCs w:val="24"/>
          <w:highlight w:val="none"/>
        </w:rPr>
      </w:pPr>
      <w:r>
        <w:rPr>
          <w:rStyle w:val="29"/>
          <w:rFonts w:hint="eastAsia"/>
          <w:sz w:val="24"/>
          <w:szCs w:val="24"/>
          <w:highlight w:val="none"/>
        </w:rPr>
        <w:t>被授权代表姓名：</w:t>
      </w:r>
      <w:r>
        <w:rPr>
          <w:rStyle w:val="29"/>
          <w:sz w:val="24"/>
          <w:szCs w:val="24"/>
          <w:highlight w:val="none"/>
        </w:rPr>
        <w:t xml:space="preserve">             </w:t>
      </w:r>
      <w:r>
        <w:rPr>
          <w:rStyle w:val="29"/>
          <w:rFonts w:hint="eastAsia"/>
          <w:sz w:val="24"/>
          <w:szCs w:val="24"/>
          <w:highlight w:val="none"/>
        </w:rPr>
        <w:t>性</w:t>
      </w:r>
      <w:r>
        <w:rPr>
          <w:rStyle w:val="29"/>
          <w:sz w:val="24"/>
          <w:szCs w:val="24"/>
          <w:highlight w:val="none"/>
        </w:rPr>
        <w:t xml:space="preserve"> </w:t>
      </w:r>
      <w:r>
        <w:rPr>
          <w:rStyle w:val="29"/>
          <w:rFonts w:hint="eastAsia"/>
          <w:sz w:val="24"/>
          <w:szCs w:val="24"/>
          <w:highlight w:val="none"/>
        </w:rPr>
        <w:t>别：</w:t>
      </w:r>
      <w:r>
        <w:rPr>
          <w:rStyle w:val="29"/>
          <w:sz w:val="24"/>
          <w:szCs w:val="24"/>
          <w:highlight w:val="none"/>
        </w:rPr>
        <w:t xml:space="preserve">              </w:t>
      </w:r>
      <w:r>
        <w:rPr>
          <w:rStyle w:val="29"/>
          <w:rFonts w:hint="eastAsia"/>
          <w:sz w:val="24"/>
          <w:szCs w:val="24"/>
          <w:highlight w:val="none"/>
        </w:rPr>
        <w:t>年</w:t>
      </w:r>
      <w:r>
        <w:rPr>
          <w:rStyle w:val="29"/>
          <w:sz w:val="24"/>
          <w:szCs w:val="24"/>
          <w:highlight w:val="none"/>
        </w:rPr>
        <w:t xml:space="preserve"> </w:t>
      </w:r>
      <w:r>
        <w:rPr>
          <w:rStyle w:val="29"/>
          <w:rFonts w:hint="eastAsia"/>
          <w:sz w:val="24"/>
          <w:szCs w:val="24"/>
          <w:highlight w:val="none"/>
        </w:rPr>
        <w:t>龄：</w:t>
      </w:r>
    </w:p>
    <w:p w14:paraId="5A85626F">
      <w:pPr>
        <w:widowControl/>
        <w:autoSpaceDE w:val="0"/>
        <w:autoSpaceDN w:val="0"/>
        <w:adjustRightInd w:val="0"/>
        <w:spacing w:line="440" w:lineRule="exact"/>
        <w:ind w:right="-481"/>
        <w:rPr>
          <w:rStyle w:val="29"/>
          <w:sz w:val="24"/>
          <w:szCs w:val="24"/>
          <w:highlight w:val="none"/>
        </w:rPr>
      </w:pPr>
      <w:r>
        <w:rPr>
          <w:rStyle w:val="29"/>
          <w:rFonts w:hint="eastAsia"/>
          <w:sz w:val="24"/>
          <w:szCs w:val="24"/>
          <w:highlight w:val="none"/>
        </w:rPr>
        <w:t>单</w:t>
      </w:r>
      <w:r>
        <w:rPr>
          <w:rStyle w:val="29"/>
          <w:sz w:val="24"/>
          <w:szCs w:val="24"/>
          <w:highlight w:val="none"/>
        </w:rPr>
        <w:t xml:space="preserve">  </w:t>
      </w:r>
      <w:r>
        <w:rPr>
          <w:rStyle w:val="29"/>
          <w:rFonts w:hint="eastAsia"/>
          <w:sz w:val="24"/>
          <w:szCs w:val="24"/>
          <w:highlight w:val="none"/>
        </w:rPr>
        <w:t>位：</w:t>
      </w:r>
      <w:r>
        <w:rPr>
          <w:rStyle w:val="29"/>
          <w:sz w:val="24"/>
          <w:szCs w:val="24"/>
          <w:highlight w:val="none"/>
        </w:rPr>
        <w:t xml:space="preserve">                     </w:t>
      </w:r>
      <w:r>
        <w:rPr>
          <w:rStyle w:val="29"/>
          <w:rFonts w:hint="eastAsia"/>
          <w:sz w:val="24"/>
          <w:szCs w:val="24"/>
          <w:highlight w:val="none"/>
        </w:rPr>
        <w:t>部</w:t>
      </w:r>
      <w:r>
        <w:rPr>
          <w:rStyle w:val="29"/>
          <w:sz w:val="24"/>
          <w:szCs w:val="24"/>
          <w:highlight w:val="none"/>
        </w:rPr>
        <w:t xml:space="preserve"> </w:t>
      </w:r>
      <w:r>
        <w:rPr>
          <w:rStyle w:val="29"/>
          <w:rFonts w:hint="eastAsia"/>
          <w:sz w:val="24"/>
          <w:szCs w:val="24"/>
          <w:highlight w:val="none"/>
        </w:rPr>
        <w:t>门：</w:t>
      </w:r>
      <w:r>
        <w:rPr>
          <w:rStyle w:val="29"/>
          <w:sz w:val="24"/>
          <w:szCs w:val="24"/>
          <w:highlight w:val="none"/>
        </w:rPr>
        <w:t xml:space="preserve">              </w:t>
      </w:r>
      <w:r>
        <w:rPr>
          <w:rStyle w:val="29"/>
          <w:rFonts w:hint="eastAsia"/>
          <w:sz w:val="24"/>
          <w:szCs w:val="24"/>
          <w:highlight w:val="none"/>
        </w:rPr>
        <w:t>职</w:t>
      </w:r>
      <w:r>
        <w:rPr>
          <w:rStyle w:val="29"/>
          <w:sz w:val="24"/>
          <w:szCs w:val="24"/>
          <w:highlight w:val="none"/>
        </w:rPr>
        <w:t xml:space="preserve"> </w:t>
      </w:r>
      <w:r>
        <w:rPr>
          <w:rStyle w:val="29"/>
          <w:rFonts w:hint="eastAsia"/>
          <w:sz w:val="24"/>
          <w:szCs w:val="24"/>
          <w:highlight w:val="none"/>
        </w:rPr>
        <w:t>务：</w:t>
      </w:r>
    </w:p>
    <w:p w14:paraId="67B483FA">
      <w:pPr>
        <w:widowControl/>
        <w:autoSpaceDE w:val="0"/>
        <w:autoSpaceDN w:val="0"/>
        <w:adjustRightInd w:val="0"/>
        <w:spacing w:line="440" w:lineRule="exact"/>
        <w:ind w:right="-481"/>
        <w:rPr>
          <w:rFonts w:ascii="仿宋" w:hAnsi="仿宋" w:eastAsia="仿宋"/>
          <w:kern w:val="1"/>
          <w:sz w:val="24"/>
          <w:szCs w:val="24"/>
          <w:highlight w:val="none"/>
        </w:rPr>
      </w:pPr>
    </w:p>
    <w:p w14:paraId="170B9FF7">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6E0BBD5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26EF9D64">
      <w:pPr>
        <w:spacing w:before="100" w:beforeAutospacing="1" w:after="100" w:afterAutospacing="1" w:line="440" w:lineRule="exact"/>
        <w:ind w:firstLine="4080" w:firstLineChars="1700"/>
        <w:jc w:val="left"/>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2B03BAB3">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4A038A9B">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12CC1BD7">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140F2ED6">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349D8038">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306E0551">
      <w:pPr>
        <w:spacing w:before="100" w:beforeAutospacing="1" w:after="100" w:afterAutospacing="1" w:line="440" w:lineRule="exact"/>
        <w:ind w:firstLine="4080" w:firstLineChars="1700"/>
        <w:jc w:val="left"/>
        <w:rPr>
          <w:rFonts w:ascii="仿宋" w:hAnsi="仿宋" w:eastAsia="仿宋" w:cs="仿宋"/>
          <w:kern w:val="1"/>
          <w:sz w:val="24"/>
          <w:szCs w:val="24"/>
          <w:highlight w:val="none"/>
        </w:rPr>
      </w:pPr>
    </w:p>
    <w:p w14:paraId="48EA49BA">
      <w:pPr>
        <w:spacing w:before="100" w:beforeAutospacing="1" w:after="100" w:afterAutospacing="1" w:line="440" w:lineRule="exact"/>
        <w:jc w:val="left"/>
        <w:rPr>
          <w:rFonts w:ascii="仿宋" w:hAnsi="仿宋" w:eastAsia="仿宋" w:cs="仿宋"/>
          <w:kern w:val="1"/>
          <w:sz w:val="24"/>
          <w:szCs w:val="24"/>
          <w:highlight w:val="none"/>
        </w:rPr>
      </w:pPr>
      <w:r>
        <w:rPr>
          <w:rFonts w:ascii="仿宋" w:hAnsi="仿宋" w:eastAsia="仿宋" w:cs="仿宋"/>
          <w:kern w:val="1"/>
          <w:sz w:val="24"/>
          <w:szCs w:val="24"/>
          <w:highlight w:val="none"/>
        </w:rPr>
        <w:br w:type="page"/>
      </w:r>
    </w:p>
    <w:p w14:paraId="5F54F549">
      <w:pPr>
        <w:spacing w:afterLines="100" w:line="360" w:lineRule="auto"/>
        <w:jc w:val="center"/>
        <w:rPr>
          <w:rFonts w:ascii="仿宋" w:hAnsi="仿宋" w:eastAsia="仿宋" w:cs="仿宋"/>
          <w:b/>
          <w:bCs/>
          <w:sz w:val="24"/>
          <w:szCs w:val="24"/>
          <w:highlight w:val="none"/>
        </w:rPr>
      </w:pPr>
      <w:r>
        <w:rPr>
          <w:rFonts w:hint="eastAsia" w:ascii="仿宋" w:hAnsi="仿宋" w:eastAsia="仿宋" w:cs="仿宋"/>
          <w:b/>
          <w:bCs/>
          <w:kern w:val="1"/>
          <w:sz w:val="28"/>
          <w:szCs w:val="28"/>
          <w:highlight w:val="none"/>
          <w:lang w:val="en-US" w:eastAsia="zh-CN"/>
        </w:rPr>
        <w:t>六</w:t>
      </w:r>
      <w:r>
        <w:rPr>
          <w:rFonts w:hint="eastAsia" w:ascii="仿宋" w:hAnsi="仿宋" w:eastAsia="仿宋" w:cs="仿宋"/>
          <w:b/>
          <w:bCs/>
          <w:kern w:val="1"/>
          <w:sz w:val="28"/>
          <w:szCs w:val="28"/>
          <w:highlight w:val="none"/>
        </w:rPr>
        <w:t>、</w:t>
      </w:r>
      <w:r>
        <w:rPr>
          <w:rFonts w:hint="eastAsia" w:ascii="仿宋" w:hAnsi="仿宋" w:eastAsia="仿宋" w:cs="仿宋"/>
          <w:b/>
          <w:bCs/>
          <w:sz w:val="28"/>
          <w:szCs w:val="28"/>
          <w:highlight w:val="none"/>
        </w:rPr>
        <w:t>投标人基本情况表（附营业执照等）</w:t>
      </w:r>
    </w:p>
    <w:tbl>
      <w:tblPr>
        <w:tblStyle w:val="2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409F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0BD8C044">
            <w:pPr>
              <w:jc w:val="center"/>
              <w:rPr>
                <w:rFonts w:ascii="仿宋" w:hAnsi="仿宋" w:eastAsia="仿宋" w:cs="仿宋"/>
                <w:sz w:val="24"/>
                <w:szCs w:val="24"/>
                <w:highlight w:val="none"/>
              </w:rPr>
            </w:pPr>
            <w:r>
              <w:rPr>
                <w:rFonts w:hint="eastAsia" w:ascii="仿宋" w:hAnsi="仿宋" w:eastAsia="仿宋" w:cs="仿宋"/>
                <w:sz w:val="24"/>
                <w:szCs w:val="24"/>
                <w:highlight w:val="none"/>
              </w:rPr>
              <w:t>投标人名称</w:t>
            </w:r>
          </w:p>
        </w:tc>
        <w:tc>
          <w:tcPr>
            <w:tcW w:w="7947" w:type="dxa"/>
            <w:gridSpan w:val="6"/>
            <w:vAlign w:val="center"/>
          </w:tcPr>
          <w:p w14:paraId="336B93C9">
            <w:pPr>
              <w:jc w:val="center"/>
              <w:rPr>
                <w:rFonts w:ascii="仿宋" w:hAnsi="仿宋" w:eastAsia="仿宋" w:cs="仿宋"/>
                <w:sz w:val="24"/>
                <w:szCs w:val="24"/>
                <w:highlight w:val="none"/>
              </w:rPr>
            </w:pPr>
          </w:p>
        </w:tc>
      </w:tr>
      <w:tr w14:paraId="2DE6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9696E57">
            <w:pPr>
              <w:jc w:val="center"/>
              <w:rPr>
                <w:rFonts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894" w:type="dxa"/>
            <w:gridSpan w:val="3"/>
            <w:vAlign w:val="center"/>
          </w:tcPr>
          <w:p w14:paraId="6B7B619E">
            <w:pPr>
              <w:jc w:val="center"/>
              <w:rPr>
                <w:rFonts w:ascii="仿宋" w:hAnsi="仿宋" w:eastAsia="仿宋" w:cs="仿宋"/>
                <w:sz w:val="24"/>
                <w:szCs w:val="24"/>
                <w:highlight w:val="none"/>
              </w:rPr>
            </w:pPr>
          </w:p>
        </w:tc>
        <w:tc>
          <w:tcPr>
            <w:tcW w:w="1426" w:type="dxa"/>
            <w:vAlign w:val="center"/>
          </w:tcPr>
          <w:p w14:paraId="43AE24D7">
            <w:pPr>
              <w:jc w:val="center"/>
              <w:rPr>
                <w:rFonts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2627" w:type="dxa"/>
            <w:gridSpan w:val="2"/>
            <w:vAlign w:val="center"/>
          </w:tcPr>
          <w:p w14:paraId="58C3B10B">
            <w:pPr>
              <w:jc w:val="center"/>
              <w:rPr>
                <w:rFonts w:ascii="仿宋" w:hAnsi="仿宋" w:eastAsia="仿宋" w:cs="仿宋"/>
                <w:sz w:val="24"/>
                <w:szCs w:val="24"/>
                <w:highlight w:val="none"/>
              </w:rPr>
            </w:pPr>
          </w:p>
        </w:tc>
      </w:tr>
      <w:tr w14:paraId="1921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14:paraId="00E369CB">
            <w:pPr>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350" w:type="dxa"/>
            <w:vAlign w:val="center"/>
          </w:tcPr>
          <w:p w14:paraId="0DC1AA65">
            <w:pPr>
              <w:jc w:val="center"/>
              <w:rPr>
                <w:rFonts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544" w:type="dxa"/>
            <w:gridSpan w:val="2"/>
            <w:vAlign w:val="center"/>
          </w:tcPr>
          <w:p w14:paraId="430C310B">
            <w:pPr>
              <w:jc w:val="center"/>
              <w:rPr>
                <w:rFonts w:ascii="仿宋" w:hAnsi="仿宋" w:eastAsia="仿宋" w:cs="仿宋"/>
                <w:sz w:val="24"/>
                <w:szCs w:val="24"/>
                <w:highlight w:val="none"/>
              </w:rPr>
            </w:pPr>
          </w:p>
        </w:tc>
        <w:tc>
          <w:tcPr>
            <w:tcW w:w="1426" w:type="dxa"/>
            <w:vAlign w:val="center"/>
          </w:tcPr>
          <w:p w14:paraId="71328FCB">
            <w:pPr>
              <w:jc w:val="center"/>
              <w:rPr>
                <w:rFonts w:ascii="仿宋" w:hAnsi="仿宋" w:eastAsia="仿宋" w:cs="仿宋"/>
                <w:sz w:val="24"/>
                <w:szCs w:val="24"/>
                <w:highlight w:val="none"/>
              </w:rPr>
            </w:pPr>
            <w:r>
              <w:rPr>
                <w:rFonts w:hint="eastAsia" w:ascii="仿宋" w:hAnsi="仿宋" w:eastAsia="仿宋" w:cs="仿宋"/>
                <w:sz w:val="24"/>
                <w:szCs w:val="24"/>
                <w:highlight w:val="none"/>
              </w:rPr>
              <w:t>电  话</w:t>
            </w:r>
          </w:p>
        </w:tc>
        <w:tc>
          <w:tcPr>
            <w:tcW w:w="2627" w:type="dxa"/>
            <w:gridSpan w:val="2"/>
            <w:vAlign w:val="center"/>
          </w:tcPr>
          <w:p w14:paraId="6936077B">
            <w:pPr>
              <w:jc w:val="center"/>
              <w:rPr>
                <w:rFonts w:ascii="仿宋" w:hAnsi="仿宋" w:eastAsia="仿宋" w:cs="仿宋"/>
                <w:sz w:val="24"/>
                <w:szCs w:val="24"/>
                <w:highlight w:val="none"/>
              </w:rPr>
            </w:pPr>
          </w:p>
        </w:tc>
      </w:tr>
      <w:tr w14:paraId="571F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14:paraId="354F0D9D">
            <w:pPr>
              <w:jc w:val="center"/>
              <w:rPr>
                <w:rFonts w:ascii="仿宋" w:hAnsi="仿宋" w:eastAsia="仿宋" w:cs="仿宋"/>
                <w:sz w:val="24"/>
                <w:szCs w:val="24"/>
                <w:highlight w:val="none"/>
              </w:rPr>
            </w:pPr>
          </w:p>
        </w:tc>
        <w:tc>
          <w:tcPr>
            <w:tcW w:w="1350" w:type="dxa"/>
            <w:vAlign w:val="center"/>
          </w:tcPr>
          <w:p w14:paraId="77DD47B4">
            <w:pPr>
              <w:jc w:val="center"/>
              <w:rPr>
                <w:rFonts w:ascii="仿宋" w:hAnsi="仿宋" w:eastAsia="仿宋" w:cs="仿宋"/>
                <w:sz w:val="24"/>
                <w:szCs w:val="24"/>
                <w:highlight w:val="none"/>
              </w:rPr>
            </w:pPr>
            <w:r>
              <w:rPr>
                <w:rFonts w:hint="eastAsia" w:ascii="仿宋" w:hAnsi="仿宋" w:eastAsia="仿宋" w:cs="仿宋"/>
                <w:sz w:val="24"/>
                <w:szCs w:val="24"/>
                <w:highlight w:val="none"/>
              </w:rPr>
              <w:t>传  真</w:t>
            </w:r>
          </w:p>
        </w:tc>
        <w:tc>
          <w:tcPr>
            <w:tcW w:w="2544" w:type="dxa"/>
            <w:gridSpan w:val="2"/>
            <w:vAlign w:val="center"/>
          </w:tcPr>
          <w:p w14:paraId="295F5E23">
            <w:pPr>
              <w:jc w:val="center"/>
              <w:rPr>
                <w:rFonts w:ascii="仿宋" w:hAnsi="仿宋" w:eastAsia="仿宋" w:cs="仿宋"/>
                <w:sz w:val="24"/>
                <w:szCs w:val="24"/>
                <w:highlight w:val="none"/>
              </w:rPr>
            </w:pPr>
          </w:p>
        </w:tc>
        <w:tc>
          <w:tcPr>
            <w:tcW w:w="1426" w:type="dxa"/>
            <w:vAlign w:val="center"/>
          </w:tcPr>
          <w:p w14:paraId="777F0DE7">
            <w:pPr>
              <w:jc w:val="center"/>
              <w:rPr>
                <w:rFonts w:ascii="仿宋" w:hAnsi="仿宋" w:eastAsia="仿宋" w:cs="仿宋"/>
                <w:sz w:val="24"/>
                <w:szCs w:val="24"/>
                <w:highlight w:val="none"/>
              </w:rPr>
            </w:pPr>
            <w:r>
              <w:rPr>
                <w:rFonts w:hint="eastAsia" w:ascii="仿宋" w:hAnsi="仿宋" w:eastAsia="仿宋" w:cs="仿宋"/>
                <w:sz w:val="24"/>
                <w:szCs w:val="24"/>
                <w:highlight w:val="none"/>
              </w:rPr>
              <w:t>网  址</w:t>
            </w:r>
          </w:p>
        </w:tc>
        <w:tc>
          <w:tcPr>
            <w:tcW w:w="2627" w:type="dxa"/>
            <w:gridSpan w:val="2"/>
            <w:vAlign w:val="center"/>
          </w:tcPr>
          <w:p w14:paraId="5C894A37">
            <w:pPr>
              <w:jc w:val="center"/>
              <w:rPr>
                <w:rFonts w:ascii="仿宋" w:hAnsi="仿宋" w:eastAsia="仿宋" w:cs="仿宋"/>
                <w:sz w:val="24"/>
                <w:szCs w:val="24"/>
                <w:highlight w:val="none"/>
              </w:rPr>
            </w:pPr>
          </w:p>
        </w:tc>
      </w:tr>
      <w:tr w14:paraId="2E13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A300F3B">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350" w:type="dxa"/>
            <w:vAlign w:val="center"/>
          </w:tcPr>
          <w:p w14:paraId="04C05A06">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138" w:type="dxa"/>
            <w:vAlign w:val="center"/>
          </w:tcPr>
          <w:p w14:paraId="54333C2D">
            <w:pPr>
              <w:jc w:val="center"/>
              <w:rPr>
                <w:rFonts w:ascii="仿宋" w:hAnsi="仿宋" w:eastAsia="仿宋" w:cs="仿宋"/>
                <w:sz w:val="24"/>
                <w:szCs w:val="24"/>
                <w:highlight w:val="none"/>
              </w:rPr>
            </w:pPr>
          </w:p>
        </w:tc>
        <w:tc>
          <w:tcPr>
            <w:tcW w:w="1406" w:type="dxa"/>
            <w:vAlign w:val="center"/>
          </w:tcPr>
          <w:p w14:paraId="47664235">
            <w:pPr>
              <w:jc w:val="center"/>
              <w:rPr>
                <w:rFonts w:ascii="仿宋" w:hAnsi="仿宋" w:eastAsia="仿宋" w:cs="仿宋"/>
                <w:sz w:val="24"/>
                <w:szCs w:val="24"/>
                <w:highlight w:val="none"/>
              </w:rPr>
            </w:pPr>
            <w:r>
              <w:rPr>
                <w:rFonts w:hint="eastAsia" w:ascii="仿宋" w:hAnsi="仿宋" w:eastAsia="仿宋" w:cs="仿宋"/>
                <w:sz w:val="24"/>
                <w:szCs w:val="24"/>
                <w:highlight w:val="none"/>
              </w:rPr>
              <w:t>技术职称</w:t>
            </w:r>
          </w:p>
        </w:tc>
        <w:tc>
          <w:tcPr>
            <w:tcW w:w="1426" w:type="dxa"/>
            <w:vAlign w:val="center"/>
          </w:tcPr>
          <w:p w14:paraId="60B6F41A">
            <w:pPr>
              <w:jc w:val="center"/>
              <w:rPr>
                <w:rFonts w:ascii="仿宋" w:hAnsi="仿宋" w:eastAsia="仿宋" w:cs="仿宋"/>
                <w:sz w:val="24"/>
                <w:szCs w:val="24"/>
                <w:highlight w:val="none"/>
              </w:rPr>
            </w:pPr>
          </w:p>
        </w:tc>
        <w:tc>
          <w:tcPr>
            <w:tcW w:w="1059" w:type="dxa"/>
            <w:vAlign w:val="center"/>
          </w:tcPr>
          <w:p w14:paraId="41A191FC">
            <w:pPr>
              <w:jc w:val="center"/>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1568" w:type="dxa"/>
            <w:vAlign w:val="center"/>
          </w:tcPr>
          <w:p w14:paraId="255926E9">
            <w:pPr>
              <w:jc w:val="center"/>
              <w:rPr>
                <w:rFonts w:ascii="仿宋" w:hAnsi="仿宋" w:eastAsia="仿宋" w:cs="仿宋"/>
                <w:sz w:val="24"/>
                <w:szCs w:val="24"/>
                <w:highlight w:val="none"/>
              </w:rPr>
            </w:pPr>
          </w:p>
        </w:tc>
      </w:tr>
      <w:tr w14:paraId="2D45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7905EC6D">
            <w:pPr>
              <w:jc w:val="center"/>
              <w:rPr>
                <w:rFonts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7947" w:type="dxa"/>
            <w:gridSpan w:val="6"/>
            <w:vAlign w:val="center"/>
          </w:tcPr>
          <w:p w14:paraId="3EA69462">
            <w:pPr>
              <w:jc w:val="center"/>
              <w:rPr>
                <w:rFonts w:ascii="仿宋" w:hAnsi="仿宋" w:eastAsia="仿宋" w:cs="仿宋"/>
                <w:sz w:val="24"/>
                <w:szCs w:val="24"/>
                <w:highlight w:val="none"/>
              </w:rPr>
            </w:pPr>
          </w:p>
        </w:tc>
      </w:tr>
      <w:tr w14:paraId="4B12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7928BB65">
            <w:pPr>
              <w:jc w:val="center"/>
              <w:rPr>
                <w:rFonts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488" w:type="dxa"/>
            <w:gridSpan w:val="2"/>
            <w:vAlign w:val="center"/>
          </w:tcPr>
          <w:p w14:paraId="3ACC2DC8">
            <w:pPr>
              <w:jc w:val="center"/>
              <w:rPr>
                <w:rFonts w:ascii="仿宋" w:hAnsi="仿宋" w:eastAsia="仿宋" w:cs="仿宋"/>
                <w:sz w:val="24"/>
                <w:szCs w:val="24"/>
                <w:highlight w:val="none"/>
              </w:rPr>
            </w:pPr>
          </w:p>
        </w:tc>
        <w:tc>
          <w:tcPr>
            <w:tcW w:w="1406" w:type="dxa"/>
            <w:vMerge w:val="restart"/>
            <w:vAlign w:val="center"/>
          </w:tcPr>
          <w:p w14:paraId="6B234DF1">
            <w:pPr>
              <w:jc w:val="center"/>
              <w:rPr>
                <w:rFonts w:ascii="仿宋" w:hAnsi="仿宋" w:eastAsia="仿宋" w:cs="仿宋"/>
                <w:sz w:val="24"/>
                <w:szCs w:val="24"/>
                <w:highlight w:val="none"/>
              </w:rPr>
            </w:pPr>
            <w:r>
              <w:rPr>
                <w:rFonts w:hint="eastAsia" w:ascii="仿宋" w:hAnsi="仿宋" w:eastAsia="仿宋" w:cs="仿宋"/>
                <w:sz w:val="24"/>
                <w:szCs w:val="24"/>
                <w:highlight w:val="none"/>
              </w:rPr>
              <w:t>企业人员</w:t>
            </w:r>
          </w:p>
        </w:tc>
        <w:tc>
          <w:tcPr>
            <w:tcW w:w="1426" w:type="dxa"/>
            <w:vAlign w:val="center"/>
          </w:tcPr>
          <w:p w14:paraId="412E4CE5">
            <w:pPr>
              <w:jc w:val="center"/>
              <w:rPr>
                <w:rFonts w:ascii="仿宋" w:hAnsi="仿宋" w:eastAsia="仿宋" w:cs="仿宋"/>
                <w:sz w:val="24"/>
                <w:szCs w:val="24"/>
                <w:highlight w:val="none"/>
              </w:rPr>
            </w:pPr>
          </w:p>
        </w:tc>
        <w:tc>
          <w:tcPr>
            <w:tcW w:w="2627" w:type="dxa"/>
            <w:gridSpan w:val="2"/>
            <w:vAlign w:val="center"/>
          </w:tcPr>
          <w:p w14:paraId="7C4ACCB2">
            <w:pPr>
              <w:jc w:val="center"/>
              <w:rPr>
                <w:rFonts w:ascii="仿宋" w:hAnsi="仿宋" w:eastAsia="仿宋" w:cs="仿宋"/>
                <w:sz w:val="24"/>
                <w:szCs w:val="24"/>
                <w:highlight w:val="none"/>
              </w:rPr>
            </w:pPr>
          </w:p>
        </w:tc>
      </w:tr>
      <w:tr w14:paraId="2142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2EDAD58">
            <w:pPr>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488" w:type="dxa"/>
            <w:gridSpan w:val="2"/>
            <w:vAlign w:val="center"/>
          </w:tcPr>
          <w:p w14:paraId="1B927201">
            <w:pPr>
              <w:jc w:val="center"/>
              <w:rPr>
                <w:rFonts w:ascii="仿宋" w:hAnsi="仿宋" w:eastAsia="仿宋" w:cs="仿宋"/>
                <w:sz w:val="24"/>
                <w:szCs w:val="24"/>
                <w:highlight w:val="none"/>
              </w:rPr>
            </w:pPr>
          </w:p>
        </w:tc>
        <w:tc>
          <w:tcPr>
            <w:tcW w:w="1406" w:type="dxa"/>
            <w:vMerge w:val="continue"/>
            <w:vAlign w:val="center"/>
          </w:tcPr>
          <w:p w14:paraId="6B1C8B74">
            <w:pPr>
              <w:jc w:val="center"/>
              <w:rPr>
                <w:rFonts w:ascii="仿宋" w:hAnsi="仿宋" w:eastAsia="仿宋" w:cs="仿宋"/>
                <w:sz w:val="24"/>
                <w:szCs w:val="24"/>
                <w:highlight w:val="none"/>
              </w:rPr>
            </w:pPr>
          </w:p>
        </w:tc>
        <w:tc>
          <w:tcPr>
            <w:tcW w:w="1426" w:type="dxa"/>
            <w:vAlign w:val="center"/>
          </w:tcPr>
          <w:p w14:paraId="0E13EE27">
            <w:pPr>
              <w:jc w:val="center"/>
              <w:rPr>
                <w:rFonts w:ascii="仿宋" w:hAnsi="仿宋" w:eastAsia="仿宋" w:cs="仿宋"/>
                <w:sz w:val="24"/>
                <w:szCs w:val="24"/>
                <w:highlight w:val="none"/>
              </w:rPr>
            </w:pPr>
          </w:p>
        </w:tc>
        <w:tc>
          <w:tcPr>
            <w:tcW w:w="2627" w:type="dxa"/>
            <w:gridSpan w:val="2"/>
            <w:vAlign w:val="center"/>
          </w:tcPr>
          <w:p w14:paraId="3791D032">
            <w:pPr>
              <w:jc w:val="center"/>
              <w:rPr>
                <w:rFonts w:ascii="仿宋" w:hAnsi="仿宋" w:eastAsia="仿宋" w:cs="仿宋"/>
                <w:sz w:val="24"/>
                <w:szCs w:val="24"/>
                <w:highlight w:val="none"/>
              </w:rPr>
            </w:pPr>
          </w:p>
        </w:tc>
      </w:tr>
      <w:tr w14:paraId="67FB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38CE93B1">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488" w:type="dxa"/>
            <w:gridSpan w:val="2"/>
            <w:vAlign w:val="center"/>
          </w:tcPr>
          <w:p w14:paraId="1EB66857">
            <w:pPr>
              <w:jc w:val="center"/>
              <w:rPr>
                <w:rFonts w:ascii="仿宋" w:hAnsi="仿宋" w:eastAsia="仿宋" w:cs="仿宋"/>
                <w:sz w:val="24"/>
                <w:szCs w:val="24"/>
                <w:highlight w:val="none"/>
              </w:rPr>
            </w:pPr>
          </w:p>
        </w:tc>
        <w:tc>
          <w:tcPr>
            <w:tcW w:w="1406" w:type="dxa"/>
            <w:vMerge w:val="continue"/>
            <w:vAlign w:val="center"/>
          </w:tcPr>
          <w:p w14:paraId="5AFD6595">
            <w:pPr>
              <w:jc w:val="center"/>
              <w:rPr>
                <w:rFonts w:ascii="仿宋" w:hAnsi="仿宋" w:eastAsia="仿宋" w:cs="仿宋"/>
                <w:sz w:val="24"/>
                <w:szCs w:val="24"/>
                <w:highlight w:val="none"/>
              </w:rPr>
            </w:pPr>
          </w:p>
        </w:tc>
        <w:tc>
          <w:tcPr>
            <w:tcW w:w="1426" w:type="dxa"/>
            <w:vAlign w:val="center"/>
          </w:tcPr>
          <w:p w14:paraId="44650FEA">
            <w:pPr>
              <w:jc w:val="center"/>
              <w:rPr>
                <w:rFonts w:ascii="仿宋" w:hAnsi="仿宋" w:eastAsia="仿宋" w:cs="仿宋"/>
                <w:sz w:val="24"/>
                <w:szCs w:val="24"/>
                <w:highlight w:val="none"/>
              </w:rPr>
            </w:pPr>
          </w:p>
        </w:tc>
        <w:tc>
          <w:tcPr>
            <w:tcW w:w="2627" w:type="dxa"/>
            <w:gridSpan w:val="2"/>
            <w:vAlign w:val="center"/>
          </w:tcPr>
          <w:p w14:paraId="0D443F87">
            <w:pPr>
              <w:jc w:val="center"/>
              <w:rPr>
                <w:rFonts w:ascii="仿宋" w:hAnsi="仿宋" w:eastAsia="仿宋" w:cs="仿宋"/>
                <w:sz w:val="24"/>
                <w:szCs w:val="24"/>
                <w:highlight w:val="none"/>
              </w:rPr>
            </w:pPr>
          </w:p>
        </w:tc>
      </w:tr>
      <w:tr w14:paraId="008C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32E22549">
            <w:pPr>
              <w:jc w:val="center"/>
              <w:rPr>
                <w:rFonts w:ascii="仿宋" w:hAnsi="仿宋" w:eastAsia="仿宋" w:cs="仿宋"/>
                <w:sz w:val="24"/>
                <w:szCs w:val="24"/>
                <w:highlight w:val="none"/>
              </w:rPr>
            </w:pPr>
            <w:r>
              <w:rPr>
                <w:rFonts w:hint="eastAsia" w:ascii="仿宋" w:hAnsi="仿宋" w:eastAsia="仿宋" w:cs="仿宋"/>
                <w:sz w:val="24"/>
                <w:szCs w:val="24"/>
                <w:highlight w:val="none"/>
              </w:rPr>
              <w:t>账   号</w:t>
            </w:r>
          </w:p>
        </w:tc>
        <w:tc>
          <w:tcPr>
            <w:tcW w:w="2488" w:type="dxa"/>
            <w:gridSpan w:val="2"/>
            <w:vAlign w:val="center"/>
          </w:tcPr>
          <w:p w14:paraId="6BED0F30">
            <w:pPr>
              <w:jc w:val="center"/>
              <w:rPr>
                <w:rFonts w:ascii="仿宋" w:hAnsi="仿宋" w:eastAsia="仿宋" w:cs="仿宋"/>
                <w:sz w:val="24"/>
                <w:szCs w:val="24"/>
                <w:highlight w:val="none"/>
              </w:rPr>
            </w:pPr>
          </w:p>
        </w:tc>
        <w:tc>
          <w:tcPr>
            <w:tcW w:w="1406" w:type="dxa"/>
            <w:vMerge w:val="continue"/>
            <w:vAlign w:val="center"/>
          </w:tcPr>
          <w:p w14:paraId="5E991B8C">
            <w:pPr>
              <w:jc w:val="center"/>
              <w:rPr>
                <w:rFonts w:ascii="仿宋" w:hAnsi="仿宋" w:eastAsia="仿宋" w:cs="仿宋"/>
                <w:sz w:val="24"/>
                <w:szCs w:val="24"/>
                <w:highlight w:val="none"/>
              </w:rPr>
            </w:pPr>
          </w:p>
        </w:tc>
        <w:tc>
          <w:tcPr>
            <w:tcW w:w="1426" w:type="dxa"/>
            <w:vAlign w:val="center"/>
          </w:tcPr>
          <w:p w14:paraId="00077829">
            <w:pPr>
              <w:jc w:val="center"/>
              <w:rPr>
                <w:rFonts w:ascii="仿宋" w:hAnsi="仿宋" w:eastAsia="仿宋" w:cs="仿宋"/>
                <w:sz w:val="24"/>
                <w:szCs w:val="24"/>
                <w:highlight w:val="none"/>
              </w:rPr>
            </w:pPr>
          </w:p>
        </w:tc>
        <w:tc>
          <w:tcPr>
            <w:tcW w:w="2627" w:type="dxa"/>
            <w:gridSpan w:val="2"/>
            <w:vAlign w:val="center"/>
          </w:tcPr>
          <w:p w14:paraId="6E28A7B1">
            <w:pPr>
              <w:jc w:val="center"/>
              <w:rPr>
                <w:rFonts w:ascii="仿宋" w:hAnsi="仿宋" w:eastAsia="仿宋" w:cs="仿宋"/>
                <w:sz w:val="24"/>
                <w:szCs w:val="24"/>
                <w:highlight w:val="none"/>
              </w:rPr>
            </w:pPr>
          </w:p>
        </w:tc>
      </w:tr>
      <w:tr w14:paraId="5774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14:paraId="3599D337">
            <w:pPr>
              <w:jc w:val="center"/>
              <w:rPr>
                <w:rFonts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7947" w:type="dxa"/>
            <w:gridSpan w:val="6"/>
            <w:vAlign w:val="center"/>
          </w:tcPr>
          <w:p w14:paraId="34B05F8D">
            <w:pPr>
              <w:rPr>
                <w:rFonts w:ascii="仿宋" w:hAnsi="仿宋" w:eastAsia="仿宋" w:cs="仿宋"/>
                <w:sz w:val="24"/>
                <w:szCs w:val="24"/>
                <w:highlight w:val="none"/>
              </w:rPr>
            </w:pPr>
          </w:p>
        </w:tc>
      </w:tr>
      <w:tr w14:paraId="2EA4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14:paraId="79ED22ED">
            <w:pPr>
              <w:jc w:val="center"/>
              <w:rPr>
                <w:rFonts w:ascii="仿宋" w:hAnsi="仿宋" w:eastAsia="仿宋" w:cs="仿宋"/>
                <w:sz w:val="24"/>
                <w:szCs w:val="24"/>
                <w:highlight w:val="none"/>
              </w:rPr>
            </w:pPr>
            <w:r>
              <w:rPr>
                <w:rFonts w:hint="eastAsia" w:ascii="仿宋" w:hAnsi="仿宋" w:eastAsia="仿宋" w:cs="仿宋"/>
                <w:sz w:val="24"/>
                <w:szCs w:val="24"/>
                <w:highlight w:val="none"/>
              </w:rPr>
              <w:t>备   注</w:t>
            </w:r>
          </w:p>
        </w:tc>
        <w:tc>
          <w:tcPr>
            <w:tcW w:w="7947" w:type="dxa"/>
            <w:gridSpan w:val="6"/>
            <w:vAlign w:val="center"/>
          </w:tcPr>
          <w:p w14:paraId="657862E4">
            <w:pPr>
              <w:rPr>
                <w:rFonts w:ascii="仿宋" w:hAnsi="仿宋" w:eastAsia="仿宋" w:cs="仿宋"/>
                <w:sz w:val="24"/>
                <w:szCs w:val="24"/>
                <w:highlight w:val="none"/>
              </w:rPr>
            </w:pPr>
          </w:p>
        </w:tc>
      </w:tr>
    </w:tbl>
    <w:p w14:paraId="3FA3C157">
      <w:pPr>
        <w:spacing w:beforeLines="50"/>
        <w:rPr>
          <w:rFonts w:ascii="仿宋" w:hAnsi="仿宋" w:eastAsia="仿宋" w:cs="仿宋"/>
          <w:b/>
          <w:bCs/>
          <w:sz w:val="24"/>
          <w:szCs w:val="24"/>
          <w:highlight w:val="none"/>
        </w:rPr>
      </w:pPr>
      <w:r>
        <w:rPr>
          <w:rFonts w:hint="eastAsia" w:ascii="仿宋" w:hAnsi="仿宋" w:eastAsia="仿宋" w:cs="仿宋"/>
          <w:b/>
          <w:bCs/>
          <w:sz w:val="24"/>
          <w:szCs w:val="24"/>
          <w:highlight w:val="none"/>
        </w:rPr>
        <w:t>注：本表后应附企业法人营业执照副本、开户许可证等相关材料的复印件。（投标人可根据本表自行编制）</w:t>
      </w:r>
    </w:p>
    <w:p w14:paraId="248B2296">
      <w:pPr>
        <w:spacing w:before="100" w:beforeAutospacing="1" w:after="100" w:afterAutospacing="1" w:line="440" w:lineRule="exact"/>
        <w:jc w:val="both"/>
        <w:rPr>
          <w:rFonts w:ascii="仿宋" w:hAnsi="仿宋" w:eastAsia="仿宋" w:cs="仿宋"/>
          <w:kern w:val="1"/>
          <w:sz w:val="24"/>
          <w:szCs w:val="24"/>
          <w:highlight w:val="none"/>
        </w:rPr>
      </w:pPr>
      <w:r>
        <w:rPr>
          <w:rFonts w:ascii="仿宋" w:hAnsi="仿宋" w:eastAsia="仿宋" w:cs="仿宋"/>
          <w:kern w:val="1"/>
          <w:sz w:val="24"/>
          <w:szCs w:val="24"/>
          <w:highlight w:val="none"/>
        </w:rPr>
        <w:br w:type="page"/>
      </w:r>
    </w:p>
    <w:p w14:paraId="52A16350">
      <w:pPr>
        <w:spacing w:before="100" w:beforeAutospacing="1" w:after="100" w:afterAutospacing="1" w:line="440" w:lineRule="exact"/>
        <w:jc w:val="center"/>
        <w:outlineLvl w:val="9"/>
        <w:rPr>
          <w:rFonts w:hint="default" w:ascii="仿宋" w:hAnsi="仿宋" w:eastAsia="仿宋" w:cs="仿宋"/>
          <w:b/>
          <w:bCs/>
          <w:kern w:val="1"/>
          <w:sz w:val="28"/>
          <w:szCs w:val="28"/>
          <w:highlight w:val="none"/>
          <w:lang w:val="en-US" w:eastAsia="zh-CN"/>
        </w:rPr>
      </w:pPr>
      <w:r>
        <w:rPr>
          <w:rFonts w:hint="eastAsia" w:ascii="仿宋" w:hAnsi="仿宋" w:eastAsia="仿宋" w:cs="仿宋"/>
          <w:b/>
          <w:bCs/>
          <w:kern w:val="1"/>
          <w:sz w:val="28"/>
          <w:szCs w:val="28"/>
          <w:highlight w:val="none"/>
          <w:lang w:val="en-US" w:eastAsia="zh-CN"/>
        </w:rPr>
        <w:t>七</w:t>
      </w:r>
      <w:r>
        <w:rPr>
          <w:rFonts w:hint="eastAsia" w:ascii="仿宋" w:hAnsi="仿宋" w:eastAsia="仿宋" w:cs="仿宋"/>
          <w:b/>
          <w:bCs/>
          <w:kern w:val="1"/>
          <w:sz w:val="28"/>
          <w:szCs w:val="28"/>
          <w:highlight w:val="none"/>
        </w:rPr>
        <w:t>、</w:t>
      </w:r>
      <w:r>
        <w:rPr>
          <w:rFonts w:hint="eastAsia" w:ascii="仿宋" w:hAnsi="仿宋" w:eastAsia="仿宋" w:cs="仿宋"/>
          <w:b/>
          <w:bCs/>
          <w:kern w:val="1"/>
          <w:sz w:val="28"/>
          <w:szCs w:val="28"/>
          <w:highlight w:val="none"/>
          <w:lang w:val="en-US" w:eastAsia="zh-CN"/>
        </w:rPr>
        <w:t>完税证明和社保缴纳证明</w:t>
      </w:r>
    </w:p>
    <w:p w14:paraId="6E60D70E">
      <w:pPr>
        <w:spacing w:before="100" w:beforeAutospacing="1" w:after="100" w:afterAutospacing="1" w:line="440" w:lineRule="exact"/>
        <w:jc w:val="center"/>
        <w:rPr>
          <w:rFonts w:hint="eastAsia" w:ascii="仿宋" w:hAnsi="仿宋" w:eastAsia="仿宋" w:cs="仿宋"/>
          <w:kern w:val="1"/>
          <w:sz w:val="28"/>
          <w:szCs w:val="28"/>
          <w:highlight w:val="none"/>
        </w:rPr>
      </w:pPr>
    </w:p>
    <w:p w14:paraId="1E4E139D">
      <w:pPr>
        <w:spacing w:before="100" w:beforeAutospacing="1" w:after="100" w:afterAutospacing="1" w:line="440" w:lineRule="exact"/>
        <w:jc w:val="center"/>
        <w:rPr>
          <w:rFonts w:hint="eastAsia" w:ascii="仿宋" w:hAnsi="仿宋" w:eastAsia="仿宋" w:cs="仿宋"/>
          <w:kern w:val="1"/>
          <w:sz w:val="28"/>
          <w:szCs w:val="28"/>
          <w:highlight w:val="none"/>
        </w:rPr>
      </w:pPr>
    </w:p>
    <w:p w14:paraId="01C1F6E4">
      <w:pPr>
        <w:spacing w:before="100" w:beforeAutospacing="1" w:after="100" w:afterAutospacing="1" w:line="440" w:lineRule="exact"/>
        <w:jc w:val="center"/>
        <w:rPr>
          <w:rFonts w:hint="eastAsia" w:ascii="仿宋" w:hAnsi="仿宋" w:eastAsia="仿宋" w:cs="仿宋"/>
          <w:kern w:val="1"/>
          <w:sz w:val="28"/>
          <w:szCs w:val="28"/>
          <w:highlight w:val="none"/>
        </w:rPr>
      </w:pPr>
    </w:p>
    <w:p w14:paraId="22915320">
      <w:pPr>
        <w:spacing w:before="100" w:beforeAutospacing="1" w:after="100" w:afterAutospacing="1" w:line="440" w:lineRule="exact"/>
        <w:jc w:val="center"/>
        <w:rPr>
          <w:rFonts w:hint="eastAsia" w:ascii="仿宋" w:hAnsi="仿宋" w:eastAsia="仿宋" w:cs="仿宋"/>
          <w:kern w:val="1"/>
          <w:sz w:val="28"/>
          <w:szCs w:val="28"/>
          <w:highlight w:val="none"/>
        </w:rPr>
      </w:pPr>
    </w:p>
    <w:p w14:paraId="6CF48D81">
      <w:pPr>
        <w:spacing w:before="100" w:beforeAutospacing="1" w:after="100" w:afterAutospacing="1" w:line="440" w:lineRule="exact"/>
        <w:jc w:val="center"/>
        <w:rPr>
          <w:rFonts w:hint="eastAsia" w:ascii="仿宋" w:hAnsi="仿宋" w:eastAsia="仿宋" w:cs="仿宋"/>
          <w:kern w:val="1"/>
          <w:sz w:val="28"/>
          <w:szCs w:val="28"/>
          <w:highlight w:val="none"/>
        </w:rPr>
      </w:pPr>
    </w:p>
    <w:p w14:paraId="00B68914">
      <w:pPr>
        <w:spacing w:before="100" w:beforeAutospacing="1" w:after="100" w:afterAutospacing="1" w:line="440" w:lineRule="exact"/>
        <w:jc w:val="center"/>
        <w:rPr>
          <w:rFonts w:hint="eastAsia" w:ascii="仿宋" w:hAnsi="仿宋" w:eastAsia="仿宋" w:cs="仿宋"/>
          <w:kern w:val="1"/>
          <w:sz w:val="28"/>
          <w:szCs w:val="28"/>
          <w:highlight w:val="none"/>
        </w:rPr>
      </w:pPr>
    </w:p>
    <w:p w14:paraId="03089614">
      <w:pPr>
        <w:spacing w:before="100" w:beforeAutospacing="1" w:after="100" w:afterAutospacing="1" w:line="440" w:lineRule="exact"/>
        <w:jc w:val="center"/>
        <w:rPr>
          <w:rFonts w:hint="eastAsia" w:ascii="仿宋" w:hAnsi="仿宋" w:eastAsia="仿宋" w:cs="仿宋"/>
          <w:kern w:val="1"/>
          <w:sz w:val="28"/>
          <w:szCs w:val="28"/>
          <w:highlight w:val="none"/>
        </w:rPr>
      </w:pPr>
    </w:p>
    <w:p w14:paraId="19C61317">
      <w:pPr>
        <w:spacing w:before="100" w:beforeAutospacing="1" w:after="100" w:afterAutospacing="1" w:line="440" w:lineRule="exact"/>
        <w:jc w:val="center"/>
        <w:rPr>
          <w:rFonts w:hint="eastAsia" w:ascii="仿宋" w:hAnsi="仿宋" w:eastAsia="仿宋" w:cs="仿宋"/>
          <w:kern w:val="1"/>
          <w:sz w:val="28"/>
          <w:szCs w:val="28"/>
          <w:highlight w:val="none"/>
        </w:rPr>
      </w:pPr>
    </w:p>
    <w:p w14:paraId="488189B2">
      <w:pPr>
        <w:spacing w:before="100" w:beforeAutospacing="1" w:after="100" w:afterAutospacing="1" w:line="440" w:lineRule="exact"/>
        <w:jc w:val="center"/>
        <w:rPr>
          <w:rFonts w:hint="eastAsia" w:ascii="仿宋" w:hAnsi="仿宋" w:eastAsia="仿宋" w:cs="仿宋"/>
          <w:kern w:val="1"/>
          <w:sz w:val="28"/>
          <w:szCs w:val="28"/>
          <w:highlight w:val="none"/>
        </w:rPr>
      </w:pPr>
    </w:p>
    <w:p w14:paraId="3DE6DA3D">
      <w:pPr>
        <w:spacing w:before="100" w:beforeAutospacing="1" w:after="100" w:afterAutospacing="1" w:line="440" w:lineRule="exact"/>
        <w:jc w:val="center"/>
        <w:rPr>
          <w:rFonts w:hint="eastAsia" w:ascii="仿宋" w:hAnsi="仿宋" w:eastAsia="仿宋" w:cs="仿宋"/>
          <w:kern w:val="1"/>
          <w:sz w:val="28"/>
          <w:szCs w:val="28"/>
          <w:highlight w:val="none"/>
        </w:rPr>
      </w:pPr>
    </w:p>
    <w:p w14:paraId="71549F99">
      <w:pPr>
        <w:spacing w:before="100" w:beforeAutospacing="1" w:after="100" w:afterAutospacing="1" w:line="440" w:lineRule="exact"/>
        <w:jc w:val="center"/>
        <w:rPr>
          <w:rFonts w:hint="eastAsia" w:ascii="仿宋" w:hAnsi="仿宋" w:eastAsia="仿宋" w:cs="仿宋"/>
          <w:kern w:val="1"/>
          <w:sz w:val="28"/>
          <w:szCs w:val="28"/>
          <w:highlight w:val="none"/>
        </w:rPr>
      </w:pPr>
    </w:p>
    <w:p w14:paraId="6BCCD7EB">
      <w:pPr>
        <w:spacing w:before="100" w:beforeAutospacing="1" w:after="100" w:afterAutospacing="1" w:line="440" w:lineRule="exact"/>
        <w:jc w:val="center"/>
        <w:rPr>
          <w:rFonts w:hint="eastAsia" w:ascii="仿宋" w:hAnsi="仿宋" w:eastAsia="仿宋" w:cs="仿宋"/>
          <w:kern w:val="1"/>
          <w:sz w:val="28"/>
          <w:szCs w:val="28"/>
          <w:highlight w:val="none"/>
        </w:rPr>
      </w:pPr>
    </w:p>
    <w:p w14:paraId="66104F18">
      <w:pPr>
        <w:spacing w:before="100" w:beforeAutospacing="1" w:after="100" w:afterAutospacing="1" w:line="440" w:lineRule="exact"/>
        <w:jc w:val="center"/>
        <w:rPr>
          <w:rFonts w:hint="eastAsia" w:ascii="仿宋" w:hAnsi="仿宋" w:eastAsia="仿宋" w:cs="仿宋"/>
          <w:kern w:val="1"/>
          <w:sz w:val="28"/>
          <w:szCs w:val="28"/>
          <w:highlight w:val="none"/>
        </w:rPr>
      </w:pPr>
    </w:p>
    <w:p w14:paraId="1363CBDD">
      <w:pPr>
        <w:spacing w:before="100" w:beforeAutospacing="1" w:after="100" w:afterAutospacing="1" w:line="440" w:lineRule="exact"/>
        <w:jc w:val="center"/>
        <w:rPr>
          <w:rFonts w:hint="eastAsia" w:ascii="仿宋" w:hAnsi="仿宋" w:eastAsia="仿宋" w:cs="仿宋"/>
          <w:kern w:val="1"/>
          <w:sz w:val="28"/>
          <w:szCs w:val="28"/>
          <w:highlight w:val="none"/>
        </w:rPr>
      </w:pPr>
    </w:p>
    <w:p w14:paraId="5004ED47">
      <w:pPr>
        <w:spacing w:before="100" w:beforeAutospacing="1" w:after="100" w:afterAutospacing="1" w:line="440" w:lineRule="exact"/>
        <w:jc w:val="center"/>
        <w:rPr>
          <w:rFonts w:hint="eastAsia" w:ascii="仿宋" w:hAnsi="仿宋" w:eastAsia="仿宋" w:cs="仿宋"/>
          <w:kern w:val="1"/>
          <w:sz w:val="28"/>
          <w:szCs w:val="28"/>
          <w:highlight w:val="none"/>
        </w:rPr>
      </w:pPr>
    </w:p>
    <w:p w14:paraId="581A8A49">
      <w:pPr>
        <w:spacing w:before="100" w:beforeAutospacing="1" w:after="100" w:afterAutospacing="1" w:line="440" w:lineRule="exact"/>
        <w:jc w:val="center"/>
        <w:rPr>
          <w:rFonts w:hint="eastAsia" w:ascii="仿宋" w:hAnsi="仿宋" w:eastAsia="仿宋" w:cs="仿宋"/>
          <w:kern w:val="1"/>
          <w:sz w:val="28"/>
          <w:szCs w:val="28"/>
          <w:highlight w:val="none"/>
        </w:rPr>
      </w:pPr>
    </w:p>
    <w:p w14:paraId="2317BE9C">
      <w:pPr>
        <w:spacing w:before="100" w:beforeAutospacing="1" w:after="100" w:afterAutospacing="1" w:line="440" w:lineRule="exact"/>
        <w:jc w:val="center"/>
        <w:rPr>
          <w:rFonts w:hint="eastAsia" w:ascii="仿宋" w:hAnsi="仿宋" w:eastAsia="仿宋" w:cs="仿宋"/>
          <w:kern w:val="1"/>
          <w:sz w:val="28"/>
          <w:szCs w:val="28"/>
          <w:highlight w:val="none"/>
        </w:rPr>
      </w:pPr>
    </w:p>
    <w:p w14:paraId="1E970A0E">
      <w:pPr>
        <w:spacing w:before="100" w:beforeAutospacing="1" w:after="100" w:afterAutospacing="1" w:line="440" w:lineRule="exact"/>
        <w:jc w:val="center"/>
        <w:rPr>
          <w:rFonts w:hint="eastAsia" w:ascii="仿宋" w:hAnsi="仿宋" w:eastAsia="仿宋" w:cs="仿宋"/>
          <w:kern w:val="1"/>
          <w:sz w:val="28"/>
          <w:szCs w:val="28"/>
          <w:highlight w:val="none"/>
        </w:rPr>
      </w:pPr>
    </w:p>
    <w:p w14:paraId="0A87AD5D">
      <w:pPr>
        <w:spacing w:before="100" w:beforeAutospacing="1" w:after="100" w:afterAutospacing="1" w:line="440" w:lineRule="exact"/>
        <w:jc w:val="center"/>
        <w:rPr>
          <w:rFonts w:ascii="仿宋" w:hAnsi="仿宋" w:eastAsia="仿宋" w:cs="仿宋"/>
          <w:b/>
          <w:bCs/>
          <w:kern w:val="1"/>
          <w:sz w:val="24"/>
          <w:szCs w:val="24"/>
          <w:highlight w:val="none"/>
        </w:rPr>
      </w:pPr>
      <w:r>
        <w:rPr>
          <w:rFonts w:hint="eastAsia" w:ascii="仿宋" w:hAnsi="仿宋" w:eastAsia="仿宋" w:cs="仿宋"/>
          <w:b/>
          <w:bCs/>
          <w:kern w:val="1"/>
          <w:sz w:val="28"/>
          <w:szCs w:val="28"/>
          <w:highlight w:val="none"/>
          <w:lang w:val="en-US" w:eastAsia="zh-CN"/>
        </w:rPr>
        <w:t>八</w:t>
      </w:r>
      <w:r>
        <w:rPr>
          <w:rFonts w:hint="eastAsia" w:ascii="仿宋" w:hAnsi="仿宋" w:eastAsia="仿宋" w:cs="仿宋"/>
          <w:b/>
          <w:bCs/>
          <w:kern w:val="1"/>
          <w:sz w:val="28"/>
          <w:szCs w:val="28"/>
          <w:highlight w:val="none"/>
        </w:rPr>
        <w:t>、财务状况</w:t>
      </w:r>
    </w:p>
    <w:p w14:paraId="311D9270">
      <w:pPr>
        <w:spacing w:before="100" w:beforeAutospacing="1" w:after="100" w:afterAutospacing="1" w:line="440" w:lineRule="exact"/>
        <w:rPr>
          <w:rFonts w:ascii="仿宋" w:hAnsi="仿宋" w:eastAsia="仿宋"/>
          <w:sz w:val="28"/>
          <w:szCs w:val="28"/>
          <w:highlight w:val="none"/>
        </w:rPr>
      </w:pPr>
      <w:r>
        <w:rPr>
          <w:rFonts w:hint="eastAsia" w:ascii="仿宋" w:hAnsi="仿宋" w:eastAsia="仿宋"/>
          <w:sz w:val="28"/>
          <w:szCs w:val="28"/>
          <w:highlight w:val="none"/>
        </w:rPr>
        <w:br w:type="page"/>
      </w:r>
    </w:p>
    <w:p w14:paraId="0992AD63">
      <w:pPr>
        <w:pStyle w:val="2"/>
        <w:widowControl w:val="0"/>
        <w:numPr>
          <w:ilvl w:val="0"/>
          <w:numId w:val="0"/>
        </w:numPr>
        <w:spacing w:after="120" w:line="360" w:lineRule="auto"/>
        <w:jc w:val="center"/>
        <w:rPr>
          <w:rFonts w:hint="default" w:ascii="仿宋" w:hAnsi="仿宋" w:eastAsia="仿宋" w:cs="仿宋"/>
          <w:b/>
          <w:bCs/>
          <w:kern w:val="1"/>
          <w:sz w:val="28"/>
          <w:szCs w:val="28"/>
          <w:highlight w:val="none"/>
          <w:lang w:val="en-US" w:eastAsia="zh-CN" w:bidi="ar-SA"/>
        </w:rPr>
      </w:pPr>
      <w:r>
        <w:rPr>
          <w:rFonts w:hint="eastAsia" w:ascii="仿宋" w:hAnsi="仿宋" w:eastAsia="仿宋" w:cs="仿宋"/>
          <w:b/>
          <w:bCs/>
          <w:kern w:val="1"/>
          <w:sz w:val="28"/>
          <w:szCs w:val="28"/>
          <w:highlight w:val="none"/>
          <w:lang w:val="en-US" w:eastAsia="zh-CN" w:bidi="ar-SA"/>
        </w:rPr>
        <w:t>九、投标保证金缴存凭证</w:t>
      </w:r>
    </w:p>
    <w:p w14:paraId="3CA0197F">
      <w:pPr>
        <w:pStyle w:val="5"/>
        <w:rPr>
          <w:rFonts w:hint="default"/>
          <w:lang w:val="en-US" w:eastAsia="zh-CN"/>
        </w:rPr>
      </w:pPr>
    </w:p>
    <w:p w14:paraId="1AB1EF6D">
      <w:pPr>
        <w:pStyle w:val="10"/>
        <w:rPr>
          <w:rFonts w:hint="default"/>
          <w:lang w:val="en-US" w:eastAsia="zh-CN"/>
        </w:rPr>
      </w:pPr>
    </w:p>
    <w:p w14:paraId="21102C8C">
      <w:pPr>
        <w:rPr>
          <w:rFonts w:hint="default"/>
          <w:lang w:val="en-US" w:eastAsia="zh-CN"/>
        </w:rPr>
      </w:pPr>
    </w:p>
    <w:p w14:paraId="0CB888E7">
      <w:pPr>
        <w:pStyle w:val="2"/>
        <w:rPr>
          <w:rFonts w:hint="default"/>
          <w:lang w:val="en-US" w:eastAsia="zh-CN"/>
        </w:rPr>
      </w:pPr>
    </w:p>
    <w:p w14:paraId="2D832E77">
      <w:pPr>
        <w:pStyle w:val="5"/>
        <w:rPr>
          <w:rFonts w:hint="default"/>
          <w:lang w:val="en-US" w:eastAsia="zh-CN"/>
        </w:rPr>
      </w:pPr>
    </w:p>
    <w:p w14:paraId="3E1558C4">
      <w:pPr>
        <w:pStyle w:val="10"/>
        <w:rPr>
          <w:rFonts w:hint="default"/>
          <w:lang w:val="en-US" w:eastAsia="zh-CN"/>
        </w:rPr>
      </w:pPr>
    </w:p>
    <w:p w14:paraId="7B8F82FF">
      <w:pPr>
        <w:rPr>
          <w:rFonts w:hint="default"/>
          <w:lang w:val="en-US" w:eastAsia="zh-CN"/>
        </w:rPr>
      </w:pPr>
    </w:p>
    <w:p w14:paraId="1EF9B4F6">
      <w:pPr>
        <w:pStyle w:val="2"/>
        <w:rPr>
          <w:rFonts w:hint="default"/>
          <w:lang w:val="en-US" w:eastAsia="zh-CN"/>
        </w:rPr>
      </w:pPr>
    </w:p>
    <w:p w14:paraId="49DD4B96">
      <w:pPr>
        <w:pStyle w:val="5"/>
        <w:rPr>
          <w:rFonts w:hint="default"/>
          <w:lang w:val="en-US" w:eastAsia="zh-CN"/>
        </w:rPr>
      </w:pPr>
    </w:p>
    <w:p w14:paraId="2B63A1AD">
      <w:pPr>
        <w:pStyle w:val="10"/>
        <w:rPr>
          <w:rFonts w:hint="default"/>
          <w:lang w:val="en-US" w:eastAsia="zh-CN"/>
        </w:rPr>
      </w:pPr>
    </w:p>
    <w:p w14:paraId="29FD0D81">
      <w:pPr>
        <w:rPr>
          <w:rFonts w:hint="default"/>
          <w:lang w:val="en-US" w:eastAsia="zh-CN"/>
        </w:rPr>
      </w:pPr>
    </w:p>
    <w:p w14:paraId="678D48D2">
      <w:pPr>
        <w:pStyle w:val="2"/>
        <w:rPr>
          <w:rFonts w:hint="default"/>
          <w:lang w:val="en-US" w:eastAsia="zh-CN"/>
        </w:rPr>
      </w:pPr>
    </w:p>
    <w:p w14:paraId="62E13362">
      <w:pPr>
        <w:pStyle w:val="5"/>
        <w:rPr>
          <w:rFonts w:hint="default"/>
          <w:lang w:val="en-US" w:eastAsia="zh-CN"/>
        </w:rPr>
      </w:pPr>
    </w:p>
    <w:p w14:paraId="2E35615E">
      <w:pPr>
        <w:pStyle w:val="10"/>
        <w:rPr>
          <w:rFonts w:hint="default"/>
          <w:lang w:val="en-US" w:eastAsia="zh-CN"/>
        </w:rPr>
      </w:pPr>
    </w:p>
    <w:p w14:paraId="5420C892">
      <w:pPr>
        <w:rPr>
          <w:rFonts w:hint="default"/>
          <w:lang w:val="en-US" w:eastAsia="zh-CN"/>
        </w:rPr>
      </w:pPr>
    </w:p>
    <w:p w14:paraId="26640A6D">
      <w:pPr>
        <w:pStyle w:val="2"/>
        <w:rPr>
          <w:rFonts w:hint="default"/>
          <w:lang w:val="en-US" w:eastAsia="zh-CN"/>
        </w:rPr>
      </w:pPr>
    </w:p>
    <w:p w14:paraId="5DA1B28E">
      <w:pPr>
        <w:pStyle w:val="5"/>
        <w:rPr>
          <w:rFonts w:hint="default"/>
          <w:lang w:val="en-US" w:eastAsia="zh-CN"/>
        </w:rPr>
      </w:pPr>
    </w:p>
    <w:p w14:paraId="3771A429">
      <w:pPr>
        <w:pStyle w:val="10"/>
        <w:rPr>
          <w:rFonts w:hint="default"/>
          <w:lang w:val="en-US" w:eastAsia="zh-CN"/>
        </w:rPr>
      </w:pPr>
    </w:p>
    <w:p w14:paraId="58331D05">
      <w:pPr>
        <w:rPr>
          <w:rFonts w:hint="default"/>
          <w:lang w:val="en-US" w:eastAsia="zh-CN"/>
        </w:rPr>
      </w:pPr>
    </w:p>
    <w:p w14:paraId="0E751A8B">
      <w:pPr>
        <w:pStyle w:val="2"/>
        <w:rPr>
          <w:rFonts w:hint="default"/>
          <w:lang w:val="en-US" w:eastAsia="zh-CN"/>
        </w:rPr>
      </w:pPr>
    </w:p>
    <w:p w14:paraId="234A25FC">
      <w:pPr>
        <w:pStyle w:val="5"/>
        <w:rPr>
          <w:rFonts w:hint="default"/>
          <w:lang w:val="en-US" w:eastAsia="zh-CN"/>
        </w:rPr>
      </w:pPr>
    </w:p>
    <w:p w14:paraId="7DD65E96">
      <w:pPr>
        <w:pStyle w:val="10"/>
        <w:rPr>
          <w:rFonts w:hint="default"/>
          <w:lang w:val="en-US" w:eastAsia="zh-CN"/>
        </w:rPr>
      </w:pPr>
    </w:p>
    <w:p w14:paraId="7A967114">
      <w:pPr>
        <w:rPr>
          <w:rFonts w:hint="default"/>
          <w:lang w:val="en-US" w:eastAsia="zh-CN"/>
        </w:rPr>
      </w:pPr>
    </w:p>
    <w:p w14:paraId="757A96C9">
      <w:pPr>
        <w:pStyle w:val="2"/>
        <w:rPr>
          <w:rFonts w:hint="default"/>
          <w:lang w:val="en-US" w:eastAsia="zh-CN"/>
        </w:rPr>
      </w:pPr>
    </w:p>
    <w:p w14:paraId="6AA04987">
      <w:pPr>
        <w:pStyle w:val="5"/>
        <w:rPr>
          <w:rFonts w:hint="default"/>
          <w:lang w:val="en-US" w:eastAsia="zh-CN"/>
        </w:rPr>
      </w:pPr>
    </w:p>
    <w:p w14:paraId="74259C6A">
      <w:pPr>
        <w:pStyle w:val="10"/>
        <w:rPr>
          <w:rFonts w:hint="default"/>
          <w:lang w:val="en-US" w:eastAsia="zh-CN"/>
        </w:rPr>
      </w:pPr>
    </w:p>
    <w:p w14:paraId="447CEA21">
      <w:pPr>
        <w:rPr>
          <w:rFonts w:hint="default"/>
          <w:lang w:val="en-US" w:eastAsia="zh-CN"/>
        </w:rPr>
      </w:pPr>
    </w:p>
    <w:p w14:paraId="5654CBDC">
      <w:pPr>
        <w:pStyle w:val="2"/>
        <w:rPr>
          <w:rFonts w:hint="default"/>
          <w:lang w:val="en-US" w:eastAsia="zh-CN"/>
        </w:rPr>
      </w:pPr>
    </w:p>
    <w:p w14:paraId="4F5F8150">
      <w:pPr>
        <w:pStyle w:val="5"/>
        <w:rPr>
          <w:rFonts w:hint="default"/>
          <w:lang w:val="en-US" w:eastAsia="zh-CN"/>
        </w:rPr>
      </w:pPr>
    </w:p>
    <w:p w14:paraId="114164E5">
      <w:pPr>
        <w:pStyle w:val="10"/>
        <w:rPr>
          <w:rFonts w:hint="default"/>
          <w:lang w:val="en-US" w:eastAsia="zh-CN"/>
        </w:rPr>
      </w:pPr>
    </w:p>
    <w:p w14:paraId="5FCA5F89">
      <w:pPr>
        <w:rPr>
          <w:rFonts w:hint="default"/>
          <w:lang w:val="en-US" w:eastAsia="zh-CN"/>
        </w:rPr>
      </w:pPr>
    </w:p>
    <w:p w14:paraId="3E705C48">
      <w:pPr>
        <w:spacing w:before="100" w:beforeAutospacing="1" w:after="100" w:afterAutospacing="1" w:line="440" w:lineRule="exact"/>
        <w:jc w:val="center"/>
        <w:rPr>
          <w:rFonts w:ascii="仿宋" w:hAnsi="仿宋" w:eastAsia="仿宋"/>
          <w:b/>
          <w:bCs/>
          <w:sz w:val="28"/>
          <w:szCs w:val="28"/>
          <w:highlight w:val="none"/>
        </w:rPr>
      </w:pPr>
      <w:r>
        <w:rPr>
          <w:rFonts w:hint="eastAsia" w:ascii="仿宋" w:hAnsi="仿宋" w:eastAsia="仿宋"/>
          <w:b/>
          <w:bCs/>
          <w:sz w:val="28"/>
          <w:szCs w:val="28"/>
          <w:highlight w:val="none"/>
        </w:rPr>
        <w:t>十、在经营活动中没有重大违法记录的书面声明</w:t>
      </w:r>
    </w:p>
    <w:p w14:paraId="4A77368D">
      <w:pPr>
        <w:spacing w:line="440" w:lineRule="exact"/>
        <w:jc w:val="center"/>
        <w:rPr>
          <w:rFonts w:ascii="仿宋" w:hAnsi="仿宋" w:eastAsia="仿宋"/>
          <w:sz w:val="24"/>
          <w:szCs w:val="24"/>
          <w:highlight w:val="none"/>
        </w:rPr>
      </w:pPr>
    </w:p>
    <w:p w14:paraId="73060EB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我方在参加</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（项目名称）政府采购活动前3年内，我方被公开披露或查处的违法违规行为有：</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，但在经营活动中没有重大违法记录（重大违法记录指</w:t>
      </w:r>
      <w:r>
        <w:rPr>
          <w:rFonts w:hint="eastAsia" w:ascii="仿宋" w:hAnsi="仿宋" w:eastAsia="仿宋" w:cs="宋体"/>
          <w:kern w:val="0"/>
          <w:sz w:val="24"/>
          <w:szCs w:val="24"/>
          <w:highlight w:val="none"/>
        </w:rPr>
        <w:t>投标人因违法经营受到刑事处罚或者责令停产停业、吊销许可证或者执照、较大数额罚款等行政处罚）</w:t>
      </w:r>
      <w:r>
        <w:rPr>
          <w:rFonts w:hint="eastAsia" w:ascii="仿宋" w:hAnsi="仿宋" w:eastAsia="仿宋"/>
          <w:sz w:val="24"/>
          <w:szCs w:val="24"/>
          <w:highlight w:val="none"/>
        </w:rPr>
        <w:t>。</w:t>
      </w:r>
    </w:p>
    <w:p w14:paraId="7FAC304D">
      <w:pPr>
        <w:spacing w:line="440" w:lineRule="exact"/>
        <w:ind w:firstLine="480" w:firstLineChars="200"/>
        <w:rPr>
          <w:rFonts w:ascii="仿宋" w:hAnsi="仿宋" w:eastAsia="仿宋"/>
          <w:sz w:val="24"/>
          <w:szCs w:val="24"/>
          <w:highlight w:val="none"/>
        </w:rPr>
      </w:pPr>
    </w:p>
    <w:p w14:paraId="2E63A22C">
      <w:pPr>
        <w:spacing w:line="440" w:lineRule="exact"/>
        <w:ind w:firstLine="480" w:firstLineChars="200"/>
        <w:rPr>
          <w:rFonts w:ascii="仿宋" w:hAnsi="仿宋" w:eastAsia="仿宋"/>
          <w:sz w:val="24"/>
          <w:szCs w:val="24"/>
          <w:highlight w:val="none"/>
        </w:rPr>
      </w:pPr>
    </w:p>
    <w:p w14:paraId="2B9D4AF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30C2AFD8">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0DE8DB88">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0DBD4D22">
      <w:pPr>
        <w:spacing w:line="440" w:lineRule="exact"/>
        <w:ind w:firstLine="480" w:firstLineChars="200"/>
        <w:rPr>
          <w:rFonts w:ascii="仿宋" w:hAnsi="仿宋" w:eastAsia="仿宋"/>
          <w:sz w:val="24"/>
          <w:szCs w:val="24"/>
          <w:highlight w:val="none"/>
        </w:rPr>
      </w:pPr>
    </w:p>
    <w:p w14:paraId="4D176EFF">
      <w:pPr>
        <w:spacing w:line="440" w:lineRule="exact"/>
        <w:ind w:firstLine="480" w:firstLineChars="200"/>
        <w:rPr>
          <w:rFonts w:ascii="仿宋" w:hAnsi="仿宋" w:eastAsia="仿宋"/>
          <w:sz w:val="24"/>
          <w:szCs w:val="24"/>
          <w:highlight w:val="none"/>
        </w:rPr>
      </w:pPr>
    </w:p>
    <w:p w14:paraId="63879C5E">
      <w:pPr>
        <w:spacing w:line="440" w:lineRule="exact"/>
        <w:ind w:firstLine="480" w:firstLineChars="200"/>
        <w:rPr>
          <w:rFonts w:ascii="仿宋" w:hAnsi="仿宋" w:eastAsia="仿宋"/>
          <w:sz w:val="24"/>
          <w:szCs w:val="24"/>
          <w:highlight w:val="none"/>
        </w:rPr>
      </w:pPr>
    </w:p>
    <w:p w14:paraId="280EC74E">
      <w:pPr>
        <w:spacing w:line="440" w:lineRule="exact"/>
        <w:ind w:firstLine="480" w:firstLineChars="200"/>
        <w:rPr>
          <w:rFonts w:ascii="仿宋" w:hAnsi="仿宋" w:eastAsia="仿宋"/>
          <w:sz w:val="24"/>
          <w:szCs w:val="24"/>
          <w:highlight w:val="none"/>
          <w:u w:val="single"/>
        </w:rPr>
      </w:pPr>
      <w:r>
        <w:rPr>
          <w:rFonts w:hint="eastAsia" w:ascii="仿宋" w:hAnsi="仿宋" w:eastAsia="仿宋"/>
          <w:sz w:val="24"/>
          <w:szCs w:val="24"/>
          <w:highlight w:val="none"/>
        </w:rPr>
        <w:t>备注：投标人没有被公开披露或查处违法违规行为的，注明“无”即可。</w:t>
      </w:r>
    </w:p>
    <w:p w14:paraId="4A06D185">
      <w:pPr>
        <w:widowControl/>
        <w:autoSpaceDE w:val="0"/>
        <w:autoSpaceDN w:val="0"/>
        <w:adjustRightInd w:val="0"/>
        <w:spacing w:line="440" w:lineRule="exact"/>
        <w:ind w:right="-481"/>
        <w:jc w:val="left"/>
        <w:rPr>
          <w:rStyle w:val="29"/>
          <w:sz w:val="24"/>
          <w:szCs w:val="24"/>
          <w:highlight w:val="none"/>
        </w:rPr>
      </w:pPr>
    </w:p>
    <w:p w14:paraId="1CFE24BF">
      <w:pPr>
        <w:widowControl/>
        <w:autoSpaceDE w:val="0"/>
        <w:autoSpaceDN w:val="0"/>
        <w:adjustRightInd w:val="0"/>
        <w:spacing w:line="440" w:lineRule="exact"/>
        <w:rPr>
          <w:rStyle w:val="29"/>
          <w:sz w:val="24"/>
          <w:szCs w:val="24"/>
          <w:highlight w:val="none"/>
        </w:rPr>
      </w:pPr>
      <w:r>
        <w:rPr>
          <w:rFonts w:ascii="仿宋" w:hAnsi="仿宋" w:eastAsia="仿宋"/>
          <w:kern w:val="1"/>
          <w:sz w:val="24"/>
          <w:szCs w:val="24"/>
          <w:highlight w:val="none"/>
        </w:rPr>
        <w:br w:type="page"/>
      </w:r>
    </w:p>
    <w:p w14:paraId="7FEEC587">
      <w:pPr>
        <w:widowControl/>
        <w:autoSpaceDE w:val="0"/>
        <w:autoSpaceDN w:val="0"/>
        <w:adjustRightInd w:val="0"/>
        <w:spacing w:line="440" w:lineRule="exact"/>
        <w:jc w:val="center"/>
        <w:rPr>
          <w:rFonts w:ascii="仿宋" w:hAnsi="仿宋" w:eastAsia="仿宋"/>
          <w:b/>
          <w:bCs/>
          <w:kern w:val="1"/>
          <w:sz w:val="28"/>
          <w:szCs w:val="28"/>
          <w:highlight w:val="none"/>
        </w:rPr>
      </w:pPr>
      <w:r>
        <w:rPr>
          <w:rFonts w:hint="eastAsia" w:ascii="仿宋" w:hAnsi="仿宋" w:eastAsia="仿宋" w:cs="宋体"/>
          <w:b/>
          <w:bCs/>
          <w:kern w:val="1"/>
          <w:sz w:val="28"/>
          <w:szCs w:val="28"/>
          <w:highlight w:val="none"/>
        </w:rPr>
        <w:t>十</w:t>
      </w:r>
      <w:r>
        <w:rPr>
          <w:rFonts w:hint="eastAsia" w:ascii="仿宋" w:hAnsi="仿宋" w:eastAsia="仿宋" w:cs="宋体"/>
          <w:b/>
          <w:bCs/>
          <w:kern w:val="1"/>
          <w:sz w:val="28"/>
          <w:szCs w:val="28"/>
          <w:highlight w:val="none"/>
          <w:lang w:val="en-US" w:eastAsia="zh-CN"/>
        </w:rPr>
        <w:t>一</w:t>
      </w:r>
      <w:r>
        <w:rPr>
          <w:rFonts w:hint="eastAsia" w:ascii="仿宋" w:hAnsi="仿宋" w:eastAsia="仿宋" w:cs="宋体"/>
          <w:b/>
          <w:bCs/>
          <w:kern w:val="1"/>
          <w:sz w:val="28"/>
          <w:szCs w:val="28"/>
          <w:highlight w:val="none"/>
        </w:rPr>
        <w:t>、</w:t>
      </w:r>
      <w:r>
        <w:rPr>
          <w:rFonts w:hint="eastAsia" w:ascii="仿宋" w:hAnsi="仿宋" w:eastAsia="仿宋" w:cs="宋体"/>
          <w:b/>
          <w:bCs/>
          <w:kern w:val="1"/>
          <w:sz w:val="28"/>
          <w:szCs w:val="28"/>
          <w:highlight w:val="none"/>
          <w:lang w:val="en-US" w:eastAsia="zh-CN"/>
        </w:rPr>
        <w:t>政府采购诚信承诺书</w:t>
      </w:r>
    </w:p>
    <w:p w14:paraId="4194D1EA">
      <w:pPr>
        <w:widowControl/>
        <w:autoSpaceDE w:val="0"/>
        <w:autoSpaceDN w:val="0"/>
        <w:adjustRightInd w:val="0"/>
        <w:spacing w:line="440" w:lineRule="exact"/>
        <w:rPr>
          <w:rFonts w:ascii="仿宋" w:hAnsi="仿宋" w:eastAsia="仿宋" w:cs="Arial"/>
          <w:b/>
          <w:bCs/>
          <w:kern w:val="1"/>
          <w:sz w:val="24"/>
          <w:szCs w:val="24"/>
          <w:highlight w:val="none"/>
        </w:rPr>
      </w:pPr>
    </w:p>
    <w:p w14:paraId="39177A7A">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rPr>
        <w:t>：</w:t>
      </w:r>
    </w:p>
    <w:p w14:paraId="323E6960">
      <w:pPr>
        <w:widowControl/>
        <w:autoSpaceDE w:val="0"/>
        <w:autoSpaceDN w:val="0"/>
        <w:adjustRightInd w:val="0"/>
        <w:spacing w:line="440" w:lineRule="exact"/>
        <w:ind w:firstLine="480"/>
        <w:rPr>
          <w:rFonts w:ascii="仿宋" w:hAnsi="仿宋" w:eastAsia="仿宋"/>
          <w:kern w:val="1"/>
          <w:sz w:val="24"/>
          <w:szCs w:val="24"/>
          <w:highlight w:val="none"/>
        </w:rPr>
      </w:pPr>
      <w:r>
        <w:rPr>
          <w:rStyle w:val="29"/>
          <w:rFonts w:hint="eastAsia"/>
          <w:sz w:val="24"/>
          <w:szCs w:val="24"/>
          <w:highlight w:val="none"/>
        </w:rPr>
        <w:t>我公司</w:t>
      </w:r>
      <w:r>
        <w:rPr>
          <w:rFonts w:ascii="仿宋" w:hAnsi="仿宋" w:eastAsia="仿宋" w:cs="仿宋"/>
          <w:kern w:val="1"/>
          <w:sz w:val="24"/>
          <w:szCs w:val="24"/>
          <w:highlight w:val="none"/>
          <w:u w:val="single"/>
        </w:rPr>
        <w:t xml:space="preserve">               </w:t>
      </w:r>
      <w:r>
        <w:rPr>
          <w:rStyle w:val="29"/>
          <w:rFonts w:hint="eastAsia"/>
          <w:sz w:val="24"/>
          <w:szCs w:val="24"/>
          <w:highlight w:val="none"/>
        </w:rPr>
        <w:t>（投标人名称）已详细阅读了</w:t>
      </w:r>
      <w:r>
        <w:rPr>
          <w:rFonts w:ascii="仿宋" w:hAnsi="仿宋" w:eastAsia="仿宋" w:cs="仿宋"/>
          <w:kern w:val="1"/>
          <w:sz w:val="24"/>
          <w:szCs w:val="24"/>
          <w:highlight w:val="none"/>
          <w:u w:val="single"/>
        </w:rPr>
        <w:t xml:space="preserve">             </w:t>
      </w:r>
      <w:r>
        <w:rPr>
          <w:rStyle w:val="29"/>
          <w:rFonts w:hint="eastAsia"/>
          <w:sz w:val="24"/>
          <w:szCs w:val="24"/>
          <w:highlight w:val="none"/>
        </w:rPr>
        <w:t>项目（项目编号：</w:t>
      </w:r>
      <w:r>
        <w:rPr>
          <w:rFonts w:ascii="仿宋" w:hAnsi="仿宋" w:eastAsia="仿宋" w:cs="仿宋"/>
          <w:kern w:val="1"/>
          <w:sz w:val="24"/>
          <w:szCs w:val="24"/>
          <w:highlight w:val="none"/>
          <w:u w:val="single"/>
        </w:rPr>
        <w:t xml:space="preserve">          </w:t>
      </w:r>
      <w:r>
        <w:rPr>
          <w:rStyle w:val="29"/>
          <w:rFonts w:hint="eastAsia"/>
          <w:sz w:val="24"/>
          <w:szCs w:val="24"/>
          <w:highlight w:val="none"/>
        </w:rPr>
        <w:t>）招标文件，自愿参加本次投标，现就有关事项做出郑重承诺如下：</w:t>
      </w:r>
    </w:p>
    <w:p w14:paraId="567EDF9A">
      <w:pPr>
        <w:widowControl/>
        <w:autoSpaceDE w:val="0"/>
        <w:autoSpaceDN w:val="0"/>
        <w:adjustRightInd w:val="0"/>
        <w:spacing w:line="440" w:lineRule="exact"/>
        <w:ind w:firstLine="480"/>
        <w:rPr>
          <w:rStyle w:val="29"/>
          <w:sz w:val="24"/>
          <w:szCs w:val="24"/>
          <w:highlight w:val="none"/>
        </w:rPr>
      </w:pPr>
      <w:r>
        <w:rPr>
          <w:rStyle w:val="29"/>
          <w:rFonts w:hint="eastAsia"/>
          <w:sz w:val="24"/>
          <w:szCs w:val="24"/>
          <w:highlight w:val="none"/>
        </w:rPr>
        <w:t>一、诚信投标，材料真实。我公司保证所提供的全部材料、投标内容均真实、合法、有效，保证不出借或者借用其他企业资质，不以他人名义投标，不弄虚作假；</w:t>
      </w:r>
    </w:p>
    <w:p w14:paraId="130997A4">
      <w:pPr>
        <w:widowControl/>
        <w:autoSpaceDE w:val="0"/>
        <w:autoSpaceDN w:val="0"/>
        <w:adjustRightInd w:val="0"/>
        <w:spacing w:line="440" w:lineRule="exact"/>
        <w:ind w:firstLine="480"/>
        <w:rPr>
          <w:rFonts w:ascii="仿宋" w:hAnsi="仿宋" w:eastAsia="仿宋"/>
          <w:kern w:val="1"/>
          <w:sz w:val="24"/>
          <w:szCs w:val="24"/>
          <w:highlight w:val="none"/>
        </w:rPr>
      </w:pPr>
      <w:r>
        <w:rPr>
          <w:rStyle w:val="29"/>
          <w:rFonts w:hint="eastAsia"/>
          <w:sz w:val="24"/>
          <w:szCs w:val="24"/>
          <w:highlight w:val="none"/>
        </w:rPr>
        <w:t>二、遵纪守法，公平竞争。不与其他投标人相互串通、</w:t>
      </w:r>
      <w:r>
        <w:rPr>
          <w:rFonts w:hint="eastAsia" w:ascii="仿宋" w:hAnsi="仿宋" w:eastAsia="仿宋" w:cs="仿宋"/>
          <w:kern w:val="0"/>
          <w:sz w:val="24"/>
          <w:szCs w:val="24"/>
          <w:highlight w:val="none"/>
        </w:rPr>
        <w:t>哄抬价格，</w:t>
      </w:r>
      <w:r>
        <w:rPr>
          <w:rStyle w:val="29"/>
          <w:rFonts w:hint="eastAsia"/>
          <w:sz w:val="24"/>
          <w:szCs w:val="24"/>
          <w:highlight w:val="none"/>
        </w:rPr>
        <w:t>不排挤其他投标人，不损害</w:t>
      </w:r>
      <w:r>
        <w:rPr>
          <w:rStyle w:val="29"/>
          <w:rFonts w:hint="eastAsia" w:eastAsia="仿宋"/>
          <w:sz w:val="24"/>
          <w:szCs w:val="24"/>
          <w:highlight w:val="none"/>
          <w:lang w:eastAsia="zh-CN"/>
        </w:rPr>
        <w:t>招标人</w:t>
      </w:r>
      <w:r>
        <w:rPr>
          <w:rStyle w:val="29"/>
          <w:rFonts w:hint="eastAsia"/>
          <w:sz w:val="24"/>
          <w:szCs w:val="24"/>
          <w:highlight w:val="none"/>
        </w:rPr>
        <w:t>的合法权益；不向评标委员会、</w:t>
      </w:r>
      <w:r>
        <w:rPr>
          <w:rStyle w:val="29"/>
          <w:rFonts w:hint="eastAsia" w:eastAsia="仿宋"/>
          <w:sz w:val="24"/>
          <w:szCs w:val="24"/>
          <w:highlight w:val="none"/>
          <w:lang w:eastAsia="zh-CN"/>
        </w:rPr>
        <w:t>招标人</w:t>
      </w:r>
      <w:r>
        <w:rPr>
          <w:rStyle w:val="29"/>
          <w:rFonts w:hint="eastAsia"/>
          <w:sz w:val="24"/>
          <w:szCs w:val="24"/>
          <w:highlight w:val="none"/>
        </w:rPr>
        <w:t>提供利益以牟取中标。</w:t>
      </w:r>
    </w:p>
    <w:p w14:paraId="2F146E14">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cs="仿宋"/>
          <w:kern w:val="0"/>
          <w:sz w:val="24"/>
          <w:szCs w:val="24"/>
          <w:highlight w:val="none"/>
        </w:rPr>
        <w:t>三、若中标后，将按照规定及时与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签订政府采购合同，不与</w:t>
      </w:r>
      <w:r>
        <w:rPr>
          <w:rFonts w:hint="eastAsia" w:ascii="仿宋" w:hAnsi="仿宋" w:eastAsia="仿宋" w:cs="仿宋"/>
          <w:kern w:val="0"/>
          <w:sz w:val="24"/>
          <w:szCs w:val="24"/>
          <w:highlight w:val="none"/>
          <w:lang w:eastAsia="zh-CN"/>
        </w:rPr>
        <w:t>招标人</w:t>
      </w:r>
      <w:r>
        <w:rPr>
          <w:rFonts w:hint="eastAsia" w:ascii="仿宋" w:hAnsi="仿宋" w:eastAsia="仿宋" w:cs="仿宋"/>
          <w:kern w:val="0"/>
          <w:sz w:val="24"/>
          <w:szCs w:val="24"/>
          <w:highlight w:val="none"/>
        </w:rPr>
        <w:t>订立有悖于采购结果的合同或协议；严格履行政府采购合同，不降低合同约定的产品质量和服务，不擅自变更、中止、终止合同，或者拒绝履行合同义务；</w:t>
      </w:r>
    </w:p>
    <w:p w14:paraId="3D360AB2">
      <w:pPr>
        <w:widowControl/>
        <w:autoSpaceDE w:val="0"/>
        <w:autoSpaceDN w:val="0"/>
        <w:adjustRightInd w:val="0"/>
        <w:spacing w:line="440" w:lineRule="exact"/>
        <w:ind w:firstLine="480"/>
        <w:rPr>
          <w:rStyle w:val="29"/>
          <w:sz w:val="24"/>
          <w:szCs w:val="24"/>
          <w:highlight w:val="none"/>
        </w:rPr>
      </w:pPr>
      <w:r>
        <w:rPr>
          <w:rStyle w:val="29"/>
          <w:rFonts w:hint="eastAsia"/>
          <w:sz w:val="24"/>
          <w:szCs w:val="24"/>
          <w:highlight w:val="none"/>
        </w:rPr>
        <w:t>若有违反以上承诺内容的行为，我公司自愿接受取消投标资格、记入信用档案、没收投标保证金、媒体通报、</w:t>
      </w:r>
      <w:r>
        <w:rPr>
          <w:rStyle w:val="29"/>
          <w:sz w:val="24"/>
          <w:szCs w:val="24"/>
          <w:highlight w:val="none"/>
        </w:rPr>
        <w:t>1-3</w:t>
      </w:r>
      <w:r>
        <w:rPr>
          <w:rStyle w:val="29"/>
          <w:rFonts w:hint="eastAsia"/>
          <w:sz w:val="24"/>
          <w:szCs w:val="24"/>
          <w:highlight w:val="none"/>
        </w:rPr>
        <w:t>年内禁止参与政府采购等处罚；如已中标的，自动放弃中标资格，并承担全部法律责任；给</w:t>
      </w:r>
      <w:r>
        <w:rPr>
          <w:rStyle w:val="29"/>
          <w:rFonts w:hint="eastAsia" w:eastAsia="仿宋"/>
          <w:sz w:val="24"/>
          <w:szCs w:val="24"/>
          <w:highlight w:val="none"/>
          <w:lang w:eastAsia="zh-CN"/>
        </w:rPr>
        <w:t>招标人</w:t>
      </w:r>
      <w:r>
        <w:rPr>
          <w:rStyle w:val="29"/>
          <w:rFonts w:hint="eastAsia"/>
          <w:sz w:val="24"/>
          <w:szCs w:val="24"/>
          <w:highlight w:val="none"/>
        </w:rPr>
        <w:t>造成损失的，依法承担赔偿责任。</w:t>
      </w:r>
    </w:p>
    <w:p w14:paraId="2B57113A">
      <w:pPr>
        <w:widowControl/>
        <w:autoSpaceDE w:val="0"/>
        <w:autoSpaceDN w:val="0"/>
        <w:adjustRightInd w:val="0"/>
        <w:spacing w:line="440" w:lineRule="exact"/>
        <w:ind w:right="-481" w:firstLine="420"/>
        <w:rPr>
          <w:rFonts w:ascii="仿宋" w:hAnsi="仿宋" w:eastAsia="仿宋"/>
          <w:kern w:val="1"/>
          <w:sz w:val="24"/>
          <w:szCs w:val="24"/>
          <w:highlight w:val="none"/>
        </w:rPr>
      </w:pPr>
    </w:p>
    <w:p w14:paraId="37EAF2B6">
      <w:pPr>
        <w:widowControl/>
        <w:autoSpaceDE w:val="0"/>
        <w:autoSpaceDN w:val="0"/>
        <w:adjustRightInd w:val="0"/>
        <w:spacing w:line="440" w:lineRule="exact"/>
        <w:ind w:right="-481"/>
        <w:rPr>
          <w:rFonts w:ascii="仿宋" w:hAnsi="仿宋" w:eastAsia="仿宋"/>
          <w:kern w:val="1"/>
          <w:sz w:val="24"/>
          <w:szCs w:val="24"/>
          <w:highlight w:val="none"/>
        </w:rPr>
      </w:pPr>
    </w:p>
    <w:p w14:paraId="712FCB17">
      <w:pPr>
        <w:widowControl/>
        <w:autoSpaceDE w:val="0"/>
        <w:autoSpaceDN w:val="0"/>
        <w:adjustRightInd w:val="0"/>
        <w:spacing w:line="440" w:lineRule="exact"/>
        <w:ind w:right="-481"/>
        <w:rPr>
          <w:rFonts w:ascii="仿宋" w:hAnsi="仿宋" w:eastAsia="仿宋"/>
          <w:kern w:val="1"/>
          <w:sz w:val="24"/>
          <w:szCs w:val="24"/>
          <w:highlight w:val="none"/>
        </w:rPr>
      </w:pPr>
    </w:p>
    <w:p w14:paraId="5B1DB610">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24EC3730">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6983C7A2">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C536851">
      <w:pPr>
        <w:widowControl/>
        <w:autoSpaceDE w:val="0"/>
        <w:autoSpaceDN w:val="0"/>
        <w:adjustRightInd w:val="0"/>
        <w:spacing w:line="440" w:lineRule="exact"/>
        <w:rPr>
          <w:rStyle w:val="29"/>
          <w:sz w:val="24"/>
          <w:szCs w:val="24"/>
          <w:highlight w:val="none"/>
        </w:rPr>
      </w:pPr>
    </w:p>
    <w:p w14:paraId="3E5FB7FC">
      <w:pPr>
        <w:spacing w:afterLines="100" w:line="360" w:lineRule="auto"/>
        <w:jc w:val="center"/>
        <w:rPr>
          <w:rFonts w:hint="eastAsia" w:ascii="仿宋" w:hAnsi="仿宋" w:eastAsia="仿宋" w:cs="仿宋"/>
          <w:b/>
          <w:bCs/>
          <w:sz w:val="28"/>
          <w:szCs w:val="28"/>
          <w:highlight w:val="none"/>
          <w:lang w:val="en-US" w:eastAsia="zh-CN"/>
        </w:rPr>
      </w:pPr>
    </w:p>
    <w:p w14:paraId="3AF0400F">
      <w:pPr>
        <w:spacing w:afterLines="100" w:line="360" w:lineRule="auto"/>
        <w:jc w:val="center"/>
        <w:rPr>
          <w:rFonts w:hint="eastAsia" w:ascii="仿宋" w:hAnsi="仿宋" w:eastAsia="仿宋" w:cs="仿宋"/>
          <w:b/>
          <w:bCs/>
          <w:sz w:val="28"/>
          <w:szCs w:val="28"/>
          <w:highlight w:val="none"/>
          <w:lang w:val="en-US" w:eastAsia="zh-CN"/>
        </w:rPr>
      </w:pPr>
    </w:p>
    <w:p w14:paraId="45A045EF">
      <w:pPr>
        <w:spacing w:afterLines="100" w:line="360" w:lineRule="auto"/>
        <w:jc w:val="center"/>
        <w:rPr>
          <w:rFonts w:hint="eastAsia" w:ascii="仿宋" w:hAnsi="仿宋" w:eastAsia="仿宋" w:cs="仿宋"/>
          <w:b/>
          <w:bCs/>
          <w:sz w:val="28"/>
          <w:szCs w:val="28"/>
          <w:highlight w:val="none"/>
          <w:lang w:val="en-US" w:eastAsia="zh-CN"/>
        </w:rPr>
      </w:pPr>
    </w:p>
    <w:p w14:paraId="34269D24">
      <w:pPr>
        <w:spacing w:afterLines="100" w:line="360" w:lineRule="auto"/>
        <w:jc w:val="center"/>
        <w:rPr>
          <w:rFonts w:hint="eastAsia" w:ascii="仿宋" w:hAnsi="仿宋" w:eastAsia="仿宋" w:cs="仿宋"/>
          <w:b/>
          <w:bCs/>
          <w:sz w:val="28"/>
          <w:szCs w:val="28"/>
          <w:highlight w:val="none"/>
          <w:lang w:val="en-US" w:eastAsia="zh-CN"/>
        </w:rPr>
      </w:pPr>
    </w:p>
    <w:p w14:paraId="1CCD9B3B">
      <w:pPr>
        <w:spacing w:afterLines="100" w:line="360" w:lineRule="auto"/>
        <w:jc w:val="center"/>
        <w:rPr>
          <w:rFonts w:ascii="仿宋" w:hAnsi="仿宋" w:eastAsia="仿宋" w:cs="仿宋"/>
          <w:b/>
          <w:bCs/>
          <w:sz w:val="24"/>
          <w:szCs w:val="24"/>
          <w:highlight w:val="none"/>
        </w:rPr>
      </w:pPr>
      <w:r>
        <w:rPr>
          <w:rFonts w:hint="eastAsia" w:ascii="仿宋" w:hAnsi="仿宋" w:eastAsia="仿宋" w:cs="仿宋"/>
          <w:b/>
          <w:bCs/>
          <w:sz w:val="28"/>
          <w:szCs w:val="28"/>
          <w:highlight w:val="none"/>
          <w:lang w:val="en-US" w:eastAsia="zh-CN"/>
        </w:rPr>
        <w:t>十二</w:t>
      </w:r>
      <w:r>
        <w:rPr>
          <w:rFonts w:hint="eastAsia" w:ascii="仿宋" w:hAnsi="仿宋" w:eastAsia="仿宋" w:cs="仿宋"/>
          <w:b/>
          <w:bCs/>
          <w:sz w:val="28"/>
          <w:szCs w:val="28"/>
          <w:highlight w:val="none"/>
        </w:rPr>
        <w:t>、商务偏离表</w:t>
      </w:r>
    </w:p>
    <w:tbl>
      <w:tblPr>
        <w:tblStyle w:val="2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14:paraId="27CC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27CD1604">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248" w:type="dxa"/>
            <w:vAlign w:val="center"/>
          </w:tcPr>
          <w:p w14:paraId="4CF766AE">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招标文件条款</w:t>
            </w:r>
          </w:p>
        </w:tc>
        <w:tc>
          <w:tcPr>
            <w:tcW w:w="3087" w:type="dxa"/>
            <w:vAlign w:val="center"/>
          </w:tcPr>
          <w:p w14:paraId="56F3DFD7">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投标文件条款</w:t>
            </w:r>
          </w:p>
        </w:tc>
        <w:tc>
          <w:tcPr>
            <w:tcW w:w="2013" w:type="dxa"/>
            <w:vAlign w:val="center"/>
          </w:tcPr>
          <w:p w14:paraId="5BBD9770">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偏离情况</w:t>
            </w:r>
          </w:p>
        </w:tc>
      </w:tr>
      <w:tr w14:paraId="0447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F6A3DBA">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3248" w:type="dxa"/>
            <w:vAlign w:val="center"/>
          </w:tcPr>
          <w:p w14:paraId="0822E9BA">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725A9B1">
            <w:pPr>
              <w:spacing w:line="360" w:lineRule="auto"/>
              <w:jc w:val="center"/>
              <w:rPr>
                <w:rFonts w:ascii="仿宋" w:hAnsi="仿宋" w:eastAsia="仿宋" w:cs="仿宋"/>
                <w:sz w:val="24"/>
                <w:szCs w:val="24"/>
                <w:highlight w:val="none"/>
              </w:rPr>
            </w:pPr>
          </w:p>
        </w:tc>
        <w:tc>
          <w:tcPr>
            <w:tcW w:w="2013" w:type="dxa"/>
            <w:vAlign w:val="center"/>
          </w:tcPr>
          <w:p w14:paraId="57811FE4">
            <w:pPr>
              <w:spacing w:line="360" w:lineRule="auto"/>
              <w:jc w:val="center"/>
              <w:rPr>
                <w:rFonts w:ascii="仿宋" w:hAnsi="仿宋" w:eastAsia="仿宋" w:cs="仿宋"/>
                <w:sz w:val="24"/>
                <w:szCs w:val="24"/>
                <w:highlight w:val="none"/>
              </w:rPr>
            </w:pPr>
          </w:p>
        </w:tc>
      </w:tr>
      <w:tr w14:paraId="4CA2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E71C21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3248" w:type="dxa"/>
            <w:vAlign w:val="center"/>
          </w:tcPr>
          <w:p w14:paraId="6C813F02">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18946937">
            <w:pPr>
              <w:spacing w:line="360" w:lineRule="auto"/>
              <w:jc w:val="center"/>
              <w:rPr>
                <w:rFonts w:ascii="仿宋" w:hAnsi="仿宋" w:eastAsia="仿宋" w:cs="仿宋"/>
                <w:sz w:val="24"/>
                <w:szCs w:val="24"/>
                <w:highlight w:val="none"/>
              </w:rPr>
            </w:pPr>
          </w:p>
        </w:tc>
        <w:tc>
          <w:tcPr>
            <w:tcW w:w="2013" w:type="dxa"/>
            <w:vAlign w:val="center"/>
          </w:tcPr>
          <w:p w14:paraId="6D6BA2B0">
            <w:pPr>
              <w:spacing w:line="360" w:lineRule="auto"/>
              <w:jc w:val="center"/>
              <w:rPr>
                <w:rFonts w:ascii="仿宋" w:hAnsi="仿宋" w:eastAsia="仿宋" w:cs="仿宋"/>
                <w:sz w:val="24"/>
                <w:szCs w:val="24"/>
                <w:highlight w:val="none"/>
              </w:rPr>
            </w:pPr>
          </w:p>
        </w:tc>
      </w:tr>
      <w:tr w14:paraId="1B10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2CB92C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3248" w:type="dxa"/>
            <w:vAlign w:val="center"/>
          </w:tcPr>
          <w:p w14:paraId="66D768A5">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A17E15C">
            <w:pPr>
              <w:spacing w:line="360" w:lineRule="auto"/>
              <w:jc w:val="center"/>
              <w:rPr>
                <w:rFonts w:ascii="仿宋" w:hAnsi="仿宋" w:eastAsia="仿宋" w:cs="仿宋"/>
                <w:sz w:val="24"/>
                <w:szCs w:val="24"/>
                <w:highlight w:val="none"/>
              </w:rPr>
            </w:pPr>
          </w:p>
        </w:tc>
        <w:tc>
          <w:tcPr>
            <w:tcW w:w="2013" w:type="dxa"/>
            <w:vAlign w:val="center"/>
          </w:tcPr>
          <w:p w14:paraId="429DDDB4">
            <w:pPr>
              <w:spacing w:line="360" w:lineRule="auto"/>
              <w:jc w:val="center"/>
              <w:rPr>
                <w:rFonts w:ascii="仿宋" w:hAnsi="仿宋" w:eastAsia="仿宋" w:cs="仿宋"/>
                <w:sz w:val="24"/>
                <w:szCs w:val="24"/>
                <w:highlight w:val="none"/>
              </w:rPr>
            </w:pPr>
          </w:p>
        </w:tc>
      </w:tr>
      <w:tr w14:paraId="7DC6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D2514B2">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3248" w:type="dxa"/>
            <w:vAlign w:val="center"/>
          </w:tcPr>
          <w:p w14:paraId="754B920D">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A413040">
            <w:pPr>
              <w:spacing w:line="360" w:lineRule="auto"/>
              <w:jc w:val="center"/>
              <w:rPr>
                <w:rFonts w:ascii="仿宋" w:hAnsi="仿宋" w:eastAsia="仿宋" w:cs="仿宋"/>
                <w:sz w:val="24"/>
                <w:szCs w:val="24"/>
                <w:highlight w:val="none"/>
              </w:rPr>
            </w:pPr>
          </w:p>
        </w:tc>
        <w:tc>
          <w:tcPr>
            <w:tcW w:w="2013" w:type="dxa"/>
            <w:vAlign w:val="center"/>
          </w:tcPr>
          <w:p w14:paraId="2D5AC403">
            <w:pPr>
              <w:spacing w:line="360" w:lineRule="auto"/>
              <w:jc w:val="center"/>
              <w:rPr>
                <w:rFonts w:ascii="仿宋" w:hAnsi="仿宋" w:eastAsia="仿宋" w:cs="仿宋"/>
                <w:sz w:val="24"/>
                <w:szCs w:val="24"/>
                <w:highlight w:val="none"/>
              </w:rPr>
            </w:pPr>
          </w:p>
        </w:tc>
      </w:tr>
      <w:tr w14:paraId="50EA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656BFC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248" w:type="dxa"/>
            <w:vAlign w:val="center"/>
          </w:tcPr>
          <w:p w14:paraId="74FDA83E">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727543E8">
            <w:pPr>
              <w:spacing w:line="360" w:lineRule="auto"/>
              <w:jc w:val="center"/>
              <w:rPr>
                <w:rFonts w:ascii="仿宋" w:hAnsi="仿宋" w:eastAsia="仿宋" w:cs="仿宋"/>
                <w:sz w:val="24"/>
                <w:szCs w:val="24"/>
                <w:highlight w:val="none"/>
              </w:rPr>
            </w:pPr>
          </w:p>
        </w:tc>
        <w:tc>
          <w:tcPr>
            <w:tcW w:w="2013" w:type="dxa"/>
            <w:vAlign w:val="center"/>
          </w:tcPr>
          <w:p w14:paraId="05A70BA5">
            <w:pPr>
              <w:spacing w:line="360" w:lineRule="auto"/>
              <w:jc w:val="center"/>
              <w:rPr>
                <w:rFonts w:ascii="仿宋" w:hAnsi="仿宋" w:eastAsia="仿宋" w:cs="仿宋"/>
                <w:sz w:val="24"/>
                <w:szCs w:val="24"/>
                <w:highlight w:val="none"/>
              </w:rPr>
            </w:pPr>
          </w:p>
        </w:tc>
      </w:tr>
      <w:tr w14:paraId="3E8C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4445D69A">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48" w:type="dxa"/>
            <w:vAlign w:val="center"/>
          </w:tcPr>
          <w:p w14:paraId="16711C6E">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27890073">
            <w:pPr>
              <w:spacing w:line="360" w:lineRule="auto"/>
              <w:jc w:val="center"/>
              <w:rPr>
                <w:rFonts w:ascii="仿宋" w:hAnsi="仿宋" w:eastAsia="仿宋" w:cs="仿宋"/>
                <w:sz w:val="24"/>
                <w:szCs w:val="24"/>
                <w:highlight w:val="none"/>
              </w:rPr>
            </w:pPr>
          </w:p>
        </w:tc>
        <w:tc>
          <w:tcPr>
            <w:tcW w:w="2013" w:type="dxa"/>
          </w:tcPr>
          <w:p w14:paraId="522556E2">
            <w:pPr>
              <w:spacing w:line="360" w:lineRule="auto"/>
              <w:jc w:val="center"/>
              <w:rPr>
                <w:rFonts w:ascii="仿宋" w:hAnsi="仿宋" w:eastAsia="仿宋" w:cs="仿宋"/>
                <w:sz w:val="24"/>
                <w:szCs w:val="24"/>
                <w:highlight w:val="none"/>
              </w:rPr>
            </w:pPr>
          </w:p>
        </w:tc>
      </w:tr>
      <w:tr w14:paraId="7B84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7D26C49F">
            <w:pPr>
              <w:spacing w:line="360" w:lineRule="auto"/>
              <w:jc w:val="center"/>
              <w:rPr>
                <w:rFonts w:ascii="仿宋" w:hAnsi="仿宋" w:eastAsia="仿宋" w:cs="仿宋"/>
                <w:sz w:val="24"/>
                <w:szCs w:val="24"/>
                <w:highlight w:val="none"/>
              </w:rPr>
            </w:pPr>
          </w:p>
        </w:tc>
        <w:tc>
          <w:tcPr>
            <w:tcW w:w="3248" w:type="dxa"/>
            <w:vAlign w:val="center"/>
          </w:tcPr>
          <w:p w14:paraId="34DCEE4E">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67E3358E">
            <w:pPr>
              <w:spacing w:line="360" w:lineRule="auto"/>
              <w:jc w:val="center"/>
              <w:rPr>
                <w:rFonts w:ascii="仿宋" w:hAnsi="仿宋" w:eastAsia="仿宋" w:cs="仿宋"/>
                <w:sz w:val="24"/>
                <w:szCs w:val="24"/>
                <w:highlight w:val="none"/>
              </w:rPr>
            </w:pPr>
          </w:p>
        </w:tc>
        <w:tc>
          <w:tcPr>
            <w:tcW w:w="2013" w:type="dxa"/>
          </w:tcPr>
          <w:p w14:paraId="39A67A36">
            <w:pPr>
              <w:spacing w:line="360" w:lineRule="auto"/>
              <w:jc w:val="center"/>
              <w:rPr>
                <w:rFonts w:ascii="仿宋" w:hAnsi="仿宋" w:eastAsia="仿宋" w:cs="仿宋"/>
                <w:sz w:val="24"/>
                <w:szCs w:val="24"/>
                <w:highlight w:val="none"/>
              </w:rPr>
            </w:pPr>
          </w:p>
        </w:tc>
      </w:tr>
      <w:tr w14:paraId="2E46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60928A1A">
            <w:pPr>
              <w:spacing w:line="360" w:lineRule="auto"/>
              <w:jc w:val="center"/>
              <w:rPr>
                <w:rFonts w:ascii="仿宋" w:hAnsi="仿宋" w:eastAsia="仿宋" w:cs="仿宋"/>
                <w:sz w:val="24"/>
                <w:szCs w:val="24"/>
                <w:highlight w:val="none"/>
              </w:rPr>
            </w:pPr>
          </w:p>
        </w:tc>
        <w:tc>
          <w:tcPr>
            <w:tcW w:w="3248" w:type="dxa"/>
            <w:vAlign w:val="center"/>
          </w:tcPr>
          <w:p w14:paraId="64E941B4">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46591D03">
            <w:pPr>
              <w:spacing w:line="360" w:lineRule="auto"/>
              <w:jc w:val="center"/>
              <w:rPr>
                <w:rFonts w:ascii="仿宋" w:hAnsi="仿宋" w:eastAsia="仿宋" w:cs="仿宋"/>
                <w:sz w:val="24"/>
                <w:szCs w:val="24"/>
                <w:highlight w:val="none"/>
              </w:rPr>
            </w:pPr>
          </w:p>
        </w:tc>
        <w:tc>
          <w:tcPr>
            <w:tcW w:w="2013" w:type="dxa"/>
          </w:tcPr>
          <w:p w14:paraId="3CED4889">
            <w:pPr>
              <w:spacing w:line="360" w:lineRule="auto"/>
              <w:jc w:val="center"/>
              <w:rPr>
                <w:rFonts w:ascii="仿宋" w:hAnsi="仿宋" w:eastAsia="仿宋" w:cs="仿宋"/>
                <w:sz w:val="24"/>
                <w:szCs w:val="24"/>
                <w:highlight w:val="none"/>
              </w:rPr>
            </w:pPr>
          </w:p>
        </w:tc>
      </w:tr>
      <w:tr w14:paraId="599E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6176FC55">
            <w:pPr>
              <w:spacing w:line="360" w:lineRule="auto"/>
              <w:jc w:val="center"/>
              <w:rPr>
                <w:rFonts w:ascii="仿宋" w:hAnsi="仿宋" w:eastAsia="仿宋" w:cs="仿宋"/>
                <w:sz w:val="24"/>
                <w:szCs w:val="24"/>
                <w:highlight w:val="none"/>
              </w:rPr>
            </w:pPr>
          </w:p>
        </w:tc>
        <w:tc>
          <w:tcPr>
            <w:tcW w:w="3248" w:type="dxa"/>
            <w:vAlign w:val="center"/>
          </w:tcPr>
          <w:p w14:paraId="12AE1ED1">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6B732653">
            <w:pPr>
              <w:spacing w:line="360" w:lineRule="auto"/>
              <w:jc w:val="center"/>
              <w:rPr>
                <w:rFonts w:ascii="仿宋" w:hAnsi="仿宋" w:eastAsia="仿宋" w:cs="仿宋"/>
                <w:sz w:val="24"/>
                <w:szCs w:val="24"/>
                <w:highlight w:val="none"/>
              </w:rPr>
            </w:pPr>
          </w:p>
        </w:tc>
        <w:tc>
          <w:tcPr>
            <w:tcW w:w="2013" w:type="dxa"/>
          </w:tcPr>
          <w:p w14:paraId="0B0357CC">
            <w:pPr>
              <w:spacing w:line="360" w:lineRule="auto"/>
              <w:jc w:val="center"/>
              <w:rPr>
                <w:rFonts w:ascii="仿宋" w:hAnsi="仿宋" w:eastAsia="仿宋" w:cs="仿宋"/>
                <w:sz w:val="24"/>
                <w:szCs w:val="24"/>
                <w:highlight w:val="none"/>
              </w:rPr>
            </w:pPr>
          </w:p>
        </w:tc>
      </w:tr>
    </w:tbl>
    <w:p w14:paraId="7A1229F4">
      <w:pPr>
        <w:spacing w:before="100" w:beforeAutospacing="1" w:after="100" w:afterAutospacing="1" w:line="440" w:lineRule="exact"/>
        <w:rPr>
          <w:rFonts w:ascii="仿宋" w:hAnsi="仿宋" w:eastAsia="仿宋" w:cs="仿宋"/>
          <w:kern w:val="1"/>
          <w:sz w:val="24"/>
          <w:szCs w:val="24"/>
          <w:highlight w:val="none"/>
        </w:rPr>
      </w:pPr>
      <w:r>
        <w:rPr>
          <w:rFonts w:hint="eastAsia" w:ascii="仿宋" w:hAnsi="仿宋" w:eastAsia="仿宋" w:cs="仿宋"/>
          <w:sz w:val="24"/>
          <w:szCs w:val="24"/>
          <w:highlight w:val="none"/>
        </w:rPr>
        <w:t>注：偏离情况填写为正偏离、负偏离、无偏离。</w:t>
      </w:r>
    </w:p>
    <w:p w14:paraId="746B8705">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zh-CN"/>
        </w:rPr>
        <w:t>1、投标人应根据</w:t>
      </w:r>
      <w:r>
        <w:rPr>
          <w:rFonts w:hint="eastAsia" w:ascii="仿宋" w:hAnsi="仿宋" w:eastAsia="仿宋" w:cs="仿宋"/>
          <w:sz w:val="24"/>
          <w:szCs w:val="24"/>
          <w:highlight w:val="none"/>
          <w:lang w:val="en-US" w:eastAsia="zh-CN"/>
        </w:rPr>
        <w:t>自身的商务指标</w:t>
      </w:r>
      <w:r>
        <w:rPr>
          <w:rFonts w:hint="eastAsia" w:ascii="仿宋" w:hAnsi="仿宋" w:eastAsia="仿宋" w:cs="仿宋"/>
          <w:sz w:val="24"/>
          <w:szCs w:val="24"/>
          <w:highlight w:val="none"/>
          <w:lang w:val="zh-CN"/>
        </w:rPr>
        <w:t>，对照招标文件中“第三章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商务要求</w:t>
      </w:r>
      <w:r>
        <w:rPr>
          <w:rFonts w:hint="eastAsia" w:ascii="仿宋" w:hAnsi="仿宋" w:eastAsia="仿宋" w:cs="仿宋"/>
          <w:sz w:val="24"/>
          <w:szCs w:val="24"/>
          <w:highlight w:val="none"/>
          <w:lang w:val="zh-CN"/>
        </w:rPr>
        <w:t>”中的各项</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lang w:val="zh-CN"/>
        </w:rPr>
        <w:t>要求，如实逐条一一对应填写响应情况，如有未响应</w:t>
      </w:r>
      <w:r>
        <w:rPr>
          <w:rFonts w:hint="eastAsia" w:ascii="仿宋" w:hAnsi="仿宋" w:eastAsia="仿宋" w:cs="仿宋"/>
          <w:sz w:val="24"/>
          <w:szCs w:val="24"/>
          <w:highlight w:val="none"/>
          <w:lang w:val="en-US" w:eastAsia="zh-CN"/>
        </w:rPr>
        <w:t>商务要求</w:t>
      </w:r>
      <w:r>
        <w:rPr>
          <w:rFonts w:hint="eastAsia" w:ascii="仿宋" w:hAnsi="仿宋" w:eastAsia="仿宋" w:cs="仿宋"/>
          <w:sz w:val="24"/>
          <w:szCs w:val="24"/>
          <w:highlight w:val="none"/>
          <w:lang w:val="zh-CN"/>
        </w:rPr>
        <w:t>，评标委员会有权视其为负偏离；</w:t>
      </w:r>
    </w:p>
    <w:p w14:paraId="6FCCA5E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2、请投标人在“偏离情况”一栏详细描述存在正偏离或负偏离</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指标，并标明偏离情况；</w:t>
      </w:r>
    </w:p>
    <w:p w14:paraId="7EC55BB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3、招标文件</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指标未做要求的，不视为正偏离。</w:t>
      </w:r>
    </w:p>
    <w:p w14:paraId="79F26EF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指标</w:t>
      </w:r>
      <w:r>
        <w:rPr>
          <w:rFonts w:hint="eastAsia" w:ascii="仿宋" w:hAnsi="仿宋" w:eastAsia="仿宋" w:cs="仿宋"/>
          <w:sz w:val="24"/>
          <w:szCs w:val="24"/>
          <w:highlight w:val="none"/>
          <w:lang w:val="en-US" w:eastAsia="zh-CN"/>
        </w:rPr>
        <w:t>不允许负偏离</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负偏离视为不响应招标文件</w:t>
      </w:r>
      <w:r>
        <w:rPr>
          <w:rFonts w:hint="eastAsia" w:ascii="仿宋" w:hAnsi="仿宋" w:eastAsia="仿宋" w:cs="仿宋"/>
          <w:sz w:val="24"/>
          <w:szCs w:val="24"/>
          <w:highlight w:val="none"/>
        </w:rPr>
        <w:t>。</w:t>
      </w:r>
    </w:p>
    <w:p w14:paraId="7CFADA4F">
      <w:pPr>
        <w:spacing w:line="440" w:lineRule="exact"/>
        <w:rPr>
          <w:rFonts w:ascii="仿宋" w:hAnsi="仿宋" w:eastAsia="仿宋"/>
          <w:sz w:val="24"/>
          <w:szCs w:val="24"/>
          <w:highlight w:val="none"/>
        </w:rPr>
      </w:pPr>
    </w:p>
    <w:p w14:paraId="72186769">
      <w:pPr>
        <w:spacing w:line="440" w:lineRule="exact"/>
        <w:rPr>
          <w:rFonts w:ascii="仿宋" w:hAnsi="仿宋" w:eastAsia="仿宋"/>
          <w:sz w:val="24"/>
          <w:szCs w:val="24"/>
          <w:highlight w:val="none"/>
        </w:rPr>
      </w:pPr>
    </w:p>
    <w:p w14:paraId="584CC7E0">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1BB689F4">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50A37739">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C525324">
      <w:pPr>
        <w:widowControl/>
        <w:autoSpaceDE w:val="0"/>
        <w:autoSpaceDN w:val="0"/>
        <w:adjustRightInd w:val="0"/>
        <w:spacing w:line="440" w:lineRule="exact"/>
        <w:jc w:val="center"/>
        <w:rPr>
          <w:rStyle w:val="29"/>
          <w:rFonts w:cs="仿宋"/>
          <w:sz w:val="24"/>
          <w:szCs w:val="24"/>
          <w:highlight w:val="none"/>
        </w:rPr>
      </w:pPr>
      <w:r>
        <w:rPr>
          <w:rFonts w:hint="eastAsia" w:ascii="仿宋" w:hAnsi="仿宋" w:eastAsia="仿宋" w:cs="宋体"/>
          <w:kern w:val="1"/>
          <w:sz w:val="28"/>
          <w:szCs w:val="28"/>
          <w:highlight w:val="none"/>
        </w:rPr>
        <w:br w:type="page"/>
      </w:r>
      <w:r>
        <w:rPr>
          <w:rStyle w:val="29"/>
          <w:rFonts w:hint="eastAsia" w:eastAsia="仿宋" w:cs="仿宋"/>
          <w:b/>
          <w:bCs/>
          <w:sz w:val="28"/>
          <w:szCs w:val="28"/>
          <w:highlight w:val="none"/>
          <w:lang w:val="en-US" w:eastAsia="zh-CN"/>
        </w:rPr>
        <w:t>十三</w:t>
      </w:r>
      <w:r>
        <w:rPr>
          <w:rStyle w:val="29"/>
          <w:rFonts w:hint="eastAsia" w:cs="仿宋"/>
          <w:b/>
          <w:bCs/>
          <w:sz w:val="28"/>
          <w:szCs w:val="28"/>
          <w:highlight w:val="none"/>
        </w:rPr>
        <w:t>、技术偏离表</w:t>
      </w:r>
    </w:p>
    <w:tbl>
      <w:tblPr>
        <w:tblStyle w:val="2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14:paraId="7F53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6BC867D4">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248" w:type="dxa"/>
            <w:vAlign w:val="center"/>
          </w:tcPr>
          <w:p w14:paraId="46423695">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招标文件章节及条款号</w:t>
            </w:r>
          </w:p>
        </w:tc>
        <w:tc>
          <w:tcPr>
            <w:tcW w:w="3087" w:type="dxa"/>
            <w:vAlign w:val="center"/>
          </w:tcPr>
          <w:p w14:paraId="73CE58E8">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投标文件章节及条款号</w:t>
            </w:r>
          </w:p>
        </w:tc>
        <w:tc>
          <w:tcPr>
            <w:tcW w:w="2013" w:type="dxa"/>
            <w:vAlign w:val="center"/>
          </w:tcPr>
          <w:p w14:paraId="345C9DCC">
            <w:pPr>
              <w:spacing w:line="24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偏离情况</w:t>
            </w:r>
          </w:p>
        </w:tc>
      </w:tr>
      <w:tr w14:paraId="092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54FA791">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3248" w:type="dxa"/>
            <w:vAlign w:val="center"/>
          </w:tcPr>
          <w:p w14:paraId="09E45E6A">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6AD2FCC">
            <w:pPr>
              <w:spacing w:line="360" w:lineRule="auto"/>
              <w:jc w:val="center"/>
              <w:rPr>
                <w:rFonts w:ascii="仿宋" w:hAnsi="仿宋" w:eastAsia="仿宋" w:cs="仿宋"/>
                <w:sz w:val="24"/>
                <w:szCs w:val="24"/>
                <w:highlight w:val="none"/>
              </w:rPr>
            </w:pPr>
          </w:p>
        </w:tc>
        <w:tc>
          <w:tcPr>
            <w:tcW w:w="2013" w:type="dxa"/>
            <w:vAlign w:val="center"/>
          </w:tcPr>
          <w:p w14:paraId="6B58BB24">
            <w:pPr>
              <w:spacing w:line="360" w:lineRule="auto"/>
              <w:jc w:val="center"/>
              <w:rPr>
                <w:rFonts w:ascii="仿宋" w:hAnsi="仿宋" w:eastAsia="仿宋" w:cs="仿宋"/>
                <w:sz w:val="24"/>
                <w:szCs w:val="24"/>
                <w:highlight w:val="none"/>
              </w:rPr>
            </w:pPr>
          </w:p>
        </w:tc>
      </w:tr>
      <w:tr w14:paraId="6DEF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344B4656">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w:t>
            </w:r>
          </w:p>
        </w:tc>
        <w:tc>
          <w:tcPr>
            <w:tcW w:w="3248" w:type="dxa"/>
            <w:vAlign w:val="center"/>
          </w:tcPr>
          <w:p w14:paraId="0216E19B">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7B211C44">
            <w:pPr>
              <w:spacing w:line="360" w:lineRule="auto"/>
              <w:jc w:val="center"/>
              <w:rPr>
                <w:rFonts w:ascii="仿宋" w:hAnsi="仿宋" w:eastAsia="仿宋" w:cs="仿宋"/>
                <w:sz w:val="24"/>
                <w:szCs w:val="24"/>
                <w:highlight w:val="none"/>
              </w:rPr>
            </w:pPr>
          </w:p>
        </w:tc>
        <w:tc>
          <w:tcPr>
            <w:tcW w:w="2013" w:type="dxa"/>
            <w:vAlign w:val="center"/>
          </w:tcPr>
          <w:p w14:paraId="3AB3DE27">
            <w:pPr>
              <w:spacing w:line="360" w:lineRule="auto"/>
              <w:jc w:val="center"/>
              <w:rPr>
                <w:rFonts w:ascii="仿宋" w:hAnsi="仿宋" w:eastAsia="仿宋" w:cs="仿宋"/>
                <w:sz w:val="24"/>
                <w:szCs w:val="24"/>
                <w:highlight w:val="none"/>
              </w:rPr>
            </w:pPr>
          </w:p>
        </w:tc>
      </w:tr>
      <w:tr w14:paraId="0159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B4A0F1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3248" w:type="dxa"/>
            <w:vAlign w:val="center"/>
          </w:tcPr>
          <w:p w14:paraId="58919E4F">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0F306B9C">
            <w:pPr>
              <w:spacing w:line="360" w:lineRule="auto"/>
              <w:jc w:val="center"/>
              <w:rPr>
                <w:rFonts w:ascii="仿宋" w:hAnsi="仿宋" w:eastAsia="仿宋" w:cs="仿宋"/>
                <w:sz w:val="24"/>
                <w:szCs w:val="24"/>
                <w:highlight w:val="none"/>
              </w:rPr>
            </w:pPr>
          </w:p>
        </w:tc>
        <w:tc>
          <w:tcPr>
            <w:tcW w:w="2013" w:type="dxa"/>
            <w:vAlign w:val="center"/>
          </w:tcPr>
          <w:p w14:paraId="0FE4EA48">
            <w:pPr>
              <w:spacing w:line="360" w:lineRule="auto"/>
              <w:jc w:val="center"/>
              <w:rPr>
                <w:rFonts w:ascii="仿宋" w:hAnsi="仿宋" w:eastAsia="仿宋" w:cs="仿宋"/>
                <w:sz w:val="24"/>
                <w:szCs w:val="24"/>
                <w:highlight w:val="none"/>
              </w:rPr>
            </w:pPr>
          </w:p>
        </w:tc>
      </w:tr>
      <w:tr w14:paraId="5A7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7AC59C34">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3248" w:type="dxa"/>
            <w:vAlign w:val="center"/>
          </w:tcPr>
          <w:p w14:paraId="2911CD8E">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53FA3AF3">
            <w:pPr>
              <w:spacing w:line="360" w:lineRule="auto"/>
              <w:jc w:val="center"/>
              <w:rPr>
                <w:rFonts w:ascii="仿宋" w:hAnsi="仿宋" w:eastAsia="仿宋" w:cs="仿宋"/>
                <w:sz w:val="24"/>
                <w:szCs w:val="24"/>
                <w:highlight w:val="none"/>
              </w:rPr>
            </w:pPr>
          </w:p>
        </w:tc>
        <w:tc>
          <w:tcPr>
            <w:tcW w:w="2013" w:type="dxa"/>
            <w:vAlign w:val="center"/>
          </w:tcPr>
          <w:p w14:paraId="45F8D029">
            <w:pPr>
              <w:spacing w:line="360" w:lineRule="auto"/>
              <w:jc w:val="center"/>
              <w:rPr>
                <w:rFonts w:ascii="仿宋" w:hAnsi="仿宋" w:eastAsia="仿宋" w:cs="仿宋"/>
                <w:sz w:val="24"/>
                <w:szCs w:val="24"/>
                <w:highlight w:val="none"/>
              </w:rPr>
            </w:pPr>
          </w:p>
        </w:tc>
      </w:tr>
      <w:tr w14:paraId="7780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59CA094F">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248" w:type="dxa"/>
            <w:vAlign w:val="center"/>
          </w:tcPr>
          <w:p w14:paraId="78731DE9">
            <w:pPr>
              <w:widowControl/>
              <w:autoSpaceDE w:val="0"/>
              <w:autoSpaceDN w:val="0"/>
              <w:adjustRightInd w:val="0"/>
              <w:spacing w:line="440" w:lineRule="exact"/>
              <w:rPr>
                <w:rFonts w:ascii="仿宋" w:hAnsi="仿宋" w:eastAsia="仿宋" w:cs="仿宋"/>
                <w:sz w:val="24"/>
                <w:szCs w:val="24"/>
                <w:highlight w:val="none"/>
              </w:rPr>
            </w:pPr>
          </w:p>
        </w:tc>
        <w:tc>
          <w:tcPr>
            <w:tcW w:w="3087" w:type="dxa"/>
            <w:vAlign w:val="center"/>
          </w:tcPr>
          <w:p w14:paraId="6F9DFA7F">
            <w:pPr>
              <w:spacing w:line="360" w:lineRule="auto"/>
              <w:jc w:val="center"/>
              <w:rPr>
                <w:rFonts w:ascii="仿宋" w:hAnsi="仿宋" w:eastAsia="仿宋" w:cs="仿宋"/>
                <w:sz w:val="24"/>
                <w:szCs w:val="24"/>
                <w:highlight w:val="none"/>
              </w:rPr>
            </w:pPr>
          </w:p>
        </w:tc>
        <w:tc>
          <w:tcPr>
            <w:tcW w:w="2013" w:type="dxa"/>
            <w:vAlign w:val="center"/>
          </w:tcPr>
          <w:p w14:paraId="6890D006">
            <w:pPr>
              <w:spacing w:line="360" w:lineRule="auto"/>
              <w:jc w:val="center"/>
              <w:rPr>
                <w:rFonts w:ascii="仿宋" w:hAnsi="仿宋" w:eastAsia="仿宋" w:cs="仿宋"/>
                <w:sz w:val="24"/>
                <w:szCs w:val="24"/>
                <w:highlight w:val="none"/>
              </w:rPr>
            </w:pPr>
          </w:p>
        </w:tc>
      </w:tr>
      <w:tr w14:paraId="0C58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6CE4CBF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3248" w:type="dxa"/>
            <w:vAlign w:val="center"/>
          </w:tcPr>
          <w:p w14:paraId="2914BB01">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6C55BEA1">
            <w:pPr>
              <w:spacing w:line="360" w:lineRule="auto"/>
              <w:jc w:val="center"/>
              <w:rPr>
                <w:rFonts w:ascii="仿宋" w:hAnsi="仿宋" w:eastAsia="仿宋" w:cs="仿宋"/>
                <w:sz w:val="24"/>
                <w:szCs w:val="24"/>
                <w:highlight w:val="none"/>
              </w:rPr>
            </w:pPr>
          </w:p>
        </w:tc>
        <w:tc>
          <w:tcPr>
            <w:tcW w:w="2013" w:type="dxa"/>
          </w:tcPr>
          <w:p w14:paraId="5B389E14">
            <w:pPr>
              <w:spacing w:line="360" w:lineRule="auto"/>
              <w:jc w:val="center"/>
              <w:rPr>
                <w:rFonts w:ascii="仿宋" w:hAnsi="仿宋" w:eastAsia="仿宋" w:cs="仿宋"/>
                <w:sz w:val="24"/>
                <w:szCs w:val="24"/>
                <w:highlight w:val="none"/>
              </w:rPr>
            </w:pPr>
          </w:p>
        </w:tc>
      </w:tr>
      <w:tr w14:paraId="4D1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20F88A6B">
            <w:pPr>
              <w:spacing w:line="360" w:lineRule="auto"/>
              <w:jc w:val="center"/>
              <w:rPr>
                <w:rFonts w:ascii="仿宋" w:hAnsi="仿宋" w:eastAsia="仿宋" w:cs="仿宋"/>
                <w:sz w:val="24"/>
                <w:szCs w:val="24"/>
                <w:highlight w:val="none"/>
              </w:rPr>
            </w:pPr>
          </w:p>
        </w:tc>
        <w:tc>
          <w:tcPr>
            <w:tcW w:w="3248" w:type="dxa"/>
            <w:vAlign w:val="center"/>
          </w:tcPr>
          <w:p w14:paraId="0714E6CA">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4AF4A1EA">
            <w:pPr>
              <w:spacing w:line="360" w:lineRule="auto"/>
              <w:jc w:val="center"/>
              <w:rPr>
                <w:rFonts w:ascii="仿宋" w:hAnsi="仿宋" w:eastAsia="仿宋" w:cs="仿宋"/>
                <w:sz w:val="24"/>
                <w:szCs w:val="24"/>
                <w:highlight w:val="none"/>
              </w:rPr>
            </w:pPr>
          </w:p>
        </w:tc>
        <w:tc>
          <w:tcPr>
            <w:tcW w:w="2013" w:type="dxa"/>
          </w:tcPr>
          <w:p w14:paraId="2493906D">
            <w:pPr>
              <w:spacing w:line="360" w:lineRule="auto"/>
              <w:jc w:val="center"/>
              <w:rPr>
                <w:rFonts w:ascii="仿宋" w:hAnsi="仿宋" w:eastAsia="仿宋" w:cs="仿宋"/>
                <w:sz w:val="24"/>
                <w:szCs w:val="24"/>
                <w:highlight w:val="none"/>
              </w:rPr>
            </w:pPr>
          </w:p>
        </w:tc>
      </w:tr>
      <w:tr w14:paraId="2DE4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5E1E4E6A">
            <w:pPr>
              <w:spacing w:line="360" w:lineRule="auto"/>
              <w:jc w:val="center"/>
              <w:rPr>
                <w:rFonts w:ascii="仿宋" w:hAnsi="仿宋" w:eastAsia="仿宋" w:cs="仿宋"/>
                <w:sz w:val="24"/>
                <w:szCs w:val="24"/>
                <w:highlight w:val="none"/>
              </w:rPr>
            </w:pPr>
          </w:p>
        </w:tc>
        <w:tc>
          <w:tcPr>
            <w:tcW w:w="3248" w:type="dxa"/>
            <w:vAlign w:val="center"/>
          </w:tcPr>
          <w:p w14:paraId="76881587">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429CD15A">
            <w:pPr>
              <w:spacing w:line="360" w:lineRule="auto"/>
              <w:jc w:val="center"/>
              <w:rPr>
                <w:rFonts w:ascii="仿宋" w:hAnsi="仿宋" w:eastAsia="仿宋" w:cs="仿宋"/>
                <w:sz w:val="24"/>
                <w:szCs w:val="24"/>
                <w:highlight w:val="none"/>
              </w:rPr>
            </w:pPr>
          </w:p>
        </w:tc>
        <w:tc>
          <w:tcPr>
            <w:tcW w:w="2013" w:type="dxa"/>
          </w:tcPr>
          <w:p w14:paraId="55BA577D">
            <w:pPr>
              <w:spacing w:line="360" w:lineRule="auto"/>
              <w:jc w:val="center"/>
              <w:rPr>
                <w:rFonts w:ascii="仿宋" w:hAnsi="仿宋" w:eastAsia="仿宋" w:cs="仿宋"/>
                <w:sz w:val="24"/>
                <w:szCs w:val="24"/>
                <w:highlight w:val="none"/>
              </w:rPr>
            </w:pPr>
          </w:p>
        </w:tc>
      </w:tr>
      <w:tr w14:paraId="3EC3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32" w:type="dxa"/>
          </w:tcPr>
          <w:p w14:paraId="34E15E4C">
            <w:pPr>
              <w:spacing w:line="360" w:lineRule="auto"/>
              <w:jc w:val="center"/>
              <w:rPr>
                <w:rFonts w:ascii="仿宋" w:hAnsi="仿宋" w:eastAsia="仿宋" w:cs="仿宋"/>
                <w:sz w:val="24"/>
                <w:szCs w:val="24"/>
                <w:highlight w:val="none"/>
              </w:rPr>
            </w:pPr>
          </w:p>
        </w:tc>
        <w:tc>
          <w:tcPr>
            <w:tcW w:w="3248" w:type="dxa"/>
            <w:vAlign w:val="center"/>
          </w:tcPr>
          <w:p w14:paraId="6CAEF834">
            <w:pPr>
              <w:widowControl/>
              <w:autoSpaceDE w:val="0"/>
              <w:autoSpaceDN w:val="0"/>
              <w:adjustRightInd w:val="0"/>
              <w:spacing w:line="440" w:lineRule="exact"/>
              <w:rPr>
                <w:rFonts w:ascii="仿宋" w:hAnsi="仿宋" w:eastAsia="仿宋" w:cs="仿宋"/>
                <w:sz w:val="24"/>
                <w:szCs w:val="24"/>
                <w:highlight w:val="none"/>
              </w:rPr>
            </w:pPr>
          </w:p>
        </w:tc>
        <w:tc>
          <w:tcPr>
            <w:tcW w:w="3087" w:type="dxa"/>
          </w:tcPr>
          <w:p w14:paraId="3B87ADF7">
            <w:pPr>
              <w:spacing w:line="360" w:lineRule="auto"/>
              <w:jc w:val="center"/>
              <w:rPr>
                <w:rFonts w:ascii="仿宋" w:hAnsi="仿宋" w:eastAsia="仿宋" w:cs="仿宋"/>
                <w:sz w:val="24"/>
                <w:szCs w:val="24"/>
                <w:highlight w:val="none"/>
              </w:rPr>
            </w:pPr>
          </w:p>
        </w:tc>
        <w:tc>
          <w:tcPr>
            <w:tcW w:w="2013" w:type="dxa"/>
          </w:tcPr>
          <w:p w14:paraId="10BC4E61">
            <w:pPr>
              <w:spacing w:line="360" w:lineRule="auto"/>
              <w:jc w:val="center"/>
              <w:rPr>
                <w:rFonts w:ascii="仿宋" w:hAnsi="仿宋" w:eastAsia="仿宋" w:cs="仿宋"/>
                <w:sz w:val="24"/>
                <w:szCs w:val="24"/>
                <w:highlight w:val="none"/>
              </w:rPr>
            </w:pPr>
          </w:p>
        </w:tc>
      </w:tr>
    </w:tbl>
    <w:p w14:paraId="337CADBE">
      <w:pPr>
        <w:widowControl/>
        <w:autoSpaceDE w:val="0"/>
        <w:autoSpaceDN w:val="0"/>
        <w:adjustRightInd w:val="0"/>
        <w:spacing w:line="440" w:lineRule="exact"/>
        <w:rPr>
          <w:rStyle w:val="29"/>
          <w:rFonts w:cs="仿宋"/>
          <w:sz w:val="24"/>
          <w:szCs w:val="24"/>
          <w:highlight w:val="none"/>
        </w:rPr>
      </w:pPr>
      <w:r>
        <w:rPr>
          <w:rFonts w:hint="eastAsia" w:ascii="仿宋" w:hAnsi="仿宋" w:eastAsia="仿宋" w:cs="仿宋"/>
          <w:sz w:val="24"/>
          <w:szCs w:val="24"/>
          <w:highlight w:val="none"/>
        </w:rPr>
        <w:t>注：偏离情况填写为正偏离、负偏离、无偏离。</w:t>
      </w:r>
    </w:p>
    <w:p w14:paraId="677BF004">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zh-CN"/>
        </w:rPr>
        <w:t>1、投标人应根据投标设备的性能指标，对照招标文件中“第三章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采购需求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技术要求</w:t>
      </w:r>
      <w:r>
        <w:rPr>
          <w:rFonts w:hint="eastAsia" w:ascii="仿宋" w:hAnsi="仿宋" w:eastAsia="仿宋" w:cs="仿宋"/>
          <w:sz w:val="24"/>
          <w:szCs w:val="24"/>
          <w:highlight w:val="none"/>
          <w:lang w:val="zh-CN"/>
        </w:rPr>
        <w:t>”中的各项技术参数要求，如实逐条一一对应填写响应情况，如有未响应技术指标，评标委员会有权视其为负偏离；</w:t>
      </w:r>
    </w:p>
    <w:p w14:paraId="01FCDCEE">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2、请投标人在“偏离情况”一栏详细描述存在正偏离或负偏离技术指标，并标明偏离情况；</w:t>
      </w:r>
    </w:p>
    <w:p w14:paraId="3A18E0A7">
      <w:pPr>
        <w:widowControl/>
        <w:autoSpaceDE w:val="0"/>
        <w:autoSpaceDN w:val="0"/>
        <w:adjustRightIn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3、招标文件技术指标未做要求的，不视为正偏离。</w:t>
      </w:r>
    </w:p>
    <w:p w14:paraId="75AC8E98">
      <w:pPr>
        <w:widowControl/>
        <w:autoSpaceDE w:val="0"/>
        <w:autoSpaceDN w:val="0"/>
        <w:adjustRightInd w:val="0"/>
        <w:spacing w:line="440" w:lineRule="exact"/>
        <w:ind w:firstLine="480" w:firstLineChars="200"/>
        <w:rPr>
          <w:rFonts w:ascii="仿宋" w:hAnsi="仿宋" w:eastAsia="仿宋" w:cs="仿宋"/>
          <w:sz w:val="24"/>
          <w:szCs w:val="24"/>
          <w:highlight w:val="none"/>
        </w:rPr>
      </w:pPr>
    </w:p>
    <w:p w14:paraId="2C26C715">
      <w:pPr>
        <w:widowControl/>
        <w:autoSpaceDE w:val="0"/>
        <w:autoSpaceDN w:val="0"/>
        <w:adjustRightInd w:val="0"/>
        <w:spacing w:line="440" w:lineRule="exact"/>
        <w:ind w:firstLine="480" w:firstLineChars="200"/>
        <w:rPr>
          <w:rFonts w:ascii="仿宋" w:hAnsi="仿宋" w:eastAsia="仿宋" w:cs="仿宋"/>
          <w:sz w:val="24"/>
          <w:szCs w:val="24"/>
          <w:highlight w:val="none"/>
        </w:rPr>
      </w:pPr>
    </w:p>
    <w:p w14:paraId="37EA895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4541966E">
      <w:pPr>
        <w:spacing w:line="440" w:lineRule="exact"/>
        <w:ind w:firstLine="4108" w:firstLineChars="1712"/>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73E1BD8E">
      <w:pPr>
        <w:widowControl/>
        <w:autoSpaceDE w:val="0"/>
        <w:autoSpaceDN w:val="0"/>
        <w:adjustRightInd w:val="0"/>
        <w:spacing w:line="440" w:lineRule="exact"/>
        <w:ind w:firstLine="4080" w:firstLineChars="1700"/>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49B245FB">
      <w:pPr>
        <w:widowControl/>
        <w:autoSpaceDE w:val="0"/>
        <w:autoSpaceDN w:val="0"/>
        <w:adjustRightInd w:val="0"/>
        <w:spacing w:line="440" w:lineRule="exact"/>
        <w:rPr>
          <w:rFonts w:ascii="仿宋" w:hAnsi="仿宋" w:eastAsia="仿宋" w:cs="宋体"/>
          <w:kern w:val="1"/>
          <w:sz w:val="28"/>
          <w:szCs w:val="28"/>
          <w:highlight w:val="none"/>
        </w:rPr>
      </w:pPr>
      <w:r>
        <w:rPr>
          <w:rFonts w:hint="eastAsia" w:ascii="仿宋" w:hAnsi="仿宋" w:eastAsia="仿宋" w:cs="宋体"/>
          <w:kern w:val="1"/>
          <w:sz w:val="28"/>
          <w:szCs w:val="28"/>
          <w:highlight w:val="none"/>
        </w:rPr>
        <w:br w:type="page"/>
      </w:r>
    </w:p>
    <w:p w14:paraId="144DE7D1">
      <w:pPr>
        <w:widowControl/>
        <w:autoSpaceDE w:val="0"/>
        <w:autoSpaceDN w:val="0"/>
        <w:adjustRightInd w:val="0"/>
        <w:spacing w:line="440" w:lineRule="exact"/>
        <w:jc w:val="center"/>
        <w:rPr>
          <w:rFonts w:hint="default" w:ascii="仿宋" w:hAnsi="仿宋" w:eastAsia="仿宋" w:cs="仿宋"/>
          <w:b/>
          <w:bCs/>
          <w:kern w:val="1"/>
          <w:highlight w:val="none"/>
          <w:lang w:val="en-US" w:eastAsia="zh-CN"/>
        </w:rPr>
      </w:pPr>
      <w:r>
        <w:rPr>
          <w:rFonts w:hint="eastAsia" w:ascii="仿宋" w:hAnsi="仿宋" w:eastAsia="仿宋" w:cs="宋体"/>
          <w:b/>
          <w:bCs/>
          <w:kern w:val="1"/>
          <w:sz w:val="28"/>
          <w:szCs w:val="28"/>
          <w:highlight w:val="none"/>
          <w:lang w:val="en-US" w:eastAsia="zh-CN"/>
        </w:rPr>
        <w:t>十四</w:t>
      </w:r>
      <w:r>
        <w:rPr>
          <w:rFonts w:hint="eastAsia" w:ascii="仿宋" w:hAnsi="仿宋" w:eastAsia="仿宋" w:cs="宋体"/>
          <w:b/>
          <w:bCs/>
          <w:kern w:val="1"/>
          <w:sz w:val="28"/>
          <w:szCs w:val="28"/>
          <w:highlight w:val="none"/>
        </w:rPr>
        <w:t>、供货方案、人员配置、售后服务保障、安装验收方案、产品配件服务供应方案、培训方案</w:t>
      </w:r>
    </w:p>
    <w:p w14:paraId="75EA66CD">
      <w:pPr>
        <w:widowControl/>
        <w:autoSpaceDE w:val="0"/>
        <w:autoSpaceDN w:val="0"/>
        <w:adjustRightInd w:val="0"/>
        <w:spacing w:line="440" w:lineRule="exact"/>
        <w:jc w:val="left"/>
        <w:rPr>
          <w:rFonts w:hint="eastAsia" w:ascii="仿宋" w:hAnsi="仿宋" w:eastAsia="仿宋" w:cs="宋体"/>
          <w:kern w:val="1"/>
          <w:sz w:val="28"/>
          <w:szCs w:val="28"/>
          <w:highlight w:val="none"/>
          <w:lang w:val="en-US" w:eastAsia="zh-CN"/>
        </w:rPr>
      </w:pPr>
    </w:p>
    <w:p w14:paraId="6BB5B129">
      <w:pPr>
        <w:pStyle w:val="12"/>
        <w:rPr>
          <w:rFonts w:hint="eastAsia" w:ascii="仿宋" w:hAnsi="仿宋" w:eastAsia="仿宋" w:cs="宋体"/>
          <w:kern w:val="1"/>
          <w:sz w:val="28"/>
          <w:szCs w:val="28"/>
          <w:highlight w:val="none"/>
          <w:lang w:val="en-US" w:eastAsia="zh-CN"/>
        </w:rPr>
      </w:pPr>
    </w:p>
    <w:p w14:paraId="00A79FE9">
      <w:pPr>
        <w:rPr>
          <w:rFonts w:hint="eastAsia" w:ascii="仿宋" w:hAnsi="仿宋" w:eastAsia="仿宋" w:cs="宋体"/>
          <w:kern w:val="1"/>
          <w:sz w:val="28"/>
          <w:szCs w:val="28"/>
          <w:highlight w:val="none"/>
          <w:lang w:val="en-US" w:eastAsia="zh-CN"/>
        </w:rPr>
      </w:pPr>
    </w:p>
    <w:p w14:paraId="03E08A3B">
      <w:pPr>
        <w:pStyle w:val="12"/>
        <w:rPr>
          <w:rFonts w:hint="eastAsia" w:ascii="仿宋" w:hAnsi="仿宋" w:eastAsia="仿宋" w:cs="宋体"/>
          <w:kern w:val="1"/>
          <w:sz w:val="28"/>
          <w:szCs w:val="28"/>
          <w:highlight w:val="none"/>
          <w:lang w:val="en-US" w:eastAsia="zh-CN"/>
        </w:rPr>
      </w:pPr>
    </w:p>
    <w:p w14:paraId="119E7B01">
      <w:pPr>
        <w:rPr>
          <w:rFonts w:hint="eastAsia" w:ascii="仿宋" w:hAnsi="仿宋" w:eastAsia="仿宋" w:cs="宋体"/>
          <w:kern w:val="1"/>
          <w:sz w:val="28"/>
          <w:szCs w:val="28"/>
          <w:highlight w:val="none"/>
          <w:lang w:val="en-US" w:eastAsia="zh-CN"/>
        </w:rPr>
      </w:pPr>
    </w:p>
    <w:p w14:paraId="41351F87">
      <w:pPr>
        <w:pStyle w:val="12"/>
        <w:rPr>
          <w:rFonts w:hint="eastAsia" w:ascii="仿宋" w:hAnsi="仿宋" w:eastAsia="仿宋" w:cs="宋体"/>
          <w:kern w:val="1"/>
          <w:sz w:val="28"/>
          <w:szCs w:val="28"/>
          <w:highlight w:val="none"/>
          <w:lang w:val="en-US" w:eastAsia="zh-CN"/>
        </w:rPr>
      </w:pPr>
    </w:p>
    <w:p w14:paraId="2F02A762">
      <w:pPr>
        <w:rPr>
          <w:rFonts w:hint="eastAsia" w:ascii="仿宋" w:hAnsi="仿宋" w:eastAsia="仿宋" w:cs="宋体"/>
          <w:kern w:val="1"/>
          <w:sz w:val="28"/>
          <w:szCs w:val="28"/>
          <w:highlight w:val="none"/>
          <w:lang w:val="en-US" w:eastAsia="zh-CN"/>
        </w:rPr>
      </w:pPr>
    </w:p>
    <w:p w14:paraId="43BD688E">
      <w:pPr>
        <w:pStyle w:val="12"/>
        <w:rPr>
          <w:rFonts w:hint="eastAsia" w:ascii="仿宋" w:hAnsi="仿宋" w:eastAsia="仿宋" w:cs="宋体"/>
          <w:kern w:val="1"/>
          <w:sz w:val="28"/>
          <w:szCs w:val="28"/>
          <w:highlight w:val="none"/>
          <w:lang w:val="en-US" w:eastAsia="zh-CN"/>
        </w:rPr>
      </w:pPr>
    </w:p>
    <w:p w14:paraId="456BF886">
      <w:pPr>
        <w:rPr>
          <w:rFonts w:hint="eastAsia" w:ascii="仿宋" w:hAnsi="仿宋" w:eastAsia="仿宋" w:cs="宋体"/>
          <w:kern w:val="1"/>
          <w:sz w:val="28"/>
          <w:szCs w:val="28"/>
          <w:highlight w:val="none"/>
          <w:lang w:val="en-US" w:eastAsia="zh-CN"/>
        </w:rPr>
      </w:pPr>
    </w:p>
    <w:p w14:paraId="5ECFF5BA">
      <w:pPr>
        <w:pStyle w:val="12"/>
        <w:rPr>
          <w:rFonts w:hint="eastAsia" w:ascii="仿宋" w:hAnsi="仿宋" w:eastAsia="仿宋" w:cs="宋体"/>
          <w:kern w:val="1"/>
          <w:sz w:val="28"/>
          <w:szCs w:val="28"/>
          <w:highlight w:val="none"/>
          <w:lang w:val="en-US" w:eastAsia="zh-CN"/>
        </w:rPr>
      </w:pPr>
    </w:p>
    <w:p w14:paraId="5B17098F">
      <w:pPr>
        <w:rPr>
          <w:rFonts w:hint="eastAsia" w:ascii="仿宋" w:hAnsi="仿宋" w:eastAsia="仿宋" w:cs="宋体"/>
          <w:kern w:val="1"/>
          <w:sz w:val="28"/>
          <w:szCs w:val="28"/>
          <w:highlight w:val="none"/>
          <w:lang w:val="en-US" w:eastAsia="zh-CN"/>
        </w:rPr>
      </w:pPr>
    </w:p>
    <w:p w14:paraId="02D65536">
      <w:pPr>
        <w:pStyle w:val="12"/>
        <w:rPr>
          <w:rFonts w:hint="eastAsia"/>
          <w:lang w:val="en-US" w:eastAsia="zh-CN"/>
        </w:rPr>
      </w:pPr>
    </w:p>
    <w:p w14:paraId="6A0EE4DA">
      <w:pPr>
        <w:pStyle w:val="6"/>
        <w:spacing w:line="245" w:lineRule="auto"/>
      </w:pPr>
    </w:p>
    <w:p w14:paraId="3FE97DA3">
      <w:pPr>
        <w:widowControl/>
        <w:autoSpaceDE w:val="0"/>
        <w:autoSpaceDN w:val="0"/>
        <w:adjustRightInd w:val="0"/>
        <w:spacing w:line="440" w:lineRule="exact"/>
        <w:rPr>
          <w:rFonts w:ascii="仿宋" w:hAnsi="仿宋" w:eastAsia="仿宋" w:cs="仿宋"/>
          <w:kern w:val="1"/>
          <w:highlight w:val="none"/>
        </w:rPr>
      </w:pPr>
    </w:p>
    <w:p w14:paraId="7910F442">
      <w:pPr>
        <w:widowControl/>
        <w:autoSpaceDE w:val="0"/>
        <w:autoSpaceDN w:val="0"/>
        <w:adjustRightInd w:val="0"/>
        <w:spacing w:before="120" w:after="120" w:line="440" w:lineRule="exact"/>
        <w:ind w:right="-481"/>
        <w:jc w:val="center"/>
        <w:rPr>
          <w:rFonts w:ascii="仿宋" w:hAnsi="仿宋" w:eastAsia="仿宋" w:cs="宋体"/>
          <w:kern w:val="1"/>
          <w:sz w:val="28"/>
          <w:szCs w:val="28"/>
          <w:highlight w:val="none"/>
        </w:rPr>
      </w:pPr>
      <w:r>
        <w:rPr>
          <w:rFonts w:hint="eastAsia" w:ascii="仿宋" w:hAnsi="仿宋" w:eastAsia="仿宋" w:cs="宋体"/>
          <w:kern w:val="1"/>
          <w:sz w:val="28"/>
          <w:szCs w:val="28"/>
          <w:highlight w:val="none"/>
        </w:rPr>
        <w:br w:type="page"/>
      </w:r>
    </w:p>
    <w:p w14:paraId="64E506B4">
      <w:pPr>
        <w:widowControl/>
        <w:autoSpaceDE w:val="0"/>
        <w:autoSpaceDN w:val="0"/>
        <w:adjustRightInd w:val="0"/>
        <w:spacing w:line="440" w:lineRule="exact"/>
        <w:jc w:val="center"/>
        <w:rPr>
          <w:rStyle w:val="29"/>
          <w:b/>
          <w:bCs/>
          <w:sz w:val="28"/>
          <w:szCs w:val="28"/>
          <w:highlight w:val="none"/>
        </w:rPr>
      </w:pPr>
      <w:r>
        <w:rPr>
          <w:rStyle w:val="29"/>
          <w:rFonts w:hint="eastAsia" w:eastAsia="仿宋"/>
          <w:b/>
          <w:bCs/>
          <w:sz w:val="28"/>
          <w:szCs w:val="28"/>
          <w:highlight w:val="none"/>
          <w:lang w:val="en-US" w:eastAsia="zh-CN"/>
        </w:rPr>
        <w:t>十五</w:t>
      </w:r>
      <w:r>
        <w:rPr>
          <w:rStyle w:val="29"/>
          <w:rFonts w:hint="eastAsia"/>
          <w:b/>
          <w:bCs/>
          <w:sz w:val="28"/>
          <w:szCs w:val="28"/>
          <w:highlight w:val="none"/>
        </w:rPr>
        <w:t>、投标人需要说明的其他文件和说明</w:t>
      </w:r>
    </w:p>
    <w:p w14:paraId="7EF262F3">
      <w:pPr>
        <w:widowControl/>
        <w:autoSpaceDE w:val="0"/>
        <w:autoSpaceDN w:val="0"/>
        <w:adjustRightInd w:val="0"/>
        <w:spacing w:line="440" w:lineRule="exact"/>
        <w:jc w:val="center"/>
        <w:rPr>
          <w:rStyle w:val="29"/>
          <w:rFonts w:hint="eastAsia"/>
          <w:sz w:val="28"/>
          <w:szCs w:val="28"/>
          <w:highlight w:val="none"/>
        </w:rPr>
      </w:pPr>
      <w:r>
        <w:rPr>
          <w:rStyle w:val="29"/>
          <w:rFonts w:hint="eastAsia"/>
          <w:sz w:val="28"/>
          <w:szCs w:val="28"/>
          <w:highlight w:val="none"/>
        </w:rPr>
        <w:t>投标人根据评标办法认为对其参与评审有利的其它证明材料（格式自拟）</w:t>
      </w:r>
    </w:p>
    <w:p w14:paraId="0A33A78E">
      <w:pPr>
        <w:pStyle w:val="6"/>
        <w:rPr>
          <w:rStyle w:val="29"/>
          <w:rFonts w:hint="eastAsia"/>
          <w:sz w:val="24"/>
          <w:szCs w:val="24"/>
          <w:highlight w:val="none"/>
        </w:rPr>
      </w:pPr>
    </w:p>
    <w:p w14:paraId="4A1552F9">
      <w:pPr>
        <w:pStyle w:val="6"/>
        <w:rPr>
          <w:rStyle w:val="29"/>
          <w:rFonts w:hint="eastAsia"/>
          <w:sz w:val="24"/>
          <w:szCs w:val="24"/>
          <w:highlight w:val="none"/>
        </w:rPr>
      </w:pPr>
    </w:p>
    <w:p w14:paraId="3D8C63E8">
      <w:pPr>
        <w:pStyle w:val="6"/>
        <w:rPr>
          <w:rStyle w:val="29"/>
          <w:rFonts w:hint="eastAsia"/>
          <w:sz w:val="24"/>
          <w:szCs w:val="24"/>
          <w:highlight w:val="none"/>
        </w:rPr>
      </w:pPr>
    </w:p>
    <w:p w14:paraId="2EB163D1">
      <w:pPr>
        <w:pStyle w:val="6"/>
        <w:rPr>
          <w:rStyle w:val="29"/>
          <w:rFonts w:hint="eastAsia"/>
          <w:sz w:val="24"/>
          <w:szCs w:val="24"/>
          <w:highlight w:val="none"/>
        </w:rPr>
      </w:pPr>
    </w:p>
    <w:p w14:paraId="0A610EE6">
      <w:pPr>
        <w:pStyle w:val="6"/>
        <w:rPr>
          <w:rStyle w:val="29"/>
          <w:rFonts w:hint="eastAsia"/>
          <w:sz w:val="24"/>
          <w:szCs w:val="24"/>
          <w:highlight w:val="none"/>
        </w:rPr>
      </w:pPr>
    </w:p>
    <w:p w14:paraId="66FBCAF4">
      <w:pPr>
        <w:pStyle w:val="6"/>
        <w:rPr>
          <w:rStyle w:val="29"/>
          <w:rFonts w:hint="eastAsia"/>
          <w:sz w:val="24"/>
          <w:szCs w:val="24"/>
          <w:highlight w:val="none"/>
        </w:rPr>
      </w:pPr>
    </w:p>
    <w:p w14:paraId="4DA66F06">
      <w:pPr>
        <w:pStyle w:val="6"/>
        <w:rPr>
          <w:rStyle w:val="29"/>
          <w:rFonts w:hint="eastAsia"/>
          <w:sz w:val="24"/>
          <w:szCs w:val="24"/>
          <w:highlight w:val="none"/>
        </w:rPr>
      </w:pPr>
    </w:p>
    <w:p w14:paraId="34E9AC0F">
      <w:pPr>
        <w:pStyle w:val="6"/>
        <w:rPr>
          <w:rStyle w:val="29"/>
          <w:rFonts w:hint="eastAsia"/>
          <w:sz w:val="24"/>
          <w:szCs w:val="24"/>
          <w:highlight w:val="none"/>
        </w:rPr>
      </w:pPr>
    </w:p>
    <w:p w14:paraId="24973BAB">
      <w:pPr>
        <w:pStyle w:val="6"/>
        <w:rPr>
          <w:rStyle w:val="29"/>
          <w:rFonts w:hint="eastAsia"/>
          <w:sz w:val="24"/>
          <w:szCs w:val="24"/>
          <w:highlight w:val="none"/>
        </w:rPr>
      </w:pPr>
    </w:p>
    <w:p w14:paraId="608EE50C">
      <w:pPr>
        <w:pStyle w:val="6"/>
        <w:rPr>
          <w:rStyle w:val="29"/>
          <w:rFonts w:hint="eastAsia"/>
          <w:sz w:val="24"/>
          <w:szCs w:val="24"/>
          <w:highlight w:val="none"/>
        </w:rPr>
      </w:pPr>
    </w:p>
    <w:p w14:paraId="595D75BB">
      <w:pPr>
        <w:pStyle w:val="6"/>
        <w:rPr>
          <w:rStyle w:val="29"/>
          <w:rFonts w:hint="eastAsia"/>
          <w:sz w:val="24"/>
          <w:szCs w:val="24"/>
          <w:highlight w:val="none"/>
        </w:rPr>
      </w:pPr>
    </w:p>
    <w:p w14:paraId="131A17BB">
      <w:pPr>
        <w:pStyle w:val="6"/>
        <w:rPr>
          <w:rStyle w:val="29"/>
          <w:rFonts w:hint="eastAsia"/>
          <w:sz w:val="24"/>
          <w:szCs w:val="24"/>
          <w:highlight w:val="none"/>
        </w:rPr>
      </w:pPr>
    </w:p>
    <w:p w14:paraId="77620C0A">
      <w:pPr>
        <w:pStyle w:val="6"/>
        <w:rPr>
          <w:rStyle w:val="29"/>
          <w:rFonts w:hint="eastAsia"/>
          <w:sz w:val="24"/>
          <w:szCs w:val="24"/>
          <w:highlight w:val="none"/>
        </w:rPr>
      </w:pPr>
    </w:p>
    <w:p w14:paraId="4F98442A">
      <w:pPr>
        <w:pStyle w:val="6"/>
        <w:rPr>
          <w:rStyle w:val="29"/>
          <w:rFonts w:hint="eastAsia"/>
          <w:sz w:val="24"/>
          <w:szCs w:val="24"/>
          <w:highlight w:val="none"/>
        </w:rPr>
      </w:pPr>
    </w:p>
    <w:p w14:paraId="512000F7">
      <w:pPr>
        <w:pStyle w:val="6"/>
        <w:rPr>
          <w:rStyle w:val="29"/>
          <w:rFonts w:hint="eastAsia"/>
          <w:sz w:val="24"/>
          <w:szCs w:val="24"/>
          <w:highlight w:val="none"/>
        </w:rPr>
      </w:pPr>
    </w:p>
    <w:p w14:paraId="7A96B604">
      <w:pPr>
        <w:pStyle w:val="6"/>
        <w:rPr>
          <w:rStyle w:val="29"/>
          <w:rFonts w:hint="eastAsia"/>
          <w:sz w:val="24"/>
          <w:szCs w:val="24"/>
          <w:highlight w:val="none"/>
        </w:rPr>
      </w:pPr>
    </w:p>
    <w:p w14:paraId="480D00AE">
      <w:pPr>
        <w:pStyle w:val="6"/>
        <w:rPr>
          <w:rStyle w:val="29"/>
          <w:rFonts w:hint="eastAsia"/>
          <w:sz w:val="24"/>
          <w:szCs w:val="24"/>
          <w:highlight w:val="none"/>
        </w:rPr>
      </w:pPr>
    </w:p>
    <w:p w14:paraId="69D02574">
      <w:pPr>
        <w:pStyle w:val="6"/>
        <w:rPr>
          <w:rStyle w:val="29"/>
          <w:rFonts w:hint="eastAsia"/>
          <w:sz w:val="24"/>
          <w:szCs w:val="24"/>
          <w:highlight w:val="none"/>
        </w:rPr>
      </w:pPr>
    </w:p>
    <w:p w14:paraId="67521C5F">
      <w:pPr>
        <w:pStyle w:val="6"/>
        <w:rPr>
          <w:rStyle w:val="29"/>
          <w:rFonts w:hint="eastAsia"/>
          <w:sz w:val="24"/>
          <w:szCs w:val="24"/>
          <w:highlight w:val="none"/>
        </w:rPr>
      </w:pPr>
    </w:p>
    <w:p w14:paraId="556BF02F">
      <w:pPr>
        <w:pStyle w:val="6"/>
        <w:rPr>
          <w:rStyle w:val="29"/>
          <w:rFonts w:hint="eastAsia"/>
          <w:sz w:val="24"/>
          <w:szCs w:val="24"/>
          <w:highlight w:val="none"/>
        </w:rPr>
      </w:pPr>
    </w:p>
    <w:p w14:paraId="7F11D9D2">
      <w:pPr>
        <w:pStyle w:val="6"/>
        <w:rPr>
          <w:rStyle w:val="29"/>
          <w:rFonts w:hint="eastAsia"/>
          <w:sz w:val="24"/>
          <w:szCs w:val="24"/>
          <w:highlight w:val="none"/>
        </w:rPr>
      </w:pPr>
    </w:p>
    <w:p w14:paraId="376C7E2E">
      <w:pPr>
        <w:pStyle w:val="6"/>
        <w:rPr>
          <w:rStyle w:val="29"/>
          <w:rFonts w:hint="eastAsia"/>
          <w:sz w:val="24"/>
          <w:szCs w:val="24"/>
          <w:highlight w:val="none"/>
        </w:rPr>
      </w:pPr>
    </w:p>
    <w:p w14:paraId="7BAD5953">
      <w:pPr>
        <w:pStyle w:val="6"/>
        <w:rPr>
          <w:rStyle w:val="29"/>
          <w:rFonts w:hint="eastAsia"/>
          <w:sz w:val="24"/>
          <w:szCs w:val="24"/>
          <w:highlight w:val="none"/>
        </w:rPr>
      </w:pPr>
    </w:p>
    <w:p w14:paraId="2C590865">
      <w:pPr>
        <w:pStyle w:val="6"/>
        <w:rPr>
          <w:rStyle w:val="29"/>
          <w:rFonts w:hint="eastAsia"/>
          <w:sz w:val="24"/>
          <w:szCs w:val="24"/>
          <w:highlight w:val="none"/>
        </w:rPr>
      </w:pPr>
    </w:p>
    <w:p w14:paraId="385301BE">
      <w:pPr>
        <w:pStyle w:val="6"/>
        <w:rPr>
          <w:rStyle w:val="29"/>
          <w:rFonts w:hint="eastAsia"/>
          <w:sz w:val="24"/>
          <w:szCs w:val="24"/>
          <w:highlight w:val="none"/>
        </w:rPr>
      </w:pPr>
    </w:p>
    <w:p w14:paraId="2D2A737D">
      <w:pPr>
        <w:pStyle w:val="6"/>
        <w:rPr>
          <w:rStyle w:val="29"/>
          <w:rFonts w:hint="eastAsia"/>
          <w:sz w:val="24"/>
          <w:szCs w:val="24"/>
          <w:highlight w:val="none"/>
        </w:rPr>
      </w:pPr>
    </w:p>
    <w:p w14:paraId="01BC59F6">
      <w:pPr>
        <w:pStyle w:val="6"/>
        <w:rPr>
          <w:rStyle w:val="29"/>
          <w:rFonts w:hint="eastAsia"/>
          <w:sz w:val="24"/>
          <w:szCs w:val="24"/>
          <w:highlight w:val="none"/>
        </w:rPr>
      </w:pPr>
    </w:p>
    <w:p w14:paraId="3926D134">
      <w:pPr>
        <w:pStyle w:val="6"/>
        <w:rPr>
          <w:rStyle w:val="29"/>
          <w:rFonts w:hint="eastAsia"/>
          <w:sz w:val="24"/>
          <w:szCs w:val="24"/>
          <w:highlight w:val="none"/>
        </w:rPr>
      </w:pPr>
    </w:p>
    <w:p w14:paraId="60E702D0">
      <w:pPr>
        <w:pStyle w:val="6"/>
        <w:rPr>
          <w:rStyle w:val="29"/>
          <w:rFonts w:hint="eastAsia"/>
          <w:sz w:val="24"/>
          <w:szCs w:val="24"/>
          <w:highlight w:val="none"/>
        </w:rPr>
      </w:pPr>
    </w:p>
    <w:p w14:paraId="3434A973">
      <w:pPr>
        <w:pStyle w:val="6"/>
        <w:rPr>
          <w:rStyle w:val="29"/>
          <w:rFonts w:hint="eastAsia"/>
          <w:sz w:val="24"/>
          <w:szCs w:val="24"/>
          <w:highlight w:val="none"/>
        </w:rPr>
      </w:pPr>
    </w:p>
    <w:p w14:paraId="712253D8">
      <w:pPr>
        <w:pStyle w:val="6"/>
        <w:rPr>
          <w:rStyle w:val="29"/>
          <w:rFonts w:hint="eastAsia"/>
          <w:sz w:val="24"/>
          <w:szCs w:val="24"/>
          <w:highlight w:val="none"/>
        </w:rPr>
      </w:pPr>
    </w:p>
    <w:p w14:paraId="0AD9884C">
      <w:pPr>
        <w:pStyle w:val="6"/>
        <w:rPr>
          <w:rStyle w:val="29"/>
          <w:rFonts w:hint="eastAsia"/>
          <w:sz w:val="24"/>
          <w:szCs w:val="24"/>
          <w:highlight w:val="none"/>
        </w:rPr>
      </w:pPr>
    </w:p>
    <w:p w14:paraId="2E532D42">
      <w:pPr>
        <w:pStyle w:val="6"/>
        <w:rPr>
          <w:rStyle w:val="29"/>
          <w:rFonts w:hint="eastAsia"/>
          <w:sz w:val="24"/>
          <w:szCs w:val="24"/>
          <w:highlight w:val="none"/>
        </w:rPr>
      </w:pPr>
    </w:p>
    <w:p w14:paraId="26EAA938">
      <w:pPr>
        <w:pStyle w:val="6"/>
        <w:rPr>
          <w:rStyle w:val="29"/>
          <w:rFonts w:hint="eastAsia"/>
          <w:sz w:val="24"/>
          <w:szCs w:val="24"/>
          <w:highlight w:val="none"/>
        </w:rPr>
      </w:pPr>
    </w:p>
    <w:p w14:paraId="47B1D901">
      <w:pPr>
        <w:pStyle w:val="6"/>
        <w:rPr>
          <w:rStyle w:val="29"/>
          <w:rFonts w:hint="eastAsia"/>
          <w:sz w:val="24"/>
          <w:szCs w:val="24"/>
          <w:highlight w:val="none"/>
        </w:rPr>
      </w:pPr>
    </w:p>
    <w:p w14:paraId="1DBC5D60">
      <w:pPr>
        <w:pStyle w:val="6"/>
        <w:rPr>
          <w:rStyle w:val="29"/>
          <w:rFonts w:hint="eastAsia"/>
          <w:sz w:val="24"/>
          <w:szCs w:val="24"/>
          <w:highlight w:val="none"/>
        </w:rPr>
      </w:pPr>
    </w:p>
    <w:p w14:paraId="366C2D56">
      <w:pPr>
        <w:spacing w:before="177" w:line="219" w:lineRule="auto"/>
        <w:jc w:val="center"/>
        <w:rPr>
          <w:rFonts w:ascii="宋体" w:hAnsi="宋体" w:eastAsia="宋体" w:cs="宋体"/>
          <w:b/>
          <w:bCs/>
          <w:sz w:val="32"/>
          <w:szCs w:val="32"/>
        </w:rPr>
      </w:pPr>
      <w:r>
        <w:rPr>
          <w:rFonts w:hint="eastAsia" w:ascii="宋体" w:hAnsi="宋体" w:eastAsia="宋体" w:cs="宋体"/>
          <w:b/>
          <w:bCs/>
          <w:spacing w:val="7"/>
          <w:sz w:val="32"/>
          <w:szCs w:val="32"/>
          <w:lang w:val="en-US" w:eastAsia="zh-CN"/>
        </w:rPr>
        <w:t>十</w:t>
      </w:r>
      <w:r>
        <w:rPr>
          <w:rFonts w:hint="eastAsia" w:ascii="宋体" w:hAnsi="宋体" w:cs="宋体"/>
          <w:b/>
          <w:bCs/>
          <w:spacing w:val="7"/>
          <w:sz w:val="32"/>
          <w:szCs w:val="32"/>
          <w:lang w:val="en-US" w:eastAsia="zh-CN"/>
        </w:rPr>
        <w:t>六</w:t>
      </w:r>
      <w:r>
        <w:rPr>
          <w:rFonts w:hint="eastAsia" w:ascii="宋体" w:hAnsi="宋体" w:eastAsia="宋体" w:cs="宋体"/>
          <w:b/>
          <w:bCs/>
          <w:spacing w:val="7"/>
          <w:sz w:val="32"/>
          <w:szCs w:val="32"/>
          <w:lang w:val="en-US" w:eastAsia="zh-CN"/>
        </w:rPr>
        <w:t>、</w:t>
      </w:r>
      <w:r>
        <w:rPr>
          <w:rFonts w:ascii="宋体" w:hAnsi="宋体" w:eastAsia="宋体" w:cs="宋体"/>
          <w:b/>
          <w:bCs/>
          <w:spacing w:val="7"/>
          <w:sz w:val="32"/>
          <w:szCs w:val="32"/>
        </w:rPr>
        <w:t>中小企业声明函（货物）</w:t>
      </w:r>
    </w:p>
    <w:p w14:paraId="6C24D362">
      <w:pPr>
        <w:pStyle w:val="6"/>
        <w:spacing w:line="285" w:lineRule="auto"/>
        <w:ind w:left="0" w:leftChars="0" w:firstLine="0" w:firstLineChars="0"/>
      </w:pPr>
    </w:p>
    <w:p w14:paraId="0CABADE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郑重声明，根据《政府采购促进中小企业发展管理办法》（财库﹝2020﹞46 号）的规定，</w:t>
      </w: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参加</w:t>
      </w:r>
      <w:r>
        <w:rPr>
          <w:rFonts w:hint="eastAsia" w:ascii="仿宋" w:hAnsi="仿宋" w:eastAsia="仿宋" w:cs="Times New Roman"/>
          <w:color w:val="auto"/>
          <w:sz w:val="28"/>
          <w:szCs w:val="28"/>
          <w:u w:val="single"/>
          <w:lang w:val="en-US" w:eastAsia="zh-CN"/>
        </w:rPr>
        <w:t>（单位名称）</w:t>
      </w:r>
      <w:r>
        <w:rPr>
          <w:rFonts w:hint="eastAsia" w:ascii="仿宋" w:hAnsi="仿宋" w:eastAsia="仿宋" w:cs="Times New Roman"/>
          <w:color w:val="auto"/>
          <w:sz w:val="28"/>
          <w:szCs w:val="28"/>
          <w:lang w:val="en-US" w:eastAsia="zh-CN"/>
        </w:rPr>
        <w:t>的</w:t>
      </w:r>
      <w:r>
        <w:rPr>
          <w:rFonts w:hint="eastAsia" w:ascii="仿宋" w:hAnsi="仿宋" w:eastAsia="仿宋" w:cs="Times New Roman"/>
          <w:color w:val="auto"/>
          <w:sz w:val="28"/>
          <w:szCs w:val="28"/>
          <w:u w:val="single"/>
          <w:lang w:val="en-US" w:eastAsia="zh-CN"/>
        </w:rPr>
        <w:t>（项目名称）</w:t>
      </w:r>
      <w:r>
        <w:rPr>
          <w:rFonts w:hint="eastAsia" w:ascii="仿宋" w:hAnsi="仿宋" w:eastAsia="仿宋" w:cs="Times New Roman"/>
          <w:color w:val="auto"/>
          <w:sz w:val="28"/>
          <w:szCs w:val="28"/>
          <w:lang w:val="en-US" w:eastAsia="zh-CN"/>
        </w:rPr>
        <w:t>采购活动，提供的货物全部由符合政策要求的中小企业制造。相关企业（含联合体中的中小企业、签订分包意向协议的中小企业）的具体情况如下： </w:t>
      </w:r>
    </w:p>
    <w:p w14:paraId="7902807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1. </w:t>
      </w:r>
      <w:r>
        <w:rPr>
          <w:rFonts w:hint="eastAsia" w:ascii="仿宋" w:hAnsi="仿宋" w:eastAsia="仿宋" w:cs="Times New Roman"/>
          <w:color w:val="auto"/>
          <w:sz w:val="28"/>
          <w:szCs w:val="28"/>
          <w:u w:val="single"/>
          <w:lang w:val="en-US" w:eastAsia="zh-CN"/>
        </w:rPr>
        <w:t>（标的名称）</w:t>
      </w:r>
      <w:r>
        <w:rPr>
          <w:rFonts w:hint="eastAsia" w:ascii="仿宋" w:hAnsi="仿宋" w:eastAsia="仿宋" w:cs="Times New Roman"/>
          <w:color w:val="auto"/>
          <w:sz w:val="28"/>
          <w:szCs w:val="28"/>
          <w:lang w:val="en-US" w:eastAsia="zh-CN"/>
        </w:rPr>
        <w:t xml:space="preserve"> ，属于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 </w:t>
      </w:r>
    </w:p>
    <w:p w14:paraId="2B98BEF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2. </w:t>
      </w:r>
      <w:r>
        <w:rPr>
          <w:rFonts w:hint="eastAsia" w:ascii="仿宋" w:hAnsi="仿宋" w:eastAsia="仿宋" w:cs="Times New Roman"/>
          <w:color w:val="auto"/>
          <w:sz w:val="28"/>
          <w:szCs w:val="28"/>
          <w:u w:val="single"/>
          <w:lang w:val="en-US" w:eastAsia="zh-CN"/>
        </w:rPr>
        <w:t xml:space="preserve">（标的名称） </w:t>
      </w:r>
      <w:r>
        <w:rPr>
          <w:rFonts w:hint="eastAsia" w:ascii="仿宋" w:hAnsi="仿宋" w:eastAsia="仿宋" w:cs="Times New Roman"/>
          <w:color w:val="auto"/>
          <w:sz w:val="28"/>
          <w:szCs w:val="28"/>
          <w:lang w:val="en-US" w:eastAsia="zh-CN"/>
        </w:rPr>
        <w:t>，属于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 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w:t>
      </w:r>
    </w:p>
    <w:p w14:paraId="4F4DBD0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w:t>
      </w:r>
    </w:p>
    <w:p w14:paraId="244EF74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以上企业，不属于大企业的分支机构，不存在控股股东为大企业的情形，也不存在与大企业的负责人为同一人的情形。 </w:t>
      </w:r>
    </w:p>
    <w:p w14:paraId="54F9BEF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本企业对上述声明内容的真实性负责。如有虚假，将依法承担相应责任。 </w:t>
      </w:r>
    </w:p>
    <w:p w14:paraId="793F6583">
      <w:pPr>
        <w:pStyle w:val="6"/>
        <w:spacing w:line="265" w:lineRule="auto"/>
      </w:pPr>
    </w:p>
    <w:p w14:paraId="72A12084">
      <w:pPr>
        <w:pStyle w:val="6"/>
        <w:spacing w:line="265" w:lineRule="auto"/>
      </w:pPr>
    </w:p>
    <w:p w14:paraId="1B740B33">
      <w:pPr>
        <w:pStyle w:val="6"/>
        <w:spacing w:line="265" w:lineRule="auto"/>
      </w:pPr>
    </w:p>
    <w:p w14:paraId="6ED5FCCB">
      <w:pPr>
        <w:pStyle w:val="6"/>
        <w:spacing w:line="265" w:lineRule="auto"/>
      </w:pPr>
    </w:p>
    <w:p w14:paraId="000D07FA">
      <w:pPr>
        <w:pStyle w:val="6"/>
        <w:spacing w:line="265" w:lineRule="auto"/>
      </w:pPr>
    </w:p>
    <w:p w14:paraId="1DA027B7">
      <w:pPr>
        <w:pStyle w:val="6"/>
        <w:spacing w:line="265" w:lineRule="auto"/>
      </w:pPr>
    </w:p>
    <w:p w14:paraId="5A9ECB97">
      <w:pPr>
        <w:spacing w:before="79" w:line="219" w:lineRule="auto"/>
        <w:ind w:left="5368"/>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2DA963B6">
      <w:pPr>
        <w:pStyle w:val="6"/>
        <w:spacing w:line="305" w:lineRule="auto"/>
      </w:pPr>
    </w:p>
    <w:p w14:paraId="32783370">
      <w:pPr>
        <w:spacing w:before="79" w:line="220" w:lineRule="auto"/>
        <w:ind w:left="5562"/>
        <w:outlineLvl w:val="0"/>
        <w:rPr>
          <w:rFonts w:ascii="宋体" w:hAnsi="宋体" w:eastAsia="宋体" w:cs="宋体"/>
          <w:sz w:val="24"/>
          <w:szCs w:val="24"/>
          <w:u w:val="single" w:color="auto"/>
        </w:rPr>
      </w:pPr>
      <w:bookmarkStart w:id="159" w:name="_Toc24189"/>
      <w:bookmarkStart w:id="160" w:name="_Toc25008"/>
      <w:bookmarkStart w:id="161" w:name="_Toc8626"/>
      <w:bookmarkStart w:id="162" w:name="_Toc8285"/>
      <w:r>
        <w:rPr>
          <w:rFonts w:ascii="宋体" w:hAnsi="宋体" w:eastAsia="宋体" w:cs="宋体"/>
          <w:spacing w:val="-22"/>
          <w:sz w:val="24"/>
          <w:szCs w:val="24"/>
        </w:rPr>
        <w:t>日</w:t>
      </w:r>
      <w:r>
        <w:rPr>
          <w:rFonts w:ascii="宋体" w:hAnsi="宋体" w:eastAsia="宋体" w:cs="宋体"/>
          <w:spacing w:val="7"/>
          <w:sz w:val="24"/>
          <w:szCs w:val="24"/>
        </w:rPr>
        <w:t xml:space="preserve">  </w:t>
      </w:r>
      <w:r>
        <w:rPr>
          <w:rFonts w:ascii="宋体" w:hAnsi="宋体" w:eastAsia="宋体" w:cs="宋体"/>
          <w:spacing w:val="-22"/>
          <w:sz w:val="24"/>
          <w:szCs w:val="24"/>
        </w:rPr>
        <w:t>期</w:t>
      </w:r>
      <w:r>
        <w:rPr>
          <w:rFonts w:hint="eastAsia" w:ascii="宋体" w:hAnsi="宋体" w:cs="宋体"/>
          <w:spacing w:val="-22"/>
          <w:sz w:val="24"/>
          <w:szCs w:val="24"/>
          <w:lang w:val="en-US" w:eastAsia="zh-CN"/>
        </w:rPr>
        <w:t xml:space="preserve"> </w:t>
      </w:r>
      <w:r>
        <w:rPr>
          <w:rFonts w:ascii="宋体" w:hAnsi="宋体" w:eastAsia="宋体" w:cs="宋体"/>
          <w:spacing w:val="-22"/>
          <w:sz w:val="24"/>
          <w:szCs w:val="24"/>
        </w:rPr>
        <w:t>：</w:t>
      </w:r>
      <w:bookmarkEnd w:id="159"/>
      <w:bookmarkEnd w:id="160"/>
      <w:bookmarkEnd w:id="161"/>
      <w:r>
        <w:rPr>
          <w:rFonts w:ascii="宋体" w:hAnsi="宋体" w:eastAsia="宋体" w:cs="宋体"/>
          <w:sz w:val="24"/>
          <w:szCs w:val="24"/>
          <w:u w:val="single" w:color="auto"/>
        </w:rPr>
        <w:t xml:space="preserve">                    </w:t>
      </w:r>
      <w:bookmarkEnd w:id="162"/>
    </w:p>
    <w:p w14:paraId="59228193">
      <w:pPr>
        <w:pStyle w:val="13"/>
        <w:numPr>
          <w:ilvl w:val="0"/>
          <w:numId w:val="0"/>
        </w:numPr>
        <w:tabs>
          <w:tab w:val="left" w:pos="719"/>
        </w:tabs>
        <w:rPr>
          <w:rFonts w:hint="eastAsia" w:ascii="宋体" w:hAnsi="宋体"/>
          <w:sz w:val="24"/>
          <w:szCs w:val="24"/>
          <w:lang w:eastAsia="zh-CN"/>
        </w:rPr>
      </w:pPr>
      <w:bookmarkStart w:id="163" w:name="_Toc31168"/>
      <w:bookmarkStart w:id="164" w:name="_Toc713"/>
      <w:bookmarkStart w:id="165" w:name="_Toc7398"/>
      <w:bookmarkStart w:id="166" w:name="_Toc11225"/>
      <w:r>
        <w:rPr>
          <w:rFonts w:hint="eastAsia" w:ascii="宋体" w:hAnsi="宋体"/>
          <w:sz w:val="24"/>
          <w:szCs w:val="24"/>
          <w:lang w:eastAsia="zh-CN"/>
        </w:rPr>
        <w:t>从业人员、营业收入、资产总额填报上一年度数据，无上一年度数据的新成立企业可不填报。</w:t>
      </w:r>
      <w:bookmarkEnd w:id="163"/>
      <w:bookmarkEnd w:id="164"/>
      <w:bookmarkEnd w:id="165"/>
      <w:bookmarkEnd w:id="166"/>
    </w:p>
    <w:p w14:paraId="55B2F852">
      <w:pPr>
        <w:pStyle w:val="6"/>
        <w:ind w:left="0" w:leftChars="0" w:firstLine="0" w:firstLineChars="0"/>
        <w:rPr>
          <w:rStyle w:val="29"/>
          <w:rFonts w:hint="eastAsia"/>
          <w:sz w:val="24"/>
          <w:szCs w:val="24"/>
          <w:highlight w:val="none"/>
        </w:rPr>
      </w:pPr>
    </w:p>
    <w:p w14:paraId="3357EAA9">
      <w:pPr>
        <w:pStyle w:val="6"/>
        <w:jc w:val="center"/>
        <w:rPr>
          <w:rStyle w:val="29"/>
          <w:rFonts w:hint="eastAsia"/>
          <w:sz w:val="24"/>
          <w:szCs w:val="24"/>
          <w:highlight w:val="none"/>
        </w:rPr>
      </w:pPr>
      <w:r>
        <w:rPr>
          <w:rFonts w:hint="eastAsia" w:ascii="宋体" w:hAnsi="Courier New" w:eastAsia="宋体" w:cs="Times New Roman"/>
          <w:b/>
          <w:bCs/>
          <w:kern w:val="2"/>
          <w:sz w:val="36"/>
          <w:szCs w:val="36"/>
          <w:lang w:val="en-US" w:eastAsia="zh-CN" w:bidi="ar-SA"/>
        </w:rPr>
        <w:t>（二）残疾人福利性单位声明函</w:t>
      </w:r>
    </w:p>
    <w:p w14:paraId="52257803">
      <w:pPr>
        <w:pStyle w:val="6"/>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 xml:space="preserve">本单位郑重声明，根据《财政部民政部中国残疾人联合会关于促进残疾 </w:t>
      </w:r>
    </w:p>
    <w:p w14:paraId="7438BA7D">
      <w:pPr>
        <w:pStyle w:val="6"/>
        <w:ind w:left="0" w:leftChars="0" w:firstLine="0" w:firstLineChars="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 xml:space="preserve">人就业政府采购政策的通知》（财库〔2017〕 141 号）的规定，本单位为符合条件的残疾人福利性单位，且本单位参加______单位的______项目采购活动提供本单位制造的货物（由本单位承担工程/提供服务），或者提供其他 残疾人福利性单位制造的货物（不包括使用非残疾人福利性单位注册商标的货物）。 </w:t>
      </w:r>
    </w:p>
    <w:p w14:paraId="66592510">
      <w:pPr>
        <w:pStyle w:val="6"/>
        <w:rPr>
          <w:rStyle w:val="29"/>
          <w:rFonts w:hint="eastAsia"/>
          <w:sz w:val="24"/>
          <w:szCs w:val="24"/>
          <w:highlight w:val="none"/>
          <w:lang w:val="en-US" w:eastAsia="zh-CN"/>
        </w:rPr>
      </w:pPr>
    </w:p>
    <w:p w14:paraId="75C52E4C">
      <w:pPr>
        <w:pStyle w:val="6"/>
        <w:rPr>
          <w:rStyle w:val="29"/>
          <w:rFonts w:hint="eastAsia"/>
          <w:sz w:val="24"/>
          <w:szCs w:val="24"/>
          <w:highlight w:val="none"/>
          <w:lang w:val="en-US" w:eastAsia="zh-CN"/>
        </w:rPr>
      </w:pPr>
    </w:p>
    <w:p w14:paraId="2A56C195">
      <w:pPr>
        <w:pStyle w:val="9"/>
        <w:jc w:val="both"/>
        <w:rPr>
          <w:rFonts w:hint="eastAsia"/>
          <w:lang w:val="en-US" w:eastAsia="zh-CN"/>
        </w:rPr>
      </w:pPr>
    </w:p>
    <w:p w14:paraId="092E7A5D">
      <w:pPr>
        <w:pStyle w:val="2"/>
        <w:rPr>
          <w:rFonts w:hint="eastAsia"/>
          <w:lang w:val="en-US" w:eastAsia="zh-CN"/>
        </w:rPr>
      </w:pPr>
    </w:p>
    <w:p w14:paraId="26847178">
      <w:pPr>
        <w:pStyle w:val="6"/>
        <w:rPr>
          <w:rStyle w:val="29"/>
          <w:rFonts w:hint="eastAsia"/>
          <w:sz w:val="24"/>
          <w:szCs w:val="24"/>
          <w:highlight w:val="none"/>
          <w:lang w:val="en-US" w:eastAsia="zh-CN"/>
        </w:rPr>
      </w:pPr>
    </w:p>
    <w:p w14:paraId="12FF9677">
      <w:pPr>
        <w:pStyle w:val="6"/>
        <w:rPr>
          <w:rStyle w:val="29"/>
          <w:rFonts w:hint="eastAsia"/>
          <w:sz w:val="24"/>
          <w:szCs w:val="24"/>
          <w:highlight w:val="none"/>
          <w:lang w:val="en-US" w:eastAsia="zh-CN"/>
        </w:rPr>
      </w:pPr>
    </w:p>
    <w:p w14:paraId="050067B5">
      <w:pPr>
        <w:pStyle w:val="6"/>
        <w:rPr>
          <w:rStyle w:val="29"/>
          <w:rFonts w:hint="eastAsia"/>
          <w:b/>
          <w:bCs/>
          <w:sz w:val="28"/>
          <w:szCs w:val="28"/>
          <w:highlight w:val="none"/>
          <w:lang w:val="en-US" w:eastAsia="zh-CN"/>
        </w:rPr>
      </w:pPr>
      <w:r>
        <w:rPr>
          <w:rStyle w:val="29"/>
          <w:rFonts w:hint="eastAsia"/>
          <w:b/>
          <w:bCs/>
          <w:sz w:val="28"/>
          <w:szCs w:val="28"/>
          <w:highlight w:val="none"/>
          <w:lang w:val="en-US" w:eastAsia="zh-CN"/>
        </w:rPr>
        <w:t>本单位对上述声明的真实性负责。如有虚假，将依法承担相应责任。</w:t>
      </w:r>
    </w:p>
    <w:p w14:paraId="7E693ECD">
      <w:pPr>
        <w:pStyle w:val="6"/>
        <w:rPr>
          <w:rStyle w:val="29"/>
          <w:rFonts w:hint="eastAsia"/>
          <w:b/>
          <w:bCs/>
          <w:sz w:val="28"/>
          <w:szCs w:val="28"/>
          <w:highlight w:val="none"/>
          <w:lang w:val="en-US" w:eastAsia="zh-CN"/>
        </w:rPr>
      </w:pPr>
      <w:r>
        <w:rPr>
          <w:rStyle w:val="29"/>
          <w:rFonts w:hint="eastAsia"/>
          <w:b/>
          <w:bCs/>
          <w:sz w:val="28"/>
          <w:szCs w:val="28"/>
          <w:highlight w:val="none"/>
          <w:lang w:val="en-US" w:eastAsia="zh-CN"/>
        </w:rPr>
        <w:t xml:space="preserve"> </w:t>
      </w:r>
    </w:p>
    <w:p w14:paraId="22CF0210">
      <w:pPr>
        <w:pStyle w:val="6"/>
        <w:jc w:val="center"/>
        <w:rPr>
          <w:rStyle w:val="29"/>
          <w:rFonts w:hint="eastAsia"/>
          <w:b/>
          <w:bCs/>
          <w:sz w:val="28"/>
          <w:szCs w:val="28"/>
          <w:highlight w:val="none"/>
        </w:rPr>
      </w:pPr>
      <w:r>
        <w:rPr>
          <w:rStyle w:val="29"/>
          <w:rFonts w:hint="eastAsia"/>
          <w:b/>
          <w:bCs/>
          <w:sz w:val="28"/>
          <w:szCs w:val="28"/>
          <w:highlight w:val="none"/>
          <w:lang w:val="en-US" w:eastAsia="zh-CN"/>
        </w:rPr>
        <w:t>供应商：（盖章）</w:t>
      </w:r>
      <w:r>
        <w:rPr>
          <w:rStyle w:val="29"/>
          <w:rFonts w:hint="eastAsia"/>
          <w:b/>
          <w:bCs/>
          <w:sz w:val="28"/>
          <w:szCs w:val="28"/>
          <w:highlight w:val="none"/>
          <w:u w:val="single"/>
          <w:lang w:val="en-US" w:eastAsia="zh-CN"/>
        </w:rPr>
        <w:t xml:space="preserve">                 </w:t>
      </w:r>
      <w:r>
        <w:rPr>
          <w:rStyle w:val="29"/>
          <w:rFonts w:hint="eastAsia"/>
          <w:b/>
          <w:bCs/>
          <w:sz w:val="28"/>
          <w:szCs w:val="28"/>
          <w:highlight w:val="none"/>
          <w:lang w:val="en-US" w:eastAsia="zh-CN"/>
        </w:rPr>
        <w:t xml:space="preserve"> </w:t>
      </w:r>
    </w:p>
    <w:p w14:paraId="31A73890">
      <w:pPr>
        <w:pStyle w:val="6"/>
        <w:jc w:val="center"/>
        <w:rPr>
          <w:rStyle w:val="29"/>
          <w:rFonts w:hint="eastAsia"/>
          <w:b/>
          <w:bCs/>
          <w:sz w:val="28"/>
          <w:szCs w:val="28"/>
          <w:highlight w:val="none"/>
        </w:rPr>
      </w:pPr>
      <w:r>
        <w:rPr>
          <w:rStyle w:val="29"/>
          <w:rFonts w:hint="eastAsia"/>
          <w:b/>
          <w:bCs/>
          <w:sz w:val="28"/>
          <w:szCs w:val="28"/>
          <w:highlight w:val="none"/>
          <w:lang w:val="en-US" w:eastAsia="zh-CN"/>
        </w:rPr>
        <w:t>法定代表人或其授权委托人(签字)：</w:t>
      </w:r>
      <w:r>
        <w:rPr>
          <w:rStyle w:val="29"/>
          <w:rFonts w:hint="eastAsia"/>
          <w:b/>
          <w:bCs/>
          <w:sz w:val="28"/>
          <w:szCs w:val="28"/>
          <w:highlight w:val="none"/>
          <w:u w:val="single"/>
          <w:lang w:val="en-US" w:eastAsia="zh-CN"/>
        </w:rPr>
        <w:t xml:space="preserve">          </w:t>
      </w:r>
      <w:r>
        <w:rPr>
          <w:rStyle w:val="29"/>
          <w:rFonts w:hint="eastAsia"/>
          <w:b/>
          <w:bCs/>
          <w:sz w:val="28"/>
          <w:szCs w:val="28"/>
          <w:highlight w:val="none"/>
          <w:lang w:val="en-US" w:eastAsia="zh-CN"/>
        </w:rPr>
        <w:t xml:space="preserve">   </w:t>
      </w:r>
    </w:p>
    <w:p w14:paraId="406630E0">
      <w:pPr>
        <w:pStyle w:val="6"/>
        <w:ind w:left="0" w:leftChars="0" w:firstLine="843" w:firstLineChars="300"/>
        <w:jc w:val="center"/>
        <w:rPr>
          <w:rFonts w:hint="eastAsia"/>
        </w:rPr>
      </w:pPr>
      <w:r>
        <w:rPr>
          <w:rStyle w:val="29"/>
          <w:rFonts w:hint="eastAsia"/>
          <w:b/>
          <w:bCs/>
          <w:sz w:val="28"/>
          <w:szCs w:val="28"/>
          <w:highlight w:val="none"/>
          <w:lang w:val="en-US" w:eastAsia="zh-CN"/>
        </w:rPr>
        <w:t xml:space="preserve">                             年  月  日 </w:t>
      </w:r>
    </w:p>
    <w:p w14:paraId="2810716E">
      <w:pPr>
        <w:pStyle w:val="6"/>
        <w:rPr>
          <w:rStyle w:val="29"/>
          <w:rFonts w:hint="eastAsia"/>
          <w:b/>
          <w:bCs/>
          <w:sz w:val="28"/>
          <w:szCs w:val="28"/>
          <w:highlight w:val="none"/>
        </w:rPr>
      </w:pPr>
      <w:r>
        <w:rPr>
          <w:rStyle w:val="29"/>
          <w:rFonts w:hint="eastAsia"/>
          <w:b/>
          <w:bCs/>
          <w:sz w:val="28"/>
          <w:szCs w:val="28"/>
          <w:highlight w:val="none"/>
          <w:lang w:val="en-US" w:eastAsia="zh-CN"/>
        </w:rPr>
        <w:t>说明：填写本声明函时应详细阅读《财政部民政部中国残疾人联合会关于促进残疾人就业政府采购政策的通知》（财库〔2017〕141 号），供应商不满足此要求则无须提供，一旦提供将视为满足其要求，如有虚假，将依法承担相应责任。</w:t>
      </w:r>
    </w:p>
    <w:p w14:paraId="549739BE">
      <w:pPr>
        <w:pStyle w:val="6"/>
        <w:rPr>
          <w:rStyle w:val="29"/>
          <w:rFonts w:hint="eastAsia"/>
          <w:sz w:val="24"/>
          <w:szCs w:val="24"/>
          <w:highlight w:val="none"/>
        </w:rPr>
      </w:pPr>
    </w:p>
    <w:p w14:paraId="2D946F6A">
      <w:pPr>
        <w:keepNext w:val="0"/>
        <w:keepLines w:val="0"/>
        <w:widowControl/>
        <w:numPr>
          <w:ilvl w:val="0"/>
          <w:numId w:val="2"/>
        </w:numPr>
        <w:suppressLineNumbers w:val="0"/>
        <w:ind w:left="0" w:leftChars="0" w:firstLine="0" w:firstLineChars="0"/>
        <w:jc w:val="center"/>
        <w:rPr>
          <w:rFonts w:hint="eastAsia" w:ascii="宋体" w:hAnsi="Courier New" w:eastAsia="宋体" w:cs="Times New Roman"/>
          <w:b/>
          <w:bCs/>
          <w:kern w:val="2"/>
          <w:sz w:val="36"/>
          <w:szCs w:val="36"/>
          <w:lang w:val="en-US" w:eastAsia="zh-CN" w:bidi="ar-SA"/>
        </w:rPr>
      </w:pPr>
      <w:r>
        <w:rPr>
          <w:rFonts w:hint="eastAsia" w:ascii="宋体" w:hAnsi="Courier New" w:eastAsia="宋体" w:cs="Times New Roman"/>
          <w:b/>
          <w:bCs/>
          <w:kern w:val="2"/>
          <w:sz w:val="36"/>
          <w:szCs w:val="36"/>
          <w:lang w:val="en-US" w:eastAsia="zh-CN" w:bidi="ar-SA"/>
        </w:rPr>
        <w:t>监狱企业声明函</w:t>
      </w:r>
    </w:p>
    <w:p w14:paraId="1019B918">
      <w:pPr>
        <w:pStyle w:val="18"/>
        <w:numPr>
          <w:ilvl w:val="0"/>
          <w:numId w:val="0"/>
        </w:numPr>
        <w:ind w:leftChars="0"/>
        <w:rPr>
          <w:rFonts w:hint="eastAsia"/>
          <w:lang w:val="en-US" w:eastAsia="zh-CN"/>
        </w:rPr>
      </w:pPr>
    </w:p>
    <w:p w14:paraId="2F23EC7C">
      <w:pPr>
        <w:keepNext w:val="0"/>
        <w:keepLines w:val="0"/>
        <w:widowControl/>
        <w:suppressLineNumbers w:val="0"/>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 xml:space="preserve">本单位郑重声明，根据《关于政府采购支持监狱企业发展有关问题的通知》（财库〔2014〕 68 号）的规定，本单位为符合条件的监狱单位，且本单位参加______单位的______项目采购活动提供本单位制造的货物（由本单位承担工程/提供服务）。 </w:t>
      </w:r>
    </w:p>
    <w:p w14:paraId="4DF4FBA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AB2F1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80D620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3DCB60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732CEC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22E2543">
      <w:pPr>
        <w:pStyle w:val="2"/>
        <w:rPr>
          <w:rFonts w:hint="eastAsia" w:ascii="宋体" w:hAnsi="宋体" w:eastAsia="宋体" w:cs="宋体"/>
          <w:color w:val="000000"/>
          <w:kern w:val="0"/>
          <w:sz w:val="24"/>
          <w:szCs w:val="24"/>
          <w:lang w:val="en-US" w:eastAsia="zh-CN" w:bidi="ar"/>
        </w:rPr>
      </w:pPr>
    </w:p>
    <w:p w14:paraId="0F795D79">
      <w:pPr>
        <w:pStyle w:val="5"/>
        <w:rPr>
          <w:rFonts w:hint="eastAsia" w:ascii="宋体" w:hAnsi="宋体" w:eastAsia="宋体" w:cs="宋体"/>
          <w:color w:val="000000"/>
          <w:kern w:val="0"/>
          <w:sz w:val="24"/>
          <w:szCs w:val="24"/>
          <w:lang w:val="en-US" w:eastAsia="zh-CN" w:bidi="ar"/>
        </w:rPr>
      </w:pPr>
    </w:p>
    <w:p w14:paraId="53C1EC87">
      <w:pPr>
        <w:pStyle w:val="10"/>
        <w:rPr>
          <w:rFonts w:hint="eastAsia" w:ascii="宋体" w:hAnsi="宋体" w:eastAsia="宋体" w:cs="宋体"/>
          <w:color w:val="000000"/>
          <w:kern w:val="0"/>
          <w:sz w:val="24"/>
          <w:szCs w:val="24"/>
          <w:lang w:val="en-US" w:eastAsia="zh-CN" w:bidi="ar"/>
        </w:rPr>
      </w:pPr>
    </w:p>
    <w:p w14:paraId="4A2BF334">
      <w:pPr>
        <w:rPr>
          <w:rFonts w:hint="eastAsia"/>
          <w:lang w:val="en-US" w:eastAsia="zh-CN"/>
        </w:rPr>
      </w:pPr>
    </w:p>
    <w:p w14:paraId="034BD5EC">
      <w:pPr>
        <w:pStyle w:val="6"/>
        <w:rPr>
          <w:rStyle w:val="29"/>
          <w:rFonts w:hint="eastAsia"/>
          <w:b/>
          <w:bCs/>
          <w:sz w:val="28"/>
          <w:szCs w:val="28"/>
          <w:highlight w:val="none"/>
          <w:lang w:val="en-US" w:eastAsia="zh-CN"/>
        </w:rPr>
      </w:pPr>
      <w:r>
        <w:rPr>
          <w:rStyle w:val="29"/>
          <w:rFonts w:hint="eastAsia"/>
          <w:b/>
          <w:bCs/>
          <w:sz w:val="28"/>
          <w:szCs w:val="28"/>
          <w:highlight w:val="none"/>
          <w:lang w:val="en-US" w:eastAsia="zh-CN"/>
        </w:rPr>
        <w:t xml:space="preserve">本单位对上述声明的真实性负责。如有虚假，将依法承担相应责任。 </w:t>
      </w:r>
    </w:p>
    <w:p w14:paraId="2DD0F10A">
      <w:pPr>
        <w:pStyle w:val="6"/>
        <w:jc w:val="center"/>
        <w:rPr>
          <w:rStyle w:val="29"/>
          <w:rFonts w:hint="eastAsia"/>
          <w:b/>
          <w:bCs/>
          <w:sz w:val="28"/>
          <w:szCs w:val="28"/>
          <w:highlight w:val="none"/>
          <w:lang w:val="en-US" w:eastAsia="zh-CN"/>
        </w:rPr>
      </w:pPr>
    </w:p>
    <w:p w14:paraId="67188808">
      <w:pPr>
        <w:pStyle w:val="6"/>
        <w:jc w:val="center"/>
        <w:rPr>
          <w:rStyle w:val="29"/>
          <w:rFonts w:hint="eastAsia"/>
          <w:b/>
          <w:bCs/>
          <w:sz w:val="28"/>
          <w:szCs w:val="28"/>
          <w:highlight w:val="none"/>
          <w:lang w:val="en-US" w:eastAsia="zh-CN"/>
        </w:rPr>
      </w:pPr>
    </w:p>
    <w:p w14:paraId="5BD6B5BD">
      <w:pPr>
        <w:pStyle w:val="6"/>
        <w:jc w:val="center"/>
        <w:rPr>
          <w:rStyle w:val="29"/>
          <w:rFonts w:hint="eastAsia"/>
          <w:b/>
          <w:bCs/>
          <w:sz w:val="28"/>
          <w:szCs w:val="28"/>
          <w:highlight w:val="none"/>
          <w:lang w:val="en-US" w:eastAsia="zh-CN"/>
        </w:rPr>
      </w:pPr>
      <w:r>
        <w:rPr>
          <w:rStyle w:val="29"/>
          <w:rFonts w:hint="eastAsia"/>
          <w:b/>
          <w:bCs/>
          <w:sz w:val="28"/>
          <w:szCs w:val="28"/>
          <w:highlight w:val="none"/>
          <w:lang w:val="en-US" w:eastAsia="zh-CN"/>
        </w:rPr>
        <w:t xml:space="preserve">供应商：（盖章） </w:t>
      </w:r>
      <w:r>
        <w:rPr>
          <w:rStyle w:val="29"/>
          <w:rFonts w:hint="eastAsia"/>
          <w:b/>
          <w:bCs/>
          <w:sz w:val="28"/>
          <w:szCs w:val="28"/>
          <w:highlight w:val="none"/>
          <w:u w:val="single"/>
          <w:lang w:val="en-US" w:eastAsia="zh-CN"/>
        </w:rPr>
        <w:t xml:space="preserve">                 </w:t>
      </w:r>
    </w:p>
    <w:p w14:paraId="713385D7">
      <w:pPr>
        <w:pStyle w:val="6"/>
        <w:jc w:val="center"/>
        <w:rPr>
          <w:rStyle w:val="29"/>
          <w:rFonts w:hint="eastAsia"/>
          <w:b/>
          <w:bCs/>
          <w:sz w:val="28"/>
          <w:szCs w:val="28"/>
          <w:highlight w:val="none"/>
          <w:lang w:val="en-US" w:eastAsia="zh-CN"/>
        </w:rPr>
      </w:pPr>
      <w:r>
        <w:rPr>
          <w:rStyle w:val="29"/>
          <w:rFonts w:hint="eastAsia"/>
          <w:b/>
          <w:bCs/>
          <w:sz w:val="28"/>
          <w:szCs w:val="28"/>
          <w:highlight w:val="none"/>
          <w:lang w:val="en-US" w:eastAsia="zh-CN"/>
        </w:rPr>
        <w:t>法定代表人或其授权委托人(签字)：</w:t>
      </w:r>
      <w:r>
        <w:rPr>
          <w:rStyle w:val="29"/>
          <w:rFonts w:hint="eastAsia"/>
          <w:b/>
          <w:bCs/>
          <w:sz w:val="28"/>
          <w:szCs w:val="28"/>
          <w:highlight w:val="none"/>
          <w:u w:val="single"/>
          <w:lang w:val="en-US" w:eastAsia="zh-CN"/>
        </w:rPr>
        <w:t xml:space="preserve">              </w:t>
      </w:r>
      <w:r>
        <w:rPr>
          <w:rStyle w:val="29"/>
          <w:rFonts w:hint="eastAsia"/>
          <w:b/>
          <w:bCs/>
          <w:sz w:val="28"/>
          <w:szCs w:val="28"/>
          <w:highlight w:val="none"/>
          <w:lang w:val="en-US" w:eastAsia="zh-CN"/>
        </w:rPr>
        <w:t xml:space="preserve"> </w:t>
      </w:r>
    </w:p>
    <w:p w14:paraId="205890E8">
      <w:pPr>
        <w:pStyle w:val="6"/>
        <w:jc w:val="center"/>
        <w:rPr>
          <w:rStyle w:val="29"/>
          <w:rFonts w:hint="eastAsia"/>
          <w:b/>
          <w:bCs/>
          <w:sz w:val="28"/>
          <w:szCs w:val="28"/>
          <w:highlight w:val="none"/>
          <w:lang w:val="en-US" w:eastAsia="zh-CN"/>
        </w:rPr>
      </w:pPr>
      <w:r>
        <w:rPr>
          <w:rStyle w:val="29"/>
          <w:rFonts w:hint="eastAsia"/>
          <w:b/>
          <w:bCs/>
          <w:sz w:val="28"/>
          <w:szCs w:val="28"/>
          <w:highlight w:val="none"/>
          <w:lang w:val="en-US" w:eastAsia="zh-CN"/>
        </w:rPr>
        <w:t xml:space="preserve">                             年  月   日 </w:t>
      </w:r>
    </w:p>
    <w:p w14:paraId="3461AA20">
      <w:pPr>
        <w:pStyle w:val="9"/>
        <w:jc w:val="both"/>
        <w:rPr>
          <w:rFonts w:hint="eastAsia"/>
          <w:lang w:val="en-US" w:eastAsia="zh-CN"/>
        </w:rPr>
      </w:pPr>
    </w:p>
    <w:p w14:paraId="09CBF505">
      <w:pPr>
        <w:keepNext w:val="0"/>
        <w:keepLines w:val="0"/>
        <w:widowControl/>
        <w:suppressLineNumbers w:val="0"/>
        <w:jc w:val="left"/>
        <w:rPr>
          <w:rStyle w:val="29"/>
          <w:rFonts w:hint="eastAsia" w:cs="Times New Roman"/>
          <w:b/>
          <w:bCs/>
          <w:sz w:val="28"/>
          <w:szCs w:val="28"/>
          <w:highlight w:val="none"/>
          <w:lang w:val="en-GB" w:eastAsia="zh-CN" w:bidi="ar-SA"/>
        </w:rPr>
      </w:pPr>
      <w:r>
        <w:rPr>
          <w:rStyle w:val="29"/>
          <w:rFonts w:hint="eastAsia" w:cs="Times New Roman"/>
          <w:b/>
          <w:bCs/>
          <w:sz w:val="28"/>
          <w:szCs w:val="28"/>
          <w:highlight w:val="none"/>
          <w:lang w:val="en-US" w:eastAsia="zh-CN" w:bidi="ar-SA"/>
        </w:rPr>
        <w:t>说明：填写本声明函时应详细阅读《关于政府采购支持监狱企业发展有关问 题的通知》（财库〔2014〕 68 号），供应商不满足此要求则无须提供，一旦提 供将视为满足其要求，如有虚假，将依法承担相应责任。</w:t>
      </w:r>
    </w:p>
    <w:sectPr>
      <w:footerReference r:id="rId7" w:type="default"/>
      <w:pgSz w:w="11906" w:h="16838"/>
      <w:pgMar w:top="1440" w:right="1440" w:bottom="1440"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ACE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0375">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A10927">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AA10927">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128E">
    <w:pPr>
      <w:spacing w:line="184" w:lineRule="auto"/>
      <w:ind w:left="45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38D21">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AD38D21">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C99E">
    <w:pPr>
      <w:pStyle w:val="19"/>
      <w:tabs>
        <w:tab w:val="center" w:pos="451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D303D7">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c75Y4AgAAb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7tzvljgCAABvBAAADgAAAAAAAAABACAAAAAfAQAAZHJzL2Uyb0RvYy54&#10;bWxQSwUGAAAAAAYABgBZAQAAyQUAAAAA&#10;">
              <v:fill on="f" focussize="0,0"/>
              <v:stroke on="f" weight="0.5pt"/>
              <v:imagedata o:title=""/>
              <o:lock v:ext="edit" aspectratio="f"/>
              <v:textbox inset="0mm,0mm,0mm,0mm" style="mso-fit-shape-to-text:t;">
                <w:txbxContent>
                  <w:p w14:paraId="00D303D7">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7C20">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DA8372">
                          <w:pPr>
                            <w:pStyle w:val="1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9DA8372">
                    <w:pPr>
                      <w:pStyle w:val="1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1">
    <w:nsid w:val="F167B430"/>
    <w:multiLevelType w:val="singleLevel"/>
    <w:tmpl w:val="F167B430"/>
    <w:lvl w:ilvl="0" w:tentative="0">
      <w:start w:val="1"/>
      <w:numFmt w:val="chineseCounting"/>
      <w:suff w:val="nothing"/>
      <w:lvlText w:val="（%1）"/>
      <w:lvlJc w:val="left"/>
      <w:rPr>
        <w:rFonts w:hint="eastAsia"/>
      </w:rPr>
    </w:lvl>
  </w:abstractNum>
  <w:abstractNum w:abstractNumId="2">
    <w:nsid w:val="1224D179"/>
    <w:multiLevelType w:val="singleLevel"/>
    <w:tmpl w:val="1224D179"/>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mY2NjZmZmFlMWFhOTdkYThhNGRkNGEzMTM3ZDAifQ=="/>
  </w:docVars>
  <w:rsids>
    <w:rsidRoot w:val="3390740E"/>
    <w:rsid w:val="000E5F84"/>
    <w:rsid w:val="000F69F9"/>
    <w:rsid w:val="00183D1F"/>
    <w:rsid w:val="001F0F88"/>
    <w:rsid w:val="0022181C"/>
    <w:rsid w:val="00257221"/>
    <w:rsid w:val="002A42F1"/>
    <w:rsid w:val="003345CE"/>
    <w:rsid w:val="003F7D4E"/>
    <w:rsid w:val="00504317"/>
    <w:rsid w:val="005D68E6"/>
    <w:rsid w:val="006D6F3B"/>
    <w:rsid w:val="00717D3D"/>
    <w:rsid w:val="00732078"/>
    <w:rsid w:val="007B6AC9"/>
    <w:rsid w:val="00821480"/>
    <w:rsid w:val="00A430FD"/>
    <w:rsid w:val="00B16589"/>
    <w:rsid w:val="00C75F96"/>
    <w:rsid w:val="00D310F9"/>
    <w:rsid w:val="00E462C7"/>
    <w:rsid w:val="00F07841"/>
    <w:rsid w:val="01070540"/>
    <w:rsid w:val="010D6029"/>
    <w:rsid w:val="01175585"/>
    <w:rsid w:val="01391B08"/>
    <w:rsid w:val="01415FE7"/>
    <w:rsid w:val="014E3BFF"/>
    <w:rsid w:val="0153326A"/>
    <w:rsid w:val="01586F89"/>
    <w:rsid w:val="015F4D05"/>
    <w:rsid w:val="016E15F0"/>
    <w:rsid w:val="018C1643"/>
    <w:rsid w:val="018D0F17"/>
    <w:rsid w:val="019D59F3"/>
    <w:rsid w:val="01A122BC"/>
    <w:rsid w:val="01A547FB"/>
    <w:rsid w:val="01B573B1"/>
    <w:rsid w:val="01CF7782"/>
    <w:rsid w:val="01D82F31"/>
    <w:rsid w:val="01E65A4B"/>
    <w:rsid w:val="01E90844"/>
    <w:rsid w:val="01EB70EB"/>
    <w:rsid w:val="01EE2956"/>
    <w:rsid w:val="01F30FC2"/>
    <w:rsid w:val="01F34199"/>
    <w:rsid w:val="01F37548"/>
    <w:rsid w:val="01F7546E"/>
    <w:rsid w:val="01FE3195"/>
    <w:rsid w:val="01FF3AD8"/>
    <w:rsid w:val="02003F90"/>
    <w:rsid w:val="020408B7"/>
    <w:rsid w:val="020E7FC9"/>
    <w:rsid w:val="021A6C4F"/>
    <w:rsid w:val="02244E15"/>
    <w:rsid w:val="02251590"/>
    <w:rsid w:val="02424433"/>
    <w:rsid w:val="024261A6"/>
    <w:rsid w:val="024E71FD"/>
    <w:rsid w:val="02542E95"/>
    <w:rsid w:val="0261475F"/>
    <w:rsid w:val="026D4780"/>
    <w:rsid w:val="02702F0F"/>
    <w:rsid w:val="02AA327D"/>
    <w:rsid w:val="02B10CAB"/>
    <w:rsid w:val="02B65A9C"/>
    <w:rsid w:val="02B93245"/>
    <w:rsid w:val="02CB6666"/>
    <w:rsid w:val="02D4220F"/>
    <w:rsid w:val="02D5148B"/>
    <w:rsid w:val="02D637A2"/>
    <w:rsid w:val="02F53801"/>
    <w:rsid w:val="03157FFB"/>
    <w:rsid w:val="031F6079"/>
    <w:rsid w:val="03222A2A"/>
    <w:rsid w:val="032950CF"/>
    <w:rsid w:val="032F2F44"/>
    <w:rsid w:val="033C0E47"/>
    <w:rsid w:val="034E48C7"/>
    <w:rsid w:val="035510DA"/>
    <w:rsid w:val="036B6108"/>
    <w:rsid w:val="03752E0D"/>
    <w:rsid w:val="037551E4"/>
    <w:rsid w:val="03764359"/>
    <w:rsid w:val="037D4AC6"/>
    <w:rsid w:val="038807BB"/>
    <w:rsid w:val="03887BE8"/>
    <w:rsid w:val="03AD45BE"/>
    <w:rsid w:val="03B1713F"/>
    <w:rsid w:val="03BD5AE4"/>
    <w:rsid w:val="03CC4DBC"/>
    <w:rsid w:val="03D06C4D"/>
    <w:rsid w:val="03DD7C49"/>
    <w:rsid w:val="03EA6160"/>
    <w:rsid w:val="03FC0286"/>
    <w:rsid w:val="04016EE0"/>
    <w:rsid w:val="041469D4"/>
    <w:rsid w:val="04194CE4"/>
    <w:rsid w:val="041D63F5"/>
    <w:rsid w:val="042C47F4"/>
    <w:rsid w:val="0432076D"/>
    <w:rsid w:val="04370307"/>
    <w:rsid w:val="043E30AA"/>
    <w:rsid w:val="04596144"/>
    <w:rsid w:val="046402BE"/>
    <w:rsid w:val="04744645"/>
    <w:rsid w:val="04C609C8"/>
    <w:rsid w:val="04CA2EB8"/>
    <w:rsid w:val="04DB3B6D"/>
    <w:rsid w:val="04DE21B6"/>
    <w:rsid w:val="04E516C2"/>
    <w:rsid w:val="04FB7C3B"/>
    <w:rsid w:val="051756C8"/>
    <w:rsid w:val="05283461"/>
    <w:rsid w:val="05323B75"/>
    <w:rsid w:val="053B11D1"/>
    <w:rsid w:val="05432BBE"/>
    <w:rsid w:val="055612CF"/>
    <w:rsid w:val="056B7F9F"/>
    <w:rsid w:val="056F72B2"/>
    <w:rsid w:val="05710667"/>
    <w:rsid w:val="05746FC2"/>
    <w:rsid w:val="059613A0"/>
    <w:rsid w:val="05AB6A8B"/>
    <w:rsid w:val="05D03C02"/>
    <w:rsid w:val="05D35F51"/>
    <w:rsid w:val="05DC3514"/>
    <w:rsid w:val="05E56821"/>
    <w:rsid w:val="05EF79D4"/>
    <w:rsid w:val="05F97384"/>
    <w:rsid w:val="06073F5A"/>
    <w:rsid w:val="060807D0"/>
    <w:rsid w:val="062A581B"/>
    <w:rsid w:val="062F259D"/>
    <w:rsid w:val="06320521"/>
    <w:rsid w:val="0632635B"/>
    <w:rsid w:val="064578CD"/>
    <w:rsid w:val="06510F22"/>
    <w:rsid w:val="06556BDF"/>
    <w:rsid w:val="067C2ABC"/>
    <w:rsid w:val="067F52D3"/>
    <w:rsid w:val="06823015"/>
    <w:rsid w:val="068C5DE8"/>
    <w:rsid w:val="069232A2"/>
    <w:rsid w:val="06991BD4"/>
    <w:rsid w:val="06A12303"/>
    <w:rsid w:val="06B10804"/>
    <w:rsid w:val="06B233CB"/>
    <w:rsid w:val="06BE4464"/>
    <w:rsid w:val="06BF698D"/>
    <w:rsid w:val="06C14BEB"/>
    <w:rsid w:val="06E60D29"/>
    <w:rsid w:val="06EA3448"/>
    <w:rsid w:val="06F74826"/>
    <w:rsid w:val="06F97917"/>
    <w:rsid w:val="07082E19"/>
    <w:rsid w:val="070C1791"/>
    <w:rsid w:val="07163664"/>
    <w:rsid w:val="07335318"/>
    <w:rsid w:val="07431E20"/>
    <w:rsid w:val="07481B6A"/>
    <w:rsid w:val="075A189C"/>
    <w:rsid w:val="07762DFC"/>
    <w:rsid w:val="079510A6"/>
    <w:rsid w:val="07A20778"/>
    <w:rsid w:val="07C05BA3"/>
    <w:rsid w:val="07C66721"/>
    <w:rsid w:val="07D21C55"/>
    <w:rsid w:val="07E53F09"/>
    <w:rsid w:val="07E94B24"/>
    <w:rsid w:val="07F41CF0"/>
    <w:rsid w:val="080003BB"/>
    <w:rsid w:val="080C2673"/>
    <w:rsid w:val="081B03FF"/>
    <w:rsid w:val="08255F0D"/>
    <w:rsid w:val="082C3238"/>
    <w:rsid w:val="083251D0"/>
    <w:rsid w:val="0834033F"/>
    <w:rsid w:val="083660F9"/>
    <w:rsid w:val="083C5DB1"/>
    <w:rsid w:val="08543F95"/>
    <w:rsid w:val="0859093F"/>
    <w:rsid w:val="08712E62"/>
    <w:rsid w:val="087211AD"/>
    <w:rsid w:val="08733318"/>
    <w:rsid w:val="08736E17"/>
    <w:rsid w:val="08AE079C"/>
    <w:rsid w:val="08B80F70"/>
    <w:rsid w:val="08BB7D2B"/>
    <w:rsid w:val="08C01BD2"/>
    <w:rsid w:val="08C07E24"/>
    <w:rsid w:val="08C401C2"/>
    <w:rsid w:val="08C611A2"/>
    <w:rsid w:val="08CF0CCF"/>
    <w:rsid w:val="08D774B0"/>
    <w:rsid w:val="08ED168F"/>
    <w:rsid w:val="08F54CBF"/>
    <w:rsid w:val="08FB50E9"/>
    <w:rsid w:val="0908276D"/>
    <w:rsid w:val="0929339D"/>
    <w:rsid w:val="09307D48"/>
    <w:rsid w:val="093C2B8B"/>
    <w:rsid w:val="09423F74"/>
    <w:rsid w:val="0949693F"/>
    <w:rsid w:val="095E7F80"/>
    <w:rsid w:val="096114E9"/>
    <w:rsid w:val="097207A7"/>
    <w:rsid w:val="097A7FD3"/>
    <w:rsid w:val="097B5705"/>
    <w:rsid w:val="097E1E15"/>
    <w:rsid w:val="099C2425"/>
    <w:rsid w:val="099F5C8C"/>
    <w:rsid w:val="09AC6560"/>
    <w:rsid w:val="09AF2373"/>
    <w:rsid w:val="09B21BFC"/>
    <w:rsid w:val="09B53A60"/>
    <w:rsid w:val="09B90AFC"/>
    <w:rsid w:val="09CE39D9"/>
    <w:rsid w:val="09E97995"/>
    <w:rsid w:val="09F71624"/>
    <w:rsid w:val="0A014CC5"/>
    <w:rsid w:val="0A0977F3"/>
    <w:rsid w:val="0A117773"/>
    <w:rsid w:val="0A163389"/>
    <w:rsid w:val="0A3463D4"/>
    <w:rsid w:val="0A3E4F9F"/>
    <w:rsid w:val="0A3E7253"/>
    <w:rsid w:val="0A6B35E6"/>
    <w:rsid w:val="0A6F2814"/>
    <w:rsid w:val="0A7260F8"/>
    <w:rsid w:val="0A79469D"/>
    <w:rsid w:val="0A826E25"/>
    <w:rsid w:val="0A886AA2"/>
    <w:rsid w:val="0A8A2F8A"/>
    <w:rsid w:val="0A9378F0"/>
    <w:rsid w:val="0A99458C"/>
    <w:rsid w:val="0A997BCB"/>
    <w:rsid w:val="0AA930A8"/>
    <w:rsid w:val="0AB9048F"/>
    <w:rsid w:val="0AC26A55"/>
    <w:rsid w:val="0AD1533C"/>
    <w:rsid w:val="0ADD081A"/>
    <w:rsid w:val="0AE012A0"/>
    <w:rsid w:val="0AE96C40"/>
    <w:rsid w:val="0AF522F6"/>
    <w:rsid w:val="0B2039EA"/>
    <w:rsid w:val="0B2125EB"/>
    <w:rsid w:val="0B346668"/>
    <w:rsid w:val="0B574100"/>
    <w:rsid w:val="0B641CFB"/>
    <w:rsid w:val="0B6E5916"/>
    <w:rsid w:val="0B74741F"/>
    <w:rsid w:val="0B7A0F16"/>
    <w:rsid w:val="0B8C60D9"/>
    <w:rsid w:val="0BB63E43"/>
    <w:rsid w:val="0BB70C84"/>
    <w:rsid w:val="0BC35275"/>
    <w:rsid w:val="0BCA0D2D"/>
    <w:rsid w:val="0BCE15C6"/>
    <w:rsid w:val="0BD10911"/>
    <w:rsid w:val="0BD466FD"/>
    <w:rsid w:val="0BE3399B"/>
    <w:rsid w:val="0BE837C1"/>
    <w:rsid w:val="0BFB56F7"/>
    <w:rsid w:val="0C1116C9"/>
    <w:rsid w:val="0C183C81"/>
    <w:rsid w:val="0C1B3CF0"/>
    <w:rsid w:val="0C1B5F64"/>
    <w:rsid w:val="0C2A1362"/>
    <w:rsid w:val="0C3E79DE"/>
    <w:rsid w:val="0C472212"/>
    <w:rsid w:val="0C4B5C57"/>
    <w:rsid w:val="0C811679"/>
    <w:rsid w:val="0C8218FF"/>
    <w:rsid w:val="0C862A2E"/>
    <w:rsid w:val="0C947D72"/>
    <w:rsid w:val="0C9D0E7A"/>
    <w:rsid w:val="0C9E5B95"/>
    <w:rsid w:val="0CA27F6D"/>
    <w:rsid w:val="0CA84FED"/>
    <w:rsid w:val="0CAC56D3"/>
    <w:rsid w:val="0CB952B6"/>
    <w:rsid w:val="0CC53AF0"/>
    <w:rsid w:val="0CC57E17"/>
    <w:rsid w:val="0CCC42D6"/>
    <w:rsid w:val="0CD20FBC"/>
    <w:rsid w:val="0CDC6477"/>
    <w:rsid w:val="0CE70B53"/>
    <w:rsid w:val="0CEA7D08"/>
    <w:rsid w:val="0CFD33F5"/>
    <w:rsid w:val="0D0267DB"/>
    <w:rsid w:val="0D103EF7"/>
    <w:rsid w:val="0D1B505A"/>
    <w:rsid w:val="0D1B6BD4"/>
    <w:rsid w:val="0D1F2BE5"/>
    <w:rsid w:val="0D6F5011"/>
    <w:rsid w:val="0D870673"/>
    <w:rsid w:val="0D9F609E"/>
    <w:rsid w:val="0DA24213"/>
    <w:rsid w:val="0DB963BF"/>
    <w:rsid w:val="0DC12596"/>
    <w:rsid w:val="0DC444A6"/>
    <w:rsid w:val="0DCA5649"/>
    <w:rsid w:val="0DCB6B01"/>
    <w:rsid w:val="0DD90D2A"/>
    <w:rsid w:val="0DE235C5"/>
    <w:rsid w:val="0DE4200C"/>
    <w:rsid w:val="0DEC7D15"/>
    <w:rsid w:val="0E023EE8"/>
    <w:rsid w:val="0E125859"/>
    <w:rsid w:val="0E2D1AB8"/>
    <w:rsid w:val="0E344C14"/>
    <w:rsid w:val="0E3C7F4D"/>
    <w:rsid w:val="0E4B4C2C"/>
    <w:rsid w:val="0E4B63E2"/>
    <w:rsid w:val="0E5F1184"/>
    <w:rsid w:val="0E66233C"/>
    <w:rsid w:val="0E7304E4"/>
    <w:rsid w:val="0E774EDA"/>
    <w:rsid w:val="0E8F4E04"/>
    <w:rsid w:val="0E9276B1"/>
    <w:rsid w:val="0EA004DC"/>
    <w:rsid w:val="0EA56BBB"/>
    <w:rsid w:val="0EB427E9"/>
    <w:rsid w:val="0EB70F20"/>
    <w:rsid w:val="0ED0174A"/>
    <w:rsid w:val="0ED4462A"/>
    <w:rsid w:val="0ED57C79"/>
    <w:rsid w:val="0EDE5850"/>
    <w:rsid w:val="0EEC4D96"/>
    <w:rsid w:val="0F0241CB"/>
    <w:rsid w:val="0F0A1DF9"/>
    <w:rsid w:val="0F1B11D4"/>
    <w:rsid w:val="0F447544"/>
    <w:rsid w:val="0F501231"/>
    <w:rsid w:val="0F507CA5"/>
    <w:rsid w:val="0F530DBF"/>
    <w:rsid w:val="0F566FA2"/>
    <w:rsid w:val="0F5E7569"/>
    <w:rsid w:val="0F820474"/>
    <w:rsid w:val="0F8310EE"/>
    <w:rsid w:val="0F882395"/>
    <w:rsid w:val="0F963B27"/>
    <w:rsid w:val="0F984437"/>
    <w:rsid w:val="0FA830CD"/>
    <w:rsid w:val="0FAC5BB8"/>
    <w:rsid w:val="0FAD3B2A"/>
    <w:rsid w:val="0FB07E4D"/>
    <w:rsid w:val="0FCB1589"/>
    <w:rsid w:val="0FD6081C"/>
    <w:rsid w:val="0FE33A4D"/>
    <w:rsid w:val="0FEC2C08"/>
    <w:rsid w:val="0FFD654C"/>
    <w:rsid w:val="0FFF7484"/>
    <w:rsid w:val="10003075"/>
    <w:rsid w:val="10341E1C"/>
    <w:rsid w:val="103D44C2"/>
    <w:rsid w:val="10496D35"/>
    <w:rsid w:val="104E10D6"/>
    <w:rsid w:val="10596505"/>
    <w:rsid w:val="105C6685"/>
    <w:rsid w:val="105F7F23"/>
    <w:rsid w:val="10656094"/>
    <w:rsid w:val="10756B4C"/>
    <w:rsid w:val="10771710"/>
    <w:rsid w:val="107D54B5"/>
    <w:rsid w:val="108038C1"/>
    <w:rsid w:val="10911D53"/>
    <w:rsid w:val="109606F9"/>
    <w:rsid w:val="109C5C98"/>
    <w:rsid w:val="10A00624"/>
    <w:rsid w:val="10A2208C"/>
    <w:rsid w:val="10B507A3"/>
    <w:rsid w:val="10BB2BCF"/>
    <w:rsid w:val="10D64689"/>
    <w:rsid w:val="10DD7D2D"/>
    <w:rsid w:val="10F539FE"/>
    <w:rsid w:val="1109016A"/>
    <w:rsid w:val="110A7B20"/>
    <w:rsid w:val="11212114"/>
    <w:rsid w:val="11236A99"/>
    <w:rsid w:val="11292A0B"/>
    <w:rsid w:val="114855C9"/>
    <w:rsid w:val="114900F8"/>
    <w:rsid w:val="11491476"/>
    <w:rsid w:val="11551D17"/>
    <w:rsid w:val="11561326"/>
    <w:rsid w:val="116332AF"/>
    <w:rsid w:val="117F262B"/>
    <w:rsid w:val="117F688B"/>
    <w:rsid w:val="1191204D"/>
    <w:rsid w:val="11A06393"/>
    <w:rsid w:val="11A16A45"/>
    <w:rsid w:val="11A960ED"/>
    <w:rsid w:val="11AD363C"/>
    <w:rsid w:val="11AD7CE2"/>
    <w:rsid w:val="11D028F0"/>
    <w:rsid w:val="11D949F0"/>
    <w:rsid w:val="11E84674"/>
    <w:rsid w:val="11EB7CC0"/>
    <w:rsid w:val="11F254F3"/>
    <w:rsid w:val="11F70DB3"/>
    <w:rsid w:val="11F800D4"/>
    <w:rsid w:val="11FA6155"/>
    <w:rsid w:val="11FE076A"/>
    <w:rsid w:val="122074B8"/>
    <w:rsid w:val="122F2C62"/>
    <w:rsid w:val="12313FA7"/>
    <w:rsid w:val="12346111"/>
    <w:rsid w:val="12353631"/>
    <w:rsid w:val="12485935"/>
    <w:rsid w:val="125674F8"/>
    <w:rsid w:val="126B5C8F"/>
    <w:rsid w:val="12702CED"/>
    <w:rsid w:val="1270734D"/>
    <w:rsid w:val="12740DBB"/>
    <w:rsid w:val="12820528"/>
    <w:rsid w:val="128955F1"/>
    <w:rsid w:val="128979BF"/>
    <w:rsid w:val="12953255"/>
    <w:rsid w:val="12B14FCC"/>
    <w:rsid w:val="12B26A30"/>
    <w:rsid w:val="12B952F9"/>
    <w:rsid w:val="12C329EB"/>
    <w:rsid w:val="12C37788"/>
    <w:rsid w:val="12D31871"/>
    <w:rsid w:val="12FF3845"/>
    <w:rsid w:val="130A5013"/>
    <w:rsid w:val="13133FCF"/>
    <w:rsid w:val="13165211"/>
    <w:rsid w:val="132F46EA"/>
    <w:rsid w:val="13315C15"/>
    <w:rsid w:val="134105F7"/>
    <w:rsid w:val="13456BDD"/>
    <w:rsid w:val="13622204"/>
    <w:rsid w:val="13640C2C"/>
    <w:rsid w:val="13720110"/>
    <w:rsid w:val="137361BF"/>
    <w:rsid w:val="13764281"/>
    <w:rsid w:val="138F3179"/>
    <w:rsid w:val="13A2736A"/>
    <w:rsid w:val="13B93367"/>
    <w:rsid w:val="13B96A5B"/>
    <w:rsid w:val="13C44A5B"/>
    <w:rsid w:val="13D36C5E"/>
    <w:rsid w:val="13DE1DCC"/>
    <w:rsid w:val="13DF1AA7"/>
    <w:rsid w:val="13F42390"/>
    <w:rsid w:val="13FA4DCC"/>
    <w:rsid w:val="13FD017F"/>
    <w:rsid w:val="13FD5ED0"/>
    <w:rsid w:val="14083CCE"/>
    <w:rsid w:val="140B464A"/>
    <w:rsid w:val="140D2787"/>
    <w:rsid w:val="1431124A"/>
    <w:rsid w:val="143570B8"/>
    <w:rsid w:val="143F60A1"/>
    <w:rsid w:val="14506409"/>
    <w:rsid w:val="145265C5"/>
    <w:rsid w:val="145F5CED"/>
    <w:rsid w:val="145F7A65"/>
    <w:rsid w:val="14723C15"/>
    <w:rsid w:val="147240DC"/>
    <w:rsid w:val="148443FC"/>
    <w:rsid w:val="14873CD3"/>
    <w:rsid w:val="149070A3"/>
    <w:rsid w:val="1493309E"/>
    <w:rsid w:val="149F2995"/>
    <w:rsid w:val="14A34B4D"/>
    <w:rsid w:val="14A36990"/>
    <w:rsid w:val="14B1350D"/>
    <w:rsid w:val="14C43FCC"/>
    <w:rsid w:val="14C5798B"/>
    <w:rsid w:val="14D17AC5"/>
    <w:rsid w:val="14D35F5F"/>
    <w:rsid w:val="150F33B2"/>
    <w:rsid w:val="15113EE2"/>
    <w:rsid w:val="15252E50"/>
    <w:rsid w:val="152E3182"/>
    <w:rsid w:val="15330703"/>
    <w:rsid w:val="153642B2"/>
    <w:rsid w:val="15395E74"/>
    <w:rsid w:val="153C0833"/>
    <w:rsid w:val="154B45E4"/>
    <w:rsid w:val="154C6E75"/>
    <w:rsid w:val="15522AA8"/>
    <w:rsid w:val="15535782"/>
    <w:rsid w:val="15563035"/>
    <w:rsid w:val="15636F6C"/>
    <w:rsid w:val="156E495F"/>
    <w:rsid w:val="15802E15"/>
    <w:rsid w:val="15904BD1"/>
    <w:rsid w:val="15932B49"/>
    <w:rsid w:val="159653F6"/>
    <w:rsid w:val="159A763D"/>
    <w:rsid w:val="15A11260"/>
    <w:rsid w:val="15C4081D"/>
    <w:rsid w:val="15D05B4B"/>
    <w:rsid w:val="15D265B1"/>
    <w:rsid w:val="15D71B05"/>
    <w:rsid w:val="15F24AA9"/>
    <w:rsid w:val="15F7347C"/>
    <w:rsid w:val="1605282A"/>
    <w:rsid w:val="160D62DB"/>
    <w:rsid w:val="161377E5"/>
    <w:rsid w:val="162858ED"/>
    <w:rsid w:val="162978A1"/>
    <w:rsid w:val="162B6AFB"/>
    <w:rsid w:val="162F2805"/>
    <w:rsid w:val="163634D4"/>
    <w:rsid w:val="163B52FF"/>
    <w:rsid w:val="163D3672"/>
    <w:rsid w:val="164C2CF7"/>
    <w:rsid w:val="165E3829"/>
    <w:rsid w:val="16625F95"/>
    <w:rsid w:val="166A720D"/>
    <w:rsid w:val="169E627B"/>
    <w:rsid w:val="16A03762"/>
    <w:rsid w:val="16A70ED7"/>
    <w:rsid w:val="16C36C63"/>
    <w:rsid w:val="16C831A6"/>
    <w:rsid w:val="16D21901"/>
    <w:rsid w:val="16D677EB"/>
    <w:rsid w:val="16DF3B6C"/>
    <w:rsid w:val="16E55626"/>
    <w:rsid w:val="16F93553"/>
    <w:rsid w:val="170C1BDA"/>
    <w:rsid w:val="17127A9D"/>
    <w:rsid w:val="171B1048"/>
    <w:rsid w:val="172719AB"/>
    <w:rsid w:val="17315F09"/>
    <w:rsid w:val="17575DF8"/>
    <w:rsid w:val="17593315"/>
    <w:rsid w:val="175E0E32"/>
    <w:rsid w:val="17672E19"/>
    <w:rsid w:val="176C7654"/>
    <w:rsid w:val="176C79DE"/>
    <w:rsid w:val="177A0E1F"/>
    <w:rsid w:val="177A4DE4"/>
    <w:rsid w:val="17920BDE"/>
    <w:rsid w:val="179A7F22"/>
    <w:rsid w:val="17A133F8"/>
    <w:rsid w:val="17D06426"/>
    <w:rsid w:val="17D631C0"/>
    <w:rsid w:val="17D67296"/>
    <w:rsid w:val="17D763C2"/>
    <w:rsid w:val="17DB3467"/>
    <w:rsid w:val="17E019C9"/>
    <w:rsid w:val="17FF3DE1"/>
    <w:rsid w:val="180C6E5D"/>
    <w:rsid w:val="180D4289"/>
    <w:rsid w:val="180E64B6"/>
    <w:rsid w:val="18280AEF"/>
    <w:rsid w:val="1828551D"/>
    <w:rsid w:val="182B24D0"/>
    <w:rsid w:val="18335F1D"/>
    <w:rsid w:val="186D436E"/>
    <w:rsid w:val="1893035F"/>
    <w:rsid w:val="1899012D"/>
    <w:rsid w:val="18A62CFB"/>
    <w:rsid w:val="18A9254F"/>
    <w:rsid w:val="18AD4955"/>
    <w:rsid w:val="18B875FE"/>
    <w:rsid w:val="18C73D5E"/>
    <w:rsid w:val="18C91115"/>
    <w:rsid w:val="18C94AD3"/>
    <w:rsid w:val="18D45952"/>
    <w:rsid w:val="18E571D3"/>
    <w:rsid w:val="18ED0502"/>
    <w:rsid w:val="18ED27E5"/>
    <w:rsid w:val="18F30F3D"/>
    <w:rsid w:val="18F35DEF"/>
    <w:rsid w:val="18FA252A"/>
    <w:rsid w:val="19001E90"/>
    <w:rsid w:val="191743CE"/>
    <w:rsid w:val="19267F8A"/>
    <w:rsid w:val="19346493"/>
    <w:rsid w:val="1938125B"/>
    <w:rsid w:val="19466F5D"/>
    <w:rsid w:val="194A6E65"/>
    <w:rsid w:val="194C3802"/>
    <w:rsid w:val="195D2117"/>
    <w:rsid w:val="195D5B5D"/>
    <w:rsid w:val="195E62EC"/>
    <w:rsid w:val="196547FC"/>
    <w:rsid w:val="197E79E0"/>
    <w:rsid w:val="19824B1D"/>
    <w:rsid w:val="19832915"/>
    <w:rsid w:val="198352C5"/>
    <w:rsid w:val="198B3288"/>
    <w:rsid w:val="199A751A"/>
    <w:rsid w:val="199D34CE"/>
    <w:rsid w:val="19B47531"/>
    <w:rsid w:val="19BA7280"/>
    <w:rsid w:val="19D23783"/>
    <w:rsid w:val="19D84FCE"/>
    <w:rsid w:val="19D86E3E"/>
    <w:rsid w:val="19DE6130"/>
    <w:rsid w:val="19DE7BB3"/>
    <w:rsid w:val="19E41BC5"/>
    <w:rsid w:val="19EA2F53"/>
    <w:rsid w:val="1A0D03C5"/>
    <w:rsid w:val="1A0F19C1"/>
    <w:rsid w:val="1A1E72ED"/>
    <w:rsid w:val="1A2E2E40"/>
    <w:rsid w:val="1A5D0081"/>
    <w:rsid w:val="1A6B3A9A"/>
    <w:rsid w:val="1A6E2F19"/>
    <w:rsid w:val="1A7B306F"/>
    <w:rsid w:val="1A806848"/>
    <w:rsid w:val="1A814826"/>
    <w:rsid w:val="1A8707A2"/>
    <w:rsid w:val="1A877C75"/>
    <w:rsid w:val="1A8D5023"/>
    <w:rsid w:val="1A921E3C"/>
    <w:rsid w:val="1A996EE3"/>
    <w:rsid w:val="1A9B4D59"/>
    <w:rsid w:val="1AA651E6"/>
    <w:rsid w:val="1AA94BBC"/>
    <w:rsid w:val="1AAE51B4"/>
    <w:rsid w:val="1AB1581F"/>
    <w:rsid w:val="1ABD2416"/>
    <w:rsid w:val="1AC612CA"/>
    <w:rsid w:val="1ACB2C3B"/>
    <w:rsid w:val="1AD64CAF"/>
    <w:rsid w:val="1AEA43A3"/>
    <w:rsid w:val="1AF30B07"/>
    <w:rsid w:val="1AFA0C51"/>
    <w:rsid w:val="1AFE4EC5"/>
    <w:rsid w:val="1B1E2EB4"/>
    <w:rsid w:val="1B2C79B8"/>
    <w:rsid w:val="1B362CAB"/>
    <w:rsid w:val="1B3A3A66"/>
    <w:rsid w:val="1B47553D"/>
    <w:rsid w:val="1B5355BA"/>
    <w:rsid w:val="1B624BD0"/>
    <w:rsid w:val="1B817614"/>
    <w:rsid w:val="1B8204F5"/>
    <w:rsid w:val="1B886580"/>
    <w:rsid w:val="1B9253A3"/>
    <w:rsid w:val="1B93726E"/>
    <w:rsid w:val="1BAD293E"/>
    <w:rsid w:val="1BB824B6"/>
    <w:rsid w:val="1BBD16AB"/>
    <w:rsid w:val="1BCF41AF"/>
    <w:rsid w:val="1BD24A3B"/>
    <w:rsid w:val="1BD635E7"/>
    <w:rsid w:val="1BE20BDB"/>
    <w:rsid w:val="1C1556A6"/>
    <w:rsid w:val="1C4C2384"/>
    <w:rsid w:val="1C6C3CA4"/>
    <w:rsid w:val="1C8360BC"/>
    <w:rsid w:val="1C8506AB"/>
    <w:rsid w:val="1C900E01"/>
    <w:rsid w:val="1C920D53"/>
    <w:rsid w:val="1C962F1E"/>
    <w:rsid w:val="1C9D7063"/>
    <w:rsid w:val="1CAF1A24"/>
    <w:rsid w:val="1CB87044"/>
    <w:rsid w:val="1CBF1AAB"/>
    <w:rsid w:val="1CBF3AA6"/>
    <w:rsid w:val="1CC5781E"/>
    <w:rsid w:val="1CCB4714"/>
    <w:rsid w:val="1CEE58A5"/>
    <w:rsid w:val="1CF2640C"/>
    <w:rsid w:val="1CFC5477"/>
    <w:rsid w:val="1CFE11EF"/>
    <w:rsid w:val="1D065A97"/>
    <w:rsid w:val="1D0A3BF7"/>
    <w:rsid w:val="1D161258"/>
    <w:rsid w:val="1D262F1B"/>
    <w:rsid w:val="1D305A28"/>
    <w:rsid w:val="1D3515C9"/>
    <w:rsid w:val="1D47018A"/>
    <w:rsid w:val="1D504947"/>
    <w:rsid w:val="1D5A22AC"/>
    <w:rsid w:val="1D603631"/>
    <w:rsid w:val="1D614C1E"/>
    <w:rsid w:val="1D6D04EA"/>
    <w:rsid w:val="1D723B16"/>
    <w:rsid w:val="1D7A35D1"/>
    <w:rsid w:val="1D877F6B"/>
    <w:rsid w:val="1D9341AB"/>
    <w:rsid w:val="1DA3608C"/>
    <w:rsid w:val="1DBE4CB0"/>
    <w:rsid w:val="1DCA48A3"/>
    <w:rsid w:val="1DDE073E"/>
    <w:rsid w:val="1DDE453E"/>
    <w:rsid w:val="1DEC54EC"/>
    <w:rsid w:val="1DEF3A5A"/>
    <w:rsid w:val="1E04051A"/>
    <w:rsid w:val="1E173F7B"/>
    <w:rsid w:val="1E344AFA"/>
    <w:rsid w:val="1E4002A3"/>
    <w:rsid w:val="1E414EFE"/>
    <w:rsid w:val="1E6F0FA6"/>
    <w:rsid w:val="1E7F1AFC"/>
    <w:rsid w:val="1E8723AC"/>
    <w:rsid w:val="1E9224A7"/>
    <w:rsid w:val="1E97058F"/>
    <w:rsid w:val="1EAA2EA9"/>
    <w:rsid w:val="1EAD1413"/>
    <w:rsid w:val="1EB1403F"/>
    <w:rsid w:val="1EB23E31"/>
    <w:rsid w:val="1EBD7021"/>
    <w:rsid w:val="1EC4120D"/>
    <w:rsid w:val="1EC50873"/>
    <w:rsid w:val="1EC9771A"/>
    <w:rsid w:val="1ECC13D5"/>
    <w:rsid w:val="1ECC332E"/>
    <w:rsid w:val="1EEB6304"/>
    <w:rsid w:val="1F004906"/>
    <w:rsid w:val="1F091C2E"/>
    <w:rsid w:val="1F0F13DC"/>
    <w:rsid w:val="1F0F2CAA"/>
    <w:rsid w:val="1F0F3AC4"/>
    <w:rsid w:val="1F100342"/>
    <w:rsid w:val="1F182CC6"/>
    <w:rsid w:val="1F2A1D94"/>
    <w:rsid w:val="1F3B52CF"/>
    <w:rsid w:val="1F5100CD"/>
    <w:rsid w:val="1F532874"/>
    <w:rsid w:val="1F775289"/>
    <w:rsid w:val="1F791DEE"/>
    <w:rsid w:val="1F817EB6"/>
    <w:rsid w:val="1F89604C"/>
    <w:rsid w:val="1F9537B1"/>
    <w:rsid w:val="1F9A6949"/>
    <w:rsid w:val="1F9D6372"/>
    <w:rsid w:val="1F9E2A5F"/>
    <w:rsid w:val="1FA12306"/>
    <w:rsid w:val="1FA34011"/>
    <w:rsid w:val="1FB90384"/>
    <w:rsid w:val="1FBC7945"/>
    <w:rsid w:val="1FC15CDC"/>
    <w:rsid w:val="1FD321F4"/>
    <w:rsid w:val="1FD955FC"/>
    <w:rsid w:val="1FDB4480"/>
    <w:rsid w:val="1FE10954"/>
    <w:rsid w:val="1FE43FA1"/>
    <w:rsid w:val="1FF82C2C"/>
    <w:rsid w:val="1FFA0403"/>
    <w:rsid w:val="201A219E"/>
    <w:rsid w:val="201A5E0D"/>
    <w:rsid w:val="202558E6"/>
    <w:rsid w:val="202B4E35"/>
    <w:rsid w:val="202F3F1B"/>
    <w:rsid w:val="20320A13"/>
    <w:rsid w:val="20356666"/>
    <w:rsid w:val="20420685"/>
    <w:rsid w:val="2043206D"/>
    <w:rsid w:val="204A4D98"/>
    <w:rsid w:val="206104AB"/>
    <w:rsid w:val="20684794"/>
    <w:rsid w:val="206A094A"/>
    <w:rsid w:val="208539D6"/>
    <w:rsid w:val="209963FC"/>
    <w:rsid w:val="209C2290"/>
    <w:rsid w:val="209F17AE"/>
    <w:rsid w:val="20AD5F53"/>
    <w:rsid w:val="20B8594F"/>
    <w:rsid w:val="20BA2295"/>
    <w:rsid w:val="20C633DE"/>
    <w:rsid w:val="20D220D6"/>
    <w:rsid w:val="20D27B3D"/>
    <w:rsid w:val="20DC4B45"/>
    <w:rsid w:val="20EA2F22"/>
    <w:rsid w:val="210046F0"/>
    <w:rsid w:val="21215F19"/>
    <w:rsid w:val="21240AF9"/>
    <w:rsid w:val="213276BA"/>
    <w:rsid w:val="213A2764"/>
    <w:rsid w:val="21417C0C"/>
    <w:rsid w:val="21497AAC"/>
    <w:rsid w:val="21591B8A"/>
    <w:rsid w:val="21771570"/>
    <w:rsid w:val="21784EEB"/>
    <w:rsid w:val="218339B2"/>
    <w:rsid w:val="2186530F"/>
    <w:rsid w:val="21925ED0"/>
    <w:rsid w:val="21A5397D"/>
    <w:rsid w:val="21A66DA0"/>
    <w:rsid w:val="21A67E33"/>
    <w:rsid w:val="21B270B5"/>
    <w:rsid w:val="21B31565"/>
    <w:rsid w:val="21BE0F4D"/>
    <w:rsid w:val="21C034E1"/>
    <w:rsid w:val="21C14E47"/>
    <w:rsid w:val="21C4176D"/>
    <w:rsid w:val="21E60B31"/>
    <w:rsid w:val="21E84CB9"/>
    <w:rsid w:val="21EC2697"/>
    <w:rsid w:val="221B014E"/>
    <w:rsid w:val="222748FC"/>
    <w:rsid w:val="22327245"/>
    <w:rsid w:val="22342FBD"/>
    <w:rsid w:val="225E028A"/>
    <w:rsid w:val="22664D98"/>
    <w:rsid w:val="22677FF9"/>
    <w:rsid w:val="22681568"/>
    <w:rsid w:val="22821DF8"/>
    <w:rsid w:val="228B537C"/>
    <w:rsid w:val="22904FEA"/>
    <w:rsid w:val="22A27EB2"/>
    <w:rsid w:val="22C22238"/>
    <w:rsid w:val="22CF0F4A"/>
    <w:rsid w:val="22F14D4B"/>
    <w:rsid w:val="22F653E9"/>
    <w:rsid w:val="230A5B58"/>
    <w:rsid w:val="230C63E4"/>
    <w:rsid w:val="23176E7F"/>
    <w:rsid w:val="23234ABF"/>
    <w:rsid w:val="232474D6"/>
    <w:rsid w:val="23280701"/>
    <w:rsid w:val="235002CB"/>
    <w:rsid w:val="235643A6"/>
    <w:rsid w:val="23571659"/>
    <w:rsid w:val="235F7E10"/>
    <w:rsid w:val="23612F5B"/>
    <w:rsid w:val="23974089"/>
    <w:rsid w:val="23983A20"/>
    <w:rsid w:val="239D482D"/>
    <w:rsid w:val="239D4B92"/>
    <w:rsid w:val="23A5444E"/>
    <w:rsid w:val="23B7059F"/>
    <w:rsid w:val="23B73DEC"/>
    <w:rsid w:val="23B8310C"/>
    <w:rsid w:val="23E96AE2"/>
    <w:rsid w:val="2405544A"/>
    <w:rsid w:val="2409179A"/>
    <w:rsid w:val="24100FC7"/>
    <w:rsid w:val="24121E31"/>
    <w:rsid w:val="241758E3"/>
    <w:rsid w:val="24230DED"/>
    <w:rsid w:val="242B4894"/>
    <w:rsid w:val="243A5990"/>
    <w:rsid w:val="243C5298"/>
    <w:rsid w:val="24462D8D"/>
    <w:rsid w:val="244D095E"/>
    <w:rsid w:val="244E574D"/>
    <w:rsid w:val="245448EF"/>
    <w:rsid w:val="24561911"/>
    <w:rsid w:val="245F77CA"/>
    <w:rsid w:val="248C70B9"/>
    <w:rsid w:val="248D2864"/>
    <w:rsid w:val="24A56241"/>
    <w:rsid w:val="24A62CC5"/>
    <w:rsid w:val="24A94248"/>
    <w:rsid w:val="24B34A6B"/>
    <w:rsid w:val="24BA3512"/>
    <w:rsid w:val="24BC729A"/>
    <w:rsid w:val="24DF5C4D"/>
    <w:rsid w:val="24E773E9"/>
    <w:rsid w:val="24F70EEB"/>
    <w:rsid w:val="24FF7695"/>
    <w:rsid w:val="25072AA2"/>
    <w:rsid w:val="25075964"/>
    <w:rsid w:val="251D52EB"/>
    <w:rsid w:val="252A01D1"/>
    <w:rsid w:val="252F3C1C"/>
    <w:rsid w:val="25302E70"/>
    <w:rsid w:val="253A3AB2"/>
    <w:rsid w:val="25427493"/>
    <w:rsid w:val="2547757B"/>
    <w:rsid w:val="25497021"/>
    <w:rsid w:val="255203D9"/>
    <w:rsid w:val="25671EF2"/>
    <w:rsid w:val="258A4DB4"/>
    <w:rsid w:val="258E032F"/>
    <w:rsid w:val="25953D21"/>
    <w:rsid w:val="2598608C"/>
    <w:rsid w:val="259D31A0"/>
    <w:rsid w:val="259D6ED5"/>
    <w:rsid w:val="25A07DE4"/>
    <w:rsid w:val="25B06DFF"/>
    <w:rsid w:val="25B1554F"/>
    <w:rsid w:val="25CB2FB1"/>
    <w:rsid w:val="25DB3872"/>
    <w:rsid w:val="25DE43E2"/>
    <w:rsid w:val="25E3231E"/>
    <w:rsid w:val="25EF7C4B"/>
    <w:rsid w:val="26063115"/>
    <w:rsid w:val="26094FF8"/>
    <w:rsid w:val="260D2213"/>
    <w:rsid w:val="260F2E60"/>
    <w:rsid w:val="260F3C98"/>
    <w:rsid w:val="26256535"/>
    <w:rsid w:val="262D66A1"/>
    <w:rsid w:val="26355556"/>
    <w:rsid w:val="263838C1"/>
    <w:rsid w:val="26527EB6"/>
    <w:rsid w:val="266A16A4"/>
    <w:rsid w:val="2680332A"/>
    <w:rsid w:val="26882B9F"/>
    <w:rsid w:val="26894487"/>
    <w:rsid w:val="26906977"/>
    <w:rsid w:val="2694227D"/>
    <w:rsid w:val="26965C29"/>
    <w:rsid w:val="26970B20"/>
    <w:rsid w:val="26A279BA"/>
    <w:rsid w:val="26B40FBC"/>
    <w:rsid w:val="26BA1553"/>
    <w:rsid w:val="26BD5C77"/>
    <w:rsid w:val="26C47C06"/>
    <w:rsid w:val="26C54908"/>
    <w:rsid w:val="26D14F16"/>
    <w:rsid w:val="26D96290"/>
    <w:rsid w:val="26DC4193"/>
    <w:rsid w:val="26E00A85"/>
    <w:rsid w:val="26EE1123"/>
    <w:rsid w:val="26FB5B38"/>
    <w:rsid w:val="27050A1B"/>
    <w:rsid w:val="27093095"/>
    <w:rsid w:val="272727BE"/>
    <w:rsid w:val="27491752"/>
    <w:rsid w:val="274F0899"/>
    <w:rsid w:val="2759588C"/>
    <w:rsid w:val="275C5CD6"/>
    <w:rsid w:val="27652186"/>
    <w:rsid w:val="27807A2B"/>
    <w:rsid w:val="27852436"/>
    <w:rsid w:val="27893E69"/>
    <w:rsid w:val="27946DAA"/>
    <w:rsid w:val="279574D4"/>
    <w:rsid w:val="27B801ED"/>
    <w:rsid w:val="27BC0290"/>
    <w:rsid w:val="27C10ACA"/>
    <w:rsid w:val="27CB0E9C"/>
    <w:rsid w:val="27CC24BE"/>
    <w:rsid w:val="27D15AFC"/>
    <w:rsid w:val="27E47068"/>
    <w:rsid w:val="27EE5BA5"/>
    <w:rsid w:val="28017B69"/>
    <w:rsid w:val="28346222"/>
    <w:rsid w:val="283822D6"/>
    <w:rsid w:val="28397C62"/>
    <w:rsid w:val="284D2AA4"/>
    <w:rsid w:val="284F6DA3"/>
    <w:rsid w:val="286D7229"/>
    <w:rsid w:val="289261D8"/>
    <w:rsid w:val="289A1DD6"/>
    <w:rsid w:val="28A9720A"/>
    <w:rsid w:val="28C92869"/>
    <w:rsid w:val="28D41056"/>
    <w:rsid w:val="28D53702"/>
    <w:rsid w:val="28D54C02"/>
    <w:rsid w:val="28E3740A"/>
    <w:rsid w:val="28E453FC"/>
    <w:rsid w:val="28FB4835"/>
    <w:rsid w:val="29121F00"/>
    <w:rsid w:val="2917291C"/>
    <w:rsid w:val="291853E7"/>
    <w:rsid w:val="29205FB5"/>
    <w:rsid w:val="29226266"/>
    <w:rsid w:val="29274EFE"/>
    <w:rsid w:val="29283DE3"/>
    <w:rsid w:val="29292725"/>
    <w:rsid w:val="292D69B8"/>
    <w:rsid w:val="2937704C"/>
    <w:rsid w:val="29391F39"/>
    <w:rsid w:val="29411465"/>
    <w:rsid w:val="295C2EFB"/>
    <w:rsid w:val="2960444C"/>
    <w:rsid w:val="297A0308"/>
    <w:rsid w:val="297B755B"/>
    <w:rsid w:val="29846103"/>
    <w:rsid w:val="29890081"/>
    <w:rsid w:val="298B4E2C"/>
    <w:rsid w:val="29950A1B"/>
    <w:rsid w:val="29966D9A"/>
    <w:rsid w:val="29A2195A"/>
    <w:rsid w:val="29BB458C"/>
    <w:rsid w:val="29C42E79"/>
    <w:rsid w:val="29C50A2F"/>
    <w:rsid w:val="29D10496"/>
    <w:rsid w:val="29D36734"/>
    <w:rsid w:val="29E67293"/>
    <w:rsid w:val="29F91F6F"/>
    <w:rsid w:val="2A1C3265"/>
    <w:rsid w:val="2A1D732F"/>
    <w:rsid w:val="2A2A6BA3"/>
    <w:rsid w:val="2A310A3F"/>
    <w:rsid w:val="2A332A5B"/>
    <w:rsid w:val="2A461ACA"/>
    <w:rsid w:val="2A4D10C0"/>
    <w:rsid w:val="2A622692"/>
    <w:rsid w:val="2A70418C"/>
    <w:rsid w:val="2A7C3754"/>
    <w:rsid w:val="2A9036A3"/>
    <w:rsid w:val="2AB55C42"/>
    <w:rsid w:val="2AB738C8"/>
    <w:rsid w:val="2ABE1FBE"/>
    <w:rsid w:val="2ACE040C"/>
    <w:rsid w:val="2ACF242A"/>
    <w:rsid w:val="2AD55FB6"/>
    <w:rsid w:val="2ADD1F9E"/>
    <w:rsid w:val="2AE36A74"/>
    <w:rsid w:val="2AF4600E"/>
    <w:rsid w:val="2B103450"/>
    <w:rsid w:val="2B105781"/>
    <w:rsid w:val="2B1562EA"/>
    <w:rsid w:val="2B173ABE"/>
    <w:rsid w:val="2B25527B"/>
    <w:rsid w:val="2B29084A"/>
    <w:rsid w:val="2B2D73FC"/>
    <w:rsid w:val="2B2F4C6A"/>
    <w:rsid w:val="2B3F0BC7"/>
    <w:rsid w:val="2B410002"/>
    <w:rsid w:val="2B4F35C6"/>
    <w:rsid w:val="2B564BE7"/>
    <w:rsid w:val="2B61044B"/>
    <w:rsid w:val="2B6321CF"/>
    <w:rsid w:val="2B771DDA"/>
    <w:rsid w:val="2B773242"/>
    <w:rsid w:val="2B9A197D"/>
    <w:rsid w:val="2B9B51EA"/>
    <w:rsid w:val="2B9D6077"/>
    <w:rsid w:val="2BA46A90"/>
    <w:rsid w:val="2BB42891"/>
    <w:rsid w:val="2BB43B7F"/>
    <w:rsid w:val="2BCA04EF"/>
    <w:rsid w:val="2BD62E54"/>
    <w:rsid w:val="2BDC315C"/>
    <w:rsid w:val="2BE271E3"/>
    <w:rsid w:val="2BE75FA5"/>
    <w:rsid w:val="2C112457"/>
    <w:rsid w:val="2C144B16"/>
    <w:rsid w:val="2C1C3440"/>
    <w:rsid w:val="2C1D55C2"/>
    <w:rsid w:val="2C4402A1"/>
    <w:rsid w:val="2C572765"/>
    <w:rsid w:val="2C5775DB"/>
    <w:rsid w:val="2C62064D"/>
    <w:rsid w:val="2C666A06"/>
    <w:rsid w:val="2C770359"/>
    <w:rsid w:val="2C7C6A09"/>
    <w:rsid w:val="2C817AF3"/>
    <w:rsid w:val="2C874022"/>
    <w:rsid w:val="2C923388"/>
    <w:rsid w:val="2C95657E"/>
    <w:rsid w:val="2CB73169"/>
    <w:rsid w:val="2CC33510"/>
    <w:rsid w:val="2CC8357B"/>
    <w:rsid w:val="2CD07D87"/>
    <w:rsid w:val="2CE7073F"/>
    <w:rsid w:val="2CEA79A6"/>
    <w:rsid w:val="2CF50D0E"/>
    <w:rsid w:val="2CF9108B"/>
    <w:rsid w:val="2CF95873"/>
    <w:rsid w:val="2CFA4FD3"/>
    <w:rsid w:val="2D000D35"/>
    <w:rsid w:val="2D0B0AB5"/>
    <w:rsid w:val="2D161FA2"/>
    <w:rsid w:val="2D2307FE"/>
    <w:rsid w:val="2D310F6B"/>
    <w:rsid w:val="2D316CD6"/>
    <w:rsid w:val="2D380655"/>
    <w:rsid w:val="2D3B5B48"/>
    <w:rsid w:val="2D426ED6"/>
    <w:rsid w:val="2D4929B3"/>
    <w:rsid w:val="2D494353"/>
    <w:rsid w:val="2D55459C"/>
    <w:rsid w:val="2D56047C"/>
    <w:rsid w:val="2D5704A8"/>
    <w:rsid w:val="2D763FA2"/>
    <w:rsid w:val="2D7E77E3"/>
    <w:rsid w:val="2D954313"/>
    <w:rsid w:val="2D9976C8"/>
    <w:rsid w:val="2DA6352B"/>
    <w:rsid w:val="2DB94CBF"/>
    <w:rsid w:val="2DC357CD"/>
    <w:rsid w:val="2DC73DF7"/>
    <w:rsid w:val="2DE12F9D"/>
    <w:rsid w:val="2DEC299E"/>
    <w:rsid w:val="2DEC6610"/>
    <w:rsid w:val="2DF4574E"/>
    <w:rsid w:val="2DF73322"/>
    <w:rsid w:val="2DFA1131"/>
    <w:rsid w:val="2E085E3C"/>
    <w:rsid w:val="2E0D3D6A"/>
    <w:rsid w:val="2E1113A3"/>
    <w:rsid w:val="2E116357"/>
    <w:rsid w:val="2E16306A"/>
    <w:rsid w:val="2E25603D"/>
    <w:rsid w:val="2E271ED2"/>
    <w:rsid w:val="2E2F77DB"/>
    <w:rsid w:val="2E3F392F"/>
    <w:rsid w:val="2E414624"/>
    <w:rsid w:val="2E496043"/>
    <w:rsid w:val="2E4B3B69"/>
    <w:rsid w:val="2E573E9C"/>
    <w:rsid w:val="2E586662"/>
    <w:rsid w:val="2E64722F"/>
    <w:rsid w:val="2E6B420B"/>
    <w:rsid w:val="2E7B3B6D"/>
    <w:rsid w:val="2E7F0BA7"/>
    <w:rsid w:val="2E861E58"/>
    <w:rsid w:val="2E907687"/>
    <w:rsid w:val="2EAA37C0"/>
    <w:rsid w:val="2EB67BB3"/>
    <w:rsid w:val="2EBF4F35"/>
    <w:rsid w:val="2EC60319"/>
    <w:rsid w:val="2ED20222"/>
    <w:rsid w:val="2ED33B37"/>
    <w:rsid w:val="2ED67F44"/>
    <w:rsid w:val="2EF370CA"/>
    <w:rsid w:val="2F081A5A"/>
    <w:rsid w:val="2F0B6A77"/>
    <w:rsid w:val="2F3C7F94"/>
    <w:rsid w:val="2F551185"/>
    <w:rsid w:val="2F566C69"/>
    <w:rsid w:val="2F5B1D5D"/>
    <w:rsid w:val="2F7F2114"/>
    <w:rsid w:val="2F8477A9"/>
    <w:rsid w:val="2F872E79"/>
    <w:rsid w:val="2F9C3D11"/>
    <w:rsid w:val="2F9D6943"/>
    <w:rsid w:val="2FA16A47"/>
    <w:rsid w:val="2FB27C17"/>
    <w:rsid w:val="2FB57E06"/>
    <w:rsid w:val="2FB933E4"/>
    <w:rsid w:val="2FCA31B3"/>
    <w:rsid w:val="2FD17725"/>
    <w:rsid w:val="2FD82C24"/>
    <w:rsid w:val="2FD97D7C"/>
    <w:rsid w:val="2FE629BB"/>
    <w:rsid w:val="30055865"/>
    <w:rsid w:val="30112B90"/>
    <w:rsid w:val="301A6768"/>
    <w:rsid w:val="3025300D"/>
    <w:rsid w:val="3029612C"/>
    <w:rsid w:val="303F2376"/>
    <w:rsid w:val="30450C63"/>
    <w:rsid w:val="304765B2"/>
    <w:rsid w:val="3049057C"/>
    <w:rsid w:val="30552025"/>
    <w:rsid w:val="306727B0"/>
    <w:rsid w:val="306B5A38"/>
    <w:rsid w:val="30780C48"/>
    <w:rsid w:val="30915A7F"/>
    <w:rsid w:val="30937A84"/>
    <w:rsid w:val="30BF25EC"/>
    <w:rsid w:val="30D52E75"/>
    <w:rsid w:val="30DA0C8E"/>
    <w:rsid w:val="30F37424"/>
    <w:rsid w:val="30F447D5"/>
    <w:rsid w:val="31026C0A"/>
    <w:rsid w:val="310506F1"/>
    <w:rsid w:val="31090FD1"/>
    <w:rsid w:val="31094167"/>
    <w:rsid w:val="311B7876"/>
    <w:rsid w:val="31390077"/>
    <w:rsid w:val="313B1629"/>
    <w:rsid w:val="314113AC"/>
    <w:rsid w:val="314521F6"/>
    <w:rsid w:val="31500225"/>
    <w:rsid w:val="315745E9"/>
    <w:rsid w:val="31574A25"/>
    <w:rsid w:val="31634DBE"/>
    <w:rsid w:val="316E01B8"/>
    <w:rsid w:val="31815AF3"/>
    <w:rsid w:val="318C2C66"/>
    <w:rsid w:val="319D0E14"/>
    <w:rsid w:val="31B468A3"/>
    <w:rsid w:val="31BE78AB"/>
    <w:rsid w:val="31DE7AE4"/>
    <w:rsid w:val="31E20735"/>
    <w:rsid w:val="31E247E4"/>
    <w:rsid w:val="31F15208"/>
    <w:rsid w:val="31F322FE"/>
    <w:rsid w:val="31F6735B"/>
    <w:rsid w:val="320B4127"/>
    <w:rsid w:val="320B76A1"/>
    <w:rsid w:val="320D7387"/>
    <w:rsid w:val="320E7313"/>
    <w:rsid w:val="32252316"/>
    <w:rsid w:val="323C3EBC"/>
    <w:rsid w:val="32424C9B"/>
    <w:rsid w:val="3249667C"/>
    <w:rsid w:val="32513718"/>
    <w:rsid w:val="32551F5E"/>
    <w:rsid w:val="3264199E"/>
    <w:rsid w:val="3264344B"/>
    <w:rsid w:val="326F2B1F"/>
    <w:rsid w:val="32700042"/>
    <w:rsid w:val="327318E0"/>
    <w:rsid w:val="327815A0"/>
    <w:rsid w:val="327D7571"/>
    <w:rsid w:val="32803FFD"/>
    <w:rsid w:val="32A76FB0"/>
    <w:rsid w:val="32AA7B6D"/>
    <w:rsid w:val="32B27847"/>
    <w:rsid w:val="32BB73DF"/>
    <w:rsid w:val="32C3737A"/>
    <w:rsid w:val="32C77F53"/>
    <w:rsid w:val="32CE23E7"/>
    <w:rsid w:val="32D00AE0"/>
    <w:rsid w:val="32E331A4"/>
    <w:rsid w:val="32E676B6"/>
    <w:rsid w:val="32EC32A7"/>
    <w:rsid w:val="32F114C4"/>
    <w:rsid w:val="32F5452D"/>
    <w:rsid w:val="33034945"/>
    <w:rsid w:val="330A11F7"/>
    <w:rsid w:val="33207A1C"/>
    <w:rsid w:val="3326374E"/>
    <w:rsid w:val="33345C1F"/>
    <w:rsid w:val="333F7A14"/>
    <w:rsid w:val="3341553A"/>
    <w:rsid w:val="334707B0"/>
    <w:rsid w:val="33482566"/>
    <w:rsid w:val="334D1DE8"/>
    <w:rsid w:val="3350003C"/>
    <w:rsid w:val="33596D28"/>
    <w:rsid w:val="33731577"/>
    <w:rsid w:val="337E5926"/>
    <w:rsid w:val="3390740E"/>
    <w:rsid w:val="33CE707D"/>
    <w:rsid w:val="33D265DC"/>
    <w:rsid w:val="33DD5929"/>
    <w:rsid w:val="33E03FB6"/>
    <w:rsid w:val="33EA060C"/>
    <w:rsid w:val="33F93805"/>
    <w:rsid w:val="33FD1B9B"/>
    <w:rsid w:val="34066D00"/>
    <w:rsid w:val="340F0F75"/>
    <w:rsid w:val="342866FA"/>
    <w:rsid w:val="342B21E8"/>
    <w:rsid w:val="34381F9C"/>
    <w:rsid w:val="343B4D76"/>
    <w:rsid w:val="343B5F8B"/>
    <w:rsid w:val="345507E9"/>
    <w:rsid w:val="3459182E"/>
    <w:rsid w:val="34643546"/>
    <w:rsid w:val="34663ED0"/>
    <w:rsid w:val="34696987"/>
    <w:rsid w:val="346E1C08"/>
    <w:rsid w:val="3476679F"/>
    <w:rsid w:val="34806536"/>
    <w:rsid w:val="34815B81"/>
    <w:rsid w:val="34900A9A"/>
    <w:rsid w:val="34A044E2"/>
    <w:rsid w:val="34A51AF9"/>
    <w:rsid w:val="34DA61AE"/>
    <w:rsid w:val="34E56399"/>
    <w:rsid w:val="34F86642"/>
    <w:rsid w:val="3501440D"/>
    <w:rsid w:val="35015268"/>
    <w:rsid w:val="350D4951"/>
    <w:rsid w:val="3523640D"/>
    <w:rsid w:val="35246EC1"/>
    <w:rsid w:val="353B00D4"/>
    <w:rsid w:val="356F6271"/>
    <w:rsid w:val="3576225A"/>
    <w:rsid w:val="35825813"/>
    <w:rsid w:val="35905694"/>
    <w:rsid w:val="359367E3"/>
    <w:rsid w:val="3594687B"/>
    <w:rsid w:val="359C2E99"/>
    <w:rsid w:val="359D0903"/>
    <w:rsid w:val="359D1909"/>
    <w:rsid w:val="359D46F1"/>
    <w:rsid w:val="35A62223"/>
    <w:rsid w:val="35AA3D6F"/>
    <w:rsid w:val="35FB2318"/>
    <w:rsid w:val="36041DA9"/>
    <w:rsid w:val="36084DD7"/>
    <w:rsid w:val="360F1920"/>
    <w:rsid w:val="36146424"/>
    <w:rsid w:val="362B4280"/>
    <w:rsid w:val="365F0D27"/>
    <w:rsid w:val="367779AA"/>
    <w:rsid w:val="36780B29"/>
    <w:rsid w:val="36783DBC"/>
    <w:rsid w:val="36B05B8E"/>
    <w:rsid w:val="36BE4138"/>
    <w:rsid w:val="36CC7811"/>
    <w:rsid w:val="36CE48BE"/>
    <w:rsid w:val="371116C7"/>
    <w:rsid w:val="37125486"/>
    <w:rsid w:val="371D0880"/>
    <w:rsid w:val="373830F8"/>
    <w:rsid w:val="374C7D3C"/>
    <w:rsid w:val="37501D64"/>
    <w:rsid w:val="376D2DA2"/>
    <w:rsid w:val="37874DEA"/>
    <w:rsid w:val="37AD7EBB"/>
    <w:rsid w:val="37B92791"/>
    <w:rsid w:val="37CA5732"/>
    <w:rsid w:val="37CD4EC9"/>
    <w:rsid w:val="37DC3A83"/>
    <w:rsid w:val="37F214F9"/>
    <w:rsid w:val="37F417DC"/>
    <w:rsid w:val="37FD4873"/>
    <w:rsid w:val="380A0A68"/>
    <w:rsid w:val="380F3E59"/>
    <w:rsid w:val="3810372D"/>
    <w:rsid w:val="38136EA2"/>
    <w:rsid w:val="381B4348"/>
    <w:rsid w:val="3821593A"/>
    <w:rsid w:val="38261E35"/>
    <w:rsid w:val="383F433C"/>
    <w:rsid w:val="384D4E17"/>
    <w:rsid w:val="3851468F"/>
    <w:rsid w:val="385A5A3A"/>
    <w:rsid w:val="386248F2"/>
    <w:rsid w:val="386607D3"/>
    <w:rsid w:val="38677890"/>
    <w:rsid w:val="38704D49"/>
    <w:rsid w:val="38762073"/>
    <w:rsid w:val="388721E2"/>
    <w:rsid w:val="38A13889"/>
    <w:rsid w:val="38A65E3F"/>
    <w:rsid w:val="38AD3262"/>
    <w:rsid w:val="38B27608"/>
    <w:rsid w:val="38B46305"/>
    <w:rsid w:val="38BF3688"/>
    <w:rsid w:val="38D95A55"/>
    <w:rsid w:val="38DD3F57"/>
    <w:rsid w:val="390071B1"/>
    <w:rsid w:val="390E601C"/>
    <w:rsid w:val="392625FD"/>
    <w:rsid w:val="39330C23"/>
    <w:rsid w:val="39337695"/>
    <w:rsid w:val="39376919"/>
    <w:rsid w:val="393828FD"/>
    <w:rsid w:val="394F102E"/>
    <w:rsid w:val="396C2FD9"/>
    <w:rsid w:val="39736669"/>
    <w:rsid w:val="3977290A"/>
    <w:rsid w:val="397F31CA"/>
    <w:rsid w:val="39945AC3"/>
    <w:rsid w:val="39A46823"/>
    <w:rsid w:val="39AB0A72"/>
    <w:rsid w:val="39AC0172"/>
    <w:rsid w:val="39B20F40"/>
    <w:rsid w:val="39B4306C"/>
    <w:rsid w:val="39BD0C7D"/>
    <w:rsid w:val="39CA43DF"/>
    <w:rsid w:val="39FC6AFE"/>
    <w:rsid w:val="3A0739BB"/>
    <w:rsid w:val="3A3128E4"/>
    <w:rsid w:val="3A4D70BE"/>
    <w:rsid w:val="3A5A6304"/>
    <w:rsid w:val="3A601E3A"/>
    <w:rsid w:val="3A6856CC"/>
    <w:rsid w:val="3A757123"/>
    <w:rsid w:val="3A807435"/>
    <w:rsid w:val="3A825A8A"/>
    <w:rsid w:val="3A8A560C"/>
    <w:rsid w:val="3A9D399F"/>
    <w:rsid w:val="3A9E7716"/>
    <w:rsid w:val="3AB323A0"/>
    <w:rsid w:val="3AE04563"/>
    <w:rsid w:val="3AE90D97"/>
    <w:rsid w:val="3AF00A10"/>
    <w:rsid w:val="3AF7088C"/>
    <w:rsid w:val="3B2A0FAA"/>
    <w:rsid w:val="3B3A5EAB"/>
    <w:rsid w:val="3B3D72EC"/>
    <w:rsid w:val="3B5323E9"/>
    <w:rsid w:val="3B580160"/>
    <w:rsid w:val="3B6F030E"/>
    <w:rsid w:val="3B760DB3"/>
    <w:rsid w:val="3B806CCB"/>
    <w:rsid w:val="3B832DA4"/>
    <w:rsid w:val="3B8C2B55"/>
    <w:rsid w:val="3B8D64A0"/>
    <w:rsid w:val="3BAA1FD8"/>
    <w:rsid w:val="3BC25DE1"/>
    <w:rsid w:val="3BF4177D"/>
    <w:rsid w:val="3C0178F5"/>
    <w:rsid w:val="3C033CD5"/>
    <w:rsid w:val="3C2D6FA3"/>
    <w:rsid w:val="3C326368"/>
    <w:rsid w:val="3C333B11"/>
    <w:rsid w:val="3C490379"/>
    <w:rsid w:val="3C583D38"/>
    <w:rsid w:val="3C5B72FE"/>
    <w:rsid w:val="3C632BAD"/>
    <w:rsid w:val="3C6A55BE"/>
    <w:rsid w:val="3C8131B1"/>
    <w:rsid w:val="3C9D5744"/>
    <w:rsid w:val="3CB52AF5"/>
    <w:rsid w:val="3CCC7229"/>
    <w:rsid w:val="3CCF0529"/>
    <w:rsid w:val="3CD25303"/>
    <w:rsid w:val="3CE21B3C"/>
    <w:rsid w:val="3CE903AF"/>
    <w:rsid w:val="3CEA4443"/>
    <w:rsid w:val="3CFC2AFD"/>
    <w:rsid w:val="3CFD4C67"/>
    <w:rsid w:val="3D086C7F"/>
    <w:rsid w:val="3D163514"/>
    <w:rsid w:val="3D1E069A"/>
    <w:rsid w:val="3D333BF0"/>
    <w:rsid w:val="3D3F3DA1"/>
    <w:rsid w:val="3D435E22"/>
    <w:rsid w:val="3D5365B8"/>
    <w:rsid w:val="3D6F17D9"/>
    <w:rsid w:val="3D7E15C6"/>
    <w:rsid w:val="3D7E4A37"/>
    <w:rsid w:val="3D895C07"/>
    <w:rsid w:val="3D8C41D6"/>
    <w:rsid w:val="3DA12C5F"/>
    <w:rsid w:val="3DD9778A"/>
    <w:rsid w:val="3DFF7A07"/>
    <w:rsid w:val="3E0F6CC2"/>
    <w:rsid w:val="3E0F771B"/>
    <w:rsid w:val="3E10092B"/>
    <w:rsid w:val="3E1156DF"/>
    <w:rsid w:val="3E194C3A"/>
    <w:rsid w:val="3E254F06"/>
    <w:rsid w:val="3E3C1720"/>
    <w:rsid w:val="3E3D36B5"/>
    <w:rsid w:val="3E4079B3"/>
    <w:rsid w:val="3E4B6505"/>
    <w:rsid w:val="3E516F22"/>
    <w:rsid w:val="3E5470EF"/>
    <w:rsid w:val="3E5F22B7"/>
    <w:rsid w:val="3E646581"/>
    <w:rsid w:val="3E755343"/>
    <w:rsid w:val="3E8D5AD7"/>
    <w:rsid w:val="3EA95A42"/>
    <w:rsid w:val="3EB81AEB"/>
    <w:rsid w:val="3EC3787E"/>
    <w:rsid w:val="3ECA7A6C"/>
    <w:rsid w:val="3EDD3112"/>
    <w:rsid w:val="3EE51861"/>
    <w:rsid w:val="3EEB64C0"/>
    <w:rsid w:val="3F025867"/>
    <w:rsid w:val="3F1269E9"/>
    <w:rsid w:val="3F140960"/>
    <w:rsid w:val="3F3C19CB"/>
    <w:rsid w:val="3F4F3C9D"/>
    <w:rsid w:val="3F5860E5"/>
    <w:rsid w:val="3F5E13F1"/>
    <w:rsid w:val="3F607936"/>
    <w:rsid w:val="3F776E86"/>
    <w:rsid w:val="3F794A24"/>
    <w:rsid w:val="3F862320"/>
    <w:rsid w:val="3F8805C3"/>
    <w:rsid w:val="3FA80F9A"/>
    <w:rsid w:val="3FA8394D"/>
    <w:rsid w:val="3FC05AD6"/>
    <w:rsid w:val="3FC217B1"/>
    <w:rsid w:val="3FDD5D7C"/>
    <w:rsid w:val="3FE91FDB"/>
    <w:rsid w:val="400D2677"/>
    <w:rsid w:val="401F30A7"/>
    <w:rsid w:val="40297539"/>
    <w:rsid w:val="402B1A4C"/>
    <w:rsid w:val="402B6318"/>
    <w:rsid w:val="402C762F"/>
    <w:rsid w:val="4031392C"/>
    <w:rsid w:val="404C4AE8"/>
    <w:rsid w:val="40593854"/>
    <w:rsid w:val="406960D0"/>
    <w:rsid w:val="40743885"/>
    <w:rsid w:val="407F7948"/>
    <w:rsid w:val="40811E02"/>
    <w:rsid w:val="40A32211"/>
    <w:rsid w:val="40A4377B"/>
    <w:rsid w:val="40AC6CC0"/>
    <w:rsid w:val="40B02EAA"/>
    <w:rsid w:val="40C502E3"/>
    <w:rsid w:val="40D62F6B"/>
    <w:rsid w:val="40DA400D"/>
    <w:rsid w:val="40E10D33"/>
    <w:rsid w:val="40E57E4D"/>
    <w:rsid w:val="40F571BE"/>
    <w:rsid w:val="41013D94"/>
    <w:rsid w:val="410460FD"/>
    <w:rsid w:val="410B1EE2"/>
    <w:rsid w:val="41175B2C"/>
    <w:rsid w:val="4122220F"/>
    <w:rsid w:val="412A3AB2"/>
    <w:rsid w:val="412B4186"/>
    <w:rsid w:val="4134209B"/>
    <w:rsid w:val="414D3CC5"/>
    <w:rsid w:val="41554ECB"/>
    <w:rsid w:val="41611D54"/>
    <w:rsid w:val="417648B7"/>
    <w:rsid w:val="41790595"/>
    <w:rsid w:val="418C68BD"/>
    <w:rsid w:val="41954477"/>
    <w:rsid w:val="41AC0A9B"/>
    <w:rsid w:val="41B2165F"/>
    <w:rsid w:val="41BC4873"/>
    <w:rsid w:val="41C428E8"/>
    <w:rsid w:val="41D220AA"/>
    <w:rsid w:val="41D27E03"/>
    <w:rsid w:val="41DD3DBB"/>
    <w:rsid w:val="41E905F9"/>
    <w:rsid w:val="41F23547"/>
    <w:rsid w:val="41F235E8"/>
    <w:rsid w:val="423A44A8"/>
    <w:rsid w:val="423D5A66"/>
    <w:rsid w:val="42477661"/>
    <w:rsid w:val="424D41EE"/>
    <w:rsid w:val="42547DAA"/>
    <w:rsid w:val="42573048"/>
    <w:rsid w:val="428113E6"/>
    <w:rsid w:val="428D1E3D"/>
    <w:rsid w:val="42A34C98"/>
    <w:rsid w:val="42A7280D"/>
    <w:rsid w:val="43053364"/>
    <w:rsid w:val="430550F0"/>
    <w:rsid w:val="431856A5"/>
    <w:rsid w:val="43222887"/>
    <w:rsid w:val="432F22A9"/>
    <w:rsid w:val="434114E0"/>
    <w:rsid w:val="434B7D95"/>
    <w:rsid w:val="43674E77"/>
    <w:rsid w:val="436A06BA"/>
    <w:rsid w:val="436C5BF5"/>
    <w:rsid w:val="436C6603"/>
    <w:rsid w:val="436E087B"/>
    <w:rsid w:val="437757E9"/>
    <w:rsid w:val="437817AF"/>
    <w:rsid w:val="4380463A"/>
    <w:rsid w:val="43A00365"/>
    <w:rsid w:val="43A20E22"/>
    <w:rsid w:val="43AA712C"/>
    <w:rsid w:val="43AD2741"/>
    <w:rsid w:val="43CA597D"/>
    <w:rsid w:val="43CD3BEF"/>
    <w:rsid w:val="43E23E4F"/>
    <w:rsid w:val="43EC55F6"/>
    <w:rsid w:val="43F40367"/>
    <w:rsid w:val="43F907AA"/>
    <w:rsid w:val="4407632C"/>
    <w:rsid w:val="44094EBE"/>
    <w:rsid w:val="441A283E"/>
    <w:rsid w:val="442C3BBA"/>
    <w:rsid w:val="442F53C8"/>
    <w:rsid w:val="44361589"/>
    <w:rsid w:val="444E1ADD"/>
    <w:rsid w:val="445F1F72"/>
    <w:rsid w:val="44733580"/>
    <w:rsid w:val="4474176F"/>
    <w:rsid w:val="447E2962"/>
    <w:rsid w:val="448E1E0B"/>
    <w:rsid w:val="449D0A3E"/>
    <w:rsid w:val="44A776BF"/>
    <w:rsid w:val="44C33F58"/>
    <w:rsid w:val="44C51236"/>
    <w:rsid w:val="44F9763B"/>
    <w:rsid w:val="45057CA4"/>
    <w:rsid w:val="450665E4"/>
    <w:rsid w:val="450E7957"/>
    <w:rsid w:val="45182C3F"/>
    <w:rsid w:val="451F278B"/>
    <w:rsid w:val="452E279B"/>
    <w:rsid w:val="452F6EF4"/>
    <w:rsid w:val="454A5D82"/>
    <w:rsid w:val="454B2248"/>
    <w:rsid w:val="454D17A4"/>
    <w:rsid w:val="456A091F"/>
    <w:rsid w:val="45742481"/>
    <w:rsid w:val="45815C6A"/>
    <w:rsid w:val="459604EB"/>
    <w:rsid w:val="459C4852"/>
    <w:rsid w:val="459E2A32"/>
    <w:rsid w:val="45A51423"/>
    <w:rsid w:val="45C02C36"/>
    <w:rsid w:val="45C85A45"/>
    <w:rsid w:val="45DC4423"/>
    <w:rsid w:val="45DE15FD"/>
    <w:rsid w:val="45E22BAD"/>
    <w:rsid w:val="45E306D3"/>
    <w:rsid w:val="45EC1C07"/>
    <w:rsid w:val="45EF61C5"/>
    <w:rsid w:val="45F2062E"/>
    <w:rsid w:val="46177DFD"/>
    <w:rsid w:val="461C0FE3"/>
    <w:rsid w:val="461F0AF3"/>
    <w:rsid w:val="462E7060"/>
    <w:rsid w:val="463814B0"/>
    <w:rsid w:val="463C58FA"/>
    <w:rsid w:val="463E0FD1"/>
    <w:rsid w:val="4642682A"/>
    <w:rsid w:val="4647282F"/>
    <w:rsid w:val="465C6894"/>
    <w:rsid w:val="46634480"/>
    <w:rsid w:val="46665433"/>
    <w:rsid w:val="46680506"/>
    <w:rsid w:val="46824EC4"/>
    <w:rsid w:val="468A6DA0"/>
    <w:rsid w:val="4691685F"/>
    <w:rsid w:val="469524C9"/>
    <w:rsid w:val="46A63BDA"/>
    <w:rsid w:val="46AF21F5"/>
    <w:rsid w:val="46D701E1"/>
    <w:rsid w:val="46D9136A"/>
    <w:rsid w:val="46EA5EB9"/>
    <w:rsid w:val="47064679"/>
    <w:rsid w:val="47187AB1"/>
    <w:rsid w:val="47246F9A"/>
    <w:rsid w:val="472A6A1B"/>
    <w:rsid w:val="4731662A"/>
    <w:rsid w:val="47415DF2"/>
    <w:rsid w:val="474A005A"/>
    <w:rsid w:val="474F35E3"/>
    <w:rsid w:val="47552AC6"/>
    <w:rsid w:val="47554E66"/>
    <w:rsid w:val="475C073D"/>
    <w:rsid w:val="475C28A1"/>
    <w:rsid w:val="476231F9"/>
    <w:rsid w:val="47664C50"/>
    <w:rsid w:val="4768030F"/>
    <w:rsid w:val="47746B3A"/>
    <w:rsid w:val="47777325"/>
    <w:rsid w:val="477D4822"/>
    <w:rsid w:val="47876915"/>
    <w:rsid w:val="479161F7"/>
    <w:rsid w:val="47AC2B32"/>
    <w:rsid w:val="47AF660C"/>
    <w:rsid w:val="47B9297C"/>
    <w:rsid w:val="47DA303A"/>
    <w:rsid w:val="47E12B77"/>
    <w:rsid w:val="480F301E"/>
    <w:rsid w:val="481638EC"/>
    <w:rsid w:val="48192B35"/>
    <w:rsid w:val="48602EFB"/>
    <w:rsid w:val="48607822"/>
    <w:rsid w:val="486A2FBC"/>
    <w:rsid w:val="486A7BB8"/>
    <w:rsid w:val="486E6D59"/>
    <w:rsid w:val="4876582E"/>
    <w:rsid w:val="487B6078"/>
    <w:rsid w:val="48800D22"/>
    <w:rsid w:val="48897310"/>
    <w:rsid w:val="48A034A5"/>
    <w:rsid w:val="48C84321"/>
    <w:rsid w:val="48CA7928"/>
    <w:rsid w:val="48CC19A0"/>
    <w:rsid w:val="48FA1FBB"/>
    <w:rsid w:val="49310C13"/>
    <w:rsid w:val="493535B9"/>
    <w:rsid w:val="49374FBE"/>
    <w:rsid w:val="493A2D00"/>
    <w:rsid w:val="49417BEA"/>
    <w:rsid w:val="4958709C"/>
    <w:rsid w:val="495C4A24"/>
    <w:rsid w:val="495D72B2"/>
    <w:rsid w:val="49626FA9"/>
    <w:rsid w:val="4967404D"/>
    <w:rsid w:val="497F6965"/>
    <w:rsid w:val="4993113E"/>
    <w:rsid w:val="49A6389F"/>
    <w:rsid w:val="49A85EBB"/>
    <w:rsid w:val="49B57ADD"/>
    <w:rsid w:val="49B637CC"/>
    <w:rsid w:val="49C20131"/>
    <w:rsid w:val="49E34619"/>
    <w:rsid w:val="49F3035B"/>
    <w:rsid w:val="49F63BAB"/>
    <w:rsid w:val="49FA43FE"/>
    <w:rsid w:val="49FA7D9D"/>
    <w:rsid w:val="49FB6B4D"/>
    <w:rsid w:val="4A013BFE"/>
    <w:rsid w:val="4A07210A"/>
    <w:rsid w:val="4A10665F"/>
    <w:rsid w:val="4A1471F6"/>
    <w:rsid w:val="4A1826BE"/>
    <w:rsid w:val="4A2D400B"/>
    <w:rsid w:val="4A332CFB"/>
    <w:rsid w:val="4A360212"/>
    <w:rsid w:val="4A6825AF"/>
    <w:rsid w:val="4A8653EE"/>
    <w:rsid w:val="4A943A68"/>
    <w:rsid w:val="4A9A6B11"/>
    <w:rsid w:val="4A9C11A5"/>
    <w:rsid w:val="4AAA7A11"/>
    <w:rsid w:val="4AB10DA0"/>
    <w:rsid w:val="4AC47E4F"/>
    <w:rsid w:val="4ADD1BDD"/>
    <w:rsid w:val="4AE20AAE"/>
    <w:rsid w:val="4B02784D"/>
    <w:rsid w:val="4B083A72"/>
    <w:rsid w:val="4B0D6D5E"/>
    <w:rsid w:val="4B10184B"/>
    <w:rsid w:val="4B1A4B97"/>
    <w:rsid w:val="4B49547C"/>
    <w:rsid w:val="4B50680B"/>
    <w:rsid w:val="4B58470B"/>
    <w:rsid w:val="4B6F16B5"/>
    <w:rsid w:val="4B8851D6"/>
    <w:rsid w:val="4B8E10EC"/>
    <w:rsid w:val="4B9E7133"/>
    <w:rsid w:val="4BB40B47"/>
    <w:rsid w:val="4BC03220"/>
    <w:rsid w:val="4BCE1567"/>
    <w:rsid w:val="4BDC6101"/>
    <w:rsid w:val="4BE143CD"/>
    <w:rsid w:val="4BE53274"/>
    <w:rsid w:val="4BE81CC3"/>
    <w:rsid w:val="4BF94D80"/>
    <w:rsid w:val="4BFC604B"/>
    <w:rsid w:val="4C013AB9"/>
    <w:rsid w:val="4C146F3D"/>
    <w:rsid w:val="4C3103EA"/>
    <w:rsid w:val="4C365A00"/>
    <w:rsid w:val="4C3E5410"/>
    <w:rsid w:val="4C411D32"/>
    <w:rsid w:val="4C4243A5"/>
    <w:rsid w:val="4C7622A1"/>
    <w:rsid w:val="4C7A75E7"/>
    <w:rsid w:val="4C7C28D3"/>
    <w:rsid w:val="4C975E0B"/>
    <w:rsid w:val="4C9946C1"/>
    <w:rsid w:val="4C9E02AB"/>
    <w:rsid w:val="4CA5219C"/>
    <w:rsid w:val="4CBB7551"/>
    <w:rsid w:val="4CBC6C2B"/>
    <w:rsid w:val="4D120829"/>
    <w:rsid w:val="4D227C71"/>
    <w:rsid w:val="4D2770F7"/>
    <w:rsid w:val="4D3A507C"/>
    <w:rsid w:val="4D414C00"/>
    <w:rsid w:val="4D50486B"/>
    <w:rsid w:val="4D5751B2"/>
    <w:rsid w:val="4D662C76"/>
    <w:rsid w:val="4D762AA5"/>
    <w:rsid w:val="4D8E7B03"/>
    <w:rsid w:val="4D9C1893"/>
    <w:rsid w:val="4DA33ED1"/>
    <w:rsid w:val="4DAD19F9"/>
    <w:rsid w:val="4DAF77C9"/>
    <w:rsid w:val="4DBC0934"/>
    <w:rsid w:val="4DBF1A26"/>
    <w:rsid w:val="4DCD4DD9"/>
    <w:rsid w:val="4DD7025C"/>
    <w:rsid w:val="4DDD6657"/>
    <w:rsid w:val="4DDE1331"/>
    <w:rsid w:val="4DDF1AE9"/>
    <w:rsid w:val="4DE14BB0"/>
    <w:rsid w:val="4DED6B8B"/>
    <w:rsid w:val="4E057D5D"/>
    <w:rsid w:val="4E120BBB"/>
    <w:rsid w:val="4E165051"/>
    <w:rsid w:val="4E246086"/>
    <w:rsid w:val="4E26590B"/>
    <w:rsid w:val="4E280EE6"/>
    <w:rsid w:val="4E3F576D"/>
    <w:rsid w:val="4E48070B"/>
    <w:rsid w:val="4E4E5D53"/>
    <w:rsid w:val="4E5008D0"/>
    <w:rsid w:val="4E5F61AF"/>
    <w:rsid w:val="4E706E8A"/>
    <w:rsid w:val="4E7114F4"/>
    <w:rsid w:val="4EA75D55"/>
    <w:rsid w:val="4EB3332E"/>
    <w:rsid w:val="4EE002CE"/>
    <w:rsid w:val="4EE71234"/>
    <w:rsid w:val="4EE96D5A"/>
    <w:rsid w:val="4EF60A9A"/>
    <w:rsid w:val="4F037F27"/>
    <w:rsid w:val="4F090418"/>
    <w:rsid w:val="4F11546E"/>
    <w:rsid w:val="4F130481"/>
    <w:rsid w:val="4F266D1F"/>
    <w:rsid w:val="4F2A0341"/>
    <w:rsid w:val="4F3013D6"/>
    <w:rsid w:val="4F371E9A"/>
    <w:rsid w:val="4F3D31E1"/>
    <w:rsid w:val="4F442E5D"/>
    <w:rsid w:val="4F455CDB"/>
    <w:rsid w:val="4F5328C0"/>
    <w:rsid w:val="4F565FD6"/>
    <w:rsid w:val="4F5922EA"/>
    <w:rsid w:val="4F6A2B99"/>
    <w:rsid w:val="4F6F62DF"/>
    <w:rsid w:val="4F704776"/>
    <w:rsid w:val="4F87507A"/>
    <w:rsid w:val="4F8E75F4"/>
    <w:rsid w:val="4F9368AC"/>
    <w:rsid w:val="4F9D68AF"/>
    <w:rsid w:val="4F9D6A43"/>
    <w:rsid w:val="4FBB4BD3"/>
    <w:rsid w:val="4FBD028E"/>
    <w:rsid w:val="4FCD12E2"/>
    <w:rsid w:val="4FE6373B"/>
    <w:rsid w:val="4FFD05E3"/>
    <w:rsid w:val="500353E7"/>
    <w:rsid w:val="500367AB"/>
    <w:rsid w:val="501036F4"/>
    <w:rsid w:val="50175B49"/>
    <w:rsid w:val="502142D2"/>
    <w:rsid w:val="50252B2C"/>
    <w:rsid w:val="502822D3"/>
    <w:rsid w:val="50283E0F"/>
    <w:rsid w:val="50391A1A"/>
    <w:rsid w:val="503A35E5"/>
    <w:rsid w:val="50562E8C"/>
    <w:rsid w:val="505823FD"/>
    <w:rsid w:val="506543BB"/>
    <w:rsid w:val="50664255"/>
    <w:rsid w:val="50783627"/>
    <w:rsid w:val="50812FC2"/>
    <w:rsid w:val="509D355D"/>
    <w:rsid w:val="50A27C01"/>
    <w:rsid w:val="50A5477A"/>
    <w:rsid w:val="50AF2A66"/>
    <w:rsid w:val="50B04973"/>
    <w:rsid w:val="50B07C1F"/>
    <w:rsid w:val="50BC3FFA"/>
    <w:rsid w:val="50BE4216"/>
    <w:rsid w:val="50C932D6"/>
    <w:rsid w:val="50D91050"/>
    <w:rsid w:val="50D933D0"/>
    <w:rsid w:val="50E31290"/>
    <w:rsid w:val="50F20585"/>
    <w:rsid w:val="51087240"/>
    <w:rsid w:val="510A22C1"/>
    <w:rsid w:val="510A64D6"/>
    <w:rsid w:val="51107F20"/>
    <w:rsid w:val="511677DA"/>
    <w:rsid w:val="512D74A4"/>
    <w:rsid w:val="51381694"/>
    <w:rsid w:val="5150055F"/>
    <w:rsid w:val="51501067"/>
    <w:rsid w:val="51520166"/>
    <w:rsid w:val="516D1CD2"/>
    <w:rsid w:val="516F2EB9"/>
    <w:rsid w:val="51746229"/>
    <w:rsid w:val="517F5DFE"/>
    <w:rsid w:val="51A721AE"/>
    <w:rsid w:val="51AB365B"/>
    <w:rsid w:val="51B360E5"/>
    <w:rsid w:val="51B6708B"/>
    <w:rsid w:val="51DC4C20"/>
    <w:rsid w:val="52327EA6"/>
    <w:rsid w:val="523975CA"/>
    <w:rsid w:val="524041F4"/>
    <w:rsid w:val="52626D73"/>
    <w:rsid w:val="52636FCB"/>
    <w:rsid w:val="5272350A"/>
    <w:rsid w:val="5284332E"/>
    <w:rsid w:val="52862B12"/>
    <w:rsid w:val="528F5E6A"/>
    <w:rsid w:val="52996345"/>
    <w:rsid w:val="52A51CDA"/>
    <w:rsid w:val="52B96A43"/>
    <w:rsid w:val="52C83A3A"/>
    <w:rsid w:val="52D11115"/>
    <w:rsid w:val="52DE4272"/>
    <w:rsid w:val="52E2243E"/>
    <w:rsid w:val="52E3214F"/>
    <w:rsid w:val="52E862C4"/>
    <w:rsid w:val="52FA6566"/>
    <w:rsid w:val="52FE6B4C"/>
    <w:rsid w:val="5310326E"/>
    <w:rsid w:val="531847A8"/>
    <w:rsid w:val="53210278"/>
    <w:rsid w:val="532852EE"/>
    <w:rsid w:val="532C152A"/>
    <w:rsid w:val="5338592C"/>
    <w:rsid w:val="534014E1"/>
    <w:rsid w:val="534319B2"/>
    <w:rsid w:val="534B5517"/>
    <w:rsid w:val="534D1001"/>
    <w:rsid w:val="534E073D"/>
    <w:rsid w:val="536159E4"/>
    <w:rsid w:val="53762404"/>
    <w:rsid w:val="537C2F0B"/>
    <w:rsid w:val="53864224"/>
    <w:rsid w:val="5394396E"/>
    <w:rsid w:val="5399736B"/>
    <w:rsid w:val="53CB2ED2"/>
    <w:rsid w:val="53D81430"/>
    <w:rsid w:val="53DC6163"/>
    <w:rsid w:val="53F24649"/>
    <w:rsid w:val="5406123A"/>
    <w:rsid w:val="54084CBA"/>
    <w:rsid w:val="54106745"/>
    <w:rsid w:val="541B25FA"/>
    <w:rsid w:val="542D593B"/>
    <w:rsid w:val="543F081F"/>
    <w:rsid w:val="545207D2"/>
    <w:rsid w:val="54606A9A"/>
    <w:rsid w:val="5463135D"/>
    <w:rsid w:val="546479FC"/>
    <w:rsid w:val="54915690"/>
    <w:rsid w:val="549A0AF6"/>
    <w:rsid w:val="549B096C"/>
    <w:rsid w:val="54A44655"/>
    <w:rsid w:val="54A8158F"/>
    <w:rsid w:val="54A86D6F"/>
    <w:rsid w:val="54AB6860"/>
    <w:rsid w:val="54C9155D"/>
    <w:rsid w:val="54D2129D"/>
    <w:rsid w:val="54DB7296"/>
    <w:rsid w:val="54EF3857"/>
    <w:rsid w:val="54F77CF7"/>
    <w:rsid w:val="54FE6804"/>
    <w:rsid w:val="55042313"/>
    <w:rsid w:val="552C5BF2"/>
    <w:rsid w:val="554271C4"/>
    <w:rsid w:val="55533F83"/>
    <w:rsid w:val="55945B57"/>
    <w:rsid w:val="55A0038E"/>
    <w:rsid w:val="55A676A1"/>
    <w:rsid w:val="55B259BB"/>
    <w:rsid w:val="55C6220C"/>
    <w:rsid w:val="55CC2E3D"/>
    <w:rsid w:val="55EB0F2B"/>
    <w:rsid w:val="55ED67C1"/>
    <w:rsid w:val="560345EB"/>
    <w:rsid w:val="560B7ACB"/>
    <w:rsid w:val="56292BE6"/>
    <w:rsid w:val="5630534C"/>
    <w:rsid w:val="56315CDE"/>
    <w:rsid w:val="56327239"/>
    <w:rsid w:val="563E5B18"/>
    <w:rsid w:val="563F46A5"/>
    <w:rsid w:val="564D7AF3"/>
    <w:rsid w:val="564E7DEA"/>
    <w:rsid w:val="56512076"/>
    <w:rsid w:val="565A61D2"/>
    <w:rsid w:val="5669749E"/>
    <w:rsid w:val="566F60E6"/>
    <w:rsid w:val="568E55D8"/>
    <w:rsid w:val="569972B8"/>
    <w:rsid w:val="56E666D1"/>
    <w:rsid w:val="56F273F5"/>
    <w:rsid w:val="56F3629C"/>
    <w:rsid w:val="56F36805"/>
    <w:rsid w:val="56F50266"/>
    <w:rsid w:val="57144B90"/>
    <w:rsid w:val="57227636"/>
    <w:rsid w:val="573B0DF9"/>
    <w:rsid w:val="573F37A0"/>
    <w:rsid w:val="57490EA8"/>
    <w:rsid w:val="575A43A4"/>
    <w:rsid w:val="576772D1"/>
    <w:rsid w:val="57713D91"/>
    <w:rsid w:val="577512D1"/>
    <w:rsid w:val="57770C7B"/>
    <w:rsid w:val="57814CC1"/>
    <w:rsid w:val="57872F39"/>
    <w:rsid w:val="578D44EB"/>
    <w:rsid w:val="57AD28EF"/>
    <w:rsid w:val="57B81053"/>
    <w:rsid w:val="57B91840"/>
    <w:rsid w:val="57C9100D"/>
    <w:rsid w:val="57EC2153"/>
    <w:rsid w:val="57F61DD3"/>
    <w:rsid w:val="57FC3ACF"/>
    <w:rsid w:val="580C0F3A"/>
    <w:rsid w:val="580F689B"/>
    <w:rsid w:val="581772F9"/>
    <w:rsid w:val="581E408E"/>
    <w:rsid w:val="582157B7"/>
    <w:rsid w:val="58226E39"/>
    <w:rsid w:val="58262DCD"/>
    <w:rsid w:val="58272CC8"/>
    <w:rsid w:val="58276B45"/>
    <w:rsid w:val="58313BD0"/>
    <w:rsid w:val="58360B36"/>
    <w:rsid w:val="584B1819"/>
    <w:rsid w:val="584B3A0C"/>
    <w:rsid w:val="588C4A84"/>
    <w:rsid w:val="58D651ED"/>
    <w:rsid w:val="58D9795F"/>
    <w:rsid w:val="58E57349"/>
    <w:rsid w:val="58EF325F"/>
    <w:rsid w:val="58F948A2"/>
    <w:rsid w:val="5904708B"/>
    <w:rsid w:val="590B2E55"/>
    <w:rsid w:val="590F1507"/>
    <w:rsid w:val="59135535"/>
    <w:rsid w:val="592517BD"/>
    <w:rsid w:val="592A4921"/>
    <w:rsid w:val="592A590C"/>
    <w:rsid w:val="59453B4E"/>
    <w:rsid w:val="594B7F19"/>
    <w:rsid w:val="59545718"/>
    <w:rsid w:val="596040BD"/>
    <w:rsid w:val="597025C4"/>
    <w:rsid w:val="59967ADE"/>
    <w:rsid w:val="59A97ED0"/>
    <w:rsid w:val="59AA3805"/>
    <w:rsid w:val="59B30F36"/>
    <w:rsid w:val="59E53D6C"/>
    <w:rsid w:val="59F948D8"/>
    <w:rsid w:val="59FA2896"/>
    <w:rsid w:val="5A024EB5"/>
    <w:rsid w:val="5A215065"/>
    <w:rsid w:val="5A373E24"/>
    <w:rsid w:val="5A3959C3"/>
    <w:rsid w:val="5A427EDD"/>
    <w:rsid w:val="5A44578C"/>
    <w:rsid w:val="5A4F2381"/>
    <w:rsid w:val="5A593B9C"/>
    <w:rsid w:val="5A5F25C6"/>
    <w:rsid w:val="5A6F0DB4"/>
    <w:rsid w:val="5A715E56"/>
    <w:rsid w:val="5A7D72B9"/>
    <w:rsid w:val="5AA3518B"/>
    <w:rsid w:val="5AAB3C83"/>
    <w:rsid w:val="5AC57178"/>
    <w:rsid w:val="5AD53619"/>
    <w:rsid w:val="5AE9147E"/>
    <w:rsid w:val="5AF073B6"/>
    <w:rsid w:val="5AF47DD9"/>
    <w:rsid w:val="5AF50D87"/>
    <w:rsid w:val="5AF66315"/>
    <w:rsid w:val="5AF947C9"/>
    <w:rsid w:val="5B3449EB"/>
    <w:rsid w:val="5B3B1622"/>
    <w:rsid w:val="5B4A11E6"/>
    <w:rsid w:val="5B581160"/>
    <w:rsid w:val="5B590DC3"/>
    <w:rsid w:val="5B6214FD"/>
    <w:rsid w:val="5B652CE3"/>
    <w:rsid w:val="5B6F05E7"/>
    <w:rsid w:val="5B7A1D7C"/>
    <w:rsid w:val="5B880AC3"/>
    <w:rsid w:val="5B891B8F"/>
    <w:rsid w:val="5B8B3019"/>
    <w:rsid w:val="5B9F2405"/>
    <w:rsid w:val="5BA0785E"/>
    <w:rsid w:val="5BB43DCF"/>
    <w:rsid w:val="5BB66EEA"/>
    <w:rsid w:val="5BCB0534"/>
    <w:rsid w:val="5BDC37A3"/>
    <w:rsid w:val="5BDF47AA"/>
    <w:rsid w:val="5BE50F25"/>
    <w:rsid w:val="5BE53A3D"/>
    <w:rsid w:val="5BFA6891"/>
    <w:rsid w:val="5C0E0AC2"/>
    <w:rsid w:val="5C2515ED"/>
    <w:rsid w:val="5C2715E1"/>
    <w:rsid w:val="5C353E0C"/>
    <w:rsid w:val="5C423F4D"/>
    <w:rsid w:val="5C56117C"/>
    <w:rsid w:val="5C583E75"/>
    <w:rsid w:val="5C612F87"/>
    <w:rsid w:val="5C6A282B"/>
    <w:rsid w:val="5C9522CF"/>
    <w:rsid w:val="5C9A11AC"/>
    <w:rsid w:val="5CB53A5E"/>
    <w:rsid w:val="5CCE6850"/>
    <w:rsid w:val="5CD071C0"/>
    <w:rsid w:val="5CE17957"/>
    <w:rsid w:val="5CF5401D"/>
    <w:rsid w:val="5CFA4828"/>
    <w:rsid w:val="5CFE1666"/>
    <w:rsid w:val="5CFF1519"/>
    <w:rsid w:val="5D085919"/>
    <w:rsid w:val="5D0A6B21"/>
    <w:rsid w:val="5D0D01AF"/>
    <w:rsid w:val="5D244149"/>
    <w:rsid w:val="5D485594"/>
    <w:rsid w:val="5D6846AE"/>
    <w:rsid w:val="5D69598E"/>
    <w:rsid w:val="5D6A375C"/>
    <w:rsid w:val="5D733177"/>
    <w:rsid w:val="5D7A14C5"/>
    <w:rsid w:val="5D97555D"/>
    <w:rsid w:val="5D9764FE"/>
    <w:rsid w:val="5DA622BA"/>
    <w:rsid w:val="5DAB0D48"/>
    <w:rsid w:val="5DAB6430"/>
    <w:rsid w:val="5DB22A0D"/>
    <w:rsid w:val="5DBC3E30"/>
    <w:rsid w:val="5DD73553"/>
    <w:rsid w:val="5DDB06A3"/>
    <w:rsid w:val="5DE55991"/>
    <w:rsid w:val="5DEF02CD"/>
    <w:rsid w:val="5DEF61A4"/>
    <w:rsid w:val="5DFB1E75"/>
    <w:rsid w:val="5DFE27C2"/>
    <w:rsid w:val="5E042315"/>
    <w:rsid w:val="5E0D03DC"/>
    <w:rsid w:val="5E0F5AA9"/>
    <w:rsid w:val="5E335543"/>
    <w:rsid w:val="5E3F3738"/>
    <w:rsid w:val="5E4353D6"/>
    <w:rsid w:val="5E464AE2"/>
    <w:rsid w:val="5E5804B2"/>
    <w:rsid w:val="5E6120E8"/>
    <w:rsid w:val="5E694D16"/>
    <w:rsid w:val="5E7C7F51"/>
    <w:rsid w:val="5E833A42"/>
    <w:rsid w:val="5E8B2E26"/>
    <w:rsid w:val="5E8F42CB"/>
    <w:rsid w:val="5E950952"/>
    <w:rsid w:val="5EAB603E"/>
    <w:rsid w:val="5EB35B5E"/>
    <w:rsid w:val="5EB52D97"/>
    <w:rsid w:val="5EBA1679"/>
    <w:rsid w:val="5EC53714"/>
    <w:rsid w:val="5ECC203B"/>
    <w:rsid w:val="5EF3152F"/>
    <w:rsid w:val="5EF44F14"/>
    <w:rsid w:val="5F035570"/>
    <w:rsid w:val="5F092697"/>
    <w:rsid w:val="5F2E2567"/>
    <w:rsid w:val="5F461CCD"/>
    <w:rsid w:val="5F4B136B"/>
    <w:rsid w:val="5F546472"/>
    <w:rsid w:val="5F691E20"/>
    <w:rsid w:val="5F696B91"/>
    <w:rsid w:val="5F6A7AA0"/>
    <w:rsid w:val="5F717BE5"/>
    <w:rsid w:val="5F750771"/>
    <w:rsid w:val="5F897965"/>
    <w:rsid w:val="5FA558C4"/>
    <w:rsid w:val="5FAC408F"/>
    <w:rsid w:val="5FAD25C4"/>
    <w:rsid w:val="5FBC5DC5"/>
    <w:rsid w:val="5FC16257"/>
    <w:rsid w:val="5FC8476A"/>
    <w:rsid w:val="5FCB5E7E"/>
    <w:rsid w:val="5FCE13FB"/>
    <w:rsid w:val="5FCF3D4A"/>
    <w:rsid w:val="5FD650D9"/>
    <w:rsid w:val="5FDA6C9A"/>
    <w:rsid w:val="5FE052D6"/>
    <w:rsid w:val="5FEB4F44"/>
    <w:rsid w:val="60033351"/>
    <w:rsid w:val="6014147E"/>
    <w:rsid w:val="601B45EF"/>
    <w:rsid w:val="602625CC"/>
    <w:rsid w:val="6031597A"/>
    <w:rsid w:val="603C4D81"/>
    <w:rsid w:val="60491819"/>
    <w:rsid w:val="604B706D"/>
    <w:rsid w:val="605170F5"/>
    <w:rsid w:val="60582448"/>
    <w:rsid w:val="6074044E"/>
    <w:rsid w:val="6082700E"/>
    <w:rsid w:val="60876719"/>
    <w:rsid w:val="60913B6A"/>
    <w:rsid w:val="60917251"/>
    <w:rsid w:val="6095620F"/>
    <w:rsid w:val="60961C8D"/>
    <w:rsid w:val="609C4B80"/>
    <w:rsid w:val="60B5241A"/>
    <w:rsid w:val="60BD0047"/>
    <w:rsid w:val="60C31F5B"/>
    <w:rsid w:val="60C51BF1"/>
    <w:rsid w:val="60C65C53"/>
    <w:rsid w:val="60D27E02"/>
    <w:rsid w:val="60E27A91"/>
    <w:rsid w:val="60FA7FBD"/>
    <w:rsid w:val="610317E8"/>
    <w:rsid w:val="61055D5C"/>
    <w:rsid w:val="610F1155"/>
    <w:rsid w:val="612400C6"/>
    <w:rsid w:val="61267FC7"/>
    <w:rsid w:val="61441376"/>
    <w:rsid w:val="618150F9"/>
    <w:rsid w:val="618D045E"/>
    <w:rsid w:val="61945766"/>
    <w:rsid w:val="61A34DEC"/>
    <w:rsid w:val="61A44D75"/>
    <w:rsid w:val="61AB12CA"/>
    <w:rsid w:val="61AD5014"/>
    <w:rsid w:val="61BE56DE"/>
    <w:rsid w:val="61BF67A6"/>
    <w:rsid w:val="61C3664A"/>
    <w:rsid w:val="61C8475D"/>
    <w:rsid w:val="61D14699"/>
    <w:rsid w:val="61DE00C2"/>
    <w:rsid w:val="61E055B5"/>
    <w:rsid w:val="61F20910"/>
    <w:rsid w:val="62025130"/>
    <w:rsid w:val="62065A1D"/>
    <w:rsid w:val="620B3C1D"/>
    <w:rsid w:val="62141EE8"/>
    <w:rsid w:val="62176EB0"/>
    <w:rsid w:val="6234234D"/>
    <w:rsid w:val="623F6C33"/>
    <w:rsid w:val="625729E3"/>
    <w:rsid w:val="62736511"/>
    <w:rsid w:val="628250A4"/>
    <w:rsid w:val="628A21AA"/>
    <w:rsid w:val="629840AB"/>
    <w:rsid w:val="629D52D3"/>
    <w:rsid w:val="629E5E16"/>
    <w:rsid w:val="62AB7783"/>
    <w:rsid w:val="62E91F7A"/>
    <w:rsid w:val="62EC2379"/>
    <w:rsid w:val="62FA7D54"/>
    <w:rsid w:val="630020D3"/>
    <w:rsid w:val="630075C7"/>
    <w:rsid w:val="63166270"/>
    <w:rsid w:val="631D4DCC"/>
    <w:rsid w:val="632B0E85"/>
    <w:rsid w:val="632F07AB"/>
    <w:rsid w:val="63322BBF"/>
    <w:rsid w:val="63440DE8"/>
    <w:rsid w:val="634C17B6"/>
    <w:rsid w:val="635600A9"/>
    <w:rsid w:val="636D2D88"/>
    <w:rsid w:val="63730E90"/>
    <w:rsid w:val="637A6E33"/>
    <w:rsid w:val="637F7C7B"/>
    <w:rsid w:val="63822D65"/>
    <w:rsid w:val="63927F30"/>
    <w:rsid w:val="6398423D"/>
    <w:rsid w:val="639E09A4"/>
    <w:rsid w:val="63A70B3A"/>
    <w:rsid w:val="63B7684E"/>
    <w:rsid w:val="63B87DE9"/>
    <w:rsid w:val="63BE536B"/>
    <w:rsid w:val="63C11FDF"/>
    <w:rsid w:val="63CC234F"/>
    <w:rsid w:val="63DA1D6D"/>
    <w:rsid w:val="640436CD"/>
    <w:rsid w:val="64113315"/>
    <w:rsid w:val="64121078"/>
    <w:rsid w:val="64287ECD"/>
    <w:rsid w:val="642A5D45"/>
    <w:rsid w:val="6445282D"/>
    <w:rsid w:val="644D5D48"/>
    <w:rsid w:val="645F475D"/>
    <w:rsid w:val="64641170"/>
    <w:rsid w:val="647F3A4C"/>
    <w:rsid w:val="648213C5"/>
    <w:rsid w:val="64961FEA"/>
    <w:rsid w:val="649737D1"/>
    <w:rsid w:val="64AC2A0D"/>
    <w:rsid w:val="64BA36C3"/>
    <w:rsid w:val="64D57CC1"/>
    <w:rsid w:val="64D94CD6"/>
    <w:rsid w:val="64E75170"/>
    <w:rsid w:val="64EF542F"/>
    <w:rsid w:val="650D3452"/>
    <w:rsid w:val="650F6997"/>
    <w:rsid w:val="65120220"/>
    <w:rsid w:val="652F4833"/>
    <w:rsid w:val="65304417"/>
    <w:rsid w:val="65312DB1"/>
    <w:rsid w:val="65364C48"/>
    <w:rsid w:val="6539524A"/>
    <w:rsid w:val="653C17B9"/>
    <w:rsid w:val="653F1978"/>
    <w:rsid w:val="65420B1A"/>
    <w:rsid w:val="65474383"/>
    <w:rsid w:val="65581B37"/>
    <w:rsid w:val="655C19F9"/>
    <w:rsid w:val="655F791E"/>
    <w:rsid w:val="656137FC"/>
    <w:rsid w:val="65635B07"/>
    <w:rsid w:val="657D2EF6"/>
    <w:rsid w:val="658A0837"/>
    <w:rsid w:val="65926805"/>
    <w:rsid w:val="659B1B6E"/>
    <w:rsid w:val="65A76BCF"/>
    <w:rsid w:val="65B303FE"/>
    <w:rsid w:val="65B35574"/>
    <w:rsid w:val="65BD63F3"/>
    <w:rsid w:val="65BF032F"/>
    <w:rsid w:val="65CE09F7"/>
    <w:rsid w:val="65DD6A95"/>
    <w:rsid w:val="65DE4CE7"/>
    <w:rsid w:val="65E77E4B"/>
    <w:rsid w:val="65E80F94"/>
    <w:rsid w:val="65EE67C8"/>
    <w:rsid w:val="65F23301"/>
    <w:rsid w:val="65FB6B37"/>
    <w:rsid w:val="65FD4851"/>
    <w:rsid w:val="661532C3"/>
    <w:rsid w:val="662B15AE"/>
    <w:rsid w:val="662C1C0F"/>
    <w:rsid w:val="6631158C"/>
    <w:rsid w:val="66554C65"/>
    <w:rsid w:val="665B0220"/>
    <w:rsid w:val="6664062D"/>
    <w:rsid w:val="66647CEF"/>
    <w:rsid w:val="66756B52"/>
    <w:rsid w:val="669612B8"/>
    <w:rsid w:val="66971795"/>
    <w:rsid w:val="669C4B10"/>
    <w:rsid w:val="66A45E38"/>
    <w:rsid w:val="66AE0FFF"/>
    <w:rsid w:val="66C4285D"/>
    <w:rsid w:val="66E232A3"/>
    <w:rsid w:val="66E520A5"/>
    <w:rsid w:val="66E54EEA"/>
    <w:rsid w:val="66E852F5"/>
    <w:rsid w:val="66F25101"/>
    <w:rsid w:val="66F957EA"/>
    <w:rsid w:val="66FD6DD9"/>
    <w:rsid w:val="67014DEE"/>
    <w:rsid w:val="6704759C"/>
    <w:rsid w:val="67061C6F"/>
    <w:rsid w:val="67130660"/>
    <w:rsid w:val="671962B5"/>
    <w:rsid w:val="67515045"/>
    <w:rsid w:val="675751AB"/>
    <w:rsid w:val="675B7323"/>
    <w:rsid w:val="675D6308"/>
    <w:rsid w:val="67696832"/>
    <w:rsid w:val="677C52CE"/>
    <w:rsid w:val="677E1BB2"/>
    <w:rsid w:val="67884E3E"/>
    <w:rsid w:val="67896ED4"/>
    <w:rsid w:val="67A1449C"/>
    <w:rsid w:val="67AE5CE4"/>
    <w:rsid w:val="67C63392"/>
    <w:rsid w:val="67DA72F1"/>
    <w:rsid w:val="67E623C6"/>
    <w:rsid w:val="67EB266B"/>
    <w:rsid w:val="68000AEE"/>
    <w:rsid w:val="68064081"/>
    <w:rsid w:val="68143A8E"/>
    <w:rsid w:val="683345E7"/>
    <w:rsid w:val="6836397F"/>
    <w:rsid w:val="684208DC"/>
    <w:rsid w:val="685436B1"/>
    <w:rsid w:val="685D76D5"/>
    <w:rsid w:val="68660FC4"/>
    <w:rsid w:val="68907F57"/>
    <w:rsid w:val="68914293"/>
    <w:rsid w:val="68916F6D"/>
    <w:rsid w:val="68921DB9"/>
    <w:rsid w:val="68AA5354"/>
    <w:rsid w:val="68D66F7D"/>
    <w:rsid w:val="68F55F4A"/>
    <w:rsid w:val="68FD0E6A"/>
    <w:rsid w:val="69086524"/>
    <w:rsid w:val="690C7823"/>
    <w:rsid w:val="69122D82"/>
    <w:rsid w:val="69165618"/>
    <w:rsid w:val="6918312E"/>
    <w:rsid w:val="691924BC"/>
    <w:rsid w:val="69384EE2"/>
    <w:rsid w:val="694E3BA9"/>
    <w:rsid w:val="69513B8B"/>
    <w:rsid w:val="69584637"/>
    <w:rsid w:val="696C440D"/>
    <w:rsid w:val="69704E73"/>
    <w:rsid w:val="697A30B8"/>
    <w:rsid w:val="697D1592"/>
    <w:rsid w:val="69802604"/>
    <w:rsid w:val="69823BDB"/>
    <w:rsid w:val="69874CE1"/>
    <w:rsid w:val="69926F76"/>
    <w:rsid w:val="6994515E"/>
    <w:rsid w:val="69A363E3"/>
    <w:rsid w:val="69BA02FA"/>
    <w:rsid w:val="69CC6E17"/>
    <w:rsid w:val="69DF2E45"/>
    <w:rsid w:val="69EC54F9"/>
    <w:rsid w:val="69F07AD0"/>
    <w:rsid w:val="69F745C9"/>
    <w:rsid w:val="6A0604EC"/>
    <w:rsid w:val="6A0F34AC"/>
    <w:rsid w:val="6A117E0F"/>
    <w:rsid w:val="6A152CA1"/>
    <w:rsid w:val="6A186779"/>
    <w:rsid w:val="6A234CE7"/>
    <w:rsid w:val="6A2B3DFA"/>
    <w:rsid w:val="6A2C069F"/>
    <w:rsid w:val="6A564508"/>
    <w:rsid w:val="6A584BA5"/>
    <w:rsid w:val="6A5B6C60"/>
    <w:rsid w:val="6A6A318A"/>
    <w:rsid w:val="6A9242F2"/>
    <w:rsid w:val="6A950716"/>
    <w:rsid w:val="6AAF7034"/>
    <w:rsid w:val="6AB8323C"/>
    <w:rsid w:val="6AC2789A"/>
    <w:rsid w:val="6ADB7A47"/>
    <w:rsid w:val="6AF26073"/>
    <w:rsid w:val="6AF85145"/>
    <w:rsid w:val="6AFE13B8"/>
    <w:rsid w:val="6B054000"/>
    <w:rsid w:val="6B1A2A61"/>
    <w:rsid w:val="6B322A09"/>
    <w:rsid w:val="6B39651C"/>
    <w:rsid w:val="6B427AC6"/>
    <w:rsid w:val="6B500125"/>
    <w:rsid w:val="6B5D5F9E"/>
    <w:rsid w:val="6B6E7D76"/>
    <w:rsid w:val="6B786DC2"/>
    <w:rsid w:val="6B8123A4"/>
    <w:rsid w:val="6B8538F6"/>
    <w:rsid w:val="6B8974A3"/>
    <w:rsid w:val="6B8D2261"/>
    <w:rsid w:val="6B910106"/>
    <w:rsid w:val="6BE71667"/>
    <w:rsid w:val="6BEA4F78"/>
    <w:rsid w:val="6BFE10C7"/>
    <w:rsid w:val="6C0E025B"/>
    <w:rsid w:val="6C2C42D2"/>
    <w:rsid w:val="6C494E84"/>
    <w:rsid w:val="6C5D21FB"/>
    <w:rsid w:val="6C5E0930"/>
    <w:rsid w:val="6C765E15"/>
    <w:rsid w:val="6C87555A"/>
    <w:rsid w:val="6C9A56E0"/>
    <w:rsid w:val="6C9E5415"/>
    <w:rsid w:val="6CA403A0"/>
    <w:rsid w:val="6CAA6D68"/>
    <w:rsid w:val="6CAA7444"/>
    <w:rsid w:val="6CBF5624"/>
    <w:rsid w:val="6CF13EC6"/>
    <w:rsid w:val="6CF748E0"/>
    <w:rsid w:val="6D003F0D"/>
    <w:rsid w:val="6D093028"/>
    <w:rsid w:val="6D1214DA"/>
    <w:rsid w:val="6D170857"/>
    <w:rsid w:val="6D187838"/>
    <w:rsid w:val="6D196A1C"/>
    <w:rsid w:val="6D284A9A"/>
    <w:rsid w:val="6D314807"/>
    <w:rsid w:val="6D3E606B"/>
    <w:rsid w:val="6D4B5A26"/>
    <w:rsid w:val="6D4C0234"/>
    <w:rsid w:val="6D4E753F"/>
    <w:rsid w:val="6D535020"/>
    <w:rsid w:val="6D630635"/>
    <w:rsid w:val="6D6B272B"/>
    <w:rsid w:val="6D765805"/>
    <w:rsid w:val="6D7A7821"/>
    <w:rsid w:val="6D8D725B"/>
    <w:rsid w:val="6D8F1E33"/>
    <w:rsid w:val="6DA070E2"/>
    <w:rsid w:val="6DC81EC1"/>
    <w:rsid w:val="6DD97201"/>
    <w:rsid w:val="6DF66946"/>
    <w:rsid w:val="6E254456"/>
    <w:rsid w:val="6E262FB4"/>
    <w:rsid w:val="6E352EB4"/>
    <w:rsid w:val="6E4D32D0"/>
    <w:rsid w:val="6E605042"/>
    <w:rsid w:val="6E6409D3"/>
    <w:rsid w:val="6E680107"/>
    <w:rsid w:val="6EA97E5C"/>
    <w:rsid w:val="6ECE001D"/>
    <w:rsid w:val="6EE57E46"/>
    <w:rsid w:val="6EEF1E6B"/>
    <w:rsid w:val="6EFA0228"/>
    <w:rsid w:val="6EFC3BD6"/>
    <w:rsid w:val="6F026F6D"/>
    <w:rsid w:val="6F09367A"/>
    <w:rsid w:val="6F11329D"/>
    <w:rsid w:val="6F196F4B"/>
    <w:rsid w:val="6F1D1982"/>
    <w:rsid w:val="6F2113CD"/>
    <w:rsid w:val="6F3A19A1"/>
    <w:rsid w:val="6F3F1170"/>
    <w:rsid w:val="6F565DEB"/>
    <w:rsid w:val="6F833C57"/>
    <w:rsid w:val="6F8D43ED"/>
    <w:rsid w:val="6F9D176F"/>
    <w:rsid w:val="6FAC2801"/>
    <w:rsid w:val="6FAF5621"/>
    <w:rsid w:val="6FB1489C"/>
    <w:rsid w:val="6FC912BB"/>
    <w:rsid w:val="6FE23E9F"/>
    <w:rsid w:val="6FF25BF6"/>
    <w:rsid w:val="6FF7723D"/>
    <w:rsid w:val="6FF94E21"/>
    <w:rsid w:val="70003AAC"/>
    <w:rsid w:val="700803B2"/>
    <w:rsid w:val="700D5BB4"/>
    <w:rsid w:val="701270F1"/>
    <w:rsid w:val="702B1420"/>
    <w:rsid w:val="70337331"/>
    <w:rsid w:val="70367B08"/>
    <w:rsid w:val="705C7E0C"/>
    <w:rsid w:val="707527FE"/>
    <w:rsid w:val="708C17E3"/>
    <w:rsid w:val="708C6C14"/>
    <w:rsid w:val="70914DE8"/>
    <w:rsid w:val="70AD220A"/>
    <w:rsid w:val="70B4507B"/>
    <w:rsid w:val="70D43805"/>
    <w:rsid w:val="70DD5256"/>
    <w:rsid w:val="70E91966"/>
    <w:rsid w:val="70F524B7"/>
    <w:rsid w:val="711759BB"/>
    <w:rsid w:val="71275EF7"/>
    <w:rsid w:val="71286898"/>
    <w:rsid w:val="712971A5"/>
    <w:rsid w:val="71567A73"/>
    <w:rsid w:val="716272FA"/>
    <w:rsid w:val="71871991"/>
    <w:rsid w:val="719A67B0"/>
    <w:rsid w:val="71A720CD"/>
    <w:rsid w:val="71B608C6"/>
    <w:rsid w:val="71CB2769"/>
    <w:rsid w:val="71DD0B9F"/>
    <w:rsid w:val="71F856FC"/>
    <w:rsid w:val="720A6E64"/>
    <w:rsid w:val="72162BA8"/>
    <w:rsid w:val="7218737B"/>
    <w:rsid w:val="72242A48"/>
    <w:rsid w:val="72247D88"/>
    <w:rsid w:val="723C060D"/>
    <w:rsid w:val="723D4B43"/>
    <w:rsid w:val="72520895"/>
    <w:rsid w:val="725854FE"/>
    <w:rsid w:val="726C689C"/>
    <w:rsid w:val="727110AF"/>
    <w:rsid w:val="727F01BF"/>
    <w:rsid w:val="728D4994"/>
    <w:rsid w:val="72902AA4"/>
    <w:rsid w:val="72972FDB"/>
    <w:rsid w:val="72A82AFD"/>
    <w:rsid w:val="72AA45AC"/>
    <w:rsid w:val="72B15237"/>
    <w:rsid w:val="72C8652A"/>
    <w:rsid w:val="72DC1E41"/>
    <w:rsid w:val="72E4675A"/>
    <w:rsid w:val="72EE2353"/>
    <w:rsid w:val="72F17A71"/>
    <w:rsid w:val="72F64349"/>
    <w:rsid w:val="731A4CAD"/>
    <w:rsid w:val="732D654F"/>
    <w:rsid w:val="732E2A2B"/>
    <w:rsid w:val="73356E13"/>
    <w:rsid w:val="73404424"/>
    <w:rsid w:val="73593BFF"/>
    <w:rsid w:val="736214C2"/>
    <w:rsid w:val="73777153"/>
    <w:rsid w:val="738D32D9"/>
    <w:rsid w:val="73922C6D"/>
    <w:rsid w:val="739441DE"/>
    <w:rsid w:val="73C537B1"/>
    <w:rsid w:val="73C80D84"/>
    <w:rsid w:val="73CD33BB"/>
    <w:rsid w:val="73D1075C"/>
    <w:rsid w:val="73D410F7"/>
    <w:rsid w:val="73DD3FC1"/>
    <w:rsid w:val="73E4738D"/>
    <w:rsid w:val="73E476ED"/>
    <w:rsid w:val="73EB25D1"/>
    <w:rsid w:val="73EC03DD"/>
    <w:rsid w:val="73F64075"/>
    <w:rsid w:val="73FB6C2B"/>
    <w:rsid w:val="740A6140"/>
    <w:rsid w:val="740A7301"/>
    <w:rsid w:val="740C6EC3"/>
    <w:rsid w:val="74301621"/>
    <w:rsid w:val="74427F4C"/>
    <w:rsid w:val="74442730"/>
    <w:rsid w:val="74531D2F"/>
    <w:rsid w:val="745B488C"/>
    <w:rsid w:val="746C669B"/>
    <w:rsid w:val="746F0BEB"/>
    <w:rsid w:val="747800B5"/>
    <w:rsid w:val="74842DB4"/>
    <w:rsid w:val="749232A9"/>
    <w:rsid w:val="74B12706"/>
    <w:rsid w:val="74B17A6A"/>
    <w:rsid w:val="74C94DB4"/>
    <w:rsid w:val="74F56F80"/>
    <w:rsid w:val="75120B09"/>
    <w:rsid w:val="75181C9D"/>
    <w:rsid w:val="751D0C5C"/>
    <w:rsid w:val="75213866"/>
    <w:rsid w:val="753B48E1"/>
    <w:rsid w:val="75412B9C"/>
    <w:rsid w:val="75562751"/>
    <w:rsid w:val="75564988"/>
    <w:rsid w:val="755F74C6"/>
    <w:rsid w:val="756E7E47"/>
    <w:rsid w:val="75706D1D"/>
    <w:rsid w:val="75731778"/>
    <w:rsid w:val="75894CB4"/>
    <w:rsid w:val="758D76E5"/>
    <w:rsid w:val="759C7962"/>
    <w:rsid w:val="759D359F"/>
    <w:rsid w:val="759F1EF2"/>
    <w:rsid w:val="75A61441"/>
    <w:rsid w:val="75C56403"/>
    <w:rsid w:val="75CB1A4C"/>
    <w:rsid w:val="75E20279"/>
    <w:rsid w:val="75F453A3"/>
    <w:rsid w:val="75FB0F9D"/>
    <w:rsid w:val="75FC0828"/>
    <w:rsid w:val="760C45D1"/>
    <w:rsid w:val="76232AEC"/>
    <w:rsid w:val="76284AC2"/>
    <w:rsid w:val="763B583E"/>
    <w:rsid w:val="763C694E"/>
    <w:rsid w:val="76491255"/>
    <w:rsid w:val="764C58E9"/>
    <w:rsid w:val="764E37CA"/>
    <w:rsid w:val="765F1B2B"/>
    <w:rsid w:val="766F7697"/>
    <w:rsid w:val="769211D6"/>
    <w:rsid w:val="76B53CD2"/>
    <w:rsid w:val="76C74100"/>
    <w:rsid w:val="76C842B2"/>
    <w:rsid w:val="76CE3908"/>
    <w:rsid w:val="76D630F2"/>
    <w:rsid w:val="76D644FA"/>
    <w:rsid w:val="76F07EAA"/>
    <w:rsid w:val="76FB321F"/>
    <w:rsid w:val="76FE2D08"/>
    <w:rsid w:val="771B0062"/>
    <w:rsid w:val="77243F4F"/>
    <w:rsid w:val="773C2CD2"/>
    <w:rsid w:val="774F580C"/>
    <w:rsid w:val="7754790A"/>
    <w:rsid w:val="77550B81"/>
    <w:rsid w:val="7755292F"/>
    <w:rsid w:val="7758241F"/>
    <w:rsid w:val="77776CAF"/>
    <w:rsid w:val="777E710B"/>
    <w:rsid w:val="77845250"/>
    <w:rsid w:val="77846D70"/>
    <w:rsid w:val="778878C7"/>
    <w:rsid w:val="778D3EAD"/>
    <w:rsid w:val="7792490E"/>
    <w:rsid w:val="77966242"/>
    <w:rsid w:val="77BE0B12"/>
    <w:rsid w:val="77C050A7"/>
    <w:rsid w:val="77C95322"/>
    <w:rsid w:val="77E109BC"/>
    <w:rsid w:val="77ED4572"/>
    <w:rsid w:val="77F46B7D"/>
    <w:rsid w:val="77F63458"/>
    <w:rsid w:val="780508C4"/>
    <w:rsid w:val="78077577"/>
    <w:rsid w:val="781143F9"/>
    <w:rsid w:val="781225CE"/>
    <w:rsid w:val="78147F54"/>
    <w:rsid w:val="781903FE"/>
    <w:rsid w:val="78291D14"/>
    <w:rsid w:val="78390DEB"/>
    <w:rsid w:val="783C3A4B"/>
    <w:rsid w:val="784D6322"/>
    <w:rsid w:val="7862675C"/>
    <w:rsid w:val="78635A04"/>
    <w:rsid w:val="78692B14"/>
    <w:rsid w:val="787751FC"/>
    <w:rsid w:val="7877756F"/>
    <w:rsid w:val="787943FB"/>
    <w:rsid w:val="787C64BB"/>
    <w:rsid w:val="788449CA"/>
    <w:rsid w:val="788609F5"/>
    <w:rsid w:val="789B4907"/>
    <w:rsid w:val="789F743A"/>
    <w:rsid w:val="78A015CF"/>
    <w:rsid w:val="78A61B9F"/>
    <w:rsid w:val="78AE75B3"/>
    <w:rsid w:val="78B57EE2"/>
    <w:rsid w:val="78BB11DA"/>
    <w:rsid w:val="78BF0458"/>
    <w:rsid w:val="78C07735"/>
    <w:rsid w:val="78C16764"/>
    <w:rsid w:val="78C362A7"/>
    <w:rsid w:val="78CA2EA9"/>
    <w:rsid w:val="78D14C8A"/>
    <w:rsid w:val="78D47EDB"/>
    <w:rsid w:val="78E73A5B"/>
    <w:rsid w:val="78F61EF0"/>
    <w:rsid w:val="790B23F9"/>
    <w:rsid w:val="790D0AC0"/>
    <w:rsid w:val="7918575E"/>
    <w:rsid w:val="79234D2F"/>
    <w:rsid w:val="793242EA"/>
    <w:rsid w:val="7932685A"/>
    <w:rsid w:val="79410484"/>
    <w:rsid w:val="79516F70"/>
    <w:rsid w:val="79525636"/>
    <w:rsid w:val="79527A44"/>
    <w:rsid w:val="795E0718"/>
    <w:rsid w:val="795F3B46"/>
    <w:rsid w:val="7991711C"/>
    <w:rsid w:val="79AA6114"/>
    <w:rsid w:val="79CB6ED9"/>
    <w:rsid w:val="79CF419C"/>
    <w:rsid w:val="7A075A61"/>
    <w:rsid w:val="7A1203BE"/>
    <w:rsid w:val="7A1528E7"/>
    <w:rsid w:val="7A234F10"/>
    <w:rsid w:val="7A3221EC"/>
    <w:rsid w:val="7A3C4F9A"/>
    <w:rsid w:val="7A576DBA"/>
    <w:rsid w:val="7A5C5DD2"/>
    <w:rsid w:val="7A733FAF"/>
    <w:rsid w:val="7A797A07"/>
    <w:rsid w:val="7A7C535A"/>
    <w:rsid w:val="7A947147"/>
    <w:rsid w:val="7A9615FB"/>
    <w:rsid w:val="7A992B33"/>
    <w:rsid w:val="7A9D3935"/>
    <w:rsid w:val="7AA810C7"/>
    <w:rsid w:val="7AA874CC"/>
    <w:rsid w:val="7AAF67FA"/>
    <w:rsid w:val="7ABA33EA"/>
    <w:rsid w:val="7AC322A6"/>
    <w:rsid w:val="7ACB2BF8"/>
    <w:rsid w:val="7AE13424"/>
    <w:rsid w:val="7AEA0746"/>
    <w:rsid w:val="7B3377DF"/>
    <w:rsid w:val="7B36045B"/>
    <w:rsid w:val="7B3E01CE"/>
    <w:rsid w:val="7B5633CA"/>
    <w:rsid w:val="7B5F4A24"/>
    <w:rsid w:val="7B665E5A"/>
    <w:rsid w:val="7B841440"/>
    <w:rsid w:val="7B866876"/>
    <w:rsid w:val="7B9076E8"/>
    <w:rsid w:val="7B9710F5"/>
    <w:rsid w:val="7B9B6D91"/>
    <w:rsid w:val="7BCD1BB0"/>
    <w:rsid w:val="7BD56697"/>
    <w:rsid w:val="7BE257C2"/>
    <w:rsid w:val="7BE60EA3"/>
    <w:rsid w:val="7BF70EC6"/>
    <w:rsid w:val="7C176585"/>
    <w:rsid w:val="7C2C5508"/>
    <w:rsid w:val="7C2E68EF"/>
    <w:rsid w:val="7C3946A2"/>
    <w:rsid w:val="7C3A6597"/>
    <w:rsid w:val="7C3A7068"/>
    <w:rsid w:val="7C4E7783"/>
    <w:rsid w:val="7C5D4FA9"/>
    <w:rsid w:val="7C5E5DE2"/>
    <w:rsid w:val="7C6F4493"/>
    <w:rsid w:val="7C71145B"/>
    <w:rsid w:val="7C75312C"/>
    <w:rsid w:val="7C99700C"/>
    <w:rsid w:val="7C9D1ABB"/>
    <w:rsid w:val="7CAE626C"/>
    <w:rsid w:val="7CC657AB"/>
    <w:rsid w:val="7CD228EB"/>
    <w:rsid w:val="7CD556FD"/>
    <w:rsid w:val="7CEA7DD8"/>
    <w:rsid w:val="7CFC7AC4"/>
    <w:rsid w:val="7D0166A0"/>
    <w:rsid w:val="7D041215"/>
    <w:rsid w:val="7D052701"/>
    <w:rsid w:val="7D1110A6"/>
    <w:rsid w:val="7D1C7AB0"/>
    <w:rsid w:val="7D1E41BA"/>
    <w:rsid w:val="7D274817"/>
    <w:rsid w:val="7D342FE7"/>
    <w:rsid w:val="7D6C09D3"/>
    <w:rsid w:val="7D721420"/>
    <w:rsid w:val="7D841E05"/>
    <w:rsid w:val="7D8A2717"/>
    <w:rsid w:val="7D8A53A6"/>
    <w:rsid w:val="7D970D55"/>
    <w:rsid w:val="7D9E0CED"/>
    <w:rsid w:val="7DA43CC8"/>
    <w:rsid w:val="7DB679EB"/>
    <w:rsid w:val="7DD13986"/>
    <w:rsid w:val="7DFA6B3D"/>
    <w:rsid w:val="7E160799"/>
    <w:rsid w:val="7E431552"/>
    <w:rsid w:val="7E486D4A"/>
    <w:rsid w:val="7E4C644D"/>
    <w:rsid w:val="7E516AD8"/>
    <w:rsid w:val="7E6D7A21"/>
    <w:rsid w:val="7E822EC3"/>
    <w:rsid w:val="7E882F1A"/>
    <w:rsid w:val="7E883900"/>
    <w:rsid w:val="7E8A4813"/>
    <w:rsid w:val="7E8B30DA"/>
    <w:rsid w:val="7E931C7F"/>
    <w:rsid w:val="7EA42B1E"/>
    <w:rsid w:val="7EA72BFC"/>
    <w:rsid w:val="7EAB552B"/>
    <w:rsid w:val="7EC14D4E"/>
    <w:rsid w:val="7ECD4E2F"/>
    <w:rsid w:val="7EE2259A"/>
    <w:rsid w:val="7EF06C38"/>
    <w:rsid w:val="7F0538E2"/>
    <w:rsid w:val="7F113A1D"/>
    <w:rsid w:val="7F1C7D6F"/>
    <w:rsid w:val="7F23172E"/>
    <w:rsid w:val="7F297BD3"/>
    <w:rsid w:val="7F3E5AAC"/>
    <w:rsid w:val="7F7D19C8"/>
    <w:rsid w:val="7F842003"/>
    <w:rsid w:val="7F8942F1"/>
    <w:rsid w:val="7F9C1990"/>
    <w:rsid w:val="7FA44454"/>
    <w:rsid w:val="7FA54125"/>
    <w:rsid w:val="7FA75CF2"/>
    <w:rsid w:val="7FAC43B7"/>
    <w:rsid w:val="7FB421BD"/>
    <w:rsid w:val="7FCC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11">
    <w:name w:val="heading 1"/>
    <w:basedOn w:val="1"/>
    <w:next w:val="1"/>
    <w:qFormat/>
    <w:uiPriority w:val="9"/>
    <w:pPr>
      <w:keepNext/>
      <w:keepLines/>
      <w:spacing w:before="340" w:after="330" w:line="578" w:lineRule="auto"/>
      <w:outlineLvl w:val="0"/>
    </w:pPr>
    <w:rPr>
      <w:b/>
      <w:bCs/>
      <w:kern w:val="44"/>
      <w:sz w:val="44"/>
      <w:szCs w:val="44"/>
    </w:rPr>
  </w:style>
  <w:style w:type="paragraph" w:styleId="12">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13">
    <w:name w:val="heading 3"/>
    <w:basedOn w:val="1"/>
    <w:next w:val="1"/>
    <w:qFormat/>
    <w:uiPriority w:val="9"/>
    <w:pPr>
      <w:keepNext/>
      <w:keepLines/>
      <w:spacing w:before="100" w:after="100" w:line="360" w:lineRule="auto"/>
      <w:outlineLvl w:val="2"/>
    </w:pPr>
    <w:rPr>
      <w:rFonts w:eastAsia="宋体"/>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widowControl w:val="0"/>
      <w:spacing w:after="120" w:line="360" w:lineRule="auto"/>
      <w:ind w:left="420" w:leftChars="200" w:firstLine="420" w:firstLineChars="200"/>
      <w:jc w:val="both"/>
    </w:pPr>
    <w:rPr>
      <w:rFonts w:ascii="Times New Roman" w:hAnsi="Times New Roman" w:eastAsia="宋体" w:cs="Times New Roman"/>
      <w:kern w:val="0"/>
      <w:sz w:val="21"/>
      <w:szCs w:val="24"/>
      <w:lang w:val="en-US" w:eastAsia="zh-CN" w:bidi="ar-SA"/>
    </w:rPr>
  </w:style>
  <w:style w:type="paragraph" w:styleId="3">
    <w:name w:val="Body Text Indent"/>
    <w:basedOn w:val="1"/>
    <w:next w:val="4"/>
    <w:qFormat/>
    <w:uiPriority w:val="0"/>
    <w:pPr>
      <w:widowControl w:val="0"/>
      <w:spacing w:line="240" w:lineRule="auto"/>
      <w:ind w:left="-360" w:firstLine="360"/>
      <w:jc w:val="both"/>
    </w:pPr>
    <w:rPr>
      <w:rFonts w:ascii="Times New Roman" w:hAnsi="Times New Roman" w:eastAsia="宋体" w:cs="Times New Roman"/>
      <w:kern w:val="0"/>
      <w:sz w:val="21"/>
      <w:szCs w:val="24"/>
      <w:lang w:val="en-US" w:eastAsia="zh-CN" w:bidi="ar-SA"/>
    </w:rPr>
  </w:style>
  <w:style w:type="paragraph" w:styleId="4">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5">
    <w:name w:val="Body Text First Indent"/>
    <w:basedOn w:val="6"/>
    <w:next w:val="10"/>
    <w:unhideWhenUsed/>
    <w:qFormat/>
    <w:uiPriority w:val="0"/>
    <w:pPr>
      <w:spacing w:before="0" w:beforeLines="0" w:after="120" w:afterLines="0" w:line="312" w:lineRule="atLeast"/>
      <w:ind w:firstLine="420" w:firstLineChars="100"/>
    </w:pPr>
    <w:rPr>
      <w:sz w:val="21"/>
    </w:rPr>
  </w:style>
  <w:style w:type="paragraph" w:styleId="6">
    <w:name w:val="Body Text"/>
    <w:basedOn w:val="1"/>
    <w:next w:val="7"/>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customStyle="1" w:styleId="7">
    <w:name w:val="Default"/>
    <w:basedOn w:val="8"/>
    <w:next w:val="9"/>
    <w:qFormat/>
    <w:uiPriority w:val="0"/>
    <w:pPr>
      <w:widowControl w:val="0"/>
      <w:autoSpaceDE w:val="0"/>
      <w:autoSpaceDN w:val="0"/>
      <w:adjustRightInd w:val="0"/>
      <w:spacing w:before="240" w:after="60"/>
      <w:jc w:val="center"/>
      <w:outlineLvl w:val="0"/>
    </w:pPr>
    <w:rPr>
      <w:rFonts w:ascii="黑体" w:hAnsi="Cambria" w:eastAsia="黑体" w:cs="Times New Roman"/>
      <w:kern w:val="2"/>
      <w:sz w:val="32"/>
      <w:szCs w:val="24"/>
      <w:lang w:val="en-US" w:eastAsia="zh-CN" w:bidi="ar-SA"/>
    </w:rPr>
  </w:style>
  <w:style w:type="paragraph" w:styleId="8">
    <w:name w:val="Title"/>
    <w:basedOn w:val="1"/>
    <w:next w:val="1"/>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customStyle="1" w:styleId="9">
    <w:name w:val="大标题"/>
    <w:basedOn w:val="1"/>
    <w:next w:val="2"/>
    <w:qFormat/>
    <w:uiPriority w:val="0"/>
    <w:pPr>
      <w:jc w:val="center"/>
    </w:pPr>
    <w:rPr>
      <w:rFonts w:ascii="Arial" w:hAnsi="Arial" w:eastAsia="宋体" w:cs="Times New Roman"/>
      <w:b/>
      <w:sz w:val="28"/>
      <w:szCs w:val="24"/>
    </w:rPr>
  </w:style>
  <w:style w:type="paragraph" w:styleId="10">
    <w:name w:val="toc 6"/>
    <w:basedOn w:val="1"/>
    <w:next w:val="1"/>
    <w:unhideWhenUsed/>
    <w:qFormat/>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14">
    <w:name w:val="index 8"/>
    <w:basedOn w:val="1"/>
    <w:next w:val="1"/>
    <w:unhideWhenUsed/>
    <w:qFormat/>
    <w:uiPriority w:val="99"/>
    <w:pPr>
      <w:ind w:left="1400" w:leftChars="1400"/>
    </w:pPr>
  </w:style>
  <w:style w:type="paragraph" w:styleId="15">
    <w:name w:val="Normal Indent"/>
    <w:basedOn w:val="1"/>
    <w:next w:val="1"/>
    <w:qFormat/>
    <w:uiPriority w:val="0"/>
    <w:pPr>
      <w:ind w:firstLine="420" w:firstLineChars="200"/>
    </w:pPr>
    <w:rPr>
      <w:snapToGrid w:val="0"/>
      <w:kern w:val="0"/>
      <w:sz w:val="28"/>
      <w:szCs w:val="20"/>
    </w:rPr>
  </w:style>
  <w:style w:type="paragraph" w:styleId="16">
    <w:name w:val="Document Map"/>
    <w:basedOn w:val="1"/>
    <w:link w:val="38"/>
    <w:qFormat/>
    <w:uiPriority w:val="0"/>
    <w:rPr>
      <w:rFonts w:ascii="宋体"/>
      <w:sz w:val="18"/>
      <w:szCs w:val="18"/>
    </w:rPr>
  </w:style>
  <w:style w:type="paragraph" w:styleId="17">
    <w:name w:val="toc 3"/>
    <w:basedOn w:val="1"/>
    <w:next w:val="1"/>
    <w:qFormat/>
    <w:uiPriority w:val="0"/>
    <w:pPr>
      <w:ind w:left="840" w:leftChars="400"/>
    </w:pPr>
  </w:style>
  <w:style w:type="paragraph" w:styleId="18">
    <w:name w:val="Plain Text"/>
    <w:basedOn w:val="1"/>
    <w:next w:val="19"/>
    <w:qFormat/>
    <w:uiPriority w:val="0"/>
    <w:rPr>
      <w:rFonts w:ascii="宋体" w:hAnsi="Courier New" w:cs="宋体"/>
      <w:szCs w:val="21"/>
    </w:rPr>
  </w:style>
  <w:style w:type="paragraph" w:styleId="19">
    <w:name w:val="footer"/>
    <w:basedOn w:val="1"/>
    <w:unhideWhenUsed/>
    <w:qFormat/>
    <w:uiPriority w:val="99"/>
    <w:pPr>
      <w:tabs>
        <w:tab w:val="center" w:pos="4153"/>
        <w:tab w:val="right" w:pos="8306"/>
      </w:tabs>
      <w:snapToGrid w:val="0"/>
      <w:jc w:val="left"/>
    </w:pPr>
    <w:rPr>
      <w:sz w:val="18"/>
      <w:szCs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Normal (Web)"/>
    <w:basedOn w:val="1"/>
    <w:next w:val="14"/>
    <w:qFormat/>
    <w:uiPriority w:val="0"/>
    <w:pPr>
      <w:spacing w:before="100" w:beforeAutospacing="1" w:after="100" w:afterAutospacing="1"/>
      <w:jc w:val="left"/>
    </w:pPr>
    <w:rPr>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unhideWhenUsed/>
    <w:qFormat/>
    <w:uiPriority w:val="0"/>
    <w:rPr>
      <w:rFonts w:cs="Times New Roman"/>
    </w:rPr>
  </w:style>
  <w:style w:type="character" w:customStyle="1" w:styleId="29">
    <w:name w:val="样式 仿宋"/>
    <w:qFormat/>
    <w:uiPriority w:val="0"/>
    <w:rPr>
      <w:rFonts w:ascii="仿宋" w:hAnsi="仿宋" w:eastAsia="仿宋"/>
      <w:kern w:val="1"/>
    </w:rPr>
  </w:style>
  <w:style w:type="paragraph" w:customStyle="1" w:styleId="30">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1">
    <w:name w:val="样式 仿宋 行距: 1.5 倍行距"/>
    <w:basedOn w:val="1"/>
    <w:qFormat/>
    <w:uiPriority w:val="0"/>
    <w:pPr>
      <w:spacing w:line="360" w:lineRule="auto"/>
    </w:pPr>
    <w:rPr>
      <w:rFonts w:ascii="仿宋" w:hAnsi="仿宋" w:eastAsia="仿宋" w:cs="宋体"/>
      <w:sz w:val="24"/>
      <w:szCs w:val="20"/>
    </w:rPr>
  </w:style>
  <w:style w:type="character" w:customStyle="1" w:styleId="32">
    <w:name w:val="font21"/>
    <w:basedOn w:val="26"/>
    <w:qFormat/>
    <w:uiPriority w:val="0"/>
    <w:rPr>
      <w:rFonts w:hint="default" w:ascii="等线" w:hAnsi="等线" w:eastAsia="等线" w:cs="等线"/>
      <w:color w:val="000000"/>
      <w:sz w:val="22"/>
      <w:szCs w:val="22"/>
      <w:u w:val="none"/>
    </w:rPr>
  </w:style>
  <w:style w:type="character" w:customStyle="1" w:styleId="33">
    <w:name w:val="font41"/>
    <w:basedOn w:val="26"/>
    <w:qFormat/>
    <w:uiPriority w:val="0"/>
    <w:rPr>
      <w:rFonts w:hint="eastAsia" w:ascii="宋体" w:hAnsi="宋体" w:eastAsia="宋体" w:cs="宋体"/>
      <w:color w:val="000000"/>
      <w:sz w:val="20"/>
      <w:szCs w:val="20"/>
      <w:u w:val="none"/>
    </w:rPr>
  </w:style>
  <w:style w:type="character" w:customStyle="1" w:styleId="34">
    <w:name w:val="font111"/>
    <w:basedOn w:val="26"/>
    <w:qFormat/>
    <w:uiPriority w:val="0"/>
    <w:rPr>
      <w:rFonts w:hint="eastAsia" w:ascii="宋体" w:hAnsi="宋体" w:eastAsia="宋体" w:cs="宋体"/>
      <w:color w:val="000000"/>
      <w:sz w:val="20"/>
      <w:szCs w:val="20"/>
      <w:u w:val="none"/>
    </w:rPr>
  </w:style>
  <w:style w:type="character" w:customStyle="1" w:styleId="35">
    <w:name w:val="font101"/>
    <w:basedOn w:val="26"/>
    <w:qFormat/>
    <w:uiPriority w:val="0"/>
    <w:rPr>
      <w:rFonts w:hint="eastAsia" w:ascii="宋体" w:hAnsi="宋体" w:eastAsia="宋体" w:cs="宋体"/>
      <w:b/>
      <w:color w:val="000000"/>
      <w:sz w:val="20"/>
      <w:szCs w:val="20"/>
      <w:u w:val="none"/>
    </w:rPr>
  </w:style>
  <w:style w:type="paragraph" w:styleId="36">
    <w:name w:val="List Paragraph"/>
    <w:basedOn w:val="1"/>
    <w:qFormat/>
    <w:uiPriority w:val="34"/>
    <w:pPr>
      <w:ind w:firstLine="420" w:firstLineChars="200"/>
    </w:pPr>
  </w:style>
  <w:style w:type="paragraph" w:customStyle="1" w:styleId="37">
    <w:name w:val="_Style 1"/>
    <w:basedOn w:val="1"/>
    <w:qFormat/>
    <w:uiPriority w:val="34"/>
    <w:pPr>
      <w:ind w:firstLine="420" w:firstLineChars="200"/>
    </w:pPr>
  </w:style>
  <w:style w:type="character" w:customStyle="1" w:styleId="38">
    <w:name w:val="文档结构图 Char"/>
    <w:basedOn w:val="26"/>
    <w:link w:val="16"/>
    <w:qFormat/>
    <w:uiPriority w:val="0"/>
    <w:rPr>
      <w:rFonts w:ascii="宋体" w:eastAsia="宋体"/>
      <w:kern w:val="2"/>
      <w:sz w:val="18"/>
      <w:szCs w:val="18"/>
    </w:rPr>
  </w:style>
  <w:style w:type="character" w:customStyle="1" w:styleId="39">
    <w:name w:val="font61"/>
    <w:basedOn w:val="26"/>
    <w:qFormat/>
    <w:uiPriority w:val="0"/>
    <w:rPr>
      <w:rFonts w:hint="eastAsia" w:ascii="宋体" w:hAnsi="宋体" w:eastAsia="宋体" w:cs="宋体"/>
      <w:color w:val="000000"/>
      <w:sz w:val="40"/>
      <w:szCs w:val="40"/>
      <w:u w:val="none"/>
    </w:rPr>
  </w:style>
  <w:style w:type="character" w:customStyle="1" w:styleId="40">
    <w:name w:val="font71"/>
    <w:basedOn w:val="26"/>
    <w:qFormat/>
    <w:uiPriority w:val="0"/>
    <w:rPr>
      <w:rFonts w:hint="eastAsia" w:ascii="仿宋" w:hAnsi="仿宋" w:eastAsia="仿宋" w:cs="仿宋"/>
      <w:color w:val="000000"/>
      <w:sz w:val="20"/>
      <w:szCs w:val="20"/>
      <w:u w:val="none"/>
    </w:rPr>
  </w:style>
  <w:style w:type="character" w:customStyle="1" w:styleId="41">
    <w:name w:val="font51"/>
    <w:basedOn w:val="26"/>
    <w:qFormat/>
    <w:uiPriority w:val="0"/>
    <w:rPr>
      <w:rFonts w:ascii="Arial" w:hAnsi="Arial" w:cs="Arial"/>
      <w:color w:val="000000"/>
      <w:sz w:val="20"/>
      <w:szCs w:val="20"/>
      <w:u w:val="none"/>
    </w:r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ascii="Times New Roman" w:hAnsi="Times New Roman" w:eastAsia="宋体" w:cs="Times New Roman"/>
      <w:kern w:val="2"/>
      <w:sz w:val="21"/>
      <w:lang w:val="en-US" w:eastAsia="zh-CN" w:bidi="ar-SA"/>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Text"/>
    <w:basedOn w:val="1"/>
    <w:semiHidden/>
    <w:qFormat/>
    <w:uiPriority w:val="0"/>
    <w:rPr>
      <w:rFonts w:ascii="仿宋" w:hAnsi="仿宋" w:eastAsia="仿宋" w:cs="仿宋"/>
      <w:sz w:val="24"/>
      <w:szCs w:val="24"/>
      <w:lang w:val="en-US" w:eastAsia="en-US" w:bidi="ar-SA"/>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font81"/>
    <w:basedOn w:val="26"/>
    <w:qFormat/>
    <w:uiPriority w:val="0"/>
    <w:rPr>
      <w:rFonts w:hint="eastAsia" w:ascii="宋体" w:hAnsi="宋体" w:eastAsia="宋体" w:cs="宋体"/>
      <w:color w:val="000000"/>
      <w:sz w:val="20"/>
      <w:szCs w:val="20"/>
      <w:u w:val="none"/>
    </w:rPr>
  </w:style>
  <w:style w:type="character" w:customStyle="1" w:styleId="49">
    <w:name w:val="font131"/>
    <w:basedOn w:val="26"/>
    <w:qFormat/>
    <w:uiPriority w:val="0"/>
    <w:rPr>
      <w:rFonts w:hint="eastAsia" w:ascii="宋体" w:hAnsi="宋体" w:eastAsia="宋体" w:cs="宋体"/>
      <w:color w:val="000000"/>
      <w:sz w:val="18"/>
      <w:szCs w:val="18"/>
      <w:u w:val="none"/>
    </w:rPr>
  </w:style>
  <w:style w:type="character" w:customStyle="1" w:styleId="50">
    <w:name w:val="font11"/>
    <w:basedOn w:val="26"/>
    <w:qFormat/>
    <w:uiPriority w:val="0"/>
    <w:rPr>
      <w:rFonts w:hint="eastAsia" w:ascii="宋体" w:hAnsi="宋体" w:eastAsia="宋体" w:cs="宋体"/>
      <w:color w:val="000000"/>
      <w:sz w:val="22"/>
      <w:szCs w:val="22"/>
      <w:u w:val="none"/>
    </w:rPr>
  </w:style>
  <w:style w:type="character" w:customStyle="1" w:styleId="51">
    <w:name w:val="font112"/>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80</Pages>
  <Words>19689</Words>
  <Characters>21736</Characters>
  <Lines>341</Lines>
  <Paragraphs>96</Paragraphs>
  <TotalTime>9</TotalTime>
  <ScaleCrop>false</ScaleCrop>
  <LinksUpToDate>false</LinksUpToDate>
  <CharactersWithSpaces>22068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2018-10-26T10:20:00Z</dcterms:created>
  <dc:creator>Administrator</dc:creator>
  <cp:lastModifiedBy>爱笑的眼睛</cp:lastModifiedBy>
  <cp:lastPrinted>2025-02-06T08:27:32Z</cp:lastPrinted>
  <dcterms:modified xsi:type="dcterms:W3CDTF">2025-02-06T09:16:21Z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D96F80F8309C44D5B58DB50FDA351F44_13</vt:lpwstr>
  </property>
  <property fmtid="{D5CDD505-2E9C-101B-9397-08002B2CF9AE}" pid="4" name="KSOTemplateDocerSaveRecord">
    <vt:lpwstr>eyJoZGlkIjoiMTEzZmY2NjZmZmFlMWFhOTdkYThhNGRkNGEzMTM3ZDAiLCJ1c2VySWQiOiIzODgyNjAyMDMifQ==</vt:lpwstr>
  </property>
</Properties>
</file>