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0C2C8">
      <w:pPr>
        <w:jc w:val="center"/>
        <w:rPr>
          <w:rFonts w:hint="default" w:ascii="宋体" w:hAnsi="宋体" w:eastAsia="宋体" w:cs="宋体"/>
          <w:b/>
          <w:bCs/>
          <w:sz w:val="52"/>
          <w:szCs w:val="52"/>
          <w:highlight w:val="none"/>
          <w:lang w:val="en-US" w:eastAsia="zh-CN"/>
        </w:rPr>
      </w:pPr>
      <w:r>
        <w:rPr>
          <w:rFonts w:hint="eastAsia" w:ascii="宋体" w:hAnsi="宋体" w:cs="宋体"/>
          <w:b/>
          <w:bCs w:val="0"/>
          <w:sz w:val="48"/>
          <w:szCs w:val="48"/>
          <w:highlight w:val="none"/>
          <w:lang w:eastAsia="zh-CN"/>
        </w:rPr>
        <w:t>2024年于田县“三北”工程林草湿荒一体化保护修复项目（</w:t>
      </w:r>
      <w:r>
        <w:rPr>
          <w:rFonts w:hint="eastAsia" w:ascii="宋体" w:hAnsi="宋体" w:cs="宋体"/>
          <w:b/>
          <w:bCs w:val="0"/>
          <w:sz w:val="48"/>
          <w:szCs w:val="48"/>
          <w:highlight w:val="none"/>
          <w:lang w:val="en-US" w:eastAsia="zh-CN"/>
        </w:rPr>
        <w:t>包一）（三次）</w:t>
      </w:r>
    </w:p>
    <w:p w14:paraId="5902B342">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p>
    <w:p w14:paraId="287C67DA">
      <w:pPr>
        <w:keepNext w:val="0"/>
        <w:keepLines w:val="0"/>
        <w:widowControl/>
        <w:suppressLineNumbers w:val="0"/>
        <w:jc w:val="center"/>
        <w:rPr>
          <w:rFonts w:hint="default"/>
          <w:highlight w:val="none"/>
          <w:lang w:val="en-US"/>
        </w:rPr>
      </w:pPr>
      <w:r>
        <w:rPr>
          <w:rFonts w:hint="eastAsia" w:ascii="宋体" w:hAnsi="宋体" w:eastAsia="宋体" w:cs="宋体"/>
          <w:b/>
          <w:bCs/>
          <w:color w:val="000000"/>
          <w:kern w:val="0"/>
          <w:sz w:val="36"/>
          <w:szCs w:val="36"/>
          <w:lang w:val="en-US" w:eastAsia="zh-CN" w:bidi="ar"/>
        </w:rPr>
        <w:t>项目编</w:t>
      </w:r>
      <w:r>
        <w:rPr>
          <w:rFonts w:hint="eastAsia" w:ascii="宋体" w:hAnsi="宋体" w:eastAsia="宋体" w:cs="宋体"/>
          <w:b/>
          <w:bCs/>
          <w:color w:val="000000"/>
          <w:kern w:val="0"/>
          <w:sz w:val="36"/>
          <w:szCs w:val="36"/>
          <w:highlight w:val="none"/>
          <w:lang w:val="en-US" w:eastAsia="zh-CN" w:bidi="ar"/>
        </w:rPr>
        <w:t>号：</w:t>
      </w:r>
      <w:r>
        <w:rPr>
          <w:rFonts w:hint="eastAsia" w:ascii="宋体" w:hAnsi="宋体" w:cs="宋体"/>
          <w:b/>
          <w:bCs/>
          <w:color w:val="auto"/>
          <w:kern w:val="0"/>
          <w:sz w:val="36"/>
          <w:szCs w:val="36"/>
          <w:highlight w:val="none"/>
          <w:lang w:val="en-US" w:eastAsia="zh-CN" w:bidi="ar"/>
        </w:rPr>
        <w:t>YTCGD-GK-2024-111-2-01</w:t>
      </w:r>
    </w:p>
    <w:p w14:paraId="1CF3999D">
      <w:pPr>
        <w:pStyle w:val="23"/>
        <w:rPr>
          <w:rFonts w:hint="eastAsia" w:ascii="宋体" w:hAnsi="宋体" w:eastAsia="宋体" w:cs="宋体"/>
          <w:b/>
          <w:bCs/>
          <w:sz w:val="52"/>
          <w:szCs w:val="52"/>
          <w:highlight w:val="none"/>
          <w:lang w:val="en-US" w:eastAsia="zh-CN"/>
        </w:rPr>
      </w:pPr>
    </w:p>
    <w:p w14:paraId="012E6A53">
      <w:pPr>
        <w:jc w:val="center"/>
        <w:rPr>
          <w:rFonts w:hint="eastAsia" w:ascii="宋体" w:hAnsi="宋体" w:eastAsia="宋体" w:cs="宋体"/>
          <w:sz w:val="28"/>
          <w:szCs w:val="28"/>
          <w:highlight w:val="none"/>
        </w:rPr>
      </w:pPr>
      <w:r>
        <w:rPr>
          <w:rFonts w:hint="eastAsia" w:ascii="宋体" w:hAnsi="宋体" w:eastAsia="宋体" w:cs="宋体"/>
          <w:b/>
          <w:bCs/>
          <w:sz w:val="60"/>
          <w:szCs w:val="60"/>
          <w:highlight w:val="none"/>
        </w:rPr>
        <w:t>公开</w:t>
      </w:r>
      <w:r>
        <w:rPr>
          <w:rFonts w:hint="eastAsia" w:ascii="宋体" w:hAnsi="宋体" w:cs="宋体"/>
          <w:b/>
          <w:bCs/>
          <w:sz w:val="60"/>
          <w:szCs w:val="60"/>
          <w:highlight w:val="none"/>
          <w:lang w:val="en-US" w:eastAsia="zh-CN"/>
        </w:rPr>
        <w:t>采购</w:t>
      </w:r>
      <w:r>
        <w:rPr>
          <w:rFonts w:hint="eastAsia" w:ascii="宋体" w:hAnsi="宋体" w:eastAsia="宋体" w:cs="宋体"/>
          <w:b/>
          <w:bCs/>
          <w:sz w:val="60"/>
          <w:szCs w:val="60"/>
          <w:highlight w:val="none"/>
        </w:rPr>
        <w:t>招标文件</w:t>
      </w:r>
    </w:p>
    <w:p w14:paraId="563040B3">
      <w:pPr>
        <w:pStyle w:val="95"/>
        <w:rPr>
          <w:rFonts w:hint="eastAsia" w:ascii="宋体" w:hAnsi="宋体" w:eastAsia="宋体" w:cs="宋体"/>
          <w:sz w:val="28"/>
          <w:szCs w:val="28"/>
          <w:highlight w:val="none"/>
        </w:rPr>
      </w:pPr>
    </w:p>
    <w:p w14:paraId="673A47D9">
      <w:pPr>
        <w:pStyle w:val="13"/>
        <w:rPr>
          <w:rFonts w:hint="eastAsia" w:ascii="宋体" w:hAnsi="宋体" w:eastAsia="宋体" w:cs="宋体"/>
          <w:highlight w:val="none"/>
        </w:rPr>
      </w:pPr>
    </w:p>
    <w:p w14:paraId="19C256A9">
      <w:pPr>
        <w:rPr>
          <w:rFonts w:hint="eastAsia" w:ascii="宋体" w:hAnsi="宋体" w:eastAsia="宋体" w:cs="宋体"/>
          <w:highlight w:val="none"/>
          <w:lang w:val="zh-CN"/>
        </w:rPr>
      </w:pPr>
    </w:p>
    <w:p w14:paraId="38A98661">
      <w:pPr>
        <w:pStyle w:val="95"/>
        <w:rPr>
          <w:rFonts w:hint="eastAsia" w:ascii="宋体" w:hAnsi="宋体" w:eastAsia="宋体" w:cs="宋体"/>
          <w:highlight w:val="none"/>
          <w:lang w:val="zh-CN"/>
        </w:rPr>
      </w:pPr>
    </w:p>
    <w:p w14:paraId="5C7D34FE">
      <w:pPr>
        <w:tabs>
          <w:tab w:val="left" w:pos="3240"/>
          <w:tab w:val="left" w:pos="3420"/>
        </w:tabs>
        <w:spacing w:line="360" w:lineRule="auto"/>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采购人（盖章）：于田县林业和草原局</w:t>
      </w:r>
    </w:p>
    <w:p w14:paraId="3F9BB120">
      <w:pPr>
        <w:tabs>
          <w:tab w:val="left" w:pos="3240"/>
          <w:tab w:val="left" w:pos="3420"/>
        </w:tabs>
        <w:spacing w:line="360" w:lineRule="auto"/>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联系人：刘德刚</w:t>
      </w:r>
    </w:p>
    <w:p w14:paraId="058BB553">
      <w:pPr>
        <w:tabs>
          <w:tab w:val="left" w:pos="3240"/>
          <w:tab w:val="left" w:pos="3420"/>
        </w:tabs>
        <w:spacing w:line="360" w:lineRule="auto"/>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电</w:t>
      </w:r>
      <w:r>
        <w:rPr>
          <w:rFonts w:hint="eastAsia" w:ascii="宋体" w:hAnsi="宋体" w:cs="宋体"/>
          <w:bCs/>
          <w:sz w:val="28"/>
          <w:szCs w:val="28"/>
          <w:highlight w:val="none"/>
          <w:lang w:val="en-US" w:eastAsia="zh-CN"/>
        </w:rPr>
        <w:t xml:space="preserve">  </w:t>
      </w:r>
      <w:r>
        <w:rPr>
          <w:rFonts w:hint="eastAsia" w:ascii="宋体" w:hAnsi="宋体" w:eastAsia="宋体" w:cs="宋体"/>
          <w:bCs/>
          <w:sz w:val="28"/>
          <w:szCs w:val="28"/>
          <w:highlight w:val="none"/>
          <w:lang w:val="en-US" w:eastAsia="zh-CN"/>
        </w:rPr>
        <w:t>话：0903-6811100</w:t>
      </w:r>
    </w:p>
    <w:p w14:paraId="5CC84EFC">
      <w:pPr>
        <w:tabs>
          <w:tab w:val="left" w:pos="3240"/>
          <w:tab w:val="left" w:pos="3420"/>
        </w:tabs>
        <w:spacing w:line="360" w:lineRule="auto"/>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地</w:t>
      </w:r>
      <w:r>
        <w:rPr>
          <w:rFonts w:hint="eastAsia" w:ascii="宋体" w:hAnsi="宋体" w:cs="宋体"/>
          <w:bCs/>
          <w:sz w:val="28"/>
          <w:szCs w:val="28"/>
          <w:highlight w:val="none"/>
          <w:lang w:val="en-US" w:eastAsia="zh-CN"/>
        </w:rPr>
        <w:t xml:space="preserve">  </w:t>
      </w:r>
      <w:r>
        <w:rPr>
          <w:rFonts w:hint="eastAsia" w:ascii="宋体" w:hAnsi="宋体" w:eastAsia="宋体" w:cs="宋体"/>
          <w:bCs/>
          <w:sz w:val="28"/>
          <w:szCs w:val="28"/>
          <w:highlight w:val="none"/>
          <w:lang w:val="en-US" w:eastAsia="zh-CN"/>
        </w:rPr>
        <w:t>址：于田县建德路8号</w:t>
      </w:r>
    </w:p>
    <w:p w14:paraId="004879CE">
      <w:pPr>
        <w:tabs>
          <w:tab w:val="left" w:pos="3240"/>
          <w:tab w:val="left" w:pos="3420"/>
        </w:tabs>
        <w:spacing w:line="360" w:lineRule="auto"/>
        <w:ind w:left="2410" w:leftChars="444" w:hanging="1478" w:hangingChars="528"/>
        <w:jc w:val="left"/>
        <w:rPr>
          <w:rFonts w:hint="eastAsia" w:ascii="宋体" w:hAnsi="宋体" w:eastAsia="宋体" w:cs="宋体"/>
          <w:bCs/>
          <w:sz w:val="28"/>
          <w:szCs w:val="28"/>
          <w:highlight w:val="none"/>
          <w:lang w:val="en-US" w:eastAsia="zh-CN"/>
        </w:rPr>
      </w:pPr>
    </w:p>
    <w:p w14:paraId="61F4CE9F">
      <w:pPr>
        <w:tabs>
          <w:tab w:val="left" w:pos="3240"/>
          <w:tab w:val="left" w:pos="3420"/>
        </w:tabs>
        <w:spacing w:line="360" w:lineRule="auto"/>
        <w:jc w:val="left"/>
        <w:rPr>
          <w:rFonts w:hint="default"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招标代理机构：</w:t>
      </w:r>
      <w:r>
        <w:rPr>
          <w:rFonts w:hint="eastAsia" w:ascii="宋体" w:hAnsi="宋体" w:cs="宋体"/>
          <w:bCs/>
          <w:sz w:val="28"/>
          <w:szCs w:val="28"/>
          <w:highlight w:val="none"/>
          <w:lang w:val="en-US" w:eastAsia="zh-CN"/>
        </w:rPr>
        <w:t>新疆浩诚致远项目管理咨询有限公司</w:t>
      </w:r>
    </w:p>
    <w:p w14:paraId="04F48CB9">
      <w:pPr>
        <w:tabs>
          <w:tab w:val="left" w:pos="3240"/>
          <w:tab w:val="left" w:pos="3420"/>
        </w:tabs>
        <w:spacing w:line="360" w:lineRule="auto"/>
        <w:jc w:val="left"/>
        <w:rPr>
          <w:rFonts w:hint="default"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联系人：</w:t>
      </w:r>
      <w:r>
        <w:rPr>
          <w:rFonts w:hint="eastAsia" w:ascii="宋体" w:hAnsi="宋体" w:cs="宋体"/>
          <w:bCs/>
          <w:sz w:val="28"/>
          <w:szCs w:val="28"/>
          <w:highlight w:val="none"/>
          <w:lang w:val="en-US" w:eastAsia="zh-CN"/>
        </w:rPr>
        <w:t>熊思</w:t>
      </w:r>
    </w:p>
    <w:p w14:paraId="0C7A7AD2">
      <w:pPr>
        <w:tabs>
          <w:tab w:val="left" w:pos="3240"/>
          <w:tab w:val="left" w:pos="3420"/>
        </w:tabs>
        <w:spacing w:line="360" w:lineRule="auto"/>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联系方式：</w:t>
      </w:r>
      <w:r>
        <w:rPr>
          <w:rFonts w:hint="eastAsia" w:cs="宋体"/>
          <w:i w:val="0"/>
          <w:iCs w:val="0"/>
          <w:caps w:val="0"/>
          <w:color w:val="000000"/>
          <w:spacing w:val="0"/>
          <w:sz w:val="24"/>
          <w:szCs w:val="24"/>
          <w:highlight w:val="none"/>
          <w:lang w:eastAsia="zh-CN"/>
        </w:rPr>
        <w:t>0903-2059505/17799150765</w:t>
      </w:r>
    </w:p>
    <w:p w14:paraId="5F7110AC">
      <w:pPr>
        <w:tabs>
          <w:tab w:val="left" w:pos="3240"/>
          <w:tab w:val="left" w:pos="3420"/>
        </w:tabs>
        <w:spacing w:line="360" w:lineRule="auto"/>
        <w:jc w:val="left"/>
        <w:rPr>
          <w:rFonts w:hint="default"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地</w:t>
      </w:r>
      <w:r>
        <w:rPr>
          <w:rFonts w:hint="eastAsia" w:ascii="宋体" w:hAnsi="宋体" w:cs="宋体"/>
          <w:bCs/>
          <w:sz w:val="28"/>
          <w:szCs w:val="28"/>
          <w:highlight w:val="none"/>
          <w:lang w:val="en-US" w:eastAsia="zh-CN"/>
        </w:rPr>
        <w:t xml:space="preserve">  </w:t>
      </w:r>
      <w:r>
        <w:rPr>
          <w:rFonts w:hint="eastAsia" w:ascii="宋体" w:hAnsi="宋体" w:eastAsia="宋体" w:cs="宋体"/>
          <w:bCs/>
          <w:sz w:val="28"/>
          <w:szCs w:val="28"/>
          <w:highlight w:val="none"/>
          <w:lang w:val="en-US" w:eastAsia="zh-CN"/>
        </w:rPr>
        <w:t>址：</w:t>
      </w:r>
      <w:r>
        <w:rPr>
          <w:rFonts w:hint="eastAsia" w:ascii="宋体" w:hAnsi="宋体" w:cs="宋体"/>
          <w:bCs/>
          <w:sz w:val="28"/>
          <w:szCs w:val="28"/>
          <w:highlight w:val="none"/>
          <w:lang w:val="en-US" w:eastAsia="zh-CN"/>
        </w:rPr>
        <w:t>和田市肖尔巴格乡库木巴格村 1098 号</w:t>
      </w:r>
    </w:p>
    <w:p w14:paraId="124C515B">
      <w:pPr>
        <w:pStyle w:val="95"/>
        <w:rPr>
          <w:rFonts w:hint="eastAsia" w:ascii="宋体" w:hAnsi="宋体" w:eastAsia="宋体" w:cs="宋体"/>
          <w:highlight w:val="none"/>
          <w:lang w:val="zh-CN"/>
        </w:rPr>
      </w:pPr>
    </w:p>
    <w:p w14:paraId="59CF0E1F">
      <w:pPr>
        <w:pStyle w:val="95"/>
        <w:rPr>
          <w:rFonts w:hint="eastAsia" w:ascii="宋体" w:hAnsi="宋体" w:eastAsia="宋体" w:cs="宋体"/>
          <w:highlight w:val="none"/>
          <w:lang w:val="zh-CN"/>
        </w:rPr>
      </w:pPr>
    </w:p>
    <w:p w14:paraId="5CB199C0">
      <w:pPr>
        <w:pStyle w:val="95"/>
        <w:rPr>
          <w:rFonts w:hint="eastAsia" w:ascii="宋体" w:hAnsi="宋体" w:eastAsia="宋体" w:cs="宋体"/>
          <w:highlight w:val="none"/>
          <w:lang w:val="zh-CN"/>
        </w:rPr>
      </w:pPr>
    </w:p>
    <w:p w14:paraId="101C1FBB">
      <w:pPr>
        <w:ind w:left="0" w:leftChars="0" w:firstLine="0" w:firstLineChars="0"/>
        <w:rPr>
          <w:rFonts w:hint="eastAsia" w:ascii="宋体" w:hAnsi="宋体" w:eastAsia="宋体" w:cs="宋体"/>
          <w:highlight w:val="none"/>
          <w:lang w:val="zh-CN"/>
        </w:rPr>
      </w:pPr>
    </w:p>
    <w:p w14:paraId="537FE651">
      <w:pPr>
        <w:shd w:val="clear" w:color="auto" w:fill="auto"/>
        <w:ind w:left="0" w:leftChars="0" w:hanging="11" w:firstLineChars="0"/>
        <w:jc w:val="center"/>
        <w:rPr>
          <w:rFonts w:hint="eastAsia" w:ascii="宋体" w:hAnsi="宋体" w:eastAsia="宋体" w:cs="宋体"/>
          <w:b/>
          <w:bCs/>
          <w:color w:val="auto"/>
          <w:sz w:val="36"/>
          <w:szCs w:val="36"/>
          <w:highlight w:val="none"/>
          <w:lang w:val="en-US" w:eastAsia="zh-CN"/>
        </w:rPr>
        <w:sectPr>
          <w:headerReference r:id="rId5" w:type="default"/>
          <w:footerReference r:id="rId6" w:type="default"/>
          <w:type w:val="continuous"/>
          <w:pgSz w:w="11905" w:h="16838"/>
          <w:pgMar w:top="1304" w:right="964" w:bottom="1020" w:left="1191" w:header="567" w:footer="454" w:gutter="0"/>
          <w:cols w:space="720" w:num="1"/>
          <w:rtlGutter w:val="0"/>
          <w:docGrid w:type="lines" w:linePitch="317" w:charSpace="0"/>
        </w:sectPr>
      </w:pPr>
      <w:r>
        <w:rPr>
          <w:rFonts w:hint="eastAsia" w:ascii="宋体" w:hAnsi="宋体" w:cs="宋体"/>
          <w:b/>
          <w:bCs/>
          <w:color w:val="auto"/>
          <w:sz w:val="30"/>
          <w:szCs w:val="30"/>
          <w:highlight w:val="none"/>
          <w:lang w:val="en-US" w:eastAsia="zh-CN"/>
        </w:rPr>
        <w:t>日期：</w:t>
      </w:r>
      <w:r>
        <w:rPr>
          <w:rFonts w:hint="eastAsia" w:ascii="宋体" w:hAnsi="宋体" w:eastAsia="宋体" w:cs="宋体"/>
          <w:b/>
          <w:bCs/>
          <w:color w:val="auto"/>
          <w:sz w:val="30"/>
          <w:szCs w:val="30"/>
          <w:highlight w:val="none"/>
        </w:rPr>
        <w:t>202</w:t>
      </w:r>
      <w:r>
        <w:rPr>
          <w:rFonts w:hint="eastAsia" w:ascii="宋体" w:hAnsi="宋体" w:cs="宋体"/>
          <w:b/>
          <w:bCs/>
          <w:color w:val="auto"/>
          <w:sz w:val="30"/>
          <w:szCs w:val="30"/>
          <w:highlight w:val="none"/>
          <w:lang w:val="en-US" w:eastAsia="zh-CN"/>
        </w:rPr>
        <w:t>4</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12</w:t>
      </w:r>
      <w:r>
        <w:rPr>
          <w:rFonts w:hint="eastAsia" w:ascii="宋体" w:hAnsi="宋体" w:eastAsia="宋体" w:cs="宋体"/>
          <w:b/>
          <w:bCs/>
          <w:color w:val="auto"/>
          <w:sz w:val="30"/>
          <w:szCs w:val="30"/>
          <w:highlight w:val="none"/>
        </w:rPr>
        <w:t>月</w:t>
      </w:r>
    </w:p>
    <w:p w14:paraId="3FF5906A">
      <w:pPr>
        <w:pStyle w:val="23"/>
        <w:ind w:left="0" w:leftChars="0" w:firstLine="0" w:firstLineChars="0"/>
        <w:rPr>
          <w:rFonts w:hint="eastAsia" w:ascii="宋体" w:hAnsi="宋体" w:eastAsia="宋体" w:cs="宋体"/>
          <w:highlight w:val="none"/>
        </w:rPr>
      </w:pPr>
    </w:p>
    <w:p w14:paraId="350165B6">
      <w:pPr>
        <w:keepNext w:val="0"/>
        <w:keepLines w:val="0"/>
        <w:widowControl/>
        <w:suppressLineNumbers w:val="0"/>
        <w:jc w:val="left"/>
        <w:rPr>
          <w:rFonts w:hint="eastAsia"/>
        </w:rPr>
      </w:pPr>
      <w:r>
        <w:rPr>
          <w:rFonts w:hint="eastAsia" w:ascii="宋体" w:hAnsi="宋体" w:eastAsia="宋体" w:cs="宋体"/>
          <w:b/>
          <w:bCs/>
          <w:color w:val="000000"/>
          <w:kern w:val="0"/>
          <w:sz w:val="28"/>
          <w:szCs w:val="28"/>
          <w:lang w:val="en-US" w:eastAsia="zh-CN" w:bidi="ar"/>
        </w:rPr>
        <w:t>政府采购管理机构备案登记栏：</w:t>
      </w:r>
    </w:p>
    <w:p w14:paraId="1C6717B6">
      <w:pPr>
        <w:pStyle w:val="23"/>
        <w:ind w:firstLine="480"/>
        <w:rPr>
          <w:rFonts w:hint="eastAsia" w:ascii="宋体" w:hAnsi="宋体" w:eastAsia="宋体" w:cs="宋体"/>
          <w:highlight w:val="none"/>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2"/>
      </w:tblGrid>
      <w:tr w14:paraId="3405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3" w:hRule="atLeast"/>
          <w:jc w:val="center"/>
        </w:trPr>
        <w:tc>
          <w:tcPr>
            <w:tcW w:w="8582" w:type="dxa"/>
            <w:vAlign w:val="center"/>
          </w:tcPr>
          <w:p w14:paraId="66C9D559">
            <w:pPr>
              <w:jc w:val="center"/>
              <w:rPr>
                <w:rFonts w:hint="eastAsia" w:ascii="宋体" w:hAnsi="宋体" w:cs="宋体"/>
                <w:b w:val="0"/>
                <w:bCs w:val="0"/>
                <w:sz w:val="28"/>
                <w:szCs w:val="28"/>
                <w:highlight w:val="none"/>
                <w:vertAlign w:val="baseline"/>
                <w:lang w:val="en-US" w:eastAsia="zh-CN"/>
              </w:rPr>
            </w:pPr>
            <w:r>
              <w:rPr>
                <w:rFonts w:hint="eastAsia" w:ascii="宋体" w:hAnsi="宋体" w:cs="宋体"/>
                <w:b w:val="0"/>
                <w:bCs w:val="0"/>
                <w:sz w:val="28"/>
                <w:szCs w:val="28"/>
                <w:highlight w:val="none"/>
                <w:vertAlign w:val="baseline"/>
                <w:lang w:val="en-US" w:eastAsia="zh-CN"/>
              </w:rPr>
              <w:t>本文件已报备</w:t>
            </w:r>
          </w:p>
          <w:p w14:paraId="027ADAA8">
            <w:pPr>
              <w:pStyle w:val="5"/>
              <w:numPr>
                <w:ilvl w:val="0"/>
                <w:numId w:val="0"/>
              </w:numPr>
              <w:ind w:leftChars="-50" w:right="62" w:rightChars="0"/>
              <w:jc w:val="both"/>
              <w:rPr>
                <w:rFonts w:hint="eastAsia" w:ascii="宋体" w:hAnsi="宋体" w:cs="宋体"/>
                <w:b w:val="0"/>
                <w:bCs w:val="0"/>
                <w:sz w:val="28"/>
                <w:szCs w:val="28"/>
                <w:highlight w:val="none"/>
                <w:vertAlign w:val="baseline"/>
                <w:lang w:val="en-US" w:eastAsia="zh-CN"/>
              </w:rPr>
            </w:pPr>
          </w:p>
          <w:p w14:paraId="79DB8026">
            <w:pPr>
              <w:rPr>
                <w:rFonts w:hint="eastAsia" w:ascii="宋体" w:hAnsi="宋体" w:cs="宋体"/>
                <w:b w:val="0"/>
                <w:bCs w:val="0"/>
                <w:sz w:val="28"/>
                <w:szCs w:val="28"/>
                <w:highlight w:val="none"/>
                <w:vertAlign w:val="baseline"/>
                <w:lang w:val="en-US" w:eastAsia="zh-CN"/>
              </w:rPr>
            </w:pPr>
          </w:p>
          <w:p w14:paraId="3016B898">
            <w:pPr>
              <w:pStyle w:val="5"/>
              <w:numPr>
                <w:ilvl w:val="0"/>
                <w:numId w:val="0"/>
              </w:numPr>
              <w:ind w:right="62" w:rightChars="0"/>
              <w:jc w:val="both"/>
              <w:rPr>
                <w:rFonts w:hint="eastAsia" w:ascii="宋体" w:hAnsi="宋体" w:cs="宋体"/>
                <w:b w:val="0"/>
                <w:bCs w:val="0"/>
                <w:sz w:val="28"/>
                <w:szCs w:val="28"/>
                <w:highlight w:val="none"/>
                <w:vertAlign w:val="baseline"/>
                <w:lang w:val="en-US" w:eastAsia="zh-CN"/>
              </w:rPr>
            </w:pPr>
            <w:r>
              <w:rPr>
                <w:rFonts w:hint="eastAsia" w:ascii="宋体" w:hAnsi="宋体" w:cs="宋体"/>
                <w:b w:val="0"/>
                <w:bCs w:val="0"/>
                <w:sz w:val="28"/>
                <w:szCs w:val="28"/>
                <w:highlight w:val="none"/>
                <w:vertAlign w:val="baseline"/>
                <w:lang w:val="en-US" w:eastAsia="zh-CN"/>
              </w:rPr>
              <w:t>项目名称：2024年于田县“三北”工程林草湿荒一体化保护修复项目（包一）（三次）</w:t>
            </w:r>
          </w:p>
          <w:p w14:paraId="22D549B5">
            <w:pPr>
              <w:rPr>
                <w:rFonts w:hint="eastAsia" w:ascii="宋体" w:hAnsi="宋体" w:cs="宋体"/>
                <w:b w:val="0"/>
                <w:bCs w:val="0"/>
                <w:sz w:val="28"/>
                <w:szCs w:val="28"/>
                <w:highlight w:val="none"/>
                <w:vertAlign w:val="baseline"/>
                <w:lang w:val="en-US" w:eastAsia="zh-CN"/>
              </w:rPr>
            </w:pPr>
          </w:p>
          <w:p w14:paraId="668D6402">
            <w:pPr>
              <w:rPr>
                <w:rFonts w:hint="eastAsia" w:ascii="宋体" w:hAnsi="宋体" w:cs="宋体"/>
                <w:b w:val="0"/>
                <w:bCs w:val="0"/>
                <w:sz w:val="28"/>
                <w:szCs w:val="28"/>
                <w:highlight w:val="none"/>
                <w:vertAlign w:val="baseline"/>
                <w:lang w:val="en-US" w:eastAsia="zh-CN"/>
              </w:rPr>
            </w:pPr>
          </w:p>
          <w:p w14:paraId="25C3B6C7">
            <w:pPr>
              <w:rPr>
                <w:rFonts w:hint="eastAsia"/>
                <w:lang w:val="en-US" w:eastAsia="zh-CN"/>
              </w:rPr>
            </w:pPr>
          </w:p>
          <w:p w14:paraId="3A7C9BC2">
            <w:pPr>
              <w:pStyle w:val="5"/>
              <w:numPr>
                <w:ilvl w:val="0"/>
                <w:numId w:val="0"/>
              </w:numPr>
              <w:tabs>
                <w:tab w:val="clear" w:pos="3060"/>
              </w:tabs>
              <w:ind w:leftChars="-50" w:right="62" w:rightChars="0"/>
              <w:rPr>
                <w:rFonts w:hint="default"/>
                <w:lang w:val="en-US" w:eastAsia="zh-CN"/>
              </w:rPr>
            </w:pPr>
          </w:p>
          <w:p w14:paraId="495963FD">
            <w:pPr>
              <w:rPr>
                <w:rFonts w:hint="default"/>
                <w:lang w:val="en-US" w:eastAsia="zh-CN"/>
              </w:rPr>
            </w:pPr>
          </w:p>
          <w:p w14:paraId="5CB689E0">
            <w:pPr>
              <w:pStyle w:val="5"/>
              <w:numPr>
                <w:ilvl w:val="0"/>
                <w:numId w:val="0"/>
              </w:numPr>
              <w:tabs>
                <w:tab w:val="clear" w:pos="3060"/>
              </w:tabs>
              <w:ind w:leftChars="-50" w:right="62" w:rightChars="0"/>
              <w:jc w:val="right"/>
              <w:rPr>
                <w:rFonts w:hint="default"/>
                <w:lang w:val="en-US" w:eastAsia="zh-CN"/>
              </w:rPr>
            </w:pPr>
            <w:r>
              <w:rPr>
                <w:rFonts w:hint="eastAsia"/>
                <w:b w:val="0"/>
                <w:bCs/>
                <w:lang w:val="en-US" w:eastAsia="zh-CN"/>
              </w:rPr>
              <w:t>备案日期：2024年12月31日</w:t>
            </w:r>
          </w:p>
        </w:tc>
      </w:tr>
    </w:tbl>
    <w:p w14:paraId="2F84AEC3">
      <w:pPr>
        <w:ind w:left="141" w:hanging="141"/>
        <w:rPr>
          <w:rFonts w:hint="eastAsia" w:ascii="宋体" w:hAnsi="宋体" w:eastAsia="宋体" w:cs="宋体"/>
          <w:b/>
          <w:bCs/>
          <w:sz w:val="28"/>
          <w:szCs w:val="28"/>
          <w:highlight w:val="none"/>
        </w:rPr>
        <w:sectPr>
          <w:headerReference r:id="rId8" w:type="first"/>
          <w:footerReference r:id="rId10" w:type="first"/>
          <w:headerReference r:id="rId7" w:type="default"/>
          <w:footerReference r:id="rId9" w:type="default"/>
          <w:footnotePr>
            <w:numFmt w:val="decimalHalfWidth"/>
          </w:footnotePr>
          <w:endnotePr>
            <w:numFmt w:val="chineseCounting"/>
          </w:endnotePr>
          <w:type w:val="continuous"/>
          <w:pgSz w:w="11905" w:h="16838"/>
          <w:pgMar w:top="1304" w:right="964" w:bottom="1020" w:left="1191" w:header="567" w:footer="454" w:gutter="0"/>
          <w:pgNumType w:start="1"/>
          <w:cols w:space="720" w:num="1"/>
          <w:rtlGutter w:val="0"/>
          <w:docGrid w:type="lines" w:linePitch="317" w:charSpace="0"/>
        </w:sectPr>
      </w:pPr>
    </w:p>
    <w:p w14:paraId="35D89ACA">
      <w:pPr>
        <w:keepNext w:val="0"/>
        <w:keepLines w:val="0"/>
        <w:widowControl/>
        <w:suppressLineNumbers w:val="0"/>
        <w:jc w:val="center"/>
      </w:pP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 xml:space="preserve"> </w:t>
      </w:r>
      <w:r>
        <w:rPr>
          <w:rFonts w:hint="eastAsia" w:ascii="宋体" w:hAnsi="宋体" w:eastAsia="宋体" w:cs="宋体"/>
          <w:color w:val="000000"/>
          <w:kern w:val="0"/>
          <w:sz w:val="28"/>
          <w:szCs w:val="28"/>
          <w:lang w:val="en-US" w:eastAsia="zh-CN" w:bidi="ar"/>
        </w:rPr>
        <w:t>于田县财政局采购办</w:t>
      </w:r>
    </w:p>
    <w:p w14:paraId="3FAE4B26">
      <w:pPr>
        <w:pStyle w:val="165"/>
        <w:jc w:val="both"/>
        <w:rPr>
          <w:rFonts w:hint="eastAsia" w:ascii="宋体" w:hAnsi="宋体" w:eastAsia="宋体" w:cs="宋体"/>
          <w:b/>
          <w:bCs/>
          <w:color w:val="auto"/>
          <w:sz w:val="28"/>
          <w:szCs w:val="28"/>
          <w:highlight w:val="none"/>
          <w:lang w:val="en-US" w:eastAsia="zh-CN"/>
        </w:rPr>
      </w:pPr>
    </w:p>
    <w:p w14:paraId="0F1A4D0D">
      <w:pPr>
        <w:rPr>
          <w:rFonts w:hint="eastAsia" w:ascii="宋体" w:hAnsi="宋体" w:eastAsia="宋体" w:cs="宋体"/>
          <w:b w:val="0"/>
          <w:bCs w:val="0"/>
          <w:color w:val="auto"/>
          <w:sz w:val="20"/>
          <w:szCs w:val="20"/>
          <w:highlight w:val="none"/>
          <w:lang w:val="en-US" w:eastAsia="zh-CN"/>
        </w:rPr>
      </w:pPr>
      <w:bookmarkStart w:id="0" w:name="_Toc17774"/>
      <w:r>
        <w:rPr>
          <w:rFonts w:hint="eastAsia" w:ascii="宋体" w:hAnsi="宋体" w:eastAsia="宋体" w:cs="宋体"/>
          <w:b/>
          <w:bCs/>
          <w:color w:val="auto"/>
          <w:sz w:val="28"/>
          <w:szCs w:val="28"/>
          <w:highlight w:val="none"/>
        </w:rPr>
        <w:br w:type="page"/>
      </w:r>
      <w:bookmarkEnd w:id="0"/>
      <w:r>
        <w:rPr>
          <w:rFonts w:hint="eastAsia" w:ascii="宋体" w:hAnsi="宋体" w:eastAsia="宋体" w:cs="宋体"/>
          <w:b/>
          <w:sz w:val="28"/>
          <w:szCs w:val="28"/>
          <w:highlight w:val="none"/>
        </w:rPr>
        <w:t>第一章</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rPr>
        <w:t>招标公告</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val="0"/>
          <w:bCs w:val="0"/>
          <w:color w:val="auto"/>
          <w:sz w:val="18"/>
          <w:szCs w:val="18"/>
          <w:highlight w:val="none"/>
          <w:lang w:val="en-US" w:eastAsia="zh-CN"/>
        </w:rPr>
        <w:t xml:space="preserve">                                                             </w:t>
      </w:r>
    </w:p>
    <w:p w14:paraId="41A0CB7F">
      <w:pPr>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highlight w:val="none"/>
        </w:rPr>
      </w:pPr>
      <w:r>
        <w:rPr>
          <w:rFonts w:hint="eastAsia" w:ascii="宋体" w:hAnsi="宋体" w:cs="宋体"/>
          <w:b/>
          <w:bCs/>
          <w:sz w:val="36"/>
          <w:szCs w:val="36"/>
          <w:highlight w:val="none"/>
          <w:lang w:val="en-US" w:eastAsia="zh-CN"/>
        </w:rPr>
        <w:t>2024年于田县“三北”工程林草湿荒一体化保护修复项目（包一）（三次）</w:t>
      </w:r>
      <w:r>
        <w:rPr>
          <w:rFonts w:hint="eastAsia" w:ascii="宋体" w:hAnsi="宋体" w:eastAsia="宋体" w:cs="宋体"/>
          <w:b/>
          <w:bCs/>
          <w:sz w:val="36"/>
          <w:szCs w:val="36"/>
          <w:highlight w:val="none"/>
          <w:lang w:val="en-US" w:eastAsia="zh-CN"/>
        </w:rPr>
        <w:t>—公开招标公告</w:t>
      </w:r>
    </w:p>
    <w:p w14:paraId="59A74CD9">
      <w:pPr>
        <w:pBdr>
          <w:top w:val="single" w:color="auto" w:sz="4" w:space="0"/>
          <w:left w:val="single" w:color="auto" w:sz="4" w:space="4"/>
          <w:bottom w:val="single" w:color="auto" w:sz="4" w:space="1"/>
          <w:right w:val="single" w:color="auto" w:sz="4" w:space="4"/>
        </w:pBdr>
        <w:spacing w:line="240" w:lineRule="auto"/>
        <w:rPr>
          <w:rFonts w:hint="eastAsia" w:ascii="宋体" w:hAnsi="宋体" w:eastAsia="宋体" w:cs="宋体"/>
          <w:i w:val="0"/>
          <w:iCs w:val="0"/>
          <w:caps w:val="0"/>
          <w:color w:val="000000"/>
          <w:spacing w:val="0"/>
          <w:kern w:val="0"/>
          <w:sz w:val="24"/>
          <w:szCs w:val="24"/>
          <w:highlight w:val="none"/>
          <w:lang w:val="en-US" w:eastAsia="zh-CN" w:bidi="ar-SA"/>
        </w:rPr>
      </w:pPr>
      <w:bookmarkStart w:id="1" w:name="_Toc35393621"/>
      <w:bookmarkStart w:id="2" w:name="_Toc28359079"/>
      <w:bookmarkStart w:id="3" w:name="_Toc35393790"/>
      <w:bookmarkStart w:id="4" w:name="_Hlk24379207"/>
      <w:bookmarkStart w:id="5" w:name="_Toc28359002"/>
      <w:r>
        <w:rPr>
          <w:rFonts w:hint="eastAsia" w:ascii="宋体" w:hAnsi="宋体" w:eastAsia="宋体" w:cs="宋体"/>
          <w:i w:val="0"/>
          <w:iCs w:val="0"/>
          <w:caps w:val="0"/>
          <w:color w:val="000000"/>
          <w:spacing w:val="0"/>
          <w:kern w:val="0"/>
          <w:sz w:val="24"/>
          <w:szCs w:val="24"/>
          <w:highlight w:val="none"/>
          <w:lang w:val="en-US" w:eastAsia="zh-CN" w:bidi="ar-SA"/>
        </w:rPr>
        <w:t>项目概况</w:t>
      </w:r>
    </w:p>
    <w:p w14:paraId="632B6DBC">
      <w:pPr>
        <w:pBdr>
          <w:top w:val="single" w:color="auto" w:sz="4" w:space="0"/>
          <w:left w:val="single" w:color="auto" w:sz="4" w:space="4"/>
          <w:bottom w:val="single" w:color="auto" w:sz="4" w:space="1"/>
          <w:right w:val="single" w:color="auto" w:sz="4" w:space="4"/>
        </w:pBdr>
        <w:spacing w:line="240" w:lineRule="auto"/>
        <w:ind w:firstLine="480"/>
        <w:rPr>
          <w:rFonts w:hint="eastAsia" w:ascii="宋体" w:hAnsi="宋体" w:eastAsia="宋体" w:cs="宋体"/>
          <w:i w:val="0"/>
          <w:iCs w:val="0"/>
          <w:caps w:val="0"/>
          <w:color w:val="000000"/>
          <w:spacing w:val="0"/>
          <w:kern w:val="0"/>
          <w:sz w:val="24"/>
          <w:szCs w:val="24"/>
          <w:highlight w:val="none"/>
          <w:lang w:val="en-US" w:eastAsia="zh-CN" w:bidi="ar-SA"/>
        </w:rPr>
      </w:pPr>
      <w:r>
        <w:rPr>
          <w:rFonts w:hint="eastAsia" w:ascii="宋体" w:hAnsi="宋体" w:eastAsia="宋体" w:cs="宋体"/>
          <w:i w:val="0"/>
          <w:iCs w:val="0"/>
          <w:caps w:val="0"/>
          <w:color w:val="000000"/>
          <w:spacing w:val="0"/>
          <w:kern w:val="0"/>
          <w:sz w:val="24"/>
          <w:szCs w:val="24"/>
          <w:highlight w:val="none"/>
          <w:lang w:val="en-US" w:eastAsia="zh-CN" w:bidi="ar-SA"/>
        </w:rPr>
        <w:t xml:space="preserve">  </w:t>
      </w:r>
      <w:r>
        <w:rPr>
          <w:rFonts w:hint="eastAsia" w:ascii="宋体" w:hAnsi="宋体" w:cs="宋体"/>
          <w:i w:val="0"/>
          <w:iCs w:val="0"/>
          <w:caps w:val="0"/>
          <w:color w:val="000000"/>
          <w:spacing w:val="0"/>
          <w:kern w:val="0"/>
          <w:sz w:val="24"/>
          <w:szCs w:val="24"/>
          <w:highlight w:val="none"/>
          <w:lang w:val="en-US" w:eastAsia="zh-CN" w:bidi="ar-SA"/>
        </w:rPr>
        <w:t>2024年于田县“三北”工程林草湿荒一体化保护修复项目（包一）（三次）</w:t>
      </w:r>
      <w:r>
        <w:rPr>
          <w:rFonts w:hint="eastAsia" w:ascii="宋体" w:hAnsi="宋体" w:eastAsia="宋体" w:cs="宋体"/>
          <w:i w:val="0"/>
          <w:iCs w:val="0"/>
          <w:caps w:val="0"/>
          <w:color w:val="000000"/>
          <w:spacing w:val="0"/>
          <w:kern w:val="0"/>
          <w:sz w:val="24"/>
          <w:szCs w:val="24"/>
          <w:highlight w:val="none"/>
          <w:lang w:val="en-US" w:eastAsia="zh-CN" w:bidi="ar-SA"/>
        </w:rPr>
        <w:t xml:space="preserve">的潜在投标人应登录政采云平台https://www.zcygov.cn/在线申请获取采购文件（进入“项目采购”应用，在获取采购文件菜单中选择项目，申请获取采购文件），并于 </w:t>
      </w:r>
      <w:r>
        <w:rPr>
          <w:rFonts w:hint="eastAsia" w:cs="宋体"/>
          <w:i w:val="0"/>
          <w:iCs w:val="0"/>
          <w:caps w:val="0"/>
          <w:color w:val="000000"/>
          <w:spacing w:val="0"/>
          <w:sz w:val="24"/>
          <w:szCs w:val="24"/>
          <w:highlight w:val="none"/>
          <w:lang w:eastAsia="zh-CN"/>
        </w:rPr>
        <w:t>20</w:t>
      </w:r>
      <w:r>
        <w:rPr>
          <w:rFonts w:hint="eastAsia" w:cs="宋体"/>
          <w:i w:val="0"/>
          <w:iCs w:val="0"/>
          <w:caps w:val="0"/>
          <w:color w:val="000000"/>
          <w:spacing w:val="0"/>
          <w:sz w:val="24"/>
          <w:szCs w:val="24"/>
          <w:highlight w:val="none"/>
          <w:lang w:val="en-US" w:eastAsia="zh-CN"/>
        </w:rPr>
        <w:t>25</w:t>
      </w:r>
      <w:r>
        <w:rPr>
          <w:rFonts w:hint="eastAsia" w:cs="宋体"/>
          <w:i w:val="0"/>
          <w:iCs w:val="0"/>
          <w:caps w:val="0"/>
          <w:color w:val="000000"/>
          <w:spacing w:val="0"/>
          <w:sz w:val="24"/>
          <w:szCs w:val="24"/>
          <w:highlight w:val="none"/>
          <w:lang w:eastAsia="zh-CN"/>
        </w:rPr>
        <w:t>年</w:t>
      </w:r>
      <w:r>
        <w:rPr>
          <w:rFonts w:hint="eastAsia" w:cs="宋体"/>
          <w:i w:val="0"/>
          <w:iCs w:val="0"/>
          <w:caps w:val="0"/>
          <w:color w:val="000000"/>
          <w:spacing w:val="0"/>
          <w:sz w:val="24"/>
          <w:szCs w:val="24"/>
          <w:highlight w:val="none"/>
          <w:lang w:val="en-US" w:eastAsia="zh-CN"/>
        </w:rPr>
        <w:t>01月22日</w:t>
      </w:r>
      <w:r>
        <w:rPr>
          <w:rFonts w:hint="eastAsia" w:ascii="宋体" w:hAnsi="宋体" w:eastAsia="宋体" w:cs="宋体"/>
          <w:i w:val="0"/>
          <w:iCs w:val="0"/>
          <w:caps w:val="0"/>
          <w:color w:val="000000"/>
          <w:spacing w:val="0"/>
          <w:sz w:val="24"/>
          <w:szCs w:val="24"/>
          <w:highlight w:val="none"/>
        </w:rPr>
        <w:t>11:00（北京时间）</w:t>
      </w:r>
      <w:r>
        <w:rPr>
          <w:rFonts w:hint="eastAsia" w:ascii="宋体" w:hAnsi="宋体" w:eastAsia="宋体" w:cs="宋体"/>
          <w:i w:val="0"/>
          <w:iCs w:val="0"/>
          <w:caps w:val="0"/>
          <w:color w:val="000000"/>
          <w:spacing w:val="0"/>
          <w:kern w:val="0"/>
          <w:sz w:val="24"/>
          <w:szCs w:val="24"/>
          <w:highlight w:val="none"/>
          <w:lang w:val="en-US" w:eastAsia="zh-CN" w:bidi="ar-SA"/>
        </w:rPr>
        <w:t>前递交投标文件。</w:t>
      </w:r>
    </w:p>
    <w:bookmarkEnd w:id="1"/>
    <w:bookmarkEnd w:id="2"/>
    <w:bookmarkEnd w:id="3"/>
    <w:bookmarkEnd w:id="4"/>
    <w:bookmarkEnd w:id="5"/>
    <w:p w14:paraId="227A9870">
      <w:pPr>
        <w:pStyle w:val="6"/>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宋体" w:hAnsi="宋体" w:eastAsia="宋体" w:cs="宋体"/>
          <w:b w:val="0"/>
          <w:bCs w:val="0"/>
          <w:i w:val="0"/>
          <w:iCs w:val="0"/>
          <w:kern w:val="2"/>
          <w:sz w:val="24"/>
          <w:szCs w:val="24"/>
          <w:highlight w:val="none"/>
          <w:lang w:val="en-US" w:eastAsia="zh-CN" w:bidi="ar-SA"/>
        </w:rPr>
      </w:pPr>
    </w:p>
    <w:p w14:paraId="0ABFC95E">
      <w:pPr>
        <w:pStyle w:val="71"/>
        <w:keepNext w:val="0"/>
        <w:keepLines w:val="0"/>
        <w:pageBreakBefore w:val="0"/>
        <w:widowControl/>
        <w:suppressLineNumbers w:val="0"/>
        <w:kinsoku/>
        <w:wordWrap/>
        <w:overflowPunct/>
        <w:topLinePunct w:val="0"/>
        <w:autoSpaceDE/>
        <w:autoSpaceDN/>
        <w:bidi w:val="0"/>
        <w:adjustRightInd w:val="0"/>
        <w:snapToGrid/>
        <w:spacing w:before="204" w:beforeAutospacing="0" w:after="204" w:afterAutospacing="0" w:line="360" w:lineRule="auto"/>
        <w:ind w:left="0" w:right="0" w:firstLine="0"/>
        <w:jc w:val="both"/>
        <w:textAlignment w:val="baseline"/>
        <w:rPr>
          <w:rFonts w:hint="eastAsia" w:ascii="宋体" w:hAnsi="宋体" w:eastAsia="宋体" w:cs="宋体"/>
          <w:i w:val="0"/>
          <w:iCs w:val="0"/>
          <w:caps w:val="0"/>
          <w:color w:val="000000"/>
          <w:spacing w:val="0"/>
          <w:sz w:val="24"/>
          <w:szCs w:val="24"/>
          <w:highlight w:val="none"/>
        </w:rPr>
      </w:pPr>
      <w:r>
        <w:rPr>
          <w:rStyle w:val="79"/>
          <w:rFonts w:hint="eastAsia" w:ascii="宋体" w:hAnsi="宋体" w:eastAsia="宋体" w:cs="宋体"/>
          <w:i w:val="0"/>
          <w:iCs w:val="0"/>
          <w:caps w:val="0"/>
          <w:color w:val="000000"/>
          <w:spacing w:val="0"/>
          <w:sz w:val="24"/>
          <w:szCs w:val="24"/>
          <w:highlight w:val="none"/>
        </w:rPr>
        <w:t>一、项目基本情况</w:t>
      </w:r>
    </w:p>
    <w:p w14:paraId="61DCA112">
      <w:pPr>
        <w:pStyle w:val="71"/>
        <w:keepNext w:val="0"/>
        <w:keepLines w:val="0"/>
        <w:pageBreakBefore w:val="0"/>
        <w:widowControl/>
        <w:suppressLineNumbers w:val="0"/>
        <w:kinsoku/>
        <w:wordWrap/>
        <w:overflowPunct/>
        <w:topLinePunct w:val="0"/>
        <w:autoSpaceDE/>
        <w:autoSpaceDN/>
        <w:bidi w:val="0"/>
        <w:adjustRightInd w:val="0"/>
        <w:snapToGrid/>
        <w:spacing w:before="60" w:beforeAutospacing="0" w:after="60" w:afterAutospacing="0" w:line="360" w:lineRule="auto"/>
        <w:ind w:left="0" w:right="0" w:firstLine="420"/>
        <w:textAlignment w:val="baseline"/>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rPr>
        <w:t>项目编号：</w:t>
      </w:r>
      <w:r>
        <w:rPr>
          <w:rFonts w:hint="eastAsia" w:cs="宋体"/>
          <w:i w:val="0"/>
          <w:iCs w:val="0"/>
          <w:caps w:val="0"/>
          <w:color w:val="auto"/>
          <w:spacing w:val="0"/>
          <w:sz w:val="24"/>
          <w:szCs w:val="24"/>
          <w:highlight w:val="none"/>
          <w:lang w:eastAsia="zh-CN"/>
        </w:rPr>
        <w:t>YTCGD-GK-2024-111-2-01</w:t>
      </w:r>
    </w:p>
    <w:p w14:paraId="04F0B11A">
      <w:pPr>
        <w:pStyle w:val="71"/>
        <w:keepNext w:val="0"/>
        <w:keepLines w:val="0"/>
        <w:pageBreakBefore w:val="0"/>
        <w:widowControl/>
        <w:suppressLineNumbers w:val="0"/>
        <w:kinsoku/>
        <w:wordWrap/>
        <w:overflowPunct/>
        <w:topLinePunct w:val="0"/>
        <w:autoSpaceDE/>
        <w:autoSpaceDN/>
        <w:bidi w:val="0"/>
        <w:adjustRightInd w:val="0"/>
        <w:snapToGrid/>
        <w:spacing w:before="60" w:beforeAutospacing="0" w:after="60" w:afterAutospacing="0" w:line="360" w:lineRule="auto"/>
        <w:ind w:left="0" w:right="0" w:firstLine="420"/>
        <w:textAlignment w:val="baseline"/>
        <w:rPr>
          <w:rFonts w:hint="eastAsia" w:ascii="宋体" w:hAnsi="宋体" w:eastAsia="宋体" w:cs="宋体"/>
          <w:color w:val="000000"/>
          <w:sz w:val="24"/>
          <w:szCs w:val="24"/>
          <w:highlight w:val="none"/>
        </w:rPr>
      </w:pPr>
      <w:r>
        <w:rPr>
          <w:rFonts w:hint="eastAsia" w:ascii="宋体" w:hAnsi="宋体" w:eastAsia="宋体" w:cs="宋体"/>
          <w:i w:val="0"/>
          <w:iCs w:val="0"/>
          <w:caps w:val="0"/>
          <w:color w:val="000000"/>
          <w:spacing w:val="0"/>
          <w:sz w:val="24"/>
          <w:szCs w:val="24"/>
          <w:highlight w:val="none"/>
        </w:rPr>
        <w:t>项目名称：</w:t>
      </w:r>
      <w:r>
        <w:rPr>
          <w:rFonts w:hint="eastAsia" w:cs="宋体"/>
          <w:bCs/>
          <w:color w:val="000000"/>
          <w:sz w:val="24"/>
          <w:szCs w:val="24"/>
          <w:highlight w:val="none"/>
          <w:lang w:val="zh-CN"/>
        </w:rPr>
        <w:t>2024年于田县“三北”工程林草湿荒一体化保护修复项目（</w:t>
      </w:r>
      <w:r>
        <w:rPr>
          <w:rFonts w:hint="eastAsia" w:cs="宋体"/>
          <w:bCs/>
          <w:color w:val="000000"/>
          <w:sz w:val="24"/>
          <w:szCs w:val="24"/>
          <w:highlight w:val="none"/>
          <w:lang w:val="en-US" w:eastAsia="zh-CN"/>
        </w:rPr>
        <w:t>包一</w:t>
      </w:r>
      <w:r>
        <w:rPr>
          <w:rFonts w:hint="eastAsia" w:cs="宋体"/>
          <w:bCs/>
          <w:color w:val="000000"/>
          <w:sz w:val="24"/>
          <w:szCs w:val="24"/>
          <w:highlight w:val="none"/>
          <w:lang w:val="zh-CN"/>
        </w:rPr>
        <w:t>）（</w:t>
      </w:r>
      <w:r>
        <w:rPr>
          <w:rFonts w:hint="eastAsia" w:cs="宋体"/>
          <w:bCs/>
          <w:color w:val="000000"/>
          <w:sz w:val="24"/>
          <w:szCs w:val="24"/>
          <w:highlight w:val="none"/>
          <w:lang w:val="en-US" w:eastAsia="zh-CN"/>
        </w:rPr>
        <w:t>三</w:t>
      </w:r>
      <w:r>
        <w:rPr>
          <w:rFonts w:hint="eastAsia" w:cs="宋体"/>
          <w:bCs/>
          <w:color w:val="000000"/>
          <w:sz w:val="24"/>
          <w:szCs w:val="24"/>
          <w:highlight w:val="none"/>
          <w:lang w:val="zh-CN"/>
        </w:rPr>
        <w:t>次）</w:t>
      </w:r>
    </w:p>
    <w:p w14:paraId="2D274DAC">
      <w:pPr>
        <w:pStyle w:val="71"/>
        <w:keepNext w:val="0"/>
        <w:keepLines w:val="0"/>
        <w:pageBreakBefore w:val="0"/>
        <w:widowControl/>
        <w:suppressLineNumbers w:val="0"/>
        <w:kinsoku/>
        <w:wordWrap/>
        <w:overflowPunct/>
        <w:topLinePunct w:val="0"/>
        <w:autoSpaceDE/>
        <w:autoSpaceDN/>
        <w:bidi w:val="0"/>
        <w:adjustRightInd w:val="0"/>
        <w:snapToGrid/>
        <w:spacing w:before="60" w:beforeAutospacing="0" w:after="60" w:afterAutospacing="0" w:line="360" w:lineRule="auto"/>
        <w:ind w:left="0" w:right="0" w:firstLine="420"/>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采购方式：公开招标</w:t>
      </w:r>
    </w:p>
    <w:p w14:paraId="1A574E72">
      <w:pPr>
        <w:pStyle w:val="71"/>
        <w:keepNext w:val="0"/>
        <w:keepLines w:val="0"/>
        <w:pageBreakBefore w:val="0"/>
        <w:widowControl/>
        <w:suppressLineNumbers w:val="0"/>
        <w:kinsoku/>
        <w:wordWrap/>
        <w:overflowPunct/>
        <w:topLinePunct w:val="0"/>
        <w:autoSpaceDE/>
        <w:autoSpaceDN/>
        <w:bidi w:val="0"/>
        <w:adjustRightInd w:val="0"/>
        <w:snapToGrid/>
        <w:spacing w:before="60" w:beforeAutospacing="0" w:after="60" w:afterAutospacing="0" w:line="360" w:lineRule="auto"/>
        <w:ind w:left="0" w:right="0" w:firstLine="420"/>
        <w:textAlignment w:val="baseline"/>
        <w:rPr>
          <w:rFonts w:hint="default" w:ascii="宋体" w:hAnsi="宋体" w:eastAsia="宋体" w:cs="宋体"/>
          <w:i w:val="0"/>
          <w:iCs w:val="0"/>
          <w:caps w:val="0"/>
          <w:color w:val="auto"/>
          <w:spacing w:val="0"/>
          <w:sz w:val="24"/>
          <w:szCs w:val="24"/>
          <w:highlight w:val="none"/>
          <w:lang w:val="en-US"/>
        </w:rPr>
      </w:pPr>
      <w:r>
        <w:rPr>
          <w:rFonts w:hint="eastAsia" w:ascii="宋体" w:hAnsi="宋体" w:eastAsia="宋体" w:cs="宋体"/>
          <w:i w:val="0"/>
          <w:iCs w:val="0"/>
          <w:caps w:val="0"/>
          <w:color w:val="000000"/>
          <w:spacing w:val="0"/>
          <w:sz w:val="24"/>
          <w:szCs w:val="24"/>
          <w:highlight w:val="none"/>
        </w:rPr>
        <w:t>预算金额</w:t>
      </w:r>
      <w:r>
        <w:rPr>
          <w:rFonts w:hint="eastAsia" w:cs="宋体"/>
          <w:i w:val="0"/>
          <w:iCs w:val="0"/>
          <w:caps w:val="0"/>
          <w:color w:val="000000"/>
          <w:spacing w:val="0"/>
          <w:sz w:val="24"/>
          <w:szCs w:val="24"/>
          <w:highlight w:val="none"/>
          <w:lang w:eastAsia="zh-CN"/>
        </w:rPr>
        <w:t>（</w:t>
      </w:r>
      <w:r>
        <w:rPr>
          <w:rFonts w:hint="eastAsia" w:cs="宋体"/>
          <w:i w:val="0"/>
          <w:iCs w:val="0"/>
          <w:caps w:val="0"/>
          <w:color w:val="000000"/>
          <w:spacing w:val="0"/>
          <w:sz w:val="24"/>
          <w:szCs w:val="24"/>
          <w:highlight w:val="none"/>
          <w:lang w:val="en-US" w:eastAsia="zh-CN"/>
        </w:rPr>
        <w:t>元</w:t>
      </w:r>
      <w:r>
        <w:rPr>
          <w:rFonts w:hint="eastAsia"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w:t>
      </w:r>
      <w:r>
        <w:rPr>
          <w:rFonts w:hint="eastAsia" w:cs="宋体"/>
          <w:i w:val="0"/>
          <w:iCs w:val="0"/>
          <w:caps w:val="0"/>
          <w:color w:val="auto"/>
          <w:spacing w:val="0"/>
          <w:sz w:val="24"/>
          <w:szCs w:val="24"/>
          <w:highlight w:val="none"/>
          <w:lang w:val="en-US" w:eastAsia="zh-CN"/>
        </w:rPr>
        <w:t>11888900.00</w:t>
      </w:r>
    </w:p>
    <w:p w14:paraId="76788F89">
      <w:pPr>
        <w:pStyle w:val="71"/>
        <w:keepNext w:val="0"/>
        <w:keepLines w:val="0"/>
        <w:pageBreakBefore w:val="0"/>
        <w:widowControl/>
        <w:suppressLineNumbers w:val="0"/>
        <w:kinsoku/>
        <w:wordWrap/>
        <w:overflowPunct/>
        <w:topLinePunct w:val="0"/>
        <w:autoSpaceDE/>
        <w:autoSpaceDN/>
        <w:bidi w:val="0"/>
        <w:adjustRightInd w:val="0"/>
        <w:snapToGrid/>
        <w:spacing w:before="60" w:beforeAutospacing="0" w:after="60" w:afterAutospacing="0" w:line="360" w:lineRule="auto"/>
        <w:ind w:left="0" w:right="0" w:firstLine="42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最高限价</w:t>
      </w:r>
      <w:r>
        <w:rPr>
          <w:rFonts w:hint="eastAsia" w:cs="宋体"/>
          <w:i w:val="0"/>
          <w:iCs w:val="0"/>
          <w:caps w:val="0"/>
          <w:color w:val="auto"/>
          <w:spacing w:val="0"/>
          <w:sz w:val="24"/>
          <w:szCs w:val="24"/>
          <w:highlight w:val="none"/>
          <w:lang w:eastAsia="zh-CN"/>
        </w:rPr>
        <w:t>（</w:t>
      </w:r>
      <w:r>
        <w:rPr>
          <w:rFonts w:hint="eastAsia" w:cs="宋体"/>
          <w:i w:val="0"/>
          <w:iCs w:val="0"/>
          <w:caps w:val="0"/>
          <w:color w:val="auto"/>
          <w:spacing w:val="0"/>
          <w:sz w:val="24"/>
          <w:szCs w:val="24"/>
          <w:highlight w:val="none"/>
          <w:lang w:val="en-US" w:eastAsia="zh-CN"/>
        </w:rPr>
        <w:t>元</w:t>
      </w:r>
      <w:r>
        <w:rPr>
          <w:rFonts w:hint="eastAsia"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t>
      </w:r>
      <w:r>
        <w:rPr>
          <w:rFonts w:hint="eastAsia" w:cs="宋体"/>
          <w:i w:val="0"/>
          <w:iCs w:val="0"/>
          <w:caps w:val="0"/>
          <w:color w:val="auto"/>
          <w:spacing w:val="0"/>
          <w:sz w:val="24"/>
          <w:szCs w:val="24"/>
          <w:highlight w:val="none"/>
          <w:lang w:val="en-US" w:eastAsia="zh-CN"/>
        </w:rPr>
        <w:t>8847100</w:t>
      </w:r>
    </w:p>
    <w:p w14:paraId="4CC0E352">
      <w:pPr>
        <w:pStyle w:val="71"/>
        <w:keepNext w:val="0"/>
        <w:keepLines w:val="0"/>
        <w:pageBreakBefore w:val="0"/>
        <w:widowControl/>
        <w:suppressLineNumbers w:val="0"/>
        <w:kinsoku/>
        <w:wordWrap/>
        <w:overflowPunct/>
        <w:topLinePunct w:val="0"/>
        <w:autoSpaceDE/>
        <w:autoSpaceDN/>
        <w:bidi w:val="0"/>
        <w:adjustRightInd w:val="0"/>
        <w:snapToGrid/>
        <w:spacing w:before="60" w:beforeAutospacing="0" w:after="60" w:afterAutospacing="0" w:line="360" w:lineRule="auto"/>
        <w:ind w:right="0"/>
        <w:textAlignment w:val="baseline"/>
        <w:rPr>
          <w:rFonts w:hint="eastAsia"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highlight w:val="none"/>
        </w:rPr>
        <w:t>采购需求</w:t>
      </w:r>
      <w:r>
        <w:rPr>
          <w:rFonts w:hint="eastAsia" w:cs="宋体"/>
          <w:i w:val="0"/>
          <w:iCs w:val="0"/>
          <w:caps w:val="0"/>
          <w:color w:val="000000"/>
          <w:spacing w:val="0"/>
          <w:sz w:val="24"/>
          <w:szCs w:val="24"/>
          <w:highlight w:val="none"/>
          <w:lang w:eastAsia="zh-CN"/>
        </w:rPr>
        <w:t>：</w:t>
      </w:r>
    </w:p>
    <w:p w14:paraId="0DCC1D40">
      <w:pPr>
        <w:pStyle w:val="71"/>
        <w:keepNext w:val="0"/>
        <w:keepLines w:val="0"/>
        <w:pageBreakBefore w:val="0"/>
        <w:widowControl/>
        <w:suppressLineNumbers w:val="0"/>
        <w:kinsoku/>
        <w:wordWrap/>
        <w:overflowPunct/>
        <w:topLinePunct w:val="0"/>
        <w:autoSpaceDE/>
        <w:autoSpaceDN/>
        <w:bidi w:val="0"/>
        <w:adjustRightInd w:val="0"/>
        <w:snapToGrid/>
        <w:spacing w:before="60" w:beforeAutospacing="0" w:after="60" w:afterAutospacing="0" w:line="360" w:lineRule="auto"/>
        <w:ind w:right="0"/>
        <w:textAlignment w:val="baseline"/>
        <w:rPr>
          <w:rFonts w:hint="eastAsia" w:cs="宋体"/>
          <w:i w:val="0"/>
          <w:iCs w:val="0"/>
          <w:caps w:val="0"/>
          <w:color w:val="000000"/>
          <w:spacing w:val="0"/>
          <w:sz w:val="24"/>
          <w:szCs w:val="24"/>
          <w:highlight w:val="none"/>
          <w:lang w:val="en-US" w:eastAsia="zh-CN"/>
        </w:rPr>
      </w:pPr>
      <w:r>
        <w:rPr>
          <w:rFonts w:hint="eastAsia" w:cs="宋体"/>
          <w:i w:val="0"/>
          <w:iCs w:val="0"/>
          <w:caps w:val="0"/>
          <w:color w:val="000000"/>
          <w:spacing w:val="0"/>
          <w:sz w:val="24"/>
          <w:szCs w:val="24"/>
          <w:highlight w:val="none"/>
          <w:lang w:val="en-US" w:eastAsia="zh-CN"/>
        </w:rPr>
        <w:t>标项一</w:t>
      </w:r>
    </w:p>
    <w:p w14:paraId="20AC7E93">
      <w:pPr>
        <w:pStyle w:val="71"/>
        <w:keepNext w:val="0"/>
        <w:keepLines w:val="0"/>
        <w:pageBreakBefore w:val="0"/>
        <w:widowControl/>
        <w:suppressLineNumbers w:val="0"/>
        <w:kinsoku/>
        <w:wordWrap/>
        <w:overflowPunct/>
        <w:topLinePunct w:val="0"/>
        <w:autoSpaceDE/>
        <w:autoSpaceDN/>
        <w:bidi w:val="0"/>
        <w:adjustRightInd w:val="0"/>
        <w:snapToGrid/>
        <w:spacing w:before="60" w:beforeAutospacing="0" w:after="60" w:afterAutospacing="0" w:line="360" w:lineRule="auto"/>
        <w:ind w:right="0"/>
        <w:textAlignment w:val="baseline"/>
        <w:rPr>
          <w:rFonts w:hint="eastAsia" w:cs="宋体"/>
          <w:bCs/>
          <w:color w:val="000000"/>
          <w:sz w:val="24"/>
          <w:szCs w:val="24"/>
          <w:highlight w:val="none"/>
          <w:lang w:val="zh-CN"/>
        </w:rPr>
      </w:pPr>
      <w:r>
        <w:rPr>
          <w:rFonts w:hint="eastAsia" w:cs="宋体"/>
          <w:i w:val="0"/>
          <w:iCs w:val="0"/>
          <w:caps w:val="0"/>
          <w:color w:val="000000"/>
          <w:spacing w:val="0"/>
          <w:sz w:val="24"/>
          <w:szCs w:val="24"/>
          <w:highlight w:val="none"/>
          <w:lang w:val="en-US" w:eastAsia="zh-CN"/>
        </w:rPr>
        <w:t>标项名称：</w:t>
      </w:r>
      <w:r>
        <w:rPr>
          <w:rFonts w:hint="eastAsia" w:cs="宋体"/>
          <w:bCs/>
          <w:color w:val="000000"/>
          <w:sz w:val="24"/>
          <w:szCs w:val="24"/>
          <w:highlight w:val="none"/>
          <w:lang w:val="zh-CN"/>
        </w:rPr>
        <w:t>2024年于田县“三北”工程林草湿荒一体化保护修复项目（</w:t>
      </w:r>
      <w:r>
        <w:rPr>
          <w:rFonts w:hint="eastAsia" w:cs="宋体"/>
          <w:bCs/>
          <w:color w:val="000000"/>
          <w:sz w:val="24"/>
          <w:szCs w:val="24"/>
          <w:highlight w:val="none"/>
          <w:lang w:val="en-US" w:eastAsia="zh-CN"/>
        </w:rPr>
        <w:t>包一</w:t>
      </w:r>
      <w:r>
        <w:rPr>
          <w:rFonts w:hint="eastAsia" w:cs="宋体"/>
          <w:bCs/>
          <w:color w:val="000000"/>
          <w:sz w:val="24"/>
          <w:szCs w:val="24"/>
          <w:highlight w:val="none"/>
          <w:lang w:val="zh-CN"/>
        </w:rPr>
        <w:t>）（</w:t>
      </w:r>
      <w:r>
        <w:rPr>
          <w:rFonts w:hint="eastAsia" w:cs="宋体"/>
          <w:bCs/>
          <w:color w:val="000000"/>
          <w:sz w:val="24"/>
          <w:szCs w:val="24"/>
          <w:highlight w:val="none"/>
          <w:lang w:val="en-US" w:eastAsia="zh-CN"/>
        </w:rPr>
        <w:t>三</w:t>
      </w:r>
      <w:r>
        <w:rPr>
          <w:rFonts w:hint="eastAsia" w:cs="宋体"/>
          <w:bCs/>
          <w:color w:val="000000"/>
          <w:sz w:val="24"/>
          <w:szCs w:val="24"/>
          <w:highlight w:val="none"/>
          <w:lang w:val="zh-CN"/>
        </w:rPr>
        <w:t>次）</w:t>
      </w:r>
    </w:p>
    <w:p w14:paraId="44708ABF">
      <w:pPr>
        <w:pStyle w:val="71"/>
        <w:keepNext w:val="0"/>
        <w:keepLines w:val="0"/>
        <w:pageBreakBefore w:val="0"/>
        <w:widowControl/>
        <w:suppressLineNumbers w:val="0"/>
        <w:kinsoku/>
        <w:wordWrap/>
        <w:overflowPunct/>
        <w:topLinePunct w:val="0"/>
        <w:autoSpaceDE/>
        <w:autoSpaceDN/>
        <w:bidi w:val="0"/>
        <w:adjustRightInd w:val="0"/>
        <w:snapToGrid/>
        <w:spacing w:before="60" w:beforeAutospacing="0" w:after="60" w:afterAutospacing="0" w:line="360" w:lineRule="auto"/>
        <w:ind w:right="0"/>
        <w:textAlignment w:val="baseline"/>
        <w:rPr>
          <w:rFonts w:hint="default" w:cs="宋体"/>
          <w:i w:val="0"/>
          <w:iCs w:val="0"/>
          <w:caps w:val="0"/>
          <w:color w:val="000000"/>
          <w:spacing w:val="0"/>
          <w:sz w:val="24"/>
          <w:szCs w:val="24"/>
          <w:highlight w:val="none"/>
          <w:lang w:val="en-US" w:eastAsia="zh-CN"/>
        </w:rPr>
      </w:pPr>
      <w:r>
        <w:rPr>
          <w:rFonts w:hint="eastAsia" w:cs="宋体"/>
          <w:i w:val="0"/>
          <w:iCs w:val="0"/>
          <w:caps w:val="0"/>
          <w:color w:val="000000"/>
          <w:spacing w:val="0"/>
          <w:sz w:val="24"/>
          <w:szCs w:val="24"/>
          <w:highlight w:val="none"/>
          <w:lang w:val="en-US" w:eastAsia="zh-CN"/>
        </w:rPr>
        <w:t>数量：1</w:t>
      </w:r>
    </w:p>
    <w:p w14:paraId="30AF88CC">
      <w:pPr>
        <w:pStyle w:val="71"/>
        <w:keepNext w:val="0"/>
        <w:keepLines w:val="0"/>
        <w:pageBreakBefore w:val="0"/>
        <w:widowControl/>
        <w:suppressLineNumbers w:val="0"/>
        <w:kinsoku/>
        <w:wordWrap/>
        <w:overflowPunct/>
        <w:topLinePunct w:val="0"/>
        <w:autoSpaceDE/>
        <w:autoSpaceDN/>
        <w:bidi w:val="0"/>
        <w:adjustRightInd w:val="0"/>
        <w:snapToGrid/>
        <w:spacing w:before="60" w:beforeAutospacing="0" w:after="60" w:afterAutospacing="0" w:line="360" w:lineRule="auto"/>
        <w:ind w:right="0"/>
        <w:textAlignment w:val="baseline"/>
        <w:rPr>
          <w:rFonts w:hint="default" w:cs="宋体"/>
          <w:i w:val="0"/>
          <w:iCs w:val="0"/>
          <w:caps w:val="0"/>
          <w:color w:val="000000"/>
          <w:spacing w:val="0"/>
          <w:sz w:val="24"/>
          <w:szCs w:val="24"/>
          <w:highlight w:val="none"/>
          <w:lang w:val="en-US" w:eastAsia="zh-CN"/>
        </w:rPr>
      </w:pPr>
      <w:r>
        <w:rPr>
          <w:rFonts w:hint="eastAsia" w:cs="宋体"/>
          <w:i w:val="0"/>
          <w:iCs w:val="0"/>
          <w:caps w:val="0"/>
          <w:color w:val="000000"/>
          <w:spacing w:val="0"/>
          <w:sz w:val="24"/>
          <w:szCs w:val="24"/>
          <w:highlight w:val="none"/>
          <w:lang w:val="en-US" w:eastAsia="zh-CN"/>
        </w:rPr>
        <w:t>预算金额</w:t>
      </w:r>
      <w:r>
        <w:rPr>
          <w:rFonts w:hint="eastAsia" w:cs="宋体"/>
          <w:i w:val="0"/>
          <w:iCs w:val="0"/>
          <w:caps w:val="0"/>
          <w:color w:val="000000"/>
          <w:spacing w:val="0"/>
          <w:sz w:val="24"/>
          <w:szCs w:val="24"/>
          <w:highlight w:val="none"/>
          <w:lang w:eastAsia="zh-CN"/>
        </w:rPr>
        <w:t>（</w:t>
      </w:r>
      <w:r>
        <w:rPr>
          <w:rFonts w:hint="eastAsia" w:cs="宋体"/>
          <w:i w:val="0"/>
          <w:iCs w:val="0"/>
          <w:caps w:val="0"/>
          <w:color w:val="000000"/>
          <w:spacing w:val="0"/>
          <w:sz w:val="24"/>
          <w:szCs w:val="24"/>
          <w:highlight w:val="none"/>
          <w:lang w:val="en-US" w:eastAsia="zh-CN"/>
        </w:rPr>
        <w:t>元</w:t>
      </w:r>
      <w:r>
        <w:rPr>
          <w:rFonts w:hint="eastAsia" w:cs="宋体"/>
          <w:i w:val="0"/>
          <w:iCs w:val="0"/>
          <w:caps w:val="0"/>
          <w:color w:val="000000"/>
          <w:spacing w:val="0"/>
          <w:sz w:val="24"/>
          <w:szCs w:val="24"/>
          <w:highlight w:val="none"/>
          <w:lang w:eastAsia="zh-CN"/>
        </w:rPr>
        <w:t>）</w:t>
      </w:r>
      <w:r>
        <w:rPr>
          <w:rFonts w:hint="eastAsia" w:cs="宋体"/>
          <w:i w:val="0"/>
          <w:iCs w:val="0"/>
          <w:caps w:val="0"/>
          <w:color w:val="000000"/>
          <w:spacing w:val="0"/>
          <w:sz w:val="24"/>
          <w:szCs w:val="24"/>
          <w:highlight w:val="none"/>
          <w:lang w:val="en-US" w:eastAsia="zh-CN"/>
        </w:rPr>
        <w:t>：</w:t>
      </w:r>
      <w:r>
        <w:rPr>
          <w:rFonts w:hint="eastAsia" w:cs="宋体"/>
          <w:i w:val="0"/>
          <w:iCs w:val="0"/>
          <w:caps w:val="0"/>
          <w:color w:val="auto"/>
          <w:spacing w:val="0"/>
          <w:sz w:val="24"/>
          <w:szCs w:val="24"/>
          <w:highlight w:val="none"/>
          <w:lang w:val="en-US" w:eastAsia="zh-CN"/>
        </w:rPr>
        <w:t>8847100</w:t>
      </w:r>
    </w:p>
    <w:p w14:paraId="551BE813">
      <w:pPr>
        <w:pStyle w:val="71"/>
        <w:keepNext w:val="0"/>
        <w:keepLines w:val="0"/>
        <w:pageBreakBefore w:val="0"/>
        <w:widowControl/>
        <w:suppressLineNumbers w:val="0"/>
        <w:kinsoku/>
        <w:wordWrap/>
        <w:overflowPunct/>
        <w:topLinePunct w:val="0"/>
        <w:autoSpaceDE/>
        <w:autoSpaceDN/>
        <w:bidi w:val="0"/>
        <w:adjustRightInd w:val="0"/>
        <w:snapToGrid/>
        <w:spacing w:before="60" w:beforeAutospacing="0" w:after="60" w:afterAutospacing="0" w:line="360" w:lineRule="auto"/>
        <w:ind w:right="0"/>
        <w:textAlignment w:val="baseline"/>
        <w:rPr>
          <w:rFonts w:hint="default" w:cs="宋体"/>
          <w:i w:val="0"/>
          <w:iCs w:val="0"/>
          <w:caps w:val="0"/>
          <w:color w:val="000000"/>
          <w:spacing w:val="0"/>
          <w:sz w:val="24"/>
          <w:szCs w:val="24"/>
          <w:highlight w:val="none"/>
          <w:lang w:val="en-US" w:eastAsia="zh-CN"/>
        </w:rPr>
      </w:pPr>
      <w:r>
        <w:rPr>
          <w:rFonts w:hint="default" w:cs="宋体"/>
          <w:i w:val="0"/>
          <w:iCs w:val="0"/>
          <w:caps w:val="0"/>
          <w:color w:val="000000"/>
          <w:spacing w:val="0"/>
          <w:sz w:val="24"/>
          <w:szCs w:val="24"/>
          <w:highlight w:val="none"/>
          <w:lang w:val="en-US" w:eastAsia="zh-CN"/>
        </w:rPr>
        <w:t xml:space="preserve"> 简要规格描述或项目基本概况介绍、用途：</w:t>
      </w:r>
      <w:r>
        <w:rPr>
          <w:rFonts w:hint="eastAsia" w:cs="宋体"/>
          <w:i w:val="0"/>
          <w:iCs w:val="0"/>
          <w:caps w:val="0"/>
          <w:color w:val="000000"/>
          <w:spacing w:val="0"/>
          <w:sz w:val="24"/>
          <w:szCs w:val="24"/>
          <w:highlight w:val="none"/>
          <w:lang w:val="en-US" w:eastAsia="zh-CN"/>
        </w:rPr>
        <w:t>实施退化林修复1.65万亩，中幼林抚育210亩</w:t>
      </w:r>
      <w:r>
        <w:rPr>
          <w:rFonts w:hint="default" w:cs="宋体"/>
          <w:i w:val="0"/>
          <w:iCs w:val="0"/>
          <w:caps w:val="0"/>
          <w:color w:val="000000"/>
          <w:spacing w:val="0"/>
          <w:sz w:val="24"/>
          <w:szCs w:val="24"/>
          <w:highlight w:val="none"/>
          <w:lang w:val="en-US" w:eastAsia="zh-CN"/>
        </w:rPr>
        <w:t>；（具体参数详见招标文件）</w:t>
      </w:r>
    </w:p>
    <w:p w14:paraId="5E612362">
      <w:pPr>
        <w:pStyle w:val="71"/>
        <w:spacing w:before="50" w:beforeAutospacing="0" w:after="50" w:afterAutospacing="0" w:line="360" w:lineRule="auto"/>
        <w:rPr>
          <w:rFonts w:hint="default" w:ascii="宋体" w:hAnsi="宋体" w:eastAsia="宋体" w:cs="宋体"/>
          <w:i w:val="0"/>
          <w:iCs w:val="0"/>
          <w:caps w:val="0"/>
          <w:color w:val="000000"/>
          <w:spacing w:val="0"/>
          <w:sz w:val="24"/>
          <w:szCs w:val="24"/>
          <w:highlight w:val="none"/>
          <w:lang w:val="en-US"/>
        </w:rPr>
      </w:pPr>
      <w:r>
        <w:rPr>
          <w:rFonts w:hint="eastAsia" w:ascii="宋体" w:hAnsi="宋体" w:eastAsia="宋体" w:cs="宋体"/>
          <w:i w:val="0"/>
          <w:iCs w:val="0"/>
          <w:caps w:val="0"/>
          <w:color w:val="000000"/>
          <w:spacing w:val="0"/>
          <w:sz w:val="24"/>
          <w:szCs w:val="24"/>
          <w:highlight w:val="none"/>
          <w:lang w:val="en-US" w:eastAsia="zh-CN"/>
        </w:rPr>
        <w:t>合同履约期限：</w:t>
      </w:r>
      <w:r>
        <w:rPr>
          <w:rFonts w:hint="eastAsia" w:cs="宋体"/>
          <w:i w:val="0"/>
          <w:iCs w:val="0"/>
          <w:caps w:val="0"/>
          <w:color w:val="000000"/>
          <w:spacing w:val="0"/>
          <w:sz w:val="24"/>
          <w:szCs w:val="24"/>
          <w:highlight w:val="none"/>
          <w:lang w:val="en-US" w:eastAsia="zh-CN"/>
        </w:rPr>
        <w:t>1年</w:t>
      </w:r>
      <w:r>
        <w:rPr>
          <w:rFonts w:hint="eastAsia" w:asciiTheme="minorEastAsia" w:hAnsiTheme="minorEastAsia" w:eastAsiaTheme="minorEastAsia" w:cstheme="minorEastAsia"/>
          <w:color w:val="auto"/>
          <w:sz w:val="24"/>
          <w:szCs w:val="24"/>
          <w:highlight w:val="none"/>
          <w:lang w:val="en-US" w:eastAsia="zh-CN"/>
        </w:rPr>
        <w:t>。</w:t>
      </w:r>
    </w:p>
    <w:p w14:paraId="5C2701C8">
      <w:pPr>
        <w:pStyle w:val="71"/>
        <w:keepNext w:val="0"/>
        <w:keepLines w:val="0"/>
        <w:pageBreakBefore w:val="0"/>
        <w:widowControl/>
        <w:suppressLineNumbers w:val="0"/>
        <w:kinsoku/>
        <w:wordWrap/>
        <w:overflowPunct/>
        <w:topLinePunct w:val="0"/>
        <w:autoSpaceDE/>
        <w:autoSpaceDN/>
        <w:bidi w:val="0"/>
        <w:adjustRightInd w:val="0"/>
        <w:snapToGrid/>
        <w:spacing w:before="60" w:beforeAutospacing="0" w:after="60" w:afterAutospacing="0" w:line="360" w:lineRule="auto"/>
        <w:ind w:left="0" w:right="0" w:firstLine="420"/>
        <w:textAlignment w:val="baseline"/>
        <w:rPr>
          <w:rFonts w:hint="eastAsia" w:ascii="宋体" w:hAnsi="宋体" w:eastAsia="宋体" w:cs="宋体"/>
          <w:color w:val="000000"/>
          <w:sz w:val="24"/>
          <w:szCs w:val="24"/>
          <w:highlight w:val="none"/>
        </w:rPr>
      </w:pPr>
      <w:r>
        <w:rPr>
          <w:rFonts w:hint="eastAsia" w:ascii="宋体" w:hAnsi="宋体" w:eastAsia="宋体" w:cs="宋体"/>
          <w:i w:val="0"/>
          <w:iCs w:val="0"/>
          <w:caps w:val="0"/>
          <w:color w:val="000000"/>
          <w:spacing w:val="0"/>
          <w:sz w:val="24"/>
          <w:szCs w:val="24"/>
          <w:highlight w:val="none"/>
        </w:rPr>
        <w:t>本项目</w:t>
      </w:r>
      <w:r>
        <w:rPr>
          <w:rFonts w:hint="eastAsia" w:cs="宋体"/>
          <w:i w:val="0"/>
          <w:iCs w:val="0"/>
          <w:caps w:val="0"/>
          <w:color w:val="000000"/>
          <w:spacing w:val="0"/>
          <w:sz w:val="24"/>
          <w:szCs w:val="24"/>
          <w:highlight w:val="none"/>
          <w:lang w:val="en-US" w:eastAsia="zh-CN"/>
        </w:rPr>
        <w:t>不</w:t>
      </w:r>
      <w:r>
        <w:rPr>
          <w:rFonts w:hint="eastAsia" w:ascii="宋体" w:hAnsi="宋体" w:eastAsia="宋体" w:cs="宋体"/>
          <w:i w:val="0"/>
          <w:iCs w:val="0"/>
          <w:caps w:val="0"/>
          <w:color w:val="000000"/>
          <w:spacing w:val="0"/>
          <w:sz w:val="24"/>
          <w:szCs w:val="24"/>
          <w:highlight w:val="none"/>
        </w:rPr>
        <w:t>接受联合体投标。</w:t>
      </w:r>
    </w:p>
    <w:p w14:paraId="457C1ECC">
      <w:pPr>
        <w:pStyle w:val="71"/>
        <w:keepNext w:val="0"/>
        <w:keepLines w:val="0"/>
        <w:pageBreakBefore w:val="0"/>
        <w:widowControl/>
        <w:suppressLineNumbers w:val="0"/>
        <w:kinsoku/>
        <w:wordWrap/>
        <w:overflowPunct/>
        <w:topLinePunct w:val="0"/>
        <w:autoSpaceDE/>
        <w:autoSpaceDN/>
        <w:bidi w:val="0"/>
        <w:adjustRightInd w:val="0"/>
        <w:snapToGrid/>
        <w:spacing w:before="36" w:beforeAutospacing="0" w:after="36" w:afterAutospacing="0" w:line="360" w:lineRule="auto"/>
        <w:ind w:left="0" w:right="0" w:firstLine="0"/>
        <w:textAlignment w:val="baseline"/>
        <w:rPr>
          <w:rFonts w:hint="eastAsia" w:ascii="宋体" w:hAnsi="宋体" w:eastAsia="宋体" w:cs="宋体"/>
          <w:i w:val="0"/>
          <w:iCs w:val="0"/>
          <w:caps w:val="0"/>
          <w:color w:val="000000"/>
          <w:spacing w:val="0"/>
          <w:sz w:val="24"/>
          <w:szCs w:val="24"/>
          <w:highlight w:val="none"/>
        </w:rPr>
      </w:pPr>
      <w:r>
        <w:rPr>
          <w:rStyle w:val="79"/>
          <w:rFonts w:hint="eastAsia" w:ascii="宋体" w:hAnsi="宋体" w:eastAsia="宋体" w:cs="宋体"/>
          <w:i w:val="0"/>
          <w:iCs w:val="0"/>
          <w:caps w:val="0"/>
          <w:color w:val="000000"/>
          <w:spacing w:val="0"/>
          <w:sz w:val="24"/>
          <w:szCs w:val="24"/>
          <w:highlight w:val="none"/>
        </w:rPr>
        <w:t>二、申请人的资格要求：</w:t>
      </w:r>
    </w:p>
    <w:p w14:paraId="0193C56C">
      <w:pPr>
        <w:pStyle w:val="71"/>
        <w:spacing w:before="50" w:beforeAutospacing="0" w:after="50" w:afterAutospacing="0" w:line="360" w:lineRule="auto"/>
        <w:ind w:firstLine="420"/>
        <w:rPr>
          <w:rFonts w:hint="eastAsia" w:ascii="宋体" w:hAnsi="宋体" w:eastAsia="宋体" w:cs="宋体"/>
          <w:color w:val="000000"/>
          <w:highlight w:val="none"/>
          <w:lang w:val="en-US" w:eastAsia="zh-CN"/>
        </w:rPr>
      </w:pPr>
      <w:r>
        <w:rPr>
          <w:rFonts w:hint="eastAsia" w:ascii="宋体" w:hAnsi="宋体" w:eastAsia="宋体" w:cs="宋体"/>
          <w:i w:val="0"/>
          <w:iCs w:val="0"/>
          <w:caps w:val="0"/>
          <w:color w:val="000000"/>
          <w:spacing w:val="0"/>
          <w:sz w:val="24"/>
          <w:szCs w:val="24"/>
          <w:highlight w:val="none"/>
        </w:rPr>
        <w:t>1.满足《中华人民共和国政府采购法》第二十二条规定</w:t>
      </w:r>
      <w:r>
        <w:rPr>
          <w:rFonts w:hint="eastAsia" w:ascii="宋体" w:hAnsi="宋体" w:eastAsia="宋体" w:cs="宋体"/>
          <w:color w:val="000000"/>
          <w:highlight w:val="none"/>
          <w:lang w:val="en-US" w:eastAsia="zh-CN"/>
        </w:rPr>
        <w:t>：</w:t>
      </w:r>
    </w:p>
    <w:p w14:paraId="3EB9DDDD">
      <w:pPr>
        <w:pStyle w:val="71"/>
        <w:spacing w:before="50" w:beforeAutospacing="0" w:after="50" w:afterAutospacing="0" w:line="360" w:lineRule="auto"/>
        <w:ind w:firstLine="420"/>
        <w:rPr>
          <w:rFonts w:hint="eastAsia" w:cs="宋体"/>
          <w:color w:val="000000"/>
          <w:highlight w:val="none"/>
          <w:lang w:val="en-US" w:eastAsia="zh-CN"/>
        </w:rPr>
      </w:pPr>
      <w:r>
        <w:rPr>
          <w:rFonts w:hint="eastAsia" w:cs="宋体"/>
          <w:color w:val="000000"/>
          <w:highlight w:val="none"/>
          <w:lang w:val="en-US" w:eastAsia="zh-CN"/>
        </w:rPr>
        <w:t>2.落实政府采购政策需满足的资格要求：</w:t>
      </w:r>
    </w:p>
    <w:p w14:paraId="6EA17C3B">
      <w:pPr>
        <w:pStyle w:val="71"/>
        <w:spacing w:before="50" w:beforeAutospacing="0" w:after="50" w:afterAutospacing="0" w:line="360" w:lineRule="auto"/>
        <w:ind w:firstLine="420"/>
        <w:rPr>
          <w:rFonts w:hint="eastAsia" w:cs="宋体"/>
          <w:color w:val="000000"/>
          <w:highlight w:val="none"/>
          <w:lang w:val="en-US" w:eastAsia="zh-CN"/>
        </w:rPr>
      </w:pPr>
      <w:r>
        <w:rPr>
          <w:rFonts w:hint="eastAsia" w:cs="宋体"/>
          <w:color w:val="000000"/>
          <w:highlight w:val="none"/>
          <w:lang w:val="en-US" w:eastAsia="zh-CN"/>
        </w:rPr>
        <w:t>2.1 中小企业政策标项1：专门面向中小企业</w:t>
      </w:r>
    </w:p>
    <w:p w14:paraId="364CB0D9">
      <w:pPr>
        <w:pStyle w:val="71"/>
        <w:spacing w:before="50" w:beforeAutospacing="0" w:after="50" w:afterAutospacing="0" w:line="360" w:lineRule="auto"/>
        <w:ind w:firstLine="420"/>
        <w:rPr>
          <w:rFonts w:hint="eastAsia" w:cs="宋体"/>
          <w:color w:val="000000"/>
          <w:highlight w:val="none"/>
          <w:lang w:val="en-US" w:eastAsia="zh-CN"/>
        </w:rPr>
      </w:pPr>
      <w:r>
        <w:rPr>
          <w:rFonts w:hint="eastAsia" w:cs="宋体"/>
          <w:color w:val="000000"/>
          <w:highlight w:val="none"/>
          <w:lang w:val="en-US" w:eastAsia="zh-CN"/>
        </w:rPr>
        <w:t>□本项目不专门面向中小企业预留采购份额。</w:t>
      </w:r>
    </w:p>
    <w:p w14:paraId="1403D72A">
      <w:pPr>
        <w:pStyle w:val="71"/>
        <w:spacing w:before="50" w:beforeAutospacing="0" w:after="50" w:afterAutospacing="0" w:line="360" w:lineRule="auto"/>
        <w:ind w:firstLine="420"/>
        <w:rPr>
          <w:rFonts w:hint="eastAsia" w:cs="宋体"/>
          <w:color w:val="000000"/>
          <w:highlight w:val="none"/>
          <w:lang w:val="en-US" w:eastAsia="zh-CN"/>
        </w:rPr>
      </w:pPr>
      <w:r>
        <w:rPr>
          <w:rFonts w:hint="eastAsia" w:cs="宋体"/>
          <w:color w:val="000000"/>
          <w:highlight w:val="none"/>
          <w:lang w:val="en-US" w:eastAsia="zh-CN"/>
        </w:rPr>
        <w:t>☑本项目专门面向 ☑中小企业 ☑小微企业采购。即：提供的货物或服务全部由符合政策要求的中小/小微企业制造、服务全部由符合政策要求的中小/小微企业承接。</w:t>
      </w:r>
    </w:p>
    <w:p w14:paraId="29E74447">
      <w:pPr>
        <w:pStyle w:val="71"/>
        <w:spacing w:before="50" w:beforeAutospacing="0" w:after="50" w:afterAutospacing="0" w:line="360" w:lineRule="auto"/>
        <w:ind w:firstLine="420"/>
        <w:rPr>
          <w:rFonts w:hint="eastAsia" w:cs="宋体"/>
          <w:color w:val="000000"/>
          <w:highlight w:val="none"/>
          <w:lang w:val="en-US" w:eastAsia="zh-CN"/>
        </w:rPr>
      </w:pPr>
      <w:r>
        <w:rPr>
          <w:rFonts w:hint="eastAsia" w:cs="宋体"/>
          <w:color w:val="000000"/>
          <w:highlight w:val="none"/>
          <w:lang w:val="en-US" w:eastAsia="zh-CN"/>
        </w:rPr>
        <w:t>□本项目预留部分采购项目预算专门面向中小企业采购。对于预留份额，提供的货物由符合政策要求的中小企业制造、服务由符合政策要求的中小企业承接。预留份额通过以下措施进行：/</w:t>
      </w:r>
    </w:p>
    <w:p w14:paraId="74BBB705">
      <w:pPr>
        <w:pStyle w:val="71"/>
        <w:numPr>
          <w:ilvl w:val="0"/>
          <w:numId w:val="0"/>
        </w:numPr>
        <w:spacing w:before="50" w:beforeAutospacing="0" w:after="50" w:afterAutospacing="0" w:line="360" w:lineRule="auto"/>
        <w:ind w:left="120" w:leftChars="0" w:right="62" w:rightChars="0" w:hanging="120" w:hangingChars="50"/>
        <w:rPr>
          <w:rFonts w:hint="eastAsia" w:ascii="宋体" w:hAnsi="宋体" w:eastAsia="宋体" w:cs="宋体"/>
          <w:color w:val="000000"/>
          <w:szCs w:val="21"/>
          <w:highlight w:val="none"/>
          <w:lang w:val="en-US" w:eastAsia="zh-CN"/>
        </w:rPr>
      </w:pPr>
      <w:r>
        <w:rPr>
          <w:rFonts w:hint="eastAsia" w:cs="宋体"/>
          <w:color w:val="000000"/>
          <w:highlight w:val="none"/>
          <w:lang w:val="en-US" w:eastAsia="zh-CN"/>
        </w:rPr>
        <w:t>2.2标项1：</w:t>
      </w:r>
      <w:r>
        <w:rPr>
          <w:rFonts w:hint="eastAsia" w:ascii="宋体" w:hAnsi="宋体" w:eastAsia="宋体" w:cs="宋体"/>
          <w:color w:val="000000"/>
          <w:kern w:val="0"/>
          <w:sz w:val="24"/>
          <w:szCs w:val="21"/>
          <w:lang w:val="en-US" w:eastAsia="zh-CN" w:bidi="ar-SA"/>
        </w:rPr>
        <w:t>（1）</w:t>
      </w:r>
      <w:r>
        <w:rPr>
          <w:rFonts w:hint="eastAsia" w:ascii="宋体" w:hAnsi="宋体" w:eastAsia="宋体" w:cs="宋体"/>
          <w:color w:val="000000"/>
          <w:szCs w:val="21"/>
          <w:highlight w:val="none"/>
          <w:lang w:val="en-US" w:eastAsia="zh-CN"/>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w:t>
      </w:r>
    </w:p>
    <w:p w14:paraId="6569E16D">
      <w:pPr>
        <w:pStyle w:val="71"/>
        <w:spacing w:before="50" w:beforeAutospacing="0" w:after="50" w:afterAutospacing="0" w:line="360" w:lineRule="auto"/>
        <w:ind w:firstLine="420"/>
        <w:rPr>
          <w:rFonts w:hint="eastAsia" w:ascii="宋体" w:hAnsi="宋体" w:eastAsia="宋体" w:cs="宋体"/>
          <w:color w:val="000000"/>
          <w:szCs w:val="21"/>
          <w:highlight w:val="none"/>
          <w:lang w:val="en-US" w:eastAsia="zh-CN"/>
        </w:rPr>
      </w:pPr>
      <w:r>
        <w:rPr>
          <w:rFonts w:hint="eastAsia" w:cs="宋体"/>
          <w:color w:val="000000"/>
          <w:szCs w:val="21"/>
          <w:highlight w:val="none"/>
          <w:lang w:val="en-US" w:eastAsia="zh-CN"/>
        </w:rPr>
        <w:t>（2）有依法缴纳税收和社会保障资金的良好记录：</w:t>
      </w:r>
      <w:r>
        <w:rPr>
          <w:rFonts w:hint="eastAsia" w:ascii="宋体" w:hAnsi="宋体" w:eastAsia="宋体" w:cs="宋体"/>
          <w:color w:val="000000"/>
          <w:szCs w:val="21"/>
          <w:highlight w:val="none"/>
          <w:lang w:val="en-US" w:eastAsia="zh-CN"/>
        </w:rPr>
        <w:t>提供近</w:t>
      </w:r>
      <w:r>
        <w:rPr>
          <w:rFonts w:hint="eastAsia" w:cs="宋体"/>
          <w:color w:val="000000"/>
          <w:szCs w:val="21"/>
          <w:highlight w:val="none"/>
          <w:lang w:val="en-US" w:eastAsia="zh-CN"/>
        </w:rPr>
        <w:t>三个月</w:t>
      </w:r>
      <w:r>
        <w:rPr>
          <w:rFonts w:hint="eastAsia" w:ascii="宋体" w:hAnsi="宋体" w:eastAsia="宋体" w:cs="宋体"/>
          <w:color w:val="000000"/>
          <w:szCs w:val="21"/>
          <w:highlight w:val="none"/>
          <w:lang w:val="en-US" w:eastAsia="zh-CN"/>
        </w:rPr>
        <w:t>（近三个月是指</w:t>
      </w:r>
      <w:r>
        <w:rPr>
          <w:rFonts w:hint="eastAsia" w:cs="宋体"/>
          <w:color w:val="000000"/>
          <w:szCs w:val="21"/>
          <w:highlight w:val="none"/>
          <w:lang w:val="en-US" w:eastAsia="zh-CN"/>
        </w:rPr>
        <w:t>2024年10月-2024年12月</w:t>
      </w:r>
      <w:r>
        <w:rPr>
          <w:rFonts w:hint="eastAsia" w:ascii="宋体" w:hAnsi="宋体" w:eastAsia="宋体" w:cs="宋体"/>
          <w:color w:val="000000"/>
          <w:szCs w:val="21"/>
          <w:highlight w:val="none"/>
          <w:lang w:val="en-US" w:eastAsia="zh-CN"/>
        </w:rPr>
        <w:t>）的缴纳税收的完税证明；如依法免税的，应提供相应文件证明（需含增值税、印花税等税种；新成立不足3个月的公司按实际发生提供，如当月无需缴税需提供税务机关出具的无欠税证明）；提供近</w:t>
      </w:r>
      <w:r>
        <w:rPr>
          <w:rFonts w:hint="eastAsia" w:cs="宋体"/>
          <w:color w:val="000000"/>
          <w:szCs w:val="21"/>
          <w:highlight w:val="none"/>
          <w:lang w:val="en-US" w:eastAsia="zh-CN"/>
        </w:rPr>
        <w:t>三个月</w:t>
      </w:r>
      <w:r>
        <w:rPr>
          <w:rFonts w:hint="eastAsia" w:ascii="宋体" w:hAnsi="宋体" w:eastAsia="宋体" w:cs="宋体"/>
          <w:color w:val="000000"/>
          <w:szCs w:val="21"/>
          <w:highlight w:val="none"/>
          <w:lang w:val="en-US" w:eastAsia="zh-CN"/>
        </w:rPr>
        <w:t>（近三个月是指</w:t>
      </w:r>
      <w:r>
        <w:rPr>
          <w:rFonts w:hint="eastAsia" w:cs="宋体"/>
          <w:color w:val="000000"/>
          <w:szCs w:val="21"/>
          <w:highlight w:val="none"/>
          <w:lang w:val="en-US" w:eastAsia="zh-CN"/>
        </w:rPr>
        <w:t>2024年10月-2024年12月</w:t>
      </w:r>
      <w:r>
        <w:rPr>
          <w:rFonts w:hint="eastAsia" w:ascii="宋体" w:hAnsi="宋体" w:eastAsia="宋体" w:cs="宋体"/>
          <w:color w:val="000000"/>
          <w:szCs w:val="21"/>
          <w:highlight w:val="none"/>
          <w:lang w:val="en-US" w:eastAsia="zh-CN"/>
        </w:rPr>
        <w:t>）</w:t>
      </w:r>
      <w:r>
        <w:rPr>
          <w:rFonts w:hint="eastAsia" w:cs="宋体"/>
          <w:color w:val="000000"/>
          <w:szCs w:val="21"/>
          <w:highlight w:val="none"/>
          <w:lang w:val="en-US" w:eastAsia="zh-CN"/>
        </w:rPr>
        <w:t>本单位</w:t>
      </w:r>
      <w:r>
        <w:rPr>
          <w:rFonts w:hint="eastAsia" w:ascii="宋体" w:hAnsi="宋体" w:eastAsia="宋体" w:cs="宋体"/>
          <w:color w:val="000000"/>
          <w:szCs w:val="21"/>
          <w:highlight w:val="none"/>
          <w:lang w:val="en-US" w:eastAsia="zh-CN"/>
        </w:rPr>
        <w:t>的社保缴纳证明（社保缴费凭证</w:t>
      </w:r>
      <w:r>
        <w:rPr>
          <w:rFonts w:hint="eastAsia" w:cs="宋体"/>
          <w:color w:val="000000"/>
          <w:szCs w:val="21"/>
          <w:highlight w:val="none"/>
          <w:lang w:val="en-US" w:eastAsia="zh-CN"/>
        </w:rPr>
        <w:t>及明细</w:t>
      </w:r>
      <w:r>
        <w:rPr>
          <w:rFonts w:hint="eastAsia" w:ascii="宋体" w:hAnsi="宋体" w:eastAsia="宋体" w:cs="宋体"/>
          <w:color w:val="000000"/>
          <w:szCs w:val="21"/>
          <w:highlight w:val="none"/>
          <w:lang w:val="en-US" w:eastAsia="zh-CN"/>
        </w:rPr>
        <w:t>，新成立不足</w:t>
      </w:r>
      <w:r>
        <w:rPr>
          <w:rFonts w:hint="eastAsia" w:cs="宋体"/>
          <w:color w:val="000000"/>
          <w:szCs w:val="21"/>
          <w:highlight w:val="none"/>
          <w:lang w:val="en-US" w:eastAsia="zh-CN"/>
        </w:rPr>
        <w:t>3</w:t>
      </w:r>
      <w:r>
        <w:rPr>
          <w:rFonts w:hint="eastAsia" w:ascii="宋体" w:hAnsi="宋体" w:eastAsia="宋体" w:cs="宋体"/>
          <w:color w:val="000000"/>
          <w:szCs w:val="21"/>
          <w:highlight w:val="none"/>
          <w:lang w:val="en-US" w:eastAsia="zh-CN"/>
        </w:rPr>
        <w:t>个月的公司以实际发生的为准）。如依法不需要缴纳社会保障资金的，应提供相应文件证明；</w:t>
      </w:r>
    </w:p>
    <w:p w14:paraId="522FE5FC">
      <w:pPr>
        <w:pStyle w:val="71"/>
        <w:spacing w:before="50" w:beforeAutospacing="0" w:after="50" w:afterAutospacing="0" w:line="360" w:lineRule="auto"/>
        <w:ind w:firstLine="420"/>
        <w:rPr>
          <w:rFonts w:hint="eastAsia" w:ascii="宋体" w:hAnsi="宋体" w:eastAsia="宋体" w:cs="宋体"/>
          <w:color w:val="000000"/>
          <w:szCs w:val="21"/>
          <w:highlight w:val="none"/>
          <w:lang w:val="en-US" w:eastAsia="zh-CN"/>
        </w:rPr>
      </w:pPr>
      <w:r>
        <w:rPr>
          <w:rFonts w:hint="eastAsia" w:cs="宋体"/>
          <w:color w:val="000000"/>
          <w:szCs w:val="21"/>
          <w:highlight w:val="none"/>
          <w:lang w:val="en-US" w:eastAsia="zh-CN"/>
        </w:rPr>
        <w:t>（3）</w:t>
      </w:r>
      <w:r>
        <w:rPr>
          <w:rFonts w:hint="eastAsia" w:ascii="宋体" w:hAnsi="宋体" w:eastAsia="宋体" w:cs="宋体"/>
          <w:color w:val="000000"/>
          <w:szCs w:val="21"/>
          <w:highlight w:val="none"/>
          <w:lang w:val="en-US" w:eastAsia="zh-CN"/>
        </w:rPr>
        <w:t>具有良好的商业信誉和健全的财务会计制度：提供2023年度由第三方财务审计机构出具的财务审计报告或新成立的企业提供银行出具的近三个月的资信证明；</w:t>
      </w:r>
    </w:p>
    <w:p w14:paraId="4DD727EE">
      <w:pPr>
        <w:pStyle w:val="71"/>
        <w:spacing w:before="50" w:beforeAutospacing="0" w:after="50" w:afterAutospacing="0" w:line="360" w:lineRule="auto"/>
        <w:ind w:firstLine="420"/>
        <w:rPr>
          <w:rFonts w:hint="eastAsia" w:ascii="宋体" w:hAnsi="宋体" w:eastAsia="宋体" w:cs="宋体"/>
          <w:color w:val="000000"/>
          <w:szCs w:val="21"/>
          <w:highlight w:val="none"/>
          <w:lang w:val="en-US" w:eastAsia="zh-CN"/>
        </w:rPr>
      </w:pPr>
      <w:r>
        <w:rPr>
          <w:rFonts w:hint="eastAsia" w:cs="宋体"/>
          <w:color w:val="000000"/>
          <w:szCs w:val="21"/>
          <w:highlight w:val="none"/>
          <w:lang w:val="en-US" w:eastAsia="zh-CN"/>
        </w:rPr>
        <w:t>（4）</w:t>
      </w:r>
      <w:r>
        <w:rPr>
          <w:rFonts w:hint="eastAsia" w:ascii="宋体" w:hAnsi="宋体" w:eastAsia="宋体" w:cs="宋体"/>
          <w:color w:val="000000"/>
          <w:szCs w:val="21"/>
          <w:highlight w:val="none"/>
          <w:lang w:val="en-US" w:eastAsia="zh-CN"/>
        </w:rPr>
        <w:t>履行合同所必需的设备和专业技术能力：提供《投标人资格声明函》；</w:t>
      </w:r>
    </w:p>
    <w:p w14:paraId="1DCC366E">
      <w:pPr>
        <w:pStyle w:val="71"/>
        <w:spacing w:before="50" w:beforeAutospacing="0" w:after="50" w:afterAutospacing="0" w:line="360" w:lineRule="auto"/>
        <w:ind w:firstLine="420"/>
        <w:rPr>
          <w:rFonts w:hint="eastAsia" w:cs="宋体"/>
          <w:color w:val="000000"/>
          <w:highlight w:val="none"/>
          <w:lang w:eastAsia="zh-CN"/>
        </w:rPr>
      </w:pPr>
      <w:r>
        <w:rPr>
          <w:rFonts w:hint="eastAsia" w:cs="宋体"/>
          <w:color w:val="000000"/>
          <w:szCs w:val="21"/>
          <w:highlight w:val="none"/>
          <w:lang w:val="en-US" w:eastAsia="zh-CN"/>
        </w:rPr>
        <w:t>（5）</w:t>
      </w:r>
      <w:r>
        <w:rPr>
          <w:rFonts w:hint="eastAsia" w:cs="宋体"/>
          <w:color w:val="000000"/>
          <w:highlight w:val="none"/>
          <w:lang w:eastAsia="zh-CN"/>
        </w:rPr>
        <w:t>参加采购活动前3年内，在经营活动中没有重大违法记录：提供《投标人资格声明函》。重大违法记录，是指供应商因违法经营受到刑事处罚或者责令停产停业、吊销许可证或者执照、较大数额罚款等行政处罚。（根据财库〔2022〕3号文，“较大数额罚款”认定为200 万元以上的罚款，法律、行政法规以及国务院有关部门明确规定相关领域“较大数额罚款”标准高于200 万元的，从其规定）；</w:t>
      </w:r>
    </w:p>
    <w:p w14:paraId="5C2076B9">
      <w:pPr>
        <w:pStyle w:val="71"/>
        <w:spacing w:before="50" w:beforeAutospacing="0" w:after="50" w:afterAutospacing="0" w:line="360" w:lineRule="auto"/>
        <w:ind w:firstLine="420"/>
        <w:rPr>
          <w:rFonts w:hint="eastAsia" w:cs="宋体"/>
          <w:color w:val="000000"/>
          <w:highlight w:val="none"/>
          <w:lang w:eastAsia="zh-CN"/>
        </w:rPr>
      </w:pPr>
      <w:r>
        <w:rPr>
          <w:rFonts w:hint="eastAsia" w:cs="宋体"/>
          <w:color w:val="000000"/>
          <w:highlight w:val="none"/>
          <w:lang w:val="en-US" w:eastAsia="zh-CN"/>
        </w:rPr>
        <w:t>（6）</w:t>
      </w:r>
      <w:r>
        <w:rPr>
          <w:rFonts w:hint="eastAsia" w:ascii="宋体" w:hAnsi="宋体" w:eastAsia="宋体" w:cs="宋体"/>
          <w:color w:val="000000"/>
          <w:highlight w:val="none"/>
        </w:rPr>
        <w:t>近三年内（本项目投标截止期前）未被“信用中国”（www.creditchina.gov.cn）、中国政府采购网（www.ccgp.gov.cn）列入失信被执行人、重大税收违法案件当事人名单、政府采购严重违法失信行为记录名单（开标现场查询）</w:t>
      </w:r>
      <w:r>
        <w:rPr>
          <w:rFonts w:hint="eastAsia" w:cs="宋体"/>
          <w:color w:val="000000"/>
          <w:highlight w:val="none"/>
          <w:lang w:eastAsia="zh-CN"/>
        </w:rPr>
        <w:t>；</w:t>
      </w:r>
    </w:p>
    <w:p w14:paraId="13063A03">
      <w:pPr>
        <w:pStyle w:val="71"/>
        <w:spacing w:before="50" w:beforeAutospacing="0" w:after="50" w:afterAutospacing="0" w:line="360" w:lineRule="auto"/>
        <w:ind w:firstLine="420"/>
        <w:rPr>
          <w:rFonts w:hint="eastAsia" w:eastAsia="宋体" w:cs="宋体"/>
          <w:color w:val="000000"/>
          <w:highlight w:val="none"/>
          <w:lang w:eastAsia="zh-CN"/>
        </w:rPr>
      </w:pPr>
      <w:r>
        <w:rPr>
          <w:rFonts w:hint="eastAsia" w:cs="宋体"/>
          <w:color w:val="000000"/>
          <w:highlight w:val="none"/>
          <w:lang w:val="en-US" w:eastAsia="zh-CN"/>
        </w:rPr>
        <w:t>（7）</w:t>
      </w:r>
      <w:r>
        <w:rPr>
          <w:rFonts w:hint="eastAsia" w:ascii="宋体" w:hAnsi="宋体" w:eastAsia="宋体" w:cs="宋体"/>
          <w:color w:val="000000"/>
          <w:highlight w:val="none"/>
        </w:rPr>
        <w:t>企业负责人为同一人或者存在直接控股、管理关系的不同投标人，不得参加同一合同项下的政府采购活动的声明函；否则，皆取消投标资格</w:t>
      </w:r>
      <w:r>
        <w:rPr>
          <w:rFonts w:hint="eastAsia" w:cs="宋体"/>
          <w:color w:val="000000"/>
          <w:highlight w:val="none"/>
          <w:lang w:eastAsia="zh-CN"/>
        </w:rPr>
        <w:t>；</w:t>
      </w:r>
    </w:p>
    <w:p w14:paraId="6DF25F26">
      <w:pPr>
        <w:pStyle w:val="71"/>
        <w:spacing w:before="50" w:beforeAutospacing="0" w:after="50" w:afterAutospacing="0" w:line="360" w:lineRule="auto"/>
        <w:ind w:firstLine="420"/>
        <w:rPr>
          <w:rFonts w:hint="eastAsia" w:cs="宋体"/>
          <w:color w:val="000000"/>
          <w:highlight w:val="none"/>
          <w:lang w:eastAsia="zh-CN"/>
        </w:rPr>
      </w:pPr>
      <w:r>
        <w:rPr>
          <w:rFonts w:hint="eastAsia" w:cs="宋体"/>
          <w:color w:val="000000"/>
          <w:highlight w:val="none"/>
          <w:lang w:eastAsia="zh-CN"/>
        </w:rPr>
        <w:t>（</w:t>
      </w:r>
      <w:r>
        <w:rPr>
          <w:rFonts w:hint="eastAsia" w:cs="宋体"/>
          <w:color w:val="000000"/>
          <w:highlight w:val="none"/>
          <w:lang w:val="en-US" w:eastAsia="zh-CN"/>
        </w:rPr>
        <w:t>8</w:t>
      </w:r>
      <w:r>
        <w:rPr>
          <w:rFonts w:hint="eastAsia" w:cs="宋体"/>
          <w:color w:val="000000"/>
          <w:highlight w:val="none"/>
          <w:lang w:eastAsia="zh-CN"/>
        </w:rPr>
        <w:t>）投标保证金或电子保函；</w:t>
      </w:r>
    </w:p>
    <w:p w14:paraId="3062BB80">
      <w:pPr>
        <w:pStyle w:val="71"/>
        <w:spacing w:before="50" w:beforeAutospacing="0" w:after="50" w:afterAutospacing="0" w:line="360" w:lineRule="auto"/>
        <w:ind w:firstLine="420"/>
        <w:rPr>
          <w:rFonts w:hint="default" w:cs="宋体"/>
          <w:color w:val="000000"/>
          <w:highlight w:val="none"/>
          <w:lang w:val="en-US" w:eastAsia="zh-CN"/>
        </w:rPr>
      </w:pPr>
      <w:r>
        <w:rPr>
          <w:rFonts w:hint="eastAsia" w:cs="宋体"/>
          <w:color w:val="000000"/>
          <w:highlight w:val="none"/>
          <w:lang w:eastAsia="zh-CN"/>
        </w:rPr>
        <w:t>（</w:t>
      </w:r>
      <w:r>
        <w:rPr>
          <w:rFonts w:hint="eastAsia" w:cs="宋体"/>
          <w:color w:val="000000"/>
          <w:highlight w:val="none"/>
          <w:lang w:val="en-US" w:eastAsia="zh-CN"/>
        </w:rPr>
        <w:t>9</w:t>
      </w:r>
      <w:r>
        <w:rPr>
          <w:rFonts w:hint="eastAsia" w:cs="宋体"/>
          <w:color w:val="000000"/>
          <w:highlight w:val="none"/>
          <w:lang w:eastAsia="zh-CN"/>
        </w:rPr>
        <w:t>）供应商提供有效的中小企业声明函；</w:t>
      </w:r>
    </w:p>
    <w:p w14:paraId="25EC4A96">
      <w:pPr>
        <w:pStyle w:val="71"/>
        <w:spacing w:before="50" w:beforeAutospacing="0" w:after="50" w:afterAutospacing="0" w:line="360" w:lineRule="auto"/>
        <w:rPr>
          <w:rFonts w:hint="eastAsia" w:ascii="宋体" w:hAnsi="宋体" w:eastAsia="宋体" w:cs="宋体"/>
          <w:color w:val="000000"/>
          <w:szCs w:val="21"/>
          <w:highlight w:val="none"/>
          <w:lang w:val="en-US" w:eastAsia="zh-CN"/>
        </w:rPr>
      </w:pPr>
      <w:r>
        <w:rPr>
          <w:rFonts w:hint="eastAsia" w:cs="宋体"/>
          <w:color w:val="000000"/>
          <w:highlight w:val="none"/>
          <w:lang w:val="en-US" w:eastAsia="zh-CN"/>
        </w:rPr>
        <w:t>3.</w:t>
      </w:r>
      <w:r>
        <w:rPr>
          <w:rFonts w:hint="eastAsia" w:ascii="宋体" w:hAnsi="宋体" w:eastAsia="宋体" w:cs="宋体"/>
          <w:color w:val="000000"/>
          <w:highlight w:val="none"/>
        </w:rPr>
        <w:t>本项目的特定资格要求：</w:t>
      </w:r>
    </w:p>
    <w:p w14:paraId="6CEE2147">
      <w:pPr>
        <w:pStyle w:val="71"/>
        <w:spacing w:before="50" w:beforeAutospacing="0" w:after="50" w:afterAutospacing="0" w:line="360" w:lineRule="auto"/>
        <w:ind w:firstLine="420"/>
        <w:rPr>
          <w:rFonts w:hint="eastAsia" w:cs="宋体"/>
          <w:color w:val="000000"/>
          <w:szCs w:val="21"/>
          <w:highlight w:val="none"/>
          <w:lang w:val="en-US" w:eastAsia="zh-CN"/>
        </w:rPr>
      </w:pPr>
      <w:r>
        <w:rPr>
          <w:rFonts w:hint="eastAsia" w:ascii="宋体" w:hAnsi="宋体" w:eastAsia="宋体" w:cs="宋体"/>
          <w:color w:val="000000"/>
          <w:szCs w:val="21"/>
          <w:highlight w:val="none"/>
          <w:lang w:val="en-US" w:eastAsia="zh-CN"/>
        </w:rPr>
        <w:t>标项</w:t>
      </w:r>
      <w:r>
        <w:rPr>
          <w:rFonts w:hint="eastAsia" w:cs="宋体"/>
          <w:color w:val="000000"/>
          <w:szCs w:val="21"/>
          <w:highlight w:val="none"/>
          <w:lang w:val="en-US" w:eastAsia="zh-CN"/>
        </w:rPr>
        <w:t>1</w:t>
      </w:r>
      <w:r>
        <w:rPr>
          <w:rFonts w:hint="eastAsia" w:ascii="宋体" w:hAnsi="宋体" w:eastAsia="宋体" w:cs="宋体"/>
          <w:color w:val="000000"/>
          <w:szCs w:val="21"/>
          <w:highlight w:val="none"/>
          <w:lang w:val="en-US" w:eastAsia="zh-CN"/>
        </w:rPr>
        <w:t>：</w:t>
      </w:r>
      <w:r>
        <w:rPr>
          <w:rFonts w:hint="eastAsia" w:cs="宋体"/>
          <w:color w:val="000000"/>
          <w:szCs w:val="21"/>
          <w:highlight w:val="none"/>
          <w:lang w:val="en-US" w:eastAsia="zh-CN"/>
        </w:rPr>
        <w:t>供应商必须具有有效的《林草种子生产经营许可证》；</w:t>
      </w:r>
    </w:p>
    <w:p w14:paraId="4796A92D">
      <w:pPr>
        <w:pStyle w:val="71"/>
        <w:keepNext w:val="0"/>
        <w:keepLines w:val="0"/>
        <w:pageBreakBefore w:val="0"/>
        <w:widowControl/>
        <w:suppressLineNumbers w:val="0"/>
        <w:kinsoku/>
        <w:wordWrap/>
        <w:overflowPunct/>
        <w:topLinePunct w:val="0"/>
        <w:autoSpaceDE/>
        <w:autoSpaceDN/>
        <w:bidi w:val="0"/>
        <w:adjustRightInd w:val="0"/>
        <w:snapToGrid/>
        <w:spacing w:before="60" w:beforeAutospacing="0" w:after="60" w:afterAutospacing="0" w:line="360" w:lineRule="auto"/>
        <w:ind w:left="0" w:right="0" w:firstLine="0"/>
        <w:textAlignment w:val="baseline"/>
        <w:rPr>
          <w:rFonts w:hint="eastAsia" w:ascii="宋体" w:hAnsi="宋体" w:eastAsia="宋体" w:cs="宋体"/>
          <w:i w:val="0"/>
          <w:iCs w:val="0"/>
          <w:caps w:val="0"/>
          <w:color w:val="000000"/>
          <w:spacing w:val="0"/>
          <w:sz w:val="24"/>
          <w:szCs w:val="24"/>
          <w:highlight w:val="none"/>
        </w:rPr>
      </w:pPr>
      <w:r>
        <w:rPr>
          <w:rStyle w:val="79"/>
          <w:rFonts w:hint="eastAsia" w:ascii="宋体" w:hAnsi="宋体" w:eastAsia="宋体" w:cs="宋体"/>
          <w:i w:val="0"/>
          <w:iCs w:val="0"/>
          <w:caps w:val="0"/>
          <w:color w:val="000000"/>
          <w:spacing w:val="0"/>
          <w:sz w:val="24"/>
          <w:szCs w:val="24"/>
          <w:highlight w:val="none"/>
        </w:rPr>
        <w:t>三、获取招标文件</w:t>
      </w:r>
    </w:p>
    <w:p w14:paraId="2FB5EB4D">
      <w:pPr>
        <w:pStyle w:val="71"/>
        <w:keepNext w:val="0"/>
        <w:keepLines w:val="0"/>
        <w:pageBreakBefore w:val="0"/>
        <w:widowControl/>
        <w:suppressLineNumbers w:val="0"/>
        <w:shd w:val="clear"/>
        <w:kinsoku/>
        <w:wordWrap/>
        <w:overflowPunct/>
        <w:topLinePunct w:val="0"/>
        <w:autoSpaceDE/>
        <w:autoSpaceDN/>
        <w:bidi w:val="0"/>
        <w:adjustRightInd w:val="0"/>
        <w:snapToGrid/>
        <w:spacing w:before="36" w:beforeAutospacing="0" w:after="36" w:afterAutospacing="0" w:line="360" w:lineRule="auto"/>
        <w:ind w:left="0" w:right="0" w:firstLine="336"/>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时间：</w:t>
      </w:r>
      <w:r>
        <w:rPr>
          <w:rFonts w:hint="eastAsia" w:cs="宋体"/>
          <w:i w:val="0"/>
          <w:iCs w:val="0"/>
          <w:caps w:val="0"/>
          <w:color w:val="000000"/>
          <w:spacing w:val="0"/>
          <w:sz w:val="24"/>
          <w:szCs w:val="24"/>
          <w:highlight w:val="none"/>
          <w:lang w:eastAsia="zh-CN"/>
        </w:rPr>
        <w:t>202</w:t>
      </w:r>
      <w:r>
        <w:rPr>
          <w:rFonts w:hint="eastAsia" w:cs="宋体"/>
          <w:i w:val="0"/>
          <w:iCs w:val="0"/>
          <w:caps w:val="0"/>
          <w:color w:val="000000"/>
          <w:spacing w:val="0"/>
          <w:sz w:val="24"/>
          <w:szCs w:val="24"/>
          <w:highlight w:val="none"/>
          <w:lang w:val="en-US" w:eastAsia="zh-CN"/>
        </w:rPr>
        <w:t>5</w:t>
      </w:r>
      <w:r>
        <w:rPr>
          <w:rFonts w:hint="eastAsia" w:cs="宋体"/>
          <w:i w:val="0"/>
          <w:iCs w:val="0"/>
          <w:caps w:val="0"/>
          <w:color w:val="000000"/>
          <w:spacing w:val="0"/>
          <w:sz w:val="24"/>
          <w:szCs w:val="24"/>
          <w:highlight w:val="none"/>
          <w:lang w:eastAsia="zh-CN"/>
        </w:rPr>
        <w:t>年</w:t>
      </w:r>
      <w:r>
        <w:rPr>
          <w:rFonts w:hint="eastAsia" w:cs="宋体"/>
          <w:i w:val="0"/>
          <w:iCs w:val="0"/>
          <w:caps w:val="0"/>
          <w:color w:val="000000"/>
          <w:spacing w:val="0"/>
          <w:sz w:val="24"/>
          <w:szCs w:val="24"/>
          <w:highlight w:val="none"/>
          <w:lang w:val="en-US" w:eastAsia="zh-CN"/>
        </w:rPr>
        <w:t>01月02日</w:t>
      </w:r>
      <w:r>
        <w:rPr>
          <w:rFonts w:hint="eastAsia" w:cs="宋体"/>
          <w:i w:val="0"/>
          <w:iCs w:val="0"/>
          <w:caps w:val="0"/>
          <w:color w:val="000000"/>
          <w:spacing w:val="0"/>
          <w:sz w:val="24"/>
          <w:szCs w:val="24"/>
          <w:highlight w:val="none"/>
          <w:lang w:eastAsia="zh-CN"/>
        </w:rPr>
        <w:t>至</w:t>
      </w:r>
      <w:r>
        <w:rPr>
          <w:rFonts w:hint="eastAsia" w:cs="宋体"/>
          <w:i w:val="0"/>
          <w:iCs w:val="0"/>
          <w:caps w:val="0"/>
          <w:color w:val="000000"/>
          <w:spacing w:val="0"/>
          <w:sz w:val="24"/>
          <w:szCs w:val="24"/>
          <w:highlight w:val="none"/>
          <w:lang w:val="en-US" w:eastAsia="zh-CN"/>
        </w:rPr>
        <w:t>2025年</w:t>
      </w:r>
      <w:bookmarkStart w:id="326" w:name="_GoBack"/>
      <w:bookmarkEnd w:id="326"/>
      <w:r>
        <w:rPr>
          <w:rFonts w:hint="eastAsia" w:cs="宋体"/>
          <w:i w:val="0"/>
          <w:iCs w:val="0"/>
          <w:caps w:val="0"/>
          <w:color w:val="000000"/>
          <w:spacing w:val="0"/>
          <w:sz w:val="24"/>
          <w:szCs w:val="24"/>
          <w:highlight w:val="none"/>
          <w:lang w:val="en-US" w:eastAsia="zh-CN"/>
        </w:rPr>
        <w:t>01月21日</w:t>
      </w:r>
      <w:r>
        <w:rPr>
          <w:rFonts w:hint="eastAsia" w:ascii="宋体" w:hAnsi="宋体" w:eastAsia="宋体" w:cs="宋体"/>
          <w:i w:val="0"/>
          <w:iCs w:val="0"/>
          <w:caps w:val="0"/>
          <w:color w:val="000000"/>
          <w:spacing w:val="0"/>
          <w:sz w:val="24"/>
          <w:szCs w:val="24"/>
          <w:highlight w:val="none"/>
        </w:rPr>
        <w:t>，每天上午</w:t>
      </w:r>
      <w:r>
        <w:rPr>
          <w:rFonts w:hint="eastAsia" w:cs="宋体"/>
          <w:i w:val="0"/>
          <w:iCs w:val="0"/>
          <w:caps w:val="0"/>
          <w:color w:val="000000"/>
          <w:spacing w:val="0"/>
          <w:sz w:val="24"/>
          <w:szCs w:val="24"/>
          <w:highlight w:val="none"/>
          <w:lang w:val="en-US" w:eastAsia="zh-CN"/>
        </w:rPr>
        <w:t>0</w:t>
      </w:r>
      <w:r>
        <w:rPr>
          <w:rFonts w:hint="eastAsia" w:ascii="宋体" w:hAnsi="宋体" w:eastAsia="宋体" w:cs="宋体"/>
          <w:i w:val="0"/>
          <w:iCs w:val="0"/>
          <w:caps w:val="0"/>
          <w:color w:val="000000"/>
          <w:spacing w:val="0"/>
          <w:sz w:val="24"/>
          <w:szCs w:val="24"/>
          <w:highlight w:val="none"/>
          <w:lang w:val="en-US" w:eastAsia="zh-CN"/>
        </w:rPr>
        <w:t>0：00</w:t>
      </w:r>
      <w:r>
        <w:rPr>
          <w:rFonts w:hint="eastAsia" w:ascii="宋体" w:hAnsi="宋体" w:eastAsia="宋体" w:cs="宋体"/>
          <w:i w:val="0"/>
          <w:iCs w:val="0"/>
          <w:caps w:val="0"/>
          <w:color w:val="000000"/>
          <w:spacing w:val="0"/>
          <w:sz w:val="24"/>
          <w:szCs w:val="24"/>
          <w:highlight w:val="none"/>
        </w:rPr>
        <w:t>至1</w:t>
      </w:r>
      <w:r>
        <w:rPr>
          <w:rFonts w:hint="eastAsia" w:cs="宋体"/>
          <w:i w:val="0"/>
          <w:iCs w:val="0"/>
          <w:caps w:val="0"/>
          <w:color w:val="000000"/>
          <w:spacing w:val="0"/>
          <w:sz w:val="24"/>
          <w:szCs w:val="24"/>
          <w:highlight w:val="none"/>
          <w:lang w:val="en-US" w:eastAsia="zh-CN"/>
        </w:rPr>
        <w:t>2</w:t>
      </w:r>
      <w:r>
        <w:rPr>
          <w:rFonts w:hint="eastAsia" w:ascii="宋体" w:hAnsi="宋体" w:eastAsia="宋体" w:cs="宋体"/>
          <w:i w:val="0"/>
          <w:iCs w:val="0"/>
          <w:caps w:val="0"/>
          <w:color w:val="000000"/>
          <w:spacing w:val="0"/>
          <w:sz w:val="24"/>
          <w:szCs w:val="24"/>
          <w:highlight w:val="none"/>
        </w:rPr>
        <w:t>:00，下午</w:t>
      </w:r>
      <w:r>
        <w:rPr>
          <w:rFonts w:hint="eastAsia" w:ascii="宋体" w:hAnsi="宋体" w:eastAsia="宋体" w:cs="宋体"/>
          <w:i w:val="0"/>
          <w:iCs w:val="0"/>
          <w:caps w:val="0"/>
          <w:color w:val="000000"/>
          <w:spacing w:val="0"/>
          <w:sz w:val="24"/>
          <w:szCs w:val="24"/>
          <w:highlight w:val="none"/>
          <w:lang w:val="en-US" w:eastAsia="zh-CN"/>
        </w:rPr>
        <w:t>1</w:t>
      </w:r>
      <w:r>
        <w:rPr>
          <w:rFonts w:hint="eastAsia" w:cs="宋体"/>
          <w:i w:val="0"/>
          <w:iCs w:val="0"/>
          <w:caps w:val="0"/>
          <w:color w:val="000000"/>
          <w:spacing w:val="0"/>
          <w:sz w:val="24"/>
          <w:szCs w:val="24"/>
          <w:highlight w:val="none"/>
          <w:lang w:val="en-US" w:eastAsia="zh-CN"/>
        </w:rPr>
        <w:t>2</w:t>
      </w:r>
      <w:r>
        <w:rPr>
          <w:rFonts w:hint="eastAsia" w:ascii="宋体" w:hAnsi="宋体" w:eastAsia="宋体" w:cs="宋体"/>
          <w:i w:val="0"/>
          <w:iCs w:val="0"/>
          <w:caps w:val="0"/>
          <w:color w:val="000000"/>
          <w:spacing w:val="0"/>
          <w:sz w:val="24"/>
          <w:szCs w:val="24"/>
          <w:highlight w:val="none"/>
        </w:rPr>
        <w:t>:00至</w:t>
      </w:r>
      <w:r>
        <w:rPr>
          <w:rFonts w:hint="eastAsia" w:cs="宋体"/>
          <w:i w:val="0"/>
          <w:iCs w:val="0"/>
          <w:caps w:val="0"/>
          <w:color w:val="000000"/>
          <w:spacing w:val="0"/>
          <w:sz w:val="24"/>
          <w:szCs w:val="24"/>
          <w:highlight w:val="none"/>
          <w:lang w:val="en-US" w:eastAsia="zh-CN"/>
        </w:rPr>
        <w:t>23：59</w:t>
      </w:r>
      <w:r>
        <w:rPr>
          <w:rFonts w:hint="eastAsia" w:ascii="宋体" w:hAnsi="宋体" w:eastAsia="宋体" w:cs="宋体"/>
          <w:i w:val="0"/>
          <w:iCs w:val="0"/>
          <w:caps w:val="0"/>
          <w:color w:val="000000"/>
          <w:spacing w:val="0"/>
          <w:sz w:val="24"/>
          <w:szCs w:val="24"/>
          <w:highlight w:val="none"/>
        </w:rPr>
        <w:t>（北京时间，法定节假日除外）</w:t>
      </w:r>
    </w:p>
    <w:p w14:paraId="6FAC138C">
      <w:pPr>
        <w:pStyle w:val="71"/>
        <w:shd w:val="clear"/>
        <w:spacing w:before="50" w:beforeAutospacing="0" w:after="50" w:afterAutospacing="0" w:line="360" w:lineRule="auto"/>
        <w:ind w:firstLine="420"/>
        <w:rPr>
          <w:rFonts w:hint="eastAsia" w:asciiTheme="minorEastAsia" w:hAnsiTheme="minorEastAsia" w:eastAsiaTheme="minorEastAsia" w:cstheme="minorEastAsia"/>
          <w:kern w:val="0"/>
          <w:sz w:val="24"/>
          <w:szCs w:val="24"/>
          <w:highlight w:val="none"/>
        </w:rPr>
      </w:pPr>
      <w:r>
        <w:rPr>
          <w:rFonts w:hint="eastAsia" w:ascii="宋体" w:hAnsi="宋体" w:eastAsia="宋体" w:cs="宋体"/>
          <w:color w:val="000000"/>
          <w:highlight w:val="none"/>
          <w:lang w:val="en-US" w:eastAsia="zh-CN"/>
        </w:rPr>
        <w:t>地点：</w:t>
      </w:r>
      <w:r>
        <w:rPr>
          <w:rFonts w:hint="eastAsia" w:asciiTheme="minorEastAsia" w:hAnsiTheme="minorEastAsia" w:eastAsiaTheme="minorEastAsia" w:cstheme="minorEastAsia"/>
          <w:kern w:val="0"/>
          <w:sz w:val="24"/>
          <w:szCs w:val="24"/>
          <w:highlight w:val="none"/>
        </w:rPr>
        <w:t>供应商登录政采云平台https://www.zcygov.cn/在线申请获取采购文件（进入“项目采购”应用，在获取采购文件菜单中选择项目，申请获取采购文件）</w:t>
      </w:r>
    </w:p>
    <w:p w14:paraId="43F96E77">
      <w:pPr>
        <w:pStyle w:val="71"/>
        <w:shd w:val="clear"/>
        <w:spacing w:before="50" w:beforeAutospacing="0" w:after="50" w:afterAutospacing="0" w:line="360" w:lineRule="auto"/>
        <w:ind w:firstLine="420"/>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方式：</w:t>
      </w:r>
      <w:r>
        <w:rPr>
          <w:rFonts w:hint="eastAsia" w:asciiTheme="minorEastAsia" w:hAnsiTheme="minorEastAsia" w:eastAsiaTheme="minorEastAsia" w:cstheme="minorEastAsia"/>
          <w:kern w:val="0"/>
          <w:sz w:val="24"/>
          <w:szCs w:val="24"/>
          <w:highlight w:val="none"/>
        </w:rPr>
        <w:t>政采云平台（https://www.zcygov.cn/）线上获取</w:t>
      </w:r>
    </w:p>
    <w:p w14:paraId="189BFFB5">
      <w:pPr>
        <w:pStyle w:val="71"/>
        <w:shd w:val="clear"/>
        <w:spacing w:before="50" w:beforeAutospacing="0" w:after="50" w:afterAutospacing="0" w:line="360" w:lineRule="auto"/>
        <w:ind w:firstLine="42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售价（元）：</w:t>
      </w:r>
      <w:r>
        <w:rPr>
          <w:rFonts w:hint="eastAsia" w:cs="宋体"/>
          <w:color w:val="000000"/>
          <w:highlight w:val="none"/>
          <w:lang w:val="en-US" w:eastAsia="zh-CN"/>
        </w:rPr>
        <w:t>0</w:t>
      </w:r>
      <w:r>
        <w:rPr>
          <w:rFonts w:hint="eastAsia" w:ascii="宋体" w:hAnsi="宋体" w:eastAsia="宋体" w:cs="宋体"/>
          <w:color w:val="000000"/>
          <w:highlight w:val="none"/>
          <w:lang w:val="en-US" w:eastAsia="zh-CN"/>
        </w:rPr>
        <w:t>元</w:t>
      </w:r>
    </w:p>
    <w:p w14:paraId="1C5908D0">
      <w:pPr>
        <w:pStyle w:val="71"/>
        <w:keepNext w:val="0"/>
        <w:keepLines w:val="0"/>
        <w:pageBreakBefore w:val="0"/>
        <w:widowControl/>
        <w:suppressLineNumbers w:val="0"/>
        <w:shd w:val="clear"/>
        <w:kinsoku/>
        <w:wordWrap/>
        <w:overflowPunct/>
        <w:topLinePunct w:val="0"/>
        <w:autoSpaceDE/>
        <w:autoSpaceDN/>
        <w:bidi w:val="0"/>
        <w:adjustRightInd w:val="0"/>
        <w:snapToGrid/>
        <w:spacing w:before="132" w:beforeAutospacing="0" w:after="132" w:afterAutospacing="0" w:line="360" w:lineRule="auto"/>
        <w:ind w:left="0" w:right="0" w:firstLine="0"/>
        <w:jc w:val="both"/>
        <w:textAlignment w:val="baseline"/>
        <w:rPr>
          <w:rFonts w:hint="eastAsia" w:ascii="宋体" w:hAnsi="宋体" w:eastAsia="宋体" w:cs="宋体"/>
          <w:i w:val="0"/>
          <w:iCs w:val="0"/>
          <w:caps w:val="0"/>
          <w:color w:val="000000"/>
          <w:spacing w:val="0"/>
          <w:sz w:val="24"/>
          <w:szCs w:val="24"/>
          <w:highlight w:val="none"/>
        </w:rPr>
      </w:pPr>
      <w:r>
        <w:rPr>
          <w:rStyle w:val="79"/>
          <w:rFonts w:hint="eastAsia" w:ascii="宋体" w:hAnsi="宋体" w:eastAsia="宋体" w:cs="宋体"/>
          <w:i w:val="0"/>
          <w:iCs w:val="0"/>
          <w:caps w:val="0"/>
          <w:color w:val="000000"/>
          <w:spacing w:val="0"/>
          <w:sz w:val="24"/>
          <w:szCs w:val="24"/>
          <w:highlight w:val="none"/>
        </w:rPr>
        <w:t>四、提交投标文件截止时间、开标时间和地点</w:t>
      </w:r>
    </w:p>
    <w:p w14:paraId="175D7C45">
      <w:pPr>
        <w:pStyle w:val="71"/>
        <w:keepNext w:val="0"/>
        <w:keepLines w:val="0"/>
        <w:pageBreakBefore w:val="0"/>
        <w:widowControl/>
        <w:suppressLineNumbers w:val="0"/>
        <w:shd w:val="clear"/>
        <w:kinsoku/>
        <w:wordWrap/>
        <w:overflowPunct/>
        <w:topLinePunct w:val="0"/>
        <w:autoSpaceDE/>
        <w:autoSpaceDN/>
        <w:bidi w:val="0"/>
        <w:adjustRightInd w:val="0"/>
        <w:snapToGrid/>
        <w:spacing w:before="36" w:beforeAutospacing="0" w:after="36" w:afterAutospacing="0" w:line="360" w:lineRule="auto"/>
        <w:ind w:left="0" w:right="0" w:firstLine="336"/>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提交投标文件截止时间：</w:t>
      </w:r>
      <w:r>
        <w:rPr>
          <w:rFonts w:hint="eastAsia" w:cs="宋体"/>
          <w:i w:val="0"/>
          <w:iCs w:val="0"/>
          <w:caps w:val="0"/>
          <w:color w:val="000000"/>
          <w:spacing w:val="0"/>
          <w:sz w:val="24"/>
          <w:szCs w:val="24"/>
          <w:highlight w:val="none"/>
          <w:lang w:eastAsia="zh-CN"/>
        </w:rPr>
        <w:t>202</w:t>
      </w:r>
      <w:r>
        <w:rPr>
          <w:rFonts w:hint="eastAsia" w:cs="宋体"/>
          <w:i w:val="0"/>
          <w:iCs w:val="0"/>
          <w:caps w:val="0"/>
          <w:color w:val="000000"/>
          <w:spacing w:val="0"/>
          <w:sz w:val="24"/>
          <w:szCs w:val="24"/>
          <w:highlight w:val="none"/>
          <w:lang w:val="en-US" w:eastAsia="zh-CN"/>
        </w:rPr>
        <w:t>5</w:t>
      </w:r>
      <w:r>
        <w:rPr>
          <w:rFonts w:hint="eastAsia" w:cs="宋体"/>
          <w:i w:val="0"/>
          <w:iCs w:val="0"/>
          <w:caps w:val="0"/>
          <w:color w:val="000000"/>
          <w:spacing w:val="0"/>
          <w:sz w:val="24"/>
          <w:szCs w:val="24"/>
          <w:highlight w:val="none"/>
          <w:lang w:eastAsia="zh-CN"/>
        </w:rPr>
        <w:t>年</w:t>
      </w:r>
      <w:r>
        <w:rPr>
          <w:rFonts w:hint="eastAsia" w:cs="宋体"/>
          <w:i w:val="0"/>
          <w:iCs w:val="0"/>
          <w:caps w:val="0"/>
          <w:color w:val="000000"/>
          <w:spacing w:val="0"/>
          <w:sz w:val="24"/>
          <w:szCs w:val="24"/>
          <w:highlight w:val="none"/>
          <w:lang w:val="en-US" w:eastAsia="zh-CN"/>
        </w:rPr>
        <w:t>01月22日</w:t>
      </w:r>
      <w:r>
        <w:rPr>
          <w:rFonts w:hint="eastAsia" w:ascii="宋体" w:hAnsi="宋体" w:eastAsia="宋体" w:cs="宋体"/>
          <w:i w:val="0"/>
          <w:iCs w:val="0"/>
          <w:caps w:val="0"/>
          <w:color w:val="000000"/>
          <w:spacing w:val="0"/>
          <w:sz w:val="24"/>
          <w:szCs w:val="24"/>
          <w:highlight w:val="none"/>
        </w:rPr>
        <w:t>11:00（北京时间）</w:t>
      </w:r>
    </w:p>
    <w:p w14:paraId="44B6C254">
      <w:pPr>
        <w:pStyle w:val="71"/>
        <w:keepNext w:val="0"/>
        <w:keepLines w:val="0"/>
        <w:pageBreakBefore w:val="0"/>
        <w:widowControl/>
        <w:suppressLineNumbers w:val="0"/>
        <w:shd w:val="clear"/>
        <w:kinsoku/>
        <w:wordWrap/>
        <w:overflowPunct/>
        <w:topLinePunct w:val="0"/>
        <w:autoSpaceDE/>
        <w:autoSpaceDN/>
        <w:bidi w:val="0"/>
        <w:adjustRightInd w:val="0"/>
        <w:snapToGrid/>
        <w:spacing w:before="36" w:beforeAutospacing="0" w:after="36" w:afterAutospacing="0" w:line="360" w:lineRule="auto"/>
        <w:ind w:left="0" w:right="0" w:firstLine="336"/>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投标地点：投标人应于202</w:t>
      </w:r>
      <w:r>
        <w:rPr>
          <w:rFonts w:hint="eastAsia" w:cs="宋体"/>
          <w:i w:val="0"/>
          <w:iCs w:val="0"/>
          <w:caps w:val="0"/>
          <w:color w:val="000000"/>
          <w:spacing w:val="0"/>
          <w:sz w:val="24"/>
          <w:szCs w:val="24"/>
          <w:highlight w:val="none"/>
          <w:lang w:val="en-US" w:eastAsia="zh-CN"/>
        </w:rPr>
        <w:t>5</w:t>
      </w:r>
      <w:r>
        <w:rPr>
          <w:rFonts w:hint="eastAsia" w:ascii="宋体" w:hAnsi="宋体" w:eastAsia="宋体" w:cs="宋体"/>
          <w:i w:val="0"/>
          <w:iCs w:val="0"/>
          <w:caps w:val="0"/>
          <w:color w:val="000000"/>
          <w:spacing w:val="0"/>
          <w:sz w:val="24"/>
          <w:szCs w:val="24"/>
          <w:highlight w:val="none"/>
        </w:rPr>
        <w:t>年</w:t>
      </w:r>
      <w:r>
        <w:rPr>
          <w:rFonts w:hint="eastAsia" w:cs="宋体"/>
          <w:i w:val="0"/>
          <w:iCs w:val="0"/>
          <w:caps w:val="0"/>
          <w:color w:val="000000"/>
          <w:spacing w:val="0"/>
          <w:sz w:val="24"/>
          <w:szCs w:val="24"/>
          <w:highlight w:val="none"/>
          <w:lang w:val="en-US" w:eastAsia="zh-CN"/>
        </w:rPr>
        <w:t>01月22日</w:t>
      </w:r>
      <w:r>
        <w:rPr>
          <w:rFonts w:hint="eastAsia" w:ascii="宋体" w:hAnsi="宋体" w:eastAsia="宋体" w:cs="宋体"/>
          <w:i w:val="0"/>
          <w:iCs w:val="0"/>
          <w:caps w:val="0"/>
          <w:color w:val="000000"/>
          <w:spacing w:val="0"/>
          <w:sz w:val="24"/>
          <w:szCs w:val="24"/>
          <w:highlight w:val="none"/>
        </w:rPr>
        <w:t xml:space="preserve"> 11：00 分</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北京时间）之前将电子投标文件上传到“政采云”平台。应按照本项目招标文件和政采云平台的要求编制、加密传输投标文件。</w:t>
      </w:r>
    </w:p>
    <w:p w14:paraId="1B670D45">
      <w:pPr>
        <w:pStyle w:val="71"/>
        <w:keepNext w:val="0"/>
        <w:keepLines w:val="0"/>
        <w:pageBreakBefore w:val="0"/>
        <w:widowControl/>
        <w:suppressLineNumbers w:val="0"/>
        <w:shd w:val="clear"/>
        <w:kinsoku/>
        <w:wordWrap/>
        <w:overflowPunct/>
        <w:topLinePunct w:val="0"/>
        <w:autoSpaceDE/>
        <w:autoSpaceDN/>
        <w:bidi w:val="0"/>
        <w:adjustRightInd w:val="0"/>
        <w:snapToGrid/>
        <w:spacing w:before="36" w:beforeAutospacing="0" w:after="36" w:afterAutospacing="0" w:line="360" w:lineRule="auto"/>
        <w:ind w:left="0" w:right="0" w:firstLine="336"/>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开标时间：</w:t>
      </w:r>
      <w:r>
        <w:rPr>
          <w:rFonts w:hint="eastAsia" w:cs="宋体"/>
          <w:i w:val="0"/>
          <w:iCs w:val="0"/>
          <w:caps w:val="0"/>
          <w:color w:val="000000"/>
          <w:spacing w:val="0"/>
          <w:sz w:val="24"/>
          <w:szCs w:val="24"/>
          <w:highlight w:val="none"/>
          <w:lang w:eastAsia="zh-CN"/>
        </w:rPr>
        <w:t>202</w:t>
      </w:r>
      <w:r>
        <w:rPr>
          <w:rFonts w:hint="eastAsia" w:cs="宋体"/>
          <w:i w:val="0"/>
          <w:iCs w:val="0"/>
          <w:caps w:val="0"/>
          <w:color w:val="000000"/>
          <w:spacing w:val="0"/>
          <w:sz w:val="24"/>
          <w:szCs w:val="24"/>
          <w:highlight w:val="none"/>
          <w:lang w:val="en-US" w:eastAsia="zh-CN"/>
        </w:rPr>
        <w:t>5</w:t>
      </w:r>
      <w:r>
        <w:rPr>
          <w:rFonts w:hint="eastAsia" w:cs="宋体"/>
          <w:i w:val="0"/>
          <w:iCs w:val="0"/>
          <w:caps w:val="0"/>
          <w:color w:val="000000"/>
          <w:spacing w:val="0"/>
          <w:sz w:val="24"/>
          <w:szCs w:val="24"/>
          <w:highlight w:val="none"/>
          <w:lang w:eastAsia="zh-CN"/>
        </w:rPr>
        <w:t>年</w:t>
      </w:r>
      <w:r>
        <w:rPr>
          <w:rFonts w:hint="eastAsia" w:cs="宋体"/>
          <w:i w:val="0"/>
          <w:iCs w:val="0"/>
          <w:caps w:val="0"/>
          <w:color w:val="000000"/>
          <w:spacing w:val="0"/>
          <w:sz w:val="24"/>
          <w:szCs w:val="24"/>
          <w:highlight w:val="none"/>
          <w:lang w:val="en-US" w:eastAsia="zh-CN"/>
        </w:rPr>
        <w:t>01月22日</w:t>
      </w:r>
      <w:r>
        <w:rPr>
          <w:rFonts w:hint="eastAsia" w:ascii="宋体" w:hAnsi="宋体" w:eastAsia="宋体" w:cs="宋体"/>
          <w:i w:val="0"/>
          <w:iCs w:val="0"/>
          <w:caps w:val="0"/>
          <w:color w:val="000000"/>
          <w:spacing w:val="0"/>
          <w:sz w:val="24"/>
          <w:szCs w:val="24"/>
          <w:highlight w:val="none"/>
        </w:rPr>
        <w:t>11:00（北京时间）</w:t>
      </w:r>
    </w:p>
    <w:p w14:paraId="262159A7">
      <w:pPr>
        <w:keepNext w:val="0"/>
        <w:keepLines w:val="0"/>
        <w:pageBreakBefore w:val="0"/>
        <w:widowControl w:val="0"/>
        <w:kinsoku/>
        <w:wordWrap/>
        <w:overflowPunct/>
        <w:topLinePunct/>
        <w:autoSpaceDE/>
        <w:autoSpaceDN/>
        <w:bidi w:val="0"/>
        <w:adjustRightInd w:val="0"/>
        <w:snapToGrid w:val="0"/>
        <w:spacing w:line="360" w:lineRule="auto"/>
        <w:ind w:right="0"/>
        <w:textAlignment w:val="baseline"/>
        <w:rPr>
          <w:rFonts w:hint="eastAsia" w:ascii="宋体" w:hAnsi="宋体" w:eastAsia="宋体" w:cs="宋体"/>
          <w:i w:val="0"/>
          <w:iCs w:val="0"/>
          <w:caps w:val="0"/>
          <w:color w:val="000000"/>
          <w:spacing w:val="0"/>
          <w:kern w:val="0"/>
          <w:sz w:val="24"/>
          <w:szCs w:val="24"/>
          <w:highlight w:val="none"/>
          <w:lang w:val="en-US" w:eastAsia="zh-CN" w:bidi="ar-SA"/>
        </w:rPr>
      </w:pPr>
      <w:r>
        <w:rPr>
          <w:rFonts w:hint="eastAsia" w:ascii="宋体" w:hAnsi="宋体" w:eastAsia="宋体" w:cs="宋体"/>
          <w:i w:val="0"/>
          <w:iCs w:val="0"/>
          <w:caps w:val="0"/>
          <w:color w:val="000000"/>
          <w:spacing w:val="0"/>
          <w:kern w:val="0"/>
          <w:sz w:val="24"/>
          <w:szCs w:val="24"/>
          <w:highlight w:val="none"/>
          <w:lang w:val="en-US" w:eastAsia="zh-CN" w:bidi="ar-SA"/>
        </w:rPr>
        <w:t>开标地点：投标人登录政采云平台https://www.zcygov.cn/进入项目采购－开标评标－右边选择对应项目点击“进入项目”进入开标大厅。 </w:t>
      </w:r>
    </w:p>
    <w:p w14:paraId="59DBE5F9">
      <w:pPr>
        <w:pStyle w:val="71"/>
        <w:keepNext w:val="0"/>
        <w:keepLines w:val="0"/>
        <w:pageBreakBefore w:val="0"/>
        <w:widowControl/>
        <w:suppressLineNumbers w:val="0"/>
        <w:kinsoku/>
        <w:wordWrap/>
        <w:overflowPunct/>
        <w:topLinePunct w:val="0"/>
        <w:autoSpaceDE/>
        <w:autoSpaceDN/>
        <w:bidi w:val="0"/>
        <w:adjustRightInd w:val="0"/>
        <w:snapToGrid/>
        <w:spacing w:before="132" w:beforeAutospacing="0" w:after="132" w:afterAutospacing="0" w:line="360" w:lineRule="auto"/>
        <w:ind w:left="0" w:right="0" w:firstLine="0"/>
        <w:jc w:val="both"/>
        <w:textAlignment w:val="baseline"/>
        <w:rPr>
          <w:rFonts w:hint="eastAsia" w:ascii="宋体" w:hAnsi="宋体" w:eastAsia="宋体" w:cs="宋体"/>
          <w:i w:val="0"/>
          <w:iCs w:val="0"/>
          <w:caps w:val="0"/>
          <w:color w:val="000000"/>
          <w:spacing w:val="0"/>
          <w:sz w:val="24"/>
          <w:szCs w:val="24"/>
          <w:highlight w:val="none"/>
        </w:rPr>
      </w:pPr>
      <w:r>
        <w:rPr>
          <w:rStyle w:val="79"/>
          <w:rFonts w:hint="eastAsia" w:ascii="宋体" w:hAnsi="宋体" w:eastAsia="宋体" w:cs="宋体"/>
          <w:i w:val="0"/>
          <w:iCs w:val="0"/>
          <w:caps w:val="0"/>
          <w:color w:val="000000"/>
          <w:spacing w:val="0"/>
          <w:sz w:val="24"/>
          <w:szCs w:val="24"/>
          <w:highlight w:val="none"/>
        </w:rPr>
        <w:t>五、公告期限</w:t>
      </w:r>
    </w:p>
    <w:p w14:paraId="58855566">
      <w:pPr>
        <w:pStyle w:val="71"/>
        <w:keepNext w:val="0"/>
        <w:keepLines w:val="0"/>
        <w:pageBreakBefore w:val="0"/>
        <w:widowControl/>
        <w:suppressLineNumbers w:val="0"/>
        <w:kinsoku/>
        <w:wordWrap/>
        <w:overflowPunct/>
        <w:topLinePunct w:val="0"/>
        <w:autoSpaceDE/>
        <w:autoSpaceDN/>
        <w:bidi w:val="0"/>
        <w:adjustRightInd w:val="0"/>
        <w:snapToGrid/>
        <w:spacing w:before="36" w:beforeAutospacing="0" w:after="36" w:afterAutospacing="0" w:line="360" w:lineRule="auto"/>
        <w:ind w:left="0" w:right="0" w:firstLine="336"/>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自本公告发布之日起5个工作日。</w:t>
      </w:r>
    </w:p>
    <w:p w14:paraId="6418CE15">
      <w:pPr>
        <w:pStyle w:val="71"/>
        <w:keepNext w:val="0"/>
        <w:keepLines w:val="0"/>
        <w:pageBreakBefore w:val="0"/>
        <w:widowControl/>
        <w:suppressLineNumbers w:val="0"/>
        <w:kinsoku/>
        <w:wordWrap/>
        <w:overflowPunct/>
        <w:topLinePunct w:val="0"/>
        <w:autoSpaceDE/>
        <w:autoSpaceDN/>
        <w:bidi w:val="0"/>
        <w:adjustRightInd w:val="0"/>
        <w:snapToGrid/>
        <w:spacing w:before="132" w:beforeAutospacing="0" w:after="132" w:afterAutospacing="0" w:line="360" w:lineRule="auto"/>
        <w:ind w:left="0" w:right="0" w:firstLine="0"/>
        <w:jc w:val="both"/>
        <w:textAlignment w:val="baseline"/>
        <w:rPr>
          <w:rFonts w:hint="eastAsia" w:ascii="宋体" w:hAnsi="宋体" w:eastAsia="宋体" w:cs="宋体"/>
          <w:i w:val="0"/>
          <w:iCs w:val="0"/>
          <w:caps w:val="0"/>
          <w:color w:val="000000"/>
          <w:spacing w:val="0"/>
          <w:sz w:val="24"/>
          <w:szCs w:val="24"/>
          <w:highlight w:val="none"/>
        </w:rPr>
      </w:pPr>
      <w:r>
        <w:rPr>
          <w:rStyle w:val="79"/>
          <w:rFonts w:hint="eastAsia" w:ascii="宋体" w:hAnsi="宋体" w:eastAsia="宋体" w:cs="宋体"/>
          <w:i w:val="0"/>
          <w:iCs w:val="0"/>
          <w:caps w:val="0"/>
          <w:color w:val="000000"/>
          <w:spacing w:val="0"/>
          <w:sz w:val="24"/>
          <w:szCs w:val="24"/>
          <w:highlight w:val="none"/>
        </w:rPr>
        <w:t>六、其他补充事宜</w:t>
      </w:r>
    </w:p>
    <w:p w14:paraId="55B80A62">
      <w:pPr>
        <w:pStyle w:val="71"/>
        <w:keepNext w:val="0"/>
        <w:keepLines w:val="0"/>
        <w:pageBreakBefore w:val="0"/>
        <w:widowControl/>
        <w:suppressLineNumbers w:val="0"/>
        <w:kinsoku/>
        <w:wordWrap/>
        <w:overflowPunct/>
        <w:topLinePunct w:val="0"/>
        <w:autoSpaceDE/>
        <w:autoSpaceDN/>
        <w:bidi w:val="0"/>
        <w:adjustRightInd w:val="0"/>
        <w:snapToGrid/>
        <w:spacing w:before="24" w:beforeAutospacing="0" w:after="24" w:afterAutospacing="0" w:line="360" w:lineRule="auto"/>
        <w:ind w:left="0" w:right="0" w:firstLine="228"/>
        <w:textAlignment w:val="baseline"/>
        <w:rPr>
          <w:rFonts w:hint="eastAsia" w:ascii="宋体" w:hAnsi="宋体" w:eastAsia="宋体" w:cs="宋体"/>
          <w:i w:val="0"/>
          <w:iCs w:val="0"/>
          <w:caps w:val="0"/>
          <w:color w:val="000000"/>
          <w:spacing w:val="0"/>
          <w:sz w:val="24"/>
          <w:szCs w:val="24"/>
          <w:highlight w:val="none"/>
        </w:rPr>
      </w:pPr>
      <w:r>
        <w:rPr>
          <w:rFonts w:hint="eastAsia" w:cs="宋体"/>
          <w:i w:val="0"/>
          <w:iCs w:val="0"/>
          <w:caps w:val="0"/>
          <w:color w:val="000000"/>
          <w:spacing w:val="0"/>
          <w:sz w:val="24"/>
          <w:szCs w:val="24"/>
          <w:highlight w:val="none"/>
          <w:lang w:val="en-US" w:eastAsia="zh-CN"/>
        </w:rPr>
        <w:t>1</w:t>
      </w:r>
      <w:r>
        <w:rPr>
          <w:rFonts w:hint="eastAsia" w:ascii="宋体" w:hAnsi="宋体" w:eastAsia="宋体" w:cs="宋体"/>
          <w:i w:val="0"/>
          <w:iCs w:val="0"/>
          <w:caps w:val="0"/>
          <w:color w:val="000000"/>
          <w:spacing w:val="0"/>
          <w:sz w:val="24"/>
          <w:szCs w:val="24"/>
          <w:highlight w:val="none"/>
        </w:rPr>
        <w:t>、本项目实行网上投标，采用电子投标文件。若供应商参与投标，自行承担投标一切费用；</w:t>
      </w:r>
    </w:p>
    <w:p w14:paraId="499E6D6D">
      <w:pPr>
        <w:pStyle w:val="71"/>
        <w:keepNext w:val="0"/>
        <w:keepLines w:val="0"/>
        <w:pageBreakBefore w:val="0"/>
        <w:widowControl/>
        <w:suppressLineNumbers w:val="0"/>
        <w:kinsoku/>
        <w:wordWrap/>
        <w:overflowPunct/>
        <w:topLinePunct w:val="0"/>
        <w:autoSpaceDE/>
        <w:autoSpaceDN/>
        <w:bidi w:val="0"/>
        <w:adjustRightInd w:val="0"/>
        <w:snapToGrid/>
        <w:spacing w:before="24" w:beforeAutospacing="0" w:after="24" w:afterAutospacing="0" w:line="360" w:lineRule="auto"/>
        <w:ind w:left="0" w:right="0" w:firstLine="228"/>
        <w:textAlignment w:val="baseline"/>
        <w:rPr>
          <w:rFonts w:hint="eastAsia" w:ascii="宋体" w:hAnsi="宋体" w:eastAsia="宋体" w:cs="宋体"/>
          <w:i w:val="0"/>
          <w:iCs w:val="0"/>
          <w:caps w:val="0"/>
          <w:color w:val="000000"/>
          <w:spacing w:val="0"/>
          <w:sz w:val="24"/>
          <w:szCs w:val="24"/>
          <w:highlight w:val="none"/>
        </w:rPr>
      </w:pPr>
      <w:r>
        <w:rPr>
          <w:rFonts w:hint="eastAsia" w:cs="宋体"/>
          <w:i w:val="0"/>
          <w:iCs w:val="0"/>
          <w:caps w:val="0"/>
          <w:color w:val="000000"/>
          <w:spacing w:val="0"/>
          <w:sz w:val="24"/>
          <w:szCs w:val="24"/>
          <w:highlight w:val="none"/>
          <w:lang w:val="en-US" w:eastAsia="zh-CN"/>
        </w:rPr>
        <w:t>2</w:t>
      </w:r>
      <w:r>
        <w:rPr>
          <w:rFonts w:hint="eastAsia" w:ascii="宋体" w:hAnsi="宋体" w:eastAsia="宋体" w:cs="宋体"/>
          <w:i w:val="0"/>
          <w:iCs w:val="0"/>
          <w:caps w:val="0"/>
          <w:color w:val="000000"/>
          <w:spacing w:val="0"/>
          <w:sz w:val="24"/>
          <w:szCs w:val="24"/>
          <w:highlight w:val="none"/>
        </w:rPr>
        <w:t>、各供应商应在开标前应确保成为新疆维吾尔自治区政府采购网正式注册 入库供应商，并完成CA 数字证书申领。因未注册入库、未办理 CA 数字证书等原 因造成无法投标或投标失败等后果由供应商自行承担；</w:t>
      </w:r>
    </w:p>
    <w:p w14:paraId="3BEE7AAD">
      <w:pPr>
        <w:pStyle w:val="71"/>
        <w:keepNext w:val="0"/>
        <w:keepLines w:val="0"/>
        <w:pageBreakBefore w:val="0"/>
        <w:widowControl/>
        <w:suppressLineNumbers w:val="0"/>
        <w:kinsoku/>
        <w:wordWrap/>
        <w:overflowPunct/>
        <w:topLinePunct w:val="0"/>
        <w:autoSpaceDE/>
        <w:autoSpaceDN/>
        <w:bidi w:val="0"/>
        <w:adjustRightInd w:val="0"/>
        <w:snapToGrid/>
        <w:spacing w:before="24" w:beforeAutospacing="0" w:after="24" w:afterAutospacing="0" w:line="360" w:lineRule="auto"/>
        <w:ind w:left="0" w:right="0" w:firstLine="228"/>
        <w:textAlignment w:val="baseline"/>
        <w:rPr>
          <w:rFonts w:hint="eastAsia" w:ascii="宋体" w:hAnsi="宋体" w:eastAsia="宋体" w:cs="宋体"/>
          <w:i w:val="0"/>
          <w:iCs w:val="0"/>
          <w:caps w:val="0"/>
          <w:color w:val="000000"/>
          <w:spacing w:val="0"/>
          <w:sz w:val="24"/>
          <w:szCs w:val="24"/>
          <w:highlight w:val="none"/>
        </w:rPr>
      </w:pPr>
      <w:r>
        <w:rPr>
          <w:rFonts w:hint="eastAsia" w:cs="宋体"/>
          <w:i w:val="0"/>
          <w:iCs w:val="0"/>
          <w:caps w:val="0"/>
          <w:color w:val="000000"/>
          <w:spacing w:val="0"/>
          <w:sz w:val="24"/>
          <w:szCs w:val="24"/>
          <w:highlight w:val="none"/>
          <w:lang w:val="en-US" w:eastAsia="zh-CN"/>
        </w:rPr>
        <w:t>3</w:t>
      </w:r>
      <w:r>
        <w:rPr>
          <w:rFonts w:hint="eastAsia" w:ascii="宋体" w:hAnsi="宋体" w:eastAsia="宋体" w:cs="宋体"/>
          <w:i w:val="0"/>
          <w:iCs w:val="0"/>
          <w:caps w:val="0"/>
          <w:color w:val="000000"/>
          <w:spacing w:val="0"/>
          <w:sz w:val="24"/>
          <w:szCs w:val="24"/>
          <w:highlight w:val="none"/>
        </w:rPr>
        <w:t>、本项目为电子招投标，供应商需要使用CA 加密设备，有意向参与新疆区域电子开评标的供应商</w:t>
      </w:r>
      <w:r>
        <w:rPr>
          <w:rFonts w:hint="eastAsia"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请访问新疆数字证书认证中心官方网站</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https://www.xjca.com.cn/) 或下载新疆政务通 APP 自行进行申领。如需咨询，请联系新疆 CA 服务热线 0991-2819290；</w:t>
      </w:r>
    </w:p>
    <w:p w14:paraId="67AAC9EC">
      <w:pPr>
        <w:pStyle w:val="71"/>
        <w:keepNext w:val="0"/>
        <w:keepLines w:val="0"/>
        <w:pageBreakBefore w:val="0"/>
        <w:widowControl/>
        <w:suppressLineNumbers w:val="0"/>
        <w:kinsoku/>
        <w:wordWrap/>
        <w:overflowPunct/>
        <w:topLinePunct w:val="0"/>
        <w:autoSpaceDE/>
        <w:autoSpaceDN/>
        <w:bidi w:val="0"/>
        <w:adjustRightInd w:val="0"/>
        <w:snapToGrid/>
        <w:spacing w:before="24" w:beforeAutospacing="0" w:after="24" w:afterAutospacing="0" w:line="360" w:lineRule="auto"/>
        <w:ind w:left="0" w:right="0" w:firstLine="228"/>
        <w:textAlignment w:val="baseline"/>
        <w:rPr>
          <w:rFonts w:hint="eastAsia" w:ascii="宋体" w:hAnsi="宋体" w:eastAsia="宋体" w:cs="宋体"/>
          <w:i w:val="0"/>
          <w:iCs w:val="0"/>
          <w:caps w:val="0"/>
          <w:color w:val="000000"/>
          <w:spacing w:val="0"/>
          <w:sz w:val="24"/>
          <w:szCs w:val="24"/>
          <w:highlight w:val="none"/>
        </w:rPr>
      </w:pPr>
      <w:r>
        <w:rPr>
          <w:rFonts w:hint="eastAsia" w:cs="宋体"/>
          <w:i w:val="0"/>
          <w:iCs w:val="0"/>
          <w:caps w:val="0"/>
          <w:color w:val="000000"/>
          <w:spacing w:val="0"/>
          <w:sz w:val="24"/>
          <w:szCs w:val="24"/>
          <w:highlight w:val="none"/>
          <w:lang w:val="en-US" w:eastAsia="zh-CN"/>
        </w:rPr>
        <w:t>4</w:t>
      </w:r>
      <w:r>
        <w:rPr>
          <w:rFonts w:hint="eastAsia" w:ascii="宋体" w:hAnsi="宋体" w:eastAsia="宋体" w:cs="宋体"/>
          <w:i w:val="0"/>
          <w:iCs w:val="0"/>
          <w:caps w:val="0"/>
          <w:color w:val="000000"/>
          <w:spacing w:val="0"/>
          <w:sz w:val="24"/>
          <w:szCs w:val="24"/>
          <w:highlight w:val="none"/>
        </w:rPr>
        <w:t>、供应商将政采云电子交易客户端下载、安装完成后，可通过账号密码或 CA 登录客户端进行投标文件制作。在使用政采云投标客户端时，建议使用 WIN7及以上操作系统。客户端请至新疆政府采购网</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http://www.ccgp-xinjiang.gov.cn/) 下载专区查看，如有问题可拨打政采云客户服务热线 95763 进行咨询；</w:t>
      </w:r>
    </w:p>
    <w:p w14:paraId="75E4D42C">
      <w:pPr>
        <w:pStyle w:val="71"/>
        <w:keepNext w:val="0"/>
        <w:keepLines w:val="0"/>
        <w:pageBreakBefore w:val="0"/>
        <w:widowControl/>
        <w:suppressLineNumbers w:val="0"/>
        <w:kinsoku/>
        <w:wordWrap/>
        <w:overflowPunct/>
        <w:topLinePunct w:val="0"/>
        <w:autoSpaceDE/>
        <w:autoSpaceDN/>
        <w:bidi w:val="0"/>
        <w:adjustRightInd w:val="0"/>
        <w:snapToGrid/>
        <w:spacing w:before="24" w:beforeAutospacing="0" w:after="24" w:afterAutospacing="0" w:line="360" w:lineRule="auto"/>
        <w:ind w:left="0" w:right="0" w:firstLine="228"/>
        <w:textAlignment w:val="baseline"/>
        <w:rPr>
          <w:rFonts w:hint="eastAsia" w:ascii="宋体" w:hAnsi="宋体" w:eastAsia="宋体" w:cs="宋体"/>
          <w:i w:val="0"/>
          <w:iCs w:val="0"/>
          <w:caps w:val="0"/>
          <w:color w:val="000000"/>
          <w:spacing w:val="0"/>
          <w:sz w:val="24"/>
          <w:szCs w:val="24"/>
          <w:highlight w:val="none"/>
          <w:lang w:eastAsia="zh-CN"/>
        </w:rPr>
      </w:pPr>
      <w:r>
        <w:rPr>
          <w:rFonts w:hint="eastAsia" w:cs="宋体"/>
          <w:i w:val="0"/>
          <w:iCs w:val="0"/>
          <w:caps w:val="0"/>
          <w:color w:val="000000"/>
          <w:spacing w:val="0"/>
          <w:sz w:val="24"/>
          <w:szCs w:val="24"/>
          <w:highlight w:val="none"/>
          <w:lang w:val="en-US" w:eastAsia="zh-CN"/>
        </w:rPr>
        <w:t>5</w:t>
      </w:r>
      <w:r>
        <w:rPr>
          <w:rFonts w:hint="eastAsia" w:ascii="宋体" w:hAnsi="宋体" w:eastAsia="宋体" w:cs="宋体"/>
          <w:i w:val="0"/>
          <w:iCs w:val="0"/>
          <w:caps w:val="0"/>
          <w:color w:val="000000"/>
          <w:spacing w:val="0"/>
          <w:sz w:val="24"/>
          <w:szCs w:val="24"/>
          <w:highlight w:val="none"/>
        </w:rPr>
        <w:t>、电子保函使用方法：登录</w:t>
      </w:r>
      <w:r>
        <w:rPr>
          <w:rFonts w:hint="eastAsia" w:ascii="宋体" w:hAnsi="宋体" w:eastAsia="宋体" w:cs="宋体"/>
          <w:i w:val="0"/>
          <w:iCs w:val="0"/>
          <w:caps w:val="0"/>
          <w:color w:val="000000"/>
          <w:spacing w:val="0"/>
          <w:sz w:val="24"/>
          <w:szCs w:val="24"/>
          <w:highlight w:val="none"/>
          <w:lang w:eastAsia="zh-CN"/>
        </w:rPr>
        <w:t>新疆维吾尔自治区</w:t>
      </w:r>
      <w:r>
        <w:rPr>
          <w:rFonts w:hint="eastAsia" w:ascii="宋体" w:hAnsi="宋体" w:eastAsia="宋体" w:cs="宋体"/>
          <w:i w:val="0"/>
          <w:iCs w:val="0"/>
          <w:caps w:val="0"/>
          <w:color w:val="000000"/>
          <w:spacing w:val="0"/>
          <w:sz w:val="24"/>
          <w:szCs w:val="24"/>
          <w:highlight w:val="none"/>
        </w:rPr>
        <w:t>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400-9039583</w:t>
      </w:r>
      <w:r>
        <w:rPr>
          <w:rFonts w:hint="eastAsia" w:cs="宋体"/>
          <w:i w:val="0"/>
          <w:iCs w:val="0"/>
          <w:caps w:val="0"/>
          <w:color w:val="000000"/>
          <w:spacing w:val="0"/>
          <w:sz w:val="24"/>
          <w:szCs w:val="24"/>
          <w:highlight w:val="none"/>
          <w:lang w:eastAsia="zh-CN"/>
        </w:rPr>
        <w:t>。</w:t>
      </w:r>
    </w:p>
    <w:p w14:paraId="4D7D1584">
      <w:pPr>
        <w:pStyle w:val="71"/>
        <w:keepNext w:val="0"/>
        <w:keepLines w:val="0"/>
        <w:pageBreakBefore w:val="0"/>
        <w:widowControl/>
        <w:suppressLineNumbers w:val="0"/>
        <w:kinsoku/>
        <w:wordWrap/>
        <w:overflowPunct/>
        <w:topLinePunct w:val="0"/>
        <w:autoSpaceDE/>
        <w:autoSpaceDN/>
        <w:bidi w:val="0"/>
        <w:adjustRightInd w:val="0"/>
        <w:snapToGrid/>
        <w:spacing w:before="132" w:beforeAutospacing="0" w:after="132" w:afterAutospacing="0" w:line="360" w:lineRule="auto"/>
        <w:ind w:left="0" w:right="0" w:firstLine="0"/>
        <w:jc w:val="both"/>
        <w:textAlignment w:val="baseline"/>
        <w:rPr>
          <w:rFonts w:hint="eastAsia" w:ascii="宋体" w:hAnsi="宋体" w:eastAsia="宋体" w:cs="宋体"/>
          <w:i w:val="0"/>
          <w:iCs w:val="0"/>
          <w:caps w:val="0"/>
          <w:color w:val="000000"/>
          <w:spacing w:val="0"/>
          <w:sz w:val="24"/>
          <w:szCs w:val="24"/>
          <w:highlight w:val="none"/>
        </w:rPr>
      </w:pPr>
      <w:r>
        <w:rPr>
          <w:rStyle w:val="79"/>
          <w:rFonts w:hint="eastAsia" w:cs="宋体"/>
          <w:i w:val="0"/>
          <w:iCs w:val="0"/>
          <w:caps w:val="0"/>
          <w:color w:val="000000"/>
          <w:spacing w:val="0"/>
          <w:sz w:val="24"/>
          <w:szCs w:val="24"/>
          <w:highlight w:val="none"/>
          <w:lang w:val="en-US" w:eastAsia="zh-CN"/>
        </w:rPr>
        <w:t>七</w:t>
      </w:r>
      <w:r>
        <w:rPr>
          <w:rStyle w:val="79"/>
          <w:rFonts w:hint="eastAsia" w:ascii="宋体" w:hAnsi="宋体" w:eastAsia="宋体" w:cs="宋体"/>
          <w:i w:val="0"/>
          <w:iCs w:val="0"/>
          <w:caps w:val="0"/>
          <w:color w:val="000000"/>
          <w:spacing w:val="0"/>
          <w:sz w:val="24"/>
          <w:szCs w:val="24"/>
          <w:highlight w:val="none"/>
        </w:rPr>
        <w:t>、对本次采购提出询问，请按以下方式联系</w:t>
      </w:r>
    </w:p>
    <w:p w14:paraId="1BD59704">
      <w:pPr>
        <w:pStyle w:val="71"/>
        <w:keepNext w:val="0"/>
        <w:keepLines w:val="0"/>
        <w:pageBreakBefore w:val="0"/>
        <w:widowControl/>
        <w:suppressLineNumbers w:val="0"/>
        <w:kinsoku/>
        <w:wordWrap/>
        <w:overflowPunct/>
        <w:topLinePunct w:val="0"/>
        <w:autoSpaceDE/>
        <w:autoSpaceDN/>
        <w:bidi w:val="0"/>
        <w:adjustRightInd w:val="0"/>
        <w:snapToGrid/>
        <w:spacing w:before="36" w:beforeAutospacing="0" w:after="36" w:afterAutospacing="0" w:line="360" w:lineRule="auto"/>
        <w:ind w:left="0" w:right="0" w:firstLine="336"/>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1.采购人信息</w:t>
      </w:r>
    </w:p>
    <w:p w14:paraId="35BB5B73">
      <w:pPr>
        <w:pStyle w:val="71"/>
        <w:keepNext w:val="0"/>
        <w:keepLines w:val="0"/>
        <w:pageBreakBefore w:val="0"/>
        <w:widowControl/>
        <w:suppressLineNumbers w:val="0"/>
        <w:kinsoku/>
        <w:wordWrap/>
        <w:overflowPunct/>
        <w:topLinePunct w:val="0"/>
        <w:autoSpaceDE/>
        <w:autoSpaceDN/>
        <w:bidi w:val="0"/>
        <w:adjustRightInd w:val="0"/>
        <w:snapToGrid/>
        <w:spacing w:before="36" w:beforeAutospacing="0" w:after="36" w:afterAutospacing="0" w:line="360" w:lineRule="auto"/>
        <w:ind w:left="0" w:right="0" w:firstLine="336"/>
        <w:textAlignment w:val="baseline"/>
        <w:rPr>
          <w:rFonts w:hint="eastAsia" w:ascii="宋体" w:hAnsi="宋体" w:eastAsia="宋体"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highlight w:val="none"/>
        </w:rPr>
        <w:t>名称：</w:t>
      </w:r>
      <w:r>
        <w:rPr>
          <w:rFonts w:hint="eastAsia" w:ascii="宋体" w:hAnsi="宋体" w:eastAsia="宋体" w:cs="宋体"/>
          <w:i w:val="0"/>
          <w:iCs w:val="0"/>
          <w:caps w:val="0"/>
          <w:color w:val="000000"/>
          <w:spacing w:val="0"/>
          <w:sz w:val="24"/>
          <w:szCs w:val="24"/>
          <w:highlight w:val="none"/>
          <w:lang w:eastAsia="zh-CN"/>
        </w:rPr>
        <w:t>于田县林业和草原局</w:t>
      </w:r>
    </w:p>
    <w:p w14:paraId="42D3DC2B">
      <w:pPr>
        <w:pStyle w:val="71"/>
        <w:keepNext w:val="0"/>
        <w:keepLines w:val="0"/>
        <w:pageBreakBefore w:val="0"/>
        <w:widowControl/>
        <w:suppressLineNumbers w:val="0"/>
        <w:kinsoku/>
        <w:wordWrap/>
        <w:overflowPunct/>
        <w:topLinePunct w:val="0"/>
        <w:autoSpaceDE/>
        <w:autoSpaceDN/>
        <w:bidi w:val="0"/>
        <w:adjustRightInd w:val="0"/>
        <w:snapToGrid/>
        <w:spacing w:before="36" w:beforeAutospacing="0" w:after="36" w:afterAutospacing="0" w:line="360" w:lineRule="auto"/>
        <w:ind w:left="0" w:right="0" w:firstLine="336"/>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地址：</w:t>
      </w:r>
      <w:r>
        <w:rPr>
          <w:rFonts w:hint="eastAsia" w:cs="宋体"/>
          <w:i w:val="0"/>
          <w:iCs w:val="0"/>
          <w:caps w:val="0"/>
          <w:color w:val="000000"/>
          <w:spacing w:val="0"/>
          <w:sz w:val="24"/>
          <w:szCs w:val="24"/>
          <w:highlight w:val="none"/>
          <w:lang w:eastAsia="zh-CN"/>
        </w:rPr>
        <w:t>于田县建德路8号</w:t>
      </w:r>
    </w:p>
    <w:p w14:paraId="04EF9694">
      <w:pPr>
        <w:pStyle w:val="71"/>
        <w:keepNext w:val="0"/>
        <w:keepLines w:val="0"/>
        <w:pageBreakBefore w:val="0"/>
        <w:widowControl/>
        <w:suppressLineNumbers w:val="0"/>
        <w:kinsoku/>
        <w:wordWrap/>
        <w:overflowPunct/>
        <w:topLinePunct w:val="0"/>
        <w:autoSpaceDE/>
        <w:autoSpaceDN/>
        <w:bidi w:val="0"/>
        <w:adjustRightInd w:val="0"/>
        <w:snapToGrid/>
        <w:spacing w:before="36" w:beforeAutospacing="0" w:after="36" w:afterAutospacing="0" w:line="360" w:lineRule="auto"/>
        <w:ind w:left="0" w:right="0" w:firstLine="336"/>
        <w:textAlignment w:val="baseline"/>
        <w:rPr>
          <w:rFonts w:hint="eastAsia" w:ascii="宋体" w:hAnsi="宋体" w:eastAsia="宋体"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highlight w:val="none"/>
        </w:rPr>
        <w:t>联系方式：</w:t>
      </w:r>
      <w:r>
        <w:rPr>
          <w:rFonts w:hint="eastAsia" w:ascii="宋体" w:hAnsi="宋体" w:eastAsia="宋体" w:cs="宋体"/>
          <w:i w:val="0"/>
          <w:iCs w:val="0"/>
          <w:caps w:val="0"/>
          <w:color w:val="000000"/>
          <w:spacing w:val="0"/>
          <w:sz w:val="24"/>
          <w:szCs w:val="24"/>
          <w:highlight w:val="none"/>
          <w:lang w:eastAsia="zh-CN"/>
        </w:rPr>
        <w:t>0903-6811100</w:t>
      </w:r>
    </w:p>
    <w:p w14:paraId="01B54106">
      <w:pPr>
        <w:pStyle w:val="71"/>
        <w:keepNext w:val="0"/>
        <w:keepLines w:val="0"/>
        <w:pageBreakBefore w:val="0"/>
        <w:widowControl/>
        <w:suppressLineNumbers w:val="0"/>
        <w:kinsoku/>
        <w:wordWrap/>
        <w:overflowPunct/>
        <w:topLinePunct w:val="0"/>
        <w:autoSpaceDE/>
        <w:autoSpaceDN/>
        <w:bidi w:val="0"/>
        <w:adjustRightInd w:val="0"/>
        <w:snapToGrid/>
        <w:spacing w:before="36" w:beforeAutospacing="0" w:after="36" w:afterAutospacing="0" w:line="360" w:lineRule="auto"/>
        <w:ind w:left="0" w:right="0" w:firstLine="336"/>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2.采购代理机构信息</w:t>
      </w:r>
    </w:p>
    <w:p w14:paraId="4B3930C1">
      <w:pPr>
        <w:pStyle w:val="71"/>
        <w:keepNext w:val="0"/>
        <w:keepLines w:val="0"/>
        <w:pageBreakBefore w:val="0"/>
        <w:widowControl/>
        <w:suppressLineNumbers w:val="0"/>
        <w:kinsoku/>
        <w:wordWrap/>
        <w:overflowPunct/>
        <w:topLinePunct w:val="0"/>
        <w:autoSpaceDE/>
        <w:autoSpaceDN/>
        <w:bidi w:val="0"/>
        <w:adjustRightInd w:val="0"/>
        <w:snapToGrid/>
        <w:spacing w:before="36" w:beforeAutospacing="0" w:after="36" w:afterAutospacing="0" w:line="360" w:lineRule="auto"/>
        <w:ind w:left="0" w:right="0" w:firstLine="336"/>
        <w:textAlignment w:val="baseline"/>
        <w:rPr>
          <w:rFonts w:hint="eastAsia"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highlight w:val="none"/>
        </w:rPr>
        <w:t>名称：</w:t>
      </w:r>
      <w:r>
        <w:rPr>
          <w:rFonts w:hint="eastAsia" w:cs="宋体"/>
          <w:i w:val="0"/>
          <w:iCs w:val="0"/>
          <w:caps w:val="0"/>
          <w:color w:val="000000"/>
          <w:spacing w:val="0"/>
          <w:sz w:val="24"/>
          <w:szCs w:val="24"/>
          <w:highlight w:val="none"/>
          <w:lang w:eastAsia="zh-CN"/>
        </w:rPr>
        <w:t>新疆浩诚致远项目管理咨询有限公司</w:t>
      </w:r>
    </w:p>
    <w:p w14:paraId="229C6B97">
      <w:pPr>
        <w:pStyle w:val="71"/>
        <w:keepNext w:val="0"/>
        <w:keepLines w:val="0"/>
        <w:pageBreakBefore w:val="0"/>
        <w:widowControl/>
        <w:suppressLineNumbers w:val="0"/>
        <w:kinsoku/>
        <w:wordWrap/>
        <w:overflowPunct/>
        <w:topLinePunct w:val="0"/>
        <w:autoSpaceDE/>
        <w:autoSpaceDN/>
        <w:bidi w:val="0"/>
        <w:adjustRightInd w:val="0"/>
        <w:snapToGrid/>
        <w:spacing w:before="36" w:beforeAutospacing="0" w:after="36" w:afterAutospacing="0" w:line="360" w:lineRule="auto"/>
        <w:ind w:left="0" w:right="0" w:firstLine="336"/>
        <w:textAlignment w:val="baseline"/>
        <w:rPr>
          <w:rFonts w:hint="eastAsia" w:ascii="宋体" w:hAnsi="宋体" w:eastAsia="宋体"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highlight w:val="none"/>
        </w:rPr>
        <w:t>地址：</w:t>
      </w:r>
      <w:r>
        <w:rPr>
          <w:rFonts w:hint="eastAsia" w:cs="宋体"/>
          <w:i w:val="0"/>
          <w:iCs w:val="0"/>
          <w:caps w:val="0"/>
          <w:color w:val="000000"/>
          <w:spacing w:val="0"/>
          <w:sz w:val="24"/>
          <w:szCs w:val="24"/>
          <w:highlight w:val="none"/>
          <w:lang w:eastAsia="zh-CN"/>
        </w:rPr>
        <w:t>和田市肖尔巴格乡库木巴格村 1098 号</w:t>
      </w:r>
    </w:p>
    <w:p w14:paraId="0E2916C2">
      <w:pPr>
        <w:pStyle w:val="71"/>
        <w:keepNext w:val="0"/>
        <w:keepLines w:val="0"/>
        <w:pageBreakBefore w:val="0"/>
        <w:widowControl/>
        <w:suppressLineNumbers w:val="0"/>
        <w:kinsoku/>
        <w:wordWrap/>
        <w:overflowPunct/>
        <w:topLinePunct w:val="0"/>
        <w:autoSpaceDE/>
        <w:autoSpaceDN/>
        <w:bidi w:val="0"/>
        <w:adjustRightInd w:val="0"/>
        <w:snapToGrid/>
        <w:spacing w:before="36" w:beforeAutospacing="0" w:after="36" w:afterAutospacing="0" w:line="360" w:lineRule="auto"/>
        <w:ind w:left="0" w:right="0" w:firstLine="336"/>
        <w:textAlignment w:val="baseline"/>
        <w:rPr>
          <w:rFonts w:hint="eastAsia" w:ascii="宋体" w:hAnsi="宋体" w:eastAsia="宋体"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highlight w:val="none"/>
        </w:rPr>
        <w:t>联系方式：</w:t>
      </w:r>
      <w:r>
        <w:rPr>
          <w:rFonts w:hint="eastAsia" w:cs="宋体"/>
          <w:i w:val="0"/>
          <w:iCs w:val="0"/>
          <w:caps w:val="0"/>
          <w:color w:val="000000"/>
          <w:spacing w:val="0"/>
          <w:sz w:val="24"/>
          <w:szCs w:val="24"/>
          <w:highlight w:val="none"/>
          <w:lang w:eastAsia="zh-CN"/>
        </w:rPr>
        <w:t>0903-2059505/17799150765</w:t>
      </w:r>
    </w:p>
    <w:p w14:paraId="14F1A9F0">
      <w:pPr>
        <w:pStyle w:val="71"/>
        <w:keepNext w:val="0"/>
        <w:keepLines w:val="0"/>
        <w:pageBreakBefore w:val="0"/>
        <w:widowControl/>
        <w:suppressLineNumbers w:val="0"/>
        <w:kinsoku/>
        <w:wordWrap/>
        <w:overflowPunct/>
        <w:topLinePunct w:val="0"/>
        <w:autoSpaceDE/>
        <w:autoSpaceDN/>
        <w:bidi w:val="0"/>
        <w:adjustRightInd w:val="0"/>
        <w:snapToGrid/>
        <w:spacing w:before="36" w:beforeAutospacing="0" w:after="36" w:afterAutospacing="0" w:line="360" w:lineRule="auto"/>
        <w:ind w:left="0" w:right="0" w:firstLine="336"/>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3.项目联系方式</w:t>
      </w:r>
    </w:p>
    <w:p w14:paraId="3C175552">
      <w:pPr>
        <w:pStyle w:val="71"/>
        <w:keepNext w:val="0"/>
        <w:keepLines w:val="0"/>
        <w:pageBreakBefore w:val="0"/>
        <w:widowControl/>
        <w:suppressLineNumbers w:val="0"/>
        <w:kinsoku/>
        <w:wordWrap/>
        <w:overflowPunct/>
        <w:topLinePunct w:val="0"/>
        <w:autoSpaceDE/>
        <w:autoSpaceDN/>
        <w:bidi w:val="0"/>
        <w:adjustRightInd w:val="0"/>
        <w:snapToGrid/>
        <w:spacing w:before="36" w:beforeAutospacing="0" w:after="36" w:afterAutospacing="0" w:line="360" w:lineRule="auto"/>
        <w:ind w:left="0" w:right="0" w:firstLine="336"/>
        <w:textAlignment w:val="baseline"/>
        <w:rPr>
          <w:rFonts w:hint="eastAsia" w:ascii="宋体" w:hAnsi="宋体" w:eastAsia="宋体"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highlight w:val="none"/>
        </w:rPr>
        <w:t>项目联系人：</w:t>
      </w:r>
      <w:r>
        <w:rPr>
          <w:rFonts w:hint="eastAsia" w:cs="宋体"/>
          <w:i w:val="0"/>
          <w:iCs w:val="0"/>
          <w:caps w:val="0"/>
          <w:color w:val="000000"/>
          <w:spacing w:val="0"/>
          <w:sz w:val="24"/>
          <w:szCs w:val="24"/>
          <w:highlight w:val="none"/>
          <w:lang w:val="en-US" w:eastAsia="zh-CN"/>
        </w:rPr>
        <w:t>熊思</w:t>
      </w:r>
    </w:p>
    <w:p w14:paraId="1D378F1F">
      <w:pPr>
        <w:pStyle w:val="71"/>
        <w:keepNext w:val="0"/>
        <w:keepLines w:val="0"/>
        <w:pageBreakBefore w:val="0"/>
        <w:widowControl/>
        <w:suppressLineNumbers w:val="0"/>
        <w:kinsoku/>
        <w:wordWrap/>
        <w:overflowPunct/>
        <w:topLinePunct w:val="0"/>
        <w:autoSpaceDE/>
        <w:autoSpaceDN/>
        <w:bidi w:val="0"/>
        <w:adjustRightInd w:val="0"/>
        <w:snapToGrid/>
        <w:spacing w:before="36" w:beforeAutospacing="0" w:after="36" w:afterAutospacing="0" w:line="360" w:lineRule="auto"/>
        <w:ind w:left="0" w:right="0" w:firstLine="336"/>
        <w:textAlignment w:val="baseline"/>
        <w:rPr>
          <w:rFonts w:hint="eastAsia" w:ascii="宋体" w:hAnsi="宋体" w:eastAsia="宋体"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highlight w:val="none"/>
        </w:rPr>
        <w:t>电话：</w:t>
      </w:r>
      <w:r>
        <w:rPr>
          <w:rFonts w:hint="eastAsia" w:cs="宋体"/>
          <w:i w:val="0"/>
          <w:iCs w:val="0"/>
          <w:caps w:val="0"/>
          <w:color w:val="000000"/>
          <w:spacing w:val="0"/>
          <w:sz w:val="24"/>
          <w:szCs w:val="24"/>
          <w:highlight w:val="none"/>
          <w:lang w:eastAsia="zh-CN"/>
        </w:rPr>
        <w:t>0903-2059505/17799150765</w:t>
      </w:r>
    </w:p>
    <w:p w14:paraId="5B07DF44">
      <w:pPr>
        <w:pStyle w:val="71"/>
        <w:keepNext w:val="0"/>
        <w:keepLines w:val="0"/>
        <w:pageBreakBefore w:val="0"/>
        <w:widowControl/>
        <w:suppressLineNumbers w:val="0"/>
        <w:kinsoku/>
        <w:wordWrap/>
        <w:overflowPunct/>
        <w:topLinePunct w:val="0"/>
        <w:autoSpaceDE/>
        <w:autoSpaceDN/>
        <w:bidi w:val="0"/>
        <w:adjustRightInd w:val="0"/>
        <w:snapToGrid/>
        <w:spacing w:before="36" w:beforeAutospacing="0" w:after="36" w:afterAutospacing="0" w:line="360" w:lineRule="auto"/>
        <w:ind w:left="0" w:right="0" w:firstLine="336"/>
        <w:textAlignment w:val="baseline"/>
        <w:rPr>
          <w:rFonts w:hint="eastAsia" w:ascii="宋体" w:hAnsi="宋体" w:eastAsia="宋体" w:cs="宋体"/>
          <w:i w:val="0"/>
          <w:iCs w:val="0"/>
          <w:caps w:val="0"/>
          <w:color w:val="000000"/>
          <w:spacing w:val="0"/>
          <w:sz w:val="24"/>
          <w:szCs w:val="24"/>
          <w:highlight w:val="none"/>
          <w:lang w:eastAsia="zh-CN"/>
        </w:rPr>
      </w:pPr>
    </w:p>
    <w:p w14:paraId="133916EA">
      <w:pPr>
        <w:widowControl/>
        <w:spacing w:line="320" w:lineRule="exact"/>
        <w:ind w:left="141" w:hanging="141"/>
        <w:jc w:val="both"/>
        <w:outlineLvl w:val="9"/>
        <w:rPr>
          <w:rFonts w:hint="eastAsia" w:ascii="宋体" w:hAnsi="宋体" w:eastAsia="宋体" w:cs="宋体"/>
          <w:b/>
          <w:sz w:val="28"/>
          <w:szCs w:val="28"/>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宋体" w:hAnsi="宋体" w:eastAsia="宋体" w:cs="宋体"/>
          <w:b/>
          <w:sz w:val="28"/>
          <w:szCs w:val="28"/>
          <w:highlight w:val="none"/>
        </w:rPr>
        <w:br w:type="page"/>
      </w:r>
    </w:p>
    <w:p w14:paraId="23639BAF">
      <w:pPr>
        <w:widowControl/>
        <w:spacing w:line="320" w:lineRule="exact"/>
        <w:ind w:left="141" w:hanging="141"/>
        <w:jc w:val="center"/>
        <w:outlineLvl w:val="0"/>
        <w:rPr>
          <w:rFonts w:hint="eastAsia" w:ascii="宋体" w:hAnsi="宋体" w:eastAsia="宋体" w:cs="宋体"/>
          <w:b/>
          <w:sz w:val="28"/>
          <w:szCs w:val="28"/>
          <w:highlight w:val="none"/>
        </w:rPr>
      </w:pPr>
      <w:bookmarkStart w:id="6" w:name="_Toc16152"/>
      <w:r>
        <w:rPr>
          <w:rFonts w:hint="eastAsia" w:ascii="宋体" w:hAnsi="宋体" w:eastAsia="宋体" w:cs="宋体"/>
          <w:b/>
          <w:sz w:val="28"/>
          <w:szCs w:val="28"/>
          <w:highlight w:val="none"/>
        </w:rPr>
        <w:t>第二章  投标人须知</w:t>
      </w:r>
      <w:bookmarkEnd w:id="6"/>
    </w:p>
    <w:p w14:paraId="199543C0">
      <w:pPr>
        <w:widowControl/>
        <w:spacing w:line="320" w:lineRule="exact"/>
        <w:ind w:left="141" w:hanging="141"/>
        <w:rPr>
          <w:rFonts w:hint="eastAsia" w:ascii="宋体" w:hAnsi="宋体" w:eastAsia="宋体" w:cs="宋体"/>
          <w:b/>
          <w:sz w:val="28"/>
          <w:szCs w:val="28"/>
          <w:highlight w:val="none"/>
        </w:rPr>
      </w:pPr>
    </w:p>
    <w:p w14:paraId="2657374B">
      <w:pPr>
        <w:widowControl/>
        <w:spacing w:line="320" w:lineRule="exact"/>
        <w:ind w:left="141" w:hanging="141"/>
        <w:jc w:val="center"/>
        <w:outlineLvl w:val="1"/>
        <w:rPr>
          <w:rFonts w:hint="eastAsia" w:ascii="宋体" w:hAnsi="宋体" w:eastAsia="宋体" w:cs="宋体"/>
          <w:b/>
          <w:sz w:val="32"/>
          <w:szCs w:val="32"/>
          <w:highlight w:val="none"/>
        </w:rPr>
      </w:pPr>
      <w:bookmarkStart w:id="7" w:name="_Toc10036"/>
      <w:r>
        <w:rPr>
          <w:rFonts w:hint="eastAsia" w:ascii="宋体" w:hAnsi="宋体" w:eastAsia="宋体" w:cs="宋体"/>
          <w:b/>
          <w:sz w:val="32"/>
          <w:szCs w:val="32"/>
          <w:highlight w:val="none"/>
        </w:rPr>
        <w:t>投标人须知前附表</w:t>
      </w:r>
      <w:bookmarkEnd w:id="7"/>
    </w:p>
    <w:tbl>
      <w:tblPr>
        <w:tblStyle w:val="77"/>
        <w:tblW w:w="9732"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035"/>
        <w:gridCol w:w="6477"/>
      </w:tblGrid>
      <w:tr w14:paraId="1EEB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Align w:val="center"/>
          </w:tcPr>
          <w:p w14:paraId="2C9AA874">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b/>
                <w:color w:val="auto"/>
                <w:sz w:val="24"/>
                <w:szCs w:val="24"/>
                <w:highlight w:val="none"/>
              </w:rPr>
              <w:t>条款号</w:t>
            </w:r>
          </w:p>
        </w:tc>
        <w:tc>
          <w:tcPr>
            <w:tcW w:w="2035" w:type="dxa"/>
            <w:vAlign w:val="center"/>
          </w:tcPr>
          <w:p w14:paraId="3A7EBB65">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b/>
                <w:color w:val="auto"/>
                <w:sz w:val="24"/>
                <w:szCs w:val="24"/>
                <w:highlight w:val="none"/>
              </w:rPr>
              <w:t>条款名称</w:t>
            </w:r>
          </w:p>
        </w:tc>
        <w:tc>
          <w:tcPr>
            <w:tcW w:w="6477" w:type="dxa"/>
            <w:vAlign w:val="center"/>
          </w:tcPr>
          <w:p w14:paraId="37D022A7">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b/>
                <w:color w:val="auto"/>
                <w:sz w:val="24"/>
                <w:szCs w:val="24"/>
                <w:highlight w:val="none"/>
              </w:rPr>
              <w:t>编列内容规定</w:t>
            </w:r>
          </w:p>
        </w:tc>
      </w:tr>
      <w:tr w14:paraId="62A0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Align w:val="center"/>
          </w:tcPr>
          <w:p w14:paraId="7775E705">
            <w:pPr>
              <w:keepNext w:val="0"/>
              <w:keepLines w:val="0"/>
              <w:pageBreakBefore w:val="0"/>
              <w:numPr>
                <w:ilvl w:val="0"/>
                <w:numId w:val="5"/>
              </w:numPr>
              <w:kinsoku/>
              <w:wordWrap/>
              <w:overflowPunct w:val="0"/>
              <w:topLinePunct w:val="0"/>
              <w:bidi w:val="0"/>
              <w:snapToGrid/>
              <w:spacing w:line="500" w:lineRule="exact"/>
              <w:ind w:left="425" w:leftChars="0" w:hanging="425"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035" w:type="dxa"/>
            <w:vAlign w:val="center"/>
          </w:tcPr>
          <w:p w14:paraId="71F34480">
            <w:pPr>
              <w:keepNext w:val="0"/>
              <w:keepLines w:val="0"/>
              <w:pageBreakBefore w:val="0"/>
              <w:kinsoku/>
              <w:wordWrap/>
              <w:overflowPunct w:val="0"/>
              <w:topLinePunct w:val="0"/>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项目编号</w:t>
            </w:r>
          </w:p>
        </w:tc>
        <w:tc>
          <w:tcPr>
            <w:tcW w:w="6477" w:type="dxa"/>
            <w:vAlign w:val="center"/>
          </w:tcPr>
          <w:p w14:paraId="28AF799F">
            <w:pPr>
              <w:keepNext w:val="0"/>
              <w:keepLines w:val="0"/>
              <w:pageBreakBefore w:val="0"/>
              <w:kinsoku/>
              <w:wordWrap/>
              <w:topLinePunct w:val="0"/>
              <w:bidi w:val="0"/>
              <w:snapToGrid/>
              <w:spacing w:line="500" w:lineRule="exact"/>
              <w:jc w:val="both"/>
              <w:textAlignment w:val="auto"/>
              <w:rPr>
                <w:rFonts w:hint="eastAsia" w:eastAsia="宋体" w:asciiTheme="minorEastAsia" w:hAnsiTheme="minorEastAsia" w:cstheme="minorEastAsia"/>
                <w:color w:val="auto"/>
                <w:sz w:val="24"/>
                <w:szCs w:val="24"/>
                <w:highlight w:val="none"/>
                <w:lang w:val="en-US" w:eastAsia="zh-CN"/>
              </w:rPr>
            </w:pPr>
            <w:r>
              <w:rPr>
                <w:rFonts w:hint="eastAsia" w:ascii="宋体" w:hAnsi="宋体" w:cs="宋体"/>
                <w:i w:val="0"/>
                <w:iCs w:val="0"/>
                <w:caps w:val="0"/>
                <w:color w:val="auto"/>
                <w:spacing w:val="0"/>
                <w:sz w:val="24"/>
                <w:szCs w:val="24"/>
                <w:highlight w:val="none"/>
                <w:lang w:eastAsia="zh-CN"/>
              </w:rPr>
              <w:t>YTCGD-GK-2024-111-2-01</w:t>
            </w:r>
          </w:p>
        </w:tc>
      </w:tr>
      <w:tr w14:paraId="5B9A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20" w:type="dxa"/>
            <w:vAlign w:val="center"/>
          </w:tcPr>
          <w:p w14:paraId="5A5D5947">
            <w:pPr>
              <w:keepNext w:val="0"/>
              <w:keepLines w:val="0"/>
              <w:pageBreakBefore w:val="0"/>
              <w:numPr>
                <w:ilvl w:val="0"/>
                <w:numId w:val="5"/>
              </w:numPr>
              <w:kinsoku/>
              <w:wordWrap/>
              <w:overflowPunct w:val="0"/>
              <w:topLinePunct w:val="0"/>
              <w:bidi w:val="0"/>
              <w:snapToGrid/>
              <w:spacing w:line="500" w:lineRule="exact"/>
              <w:ind w:left="425" w:leftChars="0" w:hanging="425"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035" w:type="dxa"/>
            <w:vAlign w:val="center"/>
          </w:tcPr>
          <w:p w14:paraId="66CDE9C7">
            <w:pPr>
              <w:keepNext w:val="0"/>
              <w:keepLines w:val="0"/>
              <w:pageBreakBefore w:val="0"/>
              <w:kinsoku/>
              <w:wordWrap/>
              <w:overflowPunct w:val="0"/>
              <w:topLinePunct w:val="0"/>
              <w:bidi w:val="0"/>
              <w:snapToGrid/>
              <w:spacing w:line="500" w:lineRule="exact"/>
              <w:jc w:val="center"/>
              <w:textAlignment w:val="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项目名称</w:t>
            </w:r>
          </w:p>
        </w:tc>
        <w:tc>
          <w:tcPr>
            <w:tcW w:w="6477" w:type="dxa"/>
            <w:vAlign w:val="top"/>
          </w:tcPr>
          <w:p w14:paraId="2DE3479A">
            <w:pPr>
              <w:keepNext w:val="0"/>
              <w:keepLines w:val="0"/>
              <w:pageBreakBefore w:val="0"/>
              <w:kinsoku/>
              <w:wordWrap/>
              <w:topLinePunct w:val="0"/>
              <w:bidi w:val="0"/>
              <w:snapToGrid/>
              <w:spacing w:line="500" w:lineRule="exact"/>
              <w:jc w:val="both"/>
              <w:textAlignment w:val="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eastAsia="zh-CN"/>
              </w:rPr>
              <w:t>2024年于田县“三北”工程林草湿荒一体化保护修复项目（</w:t>
            </w:r>
            <w:r>
              <w:rPr>
                <w:rFonts w:hint="eastAsia" w:asciiTheme="minorEastAsia" w:hAnsiTheme="minorEastAsia" w:eastAsiaTheme="minorEastAsia" w:cstheme="minorEastAsia"/>
                <w:color w:val="auto"/>
                <w:sz w:val="24"/>
                <w:szCs w:val="24"/>
                <w:highlight w:val="none"/>
                <w:lang w:val="en-US" w:eastAsia="zh-CN"/>
              </w:rPr>
              <w:t>包一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次）</w:t>
            </w:r>
          </w:p>
        </w:tc>
      </w:tr>
      <w:tr w14:paraId="683F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220" w:type="dxa"/>
            <w:vAlign w:val="center"/>
          </w:tcPr>
          <w:p w14:paraId="196AF0A8">
            <w:pPr>
              <w:keepNext w:val="0"/>
              <w:keepLines w:val="0"/>
              <w:pageBreakBefore w:val="0"/>
              <w:numPr>
                <w:ilvl w:val="0"/>
                <w:numId w:val="5"/>
              </w:numPr>
              <w:kinsoku/>
              <w:wordWrap/>
              <w:overflowPunct w:val="0"/>
              <w:topLinePunct w:val="0"/>
              <w:bidi w:val="0"/>
              <w:snapToGrid/>
              <w:spacing w:line="500" w:lineRule="exact"/>
              <w:ind w:left="425" w:leftChars="0" w:hanging="425"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035" w:type="dxa"/>
            <w:vAlign w:val="center"/>
          </w:tcPr>
          <w:p w14:paraId="04301AA0">
            <w:pPr>
              <w:keepNext w:val="0"/>
              <w:keepLines w:val="0"/>
              <w:pageBreakBefore w:val="0"/>
              <w:kinsoku/>
              <w:wordWrap/>
              <w:overflowPunct w:val="0"/>
              <w:topLinePunct w:val="0"/>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采购人</w:t>
            </w:r>
          </w:p>
        </w:tc>
        <w:tc>
          <w:tcPr>
            <w:tcW w:w="6477" w:type="dxa"/>
            <w:vAlign w:val="top"/>
          </w:tcPr>
          <w:p w14:paraId="6D9F24BD">
            <w:pPr>
              <w:pStyle w:val="71"/>
              <w:keepNext w:val="0"/>
              <w:keepLines w:val="0"/>
              <w:pageBreakBefore w:val="0"/>
              <w:widowControl/>
              <w:suppressLineNumbers w:val="0"/>
              <w:kinsoku/>
              <w:wordWrap/>
              <w:overflowPunct/>
              <w:topLinePunct w:val="0"/>
              <w:autoSpaceDE/>
              <w:autoSpaceDN/>
              <w:bidi w:val="0"/>
              <w:adjustRightInd w:val="0"/>
              <w:snapToGrid/>
              <w:spacing w:before="36" w:beforeAutospacing="0" w:after="36" w:afterAutospacing="0" w:line="360" w:lineRule="auto"/>
              <w:ind w:left="0" w:right="0" w:firstLine="336"/>
              <w:textAlignment w:val="baseline"/>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名称：</w:t>
            </w:r>
            <w:r>
              <w:rPr>
                <w:rFonts w:hint="eastAsia" w:ascii="宋体" w:hAnsi="宋体" w:eastAsia="宋体" w:cs="宋体"/>
                <w:i w:val="0"/>
                <w:iCs w:val="0"/>
                <w:caps w:val="0"/>
                <w:color w:val="auto"/>
                <w:spacing w:val="0"/>
                <w:sz w:val="24"/>
                <w:szCs w:val="24"/>
                <w:highlight w:val="none"/>
                <w:lang w:eastAsia="zh-CN"/>
              </w:rPr>
              <w:t>于田县林业和草原局</w:t>
            </w:r>
          </w:p>
          <w:p w14:paraId="6886ECD7">
            <w:pPr>
              <w:pStyle w:val="71"/>
              <w:keepNext w:val="0"/>
              <w:keepLines w:val="0"/>
              <w:pageBreakBefore w:val="0"/>
              <w:widowControl/>
              <w:suppressLineNumbers w:val="0"/>
              <w:kinsoku/>
              <w:wordWrap/>
              <w:overflowPunct/>
              <w:topLinePunct w:val="0"/>
              <w:autoSpaceDE/>
              <w:autoSpaceDN/>
              <w:bidi w:val="0"/>
              <w:adjustRightInd w:val="0"/>
              <w:snapToGrid/>
              <w:spacing w:before="36" w:beforeAutospacing="0" w:after="36" w:afterAutospacing="0" w:line="360" w:lineRule="auto"/>
              <w:ind w:left="0" w:right="0" w:firstLine="336"/>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地址：</w:t>
            </w:r>
            <w:r>
              <w:rPr>
                <w:rFonts w:hint="eastAsia" w:cs="宋体"/>
                <w:i w:val="0"/>
                <w:iCs w:val="0"/>
                <w:caps w:val="0"/>
                <w:color w:val="auto"/>
                <w:spacing w:val="0"/>
                <w:sz w:val="24"/>
                <w:szCs w:val="24"/>
                <w:highlight w:val="none"/>
                <w:lang w:eastAsia="zh-CN"/>
              </w:rPr>
              <w:t>于田县建德路8号</w:t>
            </w:r>
          </w:p>
          <w:p w14:paraId="2D02B633">
            <w:pPr>
              <w:pStyle w:val="71"/>
              <w:keepNext w:val="0"/>
              <w:keepLines w:val="0"/>
              <w:pageBreakBefore w:val="0"/>
              <w:widowControl/>
              <w:suppressLineNumbers w:val="0"/>
              <w:kinsoku/>
              <w:wordWrap/>
              <w:overflowPunct/>
              <w:topLinePunct w:val="0"/>
              <w:autoSpaceDE/>
              <w:autoSpaceDN/>
              <w:bidi w:val="0"/>
              <w:adjustRightInd w:val="0"/>
              <w:snapToGrid/>
              <w:spacing w:before="36" w:beforeAutospacing="0" w:after="36" w:afterAutospacing="0" w:line="360" w:lineRule="auto"/>
              <w:ind w:left="0" w:right="0" w:firstLine="336"/>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联系方式：</w:t>
            </w:r>
            <w:r>
              <w:rPr>
                <w:rFonts w:hint="eastAsia" w:ascii="宋体" w:hAnsi="宋体" w:eastAsia="宋体" w:cs="宋体"/>
                <w:i w:val="0"/>
                <w:iCs w:val="0"/>
                <w:caps w:val="0"/>
                <w:color w:val="auto"/>
                <w:spacing w:val="0"/>
                <w:sz w:val="24"/>
                <w:szCs w:val="24"/>
                <w:highlight w:val="none"/>
                <w:lang w:eastAsia="zh-CN"/>
              </w:rPr>
              <w:t>0903-6811100</w:t>
            </w:r>
          </w:p>
        </w:tc>
      </w:tr>
      <w:tr w14:paraId="11A6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Align w:val="center"/>
          </w:tcPr>
          <w:p w14:paraId="5CD1C8E4">
            <w:pPr>
              <w:keepNext w:val="0"/>
              <w:keepLines w:val="0"/>
              <w:pageBreakBefore w:val="0"/>
              <w:numPr>
                <w:ilvl w:val="0"/>
                <w:numId w:val="5"/>
              </w:numPr>
              <w:kinsoku/>
              <w:wordWrap/>
              <w:overflowPunct w:val="0"/>
              <w:topLinePunct w:val="0"/>
              <w:bidi w:val="0"/>
              <w:snapToGrid/>
              <w:spacing w:line="500" w:lineRule="exact"/>
              <w:ind w:left="425" w:leftChars="0" w:hanging="425"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035" w:type="dxa"/>
            <w:vAlign w:val="center"/>
          </w:tcPr>
          <w:p w14:paraId="7C0E641C">
            <w:pPr>
              <w:keepNext w:val="0"/>
              <w:keepLines w:val="0"/>
              <w:pageBreakBefore w:val="0"/>
              <w:kinsoku/>
              <w:wordWrap/>
              <w:overflowPunct w:val="0"/>
              <w:topLinePunct w:val="0"/>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采购代理机构</w:t>
            </w:r>
          </w:p>
        </w:tc>
        <w:tc>
          <w:tcPr>
            <w:tcW w:w="6477" w:type="dxa"/>
            <w:vAlign w:val="center"/>
          </w:tcPr>
          <w:p w14:paraId="79CF202A">
            <w:pPr>
              <w:keepNext w:val="0"/>
              <w:keepLines w:val="0"/>
              <w:pageBreakBefore w:val="0"/>
              <w:numPr>
                <w:ilvl w:val="0"/>
                <w:numId w:val="0"/>
              </w:numPr>
              <w:kinsoku/>
              <w:wordWrap/>
              <w:overflowPunct w:val="0"/>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名称：新疆浩诚致远项目管理咨询有限公司</w:t>
            </w:r>
          </w:p>
          <w:p w14:paraId="79F043E4">
            <w:pPr>
              <w:keepNext w:val="0"/>
              <w:keepLines w:val="0"/>
              <w:pageBreakBefore w:val="0"/>
              <w:numPr>
                <w:ilvl w:val="0"/>
                <w:numId w:val="0"/>
              </w:numPr>
              <w:kinsoku/>
              <w:wordWrap/>
              <w:overflowPunct w:val="0"/>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w:t>
            </w:r>
            <w:r>
              <w:rPr>
                <w:rFonts w:hint="eastAsia" w:cs="宋体"/>
                <w:i w:val="0"/>
                <w:iCs w:val="0"/>
                <w:caps w:val="0"/>
                <w:color w:val="auto"/>
                <w:spacing w:val="0"/>
                <w:sz w:val="24"/>
                <w:szCs w:val="24"/>
                <w:highlight w:val="none"/>
                <w:lang w:eastAsia="zh-CN"/>
              </w:rPr>
              <w:t>和田市肖尔巴格乡库木巴格村 1098 号</w:t>
            </w:r>
          </w:p>
          <w:p w14:paraId="34ACAADE">
            <w:pPr>
              <w:keepNext w:val="0"/>
              <w:keepLines w:val="0"/>
              <w:pageBreakBefore w:val="0"/>
              <w:numPr>
                <w:ilvl w:val="0"/>
                <w:numId w:val="0"/>
              </w:numPr>
              <w:kinsoku/>
              <w:wordWrap/>
              <w:overflowPunct w:val="0"/>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联系方式：0903-2059505/17799150765</w:t>
            </w:r>
          </w:p>
        </w:tc>
      </w:tr>
      <w:tr w14:paraId="6CBB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Align w:val="center"/>
          </w:tcPr>
          <w:p w14:paraId="76A33F79">
            <w:pPr>
              <w:keepNext w:val="0"/>
              <w:keepLines w:val="0"/>
              <w:pageBreakBefore w:val="0"/>
              <w:numPr>
                <w:ilvl w:val="0"/>
                <w:numId w:val="5"/>
              </w:numPr>
              <w:kinsoku/>
              <w:wordWrap/>
              <w:overflowPunct w:val="0"/>
              <w:topLinePunct w:val="0"/>
              <w:bidi w:val="0"/>
              <w:snapToGrid/>
              <w:spacing w:line="500" w:lineRule="exact"/>
              <w:ind w:left="425" w:leftChars="0" w:hanging="425"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035" w:type="dxa"/>
            <w:vAlign w:val="center"/>
          </w:tcPr>
          <w:p w14:paraId="4D0BDDF0">
            <w:pPr>
              <w:keepNext w:val="0"/>
              <w:keepLines w:val="0"/>
              <w:pageBreakBefore w:val="0"/>
              <w:kinsoku/>
              <w:wordWrap/>
              <w:overflowPunct w:val="0"/>
              <w:topLinePunct w:val="0"/>
              <w:bidi w:val="0"/>
              <w:snapToGrid/>
              <w:spacing w:line="5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采购内容</w:t>
            </w:r>
          </w:p>
        </w:tc>
        <w:tc>
          <w:tcPr>
            <w:tcW w:w="6477" w:type="dxa"/>
            <w:vAlign w:val="center"/>
          </w:tcPr>
          <w:p w14:paraId="14198C54">
            <w:pPr>
              <w:keepNext w:val="0"/>
              <w:keepLines w:val="0"/>
              <w:pageBreakBefore w:val="0"/>
              <w:numPr>
                <w:ilvl w:val="0"/>
                <w:numId w:val="0"/>
              </w:numPr>
              <w:kinsoku/>
              <w:wordWrap/>
              <w:overflowPunct w:val="0"/>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实施退化林修复1.65万亩，中幼林抚育210亩；（具体参数详见招标文件）</w:t>
            </w:r>
          </w:p>
        </w:tc>
      </w:tr>
      <w:tr w14:paraId="029C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Align w:val="center"/>
          </w:tcPr>
          <w:p w14:paraId="5CD6D200">
            <w:pPr>
              <w:keepNext w:val="0"/>
              <w:keepLines w:val="0"/>
              <w:pageBreakBefore w:val="0"/>
              <w:numPr>
                <w:ilvl w:val="0"/>
                <w:numId w:val="5"/>
              </w:numPr>
              <w:kinsoku/>
              <w:wordWrap/>
              <w:overflowPunct w:val="0"/>
              <w:topLinePunct w:val="0"/>
              <w:bidi w:val="0"/>
              <w:snapToGrid/>
              <w:spacing w:line="500" w:lineRule="exact"/>
              <w:ind w:left="425" w:leftChars="0" w:hanging="425"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035" w:type="dxa"/>
            <w:vAlign w:val="center"/>
          </w:tcPr>
          <w:p w14:paraId="7DCBFB85">
            <w:pPr>
              <w:keepNext w:val="0"/>
              <w:keepLines w:val="0"/>
              <w:pageBreakBefore w:val="0"/>
              <w:numPr>
                <w:ilvl w:val="0"/>
                <w:numId w:val="0"/>
              </w:numPr>
              <w:kinsoku/>
              <w:wordWrap/>
              <w:overflowPunct w:val="0"/>
              <w:topLinePunct w:val="0"/>
              <w:bidi w:val="0"/>
              <w:snapToGrid/>
              <w:spacing w:line="500" w:lineRule="exact"/>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服务地点</w:t>
            </w:r>
          </w:p>
        </w:tc>
        <w:tc>
          <w:tcPr>
            <w:tcW w:w="6477" w:type="dxa"/>
            <w:vAlign w:val="center"/>
          </w:tcPr>
          <w:p w14:paraId="4EAE1FAB">
            <w:pPr>
              <w:keepNext w:val="0"/>
              <w:keepLines w:val="0"/>
              <w:pageBreakBefore w:val="0"/>
              <w:numPr>
                <w:ilvl w:val="0"/>
                <w:numId w:val="0"/>
              </w:numPr>
              <w:kinsoku/>
              <w:wordWrap/>
              <w:overflowPunct w:val="0"/>
              <w:topLinePunct w:val="0"/>
              <w:bidi w:val="0"/>
              <w:snapToGrid/>
              <w:spacing w:line="500" w:lineRule="exact"/>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采购单位指定地点为准</w:t>
            </w:r>
          </w:p>
        </w:tc>
      </w:tr>
      <w:tr w14:paraId="5834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0" w:type="dxa"/>
            <w:vAlign w:val="center"/>
          </w:tcPr>
          <w:p w14:paraId="320535E1">
            <w:pPr>
              <w:keepNext w:val="0"/>
              <w:keepLines w:val="0"/>
              <w:pageBreakBefore w:val="0"/>
              <w:numPr>
                <w:ilvl w:val="0"/>
                <w:numId w:val="5"/>
              </w:numPr>
              <w:kinsoku/>
              <w:wordWrap/>
              <w:overflowPunct w:val="0"/>
              <w:topLinePunct w:val="0"/>
              <w:bidi w:val="0"/>
              <w:snapToGrid/>
              <w:spacing w:line="500" w:lineRule="exact"/>
              <w:ind w:left="425" w:leftChars="0" w:hanging="425"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035" w:type="dxa"/>
            <w:vAlign w:val="center"/>
          </w:tcPr>
          <w:p w14:paraId="2F319B3C">
            <w:pPr>
              <w:keepNext w:val="0"/>
              <w:keepLines w:val="0"/>
              <w:pageBreakBefore w:val="0"/>
              <w:numPr>
                <w:ilvl w:val="0"/>
                <w:numId w:val="0"/>
              </w:numPr>
              <w:kinsoku/>
              <w:wordWrap/>
              <w:overflowPunct w:val="0"/>
              <w:topLinePunct w:val="0"/>
              <w:bidi w:val="0"/>
              <w:snapToGrid/>
              <w:spacing w:line="500" w:lineRule="exact"/>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合同履约期限</w:t>
            </w:r>
          </w:p>
        </w:tc>
        <w:tc>
          <w:tcPr>
            <w:tcW w:w="6477" w:type="dxa"/>
            <w:vAlign w:val="center"/>
          </w:tcPr>
          <w:p w14:paraId="77210A1D">
            <w:pPr>
              <w:keepNext w:val="0"/>
              <w:keepLines w:val="0"/>
              <w:pageBreakBefore w:val="0"/>
              <w:numPr>
                <w:ilvl w:val="0"/>
                <w:numId w:val="0"/>
              </w:numPr>
              <w:kinsoku/>
              <w:wordWrap/>
              <w:overflowPunct w:val="0"/>
              <w:topLinePunct w:val="0"/>
              <w:bidi w:val="0"/>
              <w:snapToGrid/>
              <w:spacing w:line="50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宋体" w:hAnsi="宋体" w:cs="宋体"/>
                <w:i w:val="0"/>
                <w:iCs w:val="0"/>
                <w:caps w:val="0"/>
                <w:color w:val="000000"/>
                <w:spacing w:val="0"/>
                <w:sz w:val="24"/>
                <w:szCs w:val="24"/>
                <w:highlight w:val="none"/>
                <w:lang w:val="en-US" w:eastAsia="zh-CN"/>
              </w:rPr>
              <w:t>1年</w:t>
            </w:r>
          </w:p>
        </w:tc>
      </w:tr>
      <w:tr w14:paraId="0014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0" w:type="dxa"/>
            <w:vAlign w:val="center"/>
          </w:tcPr>
          <w:p w14:paraId="6DF0FFB5">
            <w:pPr>
              <w:keepNext w:val="0"/>
              <w:keepLines w:val="0"/>
              <w:pageBreakBefore w:val="0"/>
              <w:numPr>
                <w:ilvl w:val="0"/>
                <w:numId w:val="5"/>
              </w:numPr>
              <w:kinsoku/>
              <w:wordWrap/>
              <w:overflowPunct w:val="0"/>
              <w:topLinePunct w:val="0"/>
              <w:bidi w:val="0"/>
              <w:snapToGrid/>
              <w:spacing w:line="500" w:lineRule="exact"/>
              <w:ind w:left="425" w:leftChars="0" w:hanging="425"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035" w:type="dxa"/>
            <w:vAlign w:val="center"/>
          </w:tcPr>
          <w:p w14:paraId="5C1338AE">
            <w:pPr>
              <w:keepNext w:val="0"/>
              <w:keepLines w:val="0"/>
              <w:pageBreakBefore w:val="0"/>
              <w:numPr>
                <w:ilvl w:val="0"/>
                <w:numId w:val="0"/>
              </w:numPr>
              <w:kinsoku/>
              <w:wordWrap/>
              <w:overflowPunct w:val="0"/>
              <w:topLinePunct w:val="0"/>
              <w:bidi w:val="0"/>
              <w:snapToGrid/>
              <w:spacing w:line="500" w:lineRule="exact"/>
              <w:ind w:left="0" w:leftChars="0" w:firstLine="0" w:firstLineChars="0"/>
              <w:jc w:val="center"/>
              <w:textAlignment w:val="auto"/>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质保期</w:t>
            </w:r>
          </w:p>
        </w:tc>
        <w:tc>
          <w:tcPr>
            <w:tcW w:w="6477" w:type="dxa"/>
            <w:vAlign w:val="center"/>
          </w:tcPr>
          <w:p w14:paraId="4F1AF434">
            <w:pPr>
              <w:keepNext w:val="0"/>
              <w:keepLines w:val="0"/>
              <w:pageBreakBefore w:val="0"/>
              <w:numPr>
                <w:ilvl w:val="0"/>
                <w:numId w:val="0"/>
              </w:numPr>
              <w:kinsoku/>
              <w:wordWrap/>
              <w:overflowPunct w:val="0"/>
              <w:topLinePunct w:val="0"/>
              <w:bidi w:val="0"/>
              <w:snapToGrid/>
              <w:spacing w:line="500" w:lineRule="exact"/>
              <w:jc w:val="left"/>
              <w:textAlignment w:val="auto"/>
              <w:rPr>
                <w:rFonts w:hint="default"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1年</w:t>
            </w:r>
          </w:p>
        </w:tc>
      </w:tr>
      <w:tr w14:paraId="4EDF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Align w:val="center"/>
          </w:tcPr>
          <w:p w14:paraId="49711170">
            <w:pPr>
              <w:keepNext w:val="0"/>
              <w:keepLines w:val="0"/>
              <w:pageBreakBefore w:val="0"/>
              <w:numPr>
                <w:ilvl w:val="0"/>
                <w:numId w:val="5"/>
              </w:numPr>
              <w:kinsoku/>
              <w:wordWrap/>
              <w:overflowPunct w:val="0"/>
              <w:topLinePunct w:val="0"/>
              <w:bidi w:val="0"/>
              <w:snapToGrid/>
              <w:spacing w:line="500" w:lineRule="exact"/>
              <w:ind w:left="425" w:leftChars="0" w:hanging="425"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035" w:type="dxa"/>
            <w:vAlign w:val="center"/>
          </w:tcPr>
          <w:p w14:paraId="16DA135D">
            <w:pPr>
              <w:keepNext w:val="0"/>
              <w:keepLines w:val="0"/>
              <w:pageBreakBefore w:val="0"/>
              <w:numPr>
                <w:ilvl w:val="0"/>
                <w:numId w:val="0"/>
              </w:numPr>
              <w:kinsoku/>
              <w:wordWrap/>
              <w:overflowPunct w:val="0"/>
              <w:topLinePunct w:val="0"/>
              <w:bidi w:val="0"/>
              <w:snapToGrid/>
              <w:spacing w:line="500" w:lineRule="exact"/>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采购方式</w:t>
            </w:r>
          </w:p>
        </w:tc>
        <w:tc>
          <w:tcPr>
            <w:tcW w:w="6477" w:type="dxa"/>
            <w:vAlign w:val="center"/>
          </w:tcPr>
          <w:p w14:paraId="238A75CA">
            <w:pPr>
              <w:keepNext w:val="0"/>
              <w:keepLines w:val="0"/>
              <w:pageBreakBefore w:val="0"/>
              <w:numPr>
                <w:ilvl w:val="0"/>
                <w:numId w:val="0"/>
              </w:numPr>
              <w:kinsoku/>
              <w:wordWrap/>
              <w:overflowPunct w:val="0"/>
              <w:topLinePunct w:val="0"/>
              <w:bidi w:val="0"/>
              <w:snapToGrid/>
              <w:spacing w:line="500" w:lineRule="exact"/>
              <w:ind w:left="0" w:leftChars="0" w:firstLine="0" w:firstLineChars="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公开招标</w:t>
            </w:r>
          </w:p>
        </w:tc>
      </w:tr>
      <w:tr w14:paraId="245E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20" w:type="dxa"/>
            <w:vAlign w:val="center"/>
          </w:tcPr>
          <w:p w14:paraId="4BE22536">
            <w:pPr>
              <w:keepNext w:val="0"/>
              <w:keepLines w:val="0"/>
              <w:pageBreakBefore w:val="0"/>
              <w:numPr>
                <w:ilvl w:val="0"/>
                <w:numId w:val="5"/>
              </w:numPr>
              <w:kinsoku/>
              <w:wordWrap/>
              <w:overflowPunct w:val="0"/>
              <w:topLinePunct w:val="0"/>
              <w:bidi w:val="0"/>
              <w:snapToGrid/>
              <w:spacing w:line="500" w:lineRule="exact"/>
              <w:ind w:left="425" w:leftChars="0" w:hanging="425"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035" w:type="dxa"/>
            <w:vAlign w:val="center"/>
          </w:tcPr>
          <w:p w14:paraId="4EDA0859">
            <w:pPr>
              <w:adjustRightInd w:val="0"/>
              <w:snapToGrid w:val="0"/>
              <w:spacing w:line="360" w:lineRule="auto"/>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供应商资格条件</w:t>
            </w:r>
          </w:p>
        </w:tc>
        <w:tc>
          <w:tcPr>
            <w:tcW w:w="6477" w:type="dxa"/>
            <w:vAlign w:val="center"/>
          </w:tcPr>
          <w:p w14:paraId="1E9CD9F3">
            <w:pPr>
              <w:pStyle w:val="71"/>
              <w:spacing w:before="50" w:beforeAutospacing="0" w:after="50" w:afterAutospacing="0" w:line="360" w:lineRule="auto"/>
              <w:ind w:firstLine="420"/>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1.满足《中华人民共和国政府采购法》第二十二条规定：</w:t>
            </w:r>
          </w:p>
          <w:p w14:paraId="19CD4F5B">
            <w:pPr>
              <w:pStyle w:val="71"/>
              <w:spacing w:before="50" w:beforeAutospacing="0" w:after="50" w:afterAutospacing="0" w:line="360" w:lineRule="auto"/>
              <w:ind w:firstLine="420"/>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2.落实政府采购政策需满足的资格要求：</w:t>
            </w:r>
          </w:p>
          <w:p w14:paraId="01A2897A">
            <w:pPr>
              <w:pStyle w:val="71"/>
              <w:spacing w:before="50" w:beforeAutospacing="0" w:after="50" w:afterAutospacing="0" w:line="360" w:lineRule="auto"/>
              <w:ind w:firstLine="420"/>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2.1 中小企业政策标项1：专门面向中小企业</w:t>
            </w:r>
          </w:p>
          <w:p w14:paraId="2D7DAB2E">
            <w:pPr>
              <w:pStyle w:val="71"/>
              <w:spacing w:before="50" w:beforeAutospacing="0" w:after="50" w:afterAutospacing="0" w:line="360" w:lineRule="auto"/>
              <w:ind w:firstLine="420"/>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□本项目不专门面向中小企业预留采购份额。</w:t>
            </w:r>
          </w:p>
          <w:p w14:paraId="0EC5AAF0">
            <w:pPr>
              <w:pStyle w:val="71"/>
              <w:spacing w:before="50" w:beforeAutospacing="0" w:after="50" w:afterAutospacing="0" w:line="360" w:lineRule="auto"/>
              <w:ind w:firstLine="420"/>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☑本项目专门面向 ☑中小企业 ☑小微企业采购。即：提供的货物或服务全部由符合政策要求的中小/小微企业制造、服务全部由符合政策要求的中小/小微企业承接。</w:t>
            </w:r>
          </w:p>
          <w:p w14:paraId="3FCE334A">
            <w:pPr>
              <w:pStyle w:val="71"/>
              <w:spacing w:before="50" w:beforeAutospacing="0" w:after="50" w:afterAutospacing="0" w:line="360" w:lineRule="auto"/>
              <w:ind w:firstLine="420"/>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□本项目预留部分采购项目预算专门面向中小企业采购。对于预留份额，提供的货物由符合政策要求的中小企业制造、服务由符合政策要求的中小企业承接。预留份额通过以下措施进行：/</w:t>
            </w:r>
          </w:p>
          <w:p w14:paraId="49ECE57F">
            <w:pPr>
              <w:pStyle w:val="71"/>
              <w:spacing w:before="50" w:beforeAutospacing="0" w:after="50" w:afterAutospacing="0" w:line="360" w:lineRule="auto"/>
              <w:ind w:firstLine="420"/>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2.2标项1：（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w:t>
            </w:r>
          </w:p>
          <w:p w14:paraId="33A79545">
            <w:pPr>
              <w:pStyle w:val="71"/>
              <w:spacing w:before="50" w:beforeAutospacing="0" w:after="50" w:afterAutospacing="0" w:line="360" w:lineRule="auto"/>
              <w:ind w:firstLine="420"/>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2）有依法缴纳税收和社会保障资金的良好记录：提供近三个月（近三个月是指2024年10月-2024年12月）的缴纳税收的完税证明；如依法免税的，应提供相应文件证明（需含增值税、印花税等税种；新成立不足3个月的公司按实际发生提供，如当月无需缴税需提供税务机关出具的无欠税证明）；提供近三个月（近三个月是指2024年10月-2024年12月）本单位的社保缴纳证明（社保缴费凭证及明细，新成立不足3个月的公司以实际发生的为准）。如依法不需要缴纳社会保障资金的，应提供相应文件证明；</w:t>
            </w:r>
          </w:p>
          <w:p w14:paraId="25B7ADD2">
            <w:pPr>
              <w:pStyle w:val="71"/>
              <w:spacing w:before="50" w:beforeAutospacing="0" w:after="50" w:afterAutospacing="0" w:line="360" w:lineRule="auto"/>
              <w:ind w:firstLine="420"/>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（3）具有良好的商业信誉和健全的财务会计制度：提供2023年度由第三方财务审计机构出具的财务审计报告或新成立的企业提供银行出具的近三个月的资信证明；</w:t>
            </w:r>
          </w:p>
          <w:p w14:paraId="6EA58414">
            <w:pPr>
              <w:pStyle w:val="71"/>
              <w:spacing w:before="50" w:beforeAutospacing="0" w:after="50" w:afterAutospacing="0" w:line="360" w:lineRule="auto"/>
              <w:ind w:firstLine="420"/>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（4）履行合同所必需的设备和专业技术能力：提供《投标人资格声明函》；</w:t>
            </w:r>
          </w:p>
          <w:p w14:paraId="5B51908F">
            <w:pPr>
              <w:pStyle w:val="71"/>
              <w:spacing w:before="50" w:beforeAutospacing="0" w:after="50" w:afterAutospacing="0" w:line="360" w:lineRule="auto"/>
              <w:ind w:firstLine="420"/>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5）参加采购活动前3年内，在经营活动中没有重大违法记录：提供《投标人资格声明函》。重大违法记录，是指供应商因违法经营受到刑事处罚或者责令停产停业、吊销许可证或者执照、较大数额罚款等行政处罚。（根据财库〔2022〕3号文，“较大数额罚款”认定为200 万元以上的罚款，法律、行政法规以及国务院有关部门明确规定相关领域“较大数额罚款”标准高于200 万元的，从其规定）；</w:t>
            </w:r>
          </w:p>
          <w:p w14:paraId="4BAC0DDE">
            <w:pPr>
              <w:pStyle w:val="71"/>
              <w:spacing w:before="50" w:beforeAutospacing="0" w:after="50" w:afterAutospacing="0" w:line="360" w:lineRule="auto"/>
              <w:ind w:firstLine="420"/>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6）近三年内（本项目投标截止期前）未被“信用中国”（www.creditchina.gov.cn）、中国政府采购网（www.ccgp.gov.cn）列入失信被执行人、重大税收违法案件当事人名单、政府采购严重违法失信行为记录名单（开标现场查询）；</w:t>
            </w:r>
          </w:p>
          <w:p w14:paraId="5782471C">
            <w:pPr>
              <w:pStyle w:val="71"/>
              <w:spacing w:before="50" w:beforeAutospacing="0" w:after="50" w:afterAutospacing="0" w:line="360" w:lineRule="auto"/>
              <w:ind w:firstLine="420"/>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（7）企业负责人为同一人或者存在直接控股、管理关系的不同投标人，不得参加同一合同项下的政府采购活动的声明函；否则，皆取消投标资格；</w:t>
            </w:r>
          </w:p>
          <w:p w14:paraId="7703C85D">
            <w:pPr>
              <w:pStyle w:val="71"/>
              <w:spacing w:before="50" w:beforeAutospacing="0" w:after="50" w:afterAutospacing="0" w:line="360" w:lineRule="auto"/>
              <w:ind w:firstLine="420"/>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（8）投标保证金或电子保函；</w:t>
            </w:r>
          </w:p>
          <w:p w14:paraId="541B31DB">
            <w:pPr>
              <w:pStyle w:val="71"/>
              <w:spacing w:before="50" w:beforeAutospacing="0" w:after="50" w:afterAutospacing="0" w:line="360" w:lineRule="auto"/>
              <w:ind w:firstLine="420"/>
              <w:rPr>
                <w:rFonts w:hint="default"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（9）供应商提供有效的中小企业声明函；</w:t>
            </w:r>
          </w:p>
          <w:p w14:paraId="6F5D5FE3">
            <w:pPr>
              <w:pStyle w:val="71"/>
              <w:spacing w:before="50" w:beforeAutospacing="0" w:after="50" w:afterAutospacing="0" w:line="360" w:lineRule="auto"/>
              <w:ind w:firstLine="420"/>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3.本项目的特定资格要求：</w:t>
            </w:r>
          </w:p>
          <w:p w14:paraId="50B30004">
            <w:pPr>
              <w:pStyle w:val="71"/>
              <w:spacing w:before="50" w:beforeAutospacing="0" w:after="50" w:afterAutospacing="0" w:line="360" w:lineRule="auto"/>
              <w:ind w:firstLine="420"/>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标项1：</w:t>
            </w:r>
            <w:r>
              <w:rPr>
                <w:rFonts w:hint="eastAsia" w:cs="宋体"/>
                <w:color w:val="000000"/>
                <w:szCs w:val="21"/>
                <w:highlight w:val="none"/>
                <w:lang w:val="en-US" w:eastAsia="zh-CN"/>
              </w:rPr>
              <w:t>供应商必须具有有效的《林草种子生产经营许可证》</w:t>
            </w: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w:t>
            </w:r>
          </w:p>
        </w:tc>
      </w:tr>
      <w:tr w14:paraId="5D72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Align w:val="center"/>
          </w:tcPr>
          <w:p w14:paraId="10B9C386">
            <w:pPr>
              <w:numPr>
                <w:ilvl w:val="0"/>
                <w:numId w:val="5"/>
              </w:numPr>
              <w:adjustRightInd w:val="0"/>
              <w:snapToGrid w:val="0"/>
              <w:spacing w:line="360" w:lineRule="auto"/>
              <w:ind w:left="425" w:leftChars="0" w:hanging="425" w:firstLineChars="0"/>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p>
        </w:tc>
        <w:tc>
          <w:tcPr>
            <w:tcW w:w="2035" w:type="dxa"/>
            <w:vAlign w:val="center"/>
          </w:tcPr>
          <w:p w14:paraId="4D596FE9">
            <w:pPr>
              <w:adjustRightInd w:val="0"/>
              <w:snapToGrid w:val="0"/>
              <w:spacing w:line="360" w:lineRule="auto"/>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保证金缴纳方式及金额</w:t>
            </w:r>
          </w:p>
        </w:tc>
        <w:tc>
          <w:tcPr>
            <w:tcW w:w="6477" w:type="dxa"/>
            <w:vAlign w:val="center"/>
          </w:tcPr>
          <w:p w14:paraId="69FB12C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投标保证金的缴纳形式：根据财政部《关于促进政府采购公平竞争优化营商环境的通知》（财库〔2019〕38 号）。请各投标企业充分考虑当前营商环境情况，选择切实可行的方式缴纳：</w:t>
            </w:r>
          </w:p>
          <w:p w14:paraId="15997C4D">
            <w:pPr>
              <w:keepNext w:val="0"/>
              <w:keepLines w:val="0"/>
              <w:widowControl/>
              <w:suppressLineNumbers w:val="0"/>
              <w:jc w:val="left"/>
              <w:rPr>
                <w:rFonts w:hint="eastAsia" w:ascii="宋体" w:hAnsi="宋体" w:eastAsia="宋体" w:cs="宋体"/>
                <w:i w:val="0"/>
                <w:iCs w:val="0"/>
                <w:caps w:val="0"/>
                <w:color w:val="auto"/>
                <w:spacing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投标保证金的金额：80000.00元（捌万元整）</w:t>
            </w:r>
            <w:r>
              <w:rPr>
                <w:rFonts w:hint="eastAsia" w:ascii="宋体" w:hAnsi="宋体" w:eastAsia="宋体" w:cs="宋体"/>
                <w:i w:val="0"/>
                <w:iCs w:val="0"/>
                <w:caps w:val="0"/>
                <w:color w:val="auto"/>
                <w:spacing w:val="0"/>
                <w:sz w:val="24"/>
                <w:szCs w:val="24"/>
                <w:highlight w:val="none"/>
              </w:rPr>
              <w:t>开户名称：于田县公共资源交易中心，开户银行：于田县农村信用合作联社丝路信用社，账号：882010212010106202100。投标保证金缴纳的截止时间为</w:t>
            </w:r>
            <w:r>
              <w:rPr>
                <w:rFonts w:hint="eastAsia" w:cs="宋体"/>
                <w:i w:val="0"/>
                <w:iCs w:val="0"/>
                <w:caps w:val="0"/>
                <w:color w:val="auto"/>
                <w:spacing w:val="0"/>
                <w:sz w:val="24"/>
                <w:szCs w:val="24"/>
                <w:highlight w:val="none"/>
                <w:lang w:eastAsia="zh-CN"/>
              </w:rPr>
              <w:t>202</w:t>
            </w:r>
            <w:r>
              <w:rPr>
                <w:rFonts w:hint="eastAsia" w:cs="宋体"/>
                <w:i w:val="0"/>
                <w:iCs w:val="0"/>
                <w:caps w:val="0"/>
                <w:color w:val="auto"/>
                <w:spacing w:val="0"/>
                <w:sz w:val="24"/>
                <w:szCs w:val="24"/>
                <w:highlight w:val="none"/>
                <w:lang w:val="en-US" w:eastAsia="zh-CN"/>
              </w:rPr>
              <w:t>5</w:t>
            </w:r>
            <w:r>
              <w:rPr>
                <w:rFonts w:hint="eastAsia" w:cs="宋体"/>
                <w:i w:val="0"/>
                <w:iCs w:val="0"/>
                <w:caps w:val="0"/>
                <w:color w:val="auto"/>
                <w:spacing w:val="0"/>
                <w:sz w:val="24"/>
                <w:szCs w:val="24"/>
                <w:highlight w:val="none"/>
                <w:lang w:eastAsia="zh-CN"/>
              </w:rPr>
              <w:t>年</w:t>
            </w:r>
            <w:r>
              <w:rPr>
                <w:rFonts w:hint="eastAsia" w:cs="宋体"/>
                <w:i w:val="0"/>
                <w:iCs w:val="0"/>
                <w:caps w:val="0"/>
                <w:color w:val="auto"/>
                <w:spacing w:val="0"/>
                <w:sz w:val="24"/>
                <w:szCs w:val="24"/>
                <w:highlight w:val="none"/>
                <w:lang w:val="en-US" w:eastAsia="zh-CN"/>
              </w:rPr>
              <w:t>01月22日</w:t>
            </w:r>
            <w:r>
              <w:rPr>
                <w:rFonts w:hint="eastAsia" w:cs="宋体"/>
                <w:i w:val="0"/>
                <w:iCs w:val="0"/>
                <w:caps w:val="0"/>
                <w:color w:val="auto"/>
                <w:spacing w:val="0"/>
                <w:sz w:val="24"/>
                <w:szCs w:val="24"/>
                <w:highlight w:val="none"/>
                <w:lang w:eastAsia="zh-CN"/>
              </w:rPr>
              <w:t>11：00</w:t>
            </w:r>
            <w:r>
              <w:rPr>
                <w:rFonts w:hint="eastAsia" w:ascii="宋体" w:hAnsi="宋体" w:eastAsia="宋体" w:cs="宋体"/>
                <w:i w:val="0"/>
                <w:iCs w:val="0"/>
                <w:caps w:val="0"/>
                <w:color w:val="auto"/>
                <w:spacing w:val="0"/>
                <w:sz w:val="24"/>
                <w:szCs w:val="24"/>
                <w:highlight w:val="none"/>
              </w:rPr>
              <w:t>（北京时间），缴纳投标保证金时应在付款用途里标明项目项目名称或项目编号、用途。投标保证金以进账时间为准，投标人在缴纳投标保证金时，应充分考虑资金在途时间。投标保证金以其进账时间确定其有效性，在规定时间内未进入到指定账户，按废标处理。开标前投标单位不需至</w:t>
            </w:r>
            <w:r>
              <w:rPr>
                <w:rFonts w:hint="eastAsia" w:cs="宋体"/>
                <w:i w:val="0"/>
                <w:iCs w:val="0"/>
                <w:caps w:val="0"/>
                <w:color w:val="auto"/>
                <w:spacing w:val="0"/>
                <w:sz w:val="24"/>
                <w:szCs w:val="24"/>
                <w:highlight w:val="none"/>
                <w:lang w:eastAsia="zh-CN"/>
              </w:rPr>
              <w:t>于田县行政服务和公共资源交易中心</w:t>
            </w:r>
            <w:r>
              <w:rPr>
                <w:rFonts w:hint="eastAsia" w:ascii="宋体" w:hAnsi="宋体" w:eastAsia="宋体" w:cs="宋体"/>
                <w:i w:val="0"/>
                <w:iCs w:val="0"/>
                <w:caps w:val="0"/>
                <w:color w:val="auto"/>
                <w:spacing w:val="0"/>
                <w:sz w:val="24"/>
                <w:szCs w:val="24"/>
                <w:highlight w:val="none"/>
              </w:rPr>
              <w:t>换取保证金收据原件</w:t>
            </w:r>
            <w:r>
              <w:rPr>
                <w:rFonts w:hint="eastAsia"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开标时</w:t>
            </w:r>
            <w:r>
              <w:rPr>
                <w:rFonts w:hint="eastAsia" w:cs="宋体"/>
                <w:i w:val="0"/>
                <w:iCs w:val="0"/>
                <w:caps w:val="0"/>
                <w:color w:val="auto"/>
                <w:spacing w:val="0"/>
                <w:sz w:val="24"/>
                <w:szCs w:val="24"/>
                <w:highlight w:val="none"/>
                <w:lang w:val="en-US" w:eastAsia="zh-CN"/>
              </w:rPr>
              <w:t>投标文件需提供</w:t>
            </w:r>
            <w:r>
              <w:rPr>
                <w:rFonts w:hint="eastAsia" w:ascii="宋体" w:hAnsi="宋体" w:eastAsia="宋体" w:cs="宋体"/>
                <w:i w:val="0"/>
                <w:iCs w:val="0"/>
                <w:caps w:val="0"/>
                <w:color w:val="auto"/>
                <w:spacing w:val="0"/>
                <w:sz w:val="24"/>
                <w:szCs w:val="24"/>
                <w:highlight w:val="none"/>
              </w:rPr>
              <w:t>投标保证金银行回单</w:t>
            </w:r>
            <w:r>
              <w:rPr>
                <w:rFonts w:hint="eastAsia" w:cs="宋体"/>
                <w:i w:val="0"/>
                <w:iCs w:val="0"/>
                <w:caps w:val="0"/>
                <w:color w:val="auto"/>
                <w:spacing w:val="0"/>
                <w:sz w:val="24"/>
                <w:szCs w:val="24"/>
                <w:highlight w:val="none"/>
                <w:lang w:val="en-US" w:eastAsia="zh-CN"/>
              </w:rPr>
              <w:t>及开户许可证</w:t>
            </w:r>
            <w:r>
              <w:rPr>
                <w:rFonts w:hint="eastAsia"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开标结束后未中标企业将授权委托书或法人身份证复印件、开户许可证</w:t>
            </w:r>
            <w:r>
              <w:rPr>
                <w:rFonts w:hint="eastAsia" w:cs="宋体"/>
                <w:i w:val="0"/>
                <w:iCs w:val="0"/>
                <w:caps w:val="0"/>
                <w:color w:val="auto"/>
                <w:spacing w:val="0"/>
                <w:sz w:val="24"/>
                <w:szCs w:val="24"/>
                <w:highlight w:val="none"/>
                <w:lang w:val="en-US" w:eastAsia="zh-CN"/>
              </w:rPr>
              <w:t>复印件</w:t>
            </w:r>
            <w:r>
              <w:rPr>
                <w:rFonts w:hint="eastAsia" w:ascii="宋体" w:hAnsi="宋体" w:eastAsia="宋体" w:cs="宋体"/>
                <w:i w:val="0"/>
                <w:iCs w:val="0"/>
                <w:caps w:val="0"/>
                <w:color w:val="auto"/>
                <w:spacing w:val="0"/>
                <w:sz w:val="24"/>
                <w:szCs w:val="24"/>
                <w:highlight w:val="none"/>
              </w:rPr>
              <w:t>（必须加盖公司公章）、银行回单</w:t>
            </w:r>
            <w:r>
              <w:rPr>
                <w:rFonts w:hint="eastAsia" w:cs="宋体"/>
                <w:i w:val="0"/>
                <w:iCs w:val="0"/>
                <w:caps w:val="0"/>
                <w:color w:val="auto"/>
                <w:spacing w:val="0"/>
                <w:sz w:val="24"/>
                <w:szCs w:val="24"/>
                <w:highlight w:val="none"/>
                <w:lang w:val="en-US" w:eastAsia="zh-CN"/>
              </w:rPr>
              <w:t>发送至代理邮箱（992269770@qq.com）</w:t>
            </w:r>
            <w:r>
              <w:rPr>
                <w:rFonts w:hint="eastAsia" w:ascii="宋体" w:hAnsi="宋体" w:eastAsia="宋体" w:cs="宋体"/>
                <w:i w:val="0"/>
                <w:iCs w:val="0"/>
                <w:caps w:val="0"/>
                <w:color w:val="auto"/>
                <w:spacing w:val="0"/>
                <w:sz w:val="24"/>
                <w:szCs w:val="24"/>
                <w:highlight w:val="none"/>
              </w:rPr>
              <w:t>递交至</w:t>
            </w:r>
            <w:r>
              <w:rPr>
                <w:rFonts w:hint="eastAsia" w:cs="宋体"/>
                <w:i w:val="0"/>
                <w:iCs w:val="0"/>
                <w:caps w:val="0"/>
                <w:color w:val="auto"/>
                <w:spacing w:val="0"/>
                <w:sz w:val="24"/>
                <w:szCs w:val="24"/>
                <w:highlight w:val="none"/>
                <w:lang w:eastAsia="zh-CN"/>
              </w:rPr>
              <w:t>于田县公共资源交易中心</w:t>
            </w:r>
            <w:r>
              <w:rPr>
                <w:rFonts w:hint="eastAsia" w:ascii="宋体" w:hAnsi="宋体" w:eastAsia="宋体" w:cs="宋体"/>
                <w:i w:val="0"/>
                <w:iCs w:val="0"/>
                <w:caps w:val="0"/>
                <w:color w:val="auto"/>
                <w:spacing w:val="0"/>
                <w:sz w:val="24"/>
                <w:szCs w:val="24"/>
                <w:highlight w:val="none"/>
              </w:rPr>
              <w:t>财务室。</w:t>
            </w:r>
          </w:p>
          <w:p w14:paraId="3ACC4EB9">
            <w:pPr>
              <w:keepNext w:val="0"/>
              <w:keepLines w:val="0"/>
              <w:widowControl/>
              <w:suppressLineNumbers w:val="0"/>
              <w:jc w:val="left"/>
              <w:rPr>
                <w:rFonts w:hint="eastAsia" w:ascii="宋体" w:hAnsi="宋体" w:eastAsia="宋体" w:cs="宋体"/>
                <w:b/>
                <w:bCs/>
                <w:i w:val="0"/>
                <w:iCs w:val="0"/>
                <w:caps w:val="0"/>
                <w:color w:val="auto"/>
                <w:spacing w:val="0"/>
                <w:sz w:val="24"/>
                <w:szCs w:val="24"/>
                <w:highlight w:val="none"/>
                <w:lang w:val="en-US" w:eastAsia="zh-CN"/>
              </w:rPr>
            </w:pPr>
            <w:r>
              <w:rPr>
                <w:rFonts w:hint="eastAsia" w:ascii="宋体" w:hAnsi="宋体" w:eastAsia="宋体" w:cs="宋体"/>
                <w:b/>
                <w:bCs/>
                <w:i w:val="0"/>
                <w:iCs w:val="0"/>
                <w:caps w:val="0"/>
                <w:color w:val="auto"/>
                <w:spacing w:val="0"/>
                <w:sz w:val="24"/>
                <w:szCs w:val="24"/>
                <w:highlight w:val="none"/>
                <w:lang w:val="en-US" w:eastAsia="zh-CN"/>
              </w:rPr>
              <w:t>注意：投标企业打保证金的时候一定要备注项目名称，如果项目名称太长可以缩写或者写项目编号。</w:t>
            </w:r>
          </w:p>
          <w:p w14:paraId="2EBDF691">
            <w:pPr>
              <w:keepNext w:val="0"/>
              <w:keepLines w:val="0"/>
              <w:widowControl/>
              <w:suppressLineNumbers w:val="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电子保函使用方法：1、登录新疆维吾尔自治区政府采购网，首页点击“电子保函”直接进入新疆政府采购电子保函申请页，点击【立即申请】2、依次完善页面显示的投保人信息（供应商信息），确认您要投保的项目信息，在投保项目选择页面选择您需要投保的项目（可根据项目名称或项目保函进行搜索），选择投保项目后填写被保险人信息及投保内容。</w:t>
            </w:r>
          </w:p>
          <w:p w14:paraId="45A917D2">
            <w:pPr>
              <w:keepNext w:val="0"/>
              <w:keepLines w:val="0"/>
              <w:widowControl/>
              <w:suppressLineNumbers w:val="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保函投保金额：</w:t>
            </w:r>
            <w:r>
              <w:rPr>
                <w:rFonts w:hint="eastAsia" w:ascii="宋体" w:hAnsi="宋体" w:eastAsia="宋体" w:cs="宋体"/>
                <w:i w:val="0"/>
                <w:iCs w:val="0"/>
                <w:caps w:val="0"/>
                <w:color w:val="auto"/>
                <w:spacing w:val="0"/>
                <w:sz w:val="24"/>
                <w:szCs w:val="24"/>
                <w:highlight w:val="none"/>
                <w:lang w:val="en-US" w:eastAsia="zh-CN"/>
              </w:rPr>
              <w:t>80</w:t>
            </w:r>
            <w:r>
              <w:rPr>
                <w:rFonts w:hint="eastAsia" w:ascii="宋体" w:hAnsi="宋体" w:eastAsia="宋体" w:cs="宋体"/>
                <w:i w:val="0"/>
                <w:iCs w:val="0"/>
                <w:caps w:val="0"/>
                <w:color w:val="auto"/>
                <w:spacing w:val="0"/>
                <w:sz w:val="24"/>
                <w:szCs w:val="24"/>
                <w:highlight w:val="none"/>
                <w:lang w:eastAsia="zh-CN"/>
              </w:rPr>
              <w:t>000.00</w:t>
            </w:r>
            <w:r>
              <w:rPr>
                <w:rFonts w:hint="eastAsia" w:ascii="宋体" w:hAnsi="宋体" w:eastAsia="宋体" w:cs="宋体"/>
                <w:i w:val="0"/>
                <w:iCs w:val="0"/>
                <w:caps w:val="0"/>
                <w:color w:val="auto"/>
                <w:spacing w:val="0"/>
                <w:sz w:val="24"/>
                <w:szCs w:val="24"/>
                <w:highlight w:val="none"/>
              </w:rPr>
              <w:t>元</w:t>
            </w:r>
          </w:p>
          <w:p w14:paraId="710CC9E3">
            <w:pPr>
              <w:keepNext w:val="0"/>
              <w:keepLines w:val="0"/>
              <w:widowControl/>
              <w:suppressLineNumbers w:val="0"/>
              <w:jc w:val="left"/>
              <w:rPr>
                <w:rFonts w:hint="eastAsia" w:ascii="宋体" w:hAnsi="宋体" w:eastAsia="宋体" w:cs="宋体"/>
                <w:b/>
                <w:bCs/>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保函承保期限：202</w:t>
            </w:r>
            <w:r>
              <w:rPr>
                <w:rFonts w:hint="eastAsia" w:ascii="宋体" w:hAnsi="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年</w:t>
            </w:r>
            <w:r>
              <w:rPr>
                <w:rFonts w:hint="eastAsia" w:ascii="宋体" w:hAnsi="宋体" w:cs="宋体"/>
                <w:i w:val="0"/>
                <w:iCs w:val="0"/>
                <w:caps w:val="0"/>
                <w:color w:val="auto"/>
                <w:spacing w:val="0"/>
                <w:sz w:val="24"/>
                <w:szCs w:val="24"/>
                <w:highlight w:val="none"/>
                <w:lang w:val="en-US" w:eastAsia="zh-CN"/>
              </w:rPr>
              <w:t>01月22日</w:t>
            </w:r>
            <w:r>
              <w:rPr>
                <w:rFonts w:hint="eastAsia" w:ascii="宋体" w:hAnsi="宋体" w:eastAsia="宋体" w:cs="宋体"/>
                <w:i w:val="0"/>
                <w:iCs w:val="0"/>
                <w:caps w:val="0"/>
                <w:color w:val="auto"/>
                <w:spacing w:val="0"/>
                <w:sz w:val="24"/>
                <w:szCs w:val="24"/>
                <w:highlight w:val="none"/>
              </w:rPr>
              <w:t>－---202</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年</w:t>
            </w:r>
            <w:r>
              <w:rPr>
                <w:rFonts w:hint="eastAsia" w:ascii="宋体" w:hAnsi="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月</w:t>
            </w:r>
            <w:r>
              <w:rPr>
                <w:rFonts w:hint="eastAsia" w:ascii="宋体" w:hAnsi="宋体" w:cs="宋体"/>
                <w:i w:val="0"/>
                <w:iCs w:val="0"/>
                <w:caps w:val="0"/>
                <w:color w:val="auto"/>
                <w:spacing w:val="0"/>
                <w:sz w:val="24"/>
                <w:szCs w:val="24"/>
                <w:highlight w:val="none"/>
                <w:lang w:val="en-US" w:eastAsia="zh-CN"/>
              </w:rPr>
              <w:t>22</w:t>
            </w:r>
            <w:r>
              <w:rPr>
                <w:rFonts w:hint="eastAsia" w:ascii="宋体" w:hAnsi="宋体" w:eastAsia="宋体" w:cs="宋体"/>
                <w:i w:val="0"/>
                <w:iCs w:val="0"/>
                <w:caps w:val="0"/>
                <w:color w:val="auto"/>
                <w:spacing w:val="0"/>
                <w:sz w:val="24"/>
                <w:szCs w:val="24"/>
                <w:highlight w:val="none"/>
              </w:rPr>
              <w:t>日（90日历天）</w:t>
            </w:r>
          </w:p>
        </w:tc>
      </w:tr>
      <w:tr w14:paraId="3E73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Align w:val="center"/>
          </w:tcPr>
          <w:p w14:paraId="0CCB286A">
            <w:pPr>
              <w:numPr>
                <w:ilvl w:val="0"/>
                <w:numId w:val="5"/>
              </w:numPr>
              <w:adjustRightInd w:val="0"/>
              <w:snapToGrid w:val="0"/>
              <w:spacing w:line="360" w:lineRule="auto"/>
              <w:ind w:left="425" w:leftChars="0" w:hanging="425" w:firstLineChars="0"/>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p>
        </w:tc>
        <w:tc>
          <w:tcPr>
            <w:tcW w:w="2035" w:type="dxa"/>
            <w:vAlign w:val="center"/>
          </w:tcPr>
          <w:p w14:paraId="6851630A">
            <w:pPr>
              <w:adjustRightInd w:val="0"/>
              <w:snapToGrid w:val="0"/>
              <w:spacing w:line="360" w:lineRule="auto"/>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信用情况</w:t>
            </w:r>
          </w:p>
        </w:tc>
        <w:tc>
          <w:tcPr>
            <w:tcW w:w="6477" w:type="dxa"/>
            <w:vAlign w:val="center"/>
          </w:tcPr>
          <w:p w14:paraId="04D50F05">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1、信用记录查询时间及方式：</w:t>
            </w:r>
          </w:p>
          <w:p w14:paraId="45C34B05">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（1）查询时间：自招标公告发布日期起至开标日期止，超出此时间范围将被视为无效投标。</w:t>
            </w:r>
          </w:p>
          <w:p w14:paraId="40480237">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2）查询方式：投标人自行通过“信用中国”及“中国政府采购网”查询，并按招标文件要求提供网页材料。被列入失信被执行人、政府采购严重违法失信行为记录名单，其他不符合《中华人民共和国政府采购法》第二十二条规定条件的供应商，其投标文件将被视为无效投标。未提供证明材料的视为不响应招标文件。</w:t>
            </w:r>
          </w:p>
          <w:p w14:paraId="3D16695A">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（3）供应商参加政府采购活动时，应当就自己的诚信情况在响应性文件中进行承诺。</w:t>
            </w:r>
          </w:p>
          <w:p w14:paraId="4AB4DBD6">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本项目不接受失信企业投标。</w:t>
            </w:r>
          </w:p>
        </w:tc>
      </w:tr>
      <w:tr w14:paraId="602E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Align w:val="center"/>
          </w:tcPr>
          <w:p w14:paraId="09C1AA5E">
            <w:pPr>
              <w:numPr>
                <w:ilvl w:val="0"/>
                <w:numId w:val="5"/>
              </w:numPr>
              <w:adjustRightInd w:val="0"/>
              <w:snapToGrid w:val="0"/>
              <w:spacing w:line="360" w:lineRule="auto"/>
              <w:ind w:left="425" w:leftChars="0" w:hanging="425" w:firstLineChars="0"/>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p>
        </w:tc>
        <w:tc>
          <w:tcPr>
            <w:tcW w:w="2035" w:type="dxa"/>
            <w:vAlign w:val="center"/>
          </w:tcPr>
          <w:p w14:paraId="6F7E11C1">
            <w:pPr>
              <w:adjustRightInd w:val="0"/>
              <w:snapToGrid w:val="0"/>
              <w:spacing w:line="360" w:lineRule="auto"/>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标前准备</w:t>
            </w:r>
          </w:p>
        </w:tc>
        <w:tc>
          <w:tcPr>
            <w:tcW w:w="6477" w:type="dxa"/>
            <w:vAlign w:val="center"/>
          </w:tcPr>
          <w:p w14:paraId="6F111F93">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 xml:space="preserve">1、本项目实行网上投标，采用电子投标文件。若供应商参与投标，自行承担投标一切费用。 </w:t>
            </w:r>
          </w:p>
          <w:p w14:paraId="1C4E43BE">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 xml:space="preserve">2、各供应商应在开标前应确保成为新疆维吾尔自治区政府采购网正式注册入库供应商，并完成CA数字证书申领。因未注册入库、未办理CA数字证书等原因造成无法投标或投标失败等后果由供应商自行承担。 </w:t>
            </w:r>
          </w:p>
          <w:p w14:paraId="47FE0D80">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3、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7E7B3289">
            <w:pPr>
              <w:keepNext w:val="0"/>
              <w:keepLines w:val="0"/>
              <w:pageBreakBefore w:val="0"/>
              <w:widowControl w:val="0"/>
              <w:kinsoku/>
              <w:wordWrap w:val="0"/>
              <w:overflowPunct/>
              <w:topLinePunct w:val="0"/>
              <w:autoSpaceDE/>
              <w:autoSpaceDN/>
              <w:bidi w:val="0"/>
              <w:adjustRightInd w:val="0"/>
              <w:snapToGrid w:val="0"/>
              <w:spacing w:line="240" w:lineRule="auto"/>
              <w:ind w:left="0" w:right="62"/>
              <w:jc w:val="left"/>
              <w:textAlignment w:val="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tc>
      </w:tr>
      <w:tr w14:paraId="6C09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0" w:type="dxa"/>
            <w:vAlign w:val="center"/>
          </w:tcPr>
          <w:p w14:paraId="7D1FA1D6">
            <w:pPr>
              <w:numPr>
                <w:ilvl w:val="0"/>
                <w:numId w:val="5"/>
              </w:numPr>
              <w:adjustRightInd w:val="0"/>
              <w:snapToGrid w:val="0"/>
              <w:spacing w:line="240" w:lineRule="auto"/>
              <w:ind w:left="425" w:leftChars="0" w:hanging="425" w:firstLineChars="0"/>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p>
        </w:tc>
        <w:tc>
          <w:tcPr>
            <w:tcW w:w="2035" w:type="dxa"/>
            <w:vAlign w:val="center"/>
          </w:tcPr>
          <w:p w14:paraId="7247A860">
            <w:pPr>
              <w:adjustRightInd w:val="0"/>
              <w:snapToGrid w:val="0"/>
              <w:spacing w:line="240" w:lineRule="auto"/>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资金来源</w:t>
            </w:r>
          </w:p>
        </w:tc>
        <w:tc>
          <w:tcPr>
            <w:tcW w:w="6477" w:type="dxa"/>
            <w:vAlign w:val="center"/>
          </w:tcPr>
          <w:p w14:paraId="6F1DB429">
            <w:pPr>
              <w:adjustRightInd w:val="0"/>
              <w:snapToGrid w:val="0"/>
              <w:spacing w:line="240" w:lineRule="auto"/>
              <w:jc w:val="left"/>
              <w:rPr>
                <w:rFonts w:hint="default"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中央财政资金</w:t>
            </w:r>
          </w:p>
        </w:tc>
      </w:tr>
      <w:tr w14:paraId="1CBA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Align w:val="center"/>
          </w:tcPr>
          <w:p w14:paraId="5A5CE88A">
            <w:pPr>
              <w:numPr>
                <w:ilvl w:val="0"/>
                <w:numId w:val="5"/>
              </w:numPr>
              <w:adjustRightInd w:val="0"/>
              <w:snapToGrid w:val="0"/>
              <w:spacing w:line="240" w:lineRule="auto"/>
              <w:ind w:left="425" w:leftChars="0" w:hanging="425" w:firstLineChars="0"/>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p>
        </w:tc>
        <w:tc>
          <w:tcPr>
            <w:tcW w:w="2035" w:type="dxa"/>
            <w:vAlign w:val="center"/>
          </w:tcPr>
          <w:p w14:paraId="61275940">
            <w:pPr>
              <w:adjustRightInd w:val="0"/>
              <w:snapToGrid w:val="0"/>
              <w:spacing w:line="240" w:lineRule="auto"/>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投标有效期</w:t>
            </w:r>
          </w:p>
        </w:tc>
        <w:tc>
          <w:tcPr>
            <w:tcW w:w="6477" w:type="dxa"/>
            <w:vAlign w:val="center"/>
          </w:tcPr>
          <w:p w14:paraId="53E039CC">
            <w:pPr>
              <w:adjustRightInd w:val="0"/>
              <w:snapToGrid w:val="0"/>
              <w:spacing w:line="240" w:lineRule="auto"/>
              <w:jc w:val="left"/>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90天（日历日）</w:t>
            </w:r>
          </w:p>
        </w:tc>
      </w:tr>
      <w:tr w14:paraId="5C74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Align w:val="center"/>
          </w:tcPr>
          <w:p w14:paraId="6F690F15">
            <w:pPr>
              <w:numPr>
                <w:ilvl w:val="0"/>
                <w:numId w:val="5"/>
              </w:numPr>
              <w:adjustRightInd w:val="0"/>
              <w:snapToGrid w:val="0"/>
              <w:spacing w:line="360" w:lineRule="auto"/>
              <w:ind w:left="425" w:leftChars="0" w:hanging="425" w:firstLineChars="0"/>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p>
        </w:tc>
        <w:tc>
          <w:tcPr>
            <w:tcW w:w="2035" w:type="dxa"/>
            <w:vAlign w:val="center"/>
          </w:tcPr>
          <w:p w14:paraId="265BA4AD">
            <w:pPr>
              <w:adjustRightInd w:val="0"/>
              <w:snapToGrid w:val="0"/>
              <w:spacing w:line="360" w:lineRule="auto"/>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招标文件发放</w:t>
            </w:r>
          </w:p>
        </w:tc>
        <w:tc>
          <w:tcPr>
            <w:tcW w:w="6477" w:type="dxa"/>
            <w:vAlign w:val="center"/>
          </w:tcPr>
          <w:p w14:paraId="68A7DF1A">
            <w:pPr>
              <w:adjustRightInd w:val="0"/>
              <w:snapToGrid w:val="0"/>
              <w:spacing w:line="240" w:lineRule="auto"/>
              <w:jc w:val="left"/>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时间：2025年01月02日至2025年01月21日；每天上午00：00至12:00，下午12:00至23：59（北京时间，法定节假日除外）</w:t>
            </w:r>
          </w:p>
          <w:p w14:paraId="299ACBF6">
            <w:pPr>
              <w:adjustRightInd w:val="0"/>
              <w:snapToGrid w:val="0"/>
              <w:spacing w:line="240" w:lineRule="auto"/>
              <w:jc w:val="left"/>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地点：供应商登录政采云平台https://www.zcygov.cn/在线申请获取采购文件（进入“项目采购”应用，在获取采购文件菜单中选择项目，申请获取采购文件）</w:t>
            </w:r>
          </w:p>
        </w:tc>
      </w:tr>
      <w:tr w14:paraId="7933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Align w:val="center"/>
          </w:tcPr>
          <w:p w14:paraId="11AC915B">
            <w:pPr>
              <w:numPr>
                <w:ilvl w:val="0"/>
                <w:numId w:val="5"/>
              </w:numPr>
              <w:adjustRightInd w:val="0"/>
              <w:snapToGrid w:val="0"/>
              <w:spacing w:line="240" w:lineRule="auto"/>
              <w:ind w:left="425" w:leftChars="0" w:hanging="425" w:firstLineChars="0"/>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p>
        </w:tc>
        <w:tc>
          <w:tcPr>
            <w:tcW w:w="2035" w:type="dxa"/>
            <w:vAlign w:val="center"/>
          </w:tcPr>
          <w:p w14:paraId="60C79375">
            <w:pPr>
              <w:adjustRightInd w:val="0"/>
              <w:snapToGrid w:val="0"/>
              <w:spacing w:line="240" w:lineRule="auto"/>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投标截止时间</w:t>
            </w:r>
          </w:p>
        </w:tc>
        <w:tc>
          <w:tcPr>
            <w:tcW w:w="6477" w:type="dxa"/>
            <w:vAlign w:val="center"/>
          </w:tcPr>
          <w:p w14:paraId="04DEEE3E">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2025年01月22日11：00：00（北京时间）</w:t>
            </w:r>
          </w:p>
        </w:tc>
      </w:tr>
      <w:tr w14:paraId="45D3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Align w:val="center"/>
          </w:tcPr>
          <w:p w14:paraId="65B644A9">
            <w:pPr>
              <w:numPr>
                <w:ilvl w:val="0"/>
                <w:numId w:val="5"/>
              </w:numPr>
              <w:adjustRightInd w:val="0"/>
              <w:snapToGrid w:val="0"/>
              <w:spacing w:line="360" w:lineRule="auto"/>
              <w:ind w:left="425" w:leftChars="0" w:hanging="425" w:firstLineChars="0"/>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p>
        </w:tc>
        <w:tc>
          <w:tcPr>
            <w:tcW w:w="2035" w:type="dxa"/>
            <w:vAlign w:val="center"/>
          </w:tcPr>
          <w:p w14:paraId="49471B69">
            <w:pPr>
              <w:adjustRightInd w:val="0"/>
              <w:snapToGrid w:val="0"/>
              <w:spacing w:line="240" w:lineRule="auto"/>
              <w:jc w:val="left"/>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递交投标文件的地点及方式</w:t>
            </w:r>
          </w:p>
        </w:tc>
        <w:tc>
          <w:tcPr>
            <w:tcW w:w="6477" w:type="dxa"/>
            <w:vAlign w:val="center"/>
          </w:tcPr>
          <w:p w14:paraId="7BFCAFCD">
            <w:pPr>
              <w:adjustRightInd w:val="0"/>
              <w:snapToGrid w:val="0"/>
              <w:spacing w:line="240" w:lineRule="auto"/>
              <w:jc w:val="left"/>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投标人应于2025年01月22日11：00之前将电子投标文件上传到“政采云”平台。应按照本项目招标文件和政采云的要求编制、加密传输投标文件。供应商在使用系统进行投标的过程中遇到涉及平台使用的任何问题，可致电政采云平台技术支持热线咨询，联系方式：400-881-7190。</w:t>
            </w:r>
          </w:p>
          <w:p w14:paraId="2109D688">
            <w:pPr>
              <w:adjustRightInd w:val="0"/>
              <w:snapToGrid w:val="0"/>
              <w:spacing w:line="240" w:lineRule="auto"/>
              <w:jc w:val="left"/>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注：本项目采用“不见面”方式开标，如招标文件或招标公告中存在与“不见面”开标方式矛盾或不一致的规定或要求，均自动失效。</w:t>
            </w:r>
          </w:p>
        </w:tc>
      </w:tr>
      <w:tr w14:paraId="6B11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20" w:type="dxa"/>
            <w:vAlign w:val="center"/>
          </w:tcPr>
          <w:p w14:paraId="20225EFB">
            <w:pPr>
              <w:numPr>
                <w:ilvl w:val="0"/>
                <w:numId w:val="5"/>
              </w:numPr>
              <w:adjustRightInd w:val="0"/>
              <w:snapToGrid w:val="0"/>
              <w:spacing w:line="360" w:lineRule="auto"/>
              <w:ind w:left="425" w:leftChars="0" w:hanging="425" w:firstLineChars="0"/>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p>
        </w:tc>
        <w:tc>
          <w:tcPr>
            <w:tcW w:w="2035" w:type="dxa"/>
            <w:vAlign w:val="center"/>
          </w:tcPr>
          <w:p w14:paraId="3F1A5C9C">
            <w:pPr>
              <w:adjustRightInd w:val="0"/>
              <w:snapToGrid w:val="0"/>
              <w:spacing w:line="360" w:lineRule="auto"/>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投标文件解密时间</w:t>
            </w:r>
          </w:p>
        </w:tc>
        <w:tc>
          <w:tcPr>
            <w:tcW w:w="6477" w:type="dxa"/>
            <w:vAlign w:val="center"/>
          </w:tcPr>
          <w:p w14:paraId="3404142F">
            <w:pPr>
              <w:adjustRightInd w:val="0"/>
              <w:snapToGrid w:val="0"/>
              <w:spacing w:line="240" w:lineRule="auto"/>
              <w:jc w:val="left"/>
              <w:rPr>
                <w:rFonts w:hint="eastAsia" w:asciiTheme="minorEastAsia" w:hAnsiTheme="minorEastAsia" w:eastAsiaTheme="minorEastAsia" w:cstheme="minorEastAsia"/>
                <w:b/>
                <w:bCs w:val="0"/>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bCs w:val="0"/>
                <w:i w:val="0"/>
                <w:caps w:val="0"/>
                <w:color w:val="auto"/>
                <w:spacing w:val="0"/>
                <w:kern w:val="0"/>
                <w:sz w:val="24"/>
                <w:szCs w:val="24"/>
                <w:highlight w:val="none"/>
                <w:lang w:val="en-US" w:eastAsia="zh-CN" w:bidi="ar"/>
              </w:rPr>
              <w:t>1、投标截止时间后，供应商应及时登录“政采云”平台，用“项目采购－开标评标”功能对投标文件进行解密。规定的解密时限为：2025年01月22日11：00-11：30前（30分钟内），若供应商在规定时间内（2025年01月22日11：00-11：30前）未能解密的，视为供应商对其投标文件的撤回。</w:t>
            </w:r>
          </w:p>
          <w:p w14:paraId="048CD8E3">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bCs w:val="0"/>
                <w:color w:val="auto"/>
                <w:kern w:val="2"/>
                <w:sz w:val="24"/>
                <w:szCs w:val="24"/>
                <w:highlight w:val="none"/>
              </w:rPr>
              <w:t>2、因系统（非投标供应商行为）的原因，造成投标供应商未能在规定的解密时限内解密的，请及时与招标代理机构或与新疆政府采购网投标客户端进行联系。</w:t>
            </w:r>
          </w:p>
        </w:tc>
      </w:tr>
      <w:tr w14:paraId="5E23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20" w:type="dxa"/>
            <w:vAlign w:val="center"/>
          </w:tcPr>
          <w:p w14:paraId="2CDA758A">
            <w:pPr>
              <w:numPr>
                <w:ilvl w:val="0"/>
                <w:numId w:val="5"/>
              </w:numPr>
              <w:adjustRightInd w:val="0"/>
              <w:snapToGrid w:val="0"/>
              <w:spacing w:line="360" w:lineRule="auto"/>
              <w:ind w:left="425" w:leftChars="0" w:hanging="425" w:firstLineChars="0"/>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p>
        </w:tc>
        <w:tc>
          <w:tcPr>
            <w:tcW w:w="2035" w:type="dxa"/>
            <w:vAlign w:val="center"/>
          </w:tcPr>
          <w:p w14:paraId="27E05747">
            <w:pPr>
              <w:adjustRightInd w:val="0"/>
              <w:snapToGrid w:val="0"/>
              <w:spacing w:line="360" w:lineRule="auto"/>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备选投标方案和报价</w:t>
            </w:r>
          </w:p>
        </w:tc>
        <w:tc>
          <w:tcPr>
            <w:tcW w:w="6477" w:type="dxa"/>
            <w:vAlign w:val="center"/>
          </w:tcPr>
          <w:p w14:paraId="38F531AD">
            <w:pPr>
              <w:adjustRightInd w:val="0"/>
              <w:snapToGrid w:val="0"/>
              <w:spacing w:line="240" w:lineRule="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rPr>
              <w:t>报价应包括采购货物、运输、装卸、验收、开具发票和相关售后等服务；不接受备选投标方案和多个报价。</w:t>
            </w:r>
          </w:p>
        </w:tc>
      </w:tr>
      <w:tr w14:paraId="5448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Align w:val="center"/>
          </w:tcPr>
          <w:p w14:paraId="7D6DD251">
            <w:pPr>
              <w:numPr>
                <w:ilvl w:val="0"/>
                <w:numId w:val="5"/>
              </w:numPr>
              <w:adjustRightInd w:val="0"/>
              <w:snapToGrid w:val="0"/>
              <w:spacing w:line="360" w:lineRule="auto"/>
              <w:ind w:left="425" w:leftChars="0" w:hanging="425" w:firstLineChars="0"/>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p>
        </w:tc>
        <w:tc>
          <w:tcPr>
            <w:tcW w:w="2035" w:type="dxa"/>
            <w:vAlign w:val="center"/>
          </w:tcPr>
          <w:p w14:paraId="461C2016">
            <w:pPr>
              <w:adjustRightInd w:val="0"/>
              <w:snapToGrid w:val="0"/>
              <w:spacing w:line="240" w:lineRule="auto"/>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采购预算金额（最高限价）</w:t>
            </w:r>
          </w:p>
        </w:tc>
        <w:tc>
          <w:tcPr>
            <w:tcW w:w="6477" w:type="dxa"/>
            <w:vAlign w:val="center"/>
          </w:tcPr>
          <w:p w14:paraId="014BABD8">
            <w:pPr>
              <w:adjustRightInd w:val="0"/>
              <w:snapToGrid w:val="0"/>
              <w:spacing w:line="240" w:lineRule="auto"/>
              <w:rPr>
                <w:rFonts w:hint="eastAsia" w:asciiTheme="minorEastAsia" w:hAnsiTheme="minorEastAsia" w:eastAsiaTheme="minorEastAsia" w:cstheme="minorEastAsia"/>
                <w:b/>
                <w:bCs w:val="0"/>
                <w:color w:val="auto"/>
                <w:kern w:val="2"/>
                <w:sz w:val="24"/>
                <w:szCs w:val="24"/>
                <w:highlight w:val="none"/>
                <w:lang w:val="en-US" w:eastAsia="zh-CN"/>
              </w:rPr>
            </w:pPr>
            <w:r>
              <w:rPr>
                <w:rFonts w:hint="eastAsia" w:asciiTheme="minorEastAsia" w:hAnsiTheme="minorEastAsia" w:eastAsiaTheme="minorEastAsia" w:cstheme="minorEastAsia"/>
                <w:b/>
                <w:bCs w:val="0"/>
                <w:color w:val="auto"/>
                <w:kern w:val="2"/>
                <w:sz w:val="24"/>
                <w:szCs w:val="24"/>
                <w:highlight w:val="none"/>
                <w:lang w:val="en-US" w:eastAsia="zh-CN"/>
              </w:rPr>
              <w:t>预算金额：884.71万元</w:t>
            </w:r>
          </w:p>
          <w:p w14:paraId="630D40AF">
            <w:pPr>
              <w:adjustRightInd w:val="0"/>
              <w:snapToGrid w:val="0"/>
              <w:spacing w:line="240" w:lineRule="auto"/>
              <w:rPr>
                <w:rFonts w:hint="eastAsia" w:asciiTheme="minorEastAsia" w:hAnsiTheme="minorEastAsia" w:eastAsiaTheme="minorEastAsia" w:cstheme="minorEastAsia"/>
                <w:b/>
                <w:bCs w:val="0"/>
                <w:color w:val="auto"/>
                <w:kern w:val="2"/>
                <w:sz w:val="24"/>
                <w:szCs w:val="24"/>
                <w:highlight w:val="none"/>
                <w:lang w:val="en-US" w:eastAsia="zh-CN"/>
              </w:rPr>
            </w:pPr>
            <w:r>
              <w:rPr>
                <w:rFonts w:hint="eastAsia" w:asciiTheme="minorEastAsia" w:hAnsiTheme="minorEastAsia" w:eastAsiaTheme="minorEastAsia" w:cstheme="minorEastAsia"/>
                <w:b/>
                <w:bCs w:val="0"/>
                <w:color w:val="auto"/>
                <w:kern w:val="2"/>
                <w:sz w:val="24"/>
                <w:szCs w:val="24"/>
                <w:highlight w:val="none"/>
                <w:lang w:val="en-US" w:eastAsia="zh-CN"/>
              </w:rPr>
              <w:t>最高限价：884.71万元（超出此限价报价无效，作否决投标处理）</w:t>
            </w:r>
          </w:p>
          <w:p w14:paraId="1DC11425">
            <w:pPr>
              <w:adjustRightInd w:val="0"/>
              <w:snapToGrid w:val="0"/>
              <w:spacing w:line="240" w:lineRule="auto"/>
              <w:rPr>
                <w:rFonts w:hint="eastAsia" w:asciiTheme="minorEastAsia" w:hAnsiTheme="minorEastAsia" w:eastAsiaTheme="minorEastAsia" w:cstheme="minorEastAsia"/>
                <w:b/>
                <w:bCs w:val="0"/>
                <w:color w:val="auto"/>
                <w:kern w:val="2"/>
                <w:sz w:val="24"/>
                <w:szCs w:val="24"/>
                <w:highlight w:val="none"/>
                <w:lang w:val="en-US" w:eastAsia="zh-CN"/>
              </w:rPr>
            </w:pPr>
            <w:r>
              <w:rPr>
                <w:rFonts w:hint="eastAsia" w:asciiTheme="minorEastAsia" w:hAnsiTheme="minorEastAsia" w:eastAsiaTheme="minorEastAsia" w:cstheme="minorEastAsia"/>
                <w:b/>
                <w:bCs w:val="0"/>
                <w:color w:val="auto"/>
                <w:kern w:val="2"/>
                <w:sz w:val="24"/>
                <w:szCs w:val="24"/>
                <w:highlight w:val="none"/>
                <w:lang w:val="en-US" w:eastAsia="zh-CN"/>
              </w:rPr>
              <w:t>注：报价应包含：人员工资、法定的社会保险、法定税费、管理费、节假日福利、加班费、服装费、工具折旧费、日常耗材费、利润等（含为完成采购文件规定的服务工作所涉及到的一切相关费用），包括完成该项目采购需求范围内保安服务、第三方服务等全部内容所需的费用。</w:t>
            </w:r>
          </w:p>
          <w:p w14:paraId="3C393B3F">
            <w:pPr>
              <w:adjustRightInd w:val="0"/>
              <w:snapToGrid w:val="0"/>
              <w:spacing w:line="240" w:lineRule="auto"/>
              <w:rPr>
                <w:rFonts w:hint="eastAsia"/>
                <w:lang w:val="en-US" w:eastAsia="zh-CN"/>
              </w:rPr>
            </w:pPr>
          </w:p>
        </w:tc>
      </w:tr>
      <w:tr w14:paraId="402B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0" w:type="dxa"/>
            <w:vAlign w:val="center"/>
          </w:tcPr>
          <w:p w14:paraId="76519730">
            <w:pPr>
              <w:numPr>
                <w:ilvl w:val="0"/>
                <w:numId w:val="5"/>
              </w:numPr>
              <w:adjustRightInd w:val="0"/>
              <w:snapToGrid w:val="0"/>
              <w:spacing w:line="240" w:lineRule="auto"/>
              <w:ind w:left="425" w:leftChars="0" w:hanging="425" w:firstLineChars="0"/>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p>
        </w:tc>
        <w:tc>
          <w:tcPr>
            <w:tcW w:w="2035" w:type="dxa"/>
            <w:vAlign w:val="center"/>
          </w:tcPr>
          <w:p w14:paraId="29E91A5C">
            <w:pPr>
              <w:adjustRightInd w:val="0"/>
              <w:snapToGrid w:val="0"/>
              <w:spacing w:line="240" w:lineRule="auto"/>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评标办法</w:t>
            </w:r>
          </w:p>
        </w:tc>
        <w:tc>
          <w:tcPr>
            <w:tcW w:w="6477" w:type="dxa"/>
            <w:vAlign w:val="center"/>
          </w:tcPr>
          <w:p w14:paraId="21072B5B">
            <w:pPr>
              <w:adjustRightInd w:val="0"/>
              <w:snapToGrid w:val="0"/>
              <w:spacing w:line="240" w:lineRule="auto"/>
              <w:jc w:val="left"/>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综合评分法</w:t>
            </w:r>
          </w:p>
        </w:tc>
      </w:tr>
      <w:tr w14:paraId="35E3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20" w:type="dxa"/>
            <w:vAlign w:val="center"/>
          </w:tcPr>
          <w:p w14:paraId="78544F8E">
            <w:pPr>
              <w:numPr>
                <w:ilvl w:val="0"/>
                <w:numId w:val="5"/>
              </w:numPr>
              <w:adjustRightInd w:val="0"/>
              <w:snapToGrid w:val="0"/>
              <w:spacing w:line="360" w:lineRule="auto"/>
              <w:ind w:left="425" w:leftChars="0" w:hanging="425" w:firstLineChars="0"/>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p>
        </w:tc>
        <w:tc>
          <w:tcPr>
            <w:tcW w:w="2035" w:type="dxa"/>
            <w:vAlign w:val="center"/>
          </w:tcPr>
          <w:p w14:paraId="137FF1AF">
            <w:pPr>
              <w:spacing w:line="340" w:lineRule="exact"/>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eastAsia="zh-CN"/>
              </w:rPr>
              <w:t>评标委员会</w:t>
            </w:r>
          </w:p>
        </w:tc>
        <w:tc>
          <w:tcPr>
            <w:tcW w:w="6477" w:type="dxa"/>
            <w:vAlign w:val="center"/>
          </w:tcPr>
          <w:p w14:paraId="4AE66AC7">
            <w:pPr>
              <w:numPr>
                <w:ilvl w:val="0"/>
                <w:numId w:val="0"/>
              </w:numPr>
              <w:spacing w:line="340" w:lineRule="exact"/>
              <w:ind w:left="0" w:leftChars="0" w:firstLine="0"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评标委员会构成：5人或5人以上单数组成，评标专家确定方式：由招标代理在开标前48小时在政采云专家库中随机抽取此次评标专家。</w:t>
            </w:r>
          </w:p>
        </w:tc>
      </w:tr>
      <w:tr w14:paraId="6025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20" w:type="dxa"/>
            <w:vAlign w:val="center"/>
          </w:tcPr>
          <w:p w14:paraId="62F24206">
            <w:pPr>
              <w:numPr>
                <w:ilvl w:val="0"/>
                <w:numId w:val="5"/>
              </w:numPr>
              <w:spacing w:line="340" w:lineRule="exact"/>
              <w:ind w:left="425" w:leftChars="0" w:hanging="425"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2035" w:type="dxa"/>
            <w:vAlign w:val="center"/>
          </w:tcPr>
          <w:p w14:paraId="65AD43A0">
            <w:pPr>
              <w:numPr>
                <w:ilvl w:val="0"/>
                <w:numId w:val="0"/>
              </w:numPr>
              <w:spacing w:line="340" w:lineRule="exact"/>
              <w:ind w:left="0" w:leftChars="0" w:firstLine="0"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是否接受联合体投标</w:t>
            </w:r>
          </w:p>
        </w:tc>
        <w:tc>
          <w:tcPr>
            <w:tcW w:w="6477" w:type="dxa"/>
            <w:vAlign w:val="center"/>
          </w:tcPr>
          <w:p w14:paraId="1A4466C3">
            <w:pPr>
              <w:numPr>
                <w:ilvl w:val="0"/>
                <w:numId w:val="0"/>
              </w:numPr>
              <w:spacing w:line="340" w:lineRule="exact"/>
              <w:ind w:left="0" w:leftChars="0" w:firstLine="0"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不接受</w:t>
            </w:r>
          </w:p>
        </w:tc>
      </w:tr>
      <w:tr w14:paraId="2C36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20" w:type="dxa"/>
            <w:vAlign w:val="center"/>
          </w:tcPr>
          <w:p w14:paraId="7CED00C4">
            <w:pPr>
              <w:numPr>
                <w:ilvl w:val="0"/>
                <w:numId w:val="5"/>
              </w:numPr>
              <w:adjustRightInd w:val="0"/>
              <w:snapToGrid w:val="0"/>
              <w:spacing w:line="360" w:lineRule="auto"/>
              <w:ind w:left="425" w:leftChars="0" w:hanging="425" w:firstLineChars="0"/>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p>
        </w:tc>
        <w:tc>
          <w:tcPr>
            <w:tcW w:w="2035" w:type="dxa"/>
            <w:vAlign w:val="center"/>
          </w:tcPr>
          <w:p w14:paraId="4E42D4D1">
            <w:pPr>
              <w:numPr>
                <w:ilvl w:val="0"/>
                <w:numId w:val="0"/>
              </w:numPr>
              <w:spacing w:line="340" w:lineRule="exact"/>
              <w:ind w:left="0" w:leftChars="0"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踏勘现场</w:t>
            </w:r>
          </w:p>
        </w:tc>
        <w:tc>
          <w:tcPr>
            <w:tcW w:w="6477" w:type="dxa"/>
            <w:vAlign w:val="center"/>
          </w:tcPr>
          <w:p w14:paraId="38D02373">
            <w:pPr>
              <w:numPr>
                <w:ilvl w:val="0"/>
                <w:numId w:val="0"/>
              </w:numPr>
              <w:spacing w:line="340" w:lineRule="exact"/>
              <w:ind w:left="0" w:leftChars="0" w:firstLine="0"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不组织</w:t>
            </w:r>
          </w:p>
        </w:tc>
      </w:tr>
      <w:tr w14:paraId="65D7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20" w:type="dxa"/>
            <w:vAlign w:val="center"/>
          </w:tcPr>
          <w:p w14:paraId="0FBC996E">
            <w:pPr>
              <w:numPr>
                <w:ilvl w:val="0"/>
                <w:numId w:val="5"/>
              </w:numPr>
              <w:adjustRightInd w:val="0"/>
              <w:snapToGrid w:val="0"/>
              <w:spacing w:line="360" w:lineRule="auto"/>
              <w:ind w:left="425" w:leftChars="0" w:hanging="425" w:firstLineChars="0"/>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p>
        </w:tc>
        <w:tc>
          <w:tcPr>
            <w:tcW w:w="2035" w:type="dxa"/>
            <w:vAlign w:val="center"/>
          </w:tcPr>
          <w:p w14:paraId="2DD08204">
            <w:pPr>
              <w:adjustRightInd w:val="0"/>
              <w:snapToGrid w:val="0"/>
              <w:spacing w:line="360" w:lineRule="auto"/>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履约保证金</w:t>
            </w:r>
          </w:p>
        </w:tc>
        <w:tc>
          <w:tcPr>
            <w:tcW w:w="6477" w:type="dxa"/>
            <w:vAlign w:val="center"/>
          </w:tcPr>
          <w:p w14:paraId="572BB38D">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履约担保 《中华人民共和国政府采购法实施条例》第四十八条　履约保证金的数额不得超过政府采购合同金额的10%，具体金额以合同签订为准。中标人与招标人签订合同前提交履约保证金，如中标人未按招标文件规定的服务，则扣除履约保证金。</w:t>
            </w:r>
          </w:p>
        </w:tc>
      </w:tr>
      <w:tr w14:paraId="650E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trPr>
        <w:tc>
          <w:tcPr>
            <w:tcW w:w="1220" w:type="dxa"/>
            <w:vAlign w:val="center"/>
          </w:tcPr>
          <w:p w14:paraId="240C20F6">
            <w:pPr>
              <w:numPr>
                <w:ilvl w:val="0"/>
                <w:numId w:val="5"/>
              </w:numPr>
              <w:adjustRightInd w:val="0"/>
              <w:snapToGrid w:val="0"/>
              <w:spacing w:line="360" w:lineRule="auto"/>
              <w:ind w:left="425" w:leftChars="0" w:hanging="425" w:firstLineChars="0"/>
              <w:jc w:val="center"/>
              <w:rPr>
                <w:rFonts w:hint="eastAsia" w:asciiTheme="minorEastAsia" w:hAnsiTheme="minorEastAsia" w:eastAsiaTheme="minorEastAsia" w:cstheme="minorEastAsia"/>
                <w:b w:val="0"/>
                <w:bCs/>
                <w:i w:val="0"/>
                <w:caps w:val="0"/>
                <w:color w:val="FF0000"/>
                <w:spacing w:val="0"/>
                <w:kern w:val="0"/>
                <w:sz w:val="24"/>
                <w:szCs w:val="24"/>
                <w:highlight w:val="none"/>
                <w:lang w:val="en-US" w:eastAsia="zh-CN" w:bidi="ar"/>
              </w:rPr>
            </w:pPr>
          </w:p>
        </w:tc>
        <w:tc>
          <w:tcPr>
            <w:tcW w:w="2035" w:type="dxa"/>
            <w:vAlign w:val="center"/>
          </w:tcPr>
          <w:p w14:paraId="4465CA1F">
            <w:pPr>
              <w:adjustRightInd w:val="0"/>
              <w:snapToGrid w:val="0"/>
              <w:spacing w:line="360" w:lineRule="auto"/>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政府采购政策支持</w:t>
            </w:r>
          </w:p>
        </w:tc>
        <w:tc>
          <w:tcPr>
            <w:tcW w:w="6477" w:type="dxa"/>
            <w:vAlign w:val="center"/>
          </w:tcPr>
          <w:p w14:paraId="7764C518">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 xml:space="preserve">根据《中华人民共和国政府采购法》、财政部、 工信部《政府采购促进中小企业发展管理办法》（财 库〔2020〕46 号）、《关于进一步加大政府采购支持中小企业力度的通知财库〔2022〕19 号》等有关法律法规执行； </w:t>
            </w:r>
          </w:p>
          <w:p w14:paraId="73C7C021">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价格扣除幅度：货物服务采购项目给予小微企业的价格扣除优惠，由财库〔2020〕46 号文件规定的 6%—10%提高至 10%—20%。大中型企业与小微企业组成联合体或者大中型企业向小微企业分包的，评审优惠幅度由 2%—3%提高至 4%—6%。政府采购工程的价格评审优惠按照财库〔2020〕46 号文件的规定执行。</w:t>
            </w:r>
          </w:p>
          <w:p w14:paraId="718560A7">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注：供应商应当对《中小企业声明函》、监狱企业 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企业应当提供《中小企业声明函》。</w:t>
            </w:r>
          </w:p>
        </w:tc>
      </w:tr>
      <w:tr w14:paraId="1CC6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220" w:type="dxa"/>
            <w:vAlign w:val="center"/>
          </w:tcPr>
          <w:p w14:paraId="70777A98">
            <w:pPr>
              <w:numPr>
                <w:ilvl w:val="0"/>
                <w:numId w:val="5"/>
              </w:numPr>
              <w:adjustRightInd w:val="0"/>
              <w:snapToGrid w:val="0"/>
              <w:spacing w:line="360" w:lineRule="auto"/>
              <w:ind w:left="425" w:leftChars="0" w:hanging="425" w:firstLineChars="0"/>
              <w:jc w:val="center"/>
              <w:rPr>
                <w:rFonts w:hint="eastAsia" w:asciiTheme="minorEastAsia" w:hAnsiTheme="minorEastAsia" w:eastAsiaTheme="minorEastAsia" w:cstheme="minorEastAsia"/>
                <w:b w:val="0"/>
                <w:bCs/>
                <w:i w:val="0"/>
                <w:caps w:val="0"/>
                <w:color w:val="FF0000"/>
                <w:spacing w:val="0"/>
                <w:kern w:val="0"/>
                <w:sz w:val="24"/>
                <w:szCs w:val="24"/>
                <w:highlight w:val="none"/>
                <w:lang w:val="en-US" w:eastAsia="zh-CN" w:bidi="ar"/>
              </w:rPr>
            </w:pPr>
          </w:p>
        </w:tc>
        <w:tc>
          <w:tcPr>
            <w:tcW w:w="2035" w:type="dxa"/>
            <w:vAlign w:val="center"/>
          </w:tcPr>
          <w:p w14:paraId="08DA66B2">
            <w:pPr>
              <w:adjustRightInd w:val="0"/>
              <w:snapToGrid w:val="0"/>
              <w:spacing w:line="360" w:lineRule="auto"/>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中小企业</w:t>
            </w:r>
          </w:p>
        </w:tc>
        <w:tc>
          <w:tcPr>
            <w:tcW w:w="6477" w:type="dxa"/>
            <w:vAlign w:val="center"/>
          </w:tcPr>
          <w:p w14:paraId="0A542618">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（1）根据新财购 【2022】22 号文件中关于“中小企业划型标准规定”，</w:t>
            </w:r>
          </w:p>
          <w:p w14:paraId="6CD6DEAF">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本次招标项目标的所属行业为</w:t>
            </w:r>
            <w:r>
              <w:rPr>
                <w:rFonts w:hint="eastAsia" w:asciiTheme="minorEastAsia" w:hAnsiTheme="minorEastAsia" w:eastAsiaTheme="minorEastAsia" w:cstheme="minorEastAsia"/>
                <w:b/>
                <w:bCs w:val="0"/>
                <w:i w:val="0"/>
                <w:caps w:val="0"/>
                <w:color w:val="auto"/>
                <w:spacing w:val="0"/>
                <w:kern w:val="0"/>
                <w:sz w:val="24"/>
                <w:szCs w:val="24"/>
                <w:highlight w:val="none"/>
                <w:lang w:val="en-US" w:eastAsia="zh-CN" w:bidi="ar"/>
              </w:rPr>
              <w:t>农、林、牧、渔业</w:t>
            </w: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w:t>
            </w:r>
          </w:p>
          <w:p w14:paraId="629395A7">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bCs w:val="0"/>
                <w:i w:val="0"/>
                <w:caps w:val="0"/>
                <w:color w:val="auto"/>
                <w:spacing w:val="0"/>
                <w:kern w:val="0"/>
                <w:sz w:val="24"/>
                <w:szCs w:val="24"/>
                <w:highlight w:val="none"/>
                <w:lang w:val="en-US" w:eastAsia="zh-CN" w:bidi="ar"/>
              </w:rPr>
              <w:t>敬请各投标企业根据自身需求及招标文件要求填写中小企业声明函。</w:t>
            </w:r>
          </w:p>
          <w:p w14:paraId="6CF74FA6">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（2）监狱企业扶持政策：投标人如为监狱企业将视同小型或微型企业。</w:t>
            </w:r>
          </w:p>
          <w:p w14:paraId="7DCD0773">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投标人为监狱企业的，应提供由省级以上监狱管理局、戒毒管理局（含新疆生产建设兵团）出具的属于监狱企业的证明文件或声明函。投标人应对提交属于监狱企业的证明文件的真实性负责，提交的监狱企业的证明文件不真实的，应承担相应的法律责任。</w:t>
            </w:r>
          </w:p>
          <w:p w14:paraId="7652B33B">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（3）残疾人福利性单位视同小型、微型企业。不重复享受政策。</w:t>
            </w:r>
          </w:p>
        </w:tc>
      </w:tr>
      <w:tr w14:paraId="74CB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220" w:type="dxa"/>
            <w:vAlign w:val="center"/>
          </w:tcPr>
          <w:p w14:paraId="79C380DE">
            <w:pPr>
              <w:numPr>
                <w:ilvl w:val="0"/>
                <w:numId w:val="5"/>
              </w:numPr>
              <w:adjustRightInd w:val="0"/>
              <w:snapToGrid w:val="0"/>
              <w:spacing w:line="360" w:lineRule="auto"/>
              <w:ind w:left="425" w:leftChars="0" w:hanging="425" w:firstLineChars="0"/>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p>
        </w:tc>
        <w:tc>
          <w:tcPr>
            <w:tcW w:w="2035" w:type="dxa"/>
            <w:vAlign w:val="center"/>
          </w:tcPr>
          <w:p w14:paraId="202C9212">
            <w:pPr>
              <w:adjustRightInd w:val="0"/>
              <w:snapToGrid w:val="0"/>
              <w:spacing w:line="36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招标代理服务费</w:t>
            </w:r>
          </w:p>
        </w:tc>
        <w:tc>
          <w:tcPr>
            <w:tcW w:w="6477" w:type="dxa"/>
            <w:vAlign w:val="center"/>
          </w:tcPr>
          <w:p w14:paraId="32EAD683">
            <w:pPr>
              <w:adjustRightInd w:val="0"/>
              <w:snapToGrid w:val="0"/>
              <w:spacing w:line="240" w:lineRule="auto"/>
              <w:rPr>
                <w:rFonts w:hint="default"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按差额定率累进法计算收取：100万元以下收取1.5%，100万-500万元收取1.1%，500万元-1000万元收取0.8%。</w:t>
            </w:r>
          </w:p>
          <w:p w14:paraId="7989E915">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由中标单位在领取成交通知书时一次性支付。</w:t>
            </w:r>
          </w:p>
        </w:tc>
      </w:tr>
      <w:tr w14:paraId="2B5C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20" w:type="dxa"/>
            <w:vAlign w:val="center"/>
          </w:tcPr>
          <w:p w14:paraId="6636F226">
            <w:pPr>
              <w:numPr>
                <w:ilvl w:val="0"/>
                <w:numId w:val="5"/>
              </w:numPr>
              <w:adjustRightInd w:val="0"/>
              <w:snapToGrid w:val="0"/>
              <w:spacing w:line="360" w:lineRule="auto"/>
              <w:ind w:left="425" w:leftChars="0" w:hanging="425" w:firstLineChars="0"/>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p>
        </w:tc>
        <w:tc>
          <w:tcPr>
            <w:tcW w:w="2035" w:type="dxa"/>
            <w:vAlign w:val="center"/>
          </w:tcPr>
          <w:p w14:paraId="774A3B17">
            <w:pPr>
              <w:adjustRightInd w:val="0"/>
              <w:snapToGrid w:val="0"/>
              <w:spacing w:line="360" w:lineRule="auto"/>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质疑</w:t>
            </w:r>
          </w:p>
        </w:tc>
        <w:tc>
          <w:tcPr>
            <w:tcW w:w="6477" w:type="dxa"/>
            <w:vAlign w:val="center"/>
          </w:tcPr>
          <w:p w14:paraId="034893B1">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供应商认为招标文件、采购过程或中标结果使自己的合法权益受到损害的，应当在知道或者应知其权益受到损害之日起在规定的期限内，以书面或邮件形式一次性向采购人（采购代理机构）提出质疑或供应商对采购人（采购代理机构）的质疑答复不满意或者采购人（采购代理机构）未在规定时间内做出答复的，可以在答复期满后五个工作日内向有关监管部门投诉。</w:t>
            </w:r>
          </w:p>
          <w:p w14:paraId="60B353F7">
            <w:pPr>
              <w:adjustRightInd w:val="0"/>
              <w:snapToGrid w:val="0"/>
              <w:spacing w:line="240" w:lineRule="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bCs/>
                <w:color w:val="auto"/>
                <w:sz w:val="24"/>
                <w:szCs w:val="24"/>
                <w:highlight w:val="none"/>
                <w:lang w:val="en-US" w:eastAsia="zh-CN"/>
              </w:rPr>
              <w:t>注：根据《中华人民共和国政府采购法》的规定，供应商质疑不得超出公开招标文件、公开招标过程及公开招标结果的范围及时效限制。</w:t>
            </w:r>
          </w:p>
        </w:tc>
      </w:tr>
      <w:tr w14:paraId="3066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20" w:type="dxa"/>
            <w:vAlign w:val="center"/>
          </w:tcPr>
          <w:p w14:paraId="149E7E2D">
            <w:pPr>
              <w:numPr>
                <w:ilvl w:val="0"/>
                <w:numId w:val="5"/>
              </w:numPr>
              <w:adjustRightInd w:val="0"/>
              <w:snapToGrid w:val="0"/>
              <w:spacing w:line="360" w:lineRule="auto"/>
              <w:ind w:left="425" w:leftChars="0" w:hanging="425" w:firstLineChars="0"/>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p>
        </w:tc>
        <w:tc>
          <w:tcPr>
            <w:tcW w:w="2035" w:type="dxa"/>
            <w:vAlign w:val="center"/>
          </w:tcPr>
          <w:p w14:paraId="492F73D7">
            <w:pPr>
              <w:adjustRightInd w:val="0"/>
              <w:snapToGrid w:val="0"/>
              <w:spacing w:line="360" w:lineRule="auto"/>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其他说明</w:t>
            </w:r>
          </w:p>
        </w:tc>
        <w:tc>
          <w:tcPr>
            <w:tcW w:w="6477" w:type="dxa"/>
            <w:vAlign w:val="center"/>
          </w:tcPr>
          <w:p w14:paraId="0A35CB3E">
            <w:pPr>
              <w:spacing w:line="340" w:lineRule="exact"/>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投标供应商制作投标文件的CA锁必须和开标解密的CA锁为同一把锁，在解密过程中因为CA锁不同而导致解密失败的，由投标供应商自行承担。</w:t>
            </w:r>
          </w:p>
          <w:p w14:paraId="5C4D06BE">
            <w:pPr>
              <w:spacing w:line="340" w:lineRule="exact"/>
              <w:jc w:val="left"/>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应。</w:t>
            </w:r>
            <w:r>
              <w:rPr>
                <w:rFonts w:hint="eastAsia" w:asciiTheme="minorEastAsia" w:hAnsiTheme="minorEastAsia" w:eastAsiaTheme="minorEastAsia" w:cstheme="minorEastAsia"/>
                <w:b/>
                <w:bCs/>
                <w:color w:val="auto"/>
                <w:sz w:val="24"/>
                <w:szCs w:val="24"/>
                <w:highlight w:val="none"/>
                <w:lang w:val="en-US" w:eastAsia="zh-CN"/>
              </w:rPr>
              <w:t>以承诺书响应该条款，否则投标将被否决。</w:t>
            </w:r>
          </w:p>
        </w:tc>
      </w:tr>
      <w:tr w14:paraId="70FF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20" w:type="dxa"/>
            <w:vAlign w:val="center"/>
          </w:tcPr>
          <w:p w14:paraId="2C1DBCC6">
            <w:pPr>
              <w:numPr>
                <w:ilvl w:val="0"/>
                <w:numId w:val="5"/>
              </w:numPr>
              <w:adjustRightInd w:val="0"/>
              <w:snapToGrid w:val="0"/>
              <w:spacing w:line="360" w:lineRule="auto"/>
              <w:ind w:left="425" w:leftChars="0" w:hanging="425" w:firstLineChars="0"/>
              <w:jc w:val="cente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p>
        </w:tc>
        <w:tc>
          <w:tcPr>
            <w:tcW w:w="2035" w:type="dxa"/>
            <w:vAlign w:val="center"/>
          </w:tcPr>
          <w:p w14:paraId="310D2434">
            <w:pPr>
              <w:adjustRightInd w:val="0"/>
              <w:snapToGrid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重要提示</w:t>
            </w:r>
          </w:p>
        </w:tc>
        <w:tc>
          <w:tcPr>
            <w:tcW w:w="6477" w:type="dxa"/>
            <w:vAlign w:val="center"/>
          </w:tcPr>
          <w:p w14:paraId="745621F2">
            <w:pPr>
              <w:spacing w:line="340" w:lineRule="exact"/>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（1）中标供应商应在规定期限内领取《中标通知书》，若中标供应商未在规定期限内领取《中标通知书》，采购人有权取消中标供应商中标资格，并将相关违约行为报送监管部门，实施信用惩戒； </w:t>
            </w:r>
          </w:p>
          <w:p w14:paraId="0C794E7E">
            <w:pPr>
              <w:spacing w:line="340" w:lineRule="exact"/>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2）中标供应商应在规定期限内提交履约担保并与采购人签订合同，若中标供应商未能在规定期限内提交履约担保或签订合同，采购人有权取消中标供应商中标资格，并将相关违约行为报送监管部门，实施信用惩戒； </w:t>
            </w:r>
          </w:p>
          <w:p w14:paraId="67CAB4EA">
            <w:pPr>
              <w:spacing w:line="340" w:lineRule="exact"/>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合同签订后，中标供应商存在规定时间内不组织人员进场开工，不履行供货、安装或服务义务等情况，采购人有权解除合同，并追究违约责任，同时将相关违约行为报送监管部门，记不良行为记录，实施信用惩戒； </w:t>
            </w:r>
          </w:p>
          <w:p w14:paraId="7AF72A67">
            <w:pPr>
              <w:spacing w:line="340" w:lineRule="exact"/>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（4）中标供应商中标后被监管部门查实存在违法行为，不满足中标条件的，由采购人取消中标资格，并做好项目后续工作； </w:t>
            </w:r>
          </w:p>
          <w:p w14:paraId="7DFD4128">
            <w:pPr>
              <w:spacing w:line="340" w:lineRule="exact"/>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（5）中标供应商在中标项目发生投诉、信访举报案件、履约存在争议时，拒绝协助配合执法部门调查案件的，采购人可以取消其中标资格或解除合同，并追究其违约责任。</w:t>
            </w:r>
          </w:p>
          <w:p w14:paraId="39753F97">
            <w:pPr>
              <w:spacing w:line="340" w:lineRule="exact"/>
              <w:jc w:val="left"/>
              <w:rPr>
                <w:rFonts w:hint="eastAsia"/>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（6）所有投标单位对招标文件中所有条款如有疑问或异议请在开标前以书面形式提出，否则不予受理。</w:t>
            </w:r>
          </w:p>
        </w:tc>
      </w:tr>
      <w:tr w14:paraId="0091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0" w:type="dxa"/>
            <w:vAlign w:val="center"/>
          </w:tcPr>
          <w:p w14:paraId="246ACE30">
            <w:pPr>
              <w:keepNext w:val="0"/>
              <w:keepLines w:val="0"/>
              <w:pageBreakBefore w:val="0"/>
              <w:kinsoku/>
              <w:wordWrap/>
              <w:overflowPunct w:val="0"/>
              <w:topLinePunct w:val="0"/>
              <w:bidi w:val="0"/>
              <w:snapToGrid/>
              <w:spacing w:line="500" w:lineRule="exact"/>
              <w:jc w:val="center"/>
              <w:textAlignment w:val="auto"/>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color w:val="auto"/>
                <w:sz w:val="24"/>
                <w:szCs w:val="24"/>
                <w:highlight w:val="none"/>
              </w:rPr>
              <w:t>备注</w:t>
            </w:r>
          </w:p>
        </w:tc>
        <w:tc>
          <w:tcPr>
            <w:tcW w:w="8512" w:type="dxa"/>
            <w:gridSpan w:val="2"/>
            <w:vAlign w:val="center"/>
          </w:tcPr>
          <w:p w14:paraId="373415AB">
            <w:pPr>
              <w:spacing w:line="440" w:lineRule="exact"/>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1、招标文件中部分加粗、加下划线、废标、无效标、投标被拒绝字样的条款，为招标的实质性要求和条件，着重提醒各投标人注意，并认真查看招标文件中的每一个条款及要求，因误读竞争性磋商文件而造成的后果，招标人概不负责。</w:t>
            </w:r>
          </w:p>
          <w:p w14:paraId="49C1B179">
            <w:pPr>
              <w:spacing w:line="440" w:lineRule="exac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i w:val="0"/>
                <w:caps w:val="0"/>
                <w:color w:val="auto"/>
                <w:spacing w:val="0"/>
                <w:kern w:val="0"/>
                <w:sz w:val="24"/>
                <w:szCs w:val="24"/>
                <w:highlight w:val="none"/>
                <w:lang w:val="en-US" w:eastAsia="zh-CN" w:bidi="ar"/>
              </w:rPr>
              <w:t>2、投标文件中有弄虚作假的内容，其投标文件作废。（如假证书、假业绩、隐瞒不良行为记录、夸大荣誉、使用非本单位在职员工的相关证件及不符合竞争性磋商文件规定的条款等）；在签订合同之前，招标人如发现投标人的投标文件有弄虚作假内容，招标人可拒绝与其签订合同，并将其列入政府采购黑名单。</w:t>
            </w:r>
          </w:p>
        </w:tc>
      </w:tr>
    </w:tbl>
    <w:p w14:paraId="75AAE5AE">
      <w:pPr>
        <w:widowControl/>
        <w:spacing w:line="320" w:lineRule="exact"/>
        <w:ind w:left="141" w:hanging="141"/>
        <w:jc w:val="center"/>
        <w:rPr>
          <w:rFonts w:hint="eastAsia" w:ascii="宋体" w:hAnsi="宋体" w:eastAsia="宋体" w:cs="宋体"/>
          <w:b/>
          <w:sz w:val="28"/>
          <w:szCs w:val="28"/>
          <w:highlight w:val="none"/>
        </w:rPr>
      </w:pPr>
    </w:p>
    <w:p w14:paraId="0A9BC537">
      <w:pPr>
        <w:shd w:val="clear" w:color="auto" w:fill="auto"/>
        <w:spacing w:line="360" w:lineRule="exact"/>
        <w:rPr>
          <w:rFonts w:hint="eastAsia" w:ascii="宋体" w:hAnsi="宋体" w:eastAsia="宋体" w:cs="宋体"/>
          <w:color w:val="auto"/>
          <w:highlight w:val="none"/>
        </w:rPr>
      </w:pPr>
      <w:r>
        <w:rPr>
          <w:rFonts w:hint="eastAsia" w:ascii="宋体" w:hAnsi="宋体" w:eastAsia="宋体" w:cs="宋体"/>
          <w:b/>
          <w:bCs/>
          <w:color w:val="auto"/>
          <w:sz w:val="24"/>
          <w:highlight w:val="none"/>
        </w:rPr>
        <w:t>备注：</w:t>
      </w:r>
      <w:r>
        <w:rPr>
          <w:rFonts w:hint="eastAsia" w:ascii="宋体" w:hAnsi="宋体" w:eastAsia="宋体" w:cs="宋体"/>
          <w:color w:val="auto"/>
          <w:sz w:val="24"/>
          <w:highlight w:val="none"/>
        </w:rPr>
        <w:t>本须知前附表内容与招标文件的内容相对应，如有矛盾，应以投标须知前附表为准。</w:t>
      </w:r>
    </w:p>
    <w:p w14:paraId="640B065E">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3FEF4168">
      <w:pPr>
        <w:spacing w:line="500" w:lineRule="exact"/>
        <w:ind w:left="120" w:hanging="120"/>
        <w:jc w:val="center"/>
        <w:rPr>
          <w:rFonts w:hint="eastAsia" w:ascii="宋体" w:hAnsi="宋体" w:eastAsia="宋体" w:cs="宋体"/>
          <w:b/>
          <w:sz w:val="24"/>
          <w:highlight w:val="none"/>
        </w:rPr>
      </w:pPr>
      <w:r>
        <w:rPr>
          <w:rFonts w:hint="eastAsia" w:ascii="宋体" w:hAnsi="宋体" w:eastAsia="宋体" w:cs="宋体"/>
          <w:b/>
          <w:sz w:val="28"/>
          <w:szCs w:val="28"/>
          <w:highlight w:val="none"/>
        </w:rPr>
        <w:t>投标人须知正文部分</w:t>
      </w:r>
    </w:p>
    <w:p w14:paraId="2F841A25">
      <w:pPr>
        <w:spacing w:line="500" w:lineRule="exact"/>
        <w:ind w:left="120" w:hanging="120"/>
        <w:jc w:val="center"/>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 xml:space="preserve"> </w:t>
      </w:r>
      <w:bookmarkStart w:id="8" w:name="_Toc17382"/>
      <w:r>
        <w:rPr>
          <w:rFonts w:hint="eastAsia" w:ascii="宋体" w:hAnsi="宋体" w:eastAsia="宋体" w:cs="宋体"/>
          <w:b/>
          <w:sz w:val="28"/>
          <w:szCs w:val="28"/>
          <w:highlight w:val="none"/>
          <w:lang w:val="en-US" w:eastAsia="zh-CN"/>
        </w:rPr>
        <w:t>（一）总则</w:t>
      </w:r>
      <w:bookmarkEnd w:id="8"/>
    </w:p>
    <w:p w14:paraId="2ECD76A6">
      <w:pPr>
        <w:spacing w:line="300" w:lineRule="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（一）适用范围</w:t>
      </w:r>
    </w:p>
    <w:p w14:paraId="7BF9D09A">
      <w:pPr>
        <w:spacing w:line="360" w:lineRule="auto"/>
        <w:ind w:left="0" w:right="0" w:firstLine="48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本招标文件适用于</w:t>
      </w:r>
      <w:r>
        <w:rPr>
          <w:rFonts w:hint="eastAsia" w:ascii="宋体" w:hAnsi="宋体" w:cs="宋体"/>
          <w:highlight w:val="none"/>
          <w:lang w:val="en-US" w:eastAsia="zh-CN"/>
        </w:rPr>
        <w:t>2024年于田县“三北”工程林草湿荒一体化保护修复项目（包一）（三次）</w:t>
      </w:r>
      <w:r>
        <w:rPr>
          <w:rFonts w:hint="eastAsia" w:ascii="宋体" w:hAnsi="宋体" w:eastAsia="宋体" w:cs="宋体"/>
          <w:highlight w:val="none"/>
          <w:lang w:val="en-US" w:eastAsia="zh-CN"/>
        </w:rPr>
        <w:t>的招标、投标、评标、定标、验收、合同履约、付款等行为（</w:t>
      </w:r>
      <w:r>
        <w:rPr>
          <w:rFonts w:hint="eastAsia" w:ascii="宋体" w:hAnsi="宋体" w:cs="宋体"/>
          <w:highlight w:val="none"/>
          <w:lang w:val="en-US" w:eastAsia="zh-CN"/>
        </w:rPr>
        <w:t>法律法规</w:t>
      </w:r>
      <w:r>
        <w:rPr>
          <w:rFonts w:hint="eastAsia" w:ascii="宋体" w:hAnsi="宋体" w:eastAsia="宋体" w:cs="宋体"/>
          <w:highlight w:val="none"/>
          <w:lang w:val="en-US" w:eastAsia="zh-CN"/>
        </w:rPr>
        <w:t>另有规定的，从其规定）。</w:t>
      </w:r>
    </w:p>
    <w:p w14:paraId="0DC4010C">
      <w:pPr>
        <w:spacing w:line="300" w:lineRule="auto"/>
        <w:outlineLvl w:val="1"/>
        <w:rPr>
          <w:rFonts w:hint="eastAsia" w:ascii="宋体" w:hAnsi="宋体" w:eastAsia="宋体" w:cs="宋体"/>
          <w:b/>
          <w:bCs/>
          <w:highlight w:val="none"/>
          <w:lang w:val="en-US" w:eastAsia="zh-CN"/>
        </w:rPr>
      </w:pPr>
      <w:bookmarkStart w:id="9" w:name="_Toc13192"/>
      <w:bookmarkStart w:id="10" w:name="_Toc21374"/>
      <w:r>
        <w:rPr>
          <w:rFonts w:hint="eastAsia" w:ascii="宋体" w:hAnsi="宋体" w:eastAsia="宋体" w:cs="宋体"/>
          <w:b/>
          <w:bCs/>
          <w:highlight w:val="none"/>
          <w:lang w:val="en-US" w:eastAsia="zh-CN"/>
        </w:rPr>
        <w:t>（二）定义</w:t>
      </w:r>
      <w:bookmarkEnd w:id="9"/>
      <w:bookmarkEnd w:id="10"/>
    </w:p>
    <w:p w14:paraId="09EB195F">
      <w:pPr>
        <w:spacing w:line="300" w:lineRule="auto"/>
        <w:ind w:left="210" w:leftChars="100" w:firstLine="105" w:firstLineChars="50"/>
        <w:rPr>
          <w:rFonts w:hint="eastAsia" w:ascii="宋体" w:hAnsi="宋体" w:eastAsia="宋体" w:cs="宋体"/>
          <w:highlight w:val="none"/>
          <w:lang w:val="en-US" w:eastAsia="zh-CN"/>
        </w:rPr>
      </w:pPr>
      <w:r>
        <w:rPr>
          <w:rFonts w:hint="eastAsia" w:ascii="宋体" w:hAnsi="宋体" w:eastAsia="宋体" w:cs="宋体"/>
          <w:highlight w:val="none"/>
          <w:lang w:val="en-US" w:eastAsia="zh-CN"/>
        </w:rPr>
        <w:t>1.招标采购单位系指组织本次招标的代理机构（“招标人”）和采购单位。</w:t>
      </w:r>
    </w:p>
    <w:p w14:paraId="5BF486DC">
      <w:pPr>
        <w:spacing w:line="300" w:lineRule="auto"/>
        <w:ind w:left="210" w:leftChars="100" w:firstLine="105" w:firstLineChars="50"/>
        <w:outlineLvl w:val="2"/>
        <w:rPr>
          <w:rFonts w:hint="eastAsia" w:ascii="宋体" w:hAnsi="宋体" w:eastAsia="宋体" w:cs="宋体"/>
          <w:highlight w:val="none"/>
          <w:lang w:val="en-US" w:eastAsia="zh-CN"/>
        </w:rPr>
      </w:pPr>
      <w:bookmarkStart w:id="11" w:name="_Toc16199"/>
      <w:r>
        <w:rPr>
          <w:rFonts w:hint="eastAsia" w:ascii="宋体" w:hAnsi="宋体" w:eastAsia="宋体" w:cs="宋体"/>
          <w:highlight w:val="none"/>
          <w:lang w:val="en-US" w:eastAsia="zh-CN"/>
        </w:rPr>
        <w:t>2.“投标人”系指向招标方提交投标文件的单位或个人。</w:t>
      </w:r>
      <w:bookmarkEnd w:id="11"/>
    </w:p>
    <w:p w14:paraId="71D7F3CF">
      <w:pPr>
        <w:spacing w:line="300" w:lineRule="auto"/>
        <w:ind w:left="210" w:leftChars="100" w:firstLine="105" w:firstLineChars="50"/>
        <w:rPr>
          <w:rFonts w:hint="eastAsia" w:ascii="宋体" w:hAnsi="宋体" w:eastAsia="宋体" w:cs="宋体"/>
          <w:highlight w:val="none"/>
          <w:lang w:val="en-US" w:eastAsia="zh-CN"/>
        </w:rPr>
      </w:pPr>
      <w:r>
        <w:rPr>
          <w:rFonts w:hint="eastAsia" w:ascii="宋体" w:hAnsi="宋体" w:eastAsia="宋体" w:cs="宋体"/>
          <w:highlight w:val="none"/>
          <w:lang w:val="en-US" w:eastAsia="zh-CN"/>
        </w:rPr>
        <w:t>3.“产品”系指供方按招标文件规定，须向招标人提供的一切服务及其它有关技术资料和材料。</w:t>
      </w:r>
    </w:p>
    <w:p w14:paraId="00C6FA3C">
      <w:pPr>
        <w:spacing w:line="300" w:lineRule="auto"/>
        <w:ind w:left="210" w:leftChars="100" w:firstLine="105" w:firstLineChars="50"/>
        <w:rPr>
          <w:rFonts w:hint="eastAsia" w:ascii="宋体" w:hAnsi="宋体" w:eastAsia="宋体" w:cs="宋体"/>
          <w:highlight w:val="none"/>
          <w:lang w:val="en-US" w:eastAsia="zh-CN"/>
        </w:rPr>
      </w:pPr>
      <w:r>
        <w:rPr>
          <w:rFonts w:hint="eastAsia" w:ascii="宋体" w:hAnsi="宋体" w:eastAsia="宋体" w:cs="宋体"/>
          <w:highlight w:val="none"/>
          <w:lang w:val="en-US" w:eastAsia="zh-CN"/>
        </w:rPr>
        <w:t>4.“服务”系指招标文件规定投标人须承担的技术协助、校准、培训、技术指导以及其他类似的义务。</w:t>
      </w:r>
    </w:p>
    <w:p w14:paraId="2A284C71">
      <w:pPr>
        <w:spacing w:line="300" w:lineRule="auto"/>
        <w:ind w:left="210" w:leftChars="100" w:firstLine="105" w:firstLineChars="50"/>
        <w:rPr>
          <w:rFonts w:hint="eastAsia" w:ascii="宋体" w:hAnsi="宋体" w:eastAsia="宋体" w:cs="宋体"/>
          <w:highlight w:val="none"/>
          <w:lang w:val="en-US" w:eastAsia="zh-CN"/>
        </w:rPr>
      </w:pPr>
      <w:r>
        <w:rPr>
          <w:rFonts w:hint="eastAsia" w:ascii="宋体" w:hAnsi="宋体" w:eastAsia="宋体" w:cs="宋体"/>
          <w:highlight w:val="none"/>
          <w:lang w:val="en-US" w:eastAsia="zh-CN"/>
        </w:rPr>
        <w:t>5.“项目”系指投标人按招标文件规定向招标人提供的产品和服务。</w:t>
      </w:r>
    </w:p>
    <w:p w14:paraId="425F554A">
      <w:pPr>
        <w:spacing w:line="300" w:lineRule="auto"/>
        <w:ind w:left="210" w:leftChars="100" w:firstLine="105" w:firstLineChars="50"/>
        <w:rPr>
          <w:rFonts w:hint="eastAsia" w:ascii="宋体" w:hAnsi="宋体" w:eastAsia="宋体" w:cs="宋体"/>
          <w:highlight w:val="none"/>
          <w:lang w:val="en-US" w:eastAsia="zh-CN"/>
        </w:rPr>
      </w:pPr>
      <w:bookmarkStart w:id="12" w:name="_Toc20586"/>
      <w:r>
        <w:rPr>
          <w:rFonts w:hint="eastAsia" w:ascii="宋体" w:hAnsi="宋体" w:eastAsia="宋体" w:cs="宋体"/>
          <w:highlight w:val="none"/>
          <w:lang w:val="en-US" w:eastAsia="zh-CN"/>
        </w:rPr>
        <w:t>6.“书面形式”包括信函、传真、电报等。</w:t>
      </w:r>
      <w:bookmarkEnd w:id="12"/>
    </w:p>
    <w:p w14:paraId="5464A0FE">
      <w:pPr>
        <w:spacing w:line="300" w:lineRule="auto"/>
        <w:outlineLvl w:val="1"/>
        <w:rPr>
          <w:rFonts w:hint="eastAsia" w:ascii="宋体" w:hAnsi="宋体" w:eastAsia="宋体" w:cs="宋体"/>
          <w:b/>
          <w:bCs/>
          <w:highlight w:val="none"/>
          <w:lang w:val="en-US" w:eastAsia="zh-CN"/>
        </w:rPr>
      </w:pPr>
      <w:bookmarkStart w:id="13" w:name="_Toc14030"/>
      <w:bookmarkStart w:id="14" w:name="_Toc15840"/>
      <w:r>
        <w:rPr>
          <w:rFonts w:hint="eastAsia" w:ascii="宋体" w:hAnsi="宋体" w:eastAsia="宋体" w:cs="宋体"/>
          <w:b/>
          <w:bCs/>
          <w:highlight w:val="none"/>
          <w:lang w:val="en-US" w:eastAsia="zh-CN"/>
        </w:rPr>
        <w:t>（三）招标方式</w:t>
      </w:r>
      <w:bookmarkEnd w:id="13"/>
      <w:bookmarkEnd w:id="14"/>
    </w:p>
    <w:p w14:paraId="2468A445">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本次招标采用公开招标方式进行。</w:t>
      </w:r>
    </w:p>
    <w:p w14:paraId="7CE28D31">
      <w:pPr>
        <w:spacing w:line="300" w:lineRule="auto"/>
        <w:outlineLvl w:val="1"/>
        <w:rPr>
          <w:rFonts w:hint="eastAsia" w:ascii="宋体" w:hAnsi="宋体" w:eastAsia="宋体" w:cs="宋体"/>
          <w:b/>
          <w:bCs/>
          <w:highlight w:val="none"/>
          <w:lang w:val="en-US" w:eastAsia="zh-CN"/>
        </w:rPr>
      </w:pPr>
      <w:bookmarkStart w:id="15" w:name="_Toc20843"/>
      <w:bookmarkStart w:id="16" w:name="_Toc18596"/>
      <w:r>
        <w:rPr>
          <w:rFonts w:hint="eastAsia" w:ascii="宋体" w:hAnsi="宋体" w:eastAsia="宋体" w:cs="宋体"/>
          <w:b/>
          <w:bCs/>
          <w:highlight w:val="none"/>
          <w:lang w:val="en-US" w:eastAsia="zh-CN"/>
        </w:rPr>
        <w:t>（四）采购文件获取</w:t>
      </w:r>
      <w:bookmarkEnd w:id="15"/>
      <w:bookmarkEnd w:id="16"/>
    </w:p>
    <w:p w14:paraId="1F4DC140">
      <w:pPr>
        <w:pStyle w:val="71"/>
        <w:keepNext w:val="0"/>
        <w:keepLines w:val="0"/>
        <w:widowControl/>
        <w:suppressLineNumbers w:val="0"/>
        <w:spacing w:before="75" w:beforeAutospacing="0" w:after="75" w:afterAutospacing="0" w:line="240" w:lineRule="auto"/>
        <w:ind w:left="0" w:leftChars="0" w:right="0"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w:t>
      </w:r>
      <w:r>
        <w:rPr>
          <w:rFonts w:hint="eastAsia" w:ascii="宋体" w:hAnsi="宋体" w:eastAsia="宋体" w:cs="宋体"/>
          <w:kern w:val="2"/>
          <w:sz w:val="21"/>
          <w:szCs w:val="24"/>
          <w:highlight w:val="none"/>
          <w:lang w:val="en-US" w:eastAsia="zh-CN" w:bidi="ar-SA"/>
        </w:rPr>
        <w:t xml:space="preserve"> 供应商登录政采云平台https://www.zcygov.cn/在线申请获取采购文件（进入“项目采购”应用，在获取采购文件菜单中选择项目，申请获取采购文件）</w:t>
      </w:r>
    </w:p>
    <w:p w14:paraId="6705C3BB">
      <w:pPr>
        <w:spacing w:line="300" w:lineRule="auto"/>
        <w:outlineLvl w:val="1"/>
        <w:rPr>
          <w:rFonts w:hint="eastAsia" w:ascii="宋体" w:hAnsi="宋体" w:eastAsia="宋体" w:cs="宋体"/>
          <w:b/>
          <w:bCs/>
          <w:highlight w:val="none"/>
          <w:lang w:val="en-US" w:eastAsia="zh-CN"/>
        </w:rPr>
      </w:pPr>
      <w:bookmarkStart w:id="17" w:name="_Toc1704"/>
      <w:bookmarkStart w:id="18" w:name="_Toc17293"/>
      <w:r>
        <w:rPr>
          <w:rFonts w:hint="eastAsia" w:ascii="宋体" w:hAnsi="宋体" w:eastAsia="宋体" w:cs="宋体"/>
          <w:b/>
          <w:bCs/>
          <w:highlight w:val="none"/>
          <w:lang w:val="en-US" w:eastAsia="zh-CN"/>
        </w:rPr>
        <w:t>（五）投标费用</w:t>
      </w:r>
      <w:bookmarkEnd w:id="17"/>
      <w:bookmarkEnd w:id="18"/>
    </w:p>
    <w:p w14:paraId="410F48E8">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不论投标结果如何，投标人均应自行承担所有与投标有关的全部费用。</w:t>
      </w:r>
    </w:p>
    <w:p w14:paraId="0B519454">
      <w:pPr>
        <w:spacing w:line="300" w:lineRule="auto"/>
        <w:outlineLvl w:val="1"/>
        <w:rPr>
          <w:rFonts w:hint="eastAsia" w:ascii="宋体" w:hAnsi="宋体" w:eastAsia="宋体" w:cs="宋体"/>
          <w:b/>
          <w:bCs/>
          <w:highlight w:val="none"/>
          <w:lang w:val="en-US" w:eastAsia="zh-CN"/>
        </w:rPr>
      </w:pPr>
      <w:bookmarkStart w:id="19" w:name="_Toc19554"/>
      <w:bookmarkStart w:id="20" w:name="_Toc22117"/>
      <w:r>
        <w:rPr>
          <w:rFonts w:hint="eastAsia" w:ascii="宋体" w:hAnsi="宋体" w:eastAsia="宋体" w:cs="宋体"/>
          <w:b/>
          <w:bCs/>
          <w:highlight w:val="none"/>
          <w:lang w:val="en-US" w:eastAsia="zh-CN"/>
        </w:rPr>
        <w:t>（六）联合体投标</w:t>
      </w:r>
      <w:bookmarkEnd w:id="19"/>
      <w:bookmarkEnd w:id="20"/>
    </w:p>
    <w:p w14:paraId="5301E69C">
      <w:pPr>
        <w:spacing w:line="360" w:lineRule="auto"/>
        <w:ind w:firstLine="480"/>
        <w:rPr>
          <w:rFonts w:hint="eastAsia" w:ascii="宋体" w:hAnsi="宋体" w:eastAsia="宋体" w:cs="宋体"/>
          <w:highlight w:val="none"/>
        </w:rPr>
      </w:pPr>
      <w:r>
        <w:rPr>
          <w:rFonts w:hint="eastAsia" w:ascii="宋体" w:hAnsi="宋体" w:eastAsia="宋体" w:cs="宋体"/>
          <w:highlight w:val="none"/>
        </w:rPr>
        <w:t>1联合体各方均应当满足《中华人民共和国政府采购法》第二十二条规定的条件，并在投标文件中提供联合体各方的相关证明材料。</w:t>
      </w:r>
    </w:p>
    <w:p w14:paraId="48B5652A">
      <w:pPr>
        <w:spacing w:line="360" w:lineRule="auto"/>
        <w:ind w:firstLine="480"/>
        <w:rPr>
          <w:rFonts w:hint="eastAsia" w:ascii="宋体" w:hAnsi="宋体" w:eastAsia="宋体" w:cs="宋体"/>
          <w:highlight w:val="none"/>
        </w:rPr>
      </w:pPr>
      <w:r>
        <w:rPr>
          <w:rFonts w:hint="eastAsia" w:ascii="宋体" w:hAnsi="宋体" w:eastAsia="宋体" w:cs="宋体"/>
          <w:highlight w:val="none"/>
        </w:rPr>
        <w:t>2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61C4E138">
      <w:pPr>
        <w:spacing w:line="360" w:lineRule="auto"/>
        <w:ind w:firstLine="480"/>
        <w:rPr>
          <w:rFonts w:hint="eastAsia" w:ascii="宋体" w:hAnsi="宋体" w:eastAsia="宋体" w:cs="宋体"/>
          <w:highlight w:val="none"/>
        </w:rPr>
      </w:pPr>
      <w:r>
        <w:rPr>
          <w:rFonts w:hint="eastAsia" w:ascii="宋体" w:hAnsi="宋体" w:eastAsia="宋体" w:cs="宋体"/>
          <w:highlight w:val="none"/>
        </w:rPr>
        <w:t>3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4868291B">
      <w:pPr>
        <w:spacing w:line="360" w:lineRule="auto"/>
        <w:ind w:firstLine="480"/>
        <w:rPr>
          <w:rFonts w:hint="eastAsia" w:ascii="宋体" w:hAnsi="宋体" w:eastAsia="宋体" w:cs="宋体"/>
          <w:highlight w:val="none"/>
        </w:rPr>
      </w:pPr>
      <w:r>
        <w:rPr>
          <w:rFonts w:hint="eastAsia" w:ascii="宋体" w:hAnsi="宋体" w:eastAsia="宋体" w:cs="宋体"/>
          <w:highlight w:val="none"/>
        </w:rPr>
        <w:t>4联合体成员存在不良信用记录的，视同联合体存在不良信用记录。</w:t>
      </w:r>
    </w:p>
    <w:p w14:paraId="1C4513AC">
      <w:pPr>
        <w:spacing w:line="360" w:lineRule="auto"/>
        <w:ind w:firstLine="480"/>
        <w:rPr>
          <w:rFonts w:hint="eastAsia" w:ascii="宋体" w:hAnsi="宋体" w:eastAsia="宋体" w:cs="宋体"/>
          <w:highlight w:val="none"/>
        </w:rPr>
      </w:pPr>
      <w:r>
        <w:rPr>
          <w:rFonts w:hint="eastAsia" w:ascii="宋体" w:hAnsi="宋体" w:eastAsia="宋体" w:cs="宋体"/>
          <w:highlight w:val="none"/>
        </w:rPr>
        <w:t>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3EA1819F">
      <w:pPr>
        <w:spacing w:line="360" w:lineRule="auto"/>
        <w:ind w:firstLine="480"/>
        <w:rPr>
          <w:rFonts w:hint="eastAsia" w:ascii="宋体" w:hAnsi="宋体" w:eastAsia="宋体" w:cs="宋体"/>
          <w:highlight w:val="none"/>
        </w:rPr>
      </w:pPr>
      <w:r>
        <w:rPr>
          <w:rFonts w:hint="eastAsia" w:ascii="宋体" w:hAnsi="宋体" w:eastAsia="宋体" w:cs="宋体"/>
          <w:highlight w:val="none"/>
        </w:rPr>
        <w:t>6联合体各方应当共同与采购人签订采购合同，就合同约定的事项对采购人承担连带责任。</w:t>
      </w:r>
    </w:p>
    <w:p w14:paraId="39C7FC22">
      <w:pPr>
        <w:spacing w:line="300" w:lineRule="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本项目不接受联合体投标。</w:t>
      </w:r>
    </w:p>
    <w:p w14:paraId="7B893CE6">
      <w:pPr>
        <w:spacing w:line="300" w:lineRule="auto"/>
        <w:outlineLvl w:val="1"/>
        <w:rPr>
          <w:rFonts w:hint="eastAsia" w:ascii="宋体" w:hAnsi="宋体" w:eastAsia="宋体" w:cs="宋体"/>
          <w:b/>
          <w:bCs/>
          <w:highlight w:val="none"/>
          <w:lang w:val="en-US" w:eastAsia="zh-CN"/>
        </w:rPr>
      </w:pPr>
      <w:bookmarkStart w:id="21" w:name="_Toc21389"/>
      <w:bookmarkStart w:id="22" w:name="_Toc11478"/>
      <w:r>
        <w:rPr>
          <w:rFonts w:hint="eastAsia" w:ascii="宋体" w:hAnsi="宋体" w:eastAsia="宋体" w:cs="宋体"/>
          <w:b/>
          <w:bCs/>
          <w:highlight w:val="none"/>
          <w:lang w:val="en-US" w:eastAsia="zh-CN"/>
        </w:rPr>
        <w:t>（七）转包与分包</w:t>
      </w:r>
      <w:bookmarkEnd w:id="21"/>
      <w:bookmarkEnd w:id="22"/>
    </w:p>
    <w:p w14:paraId="348FFC5C">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1.本项目不允许转包。</w:t>
      </w:r>
    </w:p>
    <w:p w14:paraId="1D327EF1">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2.本项目可以分包。</w:t>
      </w:r>
    </w:p>
    <w:p w14:paraId="22D2A9EA">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3.投标人应仔细阅读招标文件的所有内容，按照招标文件的要求提交投标文件，并对所提供的全部资料的真实性承担法律责任。</w:t>
      </w:r>
    </w:p>
    <w:p w14:paraId="5E03E2D1">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4.投标人在投标活动中提供任何虚假材料</w:t>
      </w:r>
      <w:r>
        <w:rPr>
          <w:rFonts w:hint="eastAsia" w:ascii="宋体" w:hAnsi="宋体" w:cs="宋体"/>
          <w:highlight w:val="none"/>
          <w:lang w:val="en-US" w:eastAsia="zh-CN"/>
        </w:rPr>
        <w:t>，</w:t>
      </w:r>
      <w:r>
        <w:rPr>
          <w:rFonts w:hint="eastAsia" w:ascii="宋体" w:hAnsi="宋体" w:eastAsia="宋体" w:cs="宋体"/>
          <w:highlight w:val="none"/>
          <w:lang w:val="en-US" w:eastAsia="zh-CN"/>
        </w:rPr>
        <w:t>其投标无效，并报监管部门查处；中标后发现的</w:t>
      </w:r>
      <w:r>
        <w:rPr>
          <w:rFonts w:hint="eastAsia" w:ascii="宋体" w:hAnsi="宋体" w:cs="宋体"/>
          <w:highlight w:val="none"/>
          <w:lang w:val="en-US" w:eastAsia="zh-CN"/>
        </w:rPr>
        <w:t>，</w:t>
      </w:r>
      <w:r>
        <w:rPr>
          <w:rFonts w:hint="eastAsia" w:ascii="宋体" w:hAnsi="宋体" w:eastAsia="宋体" w:cs="宋体"/>
          <w:highlight w:val="none"/>
          <w:lang w:val="en-US" w:eastAsia="zh-CN"/>
        </w:rPr>
        <w:t>中标人须依照《中华人民共和国消费者权益保护法》第49条之规定双倍赔偿招标人，且民事赔偿并不免除违法投标人的行政与刑事责任。</w:t>
      </w:r>
    </w:p>
    <w:p w14:paraId="439AE7CA">
      <w:pPr>
        <w:spacing w:line="300" w:lineRule="auto"/>
        <w:outlineLvl w:val="1"/>
        <w:rPr>
          <w:rFonts w:hint="eastAsia" w:ascii="宋体" w:hAnsi="宋体" w:eastAsia="宋体" w:cs="宋体"/>
          <w:b/>
          <w:bCs/>
          <w:highlight w:val="none"/>
          <w:lang w:val="en-US" w:eastAsia="zh-CN"/>
        </w:rPr>
      </w:pPr>
      <w:bookmarkStart w:id="23" w:name="_Toc4294"/>
      <w:bookmarkStart w:id="24" w:name="_Toc14774"/>
      <w:r>
        <w:rPr>
          <w:rFonts w:hint="eastAsia" w:ascii="宋体" w:hAnsi="宋体" w:eastAsia="宋体" w:cs="宋体"/>
          <w:b/>
          <w:bCs/>
          <w:highlight w:val="none"/>
          <w:lang w:val="en-US" w:eastAsia="zh-CN"/>
        </w:rPr>
        <w:t>（八）质疑和投诉</w:t>
      </w:r>
      <w:bookmarkEnd w:id="23"/>
      <w:bookmarkEnd w:id="24"/>
    </w:p>
    <w:p w14:paraId="131187BE">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投标人认为招标文件、招标过程或中标结果使自己的合法权益受到损害的，应当在知道或者应知其权益受到损害之日起七个工作日内，以书面形式向招标人、招标代理机构提出质疑。投标人对招标采购单位的质疑答复不满意或者招标采购单位未在规定时间内作出答复的，可以在答复期满后十五个工作日内向招标人投诉。</w:t>
      </w:r>
    </w:p>
    <w:p w14:paraId="0E2281B3">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530C8928">
      <w:pPr>
        <w:spacing w:line="300" w:lineRule="auto"/>
        <w:outlineLvl w:val="1"/>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（九）纪律与保密事项</w:t>
      </w:r>
    </w:p>
    <w:p w14:paraId="72FDC1F3">
      <w:pPr>
        <w:spacing w:line="360" w:lineRule="auto"/>
        <w:ind w:firstLine="480"/>
        <w:rPr>
          <w:rFonts w:hint="eastAsia" w:ascii="宋体" w:hAnsi="宋体" w:eastAsia="宋体" w:cs="宋体"/>
          <w:highlight w:val="none"/>
        </w:rPr>
      </w:pPr>
      <w:r>
        <w:rPr>
          <w:rFonts w:hint="eastAsia" w:ascii="宋体" w:hAnsi="宋体" w:eastAsia="宋体" w:cs="宋体"/>
          <w:highlight w:val="none"/>
        </w:rPr>
        <w:t>1投标人不得相互串通投标报价，不得妨碍其他投标人的公平竞争，不得损害采购人或其他投标人的合法权益，投标人不得以向采购人、评标委员会成员行贿或者采取其他不正当手段谋取中标。</w:t>
      </w:r>
    </w:p>
    <w:p w14:paraId="1D132B1A">
      <w:pPr>
        <w:spacing w:line="360" w:lineRule="auto"/>
        <w:ind w:firstLine="480"/>
        <w:rPr>
          <w:rFonts w:hint="eastAsia" w:ascii="宋体" w:hAnsi="宋体" w:eastAsia="宋体" w:cs="宋体"/>
          <w:highlight w:val="none"/>
        </w:rPr>
      </w:pPr>
      <w:r>
        <w:rPr>
          <w:rFonts w:hint="eastAsia" w:ascii="宋体" w:hAnsi="宋体" w:eastAsia="宋体" w:cs="宋体"/>
          <w:highlight w:val="none"/>
        </w:rPr>
        <w:t>2在确定中标供应商之前，投标人不得与采购人就投标价格、投标方案等实质性内容进行谈判，也不得私下接触评标委员会成员。</w:t>
      </w:r>
    </w:p>
    <w:p w14:paraId="185E01E2">
      <w:pPr>
        <w:spacing w:line="360" w:lineRule="auto"/>
        <w:ind w:firstLine="480"/>
        <w:rPr>
          <w:rFonts w:hint="eastAsia" w:ascii="宋体" w:hAnsi="宋体" w:eastAsia="宋体" w:cs="宋体"/>
          <w:highlight w:val="none"/>
        </w:rPr>
      </w:pPr>
      <w:r>
        <w:rPr>
          <w:rFonts w:hint="eastAsia" w:ascii="宋体" w:hAnsi="宋体" w:eastAsia="宋体" w:cs="宋体"/>
          <w:highlight w:val="none"/>
        </w:rPr>
        <w:t>3在确定中标供应商之前，投标人试图在投标文件审查、澄清、比较和评价时对评标委员会、采购人和采购代理机构施加任何影响都可能导致其投标无效。</w:t>
      </w:r>
    </w:p>
    <w:p w14:paraId="009D5919">
      <w:pPr>
        <w:spacing w:line="360" w:lineRule="auto"/>
        <w:ind w:firstLine="480"/>
        <w:rPr>
          <w:rFonts w:hint="eastAsia" w:ascii="宋体" w:hAnsi="宋体" w:eastAsia="宋体" w:cs="宋体"/>
          <w:highlight w:val="none"/>
        </w:rPr>
      </w:pPr>
      <w:r>
        <w:rPr>
          <w:rFonts w:hint="eastAsia" w:ascii="宋体" w:hAnsi="宋体" w:eastAsia="宋体" w:cs="宋体"/>
          <w:highlight w:val="none"/>
        </w:rPr>
        <w:t>4获得本招标文件者，须履行本项目下保密义务，不得将因本次项目获得的信息向第三人外传，不得将招标文件用作本次投标以外的任何用途。</w:t>
      </w:r>
    </w:p>
    <w:p w14:paraId="339B8AE6">
      <w:pPr>
        <w:spacing w:line="360" w:lineRule="auto"/>
        <w:ind w:firstLine="480"/>
        <w:rPr>
          <w:rFonts w:hint="eastAsia" w:ascii="宋体" w:hAnsi="宋体" w:eastAsia="宋体" w:cs="宋体"/>
          <w:highlight w:val="none"/>
        </w:rPr>
      </w:pPr>
      <w:r>
        <w:rPr>
          <w:rFonts w:hint="eastAsia" w:ascii="宋体" w:hAnsi="宋体" w:eastAsia="宋体" w:cs="宋体"/>
          <w:highlight w:val="none"/>
        </w:rPr>
        <w:t>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14:paraId="465B37FC">
      <w:pPr>
        <w:spacing w:line="360" w:lineRule="auto"/>
        <w:ind w:firstLine="480"/>
        <w:rPr>
          <w:rFonts w:hint="eastAsia" w:ascii="宋体" w:hAnsi="宋体" w:eastAsia="宋体" w:cs="宋体"/>
          <w:highlight w:val="none"/>
        </w:rPr>
      </w:pPr>
      <w:r>
        <w:rPr>
          <w:rFonts w:hint="eastAsia" w:ascii="宋体" w:hAnsi="宋体" w:eastAsia="宋体" w:cs="宋体"/>
          <w:highlight w:val="none"/>
        </w:rPr>
        <w:t>6采购人或采购代理机构有权将供应商提供的所有资料向有关政府部门或评审小组披露。</w:t>
      </w:r>
    </w:p>
    <w:p w14:paraId="733D0EDC">
      <w:pPr>
        <w:spacing w:line="360" w:lineRule="auto"/>
        <w:ind w:firstLine="480"/>
        <w:rPr>
          <w:rFonts w:hint="eastAsia" w:ascii="宋体" w:hAnsi="宋体" w:eastAsia="宋体" w:cs="宋体"/>
          <w:highlight w:val="none"/>
        </w:rPr>
      </w:pPr>
      <w:r>
        <w:rPr>
          <w:rFonts w:hint="eastAsia" w:ascii="宋体" w:hAnsi="宋体" w:eastAsia="宋体" w:cs="宋体"/>
          <w:highlight w:val="none"/>
        </w:rPr>
        <w:t>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5D52BED1">
      <w:pPr>
        <w:keepNext w:val="0"/>
        <w:keepLines w:val="0"/>
        <w:pageBreakBefore w:val="0"/>
        <w:kinsoku/>
        <w:wordWrap/>
        <w:overflowPunct/>
        <w:topLinePunct w:val="0"/>
        <w:autoSpaceDE/>
        <w:autoSpaceDN/>
        <w:bidi w:val="0"/>
        <w:adjustRightInd/>
        <w:snapToGrid/>
        <w:spacing w:line="300" w:lineRule="exact"/>
        <w:ind w:left="0" w:right="0" w:firstLine="562" w:firstLineChars="200"/>
        <w:jc w:val="both"/>
        <w:textAlignment w:val="auto"/>
        <w:rPr>
          <w:rFonts w:hint="eastAsia" w:ascii="宋体" w:hAnsi="宋体" w:eastAsia="宋体" w:cs="宋体"/>
          <w:b/>
          <w:bCs/>
          <w:color w:val="000000"/>
          <w:sz w:val="28"/>
          <w:szCs w:val="28"/>
          <w:highlight w:val="none"/>
          <w:lang w:val="en-US" w:eastAsia="zh-CN"/>
        </w:rPr>
      </w:pPr>
      <w:bookmarkStart w:id="25" w:name="_Toc30350"/>
      <w:bookmarkStart w:id="26" w:name="_Toc32144"/>
      <w:bookmarkStart w:id="27" w:name="_Toc28270"/>
      <w:bookmarkStart w:id="28" w:name="_Toc503212209"/>
      <w:bookmarkStart w:id="29" w:name="_Toc521014777"/>
    </w:p>
    <w:p w14:paraId="4031543E">
      <w:pPr>
        <w:keepNext w:val="0"/>
        <w:keepLines w:val="0"/>
        <w:pageBreakBefore w:val="0"/>
        <w:numPr>
          <w:ilvl w:val="0"/>
          <w:numId w:val="6"/>
        </w:numPr>
        <w:kinsoku/>
        <w:wordWrap/>
        <w:overflowPunct/>
        <w:topLinePunct w:val="0"/>
        <w:autoSpaceDE/>
        <w:autoSpaceDN/>
        <w:bidi w:val="0"/>
        <w:adjustRightInd/>
        <w:snapToGrid/>
        <w:spacing w:line="300" w:lineRule="exact"/>
        <w:ind w:left="0" w:right="0" w:firstLine="562" w:firstLineChars="20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招标文件</w:t>
      </w:r>
      <w:bookmarkEnd w:id="25"/>
      <w:bookmarkEnd w:id="26"/>
      <w:bookmarkEnd w:id="27"/>
      <w:bookmarkEnd w:id="28"/>
      <w:bookmarkEnd w:id="29"/>
    </w:p>
    <w:p w14:paraId="47A01B5B">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（一）招标文件的构成。本招标文件由以下部份组成：</w:t>
      </w:r>
    </w:p>
    <w:p w14:paraId="578A4014">
      <w:pPr>
        <w:spacing w:line="300" w:lineRule="auto"/>
        <w:ind w:left="210" w:leftChars="100" w:firstLine="105" w:firstLineChars="50"/>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第一章 招标公告</w:t>
      </w:r>
    </w:p>
    <w:p w14:paraId="5BE6D786">
      <w:pPr>
        <w:spacing w:line="300" w:lineRule="auto"/>
        <w:ind w:left="210" w:leftChars="100" w:firstLine="105" w:firstLineChars="50"/>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第二章 投标人须知</w:t>
      </w:r>
    </w:p>
    <w:p w14:paraId="6CFAA983">
      <w:pPr>
        <w:spacing w:line="300" w:lineRule="auto"/>
        <w:ind w:left="210" w:leftChars="100" w:firstLine="105" w:firstLineChars="50"/>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第三章 评标办法及标准</w:t>
      </w:r>
    </w:p>
    <w:p w14:paraId="426180C0">
      <w:pPr>
        <w:spacing w:line="300" w:lineRule="auto"/>
        <w:ind w:left="210" w:leftChars="100" w:firstLine="105" w:firstLineChars="50"/>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第四章 招标需求</w:t>
      </w:r>
    </w:p>
    <w:p w14:paraId="5088210B">
      <w:pPr>
        <w:spacing w:line="300" w:lineRule="auto"/>
        <w:ind w:left="210" w:leftChars="100" w:firstLine="105" w:firstLineChars="50"/>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第五章 合同主要条款</w:t>
      </w:r>
    </w:p>
    <w:p w14:paraId="2AA5E430">
      <w:pPr>
        <w:spacing w:line="300" w:lineRule="auto"/>
        <w:ind w:left="210" w:leftChars="100" w:firstLine="105" w:firstLineChars="50"/>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第六章 投标文件格式</w:t>
      </w:r>
    </w:p>
    <w:p w14:paraId="5ED5A495">
      <w:pPr>
        <w:spacing w:line="300" w:lineRule="auto"/>
        <w:outlineLvl w:val="1"/>
        <w:rPr>
          <w:rFonts w:hint="eastAsia" w:ascii="宋体" w:hAnsi="宋体" w:eastAsia="宋体" w:cs="宋体"/>
          <w:b/>
          <w:bCs/>
          <w:highlight w:val="none"/>
          <w:lang w:val="en-US" w:eastAsia="zh-CN"/>
        </w:rPr>
      </w:pPr>
      <w:bookmarkStart w:id="30" w:name="_Toc12877"/>
      <w:bookmarkStart w:id="31" w:name="_Toc18044"/>
      <w:r>
        <w:rPr>
          <w:rFonts w:hint="eastAsia" w:ascii="宋体" w:hAnsi="宋体" w:eastAsia="宋体" w:cs="宋体"/>
          <w:b/>
          <w:bCs/>
          <w:highlight w:val="none"/>
          <w:lang w:val="en-US" w:eastAsia="zh-CN"/>
        </w:rPr>
        <w:t>（二）投标人的风险</w:t>
      </w:r>
      <w:bookmarkEnd w:id="30"/>
      <w:bookmarkEnd w:id="31"/>
    </w:p>
    <w:p w14:paraId="74B0DFE9">
      <w:pPr>
        <w:spacing w:line="300" w:lineRule="auto"/>
        <w:ind w:left="210" w:leftChars="100" w:firstLine="315" w:firstLineChars="15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投标人没有按照招标文件要求提供全部资料，或者投标人没有对招标文件在各方面作出实质性响应是投标人的风险，并可能导致其投标为无效标。</w:t>
      </w:r>
    </w:p>
    <w:p w14:paraId="04B9F76E">
      <w:pPr>
        <w:spacing w:line="300" w:lineRule="auto"/>
        <w:outlineLvl w:val="1"/>
        <w:rPr>
          <w:rFonts w:hint="eastAsia" w:ascii="宋体" w:hAnsi="宋体" w:eastAsia="宋体" w:cs="宋体"/>
          <w:b/>
          <w:bCs/>
          <w:highlight w:val="none"/>
          <w:lang w:val="en-US" w:eastAsia="zh-CN"/>
        </w:rPr>
      </w:pPr>
      <w:bookmarkStart w:id="32" w:name="_Toc15241"/>
      <w:bookmarkStart w:id="33" w:name="_Toc27766"/>
      <w:r>
        <w:rPr>
          <w:rFonts w:hint="eastAsia" w:ascii="宋体" w:hAnsi="宋体" w:eastAsia="宋体" w:cs="宋体"/>
          <w:b/>
          <w:bCs/>
          <w:highlight w:val="none"/>
          <w:lang w:val="en-US" w:eastAsia="zh-CN"/>
        </w:rPr>
        <w:t>（三）招标文件的澄清与修改</w:t>
      </w:r>
      <w:bookmarkEnd w:id="32"/>
      <w:bookmarkEnd w:id="33"/>
      <w:r>
        <w:rPr>
          <w:rFonts w:hint="eastAsia" w:ascii="宋体" w:hAnsi="宋体" w:eastAsia="宋体" w:cs="宋体"/>
          <w:b/>
          <w:bCs/>
          <w:highlight w:val="none"/>
          <w:lang w:val="en-US" w:eastAsia="zh-CN"/>
        </w:rPr>
        <w:t xml:space="preserve"> </w:t>
      </w:r>
    </w:p>
    <w:p w14:paraId="540E7095">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1.招标代理机构必须以书面形式答复投标人要求澄清的问题，并将不包含问题来源的答复书面通知所有购买招标文件的投标人；除书面答复以外的其他澄清方式及澄清内容均无效。</w:t>
      </w:r>
    </w:p>
    <w:p w14:paraId="35909D32">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2.招标文件澄清、答复、修改、补充的内容为招标文件的组成部分。当招标文件与招标文件的答复、澄清、修改、补充通知就同一内容的表述不一致时，以最后发出的书面文件为准。</w:t>
      </w:r>
    </w:p>
    <w:p w14:paraId="435BE5AC">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3.招标文件的澄清、答复、修改或补充都应该通过本代理机构以法定形式发布，招标人非通过本机构，不得擅自澄清、答复、修改或补充招标文件。</w:t>
      </w:r>
    </w:p>
    <w:p w14:paraId="510E2F9F">
      <w:pPr>
        <w:pStyle w:val="6"/>
        <w:numPr>
          <w:ilvl w:val="0"/>
          <w:numId w:val="0"/>
        </w:numPr>
        <w:ind w:leftChars="-50" w:right="62" w:rightChars="0"/>
        <w:jc w:val="center"/>
        <w:rPr>
          <w:rFonts w:hint="eastAsia" w:ascii="宋体" w:hAnsi="宋体" w:eastAsia="宋体" w:cs="宋体"/>
          <w:b/>
          <w:bCs/>
          <w:color w:val="000000"/>
          <w:kern w:val="2"/>
          <w:sz w:val="28"/>
          <w:szCs w:val="28"/>
          <w:highlight w:val="none"/>
          <w:lang w:val="en-US" w:eastAsia="zh-CN" w:bidi="ar-SA"/>
        </w:rPr>
      </w:pPr>
      <w:bookmarkStart w:id="34" w:name="_Toc521014778"/>
      <w:bookmarkStart w:id="35" w:name="_Toc27918"/>
      <w:bookmarkStart w:id="36" w:name="_Toc10814"/>
      <w:bookmarkStart w:id="37" w:name="_Toc12173"/>
      <w:bookmarkStart w:id="38" w:name="_Toc503212210"/>
      <w:bookmarkStart w:id="39" w:name="_Toc765"/>
      <w:bookmarkStart w:id="40" w:name="_Toc8746"/>
      <w:r>
        <w:rPr>
          <w:rFonts w:hint="eastAsia" w:ascii="宋体" w:hAnsi="宋体" w:eastAsia="宋体" w:cs="宋体"/>
          <w:b/>
          <w:bCs/>
          <w:color w:val="000000"/>
          <w:kern w:val="2"/>
          <w:sz w:val="28"/>
          <w:szCs w:val="28"/>
          <w:highlight w:val="none"/>
          <w:lang w:val="en-US" w:eastAsia="zh-CN" w:bidi="ar-SA"/>
        </w:rPr>
        <w:t>（三）投标文件的编制</w:t>
      </w:r>
      <w:bookmarkEnd w:id="34"/>
      <w:bookmarkEnd w:id="35"/>
      <w:bookmarkEnd w:id="36"/>
      <w:bookmarkEnd w:id="37"/>
      <w:bookmarkEnd w:id="38"/>
      <w:bookmarkEnd w:id="39"/>
      <w:bookmarkEnd w:id="40"/>
    </w:p>
    <w:p w14:paraId="23351240">
      <w:pPr>
        <w:spacing w:line="300" w:lineRule="auto"/>
        <w:rPr>
          <w:rFonts w:hint="eastAsia" w:ascii="宋体" w:hAnsi="宋体" w:eastAsia="宋体" w:cs="宋体"/>
          <w:b/>
          <w:bCs/>
          <w:highlight w:val="none"/>
        </w:rPr>
      </w:pPr>
      <w:bookmarkStart w:id="41" w:name="_Toc503212211"/>
      <w:bookmarkStart w:id="42" w:name="_Toc29977"/>
      <w:bookmarkStart w:id="43" w:name="_Toc521014779"/>
      <w:bookmarkStart w:id="44" w:name="_Toc23068"/>
      <w:r>
        <w:rPr>
          <w:rFonts w:hint="eastAsia" w:ascii="宋体" w:hAnsi="宋体" w:eastAsia="宋体" w:cs="宋体"/>
          <w:b/>
          <w:bCs/>
          <w:highlight w:val="none"/>
        </w:rPr>
        <w:t>投标文件的组成</w:t>
      </w:r>
      <w:bookmarkEnd w:id="41"/>
      <w:bookmarkEnd w:id="42"/>
      <w:bookmarkEnd w:id="43"/>
      <w:bookmarkEnd w:id="44"/>
    </w:p>
    <w:p w14:paraId="3AD29F69">
      <w:pPr>
        <w:spacing w:line="300" w:lineRule="auto"/>
        <w:outlineLvl w:val="2"/>
        <w:rPr>
          <w:rFonts w:hint="eastAsia" w:ascii="宋体" w:hAnsi="宋体" w:eastAsia="宋体" w:cs="宋体"/>
          <w:highlight w:val="none"/>
        </w:rPr>
      </w:pPr>
      <w:bookmarkStart w:id="45" w:name="_Toc21340"/>
      <w:r>
        <w:rPr>
          <w:rFonts w:hint="eastAsia" w:ascii="宋体" w:hAnsi="宋体" w:eastAsia="宋体" w:cs="宋体"/>
          <w:highlight w:val="none"/>
          <w:lang w:val="en-US" w:eastAsia="zh-CN"/>
        </w:rPr>
        <w:t>1、</w:t>
      </w:r>
      <w:r>
        <w:rPr>
          <w:rFonts w:hint="eastAsia" w:ascii="宋体" w:hAnsi="宋体" w:eastAsia="宋体" w:cs="宋体"/>
          <w:highlight w:val="none"/>
        </w:rPr>
        <w:t>投标文件由报价部分</w:t>
      </w:r>
      <w:r>
        <w:rPr>
          <w:rFonts w:hint="eastAsia" w:ascii="宋体" w:hAnsi="宋体" w:eastAsia="宋体" w:cs="宋体"/>
          <w:highlight w:val="none"/>
          <w:lang w:eastAsia="zh-CN"/>
        </w:rPr>
        <w:t>、</w:t>
      </w:r>
      <w:r>
        <w:rPr>
          <w:rFonts w:hint="eastAsia" w:ascii="宋体" w:hAnsi="宋体" w:eastAsia="宋体" w:cs="宋体"/>
          <w:highlight w:val="none"/>
        </w:rPr>
        <w:t>商务</w:t>
      </w:r>
      <w:r>
        <w:rPr>
          <w:rFonts w:hint="eastAsia" w:ascii="宋体" w:hAnsi="宋体" w:eastAsia="宋体" w:cs="宋体"/>
          <w:highlight w:val="none"/>
          <w:lang w:val="en-US" w:eastAsia="zh-CN"/>
        </w:rPr>
        <w:t>部分、</w:t>
      </w:r>
      <w:r>
        <w:rPr>
          <w:rFonts w:hint="eastAsia" w:ascii="宋体" w:hAnsi="宋体" w:eastAsia="宋体" w:cs="宋体"/>
          <w:highlight w:val="none"/>
        </w:rPr>
        <w:t>技术部分组成。</w:t>
      </w:r>
      <w:bookmarkEnd w:id="45"/>
    </w:p>
    <w:p w14:paraId="13EE50CB">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、投标单位应按招标文件的要求提供招标文件，并保证所有材料的真实性，以确保其投标对招标文件做出实质性的响应。</w:t>
      </w:r>
    </w:p>
    <w:p w14:paraId="19F80802">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、招标文件使用的计量单位，应采用国家法定的计量单位。</w:t>
      </w:r>
    </w:p>
    <w:p w14:paraId="17ABD0D0">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、投标人所递交的投标文件应包含以下文件：</w:t>
      </w:r>
    </w:p>
    <w:p w14:paraId="6739FCEE">
      <w:pPr>
        <w:spacing w:line="300" w:lineRule="auto"/>
        <w:rPr>
          <w:rFonts w:hint="eastAsia" w:ascii="宋体" w:hAnsi="宋体" w:eastAsia="宋体" w:cs="宋体"/>
          <w:b/>
          <w:bCs/>
          <w:highlight w:val="none"/>
        </w:rPr>
      </w:pPr>
      <w:r>
        <w:rPr>
          <w:rFonts w:hint="eastAsia" w:ascii="宋体" w:hAnsi="宋体" w:eastAsia="宋体" w:cs="宋体"/>
          <w:b/>
          <w:bCs/>
          <w:highlight w:val="none"/>
        </w:rPr>
        <w:t>报价部分：</w:t>
      </w:r>
    </w:p>
    <w:p w14:paraId="3EDD54DA">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1、投标函；</w:t>
      </w:r>
    </w:p>
    <w:p w14:paraId="3D51EA32">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2、开标一览表；</w:t>
      </w:r>
    </w:p>
    <w:p w14:paraId="3AFAB192">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3、投标报价明细表</w:t>
      </w:r>
    </w:p>
    <w:p w14:paraId="096E10A9">
      <w:pPr>
        <w:spacing w:line="300" w:lineRule="auto"/>
        <w:rPr>
          <w:rFonts w:hint="eastAsia" w:ascii="宋体" w:hAnsi="宋体" w:eastAsia="宋体" w:cs="宋体"/>
          <w:b/>
          <w:bCs/>
          <w:highlight w:val="none"/>
        </w:rPr>
      </w:pPr>
      <w:r>
        <w:rPr>
          <w:rFonts w:hint="eastAsia" w:ascii="宋体" w:hAnsi="宋体" w:eastAsia="宋体" w:cs="宋体"/>
          <w:b/>
          <w:bCs/>
          <w:highlight w:val="none"/>
        </w:rPr>
        <w:t>商务部分：</w:t>
      </w:r>
    </w:p>
    <w:p w14:paraId="7D449C83">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投标单位简介，并附投标人资质证件等；</w:t>
      </w:r>
    </w:p>
    <w:p w14:paraId="7E0C9D9F">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出具法人营业执照函（格式见附件）；</w:t>
      </w:r>
    </w:p>
    <w:p w14:paraId="6A5D70BA">
      <w:pPr>
        <w:spacing w:line="300" w:lineRule="auto"/>
        <w:outlineLvl w:val="2"/>
        <w:rPr>
          <w:rFonts w:hint="eastAsia" w:ascii="宋体" w:hAnsi="宋体" w:eastAsia="宋体" w:cs="宋体"/>
          <w:highlight w:val="none"/>
          <w:lang w:val="en-US" w:eastAsia="zh-CN"/>
        </w:rPr>
      </w:pPr>
      <w:r>
        <w:rPr>
          <w:rFonts w:hint="eastAsia" w:ascii="宋体" w:hAnsi="宋体" w:eastAsia="宋体" w:cs="宋体"/>
          <w:highlight w:val="none"/>
          <w:lang w:val="en-US" w:eastAsia="zh-CN"/>
        </w:rPr>
        <w:t>6、联合体协议书（如是）</w:t>
      </w:r>
    </w:p>
    <w:p w14:paraId="70E049A8">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7、</w:t>
      </w:r>
      <w:r>
        <w:rPr>
          <w:rFonts w:hint="eastAsia" w:ascii="宋体" w:hAnsi="宋体" w:eastAsia="宋体" w:cs="宋体"/>
          <w:highlight w:val="none"/>
        </w:rPr>
        <w:t>法定代表人证明书及身份证</w:t>
      </w:r>
      <w:r>
        <w:rPr>
          <w:rFonts w:hint="eastAsia" w:ascii="宋体" w:hAnsi="宋体" w:eastAsia="宋体" w:cs="宋体"/>
          <w:highlight w:val="none"/>
          <w:lang w:val="en-US" w:eastAsia="zh-CN"/>
        </w:rPr>
        <w:t>复印</w:t>
      </w:r>
      <w:r>
        <w:rPr>
          <w:rFonts w:hint="eastAsia" w:ascii="宋体" w:hAnsi="宋体" w:eastAsia="宋体" w:cs="宋体"/>
          <w:highlight w:val="none"/>
        </w:rPr>
        <w:t>件；</w:t>
      </w:r>
    </w:p>
    <w:p w14:paraId="55176E42">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8、</w:t>
      </w:r>
      <w:r>
        <w:rPr>
          <w:rFonts w:hint="eastAsia" w:ascii="宋体" w:hAnsi="宋体" w:eastAsia="宋体" w:cs="宋体"/>
          <w:highlight w:val="none"/>
        </w:rPr>
        <w:t>法人代表授权委托书及身份证</w:t>
      </w:r>
      <w:r>
        <w:rPr>
          <w:rFonts w:hint="eastAsia" w:ascii="宋体" w:hAnsi="宋体" w:eastAsia="宋体" w:cs="宋体"/>
          <w:highlight w:val="none"/>
          <w:lang w:val="en-US" w:eastAsia="zh-CN"/>
        </w:rPr>
        <w:t>复印件</w:t>
      </w:r>
      <w:r>
        <w:rPr>
          <w:rFonts w:hint="eastAsia" w:ascii="宋体" w:hAnsi="宋体" w:eastAsia="宋体" w:cs="宋体"/>
          <w:highlight w:val="none"/>
        </w:rPr>
        <w:t>；</w:t>
      </w:r>
    </w:p>
    <w:p w14:paraId="58AD6ECF">
      <w:pPr>
        <w:spacing w:line="300" w:lineRule="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9、投标人资格声明函（格式自拟）； </w:t>
      </w:r>
    </w:p>
    <w:p w14:paraId="4A9F4BD5">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10、近三年内（本项目投标截止期前）未被“信用中国”（www.creditchina.gov.cn）、中国政府采购网（www.ccgp.gov.cn）列入失信被执行人、重大税收违法案件当事人名单、政府采购严重违法失信行为记录名单</w:t>
      </w:r>
      <w:r>
        <w:rPr>
          <w:rFonts w:hint="eastAsia" w:ascii="宋体" w:hAnsi="宋体" w:eastAsia="宋体" w:cs="宋体"/>
          <w:highlight w:val="none"/>
        </w:rPr>
        <w:t>；</w:t>
      </w:r>
    </w:p>
    <w:p w14:paraId="44AA1F94">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11、投标单位的依法缴纳税收和社会保障资金的良好记录；具有良好的商业信誉和健全的财务会计制度（需提供202</w:t>
      </w:r>
      <w:r>
        <w:rPr>
          <w:rFonts w:hint="eastAsia" w:ascii="宋体" w:hAnsi="宋体" w:cs="宋体"/>
          <w:highlight w:val="none"/>
          <w:lang w:val="en-US" w:eastAsia="zh-CN"/>
        </w:rPr>
        <w:t>3</w:t>
      </w:r>
      <w:r>
        <w:rPr>
          <w:rFonts w:hint="eastAsia" w:ascii="宋体" w:hAnsi="宋体" w:eastAsia="宋体" w:cs="宋体"/>
          <w:highlight w:val="none"/>
          <w:lang w:val="en-US" w:eastAsia="zh-CN"/>
        </w:rPr>
        <w:t>年度财务审计报告）；</w:t>
      </w:r>
    </w:p>
    <w:p w14:paraId="12A6F61B">
      <w:pPr>
        <w:spacing w:line="300" w:lineRule="auto"/>
        <w:outlineLvl w:val="2"/>
        <w:rPr>
          <w:rFonts w:hint="eastAsia" w:ascii="宋体" w:hAnsi="宋体" w:eastAsia="宋体" w:cs="宋体"/>
          <w:highlight w:val="none"/>
          <w:lang w:val="en-US" w:eastAsia="zh-CN"/>
        </w:rPr>
      </w:pPr>
      <w:r>
        <w:rPr>
          <w:rFonts w:hint="eastAsia" w:ascii="宋体" w:hAnsi="宋体" w:eastAsia="宋体" w:cs="宋体"/>
          <w:highlight w:val="none"/>
          <w:lang w:val="en-US" w:eastAsia="zh-CN"/>
        </w:rPr>
        <w:t>12、投标保证金打款凭证；</w:t>
      </w:r>
    </w:p>
    <w:p w14:paraId="0EEC79E6">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13、采购需求条款响应一览表；</w:t>
      </w:r>
      <w:r>
        <w:rPr>
          <w:rFonts w:hint="eastAsia" w:ascii="宋体" w:hAnsi="宋体" w:eastAsia="宋体" w:cs="宋体"/>
          <w:color w:val="FF0000"/>
          <w:highlight w:val="none"/>
        </w:rPr>
        <w:t xml:space="preserve"> </w:t>
      </w:r>
      <w:r>
        <w:rPr>
          <w:rFonts w:hint="eastAsia" w:ascii="宋体" w:hAnsi="宋体" w:eastAsia="宋体" w:cs="宋体"/>
          <w:highlight w:val="none"/>
        </w:rPr>
        <w:t xml:space="preserve"> </w:t>
      </w:r>
    </w:p>
    <w:p w14:paraId="32E2A8C8">
      <w:pPr>
        <w:spacing w:line="300" w:lineRule="auto"/>
        <w:rPr>
          <w:rFonts w:hint="eastAsia" w:ascii="宋体" w:hAnsi="宋体" w:eastAsia="宋体" w:cs="宋体"/>
          <w:highlight w:val="none"/>
          <w:lang w:eastAsia="zh-CN"/>
        </w:rPr>
      </w:pPr>
      <w:r>
        <w:rPr>
          <w:rFonts w:hint="eastAsia" w:ascii="宋体" w:hAnsi="宋体" w:eastAsia="宋体" w:cs="宋体"/>
          <w:highlight w:val="none"/>
          <w:lang w:val="en-US" w:eastAsia="zh-CN"/>
        </w:rPr>
        <w:t>14、</w:t>
      </w:r>
      <w:r>
        <w:rPr>
          <w:rFonts w:hint="eastAsia" w:ascii="宋体" w:hAnsi="宋体" w:eastAsia="宋体" w:cs="宋体"/>
          <w:highlight w:val="none"/>
          <w:lang w:eastAsia="zh-CN"/>
        </w:rPr>
        <w:t>投标人</w:t>
      </w:r>
      <w:r>
        <w:rPr>
          <w:rFonts w:hint="eastAsia" w:ascii="宋体" w:hAnsi="宋体" w:eastAsia="宋体" w:cs="宋体"/>
          <w:highlight w:val="none"/>
        </w:rPr>
        <w:t>反商业贿赂承诺书（格式见附件）；</w:t>
      </w:r>
    </w:p>
    <w:p w14:paraId="449EF56B">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15、无围标、串标等违法违规行为承诺书</w:t>
      </w:r>
      <w:r>
        <w:rPr>
          <w:rFonts w:hint="eastAsia" w:ascii="宋体" w:hAnsi="宋体" w:eastAsia="宋体" w:cs="宋体"/>
          <w:highlight w:val="none"/>
        </w:rPr>
        <w:t>（格式见附件）；</w:t>
      </w:r>
    </w:p>
    <w:p w14:paraId="4DE2997A">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16、中小企业声明函</w:t>
      </w:r>
      <w:r>
        <w:rPr>
          <w:rFonts w:hint="eastAsia" w:ascii="宋体" w:hAnsi="宋体" w:eastAsia="宋体" w:cs="宋体"/>
          <w:highlight w:val="none"/>
        </w:rPr>
        <w:t>；</w:t>
      </w:r>
    </w:p>
    <w:p w14:paraId="26E079F7">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17、</w:t>
      </w:r>
      <w:r>
        <w:rPr>
          <w:rFonts w:hint="eastAsia" w:ascii="宋体" w:hAnsi="宋体" w:eastAsia="宋体" w:cs="宋体"/>
          <w:highlight w:val="none"/>
        </w:rPr>
        <w:t>投标人认为有必要提供的声明及文件资料。</w:t>
      </w:r>
    </w:p>
    <w:p w14:paraId="1F162751">
      <w:pPr>
        <w:spacing w:line="300" w:lineRule="auto"/>
        <w:rPr>
          <w:rFonts w:hint="eastAsia" w:ascii="宋体" w:hAnsi="宋体" w:eastAsia="宋体" w:cs="宋体"/>
          <w:b/>
          <w:bCs/>
          <w:highlight w:val="none"/>
        </w:rPr>
      </w:pPr>
      <w:r>
        <w:rPr>
          <w:rFonts w:hint="eastAsia" w:ascii="宋体" w:hAnsi="宋体" w:eastAsia="宋体" w:cs="宋体"/>
          <w:b/>
          <w:bCs/>
          <w:highlight w:val="none"/>
        </w:rPr>
        <w:t>技术部分：</w:t>
      </w:r>
    </w:p>
    <w:p w14:paraId="578CB155">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18、</w:t>
      </w:r>
      <w:r>
        <w:rPr>
          <w:rFonts w:hint="eastAsia" w:ascii="宋体" w:hAnsi="宋体" w:eastAsia="宋体" w:cs="宋体"/>
          <w:highlight w:val="none"/>
        </w:rPr>
        <w:t>对本次</w:t>
      </w:r>
      <w:r>
        <w:rPr>
          <w:rFonts w:hint="eastAsia" w:ascii="宋体" w:hAnsi="宋体" w:eastAsia="宋体" w:cs="宋体"/>
          <w:highlight w:val="none"/>
          <w:lang w:val="en-US" w:eastAsia="zh-CN"/>
        </w:rPr>
        <w:t>投标项目的技术方案</w:t>
      </w:r>
      <w:r>
        <w:rPr>
          <w:rFonts w:hint="eastAsia" w:ascii="宋体" w:hAnsi="宋体" w:cs="宋体"/>
          <w:highlight w:val="none"/>
          <w:lang w:val="en-US" w:eastAsia="zh-CN"/>
        </w:rPr>
        <w:t>（</w:t>
      </w:r>
      <w:r>
        <w:rPr>
          <w:rFonts w:hint="eastAsia" w:ascii="宋体" w:hAnsi="宋体" w:eastAsia="宋体" w:cs="宋体"/>
          <w:highlight w:val="none"/>
        </w:rPr>
        <w:t>投标人视需要自行编写</w:t>
      </w:r>
      <w:r>
        <w:rPr>
          <w:rFonts w:hint="eastAsia" w:ascii="宋体" w:hAnsi="宋体" w:cs="宋体"/>
          <w:highlight w:val="none"/>
          <w:lang w:eastAsia="zh-CN"/>
        </w:rPr>
        <w:t>）</w:t>
      </w:r>
      <w:r>
        <w:rPr>
          <w:rFonts w:hint="eastAsia" w:ascii="宋体" w:hAnsi="宋体" w:eastAsia="宋体" w:cs="宋体"/>
          <w:highlight w:val="none"/>
        </w:rPr>
        <w:t>；</w:t>
      </w:r>
    </w:p>
    <w:p w14:paraId="2A8DCEF1">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19、服务承诺书</w:t>
      </w:r>
    </w:p>
    <w:p w14:paraId="5D6DBB9B">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w:t>
      </w:r>
      <w:r>
        <w:rPr>
          <w:rFonts w:hint="eastAsia" w:ascii="宋体" w:hAnsi="宋体" w:eastAsia="宋体" w:cs="宋体"/>
          <w:highlight w:val="none"/>
          <w:lang w:eastAsia="zh-CN"/>
        </w:rPr>
        <w:t>其他有利于投标人的资料（如有）</w:t>
      </w:r>
    </w:p>
    <w:p w14:paraId="44E35C69">
      <w:pPr>
        <w:spacing w:line="300" w:lineRule="auto"/>
        <w:rPr>
          <w:rFonts w:hint="eastAsia" w:ascii="宋体" w:hAnsi="宋体" w:eastAsia="宋体" w:cs="宋体"/>
          <w:highlight w:val="none"/>
        </w:rPr>
      </w:pPr>
      <w:r>
        <w:rPr>
          <w:rFonts w:hint="eastAsia" w:ascii="宋体" w:hAnsi="宋体" w:eastAsia="宋体" w:cs="宋体"/>
          <w:highlight w:val="none"/>
        </w:rPr>
        <w:t>注：法定代表人授权委托书、投标声明书、投标函、投标报价一览表必须由法定代表人签名</w:t>
      </w:r>
      <w:r>
        <w:rPr>
          <w:rFonts w:hint="eastAsia" w:ascii="宋体" w:hAnsi="宋体" w:eastAsia="宋体" w:cs="宋体"/>
          <w:highlight w:val="none"/>
          <w:lang w:val="en-US" w:eastAsia="zh-CN"/>
        </w:rPr>
        <w:t>或</w:t>
      </w:r>
      <w:r>
        <w:rPr>
          <w:rFonts w:hint="eastAsia" w:ascii="宋体" w:hAnsi="宋体" w:eastAsia="宋体" w:cs="宋体"/>
          <w:highlight w:val="none"/>
        </w:rPr>
        <w:t>盖章并加盖单位公章。</w:t>
      </w:r>
    </w:p>
    <w:p w14:paraId="349CC108">
      <w:pPr>
        <w:spacing w:line="300" w:lineRule="auto"/>
        <w:outlineLvl w:val="1"/>
        <w:rPr>
          <w:rFonts w:hint="eastAsia" w:ascii="宋体" w:hAnsi="宋体" w:eastAsia="宋体" w:cs="宋体"/>
          <w:b/>
          <w:bCs/>
          <w:highlight w:val="none"/>
        </w:rPr>
      </w:pPr>
      <w:bookmarkStart w:id="46" w:name="_Toc521014780"/>
      <w:bookmarkStart w:id="47" w:name="_Toc18015"/>
      <w:bookmarkStart w:id="48" w:name="_Toc28971"/>
      <w:bookmarkStart w:id="49" w:name="_Toc503212212"/>
      <w:bookmarkStart w:id="50" w:name="_Toc24112"/>
      <w:bookmarkStart w:id="51" w:name="_Toc14838"/>
      <w:r>
        <w:rPr>
          <w:rFonts w:hint="eastAsia" w:ascii="宋体" w:hAnsi="宋体" w:eastAsia="宋体" w:cs="宋体"/>
          <w:b/>
          <w:bCs/>
          <w:highlight w:val="none"/>
        </w:rPr>
        <w:t>投标文件的语言及计量</w:t>
      </w:r>
      <w:bookmarkEnd w:id="46"/>
      <w:bookmarkEnd w:id="47"/>
      <w:bookmarkEnd w:id="48"/>
      <w:bookmarkEnd w:id="49"/>
      <w:bookmarkEnd w:id="50"/>
      <w:bookmarkEnd w:id="51"/>
    </w:p>
    <w:p w14:paraId="59A6A0CA">
      <w:pPr>
        <w:spacing w:line="300" w:lineRule="auto"/>
        <w:rPr>
          <w:rFonts w:hint="eastAsia" w:ascii="宋体" w:hAnsi="宋体" w:eastAsia="宋体" w:cs="宋体"/>
          <w:highlight w:val="none"/>
        </w:rPr>
      </w:pPr>
      <w:r>
        <w:rPr>
          <w:rFonts w:hint="eastAsia" w:ascii="宋体" w:hAnsi="宋体" w:eastAsia="宋体" w:cs="宋体"/>
          <w:highlight w:val="none"/>
        </w:rPr>
        <w:t>1.投标文件以及投标方与招标方就有关投标事宜的所有来往函电，均应以中文汉语书写。除签名、盖章、专用名称等特殊情形外，以中文汉语以外的文字表述的投标文件视同未提供。</w:t>
      </w:r>
    </w:p>
    <w:p w14:paraId="0D2742AB">
      <w:pPr>
        <w:spacing w:line="300" w:lineRule="auto"/>
        <w:rPr>
          <w:rFonts w:hint="eastAsia" w:ascii="宋体" w:hAnsi="宋体" w:eastAsia="宋体" w:cs="宋体"/>
          <w:highlight w:val="none"/>
        </w:rPr>
      </w:pPr>
      <w:r>
        <w:rPr>
          <w:rFonts w:hint="eastAsia" w:ascii="宋体" w:hAnsi="宋体" w:eastAsia="宋体" w:cs="宋体"/>
          <w:highlight w:val="none"/>
        </w:rPr>
        <w:t>2.投标计量单位，招标文件已有明确规定的，使用招标文件规定的计量单位；招标文件没有规定的，应采用中华人民共和国法定计量单位（货币单位：人民币元），否则视同未响应。</w:t>
      </w:r>
    </w:p>
    <w:p w14:paraId="706B143B">
      <w:pPr>
        <w:spacing w:line="300" w:lineRule="auto"/>
        <w:rPr>
          <w:rFonts w:hint="eastAsia" w:ascii="宋体" w:hAnsi="宋体" w:eastAsia="宋体" w:cs="宋体"/>
          <w:b/>
          <w:bCs/>
          <w:highlight w:val="none"/>
        </w:rPr>
      </w:pPr>
      <w:bookmarkStart w:id="52" w:name="_Toc521014781"/>
      <w:bookmarkStart w:id="53" w:name="_Toc3970"/>
      <w:bookmarkStart w:id="54" w:name="_Toc6985"/>
      <w:bookmarkStart w:id="55" w:name="_Toc503212213"/>
      <w:r>
        <w:rPr>
          <w:rFonts w:hint="eastAsia" w:ascii="宋体" w:hAnsi="宋体" w:eastAsia="宋体" w:cs="宋体"/>
          <w:b/>
          <w:bCs/>
          <w:highlight w:val="none"/>
        </w:rPr>
        <w:t>投标报价</w:t>
      </w:r>
      <w:bookmarkEnd w:id="52"/>
      <w:bookmarkEnd w:id="53"/>
      <w:bookmarkEnd w:id="54"/>
      <w:bookmarkEnd w:id="55"/>
    </w:p>
    <w:p w14:paraId="6A0FC097">
      <w:pPr>
        <w:spacing w:line="300" w:lineRule="auto"/>
        <w:rPr>
          <w:rFonts w:hint="eastAsia" w:ascii="宋体" w:hAnsi="宋体" w:eastAsia="宋体" w:cs="宋体"/>
          <w:highlight w:val="none"/>
        </w:rPr>
      </w:pPr>
      <w:r>
        <w:rPr>
          <w:rFonts w:hint="eastAsia" w:ascii="宋体" w:hAnsi="宋体" w:eastAsia="宋体" w:cs="宋体"/>
          <w:highlight w:val="none"/>
        </w:rPr>
        <w:t>1 报价应在招标报价表上标明单价和总价。单价和总价要相符。价格不一致时，根据《中华人民共和国财政部令第87号</w:t>
      </w:r>
      <w:r>
        <w:rPr>
          <w:rFonts w:hint="eastAsia" w:ascii="宋体" w:hAnsi="宋体" w:cs="宋体"/>
          <w:highlight w:val="none"/>
          <w:lang w:eastAsia="zh-CN"/>
        </w:rPr>
        <w:t>－－</w:t>
      </w:r>
      <w:r>
        <w:rPr>
          <w:rFonts w:hint="eastAsia" w:ascii="宋体" w:hAnsi="宋体" w:eastAsia="宋体" w:cs="宋体"/>
          <w:highlight w:val="none"/>
        </w:rPr>
        <w:t>政府采购货物和服务招标投标管理办法》第五十九条投标文件报价出现前后不一致的，除招标文件另有规定外，按照下列规定修正：</w:t>
      </w:r>
    </w:p>
    <w:p w14:paraId="3798C799">
      <w:pPr>
        <w:spacing w:line="300" w:lineRule="auto"/>
        <w:rPr>
          <w:rFonts w:hint="eastAsia" w:ascii="宋体" w:hAnsi="宋体" w:eastAsia="宋体" w:cs="宋体"/>
          <w:highlight w:val="none"/>
        </w:rPr>
      </w:pPr>
      <w:r>
        <w:rPr>
          <w:rFonts w:hint="eastAsia" w:ascii="宋体" w:hAnsi="宋体" w:eastAsia="宋体" w:cs="宋体"/>
          <w:highlight w:val="none"/>
        </w:rPr>
        <w:t>　　（一）投标文件中开标一览表（报价表）内容与投标文件中相应内容不一致的，以开标一览表（报价表）为准；</w:t>
      </w:r>
    </w:p>
    <w:p w14:paraId="4316943D">
      <w:pPr>
        <w:spacing w:line="300" w:lineRule="auto"/>
        <w:rPr>
          <w:rFonts w:hint="eastAsia" w:ascii="宋体" w:hAnsi="宋体" w:eastAsia="宋体" w:cs="宋体"/>
          <w:highlight w:val="none"/>
        </w:rPr>
      </w:pPr>
      <w:r>
        <w:rPr>
          <w:rFonts w:hint="eastAsia" w:ascii="宋体" w:hAnsi="宋体" w:eastAsia="宋体" w:cs="宋体"/>
          <w:highlight w:val="none"/>
        </w:rPr>
        <w:t>　　（二）大写金额和小写金额不一致的，以大写金额为准；</w:t>
      </w:r>
    </w:p>
    <w:p w14:paraId="6A1168C2">
      <w:pPr>
        <w:spacing w:line="300" w:lineRule="auto"/>
        <w:rPr>
          <w:rFonts w:hint="eastAsia" w:ascii="宋体" w:hAnsi="宋体" w:eastAsia="宋体" w:cs="宋体"/>
          <w:highlight w:val="none"/>
        </w:rPr>
      </w:pPr>
      <w:r>
        <w:rPr>
          <w:rFonts w:hint="eastAsia" w:ascii="宋体" w:hAnsi="宋体" w:eastAsia="宋体" w:cs="宋体"/>
          <w:highlight w:val="none"/>
        </w:rPr>
        <w:t>　　（三）单价金额小数点或者百分比有明显错位的，以开标一览表的总价为准，并修改单价；</w:t>
      </w:r>
    </w:p>
    <w:p w14:paraId="0DDCAC29">
      <w:pPr>
        <w:spacing w:line="300" w:lineRule="auto"/>
        <w:rPr>
          <w:rFonts w:hint="eastAsia" w:ascii="宋体" w:hAnsi="宋体" w:eastAsia="宋体" w:cs="宋体"/>
          <w:highlight w:val="none"/>
        </w:rPr>
      </w:pPr>
      <w:r>
        <w:rPr>
          <w:rFonts w:hint="eastAsia" w:ascii="宋体" w:hAnsi="宋体" w:eastAsia="宋体" w:cs="宋体"/>
          <w:highlight w:val="none"/>
        </w:rPr>
        <w:t>　　（四）总价金额与单价汇总金额不一致的，以单价金额计算结果为准。</w:t>
      </w:r>
    </w:p>
    <w:p w14:paraId="5803A3DE">
      <w:pPr>
        <w:spacing w:line="300" w:lineRule="auto"/>
        <w:rPr>
          <w:rFonts w:hint="eastAsia" w:ascii="宋体" w:hAnsi="宋体" w:eastAsia="宋体" w:cs="宋体"/>
          <w:highlight w:val="none"/>
        </w:rPr>
      </w:pPr>
      <w:r>
        <w:rPr>
          <w:rFonts w:hint="eastAsia" w:ascii="宋体" w:hAnsi="宋体" w:eastAsia="宋体" w:cs="宋体"/>
          <w:highlight w:val="none"/>
        </w:rPr>
        <w:t>2 供应商应在投标报价表中标明其提供的所有货物及其相关工作范围内所在费用的总价，不接受有任何选择性报价。</w:t>
      </w:r>
    </w:p>
    <w:p w14:paraId="0CE40226">
      <w:pPr>
        <w:spacing w:line="300" w:lineRule="auto"/>
        <w:rPr>
          <w:rFonts w:hint="eastAsia" w:ascii="宋体" w:hAnsi="宋体" w:eastAsia="宋体" w:cs="宋体"/>
          <w:highlight w:val="none"/>
        </w:rPr>
      </w:pPr>
      <w:r>
        <w:rPr>
          <w:rFonts w:hint="eastAsia" w:ascii="宋体" w:hAnsi="宋体" w:eastAsia="宋体" w:cs="宋体"/>
          <w:highlight w:val="none"/>
        </w:rPr>
        <w:t>3报价时应对下列几点特别注明：</w:t>
      </w:r>
    </w:p>
    <w:p w14:paraId="3F3318D4">
      <w:pPr>
        <w:spacing w:line="300" w:lineRule="auto"/>
        <w:rPr>
          <w:rFonts w:hint="eastAsia" w:ascii="宋体" w:hAnsi="宋体" w:eastAsia="宋体" w:cs="宋体"/>
          <w:highlight w:val="none"/>
        </w:rPr>
      </w:pPr>
      <w:r>
        <w:rPr>
          <w:rFonts w:hint="eastAsia" w:ascii="宋体" w:hAnsi="宋体" w:eastAsia="宋体" w:cs="宋体"/>
          <w:highlight w:val="none"/>
        </w:rPr>
        <w:t>3.1招标文件中特别要求的备品备件、易损件和专用工具的费用；</w:t>
      </w:r>
    </w:p>
    <w:p w14:paraId="16D7BA4B">
      <w:pPr>
        <w:spacing w:line="300" w:lineRule="auto"/>
        <w:rPr>
          <w:rFonts w:hint="eastAsia" w:ascii="宋体" w:hAnsi="宋体" w:eastAsia="宋体" w:cs="宋体"/>
          <w:highlight w:val="none"/>
        </w:rPr>
      </w:pPr>
      <w:r>
        <w:rPr>
          <w:rFonts w:hint="eastAsia" w:ascii="宋体" w:hAnsi="宋体" w:eastAsia="宋体" w:cs="宋体"/>
          <w:highlight w:val="none"/>
        </w:rPr>
        <w:t>3.2招标文件中特别要求的货物、运输、装卸、验收、税费和相关售后服务等费用及其它附带服务的全部费用；</w:t>
      </w:r>
    </w:p>
    <w:p w14:paraId="150325A4">
      <w:pPr>
        <w:spacing w:line="300" w:lineRule="auto"/>
        <w:rPr>
          <w:rFonts w:hint="eastAsia" w:ascii="宋体" w:hAnsi="宋体" w:eastAsia="宋体" w:cs="宋体"/>
          <w:highlight w:val="none"/>
        </w:rPr>
      </w:pPr>
      <w:r>
        <w:rPr>
          <w:rFonts w:hint="eastAsia" w:ascii="宋体" w:hAnsi="宋体" w:eastAsia="宋体" w:cs="宋体"/>
          <w:highlight w:val="none"/>
        </w:rPr>
        <w:t>3.3国内供货人提供在中华人民共和国制造的，或已在中华人民共和国境内的国外产地的已经进口的货物的国内投标，其货物的交货价，包括制造、组装该货物所使用的零部件及原材料已付的全部关税、销售税和其他税（其关税和其他税不分别填写，计入货价内即可）。</w:t>
      </w:r>
    </w:p>
    <w:p w14:paraId="46123258">
      <w:pPr>
        <w:spacing w:line="300" w:lineRule="auto"/>
        <w:rPr>
          <w:rFonts w:hint="eastAsia" w:ascii="宋体" w:hAnsi="宋体" w:eastAsia="宋体" w:cs="宋体"/>
          <w:highlight w:val="none"/>
        </w:rPr>
      </w:pPr>
      <w:r>
        <w:rPr>
          <w:rFonts w:hint="eastAsia" w:ascii="宋体" w:hAnsi="宋体" w:eastAsia="宋体" w:cs="宋体"/>
          <w:highlight w:val="none"/>
        </w:rPr>
        <w:t>4 算术性修正。算术性修正是指对招标响应文件的报价明细进行校核，并对其算术上和运算上的差错给予修正。修正的原则如下：</w:t>
      </w:r>
    </w:p>
    <w:p w14:paraId="1C24B4A7">
      <w:pPr>
        <w:spacing w:line="300" w:lineRule="auto"/>
        <w:rPr>
          <w:rFonts w:hint="eastAsia" w:ascii="宋体" w:hAnsi="宋体" w:eastAsia="宋体" w:cs="宋体"/>
          <w:highlight w:val="none"/>
        </w:rPr>
      </w:pPr>
      <w:r>
        <w:rPr>
          <w:rFonts w:hint="eastAsia" w:ascii="宋体" w:hAnsi="宋体" w:eastAsia="宋体" w:cs="宋体"/>
          <w:highlight w:val="none"/>
        </w:rPr>
        <w:t>4.1 当以数字表示的金额与文字表示的金额有差异时，以文字表示的金额为准；</w:t>
      </w:r>
    </w:p>
    <w:p w14:paraId="34968164">
      <w:pPr>
        <w:spacing w:line="300" w:lineRule="auto"/>
        <w:rPr>
          <w:rFonts w:hint="eastAsia" w:ascii="宋体" w:hAnsi="宋体" w:eastAsia="宋体" w:cs="宋体"/>
          <w:highlight w:val="none"/>
        </w:rPr>
      </w:pPr>
      <w:r>
        <w:rPr>
          <w:rFonts w:hint="eastAsia" w:ascii="宋体" w:hAnsi="宋体" w:eastAsia="宋体" w:cs="宋体"/>
          <w:highlight w:val="none"/>
        </w:rPr>
        <w:t>4.2 当单价与数量相乘不等于合价时，以单价计算为准。如果单价有明显的小数点位置差错，应以标出的合价为准，同时对单价予以修正；</w:t>
      </w:r>
    </w:p>
    <w:p w14:paraId="460958BE">
      <w:pPr>
        <w:spacing w:line="300" w:lineRule="auto"/>
        <w:rPr>
          <w:rFonts w:hint="eastAsia" w:ascii="宋体" w:hAnsi="宋体" w:eastAsia="宋体" w:cs="宋体"/>
          <w:highlight w:val="none"/>
        </w:rPr>
      </w:pPr>
      <w:r>
        <w:rPr>
          <w:rFonts w:hint="eastAsia" w:ascii="宋体" w:hAnsi="宋体" w:eastAsia="宋体" w:cs="宋体"/>
          <w:highlight w:val="none"/>
        </w:rPr>
        <w:t>4.3 当各明细部分的价格累计不等于合价时，应以各明细的累计计数为准，修正合价。</w:t>
      </w:r>
    </w:p>
    <w:p w14:paraId="1236F10E">
      <w:pPr>
        <w:spacing w:line="300" w:lineRule="auto"/>
        <w:rPr>
          <w:rFonts w:hint="eastAsia" w:ascii="宋体" w:hAnsi="宋体" w:eastAsia="宋体" w:cs="宋体"/>
          <w:highlight w:val="none"/>
        </w:rPr>
      </w:pPr>
      <w:r>
        <w:rPr>
          <w:rFonts w:hint="eastAsia" w:ascii="宋体" w:hAnsi="宋体" w:eastAsia="宋体" w:cs="宋体"/>
          <w:highlight w:val="none"/>
        </w:rPr>
        <w:t>4.4 按以上原则对算术性差错修正，应取得供应商的同意，并确认修正后最终招标报价。如果供应商拒绝确认，则其招标响应文件将不予以评审并按废标处理，没收其投标担保。</w:t>
      </w:r>
    </w:p>
    <w:p w14:paraId="17950613">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 xml:space="preserve">5 </w:t>
      </w:r>
      <w:r>
        <w:rPr>
          <w:rFonts w:hint="eastAsia" w:ascii="宋体" w:hAnsi="宋体" w:eastAsia="宋体" w:cs="宋体"/>
          <w:highlight w:val="none"/>
        </w:rPr>
        <w:t>投标文件只允许有一个报价，有选择的或有条件的报价将不予接受。</w:t>
      </w:r>
    </w:p>
    <w:p w14:paraId="3C19B942">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 xml:space="preserve">6 </w:t>
      </w:r>
      <w:r>
        <w:rPr>
          <w:rFonts w:hint="eastAsia" w:ascii="宋体" w:hAnsi="宋体" w:eastAsia="宋体" w:cs="宋体"/>
          <w:highlight w:val="none"/>
        </w:rPr>
        <w:t>招标代理服务费由中标单位支付，投标单位在报价时请考虑。</w:t>
      </w:r>
    </w:p>
    <w:p w14:paraId="2A1A1E27">
      <w:pPr>
        <w:spacing w:line="300" w:lineRule="auto"/>
        <w:rPr>
          <w:rFonts w:hint="eastAsia" w:ascii="宋体" w:hAnsi="宋体" w:eastAsia="宋体" w:cs="宋体"/>
          <w:b/>
          <w:bCs/>
          <w:highlight w:val="none"/>
        </w:rPr>
      </w:pPr>
      <w:bookmarkStart w:id="56" w:name="_Toc521014782"/>
      <w:bookmarkStart w:id="57" w:name="_Toc503212214"/>
      <w:bookmarkStart w:id="58" w:name="_Toc21800"/>
      <w:bookmarkStart w:id="59" w:name="_Toc21211"/>
      <w:r>
        <w:rPr>
          <w:rFonts w:hint="eastAsia" w:ascii="宋体" w:hAnsi="宋体" w:eastAsia="宋体" w:cs="宋体"/>
          <w:b/>
          <w:bCs/>
          <w:highlight w:val="none"/>
        </w:rPr>
        <w:t>投标文件的有效期</w:t>
      </w:r>
      <w:bookmarkEnd w:id="56"/>
      <w:bookmarkEnd w:id="57"/>
      <w:bookmarkEnd w:id="58"/>
      <w:bookmarkEnd w:id="59"/>
    </w:p>
    <w:p w14:paraId="16959E5D">
      <w:pPr>
        <w:spacing w:line="30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 xml:space="preserve">1.自投标截止日起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90</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天投标文件应保持有效。有效期不足的投标文件将被拒绝。</w:t>
      </w:r>
    </w:p>
    <w:p w14:paraId="4AEC7A7B">
      <w:pPr>
        <w:spacing w:line="300" w:lineRule="auto"/>
        <w:rPr>
          <w:rFonts w:hint="eastAsia" w:ascii="宋体" w:hAnsi="宋体" w:eastAsia="宋体" w:cs="宋体"/>
          <w:highlight w:val="none"/>
        </w:rPr>
      </w:pPr>
      <w:r>
        <w:rPr>
          <w:rFonts w:hint="eastAsia" w:ascii="宋体" w:hAnsi="宋体" w:eastAsia="宋体" w:cs="宋体"/>
          <w:highlight w:val="none"/>
        </w:rPr>
        <w:t xml:space="preserve">  2.在特殊情况下，招标人可与投标人协商延长投标书的有效期，这种要求和答复均以书面形式进行。</w:t>
      </w:r>
    </w:p>
    <w:p w14:paraId="643BFA03">
      <w:pPr>
        <w:spacing w:line="300" w:lineRule="auto"/>
        <w:rPr>
          <w:rFonts w:hint="eastAsia" w:ascii="宋体" w:hAnsi="宋体" w:eastAsia="宋体" w:cs="宋体"/>
          <w:highlight w:val="none"/>
        </w:rPr>
      </w:pPr>
      <w:r>
        <w:rPr>
          <w:rFonts w:hint="eastAsia" w:ascii="宋体" w:hAnsi="宋体" w:eastAsia="宋体" w:cs="宋体"/>
          <w:highlight w:val="none"/>
        </w:rPr>
        <w:t xml:space="preserve">  3.投标人可拒绝接受延期要求而不会导致投标保证金被没收。同意延长有效期的投标人需要相应延长投标保证金的有效期，但不能修改投标文件。 </w:t>
      </w:r>
    </w:p>
    <w:p w14:paraId="41BC3FC2">
      <w:pPr>
        <w:spacing w:line="300" w:lineRule="auto"/>
        <w:rPr>
          <w:rFonts w:hint="eastAsia" w:ascii="宋体" w:hAnsi="宋体" w:eastAsia="宋体" w:cs="宋体"/>
          <w:highlight w:val="none"/>
        </w:rPr>
      </w:pPr>
      <w:r>
        <w:rPr>
          <w:rFonts w:hint="eastAsia" w:ascii="宋体" w:hAnsi="宋体" w:eastAsia="宋体" w:cs="宋体"/>
          <w:highlight w:val="none"/>
        </w:rPr>
        <w:t xml:space="preserve">  4.中标人的投标文件自开标之日起至合同履行完毕止均应保持有效。</w:t>
      </w:r>
    </w:p>
    <w:p w14:paraId="64C643BE">
      <w:pPr>
        <w:spacing w:line="300" w:lineRule="auto"/>
        <w:rPr>
          <w:rFonts w:hint="eastAsia" w:ascii="宋体" w:hAnsi="宋体" w:eastAsia="宋体" w:cs="宋体"/>
          <w:b/>
          <w:bCs/>
          <w:highlight w:val="none"/>
        </w:rPr>
      </w:pPr>
      <w:bookmarkStart w:id="60" w:name="_Toc503212215"/>
      <w:bookmarkStart w:id="61" w:name="_Toc22838"/>
      <w:bookmarkStart w:id="62" w:name="_Toc16117"/>
      <w:bookmarkStart w:id="63" w:name="_Toc521014783"/>
      <w:r>
        <w:rPr>
          <w:rFonts w:hint="eastAsia" w:ascii="宋体" w:hAnsi="宋体" w:eastAsia="宋体" w:cs="宋体"/>
          <w:b/>
          <w:bCs/>
          <w:highlight w:val="none"/>
        </w:rPr>
        <w:t>投标保证金</w:t>
      </w:r>
      <w:bookmarkEnd w:id="60"/>
      <w:bookmarkEnd w:id="61"/>
      <w:bookmarkEnd w:id="62"/>
      <w:bookmarkEnd w:id="63"/>
    </w:p>
    <w:p w14:paraId="7AEE743F">
      <w:pPr>
        <w:spacing w:line="30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1.投标人须按规定提交投标保证金</w:t>
      </w:r>
      <w:r>
        <w:rPr>
          <w:rFonts w:hint="eastAsia" w:ascii="宋体" w:hAnsi="宋体" w:eastAsia="宋体" w:cs="宋体"/>
          <w:highlight w:val="none"/>
          <w:lang w:val="en-US" w:eastAsia="zh-CN"/>
        </w:rPr>
        <w:t>或电子保函</w:t>
      </w:r>
      <w:r>
        <w:rPr>
          <w:rFonts w:hint="eastAsia" w:ascii="宋体" w:hAnsi="宋体" w:eastAsia="宋体" w:cs="宋体"/>
          <w:highlight w:val="none"/>
        </w:rPr>
        <w:t>。否则，其投标将被拒绝。</w:t>
      </w:r>
    </w:p>
    <w:p w14:paraId="04E42299">
      <w:pPr>
        <w:spacing w:line="300" w:lineRule="auto"/>
        <w:ind w:left="210" w:leftChars="100" w:firstLine="105" w:firstLineChars="50"/>
        <w:rPr>
          <w:rFonts w:hint="eastAsia" w:ascii="宋体" w:hAnsi="宋体" w:eastAsia="宋体" w:cs="宋体"/>
          <w:highlight w:val="none"/>
        </w:rPr>
      </w:pPr>
      <w:r>
        <w:rPr>
          <w:rFonts w:hint="eastAsia" w:ascii="宋体" w:hAnsi="宋体" w:eastAsia="宋体" w:cs="宋体"/>
          <w:highlight w:val="none"/>
        </w:rPr>
        <w:t>2.保证金形式：</w:t>
      </w:r>
      <w:r>
        <w:rPr>
          <w:rFonts w:hint="eastAsia" w:ascii="宋体" w:hAnsi="宋体" w:eastAsia="宋体" w:cs="宋体"/>
          <w:highlight w:val="none"/>
          <w:lang w:val="en-US" w:eastAsia="zh-CN"/>
        </w:rPr>
        <w:t>转账、汇款</w:t>
      </w:r>
      <w:r>
        <w:rPr>
          <w:rFonts w:hint="eastAsia" w:ascii="宋体" w:hAnsi="宋体" w:eastAsia="宋体" w:cs="宋体"/>
          <w:highlight w:val="none"/>
        </w:rPr>
        <w:t>（必须从基本账户转出）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电子保函</w:t>
      </w:r>
      <w:r>
        <w:rPr>
          <w:rFonts w:hint="eastAsia" w:ascii="宋体" w:hAnsi="宋体" w:eastAsia="宋体" w:cs="宋体"/>
          <w:highlight w:val="none"/>
        </w:rPr>
        <w:t xml:space="preserve">。 </w:t>
      </w:r>
    </w:p>
    <w:p w14:paraId="1AA29854">
      <w:pPr>
        <w:spacing w:line="300" w:lineRule="auto"/>
        <w:ind w:left="210" w:leftChars="100" w:firstLine="105" w:firstLineChars="50"/>
        <w:rPr>
          <w:rFonts w:hint="eastAsia" w:ascii="宋体" w:hAnsi="宋体" w:eastAsia="宋体" w:cs="宋体"/>
          <w:highlight w:val="none"/>
        </w:rPr>
      </w:pPr>
      <w:r>
        <w:rPr>
          <w:rFonts w:hint="eastAsia" w:ascii="宋体" w:hAnsi="宋体" w:eastAsia="宋体" w:cs="宋体"/>
          <w:highlight w:val="none"/>
        </w:rPr>
        <w:t>3.未中标人的投标保证金在公示期截止后退还。</w:t>
      </w:r>
    </w:p>
    <w:p w14:paraId="4B0390DB">
      <w:pPr>
        <w:spacing w:line="300" w:lineRule="auto"/>
        <w:ind w:left="210" w:leftChars="100" w:firstLine="105" w:firstLineChars="50"/>
        <w:rPr>
          <w:rFonts w:hint="eastAsia" w:ascii="宋体" w:hAnsi="宋体" w:eastAsia="宋体" w:cs="宋体"/>
          <w:highlight w:val="none"/>
        </w:rPr>
      </w:pPr>
      <w:r>
        <w:rPr>
          <w:rFonts w:hint="eastAsia" w:ascii="宋体" w:hAnsi="宋体" w:eastAsia="宋体" w:cs="宋体"/>
          <w:highlight w:val="none"/>
        </w:rPr>
        <w:t>4.中标人的投标保证金在中标通知书发出签订正式采购合同，</w:t>
      </w:r>
      <w:r>
        <w:rPr>
          <w:rFonts w:hint="eastAsia" w:ascii="宋体" w:hAnsi="宋体" w:eastAsia="宋体" w:cs="宋体"/>
          <w:highlight w:val="none"/>
          <w:lang w:val="en-US" w:eastAsia="zh-CN"/>
        </w:rPr>
        <w:t>需提供一份合同原件及相关材料办理退还投标保证金事宜</w:t>
      </w:r>
      <w:r>
        <w:rPr>
          <w:rFonts w:hint="eastAsia" w:ascii="宋体" w:hAnsi="宋体" w:eastAsia="宋体" w:cs="宋体"/>
          <w:highlight w:val="none"/>
        </w:rPr>
        <w:t>。</w:t>
      </w:r>
    </w:p>
    <w:p w14:paraId="12B8EC85">
      <w:pPr>
        <w:spacing w:line="300" w:lineRule="auto"/>
        <w:ind w:left="210" w:leftChars="100" w:firstLine="105" w:firstLineChars="50"/>
        <w:rPr>
          <w:rFonts w:hint="eastAsia" w:ascii="宋体" w:hAnsi="宋体" w:eastAsia="宋体" w:cs="宋体"/>
          <w:highlight w:val="none"/>
        </w:rPr>
      </w:pPr>
      <w:r>
        <w:rPr>
          <w:rFonts w:hint="eastAsia" w:ascii="宋体" w:hAnsi="宋体" w:eastAsia="宋体" w:cs="宋体"/>
          <w:highlight w:val="none"/>
        </w:rPr>
        <w:t>5.保证金不计息。</w:t>
      </w:r>
    </w:p>
    <w:p w14:paraId="5FC396BA">
      <w:pPr>
        <w:spacing w:line="300" w:lineRule="auto"/>
        <w:ind w:left="210" w:leftChars="100" w:firstLine="105" w:firstLineChars="50"/>
        <w:rPr>
          <w:rFonts w:hint="eastAsia" w:ascii="宋体" w:hAnsi="宋体" w:eastAsia="宋体" w:cs="宋体"/>
          <w:highlight w:val="none"/>
        </w:rPr>
      </w:pPr>
      <w:r>
        <w:rPr>
          <w:rFonts w:hint="eastAsia" w:ascii="宋体" w:hAnsi="宋体" w:eastAsia="宋体" w:cs="宋体"/>
          <w:highlight w:val="none"/>
        </w:rPr>
        <w:t>6.投标人有下列情形之一的，投标保证金将不予退还：</w:t>
      </w:r>
    </w:p>
    <w:p w14:paraId="1B316AB2">
      <w:pPr>
        <w:spacing w:line="300" w:lineRule="auto"/>
        <w:ind w:left="210" w:leftChars="100" w:firstLine="105" w:firstLineChars="50"/>
        <w:rPr>
          <w:rFonts w:hint="eastAsia" w:ascii="宋体" w:hAnsi="宋体" w:eastAsia="宋体" w:cs="宋体"/>
          <w:highlight w:val="none"/>
        </w:rPr>
      </w:pPr>
      <w:r>
        <w:rPr>
          <w:rFonts w:hint="eastAsia" w:ascii="宋体" w:hAnsi="宋体" w:eastAsia="宋体" w:cs="宋体"/>
          <w:highlight w:val="none"/>
        </w:rPr>
        <w:t>（1）投标人在投标有效期内撤回投标文件的；</w:t>
      </w:r>
    </w:p>
    <w:p w14:paraId="0899ABAA">
      <w:pPr>
        <w:spacing w:line="300" w:lineRule="auto"/>
        <w:ind w:left="210" w:leftChars="100" w:firstLine="105" w:firstLineChars="50"/>
        <w:rPr>
          <w:rFonts w:hint="eastAsia" w:ascii="宋体" w:hAnsi="宋体" w:eastAsia="宋体" w:cs="宋体"/>
          <w:highlight w:val="none"/>
        </w:rPr>
      </w:pPr>
      <w:r>
        <w:rPr>
          <w:rFonts w:hint="eastAsia" w:ascii="宋体" w:hAnsi="宋体" w:eastAsia="宋体" w:cs="宋体"/>
          <w:highlight w:val="none"/>
        </w:rPr>
        <w:t>（2）投标人在投标过程中弄虚作假，提供虚假材料的；</w:t>
      </w:r>
    </w:p>
    <w:p w14:paraId="7C5C69A6">
      <w:pPr>
        <w:spacing w:line="300" w:lineRule="auto"/>
        <w:ind w:left="210" w:leftChars="100" w:firstLine="105" w:firstLineChars="50"/>
        <w:rPr>
          <w:rFonts w:hint="eastAsia" w:ascii="宋体" w:hAnsi="宋体" w:eastAsia="宋体" w:cs="宋体"/>
          <w:highlight w:val="none"/>
        </w:rPr>
      </w:pPr>
      <w:r>
        <w:rPr>
          <w:rFonts w:hint="eastAsia" w:ascii="宋体" w:hAnsi="宋体" w:eastAsia="宋体" w:cs="宋体"/>
          <w:highlight w:val="none"/>
        </w:rPr>
        <w:t>（3）中标人无正当理由不与招标人签订合同的；</w:t>
      </w:r>
    </w:p>
    <w:p w14:paraId="58788B51">
      <w:pPr>
        <w:spacing w:line="300" w:lineRule="auto"/>
        <w:ind w:left="210" w:leftChars="100" w:firstLine="105" w:firstLineChars="50"/>
        <w:rPr>
          <w:rFonts w:hint="eastAsia" w:ascii="宋体" w:hAnsi="宋体" w:eastAsia="宋体" w:cs="宋体"/>
          <w:highlight w:val="none"/>
        </w:rPr>
      </w:pPr>
      <w:r>
        <w:rPr>
          <w:rFonts w:hint="eastAsia" w:ascii="宋体" w:hAnsi="宋体" w:eastAsia="宋体" w:cs="宋体"/>
          <w:highlight w:val="none"/>
        </w:rPr>
        <w:t>（4）其他严重扰乱招投标程序的。</w:t>
      </w:r>
    </w:p>
    <w:p w14:paraId="4782B67F">
      <w:pPr>
        <w:spacing w:line="300" w:lineRule="auto"/>
        <w:rPr>
          <w:rFonts w:hint="eastAsia" w:ascii="宋体" w:hAnsi="宋体" w:eastAsia="宋体" w:cs="宋体"/>
          <w:b/>
          <w:bCs/>
          <w:highlight w:val="none"/>
        </w:rPr>
      </w:pPr>
      <w:bookmarkStart w:id="64" w:name="_Toc4584"/>
      <w:bookmarkStart w:id="65" w:name="_Toc25982"/>
      <w:bookmarkStart w:id="66" w:name="_Toc503212216"/>
      <w:bookmarkStart w:id="67" w:name="_Toc521014784"/>
      <w:r>
        <w:rPr>
          <w:rFonts w:hint="eastAsia" w:ascii="宋体" w:hAnsi="宋体" w:eastAsia="宋体" w:cs="宋体"/>
          <w:b/>
          <w:bCs/>
          <w:highlight w:val="none"/>
        </w:rPr>
        <w:t>投标文件的签署和</w:t>
      </w:r>
      <w:bookmarkEnd w:id="64"/>
      <w:bookmarkEnd w:id="65"/>
      <w:bookmarkEnd w:id="66"/>
      <w:bookmarkEnd w:id="67"/>
      <w:r>
        <w:rPr>
          <w:rFonts w:hint="eastAsia" w:ascii="宋体" w:hAnsi="宋体" w:eastAsia="宋体" w:cs="宋体"/>
          <w:b/>
          <w:bCs/>
          <w:highlight w:val="none"/>
          <w:lang w:eastAsia="zh-CN"/>
        </w:rPr>
        <w:t>递交</w:t>
      </w:r>
    </w:p>
    <w:p w14:paraId="00D2A948">
      <w:pPr>
        <w:spacing w:line="300" w:lineRule="auto"/>
        <w:ind w:left="210" w:leftChars="100" w:firstLine="105" w:firstLineChars="50"/>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投标人应按本招标文件规定的格式和顺序编制、装订投标文件并标注页码，投标文件内容不完整、编排混乱</w:t>
      </w:r>
      <w:r>
        <w:rPr>
          <w:rFonts w:hint="eastAsia" w:ascii="宋体" w:hAnsi="宋体" w:eastAsia="宋体" w:cs="宋体"/>
          <w:highlight w:val="none"/>
          <w:lang w:eastAsia="zh-CN"/>
        </w:rPr>
        <w:t>、</w:t>
      </w:r>
      <w:r>
        <w:rPr>
          <w:rFonts w:hint="eastAsia" w:ascii="宋体" w:hAnsi="宋体" w:eastAsia="宋体" w:cs="宋体"/>
          <w:highlight w:val="none"/>
          <w:lang w:val="en-US" w:eastAsia="zh-CN"/>
        </w:rPr>
        <w:t>上传不完整</w:t>
      </w:r>
      <w:r>
        <w:rPr>
          <w:rFonts w:hint="eastAsia" w:ascii="宋体" w:hAnsi="宋体" w:eastAsia="宋体" w:cs="宋体"/>
          <w:highlight w:val="none"/>
        </w:rPr>
        <w:t>导致投标文件被误读、漏读或者查找不到相关内容的，是投标人的责任。</w:t>
      </w:r>
    </w:p>
    <w:p w14:paraId="350C3256">
      <w:pPr>
        <w:spacing w:line="300" w:lineRule="auto"/>
        <w:ind w:left="210" w:leftChars="100" w:firstLine="105" w:firstLineChars="5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投标人应于</w:t>
      </w:r>
      <w:r>
        <w:rPr>
          <w:rFonts w:hint="eastAsia" w:ascii="宋体" w:hAnsi="宋体" w:cs="宋体"/>
          <w:color w:val="auto"/>
          <w:highlight w:val="none"/>
          <w:lang w:val="en-US" w:eastAsia="zh-CN"/>
        </w:rPr>
        <w:t>投标截止时间</w:t>
      </w:r>
      <w:r>
        <w:rPr>
          <w:rFonts w:hint="eastAsia" w:ascii="宋体" w:hAnsi="宋体" w:eastAsia="宋体" w:cs="宋体"/>
          <w:highlight w:val="none"/>
        </w:rPr>
        <w:t>前将电子投标文件上传到“</w:t>
      </w:r>
      <w:r>
        <w:rPr>
          <w:rFonts w:hint="eastAsia" w:ascii="宋体" w:hAnsi="宋体" w:eastAsia="宋体" w:cs="宋体"/>
          <w:highlight w:val="none"/>
          <w:lang w:eastAsia="zh-CN"/>
        </w:rPr>
        <w:t>新疆政府采购</w:t>
      </w:r>
      <w:r>
        <w:rPr>
          <w:rFonts w:hint="eastAsia" w:ascii="宋体" w:hAnsi="宋体" w:eastAsia="宋体" w:cs="宋体"/>
          <w:highlight w:val="none"/>
        </w:rPr>
        <w:t>”平台。应按照本项目招标文件和</w:t>
      </w:r>
      <w:r>
        <w:rPr>
          <w:rFonts w:hint="eastAsia" w:ascii="宋体" w:hAnsi="宋体" w:eastAsia="宋体" w:cs="宋体"/>
          <w:highlight w:val="none"/>
          <w:lang w:eastAsia="zh-CN"/>
        </w:rPr>
        <w:t>新疆政府采购</w:t>
      </w:r>
      <w:r>
        <w:rPr>
          <w:rFonts w:hint="eastAsia" w:ascii="宋体" w:hAnsi="宋体" w:eastAsia="宋体" w:cs="宋体"/>
          <w:highlight w:val="none"/>
        </w:rPr>
        <w:t>平台的要求编制、加密传输投标文件。供应商在使用系统进行投标的过程中遇到涉及平台使用的任何问题，可致电</w:t>
      </w:r>
      <w:r>
        <w:rPr>
          <w:rFonts w:hint="eastAsia" w:ascii="宋体" w:hAnsi="宋体" w:eastAsia="宋体" w:cs="宋体"/>
          <w:highlight w:val="none"/>
          <w:lang w:eastAsia="zh-CN"/>
        </w:rPr>
        <w:t>新疆政府采购</w:t>
      </w:r>
      <w:r>
        <w:rPr>
          <w:rFonts w:hint="eastAsia" w:ascii="宋体" w:hAnsi="宋体" w:eastAsia="宋体" w:cs="宋体"/>
          <w:highlight w:val="none"/>
        </w:rPr>
        <w:t>平台技术支持热线咨询，联系方式：</w:t>
      </w:r>
      <w:r>
        <w:rPr>
          <w:rFonts w:hint="eastAsia" w:ascii="宋体" w:hAnsi="宋体" w:eastAsia="宋体" w:cs="宋体"/>
          <w:highlight w:val="none"/>
          <w:lang w:val="en-US" w:eastAsia="zh-CN"/>
        </w:rPr>
        <w:t>95763</w:t>
      </w:r>
      <w:r>
        <w:rPr>
          <w:rFonts w:hint="eastAsia" w:ascii="宋体" w:hAnsi="宋体" w:eastAsia="宋体" w:cs="宋体"/>
          <w:highlight w:val="none"/>
        </w:rPr>
        <w:t>。</w:t>
      </w:r>
    </w:p>
    <w:p w14:paraId="0287BE01">
      <w:pPr>
        <w:spacing w:line="300" w:lineRule="auto"/>
        <w:ind w:left="210" w:leftChars="100" w:firstLine="105" w:firstLineChars="50"/>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.投标文件须由投标人在规定位置盖章并由法定代表人或法定代表人的授权委托人签署，投标人应写全称。</w:t>
      </w:r>
    </w:p>
    <w:p w14:paraId="7544CCE6">
      <w:pPr>
        <w:spacing w:line="300" w:lineRule="auto"/>
        <w:ind w:left="210" w:leftChars="100" w:firstLine="105" w:firstLineChars="50"/>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.投标文件</w:t>
      </w:r>
      <w:r>
        <w:rPr>
          <w:rFonts w:hint="eastAsia" w:ascii="宋体" w:hAnsi="宋体" w:eastAsia="宋体" w:cs="宋体"/>
          <w:highlight w:val="none"/>
          <w:lang w:val="en-US" w:eastAsia="zh-CN"/>
        </w:rPr>
        <w:t>应严格响应招标文件要求，有表述</w:t>
      </w:r>
      <w:r>
        <w:rPr>
          <w:rFonts w:hint="eastAsia" w:ascii="宋体" w:hAnsi="宋体" w:eastAsia="宋体" w:cs="宋体"/>
          <w:highlight w:val="none"/>
        </w:rPr>
        <w:t>不清所引起的后果由投标人负责。</w:t>
      </w:r>
      <w:bookmarkStart w:id="68" w:name="_Toc9280"/>
      <w:bookmarkStart w:id="69" w:name="_Toc28926"/>
    </w:p>
    <w:p w14:paraId="4E21CBFB">
      <w:pPr>
        <w:spacing w:line="300" w:lineRule="auto"/>
        <w:ind w:left="210" w:leftChars="100" w:firstLine="105" w:firstLineChars="50"/>
        <w:rPr>
          <w:rFonts w:hint="eastAsia" w:ascii="宋体" w:hAnsi="宋体" w:eastAsia="宋体" w:cs="宋体"/>
          <w:b/>
          <w:bCs/>
          <w:highlight w:val="none"/>
        </w:rPr>
      </w:pPr>
      <w:r>
        <w:rPr>
          <w:rFonts w:hint="eastAsia" w:ascii="宋体" w:hAnsi="宋体" w:eastAsia="宋体" w:cs="宋体"/>
          <w:b/>
          <w:bCs/>
          <w:highlight w:val="none"/>
          <w:lang w:val="en-US" w:eastAsia="zh-CN"/>
        </w:rPr>
        <w:t>5</w:t>
      </w:r>
      <w:r>
        <w:rPr>
          <w:rFonts w:hint="eastAsia" w:ascii="宋体" w:hAnsi="宋体" w:eastAsia="宋体" w:cs="宋体"/>
          <w:b/>
          <w:bCs/>
          <w:highlight w:val="none"/>
        </w:rPr>
        <w:t xml:space="preserve">、本项目实行网上投标，采用电子投标文件。若供应商参与投标，自行承担投标一切费用。 </w:t>
      </w:r>
    </w:p>
    <w:p w14:paraId="7C9AFC5B">
      <w:pPr>
        <w:spacing w:line="300" w:lineRule="auto"/>
        <w:ind w:left="210" w:leftChars="100" w:firstLine="105" w:firstLineChars="50"/>
        <w:rPr>
          <w:rFonts w:hint="eastAsia" w:ascii="宋体" w:hAnsi="宋体" w:eastAsia="宋体" w:cs="宋体"/>
          <w:b/>
          <w:bCs/>
          <w:highlight w:val="none"/>
        </w:rPr>
      </w:pPr>
      <w:r>
        <w:rPr>
          <w:rFonts w:hint="eastAsia" w:ascii="宋体" w:hAnsi="宋体" w:eastAsia="宋体" w:cs="宋体"/>
          <w:b/>
          <w:bCs/>
          <w:highlight w:val="none"/>
          <w:lang w:val="en-US" w:eastAsia="zh-CN"/>
        </w:rPr>
        <w:t>6</w:t>
      </w:r>
      <w:r>
        <w:rPr>
          <w:rFonts w:hint="eastAsia" w:ascii="宋体" w:hAnsi="宋体" w:eastAsia="宋体" w:cs="宋体"/>
          <w:b/>
          <w:bCs/>
          <w:highlight w:val="none"/>
        </w:rPr>
        <w:t xml:space="preserve">、各供应商应在开标前应确保成为正式注册入库供应商，并完成CA数字证书申领。因未注册入库、未办理CA数字证书等原因造成无法投标或投标失败等后果由供应商自行承担。 </w:t>
      </w:r>
    </w:p>
    <w:p w14:paraId="6DC7CE7F">
      <w:pPr>
        <w:spacing w:line="300" w:lineRule="auto"/>
        <w:ind w:left="210" w:leftChars="100" w:firstLine="105" w:firstLineChars="50"/>
        <w:rPr>
          <w:rFonts w:hint="eastAsia" w:ascii="宋体" w:hAnsi="宋体" w:eastAsia="宋体" w:cs="宋体"/>
          <w:b/>
          <w:bCs/>
          <w:highlight w:val="none"/>
        </w:rPr>
      </w:pPr>
      <w:r>
        <w:rPr>
          <w:rFonts w:hint="eastAsia" w:ascii="宋体" w:hAnsi="宋体" w:eastAsia="宋体" w:cs="宋体"/>
          <w:b/>
          <w:bCs/>
          <w:highlight w:val="none"/>
          <w:lang w:val="en-US" w:eastAsia="zh-CN"/>
        </w:rPr>
        <w:t>7</w:t>
      </w:r>
      <w:r>
        <w:rPr>
          <w:rFonts w:hint="eastAsia" w:ascii="宋体" w:hAnsi="宋体" w:eastAsia="宋体" w:cs="宋体"/>
          <w:b/>
          <w:bCs/>
          <w:highlight w:val="none"/>
        </w:rPr>
        <w:t>、本项目为电子招投标，投标人需要使用CA加密设备，有意向参与新疆区域电子开评标的供应商，请访问新疆数字证书认证中心官方网站（https://www.xjca.com.cn/）或下载</w:t>
      </w:r>
      <w:r>
        <w:rPr>
          <w:rFonts w:hint="eastAsia" w:ascii="宋体" w:hAnsi="宋体" w:cs="宋体"/>
          <w:b/>
          <w:bCs/>
          <w:highlight w:val="none"/>
          <w:lang w:eastAsia="zh-CN"/>
        </w:rPr>
        <w:t>；</w:t>
      </w:r>
      <w:r>
        <w:rPr>
          <w:rFonts w:hint="eastAsia" w:ascii="宋体" w:hAnsi="宋体" w:eastAsia="宋体" w:cs="宋体"/>
          <w:b/>
          <w:bCs/>
          <w:highlight w:val="none"/>
        </w:rPr>
        <w:t>“新疆政务通”APP自行进行申领。如需咨询，请联系新疆CA服务热线0991-2819290</w:t>
      </w:r>
    </w:p>
    <w:p w14:paraId="1629B58D">
      <w:pPr>
        <w:spacing w:line="300" w:lineRule="auto"/>
        <w:ind w:left="210" w:leftChars="100" w:firstLine="105" w:firstLineChars="50"/>
        <w:rPr>
          <w:rFonts w:hint="eastAsia" w:ascii="宋体" w:hAnsi="宋体" w:eastAsia="宋体" w:cs="宋体"/>
          <w:b/>
          <w:bCs/>
          <w:highlight w:val="none"/>
        </w:rPr>
      </w:pPr>
      <w:r>
        <w:rPr>
          <w:rFonts w:hint="eastAsia" w:ascii="宋体" w:hAnsi="宋体" w:eastAsia="宋体" w:cs="宋体"/>
          <w:b/>
          <w:bCs/>
          <w:highlight w:val="none"/>
          <w:lang w:val="en-US" w:eastAsia="zh-CN"/>
        </w:rPr>
        <w:t>8</w:t>
      </w:r>
      <w:r>
        <w:rPr>
          <w:rFonts w:hint="eastAsia" w:ascii="宋体" w:hAnsi="宋体" w:eastAsia="宋体" w:cs="宋体"/>
          <w:b/>
          <w:bCs/>
          <w:highlight w:val="none"/>
        </w:rPr>
        <w:t>、供应商将政采云电子交易客户端下载、安装完成后，可通过账号密码或CA登录客户端进行投标文件制作。在使用政采云投标客户端时，建议使用WIN7及以上操作系统。客户端请至新疆政府采购网（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eastAsia="宋体" w:cs="宋体"/>
          <w:b/>
          <w:bCs/>
          <w:highlight w:val="none"/>
          <w:lang w:eastAsia="zh-CN"/>
        </w:rPr>
        <w:t>http://www.ccgp-xinjiang.gov.cn/</w:t>
      </w:r>
      <w:r>
        <w:rPr>
          <w:rFonts w:hint="eastAsia" w:ascii="宋体" w:hAnsi="宋体" w:eastAsia="宋体" w:cs="宋体"/>
          <w:b/>
          <w:bCs/>
          <w:highlight w:val="none"/>
        </w:rPr>
        <w:t>/）下载专区查看，如有问题可拨打政采云客户服务热线400-881-7190进行咨询。</w:t>
      </w:r>
    </w:p>
    <w:p w14:paraId="58518CBC">
      <w:pPr>
        <w:spacing w:line="300" w:lineRule="auto"/>
        <w:ind w:left="210" w:leftChars="100" w:firstLine="105" w:firstLineChars="50"/>
        <w:rPr>
          <w:rFonts w:hint="eastAsia" w:ascii="宋体" w:hAnsi="宋体" w:eastAsia="宋体" w:cs="宋体"/>
          <w:b/>
          <w:bCs/>
          <w:highlight w:val="none"/>
        </w:rPr>
      </w:pPr>
      <w:r>
        <w:rPr>
          <w:rFonts w:hint="eastAsia" w:ascii="宋体" w:hAnsi="宋体" w:eastAsia="宋体" w:cs="宋体"/>
          <w:b/>
          <w:bCs/>
          <w:highlight w:val="none"/>
          <w:lang w:val="en-US" w:eastAsia="zh-CN"/>
        </w:rPr>
        <w:t>9、</w:t>
      </w:r>
      <w:r>
        <w:rPr>
          <w:rFonts w:hint="eastAsia" w:ascii="宋体" w:hAnsi="宋体" w:eastAsia="宋体" w:cs="宋体"/>
          <w:b/>
          <w:bCs/>
          <w:highlight w:val="none"/>
          <w:lang w:eastAsia="zh-CN"/>
        </w:rPr>
        <w:t>开标时间后60分钟内</w:t>
      </w:r>
      <w:r>
        <w:rPr>
          <w:rFonts w:hint="eastAsia" w:ascii="宋体" w:hAnsi="宋体" w:eastAsia="宋体" w:cs="宋体"/>
          <w:b/>
          <w:bCs/>
          <w:highlight w:val="none"/>
        </w:rPr>
        <w:t>供应商可以登录“政采云”平台，用“项目采购</w:t>
      </w:r>
      <w:r>
        <w:rPr>
          <w:rFonts w:hint="eastAsia" w:ascii="宋体" w:hAnsi="宋体" w:cs="宋体"/>
          <w:b/>
          <w:bCs/>
          <w:highlight w:val="none"/>
          <w:lang w:eastAsia="zh-CN"/>
        </w:rPr>
        <w:t>－</w:t>
      </w:r>
      <w:r>
        <w:rPr>
          <w:rFonts w:hint="eastAsia" w:ascii="宋体" w:hAnsi="宋体" w:eastAsia="宋体" w:cs="宋体"/>
          <w:b/>
          <w:bCs/>
          <w:highlight w:val="none"/>
        </w:rPr>
        <w:t>开标评标”功能进行解密投标文件。若供应商在规定时间内未按时解密的，视为投标文件撤回。</w:t>
      </w:r>
    </w:p>
    <w:p w14:paraId="5567B4C2">
      <w:pPr>
        <w:spacing w:line="300" w:lineRule="auto"/>
        <w:ind w:left="210" w:leftChars="100" w:firstLine="105" w:firstLineChars="50"/>
        <w:rPr>
          <w:rFonts w:hint="eastAsia" w:ascii="宋体" w:hAnsi="宋体" w:eastAsia="宋体" w:cs="宋体"/>
          <w:b/>
          <w:bCs/>
          <w:highlight w:val="none"/>
        </w:rPr>
      </w:pPr>
      <w:r>
        <w:rPr>
          <w:rFonts w:hint="eastAsia" w:ascii="宋体" w:hAnsi="宋体" w:eastAsia="宋体" w:cs="宋体"/>
          <w:b/>
          <w:bCs/>
          <w:highlight w:val="none"/>
          <w:lang w:val="en-US" w:eastAsia="zh-CN"/>
        </w:rPr>
        <w:t>10、</w:t>
      </w:r>
      <w:r>
        <w:rPr>
          <w:rFonts w:hint="eastAsia" w:ascii="宋体" w:hAnsi="宋体" w:eastAsia="宋体" w:cs="宋体"/>
          <w:b/>
          <w:bCs/>
          <w:highlight w:val="none"/>
        </w:rPr>
        <w:t>因系统（非投标供应商行为）的原因，造成投标供应商未能在规定的解密时限内解密的，请及时与招标代理机构或与新疆政府采购网投标客户端进行联系。</w:t>
      </w:r>
    </w:p>
    <w:p w14:paraId="073B25CC">
      <w:pPr>
        <w:spacing w:line="300" w:lineRule="auto"/>
        <w:ind w:left="210" w:leftChars="100" w:firstLine="105" w:firstLineChars="50"/>
        <w:rPr>
          <w:rFonts w:hint="eastAsia" w:ascii="宋体" w:hAnsi="宋体" w:eastAsia="宋体" w:cs="宋体"/>
          <w:b/>
          <w:bCs/>
          <w:highlight w:val="none"/>
        </w:rPr>
      </w:pPr>
      <w:r>
        <w:rPr>
          <w:rFonts w:hint="eastAsia" w:ascii="宋体" w:hAnsi="宋体" w:eastAsia="宋体" w:cs="宋体"/>
          <w:b/>
          <w:bCs/>
          <w:highlight w:val="none"/>
          <w:lang w:val="en-US" w:eastAsia="zh-CN"/>
        </w:rPr>
        <w:t>11、</w:t>
      </w:r>
      <w:r>
        <w:rPr>
          <w:rFonts w:hint="eastAsia" w:ascii="宋体" w:hAnsi="宋体" w:eastAsia="宋体" w:cs="宋体"/>
          <w:b/>
          <w:bCs/>
          <w:highlight w:val="none"/>
        </w:rPr>
        <w:t>投标文件未按规定上传的，视为其自动放弃投标。</w:t>
      </w:r>
    </w:p>
    <w:bookmarkEnd w:id="68"/>
    <w:bookmarkEnd w:id="69"/>
    <w:p w14:paraId="02856955">
      <w:pPr>
        <w:spacing w:line="300" w:lineRule="auto"/>
        <w:rPr>
          <w:rFonts w:hint="eastAsia" w:ascii="宋体" w:hAnsi="宋体" w:eastAsia="宋体" w:cs="宋体"/>
          <w:b/>
          <w:bCs/>
          <w:highlight w:val="none"/>
        </w:rPr>
      </w:pPr>
      <w:bookmarkStart w:id="70" w:name="_Toc4197"/>
      <w:bookmarkStart w:id="71" w:name="_Toc6355"/>
      <w:bookmarkStart w:id="72" w:name="_Toc503212218"/>
      <w:bookmarkStart w:id="73" w:name="_Toc521014786"/>
      <w:r>
        <w:rPr>
          <w:rFonts w:hint="eastAsia" w:ascii="宋体" w:hAnsi="宋体" w:eastAsia="宋体" w:cs="宋体"/>
          <w:b/>
          <w:bCs/>
          <w:highlight w:val="none"/>
        </w:rPr>
        <w:t>投标文件的修改、撤回与撤销</w:t>
      </w:r>
    </w:p>
    <w:p w14:paraId="436C280B">
      <w:pPr>
        <w:spacing w:line="360" w:lineRule="auto"/>
        <w:ind w:firstLine="480"/>
        <w:rPr>
          <w:rFonts w:hint="eastAsia" w:ascii="宋体" w:hAnsi="宋体" w:eastAsia="宋体" w:cs="宋体"/>
          <w:highlight w:val="none"/>
        </w:rPr>
      </w:pPr>
      <w:r>
        <w:rPr>
          <w:rFonts w:hint="eastAsia" w:ascii="宋体" w:hAnsi="宋体" w:eastAsia="宋体" w:cs="宋体"/>
          <w:highlight w:val="none"/>
        </w:rPr>
        <w:t>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7CEA032F">
      <w:pPr>
        <w:spacing w:line="300" w:lineRule="auto"/>
        <w:rPr>
          <w:rFonts w:hint="eastAsia" w:ascii="宋体" w:hAnsi="宋体" w:eastAsia="宋体" w:cs="宋体"/>
          <w:highlight w:val="none"/>
        </w:rPr>
      </w:pPr>
      <w:r>
        <w:rPr>
          <w:rFonts w:hint="eastAsia" w:ascii="宋体" w:hAnsi="宋体" w:eastAsia="宋体" w:cs="宋体"/>
          <w:highlight w:val="none"/>
        </w:rPr>
        <w:t>2投标人在投标截止期后不得修改、撤回投标文件。投标人在投标截止期后修改投标文件的，其投标无效。</w:t>
      </w:r>
    </w:p>
    <w:p w14:paraId="06F9DF1E">
      <w:pPr>
        <w:spacing w:line="300" w:lineRule="auto"/>
        <w:rPr>
          <w:rFonts w:hint="eastAsia" w:ascii="宋体" w:hAnsi="宋体" w:eastAsia="宋体" w:cs="宋体"/>
          <w:b/>
          <w:bCs/>
          <w:highlight w:val="none"/>
        </w:rPr>
      </w:pPr>
      <w:r>
        <w:rPr>
          <w:rFonts w:hint="eastAsia" w:ascii="宋体" w:hAnsi="宋体" w:eastAsia="宋体" w:cs="宋体"/>
          <w:b/>
          <w:bCs/>
          <w:highlight w:val="none"/>
        </w:rPr>
        <w:t>3若供应商在规定的时间内（“投标人须知前附表”的中规定）未能解密的，也将被视为供应商对其投标文件的撤回。</w:t>
      </w:r>
    </w:p>
    <w:p w14:paraId="2E2ABF59">
      <w:pPr>
        <w:spacing w:line="300" w:lineRule="auto"/>
        <w:rPr>
          <w:rFonts w:hint="eastAsia" w:ascii="宋体" w:hAnsi="宋体" w:eastAsia="宋体" w:cs="宋体"/>
          <w:b/>
          <w:bCs/>
          <w:highlight w:val="none"/>
        </w:rPr>
      </w:pPr>
      <w:r>
        <w:rPr>
          <w:rFonts w:hint="eastAsia" w:ascii="宋体" w:hAnsi="宋体" w:eastAsia="宋体" w:cs="宋体"/>
          <w:b/>
          <w:bCs/>
          <w:highlight w:val="none"/>
        </w:rPr>
        <w:t>投标文件的解密</w:t>
      </w:r>
    </w:p>
    <w:p w14:paraId="40D1A185">
      <w:pPr>
        <w:spacing w:line="360" w:lineRule="auto"/>
        <w:ind w:firstLine="480"/>
        <w:rPr>
          <w:rFonts w:hint="eastAsia" w:ascii="宋体" w:hAnsi="宋体" w:eastAsia="宋体" w:cs="宋体"/>
          <w:highlight w:val="none"/>
        </w:rPr>
      </w:pPr>
      <w:r>
        <w:rPr>
          <w:rFonts w:hint="eastAsia" w:ascii="宋体" w:hAnsi="宋体" w:eastAsia="宋体" w:cs="宋体"/>
          <w:highlight w:val="none"/>
        </w:rP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14:paraId="25E45637">
      <w:pPr>
        <w:spacing w:line="300" w:lineRule="auto"/>
        <w:rPr>
          <w:rFonts w:hint="eastAsia" w:ascii="宋体" w:hAnsi="宋体" w:eastAsia="宋体" w:cs="宋体"/>
          <w:b/>
          <w:bCs/>
          <w:highlight w:val="none"/>
        </w:rPr>
      </w:pPr>
      <w:r>
        <w:rPr>
          <w:rFonts w:hint="eastAsia" w:ascii="宋体" w:hAnsi="宋体" w:eastAsia="宋体" w:cs="宋体"/>
          <w:b/>
          <w:bCs/>
          <w:highlight w:val="none"/>
        </w:rPr>
        <w:t>投标有效期</w:t>
      </w:r>
    </w:p>
    <w:p w14:paraId="741159DE">
      <w:pPr>
        <w:spacing w:line="360" w:lineRule="auto"/>
        <w:ind w:firstLine="480"/>
        <w:rPr>
          <w:rFonts w:hint="eastAsia" w:ascii="宋体" w:hAnsi="宋体" w:eastAsia="宋体" w:cs="宋体"/>
          <w:highlight w:val="none"/>
        </w:rPr>
      </w:pPr>
      <w:r>
        <w:rPr>
          <w:rFonts w:hint="eastAsia" w:ascii="宋体" w:hAnsi="宋体" w:eastAsia="宋体" w:cs="宋体"/>
          <w:highlight w:val="none"/>
        </w:rPr>
        <w:t>1投标有效期内投标人撤销投标文件的，采购人或者采购代理机构可以不退还投标保证金（如有）。采用投标保函方式替代保证金的，采购人或者采购代理机构可以向担保机构索赔保证金。</w:t>
      </w:r>
    </w:p>
    <w:p w14:paraId="32A619B2">
      <w:pPr>
        <w:spacing w:line="360" w:lineRule="auto"/>
        <w:ind w:firstLine="480"/>
        <w:rPr>
          <w:rFonts w:hint="eastAsia" w:ascii="宋体" w:hAnsi="宋体" w:eastAsia="宋体" w:cs="宋体"/>
          <w:highlight w:val="none"/>
        </w:rPr>
      </w:pPr>
      <w:r>
        <w:rPr>
          <w:rFonts w:hint="eastAsia" w:ascii="宋体" w:hAnsi="宋体" w:eastAsia="宋体" w:cs="宋体"/>
          <w:highlight w:val="none"/>
        </w:rPr>
        <w:t>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14:paraId="22E4D7F6">
      <w:pPr>
        <w:spacing w:line="300" w:lineRule="auto"/>
        <w:rPr>
          <w:rFonts w:hint="eastAsia" w:ascii="宋体" w:hAnsi="宋体" w:eastAsia="宋体" w:cs="宋体"/>
          <w:b/>
          <w:bCs/>
          <w:highlight w:val="none"/>
        </w:rPr>
      </w:pPr>
      <w:r>
        <w:rPr>
          <w:rFonts w:hint="eastAsia" w:ascii="宋体" w:hAnsi="宋体" w:eastAsia="宋体" w:cs="宋体"/>
          <w:b/>
          <w:bCs/>
          <w:highlight w:val="none"/>
        </w:rPr>
        <w:t>样品（演示）</w:t>
      </w:r>
    </w:p>
    <w:p w14:paraId="7E2543A7">
      <w:pPr>
        <w:spacing w:line="360" w:lineRule="auto"/>
        <w:ind w:firstLine="480"/>
        <w:rPr>
          <w:rFonts w:hint="eastAsia" w:ascii="宋体" w:hAnsi="宋体" w:eastAsia="宋体" w:cs="宋体"/>
          <w:highlight w:val="none"/>
        </w:rPr>
      </w:pPr>
      <w:r>
        <w:rPr>
          <w:rFonts w:hint="eastAsia" w:ascii="宋体" w:hAnsi="宋体" w:eastAsia="宋体" w:cs="宋体"/>
          <w:highlight w:val="none"/>
        </w:rPr>
        <w:t>1招标文件规定投标人提交样品的，样品属于投标文件的组成部分。样品的生产、运输、安装、保全等一切费用由投标人自理。</w:t>
      </w:r>
    </w:p>
    <w:p w14:paraId="1C42F5D1">
      <w:pPr>
        <w:spacing w:line="360" w:lineRule="auto"/>
        <w:ind w:firstLine="480"/>
        <w:rPr>
          <w:rFonts w:hint="eastAsia" w:ascii="宋体" w:hAnsi="宋体" w:eastAsia="宋体" w:cs="宋体"/>
          <w:highlight w:val="none"/>
        </w:rPr>
      </w:pPr>
      <w:r>
        <w:rPr>
          <w:rFonts w:hint="eastAsia" w:ascii="宋体" w:hAnsi="宋体" w:eastAsia="宋体" w:cs="宋体"/>
          <w:highlight w:val="none"/>
        </w:rPr>
        <w:t>2投标截止时间前，投标人应将样品</w:t>
      </w:r>
      <w:r>
        <w:rPr>
          <w:rFonts w:hint="eastAsia" w:ascii="宋体" w:hAnsi="宋体" w:cs="宋体"/>
          <w:highlight w:val="none"/>
          <w:lang w:eastAsia="zh-CN"/>
        </w:rPr>
        <w:t>送达</w:t>
      </w:r>
      <w:r>
        <w:rPr>
          <w:rFonts w:hint="eastAsia" w:ascii="宋体" w:hAnsi="宋体" w:eastAsia="宋体" w:cs="宋体"/>
          <w:highlight w:val="none"/>
        </w:rPr>
        <w:t>指定地点。若需要现场演示的，投标人应提前做好演示准备（包括演示设备）。</w:t>
      </w:r>
    </w:p>
    <w:p w14:paraId="6DCA087A">
      <w:pPr>
        <w:spacing w:line="360" w:lineRule="auto"/>
        <w:ind w:firstLine="480"/>
        <w:rPr>
          <w:rFonts w:hint="eastAsia" w:ascii="宋体" w:hAnsi="宋体" w:eastAsia="宋体" w:cs="宋体"/>
          <w:highlight w:val="none"/>
        </w:rPr>
      </w:pPr>
      <w:r>
        <w:rPr>
          <w:rFonts w:hint="eastAsia" w:ascii="宋体" w:hAnsi="宋体" w:eastAsia="宋体" w:cs="宋体"/>
          <w:highlight w:val="none"/>
        </w:rPr>
        <w:t>3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260B3C1D">
      <w:pPr>
        <w:spacing w:line="300" w:lineRule="auto"/>
        <w:rPr>
          <w:rFonts w:hint="eastAsia" w:ascii="宋体" w:hAnsi="宋体" w:eastAsia="宋体" w:cs="宋体"/>
          <w:b/>
          <w:bCs/>
          <w:highlight w:val="none"/>
        </w:rPr>
      </w:pPr>
      <w:r>
        <w:rPr>
          <w:rFonts w:hint="eastAsia" w:ascii="宋体" w:hAnsi="宋体" w:eastAsia="宋体" w:cs="宋体"/>
          <w:b/>
          <w:bCs/>
          <w:highlight w:val="none"/>
        </w:rPr>
        <w:t>投标无效的情形</w:t>
      </w:r>
      <w:bookmarkEnd w:id="70"/>
      <w:bookmarkEnd w:id="71"/>
      <w:bookmarkEnd w:id="72"/>
      <w:bookmarkEnd w:id="73"/>
    </w:p>
    <w:p w14:paraId="4C93D528">
      <w:pPr>
        <w:spacing w:line="360" w:lineRule="auto"/>
        <w:ind w:firstLine="480"/>
        <w:rPr>
          <w:rFonts w:hint="eastAsia" w:ascii="宋体" w:hAnsi="宋体" w:eastAsia="宋体" w:cs="宋体"/>
          <w:highlight w:val="none"/>
        </w:rPr>
      </w:pPr>
      <w:r>
        <w:rPr>
          <w:rFonts w:hint="eastAsia" w:ascii="宋体" w:hAnsi="宋体" w:eastAsia="宋体" w:cs="宋体"/>
          <w:highlight w:val="none"/>
        </w:rPr>
        <w:t>实质上没有响应招标文件要求的投标将被视为无效投标。投标人不得通过修正或</w:t>
      </w:r>
      <w:r>
        <w:rPr>
          <w:rFonts w:hint="eastAsia" w:ascii="宋体" w:hAnsi="宋体" w:cs="宋体"/>
          <w:highlight w:val="none"/>
          <w:lang w:eastAsia="zh-CN"/>
        </w:rPr>
        <w:t>撤销</w:t>
      </w:r>
      <w:r>
        <w:rPr>
          <w:rFonts w:hint="eastAsia" w:ascii="宋体" w:hAnsi="宋体" w:eastAsia="宋体" w:cs="宋体"/>
          <w:highlight w:val="none"/>
        </w:rPr>
        <w:t>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bookmarkStart w:id="74" w:name="_Toc13224"/>
      <w:bookmarkStart w:id="75" w:name="_Toc4280"/>
    </w:p>
    <w:p w14:paraId="0C64116B">
      <w:pPr>
        <w:spacing w:line="360" w:lineRule="auto"/>
        <w:ind w:firstLine="480"/>
        <w:rPr>
          <w:rFonts w:hint="eastAsia" w:ascii="宋体" w:hAnsi="宋体" w:eastAsia="宋体" w:cs="宋体"/>
          <w:highlight w:val="none"/>
        </w:rPr>
      </w:pPr>
      <w:r>
        <w:rPr>
          <w:rFonts w:hint="eastAsia" w:ascii="宋体" w:hAnsi="宋体" w:eastAsia="宋体" w:cs="宋体"/>
          <w:highlight w:val="none"/>
        </w:rPr>
        <w:t>1投标文件未按照招标文件要求签署、盖章；</w:t>
      </w:r>
    </w:p>
    <w:p w14:paraId="57FF488B">
      <w:pPr>
        <w:spacing w:line="360" w:lineRule="auto"/>
        <w:ind w:firstLine="480"/>
        <w:rPr>
          <w:rFonts w:hint="eastAsia" w:ascii="宋体" w:hAnsi="宋体" w:eastAsia="宋体" w:cs="宋体"/>
          <w:highlight w:val="none"/>
        </w:rPr>
      </w:pPr>
      <w:r>
        <w:rPr>
          <w:rFonts w:hint="eastAsia" w:ascii="宋体" w:hAnsi="宋体" w:eastAsia="宋体" w:cs="宋体"/>
          <w:highlight w:val="none"/>
        </w:rPr>
        <w:t>2不符合招标文件中规定的资格要求；</w:t>
      </w:r>
    </w:p>
    <w:p w14:paraId="52B3BC06">
      <w:pPr>
        <w:spacing w:line="360" w:lineRule="auto"/>
        <w:ind w:firstLine="480"/>
        <w:rPr>
          <w:rFonts w:hint="eastAsia" w:ascii="宋体" w:hAnsi="宋体" w:eastAsia="宋体" w:cs="宋体"/>
          <w:highlight w:val="none"/>
        </w:rPr>
      </w:pPr>
      <w:r>
        <w:rPr>
          <w:rFonts w:hint="eastAsia" w:ascii="宋体" w:hAnsi="宋体" w:eastAsia="宋体" w:cs="宋体"/>
          <w:highlight w:val="none"/>
        </w:rPr>
        <w:t>3投标报价超过招标文件中规定的预算金额或最高限价；</w:t>
      </w:r>
    </w:p>
    <w:p w14:paraId="4FEE8077">
      <w:pPr>
        <w:spacing w:line="360" w:lineRule="auto"/>
        <w:ind w:firstLine="480"/>
        <w:rPr>
          <w:rFonts w:hint="eastAsia" w:ascii="宋体" w:hAnsi="宋体" w:eastAsia="宋体" w:cs="宋体"/>
          <w:highlight w:val="none"/>
        </w:rPr>
      </w:pPr>
      <w:r>
        <w:rPr>
          <w:rFonts w:hint="eastAsia" w:ascii="宋体" w:hAnsi="宋体" w:eastAsia="宋体" w:cs="宋体"/>
          <w:highlight w:val="none"/>
        </w:rPr>
        <w:t>4投标文件含有采购人不能接受的附加条件；</w:t>
      </w:r>
    </w:p>
    <w:p w14:paraId="32D90728">
      <w:pPr>
        <w:spacing w:line="360" w:lineRule="auto"/>
        <w:ind w:firstLine="480"/>
        <w:rPr>
          <w:rFonts w:hint="eastAsia" w:ascii="宋体" w:hAnsi="宋体" w:eastAsia="宋体" w:cs="宋体"/>
          <w:highlight w:val="none"/>
        </w:rPr>
      </w:pPr>
      <w:r>
        <w:rPr>
          <w:rFonts w:hint="eastAsia" w:ascii="宋体" w:hAnsi="宋体" w:eastAsia="宋体" w:cs="宋体"/>
          <w:highlight w:val="none"/>
        </w:rPr>
        <w:t>5有关</w:t>
      </w:r>
      <w:r>
        <w:rPr>
          <w:rFonts w:hint="eastAsia" w:ascii="宋体" w:hAnsi="宋体" w:cs="宋体"/>
          <w:highlight w:val="none"/>
          <w:lang w:eastAsia="zh-CN"/>
        </w:rPr>
        <w:t>法律法规</w:t>
      </w:r>
      <w:r>
        <w:rPr>
          <w:rFonts w:hint="eastAsia" w:ascii="宋体" w:hAnsi="宋体" w:eastAsia="宋体" w:cs="宋体"/>
          <w:highlight w:val="none"/>
        </w:rPr>
        <w:t>和规章及招标文件规定的其他无效情形。</w:t>
      </w:r>
    </w:p>
    <w:p w14:paraId="385A5AA9">
      <w:pPr>
        <w:pStyle w:val="6"/>
        <w:numPr>
          <w:ilvl w:val="0"/>
          <w:numId w:val="0"/>
        </w:numPr>
        <w:ind w:leftChars="-50" w:right="62" w:rightChars="0"/>
        <w:jc w:val="center"/>
        <w:rPr>
          <w:rFonts w:hint="eastAsia" w:ascii="宋体" w:hAnsi="宋体" w:eastAsia="宋体" w:cs="宋体"/>
          <w:b/>
          <w:bCs/>
          <w:color w:val="000000"/>
          <w:kern w:val="2"/>
          <w:sz w:val="28"/>
          <w:szCs w:val="28"/>
          <w:highlight w:val="none"/>
          <w:lang w:val="en-US" w:eastAsia="zh-CN" w:bidi="ar-SA"/>
        </w:rPr>
      </w:pPr>
      <w:bookmarkStart w:id="76" w:name="_Toc31877"/>
      <w:bookmarkStart w:id="77" w:name="_Toc11270"/>
      <w:bookmarkStart w:id="78" w:name="_Toc521014787"/>
      <w:bookmarkStart w:id="79" w:name="_Toc3022"/>
      <w:bookmarkStart w:id="80" w:name="_Toc503212219"/>
      <w:r>
        <w:rPr>
          <w:rFonts w:hint="eastAsia" w:ascii="宋体" w:hAnsi="宋体" w:eastAsia="宋体" w:cs="宋体"/>
          <w:b/>
          <w:bCs/>
          <w:color w:val="000000"/>
          <w:kern w:val="2"/>
          <w:sz w:val="28"/>
          <w:szCs w:val="28"/>
          <w:highlight w:val="none"/>
          <w:lang w:val="en-US" w:eastAsia="zh-CN" w:bidi="ar-SA"/>
        </w:rPr>
        <w:t>（四）开标</w:t>
      </w:r>
      <w:bookmarkEnd w:id="74"/>
      <w:bookmarkEnd w:id="75"/>
      <w:bookmarkEnd w:id="76"/>
      <w:bookmarkEnd w:id="77"/>
      <w:bookmarkEnd w:id="78"/>
      <w:bookmarkEnd w:id="79"/>
      <w:bookmarkEnd w:id="80"/>
    </w:p>
    <w:p w14:paraId="581A4478">
      <w:pPr>
        <w:pStyle w:val="48"/>
        <w:snapToGrid w:val="0"/>
        <w:spacing w:line="360" w:lineRule="auto"/>
        <w:rPr>
          <w:rFonts w:hint="eastAsia" w:ascii="宋体" w:hAnsi="宋体" w:eastAsia="宋体" w:cs="宋体"/>
          <w:b/>
          <w:bCs/>
          <w:kern w:val="2"/>
          <w:sz w:val="21"/>
          <w:szCs w:val="24"/>
          <w:highlight w:val="none"/>
          <w:lang w:val="en-US" w:eastAsia="zh-CN" w:bidi="ar-SA"/>
        </w:rPr>
      </w:pPr>
      <w:r>
        <w:rPr>
          <w:rFonts w:hint="eastAsia" w:ascii="宋体" w:hAnsi="宋体" w:eastAsia="宋体" w:cs="宋体"/>
          <w:b/>
          <w:bCs/>
          <w:kern w:val="2"/>
          <w:sz w:val="21"/>
          <w:szCs w:val="24"/>
          <w:highlight w:val="none"/>
          <w:lang w:val="en-US" w:eastAsia="zh-CN" w:bidi="ar-SA"/>
        </w:rPr>
        <w:t>（一）开标准备</w:t>
      </w:r>
    </w:p>
    <w:p w14:paraId="4E351AF4">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招标代理机构将在规定的时间和地点进行开标，投标供应商无需到场，但应按照招标文件要求按时参与网上投标文件解密。（本项目实行网上投标，采用电子投标文件。若供应商参与投标，自行承担投标一切费用；各供应商应在开标前应确保成为新疆政府采购网正式注册入库供应商，并完成CA数字证书申领。因未注册入库、未办理CA数字证书等原因造成无法投标或投标失败等后果由供应商自行承担；供应商将新疆政府采购电子交易客户端下载、安装完成后，可通过账号密码或CA登录客户端进行投标文件制作。在使用新疆政府采购投标客户端时，建议使用WIN7及以上操作系统。客户端请至新疆政府采购网（</w:t>
      </w:r>
      <w:r>
        <w:rPr>
          <w:rFonts w:hint="eastAsia" w:ascii="宋体" w:hAnsi="宋体" w:eastAsia="宋体" w:cs="宋体"/>
          <w:kern w:val="2"/>
          <w:sz w:val="21"/>
          <w:szCs w:val="24"/>
          <w:highlight w:val="none"/>
          <w:lang w:val="en-US" w:eastAsia="zh-CN" w:bidi="ar-SA"/>
        </w:rPr>
        <w:fldChar w:fldCharType="begin"/>
      </w:r>
      <w:r>
        <w:rPr>
          <w:rFonts w:hint="eastAsia" w:ascii="宋体" w:hAnsi="宋体" w:eastAsia="宋体" w:cs="宋体"/>
          <w:kern w:val="2"/>
          <w:sz w:val="21"/>
          <w:szCs w:val="24"/>
          <w:highlight w:val="none"/>
          <w:lang w:val="en-US" w:eastAsia="zh-CN" w:bidi="ar-SA"/>
        </w:rPr>
        <w:instrText xml:space="preserve"> HYPERLINK "http://www.ccgp-xinjiang.gov.cn/" </w:instrText>
      </w:r>
      <w:r>
        <w:rPr>
          <w:rFonts w:hint="eastAsia" w:ascii="宋体" w:hAnsi="宋体" w:eastAsia="宋体" w:cs="宋体"/>
          <w:kern w:val="2"/>
          <w:sz w:val="21"/>
          <w:szCs w:val="24"/>
          <w:highlight w:val="none"/>
          <w:lang w:val="en-US" w:eastAsia="zh-CN" w:bidi="ar-SA"/>
        </w:rPr>
        <w:fldChar w:fldCharType="separate"/>
      </w:r>
      <w:r>
        <w:rPr>
          <w:rFonts w:hint="eastAsia" w:ascii="宋体" w:hAnsi="宋体" w:eastAsia="宋体" w:cs="宋体"/>
          <w:kern w:val="2"/>
          <w:sz w:val="21"/>
          <w:szCs w:val="24"/>
          <w:highlight w:val="none"/>
          <w:lang w:val="en-US" w:eastAsia="zh-CN" w:bidi="ar-SA"/>
        </w:rPr>
        <w:t>http://www.ccgp-xinjiang.gov.cn/</w:t>
      </w:r>
      <w:r>
        <w:rPr>
          <w:rFonts w:hint="eastAsia" w:ascii="宋体" w:hAnsi="宋体" w:eastAsia="宋体" w:cs="宋体"/>
          <w:kern w:val="2"/>
          <w:sz w:val="21"/>
          <w:szCs w:val="24"/>
          <w:highlight w:val="none"/>
          <w:lang w:val="en-US" w:eastAsia="zh-CN" w:bidi="ar-SA"/>
        </w:rPr>
        <w:fldChar w:fldCharType="end"/>
      </w:r>
      <w:r>
        <w:rPr>
          <w:rFonts w:hint="eastAsia" w:ascii="宋体" w:hAnsi="宋体" w:eastAsia="宋体" w:cs="宋体"/>
          <w:kern w:val="2"/>
          <w:sz w:val="21"/>
          <w:szCs w:val="24"/>
          <w:highlight w:val="none"/>
          <w:lang w:val="en-US" w:eastAsia="zh-CN" w:bidi="ar-SA"/>
        </w:rPr>
        <w:t>）下载专区查看，如有问题可拨打新疆政府采购客户服务热线95763进行咨询。）</w:t>
      </w:r>
    </w:p>
    <w:p w14:paraId="270DA2B7">
      <w:pPr>
        <w:pStyle w:val="48"/>
        <w:snapToGrid w:val="0"/>
        <w:spacing w:line="360" w:lineRule="auto"/>
        <w:outlineLvl w:val="1"/>
        <w:rPr>
          <w:rFonts w:hint="eastAsia" w:ascii="宋体" w:hAnsi="宋体" w:eastAsia="宋体" w:cs="宋体"/>
          <w:b/>
          <w:bCs/>
          <w:kern w:val="2"/>
          <w:sz w:val="21"/>
          <w:szCs w:val="24"/>
          <w:highlight w:val="none"/>
          <w:lang w:val="en-US" w:eastAsia="zh-CN" w:bidi="ar-SA"/>
        </w:rPr>
      </w:pPr>
      <w:bookmarkStart w:id="81" w:name="_Toc1875"/>
      <w:bookmarkStart w:id="82" w:name="_Toc24853"/>
      <w:r>
        <w:rPr>
          <w:rFonts w:hint="eastAsia" w:ascii="宋体" w:hAnsi="宋体" w:eastAsia="宋体" w:cs="宋体"/>
          <w:b/>
          <w:bCs/>
          <w:kern w:val="2"/>
          <w:sz w:val="21"/>
          <w:szCs w:val="24"/>
          <w:highlight w:val="none"/>
          <w:lang w:val="en-US" w:eastAsia="zh-CN" w:bidi="ar-SA"/>
        </w:rPr>
        <w:t>（二） 开标程序：</w:t>
      </w:r>
      <w:bookmarkEnd w:id="81"/>
      <w:bookmarkEnd w:id="82"/>
    </w:p>
    <w:p w14:paraId="5D205148">
      <w:pPr>
        <w:spacing w:line="360" w:lineRule="auto"/>
        <w:ind w:firstLine="480"/>
        <w:rPr>
          <w:rFonts w:hint="eastAsia" w:ascii="宋体" w:hAnsi="宋体" w:eastAsia="宋体" w:cs="宋体"/>
          <w:highlight w:val="none"/>
        </w:rPr>
      </w:pPr>
      <w:bookmarkStart w:id="83" w:name="_Toc503212220"/>
      <w:bookmarkStart w:id="84" w:name="_Toc12263"/>
      <w:bookmarkStart w:id="85" w:name="_Toc521014788"/>
      <w:bookmarkStart w:id="86" w:name="_Toc24288"/>
      <w:bookmarkStart w:id="87" w:name="_Toc20065"/>
      <w:bookmarkStart w:id="88" w:name="_Toc20288"/>
      <w:bookmarkStart w:id="89" w:name="_Toc3024"/>
      <w:r>
        <w:rPr>
          <w:rFonts w:hint="eastAsia" w:ascii="宋体" w:hAnsi="宋体" w:eastAsia="宋体" w:cs="宋体"/>
          <w:highlight w:val="none"/>
        </w:rPr>
        <w:t>1.1 开标程序</w:t>
      </w:r>
    </w:p>
    <w:p w14:paraId="0CCF6F52">
      <w:pPr>
        <w:spacing w:line="360" w:lineRule="auto"/>
        <w:ind w:firstLine="480"/>
        <w:rPr>
          <w:rFonts w:hint="eastAsia" w:ascii="宋体" w:hAnsi="宋体" w:eastAsia="宋体" w:cs="宋体"/>
          <w:highlight w:val="none"/>
        </w:rPr>
      </w:pPr>
      <w:r>
        <w:rPr>
          <w:rFonts w:hint="eastAsia" w:ascii="宋体" w:hAnsi="宋体" w:eastAsia="宋体" w:cs="宋体"/>
          <w:highlight w:val="none"/>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28EE2DB1">
      <w:pPr>
        <w:spacing w:line="360" w:lineRule="auto"/>
        <w:ind w:firstLine="480"/>
        <w:rPr>
          <w:rFonts w:hint="eastAsia" w:ascii="宋体" w:hAnsi="宋体" w:eastAsia="宋体" w:cs="宋体"/>
          <w:highlight w:val="none"/>
        </w:rPr>
      </w:pPr>
      <w:r>
        <w:rPr>
          <w:rFonts w:hint="eastAsia" w:ascii="宋体" w:hAnsi="宋体" w:eastAsia="宋体" w:cs="宋体"/>
          <w:highlight w:val="none"/>
        </w:rP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14:paraId="035DFCED">
      <w:pPr>
        <w:spacing w:line="360" w:lineRule="auto"/>
        <w:ind w:firstLine="480"/>
        <w:rPr>
          <w:rFonts w:hint="eastAsia" w:ascii="宋体" w:hAnsi="宋体" w:eastAsia="宋体" w:cs="宋体"/>
          <w:highlight w:val="none"/>
        </w:rPr>
      </w:pPr>
      <w:r>
        <w:rPr>
          <w:rFonts w:hint="eastAsia" w:ascii="宋体" w:hAnsi="宋体" w:eastAsia="宋体" w:cs="宋体"/>
          <w:highlight w:val="none"/>
        </w:rP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14:paraId="687F172C">
      <w:pPr>
        <w:spacing w:line="360" w:lineRule="auto"/>
        <w:ind w:firstLine="480"/>
        <w:rPr>
          <w:rFonts w:hint="eastAsia" w:ascii="宋体" w:hAnsi="宋体" w:eastAsia="宋体" w:cs="宋体"/>
          <w:highlight w:val="none"/>
        </w:rPr>
      </w:pPr>
      <w:r>
        <w:rPr>
          <w:rFonts w:hint="eastAsia" w:ascii="宋体" w:hAnsi="宋体" w:eastAsia="宋体" w:cs="宋体"/>
          <w:highlight w:val="none"/>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6DF95BEB">
      <w:pPr>
        <w:spacing w:line="360" w:lineRule="auto"/>
        <w:ind w:firstLine="480"/>
        <w:rPr>
          <w:rFonts w:hint="eastAsia" w:ascii="宋体" w:hAnsi="宋体" w:eastAsia="宋体" w:cs="宋体"/>
          <w:highlight w:val="none"/>
        </w:rPr>
      </w:pPr>
      <w:r>
        <w:rPr>
          <w:rFonts w:hint="eastAsia" w:ascii="宋体" w:hAnsi="宋体" w:eastAsia="宋体" w:cs="宋体"/>
          <w:highlight w:val="none"/>
        </w:rPr>
        <w:t>1.2开标异议</w:t>
      </w:r>
    </w:p>
    <w:p w14:paraId="6B9C6F25">
      <w:pPr>
        <w:spacing w:line="360" w:lineRule="auto"/>
        <w:ind w:firstLine="480"/>
        <w:rPr>
          <w:rFonts w:hint="eastAsia" w:ascii="宋体" w:hAnsi="宋体" w:eastAsia="宋体" w:cs="宋体"/>
          <w:highlight w:val="none"/>
        </w:rPr>
      </w:pPr>
      <w:r>
        <w:rPr>
          <w:rFonts w:hint="eastAsia" w:ascii="宋体" w:hAnsi="宋体" w:eastAsia="宋体" w:cs="宋体"/>
          <w:highlight w:val="none"/>
        </w:rPr>
        <w:t>投标人代表对开标过程和开标记录有疑义，以及认为采购人、采购代理机构相关工作人员有需要回避的情形的，应当场提出询问或者回避申请。投标人未参加开标的，视同认可开标结果。</w:t>
      </w:r>
    </w:p>
    <w:p w14:paraId="79B6DE7A">
      <w:pPr>
        <w:spacing w:line="360" w:lineRule="auto"/>
        <w:ind w:firstLine="480"/>
        <w:rPr>
          <w:rFonts w:hint="eastAsia" w:ascii="宋体" w:hAnsi="宋体" w:eastAsia="宋体" w:cs="宋体"/>
          <w:highlight w:val="none"/>
        </w:rPr>
      </w:pPr>
      <w:r>
        <w:rPr>
          <w:rFonts w:hint="eastAsia" w:ascii="宋体" w:hAnsi="宋体" w:eastAsia="宋体" w:cs="宋体"/>
          <w:highlight w:val="none"/>
        </w:rPr>
        <w:t>1.3 投标截止时间后，投标人不足须知前附表中约定的有效供应商家数的，不得开标。同时，本次采购活动结束。</w:t>
      </w:r>
    </w:p>
    <w:p w14:paraId="5A8B85A2">
      <w:pPr>
        <w:spacing w:line="360" w:lineRule="auto"/>
        <w:ind w:firstLine="480"/>
        <w:rPr>
          <w:rFonts w:hint="eastAsia" w:ascii="宋体" w:hAnsi="宋体" w:eastAsia="宋体" w:cs="宋体"/>
          <w:highlight w:val="none"/>
        </w:rPr>
      </w:pPr>
      <w:r>
        <w:rPr>
          <w:rFonts w:hint="eastAsia" w:ascii="宋体" w:hAnsi="宋体" w:eastAsia="宋体" w:cs="宋体"/>
          <w:highlight w:val="none"/>
        </w:rPr>
        <w:t>1.4开标时出现下列情况的，视为投标无效处理：</w:t>
      </w:r>
    </w:p>
    <w:p w14:paraId="15C971A6">
      <w:pPr>
        <w:spacing w:line="360" w:lineRule="auto"/>
        <w:ind w:firstLine="480"/>
        <w:rPr>
          <w:rFonts w:hint="eastAsia" w:ascii="宋体" w:hAnsi="宋体" w:eastAsia="宋体" w:cs="宋体"/>
          <w:highlight w:val="none"/>
        </w:rPr>
      </w:pPr>
      <w:r>
        <w:rPr>
          <w:rFonts w:hint="eastAsia" w:ascii="宋体" w:hAnsi="宋体" w:eastAsia="宋体" w:cs="宋体"/>
          <w:highlight w:val="none"/>
        </w:rPr>
        <w:t>（1）经检查数字证书无效的；</w:t>
      </w:r>
    </w:p>
    <w:p w14:paraId="547EED82">
      <w:pPr>
        <w:spacing w:line="360" w:lineRule="auto"/>
        <w:ind w:firstLine="480"/>
        <w:rPr>
          <w:rFonts w:hint="eastAsia" w:ascii="宋体" w:hAnsi="宋体" w:eastAsia="宋体" w:cs="宋体"/>
          <w:highlight w:val="none"/>
        </w:rPr>
      </w:pPr>
      <w:r>
        <w:rPr>
          <w:rFonts w:hint="eastAsia" w:ascii="宋体" w:hAnsi="宋体" w:eastAsia="宋体" w:cs="宋体"/>
          <w:highlight w:val="none"/>
        </w:rPr>
        <w:t>（2）因投标人自身原因，未在规定时间内完成电子投标文件解密的；</w:t>
      </w:r>
    </w:p>
    <w:p w14:paraId="41161F69">
      <w:pPr>
        <w:spacing w:line="360" w:lineRule="auto"/>
        <w:ind w:firstLine="480"/>
        <w:rPr>
          <w:rFonts w:hint="eastAsia" w:ascii="宋体" w:hAnsi="宋体" w:eastAsia="宋体" w:cs="宋体"/>
          <w:highlight w:val="none"/>
        </w:rPr>
      </w:pPr>
      <w:r>
        <w:rPr>
          <w:rFonts w:hint="eastAsia" w:ascii="宋体" w:hAnsi="宋体" w:eastAsia="宋体" w:cs="宋体"/>
          <w:highlight w:val="none"/>
        </w:rPr>
        <w:t>（3）如需使用备用电子投标文件解密时，在规定的解密时间内无法提供备用电子投标文件或提供的备用电子投标文件与加密的电子投标文件版本不一致（即两份文件不是通过投标客户端同时加密生成的）。</w:t>
      </w:r>
    </w:p>
    <w:p w14:paraId="326B0D77">
      <w:pPr>
        <w:pStyle w:val="6"/>
        <w:numPr>
          <w:ilvl w:val="0"/>
          <w:numId w:val="0"/>
        </w:numPr>
        <w:ind w:leftChars="-50" w:right="62" w:rightChars="0"/>
        <w:jc w:val="center"/>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（五）评标</w:t>
      </w:r>
      <w:bookmarkEnd w:id="83"/>
      <w:bookmarkEnd w:id="84"/>
      <w:bookmarkEnd w:id="85"/>
      <w:bookmarkEnd w:id="86"/>
      <w:bookmarkEnd w:id="87"/>
      <w:bookmarkEnd w:id="88"/>
      <w:bookmarkEnd w:id="89"/>
    </w:p>
    <w:p w14:paraId="67C2C25A">
      <w:pPr>
        <w:pStyle w:val="48"/>
        <w:snapToGrid w:val="0"/>
        <w:spacing w:line="360" w:lineRule="auto"/>
        <w:outlineLvl w:val="1"/>
        <w:rPr>
          <w:rFonts w:hint="eastAsia" w:ascii="宋体" w:hAnsi="宋体" w:eastAsia="宋体" w:cs="宋体"/>
          <w:b/>
          <w:bCs/>
          <w:kern w:val="2"/>
          <w:sz w:val="21"/>
          <w:szCs w:val="24"/>
          <w:highlight w:val="none"/>
          <w:lang w:val="en-US" w:eastAsia="zh-CN" w:bidi="ar-SA"/>
        </w:rPr>
      </w:pPr>
      <w:r>
        <w:rPr>
          <w:rFonts w:hint="eastAsia" w:ascii="宋体" w:hAnsi="宋体" w:eastAsia="宋体" w:cs="宋体"/>
          <w:b/>
          <w:bCs/>
          <w:kern w:val="2"/>
          <w:sz w:val="21"/>
          <w:szCs w:val="24"/>
          <w:highlight w:val="none"/>
          <w:lang w:val="en-US" w:eastAsia="zh-CN" w:bidi="ar-SA"/>
        </w:rPr>
        <w:t>（一）组建评标委员会</w:t>
      </w:r>
    </w:p>
    <w:p w14:paraId="2A92B317">
      <w:pPr>
        <w:pStyle w:val="48"/>
        <w:snapToGrid w:val="0"/>
        <w:spacing w:line="360" w:lineRule="auto"/>
        <w:ind w:left="0" w:leftChars="0" w:firstLine="420" w:firstLineChars="200"/>
        <w:outlineLvl w:val="2"/>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评标委员会或评标小组（以下简称评标委员会）的评标工作由招标单位负责组织，具体评标事务由评标委员会负责，并独立履行其法规规定的职责。</w:t>
      </w:r>
    </w:p>
    <w:p w14:paraId="6E7BF161">
      <w:pPr>
        <w:pStyle w:val="48"/>
        <w:snapToGrid w:val="0"/>
        <w:spacing w:line="360" w:lineRule="auto"/>
        <w:ind w:left="0" w:leftChars="0" w:firstLine="420" w:firstLineChars="200"/>
        <w:outlineLvl w:val="2"/>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 xml:space="preserve">本项目评标委员会由评审专家 </w:t>
      </w:r>
      <w:r>
        <w:rPr>
          <w:rFonts w:hint="eastAsia" w:hAnsi="宋体" w:cs="宋体"/>
          <w:kern w:val="2"/>
          <w:sz w:val="21"/>
          <w:szCs w:val="24"/>
          <w:highlight w:val="none"/>
          <w:lang w:val="en-US" w:eastAsia="zh-CN" w:bidi="ar-SA"/>
        </w:rPr>
        <w:t>7</w:t>
      </w:r>
      <w:r>
        <w:rPr>
          <w:rFonts w:hint="eastAsia" w:ascii="宋体" w:hAnsi="宋体" w:eastAsia="宋体" w:cs="宋体"/>
          <w:kern w:val="2"/>
          <w:sz w:val="21"/>
          <w:szCs w:val="24"/>
          <w:highlight w:val="none"/>
          <w:lang w:val="en-US" w:eastAsia="zh-CN" w:bidi="ar-SA"/>
        </w:rPr>
        <w:t xml:space="preserve"> 人组成；专家由招标代理机构在开标前48小时在新疆政府采购专家中随机抽取。其中熟悉相关技术方面的专家不得少于成员总数的</w:t>
      </w:r>
      <w:r>
        <w:rPr>
          <w:rFonts w:hint="eastAsia" w:hAnsi="宋体" w:cs="宋体"/>
          <w:kern w:val="2"/>
          <w:sz w:val="21"/>
          <w:szCs w:val="24"/>
          <w:highlight w:val="none"/>
          <w:lang w:val="en-US" w:eastAsia="zh-CN" w:bidi="ar-SA"/>
        </w:rPr>
        <w:t>三分之二</w:t>
      </w:r>
      <w:r>
        <w:rPr>
          <w:rFonts w:hint="eastAsia" w:ascii="宋体" w:hAnsi="宋体" w:eastAsia="宋体" w:cs="宋体"/>
          <w:kern w:val="2"/>
          <w:sz w:val="21"/>
          <w:szCs w:val="24"/>
          <w:highlight w:val="none"/>
          <w:lang w:val="en-US" w:eastAsia="zh-CN" w:bidi="ar-SA"/>
        </w:rPr>
        <w:t>。并对投标文件进行审查、评估和比较，并做出授予合同的建议。</w:t>
      </w:r>
    </w:p>
    <w:p w14:paraId="6BA06DA0">
      <w:pPr>
        <w:pStyle w:val="48"/>
        <w:snapToGrid w:val="0"/>
        <w:spacing w:line="360" w:lineRule="auto"/>
        <w:outlineLvl w:val="1"/>
        <w:rPr>
          <w:rFonts w:hint="eastAsia" w:ascii="宋体" w:hAnsi="宋体" w:eastAsia="宋体" w:cs="宋体"/>
          <w:b/>
          <w:bCs/>
          <w:kern w:val="2"/>
          <w:sz w:val="21"/>
          <w:szCs w:val="24"/>
          <w:highlight w:val="none"/>
          <w:lang w:val="en-US" w:eastAsia="zh-CN" w:bidi="ar-SA"/>
        </w:rPr>
      </w:pPr>
      <w:bookmarkStart w:id="90" w:name="_Toc27271"/>
      <w:bookmarkStart w:id="91" w:name="_Toc26886"/>
      <w:r>
        <w:rPr>
          <w:rFonts w:hint="eastAsia" w:ascii="宋体" w:hAnsi="宋体" w:eastAsia="宋体" w:cs="宋体"/>
          <w:b/>
          <w:bCs/>
          <w:kern w:val="2"/>
          <w:sz w:val="21"/>
          <w:szCs w:val="24"/>
          <w:highlight w:val="none"/>
          <w:lang w:val="en-US" w:eastAsia="zh-CN" w:bidi="ar-SA"/>
        </w:rPr>
        <w:t>（二）评标的方式</w:t>
      </w:r>
      <w:bookmarkEnd w:id="90"/>
      <w:bookmarkEnd w:id="91"/>
    </w:p>
    <w:p w14:paraId="5AAEC5E3">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本项目采用不公开方式评标，评标的依据为《中华人民共和国招标投标法》《中华人民共和国政府采购法</w:t>
      </w:r>
      <w:r>
        <w:rPr>
          <w:rFonts w:hint="eastAsia" w:hAnsi="宋体" w:cs="宋体"/>
          <w:kern w:val="2"/>
          <w:sz w:val="21"/>
          <w:szCs w:val="24"/>
          <w:highlight w:val="none"/>
          <w:lang w:val="en-US" w:eastAsia="zh-CN" w:bidi="ar-SA"/>
        </w:rPr>
        <w:t>》《</w:t>
      </w:r>
      <w:r>
        <w:rPr>
          <w:rFonts w:hint="eastAsia" w:ascii="宋体" w:hAnsi="宋体" w:eastAsia="宋体" w:cs="宋体"/>
          <w:kern w:val="2"/>
          <w:sz w:val="21"/>
          <w:szCs w:val="24"/>
          <w:highlight w:val="none"/>
          <w:lang w:val="en-US" w:eastAsia="zh-CN" w:bidi="ar-SA"/>
        </w:rPr>
        <w:t>中华人民共和国财政部令第87号</w:t>
      </w:r>
      <w:r>
        <w:rPr>
          <w:rFonts w:hint="eastAsia" w:hAnsi="宋体" w:cs="宋体"/>
          <w:kern w:val="2"/>
          <w:sz w:val="21"/>
          <w:szCs w:val="24"/>
          <w:highlight w:val="none"/>
          <w:lang w:val="en-US" w:eastAsia="zh-CN" w:bidi="ar-SA"/>
        </w:rPr>
        <w:t>－－</w:t>
      </w:r>
      <w:r>
        <w:rPr>
          <w:rFonts w:hint="eastAsia" w:ascii="宋体" w:hAnsi="宋体" w:eastAsia="宋体" w:cs="宋体"/>
          <w:kern w:val="2"/>
          <w:sz w:val="21"/>
          <w:szCs w:val="24"/>
          <w:highlight w:val="none"/>
          <w:lang w:val="en-US" w:eastAsia="zh-CN" w:bidi="ar-SA"/>
        </w:rPr>
        <w:t>政府采购货物和服务招标投标管理办法》及招标文件。</w:t>
      </w:r>
    </w:p>
    <w:p w14:paraId="5819EB58">
      <w:pPr>
        <w:spacing w:line="360" w:lineRule="auto"/>
        <w:rPr>
          <w:rFonts w:hint="eastAsia" w:ascii="宋体" w:hAnsi="宋体" w:eastAsia="宋体" w:cs="宋体"/>
          <w:b/>
          <w:bCs/>
          <w:kern w:val="2"/>
          <w:sz w:val="21"/>
          <w:szCs w:val="24"/>
          <w:highlight w:val="none"/>
          <w:lang w:val="en-US" w:eastAsia="zh-CN" w:bidi="ar-SA"/>
        </w:rPr>
      </w:pPr>
      <w:r>
        <w:rPr>
          <w:rFonts w:hint="eastAsia" w:ascii="宋体" w:hAnsi="宋体" w:eastAsia="宋体" w:cs="宋体"/>
          <w:b/>
          <w:bCs/>
          <w:kern w:val="2"/>
          <w:sz w:val="21"/>
          <w:szCs w:val="24"/>
          <w:highlight w:val="none"/>
          <w:lang w:val="en-US" w:eastAsia="zh-CN" w:bidi="ar-SA"/>
        </w:rPr>
        <w:t>（三）评标原则</w:t>
      </w:r>
    </w:p>
    <w:p w14:paraId="7D148333">
      <w:pPr>
        <w:pStyle w:val="48"/>
        <w:snapToGrid w:val="0"/>
        <w:spacing w:line="360" w:lineRule="auto"/>
        <w:ind w:left="0" w:leftChars="0" w:firstLine="420" w:firstLineChars="200"/>
        <w:outlineLvl w:val="2"/>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2.1评标活动遵循公平、公正、科学和择优的原则，以招标文件和投标文件为评标的基本依据，并按照招标文件规定的评标方法和评标标准进行评标。</w:t>
      </w:r>
    </w:p>
    <w:p w14:paraId="635CE3C5">
      <w:pPr>
        <w:pStyle w:val="48"/>
        <w:snapToGrid w:val="0"/>
        <w:spacing w:line="360" w:lineRule="auto"/>
        <w:ind w:left="0" w:leftChars="0" w:firstLine="420" w:firstLineChars="200"/>
        <w:outlineLvl w:val="2"/>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2.2评标委员会必须公平、公正、客观，不带任何倾向性和启发性；不得向外界透露任何与评标有关的内容；任何单位和个人不得干扰、影响评标的正常进行；评标委员会及有关工作人员不得私下与投标人接触。</w:t>
      </w:r>
    </w:p>
    <w:p w14:paraId="353E7DF8">
      <w:pPr>
        <w:pStyle w:val="48"/>
        <w:snapToGrid w:val="0"/>
        <w:spacing w:line="360" w:lineRule="auto"/>
        <w:ind w:left="0" w:leftChars="0" w:firstLine="420" w:firstLineChars="200"/>
        <w:outlineLvl w:val="2"/>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2.2具体评标事项由评标委员会负责，并按招标文件的规定办法进行评审。</w:t>
      </w:r>
    </w:p>
    <w:p w14:paraId="71B7C251">
      <w:pPr>
        <w:pStyle w:val="48"/>
        <w:snapToGrid w:val="0"/>
        <w:spacing w:line="360" w:lineRule="auto"/>
        <w:ind w:left="0" w:leftChars="0" w:firstLine="420" w:firstLineChars="200"/>
        <w:outlineLvl w:val="2"/>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2.3合格投标人不足须知前附表中约定的有效供应商家数的，不得评标。</w:t>
      </w:r>
    </w:p>
    <w:p w14:paraId="018967B7">
      <w:pPr>
        <w:spacing w:line="360" w:lineRule="auto"/>
        <w:rPr>
          <w:rFonts w:hint="eastAsia" w:ascii="宋体" w:hAnsi="宋体" w:eastAsia="宋体" w:cs="宋体"/>
          <w:b/>
          <w:bCs/>
          <w:kern w:val="2"/>
          <w:sz w:val="21"/>
          <w:szCs w:val="24"/>
          <w:highlight w:val="none"/>
          <w:lang w:val="en-US" w:eastAsia="zh-CN" w:bidi="ar-SA"/>
        </w:rPr>
      </w:pPr>
      <w:r>
        <w:rPr>
          <w:rFonts w:hint="eastAsia" w:ascii="宋体" w:hAnsi="宋体" w:eastAsia="宋体" w:cs="宋体"/>
          <w:b/>
          <w:bCs/>
          <w:kern w:val="2"/>
          <w:sz w:val="21"/>
          <w:szCs w:val="24"/>
          <w:highlight w:val="none"/>
          <w:lang w:val="en-US" w:eastAsia="zh-CN" w:bidi="ar-SA"/>
        </w:rPr>
        <w:t>（四）评标应遵守下列评标纪律：</w:t>
      </w:r>
    </w:p>
    <w:p w14:paraId="7BE432BB">
      <w:pPr>
        <w:pStyle w:val="48"/>
        <w:snapToGrid w:val="0"/>
        <w:spacing w:line="360" w:lineRule="auto"/>
        <w:ind w:left="0" w:leftChars="0" w:firstLine="420" w:firstLineChars="200"/>
        <w:outlineLvl w:val="2"/>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（1）评标情况不得私自外泄，有关信息由</w:t>
      </w:r>
      <w:r>
        <w:rPr>
          <w:rFonts w:hint="eastAsia" w:hAnsi="宋体" w:cs="宋体"/>
          <w:kern w:val="2"/>
          <w:sz w:val="21"/>
          <w:szCs w:val="24"/>
          <w:highlight w:val="none"/>
          <w:lang w:val="en-US" w:eastAsia="zh-CN" w:bidi="ar-SA"/>
        </w:rPr>
        <w:t>新疆浩诚致远项目管理咨询有限公司</w:t>
      </w:r>
      <w:r>
        <w:rPr>
          <w:rFonts w:hint="eastAsia" w:ascii="宋体" w:hAnsi="宋体" w:eastAsia="宋体" w:cs="宋体"/>
          <w:kern w:val="2"/>
          <w:sz w:val="21"/>
          <w:szCs w:val="24"/>
          <w:highlight w:val="none"/>
          <w:lang w:val="en-US" w:eastAsia="zh-CN" w:bidi="ar-SA"/>
        </w:rPr>
        <w:t>统一对外发布。</w:t>
      </w:r>
    </w:p>
    <w:p w14:paraId="4F05BEAC">
      <w:pPr>
        <w:pStyle w:val="48"/>
        <w:snapToGrid w:val="0"/>
        <w:spacing w:line="360" w:lineRule="auto"/>
        <w:ind w:left="0" w:leftChars="0" w:firstLine="420" w:firstLineChars="200"/>
        <w:outlineLvl w:val="2"/>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（2）对</w:t>
      </w:r>
      <w:r>
        <w:rPr>
          <w:rFonts w:hint="eastAsia" w:hAnsi="宋体" w:cs="宋体"/>
          <w:kern w:val="2"/>
          <w:sz w:val="21"/>
          <w:szCs w:val="24"/>
          <w:highlight w:val="none"/>
          <w:lang w:val="en-US" w:eastAsia="zh-CN" w:bidi="ar-SA"/>
        </w:rPr>
        <w:t>新疆浩诚致远项目管理咨询有限公司</w:t>
      </w:r>
      <w:r>
        <w:rPr>
          <w:rFonts w:hint="eastAsia" w:ascii="宋体" w:hAnsi="宋体" w:eastAsia="宋体" w:cs="宋体"/>
          <w:kern w:val="2"/>
          <w:sz w:val="21"/>
          <w:szCs w:val="24"/>
          <w:highlight w:val="none"/>
          <w:lang w:val="en-US" w:eastAsia="zh-CN" w:bidi="ar-SA"/>
        </w:rPr>
        <w:t>或投标人提供的要求保密的资料，不得摘记翻印和外传。</w:t>
      </w:r>
    </w:p>
    <w:p w14:paraId="6FE71D50">
      <w:pPr>
        <w:pStyle w:val="48"/>
        <w:snapToGrid w:val="0"/>
        <w:spacing w:line="360" w:lineRule="auto"/>
        <w:ind w:left="0" w:leftChars="0" w:firstLine="420" w:firstLineChars="200"/>
        <w:outlineLvl w:val="2"/>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（3）不得收受投标供应商或有关人员的任何礼物，不得串联鼓动其他人袒护某投标人。若与投标人存在利害关系，则应主动声明并回避。</w:t>
      </w:r>
    </w:p>
    <w:p w14:paraId="2C6CF791">
      <w:pPr>
        <w:pStyle w:val="48"/>
        <w:snapToGrid w:val="0"/>
        <w:spacing w:line="360" w:lineRule="auto"/>
        <w:ind w:left="0" w:leftChars="0" w:firstLine="420" w:firstLineChars="200"/>
        <w:outlineLvl w:val="2"/>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（4）全体评委应按照招标文件规定进行评标，一切认定事项应查有实据且不得弄虚作假。</w:t>
      </w:r>
    </w:p>
    <w:p w14:paraId="2DF3CC3F">
      <w:pPr>
        <w:pStyle w:val="48"/>
        <w:snapToGrid w:val="0"/>
        <w:spacing w:line="360" w:lineRule="auto"/>
        <w:ind w:left="0" w:leftChars="0" w:firstLine="420" w:firstLineChars="200"/>
        <w:outlineLvl w:val="2"/>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（5）评标委员会各成员应当独立对每个投标人的投标文件进行评价，并对评价意见承担个人责任。评审过程中，不得发表倾向性言论。</w:t>
      </w:r>
    </w:p>
    <w:p w14:paraId="53392358">
      <w:pPr>
        <w:pStyle w:val="48"/>
        <w:snapToGrid w:val="0"/>
        <w:spacing w:line="360" w:lineRule="auto"/>
        <w:ind w:left="0" w:leftChars="0" w:firstLine="420" w:firstLineChars="200"/>
        <w:outlineLvl w:val="2"/>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※对违反评标纪律的评委，将取消其评委资格，对评标工作造成严重损失者将予以通报批评乃至追究法律责任。</w:t>
      </w:r>
    </w:p>
    <w:p w14:paraId="472DA8EA">
      <w:pPr>
        <w:pStyle w:val="48"/>
        <w:snapToGrid w:val="0"/>
        <w:spacing w:line="360" w:lineRule="auto"/>
        <w:outlineLvl w:val="1"/>
        <w:rPr>
          <w:rFonts w:hint="eastAsia" w:ascii="宋体" w:hAnsi="宋体" w:eastAsia="宋体" w:cs="宋体"/>
          <w:b/>
          <w:bCs/>
          <w:kern w:val="2"/>
          <w:sz w:val="21"/>
          <w:szCs w:val="24"/>
          <w:highlight w:val="none"/>
          <w:lang w:val="en-US" w:eastAsia="zh-CN" w:bidi="ar-SA"/>
        </w:rPr>
      </w:pPr>
      <w:bookmarkStart w:id="92" w:name="_Toc13223"/>
      <w:bookmarkStart w:id="93" w:name="_Toc4747"/>
      <w:r>
        <w:rPr>
          <w:rFonts w:hint="eastAsia" w:ascii="宋体" w:hAnsi="宋体" w:eastAsia="宋体" w:cs="宋体"/>
          <w:b/>
          <w:bCs/>
          <w:kern w:val="2"/>
          <w:sz w:val="21"/>
          <w:szCs w:val="24"/>
          <w:highlight w:val="none"/>
          <w:lang w:val="en-US" w:eastAsia="zh-CN" w:bidi="ar-SA"/>
        </w:rPr>
        <w:t>（五）评标程序</w:t>
      </w:r>
      <w:bookmarkEnd w:id="92"/>
      <w:bookmarkEnd w:id="93"/>
    </w:p>
    <w:p w14:paraId="199156B0">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1. 本项目采用</w:t>
      </w:r>
      <w:r>
        <w:rPr>
          <w:rFonts w:hint="eastAsia" w:ascii="宋体" w:hAnsi="宋体" w:eastAsia="宋体" w:cs="宋体"/>
          <w:highlight w:val="none"/>
        </w:rPr>
        <w:t>综合评分法</w:t>
      </w:r>
      <w:r>
        <w:rPr>
          <w:rFonts w:hint="eastAsia" w:hAnsi="宋体" w:cs="宋体"/>
          <w:highlight w:val="none"/>
          <w:lang w:eastAsia="zh-CN"/>
        </w:rPr>
        <w:t>，</w:t>
      </w:r>
      <w:r>
        <w:rPr>
          <w:rFonts w:hint="eastAsia" w:ascii="宋体" w:hAnsi="宋体" w:eastAsia="宋体" w:cs="宋体"/>
          <w:highlight w:val="none"/>
        </w:rPr>
        <w:t>是指投标文件满足招标文件全部实质性要求，且按照评审因素的量化指标评审得分最高的投标人为中标候选人的评标方法。（最低报价不是中标的唯一依据。）</w:t>
      </w:r>
    </w:p>
    <w:p w14:paraId="71E59BC5">
      <w:pPr>
        <w:pStyle w:val="48"/>
        <w:snapToGrid w:val="0"/>
        <w:spacing w:line="360" w:lineRule="auto"/>
        <w:ind w:firstLine="420" w:firstLineChars="200"/>
        <w:outlineLvl w:val="2"/>
        <w:rPr>
          <w:rFonts w:hint="eastAsia" w:ascii="宋体" w:hAnsi="宋体" w:eastAsia="宋体" w:cs="宋体"/>
          <w:kern w:val="2"/>
          <w:sz w:val="21"/>
          <w:szCs w:val="24"/>
          <w:highlight w:val="none"/>
          <w:lang w:val="en-US" w:eastAsia="zh-CN" w:bidi="ar-SA"/>
        </w:rPr>
      </w:pPr>
      <w:bookmarkStart w:id="94" w:name="_Toc17462"/>
      <w:r>
        <w:rPr>
          <w:rFonts w:hint="eastAsia" w:ascii="宋体" w:hAnsi="宋体" w:eastAsia="宋体" w:cs="宋体"/>
          <w:kern w:val="2"/>
          <w:sz w:val="21"/>
          <w:szCs w:val="24"/>
          <w:highlight w:val="none"/>
          <w:lang w:val="en-US" w:eastAsia="zh-CN" w:bidi="ar-SA"/>
        </w:rPr>
        <w:t>2. 评标的依据为招标文件和投标文件。</w:t>
      </w:r>
      <w:bookmarkEnd w:id="94"/>
    </w:p>
    <w:p w14:paraId="1F0E18EC">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3. 评标过程的保密性。开标后，直到授予投标人合同为止，凡是属于审查、澄清、评价和比较的有关资料以及授标建议等均不得向投标人或其他无关的人员透露。</w:t>
      </w:r>
    </w:p>
    <w:p w14:paraId="1DCC1EA3">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4. 投标人在评标过程中所进行的试图影响评标结果、有悖于招标规则的活动，可能导致取消其中标资格。</w:t>
      </w:r>
    </w:p>
    <w:p w14:paraId="674DD9E0">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5. 与招标文件有重大偏离的投标文件将被拒绝。且此重大偏离在开标后不许修改。</w:t>
      </w:r>
    </w:p>
    <w:p w14:paraId="457B4AF7">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6. 根据国家计委等七部委颁发的《评标委员会和评标方法暂行规定》以下为重大偏离：</w:t>
      </w:r>
    </w:p>
    <w:p w14:paraId="11AEF2B0">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（一）投标保证金的缴纳主体与投标人不一致的，没有按照招标文件要求提供投标担保，或者所提供的投标担保有瑕疵的；</w:t>
      </w:r>
    </w:p>
    <w:p w14:paraId="00BF342E">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（二）投标文件没有投标人法定代表人或其授权代表签字（章）和加盖投标单位公章的；</w:t>
      </w:r>
    </w:p>
    <w:p w14:paraId="61B6450D">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（三）投标文件记载的招标项目完成期限超过招标文件规定的完成期限；</w:t>
      </w:r>
    </w:p>
    <w:p w14:paraId="5515AC77">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（四）明显不符合技术规格和技术标准（技术规格、合同条款有偏离情况的）；</w:t>
      </w:r>
    </w:p>
    <w:p w14:paraId="4FE0F93A">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（五）商务条款有偏离情况的；</w:t>
      </w:r>
    </w:p>
    <w:p w14:paraId="76E08750">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（六）投标附有招标人不能接受的条件；</w:t>
      </w:r>
    </w:p>
    <w:p w14:paraId="1ABD975F">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（七）不符合招标文件中规定的其他实质性要求。</w:t>
      </w:r>
    </w:p>
    <w:p w14:paraId="1D3A24E4">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（八</w:t>
      </w:r>
      <w:r>
        <w:rPr>
          <w:rFonts w:hint="eastAsia" w:hAnsi="宋体" w:cs="宋体"/>
          <w:kern w:val="2"/>
          <w:sz w:val="21"/>
          <w:szCs w:val="24"/>
          <w:highlight w:val="none"/>
          <w:lang w:val="en-US" w:eastAsia="zh-CN" w:bidi="ar-SA"/>
        </w:rPr>
        <w:t>）</w:t>
      </w:r>
      <w:r>
        <w:rPr>
          <w:rFonts w:hint="eastAsia" w:ascii="宋体" w:hAnsi="宋体" w:eastAsia="宋体" w:cs="宋体"/>
          <w:kern w:val="2"/>
          <w:sz w:val="21"/>
          <w:szCs w:val="24"/>
          <w:highlight w:val="none"/>
          <w:lang w:val="en-US" w:eastAsia="zh-CN" w:bidi="ar-SA"/>
        </w:rPr>
        <w:t xml:space="preserve"> 投标报价不符合招标文件规定的要求。</w:t>
      </w:r>
    </w:p>
    <w:p w14:paraId="29A873B7">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投标文件有上述情形之一的，视为非实质性响应招标，并按规定作废标处理。招标文件对重大偏差另有规定的，从其规定。</w:t>
      </w:r>
    </w:p>
    <w:p w14:paraId="08748A3A">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评标委员会应当审查每一投标文件是否对招标文件提出的所有实质性要求和条件作出响应。未能在实质上响应招标的投标，将作废标处理。</w:t>
      </w:r>
    </w:p>
    <w:p w14:paraId="0A380391">
      <w:pPr>
        <w:pStyle w:val="48"/>
        <w:snapToGrid w:val="0"/>
        <w:spacing w:line="360" w:lineRule="auto"/>
        <w:ind w:firstLine="420" w:firstLineChars="200"/>
        <w:outlineLvl w:val="2"/>
        <w:rPr>
          <w:rFonts w:hint="eastAsia" w:ascii="宋体" w:hAnsi="宋体" w:eastAsia="宋体" w:cs="宋体"/>
          <w:kern w:val="2"/>
          <w:sz w:val="21"/>
          <w:szCs w:val="24"/>
          <w:highlight w:val="none"/>
          <w:lang w:val="en-US" w:eastAsia="zh-CN" w:bidi="ar-SA"/>
        </w:rPr>
      </w:pPr>
      <w:bookmarkStart w:id="95" w:name="_Toc3963"/>
      <w:r>
        <w:rPr>
          <w:rFonts w:hint="eastAsia" w:ascii="宋体" w:hAnsi="宋体" w:eastAsia="宋体" w:cs="宋体"/>
          <w:kern w:val="2"/>
          <w:sz w:val="21"/>
          <w:szCs w:val="24"/>
          <w:highlight w:val="none"/>
          <w:lang w:val="en-US" w:eastAsia="zh-CN" w:bidi="ar-SA"/>
        </w:rPr>
        <w:t>7.对投标文件的初步审查和响应性确定</w:t>
      </w:r>
      <w:bookmarkEnd w:id="95"/>
    </w:p>
    <w:p w14:paraId="0F9BE399">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8. 开标后招标人将审查投标文件的完整性、准确性以及保证金提交、文件签署情况。在审查时，（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若投标人拒绝接受上述修正，其投标将可能被拒绝。</w:t>
      </w:r>
    </w:p>
    <w:p w14:paraId="230C00D5">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9. 在对投标文件进行详细评估之前，评标委员会将审查每一份投标文件是否对招标文件的要求作出了实质性的响应。实质性响应的投标文件应该是与招标文件的全部条款、条件和技术规格相符，而没有重大偏离。</w:t>
      </w:r>
    </w:p>
    <w:p w14:paraId="34CE51E3">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10.招标人判断投标文件的响应性是基于投标文件本身而不靠外部证据。</w:t>
      </w:r>
    </w:p>
    <w:p w14:paraId="33A2DD60">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11.招标人将拒绝被定为非响应性的投标，投标人不能通过修正或</w:t>
      </w:r>
      <w:r>
        <w:rPr>
          <w:rFonts w:hint="eastAsia" w:hAnsi="宋体" w:cs="宋体"/>
          <w:kern w:val="2"/>
          <w:sz w:val="21"/>
          <w:szCs w:val="24"/>
          <w:highlight w:val="none"/>
          <w:lang w:val="en-US" w:eastAsia="zh-CN" w:bidi="ar-SA"/>
        </w:rPr>
        <w:t>撤销</w:t>
      </w:r>
      <w:r>
        <w:rPr>
          <w:rFonts w:hint="eastAsia" w:ascii="宋体" w:hAnsi="宋体" w:eastAsia="宋体" w:cs="宋体"/>
          <w:kern w:val="2"/>
          <w:sz w:val="21"/>
          <w:szCs w:val="24"/>
          <w:highlight w:val="none"/>
          <w:lang w:val="en-US" w:eastAsia="zh-CN" w:bidi="ar-SA"/>
        </w:rPr>
        <w:t>不符之处而使其投标成为响应性投标。</w:t>
      </w:r>
    </w:p>
    <w:p w14:paraId="3DCC7660">
      <w:pPr>
        <w:pStyle w:val="48"/>
        <w:snapToGrid w:val="0"/>
        <w:spacing w:line="360" w:lineRule="auto"/>
        <w:outlineLvl w:val="1"/>
        <w:rPr>
          <w:rFonts w:hint="eastAsia" w:ascii="宋体" w:hAnsi="宋体" w:eastAsia="宋体" w:cs="宋体"/>
          <w:b/>
          <w:bCs/>
          <w:kern w:val="2"/>
          <w:sz w:val="21"/>
          <w:szCs w:val="24"/>
          <w:highlight w:val="none"/>
          <w:lang w:val="en-US" w:eastAsia="zh-CN" w:bidi="ar-SA"/>
        </w:rPr>
      </w:pPr>
      <w:bookmarkStart w:id="96" w:name="_Toc13450"/>
      <w:bookmarkStart w:id="97" w:name="_Toc32133"/>
      <w:r>
        <w:rPr>
          <w:rFonts w:hint="eastAsia" w:ascii="宋体" w:hAnsi="宋体" w:eastAsia="宋体" w:cs="宋体"/>
          <w:b/>
          <w:bCs/>
          <w:kern w:val="2"/>
          <w:sz w:val="21"/>
          <w:szCs w:val="24"/>
          <w:highlight w:val="none"/>
          <w:lang w:val="en-US" w:eastAsia="zh-CN" w:bidi="ar-SA"/>
        </w:rPr>
        <w:t>（六）澄清问题的形式</w:t>
      </w:r>
      <w:bookmarkEnd w:id="96"/>
      <w:bookmarkEnd w:id="97"/>
    </w:p>
    <w:p w14:paraId="03F3F92B">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719238E8">
      <w:pPr>
        <w:pStyle w:val="48"/>
        <w:snapToGrid w:val="0"/>
        <w:spacing w:line="360" w:lineRule="auto"/>
        <w:outlineLvl w:val="1"/>
        <w:rPr>
          <w:rFonts w:hint="eastAsia" w:ascii="宋体" w:hAnsi="宋体" w:eastAsia="宋体" w:cs="宋体"/>
          <w:b/>
          <w:bCs/>
          <w:kern w:val="2"/>
          <w:sz w:val="21"/>
          <w:szCs w:val="24"/>
          <w:highlight w:val="none"/>
          <w:lang w:val="en-US" w:eastAsia="zh-CN" w:bidi="ar-SA"/>
        </w:rPr>
      </w:pPr>
      <w:bookmarkStart w:id="98" w:name="_Toc30297"/>
      <w:bookmarkStart w:id="99" w:name="_Toc31156"/>
      <w:r>
        <w:rPr>
          <w:rFonts w:hint="eastAsia" w:ascii="宋体" w:hAnsi="宋体" w:eastAsia="宋体" w:cs="宋体"/>
          <w:b/>
          <w:bCs/>
          <w:kern w:val="2"/>
          <w:sz w:val="21"/>
          <w:szCs w:val="24"/>
          <w:highlight w:val="none"/>
          <w:lang w:val="en-US" w:eastAsia="zh-CN" w:bidi="ar-SA"/>
        </w:rPr>
        <w:t>（七）错误修正</w:t>
      </w:r>
      <w:bookmarkEnd w:id="98"/>
      <w:bookmarkEnd w:id="99"/>
    </w:p>
    <w:p w14:paraId="7048FF74">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投标文件如果出现计算或表达上的错误，修正错误的原则如下：</w:t>
      </w:r>
    </w:p>
    <w:p w14:paraId="15057DB2">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1.投标报价一览表总价与投标报价明细表汇总数不一致的，以投标报价一览表为准；</w:t>
      </w:r>
    </w:p>
    <w:p w14:paraId="4F20D96F">
      <w:pPr>
        <w:pStyle w:val="48"/>
        <w:snapToGrid w:val="0"/>
        <w:spacing w:line="360" w:lineRule="auto"/>
        <w:ind w:firstLine="420" w:firstLineChars="200"/>
        <w:outlineLvl w:val="2"/>
        <w:rPr>
          <w:rFonts w:hint="eastAsia" w:ascii="宋体" w:hAnsi="宋体" w:eastAsia="宋体" w:cs="宋体"/>
          <w:kern w:val="2"/>
          <w:sz w:val="21"/>
          <w:szCs w:val="24"/>
          <w:highlight w:val="none"/>
          <w:lang w:val="en-US" w:eastAsia="zh-CN" w:bidi="ar-SA"/>
        </w:rPr>
      </w:pPr>
      <w:bookmarkStart w:id="100" w:name="_Toc29280"/>
      <w:r>
        <w:rPr>
          <w:rFonts w:hint="eastAsia" w:ascii="宋体" w:hAnsi="宋体" w:eastAsia="宋体" w:cs="宋体"/>
          <w:kern w:val="2"/>
          <w:sz w:val="21"/>
          <w:szCs w:val="24"/>
          <w:highlight w:val="none"/>
          <w:lang w:val="en-US" w:eastAsia="zh-CN" w:bidi="ar-SA"/>
        </w:rPr>
        <w:t>2.投标文件的大写金额和小写金额不一致的，以大写金额为准；</w:t>
      </w:r>
      <w:bookmarkEnd w:id="100"/>
    </w:p>
    <w:p w14:paraId="6DF5FD68">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3.总价金额与按单价汇总金额不一致的，以单价金额计算结果为准；</w:t>
      </w:r>
    </w:p>
    <w:p w14:paraId="0136C6B2">
      <w:pPr>
        <w:pStyle w:val="48"/>
        <w:snapToGrid w:val="0"/>
        <w:spacing w:line="360" w:lineRule="auto"/>
        <w:ind w:firstLine="420" w:firstLineChars="200"/>
        <w:outlineLvl w:val="2"/>
        <w:rPr>
          <w:rFonts w:hint="eastAsia" w:ascii="宋体" w:hAnsi="宋体" w:eastAsia="宋体" w:cs="宋体"/>
          <w:kern w:val="2"/>
          <w:sz w:val="21"/>
          <w:szCs w:val="24"/>
          <w:highlight w:val="none"/>
          <w:lang w:val="en-US" w:eastAsia="zh-CN" w:bidi="ar-SA"/>
        </w:rPr>
      </w:pPr>
      <w:bookmarkStart w:id="101" w:name="_Toc16465"/>
      <w:r>
        <w:rPr>
          <w:rFonts w:hint="eastAsia" w:ascii="宋体" w:hAnsi="宋体" w:eastAsia="宋体" w:cs="宋体"/>
          <w:kern w:val="2"/>
          <w:sz w:val="21"/>
          <w:szCs w:val="24"/>
          <w:highlight w:val="none"/>
          <w:lang w:val="en-US" w:eastAsia="zh-CN" w:bidi="ar-SA"/>
        </w:rPr>
        <w:t>4.对不同文字文本投标文件的解释发生异议的，以中文文本为准。</w:t>
      </w:r>
      <w:bookmarkEnd w:id="101"/>
    </w:p>
    <w:p w14:paraId="3E1B82CF">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按上述修正错误的原则及方法调整或修正投标文件的投标报价，投标人同意并签字确认后，调整后的投标报价对投标人具有约束作用。如果投标人不接受修正后的报价，则其投标将作为无效投标处理。</w:t>
      </w:r>
    </w:p>
    <w:p w14:paraId="2E771CB6">
      <w:pPr>
        <w:pStyle w:val="48"/>
        <w:snapToGrid w:val="0"/>
        <w:spacing w:line="360" w:lineRule="auto"/>
        <w:ind w:left="0" w:leftChars="0" w:firstLine="0" w:firstLineChars="0"/>
        <w:outlineLvl w:val="1"/>
        <w:rPr>
          <w:rFonts w:hint="eastAsia" w:ascii="宋体" w:hAnsi="宋体" w:eastAsia="宋体" w:cs="宋体"/>
          <w:b/>
          <w:bCs/>
          <w:kern w:val="2"/>
          <w:sz w:val="21"/>
          <w:szCs w:val="24"/>
          <w:highlight w:val="none"/>
          <w:lang w:val="en-US" w:eastAsia="zh-CN" w:bidi="ar-SA"/>
        </w:rPr>
      </w:pPr>
      <w:bookmarkStart w:id="102" w:name="_Toc19846"/>
      <w:bookmarkStart w:id="103" w:name="_Toc15699"/>
      <w:r>
        <w:rPr>
          <w:rFonts w:hint="eastAsia" w:ascii="宋体" w:hAnsi="宋体" w:eastAsia="宋体" w:cs="宋体"/>
          <w:b/>
          <w:bCs/>
          <w:kern w:val="2"/>
          <w:sz w:val="21"/>
          <w:szCs w:val="24"/>
          <w:highlight w:val="none"/>
          <w:lang w:val="en-US" w:eastAsia="zh-CN" w:bidi="ar-SA"/>
        </w:rPr>
        <w:t>（八）</w:t>
      </w:r>
      <w:bookmarkEnd w:id="102"/>
      <w:bookmarkEnd w:id="103"/>
      <w:r>
        <w:rPr>
          <w:rFonts w:hint="eastAsia" w:ascii="宋体" w:hAnsi="宋体" w:eastAsia="宋体" w:cs="宋体"/>
          <w:b/>
          <w:bCs/>
          <w:kern w:val="2"/>
          <w:sz w:val="21"/>
          <w:szCs w:val="24"/>
          <w:highlight w:val="none"/>
          <w:lang w:val="en-US" w:eastAsia="zh-CN" w:bidi="ar-SA"/>
        </w:rPr>
        <w:t>有下列情形之一的，视为投标人串通投标，其投标无效</w:t>
      </w:r>
    </w:p>
    <w:p w14:paraId="7FF8D928">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bookmarkStart w:id="104" w:name="_Toc9664"/>
      <w:bookmarkStart w:id="105" w:name="_Toc29743"/>
      <w:r>
        <w:rPr>
          <w:rFonts w:hint="eastAsia" w:ascii="宋体" w:hAnsi="宋体" w:eastAsia="宋体" w:cs="宋体"/>
          <w:kern w:val="2"/>
          <w:sz w:val="21"/>
          <w:szCs w:val="24"/>
          <w:highlight w:val="none"/>
          <w:lang w:val="en-US" w:eastAsia="zh-CN" w:bidi="ar-SA"/>
        </w:rPr>
        <w:t>1不同投标人的投标文件由同一单位或者个人编制；</w:t>
      </w:r>
    </w:p>
    <w:p w14:paraId="07FC2416">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2不同投标人委托同一单位或者个人办理投标事宜；</w:t>
      </w:r>
    </w:p>
    <w:p w14:paraId="6CD5F311">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3不同投标人的投标文件载明的项目管理成员或者联系人员为同一人；</w:t>
      </w:r>
    </w:p>
    <w:p w14:paraId="3279EED1">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4不同投标人的投标文件异常一致或者投标报价呈规律性差异；</w:t>
      </w:r>
    </w:p>
    <w:p w14:paraId="2B72A9EE">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5不同投标人的投标文件相互混装；</w:t>
      </w:r>
    </w:p>
    <w:p w14:paraId="24BFDD25">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6不同投标人的投标保证金或购买电子保函支付款为从同一单位或个人的账户转出；</w:t>
      </w:r>
    </w:p>
    <w:p w14:paraId="78F840B1">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7投标人上传的电子投标文件使用该项目其他投标人的数字证书加密的或加盖该项目的其他投标人的电子印章的。</w:t>
      </w:r>
    </w:p>
    <w:p w14:paraId="469BC4FF">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 xml:space="preserve"> 说明：在评标过程中发现投标人有上述情形的，评标委员会应当认定其投标无效。同时，项目评审时被认定为串通投标的投标人不得参加该合同项下的采购活动。</w:t>
      </w:r>
    </w:p>
    <w:p w14:paraId="2F9E044B">
      <w:pPr>
        <w:pStyle w:val="48"/>
        <w:snapToGrid w:val="0"/>
        <w:spacing w:line="360" w:lineRule="auto"/>
        <w:ind w:left="0" w:leftChars="0" w:firstLine="0" w:firstLineChars="0"/>
        <w:outlineLvl w:val="1"/>
        <w:rPr>
          <w:rFonts w:hint="eastAsia" w:ascii="宋体" w:hAnsi="宋体" w:eastAsia="宋体" w:cs="宋体"/>
          <w:b/>
          <w:bCs/>
          <w:kern w:val="2"/>
          <w:sz w:val="21"/>
          <w:szCs w:val="24"/>
          <w:highlight w:val="none"/>
          <w:lang w:val="en-US" w:eastAsia="zh-CN" w:bidi="ar-SA"/>
        </w:rPr>
      </w:pPr>
      <w:r>
        <w:rPr>
          <w:rFonts w:hint="eastAsia" w:ascii="宋体" w:hAnsi="宋体" w:eastAsia="宋体" w:cs="宋体"/>
          <w:b/>
          <w:bCs/>
          <w:kern w:val="2"/>
          <w:sz w:val="21"/>
          <w:szCs w:val="24"/>
          <w:highlight w:val="none"/>
          <w:lang w:val="en-US" w:eastAsia="zh-CN" w:bidi="ar-SA"/>
        </w:rPr>
        <w:t>（九）评标过程的监控</w:t>
      </w:r>
      <w:bookmarkEnd w:id="104"/>
      <w:bookmarkEnd w:id="105"/>
    </w:p>
    <w:p w14:paraId="726ED71E">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本项目评标过程实行录像监控、照片记录，且由监标人员进行现场监督，评标过程中所发生的试图影响评标结果的不公正活动，可能导致其投标被拒绝。</w:t>
      </w:r>
    </w:p>
    <w:p w14:paraId="6CC6A991">
      <w:pPr>
        <w:pStyle w:val="6"/>
        <w:numPr>
          <w:ilvl w:val="0"/>
          <w:numId w:val="0"/>
        </w:numPr>
        <w:ind w:leftChars="-50" w:right="62" w:rightChars="0"/>
        <w:jc w:val="center"/>
        <w:rPr>
          <w:rFonts w:hint="eastAsia" w:ascii="宋体" w:hAnsi="宋体" w:eastAsia="宋体" w:cs="宋体"/>
          <w:b/>
          <w:bCs/>
          <w:color w:val="000000"/>
          <w:kern w:val="2"/>
          <w:sz w:val="28"/>
          <w:szCs w:val="28"/>
          <w:highlight w:val="none"/>
          <w:lang w:val="en-US" w:eastAsia="zh-CN" w:bidi="ar-SA"/>
        </w:rPr>
      </w:pPr>
      <w:bookmarkStart w:id="106" w:name="_Toc521014789"/>
      <w:bookmarkStart w:id="107" w:name="_Toc10823"/>
      <w:bookmarkStart w:id="108" w:name="_Toc2497"/>
      <w:bookmarkStart w:id="109" w:name="_Toc21069"/>
      <w:bookmarkStart w:id="110" w:name="_Toc26644"/>
      <w:bookmarkStart w:id="111" w:name="_Toc28372"/>
      <w:bookmarkStart w:id="112" w:name="_Toc503212221"/>
      <w:r>
        <w:rPr>
          <w:rFonts w:hint="eastAsia" w:ascii="宋体" w:hAnsi="宋体" w:eastAsia="宋体" w:cs="宋体"/>
          <w:b/>
          <w:bCs/>
          <w:color w:val="000000"/>
          <w:kern w:val="2"/>
          <w:sz w:val="28"/>
          <w:szCs w:val="28"/>
          <w:highlight w:val="none"/>
          <w:lang w:val="en-US" w:eastAsia="zh-CN" w:bidi="ar-SA"/>
        </w:rPr>
        <w:t>（六）定标</w:t>
      </w:r>
      <w:bookmarkEnd w:id="106"/>
      <w:bookmarkEnd w:id="107"/>
      <w:bookmarkEnd w:id="108"/>
      <w:bookmarkEnd w:id="109"/>
      <w:bookmarkEnd w:id="110"/>
      <w:bookmarkEnd w:id="111"/>
      <w:bookmarkEnd w:id="112"/>
    </w:p>
    <w:p w14:paraId="26BD4506">
      <w:pPr>
        <w:snapToGrid w:val="0"/>
        <w:spacing w:line="360" w:lineRule="auto"/>
        <w:ind w:left="10" w:leftChars="0" w:hanging="10" w:firstLineChars="0"/>
        <w:rPr>
          <w:rFonts w:hint="eastAsia" w:ascii="宋体" w:hAnsi="宋体" w:eastAsia="宋体" w:cs="宋体"/>
          <w:kern w:val="2"/>
          <w:sz w:val="21"/>
          <w:szCs w:val="24"/>
          <w:highlight w:val="none"/>
          <w:lang w:val="en-US" w:eastAsia="zh-CN" w:bidi="ar-SA"/>
        </w:rPr>
      </w:pPr>
      <w:r>
        <w:rPr>
          <w:rFonts w:hint="eastAsia" w:ascii="宋体" w:hAnsi="宋体" w:eastAsia="宋体" w:cs="宋体"/>
          <w:b/>
          <w:bCs/>
          <w:kern w:val="2"/>
          <w:sz w:val="21"/>
          <w:szCs w:val="24"/>
          <w:highlight w:val="none"/>
          <w:lang w:val="en-US" w:eastAsia="zh-CN" w:bidi="ar-SA"/>
        </w:rPr>
        <w:t>确定中标人：</w:t>
      </w:r>
      <w:r>
        <w:rPr>
          <w:rFonts w:hint="eastAsia" w:ascii="宋体" w:hAnsi="宋体" w:eastAsia="宋体" w:cs="宋体"/>
          <w:kern w:val="2"/>
          <w:sz w:val="21"/>
          <w:szCs w:val="24"/>
          <w:highlight w:val="none"/>
          <w:lang w:val="en-US" w:eastAsia="zh-CN" w:bidi="ar-SA"/>
        </w:rPr>
        <w:t>本项目由招标人根据评标结果排名第一位的候选人为中标人。</w:t>
      </w:r>
    </w:p>
    <w:p w14:paraId="3C8BF363">
      <w:pPr>
        <w:spacing w:line="360" w:lineRule="auto"/>
        <w:ind w:left="10" w:leftChars="0" w:hanging="10" w:firstLineChars="0"/>
        <w:jc w:val="left"/>
        <w:rPr>
          <w:rFonts w:hint="eastAsia" w:ascii="宋体" w:hAnsi="宋体" w:eastAsia="宋体" w:cs="宋体"/>
          <w:highlight w:val="none"/>
        </w:rPr>
      </w:pPr>
      <w:r>
        <w:rPr>
          <w:rFonts w:hint="eastAsia" w:ascii="宋体" w:hAnsi="宋体" w:eastAsia="宋体" w:cs="宋体"/>
          <w:b/>
          <w:bCs/>
          <w:highlight w:val="none"/>
        </w:rPr>
        <w:t>中标公告：</w:t>
      </w:r>
      <w:r>
        <w:rPr>
          <w:rFonts w:hint="eastAsia" w:ascii="宋体" w:hAnsi="宋体" w:eastAsia="宋体" w:cs="宋体"/>
          <w:highlight w:val="none"/>
        </w:rPr>
        <w:t>中标供应商确定之日起2个工作日内，采购人或采购代理机构将在中国政府采购网</w:t>
      </w:r>
      <w:r>
        <w:rPr>
          <w:rFonts w:hint="eastAsia" w:ascii="宋体" w:hAnsi="宋体" w:cs="宋体"/>
          <w:highlight w:val="none"/>
          <w:lang w:eastAsia="zh-CN"/>
        </w:rPr>
        <w:t>（</w:t>
      </w:r>
      <w:r>
        <w:rPr>
          <w:rFonts w:hint="eastAsia" w:ascii="宋体" w:hAnsi="宋体" w:eastAsia="宋体" w:cs="宋体"/>
          <w:highlight w:val="none"/>
        </w:rPr>
        <w:t>www.ccgp.gov.cn)、新疆政府采购网</w:t>
      </w:r>
      <w:r>
        <w:rPr>
          <w:rFonts w:hint="eastAsia" w:ascii="宋体" w:hAnsi="宋体" w:cs="宋体"/>
          <w:highlight w:val="none"/>
          <w:lang w:eastAsia="zh-CN"/>
        </w:rPr>
        <w:t>（</w:t>
      </w:r>
      <w:r>
        <w:rPr>
          <w:rFonts w:hint="eastAsia" w:ascii="宋体" w:hAnsi="宋体" w:eastAsia="宋体" w:cs="宋体"/>
          <w:highlight w:val="none"/>
        </w:rPr>
        <w:t>http://www.ccgp-xinjiang.gov.cn/</w:t>
      </w:r>
      <w:r>
        <w:rPr>
          <w:rFonts w:hint="eastAsia" w:ascii="宋体" w:hAnsi="宋体" w:cs="宋体"/>
          <w:highlight w:val="none"/>
          <w:lang w:eastAsia="zh-CN"/>
        </w:rPr>
        <w:t>）</w:t>
      </w:r>
      <w:r>
        <w:rPr>
          <w:rFonts w:hint="eastAsia" w:ascii="宋体" w:hAnsi="宋体" w:eastAsia="宋体" w:cs="宋体"/>
          <w:highlight w:val="none"/>
        </w:rPr>
        <w:t>上以公告的形式发布中标结果，中标公告的公告期限为 1个工作日。中标公告同时作为采购代理机构通知除中标供应商外的其他投标人没有中标的书面形式，采购代理机构不再以其它方式另行通知。</w:t>
      </w:r>
    </w:p>
    <w:p w14:paraId="5ACC5345">
      <w:pPr>
        <w:spacing w:line="360" w:lineRule="auto"/>
        <w:ind w:left="10" w:leftChars="0" w:hanging="10" w:firstLineChars="0"/>
        <w:jc w:val="left"/>
        <w:rPr>
          <w:rFonts w:hint="eastAsia" w:ascii="宋体" w:hAnsi="宋体" w:eastAsia="宋体" w:cs="宋体"/>
          <w:highlight w:val="none"/>
        </w:rPr>
      </w:pPr>
      <w:r>
        <w:rPr>
          <w:rFonts w:hint="eastAsia" w:ascii="宋体" w:hAnsi="宋体" w:eastAsia="宋体" w:cs="宋体"/>
          <w:b/>
          <w:bCs/>
          <w:highlight w:val="none"/>
        </w:rPr>
        <w:t>中标通知书：</w:t>
      </w:r>
      <w:r>
        <w:rPr>
          <w:rFonts w:hint="eastAsia" w:ascii="宋体" w:hAnsi="宋体" w:eastAsia="宋体" w:cs="宋体"/>
          <w:highlight w:val="none"/>
        </w:rPr>
        <w:t>中标通知书在发布中标公告时，同步发除中标通知书至中标供应商。中标通知书发出后，采购人不得违法改变中标结果，中标供应商不得放弃中标。中标供应商放弃中标的，应当依法承担相应的法律责任。</w:t>
      </w:r>
    </w:p>
    <w:p w14:paraId="515B9DF9">
      <w:pPr>
        <w:spacing w:line="360" w:lineRule="auto"/>
        <w:ind w:left="10" w:leftChars="0" w:hanging="10" w:firstLineChars="0"/>
        <w:jc w:val="left"/>
        <w:rPr>
          <w:rFonts w:hint="eastAsia" w:ascii="宋体" w:hAnsi="宋体" w:eastAsia="宋体" w:cs="宋体"/>
          <w:highlight w:val="none"/>
        </w:rPr>
      </w:pPr>
      <w:r>
        <w:rPr>
          <w:rFonts w:hint="eastAsia" w:ascii="宋体" w:hAnsi="宋体" w:eastAsia="宋体" w:cs="宋体"/>
          <w:b/>
          <w:bCs/>
          <w:highlight w:val="none"/>
        </w:rPr>
        <w:t>项目废标处理：</w:t>
      </w:r>
      <w:r>
        <w:rPr>
          <w:rFonts w:hint="eastAsia" w:ascii="宋体" w:hAnsi="宋体" w:eastAsia="宋体" w:cs="宋体"/>
          <w:highlight w:val="none"/>
        </w:rPr>
        <w:t>根据《中华人民共和国政府采购法》第三十六条及招标文件的约定，本项目或分包下列情况出现将作废标处理：</w:t>
      </w:r>
    </w:p>
    <w:p w14:paraId="1FED2FEF">
      <w:pPr>
        <w:spacing w:line="360" w:lineRule="auto"/>
        <w:ind w:left="10" w:leftChars="0" w:hanging="10" w:firstLineChars="0"/>
        <w:jc w:val="left"/>
        <w:rPr>
          <w:rFonts w:hint="eastAsia" w:ascii="宋体" w:hAnsi="宋体" w:eastAsia="宋体" w:cs="宋体"/>
          <w:highlight w:val="none"/>
        </w:rPr>
      </w:pPr>
      <w:r>
        <w:rPr>
          <w:rFonts w:hint="eastAsia" w:ascii="宋体" w:hAnsi="宋体" w:eastAsia="宋体" w:cs="宋体"/>
          <w:highlight w:val="none"/>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14:paraId="296BF07F">
      <w:pPr>
        <w:spacing w:line="360" w:lineRule="auto"/>
        <w:ind w:left="10" w:leftChars="0" w:hanging="10" w:firstLineChars="0"/>
        <w:jc w:val="left"/>
        <w:rPr>
          <w:rFonts w:hint="eastAsia" w:ascii="宋体" w:hAnsi="宋体" w:eastAsia="宋体" w:cs="宋体"/>
          <w:highlight w:val="none"/>
        </w:rPr>
      </w:pPr>
      <w:r>
        <w:rPr>
          <w:rFonts w:hint="eastAsia" w:ascii="宋体" w:hAnsi="宋体" w:eastAsia="宋体" w:cs="宋体"/>
          <w:highlight w:val="none"/>
        </w:rPr>
        <w:t>（2）出现影响采购公正的违法、违规行为的。</w:t>
      </w:r>
    </w:p>
    <w:p w14:paraId="19C23749">
      <w:pPr>
        <w:spacing w:line="360" w:lineRule="auto"/>
        <w:ind w:left="10" w:leftChars="0" w:hanging="10" w:firstLineChars="0"/>
        <w:jc w:val="left"/>
        <w:rPr>
          <w:rFonts w:hint="eastAsia" w:ascii="宋体" w:hAnsi="宋体" w:eastAsia="宋体" w:cs="宋体"/>
          <w:highlight w:val="none"/>
        </w:rPr>
      </w:pPr>
      <w:r>
        <w:rPr>
          <w:rFonts w:hint="eastAsia" w:ascii="宋体" w:hAnsi="宋体" w:eastAsia="宋体" w:cs="宋体"/>
          <w:highlight w:val="none"/>
        </w:rPr>
        <w:t>（3）投标人的报价均超过了采购预算，采购人不能支付的。</w:t>
      </w:r>
    </w:p>
    <w:p w14:paraId="45A0AC69">
      <w:pPr>
        <w:spacing w:line="360" w:lineRule="auto"/>
        <w:ind w:left="10" w:leftChars="0" w:hanging="10" w:firstLineChars="0"/>
        <w:jc w:val="left"/>
        <w:rPr>
          <w:rFonts w:hint="eastAsia" w:ascii="宋体" w:hAnsi="宋体" w:eastAsia="宋体" w:cs="宋体"/>
          <w:highlight w:val="none"/>
        </w:rPr>
      </w:pPr>
      <w:r>
        <w:rPr>
          <w:rFonts w:hint="eastAsia" w:ascii="宋体" w:hAnsi="宋体" w:eastAsia="宋体" w:cs="宋体"/>
          <w:highlight w:val="none"/>
        </w:rPr>
        <w:t>（4）因重大变故，采购任务取消的。</w:t>
      </w:r>
    </w:p>
    <w:p w14:paraId="7C333F0A">
      <w:pPr>
        <w:spacing w:line="360" w:lineRule="auto"/>
        <w:ind w:left="10" w:leftChars="0" w:hanging="10" w:firstLineChars="0"/>
        <w:jc w:val="left"/>
        <w:rPr>
          <w:rFonts w:hint="eastAsia" w:ascii="宋体" w:hAnsi="宋体" w:eastAsia="宋体" w:cs="宋体"/>
          <w:highlight w:val="none"/>
        </w:rPr>
      </w:pPr>
      <w:r>
        <w:rPr>
          <w:rFonts w:hint="eastAsia" w:ascii="宋体" w:hAnsi="宋体" w:eastAsia="宋体" w:cs="宋体"/>
          <w:highlight w:val="none"/>
        </w:rPr>
        <w:t>对废标的采购项目，评标委员会应出具采购文件是否存在不合理条款的论证意见。</w:t>
      </w:r>
    </w:p>
    <w:p w14:paraId="2A582848">
      <w:pPr>
        <w:spacing w:line="360" w:lineRule="auto"/>
        <w:ind w:firstLine="480"/>
        <w:jc w:val="left"/>
        <w:rPr>
          <w:rFonts w:hint="eastAsia" w:ascii="宋体" w:hAnsi="宋体" w:eastAsia="宋体" w:cs="宋体"/>
          <w:highlight w:val="none"/>
        </w:rPr>
      </w:pPr>
      <w:r>
        <w:rPr>
          <w:rFonts w:hint="eastAsia" w:ascii="宋体" w:hAnsi="宋体" w:eastAsia="宋体" w:cs="宋体"/>
          <w:b/>
          <w:bCs/>
          <w:highlight w:val="none"/>
        </w:rPr>
        <w:t>终止公告：</w:t>
      </w:r>
      <w:r>
        <w:rPr>
          <w:rFonts w:hint="eastAsia" w:ascii="宋体" w:hAnsi="宋体" w:eastAsia="宋体" w:cs="宋体"/>
          <w:highlight w:val="none"/>
        </w:rPr>
        <w:t>项目废标后，采购人或采购代理机构将在中国政府采购网</w:t>
      </w:r>
      <w:r>
        <w:rPr>
          <w:rFonts w:hint="eastAsia" w:ascii="宋体" w:hAnsi="宋体" w:cs="宋体"/>
          <w:highlight w:val="none"/>
          <w:lang w:eastAsia="zh-CN"/>
        </w:rPr>
        <w:t>（</w:t>
      </w:r>
      <w:r>
        <w:rPr>
          <w:rFonts w:hint="eastAsia" w:ascii="宋体" w:hAnsi="宋体" w:eastAsia="宋体" w:cs="宋体"/>
          <w:highlight w:val="none"/>
        </w:rPr>
        <w:t>www.ccgp.gov.cn)、新疆政府采购网</w:t>
      </w:r>
      <w:r>
        <w:rPr>
          <w:rFonts w:hint="eastAsia" w:ascii="宋体" w:hAnsi="宋体" w:cs="宋体"/>
          <w:highlight w:val="none"/>
          <w:lang w:eastAsia="zh-CN"/>
        </w:rPr>
        <w:t>（</w:t>
      </w:r>
      <w:r>
        <w:rPr>
          <w:rFonts w:hint="eastAsia" w:ascii="宋体" w:hAnsi="宋体" w:eastAsia="宋体" w:cs="宋体"/>
          <w:highlight w:val="none"/>
        </w:rPr>
        <w:t>http://www.ccgp-xinjiang.gov.cn/)、上发布终止公告，终止公告的公告期限为1个工作日。</w:t>
      </w:r>
    </w:p>
    <w:p w14:paraId="5C244D0D">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bookmarkStart w:id="113" w:name="_Toc503212222"/>
      <w:bookmarkStart w:id="114" w:name="_Toc11259"/>
      <w:bookmarkStart w:id="115" w:name="_Toc15327"/>
      <w:bookmarkStart w:id="116" w:name="_Toc20063"/>
      <w:bookmarkStart w:id="117" w:name="_Toc521014790"/>
    </w:p>
    <w:p w14:paraId="004E8705">
      <w:pPr>
        <w:snapToGrid w:val="0"/>
        <w:spacing w:line="360" w:lineRule="auto"/>
        <w:ind w:firstLine="562" w:firstLineChars="200"/>
        <w:jc w:val="center"/>
        <w:outlineLvl w:val="1"/>
        <w:rPr>
          <w:rFonts w:hint="eastAsia" w:ascii="宋体" w:hAnsi="宋体" w:eastAsia="宋体" w:cs="宋体"/>
          <w:color w:val="000000"/>
          <w:highlight w:val="none"/>
        </w:rPr>
      </w:pPr>
      <w:bookmarkStart w:id="118" w:name="_Toc20345"/>
      <w:bookmarkStart w:id="119" w:name="_Toc20117"/>
      <w:r>
        <w:rPr>
          <w:rFonts w:hint="eastAsia" w:ascii="宋体" w:hAnsi="宋体" w:eastAsia="宋体" w:cs="宋体"/>
          <w:b/>
          <w:bCs/>
          <w:color w:val="000000"/>
          <w:kern w:val="2"/>
          <w:sz w:val="28"/>
          <w:szCs w:val="28"/>
          <w:highlight w:val="none"/>
          <w:lang w:val="en-US" w:eastAsia="zh-CN" w:bidi="ar-SA"/>
        </w:rPr>
        <w:t>（七）合同授予</w:t>
      </w:r>
      <w:bookmarkEnd w:id="113"/>
      <w:bookmarkEnd w:id="114"/>
      <w:bookmarkEnd w:id="115"/>
      <w:bookmarkEnd w:id="116"/>
      <w:bookmarkEnd w:id="117"/>
      <w:bookmarkEnd w:id="118"/>
      <w:bookmarkEnd w:id="119"/>
    </w:p>
    <w:p w14:paraId="18800604">
      <w:pPr>
        <w:spacing w:line="360" w:lineRule="auto"/>
        <w:rPr>
          <w:rFonts w:hint="eastAsia" w:ascii="宋体" w:hAnsi="宋体" w:eastAsia="宋体" w:cs="宋体"/>
          <w:highlight w:val="none"/>
        </w:rPr>
      </w:pPr>
      <w:r>
        <w:rPr>
          <w:rFonts w:hint="eastAsia" w:ascii="宋体" w:hAnsi="宋体" w:eastAsia="宋体" w:cs="宋体"/>
          <w:b/>
          <w:sz w:val="24"/>
          <w:highlight w:val="none"/>
        </w:rPr>
        <w:t>1.合同签订</w:t>
      </w:r>
    </w:p>
    <w:p w14:paraId="45AA28CA">
      <w:pPr>
        <w:spacing w:line="360" w:lineRule="auto"/>
        <w:ind w:firstLine="480"/>
        <w:rPr>
          <w:rFonts w:hint="eastAsia" w:ascii="宋体" w:hAnsi="宋体" w:eastAsia="宋体" w:cs="宋体"/>
          <w:highlight w:val="none"/>
        </w:rPr>
      </w:pPr>
      <w:r>
        <w:rPr>
          <w:rFonts w:hint="eastAsia" w:ascii="宋体" w:hAnsi="宋体" w:eastAsia="宋体" w:cs="宋体"/>
          <w:highlight w:val="none"/>
        </w:rPr>
        <w:t>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新疆政府采购网，填报未能依法签订政府采购合同的具体原因、整改措施和预计签订合同时间等信息。</w:t>
      </w:r>
    </w:p>
    <w:p w14:paraId="3CE1C6CE">
      <w:pPr>
        <w:spacing w:line="360" w:lineRule="auto"/>
        <w:ind w:firstLine="480"/>
        <w:rPr>
          <w:rFonts w:hint="eastAsia" w:ascii="宋体" w:hAnsi="宋体" w:eastAsia="宋体" w:cs="宋体"/>
          <w:highlight w:val="none"/>
        </w:rPr>
      </w:pPr>
      <w:r>
        <w:rPr>
          <w:rFonts w:hint="eastAsia" w:ascii="宋体" w:hAnsi="宋体" w:eastAsia="宋体" w:cs="宋体"/>
          <w:highlight w:val="none"/>
        </w:rPr>
        <w:t>1.2采购人不得提出试用合格等任何不合理的要求作为签订合同的条件，且不得与中标供应商私下订立背离合同实质性内容的协议。</w:t>
      </w:r>
    </w:p>
    <w:p w14:paraId="719D2530">
      <w:pPr>
        <w:spacing w:line="360" w:lineRule="auto"/>
        <w:ind w:firstLine="480"/>
        <w:rPr>
          <w:rFonts w:hint="eastAsia" w:ascii="宋体" w:hAnsi="宋体" w:eastAsia="宋体" w:cs="宋体"/>
          <w:highlight w:val="none"/>
        </w:rPr>
      </w:pPr>
      <w:r>
        <w:rPr>
          <w:rFonts w:hint="eastAsia" w:ascii="宋体" w:hAnsi="宋体" w:eastAsia="宋体" w:cs="宋体"/>
          <w:highlight w:val="none"/>
        </w:rPr>
        <w:t>1.3采购人应当自政府采购合同签订之日起2个工作日内，将政府采购合同在省级以上人民政府财政部门指定的媒体上公告，但政府采购合同中涉及国家秘密、商业秘密的内容除外。</w:t>
      </w:r>
    </w:p>
    <w:p w14:paraId="03235DFC">
      <w:pPr>
        <w:spacing w:line="360" w:lineRule="auto"/>
        <w:ind w:firstLine="480"/>
        <w:rPr>
          <w:rFonts w:hint="eastAsia" w:ascii="宋体" w:hAnsi="宋体" w:eastAsia="宋体" w:cs="宋体"/>
          <w:highlight w:val="none"/>
        </w:rPr>
      </w:pPr>
      <w:r>
        <w:rPr>
          <w:rFonts w:hint="eastAsia" w:ascii="宋体" w:hAnsi="宋体" w:eastAsia="宋体" w:cs="宋体"/>
          <w:highlight w:val="none"/>
        </w:rPr>
        <w:t>1.4采购人应当自政府采购合同签订之日起2个工作日内，登录新疆政府采购网上传政府采购合同扫描版，如实填报政府采购合同的签订时间。依法签订的补充合同，也应在补充合同签订之日起2个工作日内公开并备案采购合同。</w:t>
      </w:r>
    </w:p>
    <w:p w14:paraId="166F8BB0">
      <w:pPr>
        <w:spacing w:line="360" w:lineRule="auto"/>
        <w:rPr>
          <w:rFonts w:hint="eastAsia" w:ascii="宋体" w:hAnsi="宋体" w:eastAsia="宋体" w:cs="宋体"/>
          <w:highlight w:val="none"/>
        </w:rPr>
      </w:pPr>
      <w:r>
        <w:rPr>
          <w:rFonts w:hint="eastAsia" w:ascii="宋体" w:hAnsi="宋体" w:eastAsia="宋体" w:cs="宋体"/>
          <w:b/>
          <w:sz w:val="24"/>
          <w:highlight w:val="none"/>
        </w:rPr>
        <w:t>2.合同的履行</w:t>
      </w:r>
    </w:p>
    <w:p w14:paraId="07F00E48">
      <w:pPr>
        <w:spacing w:line="360" w:lineRule="auto"/>
        <w:ind w:firstLine="480"/>
        <w:rPr>
          <w:rFonts w:hint="eastAsia" w:ascii="宋体" w:hAnsi="宋体" w:eastAsia="宋体" w:cs="宋体"/>
          <w:highlight w:val="none"/>
        </w:rPr>
      </w:pPr>
      <w:r>
        <w:rPr>
          <w:rFonts w:hint="eastAsia" w:ascii="宋体" w:hAnsi="宋体" w:eastAsia="宋体" w:cs="宋体"/>
          <w:highlight w:val="none"/>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34CF8EF2">
      <w:pPr>
        <w:spacing w:line="360" w:lineRule="auto"/>
        <w:ind w:firstLine="480"/>
        <w:rPr>
          <w:rFonts w:hint="eastAsia" w:ascii="宋体" w:hAnsi="宋体" w:eastAsia="宋体" w:cs="宋体"/>
          <w:highlight w:val="none"/>
        </w:rPr>
      </w:pPr>
      <w:r>
        <w:rPr>
          <w:rFonts w:hint="eastAsia" w:ascii="宋体" w:hAnsi="宋体" w:eastAsia="宋体" w:cs="宋体"/>
          <w:highlight w:val="none"/>
        </w:rP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新疆政府采购网上传备案。</w:t>
      </w:r>
    </w:p>
    <w:p w14:paraId="3CE6A951">
      <w:pPr>
        <w:spacing w:line="360" w:lineRule="auto"/>
        <w:ind w:firstLine="480"/>
        <w:rPr>
          <w:rFonts w:hint="eastAsia" w:ascii="宋体" w:hAnsi="宋体" w:eastAsia="宋体" w:cs="宋体"/>
          <w:highlight w:val="none"/>
        </w:rPr>
      </w:pPr>
      <w:r>
        <w:rPr>
          <w:rFonts w:hint="eastAsia" w:ascii="宋体" w:hAnsi="宋体" w:eastAsia="宋体" w:cs="宋体"/>
          <w:highlight w:val="none"/>
        </w:rPr>
        <w:t>2.3有融资要求的中标供应商可根据自身情况，在新疆政府采购网上自行选择金融机构及其融资产品，凭政府采购中标通知书或政府采购合同向金融机构提出融资申请。</w:t>
      </w:r>
    </w:p>
    <w:p w14:paraId="0E7C829E">
      <w:pPr>
        <w:snapToGrid w:val="0"/>
        <w:spacing w:line="360" w:lineRule="auto"/>
        <w:ind w:firstLine="562" w:firstLineChars="200"/>
        <w:jc w:val="center"/>
        <w:outlineLvl w:val="1"/>
        <w:rPr>
          <w:rFonts w:hint="eastAsia" w:ascii="宋体" w:hAnsi="宋体" w:eastAsia="宋体" w:cs="宋体"/>
          <w:b/>
          <w:bCs/>
          <w:color w:val="000000"/>
          <w:kern w:val="2"/>
          <w:sz w:val="28"/>
          <w:szCs w:val="28"/>
          <w:highlight w:val="none"/>
          <w:lang w:val="en-US" w:eastAsia="zh-CN" w:bidi="ar-SA"/>
        </w:rPr>
      </w:pPr>
      <w:bookmarkStart w:id="120" w:name="_Toc17664"/>
      <w:bookmarkStart w:id="121" w:name="_Toc115436070"/>
      <w:bookmarkStart w:id="122" w:name="_Toc18703"/>
      <w:bookmarkStart w:id="123" w:name="_Toc28496"/>
      <w:r>
        <w:rPr>
          <w:rFonts w:hint="eastAsia" w:ascii="宋体" w:hAnsi="宋体" w:eastAsia="宋体" w:cs="宋体"/>
          <w:b/>
          <w:bCs/>
          <w:color w:val="000000"/>
          <w:kern w:val="2"/>
          <w:sz w:val="28"/>
          <w:szCs w:val="28"/>
          <w:highlight w:val="none"/>
          <w:lang w:val="en-US" w:eastAsia="zh-CN" w:bidi="ar-SA"/>
        </w:rPr>
        <w:t>（八）法律责任</w:t>
      </w:r>
      <w:bookmarkEnd w:id="120"/>
      <w:bookmarkEnd w:id="121"/>
    </w:p>
    <w:p w14:paraId="74CA51D4">
      <w:pPr>
        <w:shd w:val="clear" w:color="auto" w:fill="auto"/>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法律责任</w:t>
      </w:r>
    </w:p>
    <w:p w14:paraId="0CA402B9">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 xml:space="preserve">1.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14:paraId="267BBE26">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 xml:space="preserve">　 （一）提供虚假材料谋取中标的； </w:t>
      </w:r>
    </w:p>
    <w:p w14:paraId="2E06FD8A">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　 （二）采取不正当手段诋毁、排挤其他投标人的；</w:t>
      </w:r>
    </w:p>
    <w:p w14:paraId="22AE023F">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 xml:space="preserve">   （三）与招标人、采购人、其他投标人恶意串通的； </w:t>
      </w:r>
    </w:p>
    <w:p w14:paraId="20E9AA3A">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 xml:space="preserve">   （四）向招标人、采购人行贿或者提供其他不正当利益的； </w:t>
      </w:r>
    </w:p>
    <w:p w14:paraId="5C9F1C3C">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 xml:space="preserve">　 （五）在招标过程中与招标人、采购人进行协商谈判、不按照招标文件、投标文件订立合同，或者与采购人另行订立背离合同实质性内容的协议的； </w:t>
      </w:r>
    </w:p>
    <w:p w14:paraId="3FD437CE">
      <w:pPr>
        <w:pStyle w:val="48"/>
        <w:snapToGri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 xml:space="preserve">　 （六）拒绝有关部门监督检查或者提供虚假情况的。 </w:t>
      </w:r>
    </w:p>
    <w:p w14:paraId="6B46B884">
      <w:pPr>
        <w:pStyle w:val="48"/>
        <w:snapToGrid w:val="0"/>
        <w:spacing w:line="360" w:lineRule="auto"/>
        <w:ind w:left="0" w:leftChars="0"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 xml:space="preserve">　投标人有前款第（一）至（五）项情形之一的，中标无效。 </w:t>
      </w:r>
    </w:p>
    <w:p w14:paraId="5476D56E">
      <w:pPr>
        <w:pStyle w:val="48"/>
        <w:snapToGrid w:val="0"/>
        <w:spacing w:line="360" w:lineRule="auto"/>
        <w:ind w:left="0" w:leftChars="0"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2.中标人有下列情形之一的，招标人不予退还其交纳的投标保证金；情节严重的，由财政部门将其列入不良行为记录名单，在一至三年内禁止参加政府采购活动，并予以通报：</w:t>
      </w:r>
    </w:p>
    <w:p w14:paraId="5DD698E6">
      <w:pPr>
        <w:pStyle w:val="48"/>
        <w:snapToGrid w:val="0"/>
        <w:spacing w:line="360" w:lineRule="auto"/>
        <w:ind w:left="0" w:leftChars="0"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（一）中标后无正当理由不与采购人签订合同的；</w:t>
      </w:r>
    </w:p>
    <w:p w14:paraId="53972E2A">
      <w:pPr>
        <w:pStyle w:val="48"/>
        <w:snapToGrid w:val="0"/>
        <w:spacing w:line="360" w:lineRule="auto"/>
        <w:ind w:left="0" w:leftChars="0"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（二）将中标项目转让给他人，或者在投标文件中未说明，且未经招标人同意，将中标项目分包给他人的；</w:t>
      </w:r>
    </w:p>
    <w:p w14:paraId="2AB9D6D2">
      <w:pPr>
        <w:pStyle w:val="48"/>
        <w:snapToGrid w:val="0"/>
        <w:spacing w:line="360" w:lineRule="auto"/>
        <w:ind w:left="210" w:leftChars="100" w:firstLine="315" w:firstLineChars="15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（三）拒绝履行合同义务的。</w:t>
      </w:r>
    </w:p>
    <w:p w14:paraId="0CEB8B26">
      <w:pPr>
        <w:numPr>
          <w:ilvl w:val="0"/>
          <w:numId w:val="0"/>
        </w:numPr>
        <w:shd w:val="clear" w:color="auto" w:fill="auto"/>
        <w:spacing w:line="460" w:lineRule="exact"/>
        <w:ind w:leftChars="-50" w:right="62" w:rightChars="0"/>
        <w:jc w:val="center"/>
        <w:outlineLvl w:val="1"/>
        <w:rPr>
          <w:rFonts w:hint="eastAsia" w:ascii="宋体" w:hAnsi="宋体" w:eastAsia="宋体" w:cs="宋体"/>
          <w:b/>
          <w:color w:val="auto"/>
          <w:sz w:val="28"/>
          <w:szCs w:val="28"/>
          <w:highlight w:val="none"/>
        </w:rPr>
      </w:pPr>
      <w:bookmarkStart w:id="124" w:name="_Toc115436071"/>
      <w:bookmarkStart w:id="125" w:name="_Toc5688"/>
      <w:r>
        <w:rPr>
          <w:rFonts w:hint="eastAsia" w:ascii="宋体" w:hAnsi="宋体" w:eastAsia="宋体" w:cs="宋体"/>
          <w:b/>
          <w:bCs/>
          <w:color w:val="000000"/>
          <w:kern w:val="2"/>
          <w:sz w:val="28"/>
          <w:szCs w:val="28"/>
          <w:highlight w:val="none"/>
          <w:lang w:val="en-US" w:eastAsia="zh-CN" w:bidi="ar-SA"/>
        </w:rPr>
        <w:t>（九）</w:t>
      </w:r>
      <w:r>
        <w:rPr>
          <w:rFonts w:hint="eastAsia" w:ascii="宋体" w:hAnsi="宋体" w:eastAsia="宋体" w:cs="宋体"/>
          <w:b/>
          <w:color w:val="auto"/>
          <w:sz w:val="28"/>
          <w:szCs w:val="28"/>
          <w:highlight w:val="none"/>
        </w:rPr>
        <w:t>特别提示</w:t>
      </w:r>
      <w:bookmarkEnd w:id="122"/>
      <w:bookmarkEnd w:id="123"/>
      <w:bookmarkEnd w:id="124"/>
      <w:bookmarkEnd w:id="125"/>
    </w:p>
    <w:p w14:paraId="4D4F7DF6">
      <w:pPr>
        <w:shd w:val="clear" w:color="auto" w:fill="auto"/>
        <w:spacing w:line="46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1、投标人应认真研读招标文件，充分考虑招标文件中的技术要求和合同条款后编制投标文件。</w:t>
      </w:r>
    </w:p>
    <w:p w14:paraId="00CEDC4F">
      <w:pPr>
        <w:shd w:val="clear" w:color="auto" w:fill="auto"/>
        <w:spacing w:line="46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2、如招标文件中未提供的各类表格样式，投标人可另行设计表格样式，但力求内容完整，表达清晰、准确。</w:t>
      </w:r>
    </w:p>
    <w:p w14:paraId="74B730C9">
      <w:pPr>
        <w:shd w:val="clear" w:color="auto" w:fill="auto"/>
        <w:spacing w:line="46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 xml:space="preserve">3、本项目实行网上投标，采用电子投标文件。若供应商参与投标，自行承担投标一切费用。 </w:t>
      </w:r>
    </w:p>
    <w:p w14:paraId="43482C01">
      <w:pPr>
        <w:shd w:val="clear" w:color="auto" w:fill="auto"/>
        <w:spacing w:line="46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 xml:space="preserve">4、各供应商应在开标前应确保成为正式注册入库供应商，并完成CA数字证书申领。因未注册入库、未办理CA数字证书等原因造成无法投标或投标失败等后果由供应商自行承担。 </w:t>
      </w:r>
    </w:p>
    <w:p w14:paraId="63C5E6E9">
      <w:pPr>
        <w:shd w:val="clear" w:color="auto" w:fill="auto"/>
        <w:spacing w:line="46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5、本项目为电子招投标，投标人需要使用CA加密设备，有意向参与新疆区域电子开评标的供应商，请访问新疆数字证书认证中心官方网站（https://www.xjca.com.cn/）或下载</w:t>
      </w:r>
      <w:r>
        <w:rPr>
          <w:rFonts w:hint="eastAsia" w:ascii="宋体" w:hAnsi="宋体" w:cs="宋体"/>
          <w:kern w:val="2"/>
          <w:sz w:val="21"/>
          <w:szCs w:val="24"/>
          <w:highlight w:val="none"/>
          <w:lang w:val="en-US" w:eastAsia="zh-CN" w:bidi="ar-SA"/>
        </w:rPr>
        <w:t>；</w:t>
      </w:r>
      <w:r>
        <w:rPr>
          <w:rFonts w:hint="eastAsia" w:ascii="宋体" w:hAnsi="宋体" w:eastAsia="宋体" w:cs="宋体"/>
          <w:kern w:val="2"/>
          <w:sz w:val="21"/>
          <w:szCs w:val="24"/>
          <w:highlight w:val="none"/>
          <w:lang w:val="en-US" w:eastAsia="zh-CN" w:bidi="ar-SA"/>
        </w:rPr>
        <w:t>“新疆政务通”APP自行进行申领。如需咨询，请联系新疆CA服务热线0991-2819290</w:t>
      </w:r>
    </w:p>
    <w:p w14:paraId="2C5AA0B8">
      <w:pPr>
        <w:shd w:val="clear" w:color="auto" w:fill="auto"/>
        <w:spacing w:line="46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6、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5081DA9D">
      <w:pPr>
        <w:shd w:val="clear" w:color="auto" w:fill="auto"/>
        <w:spacing w:line="46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7、本招标文件是根据《中华人民共和国招标投标法》规定编制的，解释权属</w:t>
      </w:r>
      <w:r>
        <w:rPr>
          <w:rFonts w:hint="eastAsia" w:ascii="宋体" w:hAnsi="宋体" w:cs="宋体"/>
          <w:kern w:val="2"/>
          <w:sz w:val="21"/>
          <w:szCs w:val="24"/>
          <w:highlight w:val="none"/>
          <w:lang w:val="en-US" w:eastAsia="zh-CN" w:bidi="ar-SA"/>
        </w:rPr>
        <w:t>新疆浩诚致远项目管理咨询有限公司</w:t>
      </w:r>
      <w:r>
        <w:rPr>
          <w:rFonts w:hint="eastAsia" w:ascii="宋体" w:hAnsi="宋体" w:eastAsia="宋体" w:cs="宋体"/>
          <w:kern w:val="2"/>
          <w:sz w:val="21"/>
          <w:szCs w:val="24"/>
          <w:highlight w:val="none"/>
          <w:lang w:val="en-US" w:eastAsia="zh-CN" w:bidi="ar-SA"/>
        </w:rPr>
        <w:t>。</w:t>
      </w:r>
    </w:p>
    <w:p w14:paraId="68A43955">
      <w:pPr>
        <w:numPr>
          <w:ilvl w:val="0"/>
          <w:numId w:val="0"/>
        </w:numPr>
        <w:shd w:val="clear" w:color="auto" w:fill="auto"/>
        <w:spacing w:line="460" w:lineRule="exact"/>
        <w:ind w:leftChars="-50" w:right="62" w:rightChars="0"/>
        <w:jc w:val="center"/>
        <w:outlineLvl w:val="1"/>
        <w:rPr>
          <w:rFonts w:hint="eastAsia" w:ascii="宋体" w:hAnsi="宋体" w:eastAsia="宋体" w:cs="宋体"/>
          <w:b/>
          <w:color w:val="auto"/>
          <w:sz w:val="28"/>
          <w:szCs w:val="28"/>
          <w:highlight w:val="none"/>
        </w:rPr>
      </w:pPr>
      <w:bookmarkStart w:id="126" w:name="_Toc115436072"/>
      <w:bookmarkStart w:id="127" w:name="_Toc4516"/>
      <w:r>
        <w:rPr>
          <w:rFonts w:hint="eastAsia" w:ascii="宋体" w:hAnsi="宋体" w:eastAsia="宋体" w:cs="宋体"/>
          <w:b/>
          <w:bCs/>
          <w:color w:val="000000"/>
          <w:kern w:val="2"/>
          <w:sz w:val="28"/>
          <w:szCs w:val="28"/>
          <w:highlight w:val="none"/>
          <w:lang w:val="en-US" w:eastAsia="zh-CN" w:bidi="ar-SA"/>
        </w:rPr>
        <w:t>（十）</w:t>
      </w:r>
      <w:r>
        <w:rPr>
          <w:rFonts w:hint="eastAsia" w:ascii="宋体" w:hAnsi="宋体" w:eastAsia="宋体" w:cs="宋体"/>
          <w:b/>
          <w:color w:val="auto"/>
          <w:sz w:val="28"/>
          <w:szCs w:val="28"/>
          <w:highlight w:val="none"/>
        </w:rPr>
        <w:t>重新招标和其他方式采购</w:t>
      </w:r>
      <w:bookmarkEnd w:id="126"/>
      <w:bookmarkEnd w:id="127"/>
    </w:p>
    <w:p w14:paraId="6BADBDA7">
      <w:pPr>
        <w:shd w:val="clear" w:color="auto" w:fill="auto"/>
        <w:spacing w:line="46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1.重新招标</w:t>
      </w:r>
    </w:p>
    <w:p w14:paraId="660E2389">
      <w:pPr>
        <w:shd w:val="clear" w:color="auto" w:fill="auto"/>
        <w:spacing w:line="46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1.1在招标采购中，出现下列情形之一的，应当在废标后重新招标：</w:t>
      </w:r>
    </w:p>
    <w:p w14:paraId="711394D0">
      <w:pPr>
        <w:shd w:val="clear" w:color="auto" w:fill="auto"/>
        <w:spacing w:line="46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　（1）符合专业条件的供应商或者对招标文件作实质响应的供应商不足三家的；</w:t>
      </w:r>
    </w:p>
    <w:p w14:paraId="65B4F2DA">
      <w:pPr>
        <w:shd w:val="clear" w:color="auto" w:fill="auto"/>
        <w:spacing w:line="46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　（2）出现影响采购公正的违法、违规行为的；</w:t>
      </w:r>
    </w:p>
    <w:p w14:paraId="41D0C226">
      <w:pPr>
        <w:shd w:val="clear" w:color="auto" w:fill="auto"/>
        <w:spacing w:line="46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　（3）投标人的报价均超过了采购预算，采购人不能支付的；</w:t>
      </w:r>
    </w:p>
    <w:p w14:paraId="0EAF9A97">
      <w:pPr>
        <w:shd w:val="clear" w:color="auto" w:fill="auto"/>
        <w:spacing w:line="46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　（4）因重大变故，采购任务取消的。</w:t>
      </w:r>
    </w:p>
    <w:p w14:paraId="1507B8BD">
      <w:pPr>
        <w:shd w:val="clear" w:color="auto" w:fill="auto"/>
        <w:spacing w:line="46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1.2如果排名第一、二的中标候选人，直至排名第三的中标候选人因不可抗力或自身原因放弃中标结果，本次招标宣布失败。招标人应依法按规定重新组织招标。</w:t>
      </w:r>
    </w:p>
    <w:p w14:paraId="2ABCFB7F">
      <w:pPr>
        <w:shd w:val="clear" w:color="auto" w:fill="auto"/>
        <w:spacing w:line="46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2其他方式采购</w:t>
      </w:r>
    </w:p>
    <w:p w14:paraId="53D3B135">
      <w:pPr>
        <w:shd w:val="clear" w:color="auto" w:fill="auto"/>
        <w:spacing w:line="46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2.1需要采取其他方式采购的，应当在采购活动开始前获得设区的市、自治州以上人民政府采购监督管理部门或者政府有关部门批准。</w:t>
      </w:r>
    </w:p>
    <w:p w14:paraId="4F837674">
      <w:pPr>
        <w:shd w:val="clear" w:color="auto" w:fill="auto"/>
        <w:spacing w:line="460" w:lineRule="exact"/>
        <w:jc w:val="center"/>
        <w:outlineLvl w:val="1"/>
        <w:rPr>
          <w:rFonts w:hint="eastAsia" w:ascii="宋体" w:hAnsi="宋体" w:eastAsia="宋体" w:cs="宋体"/>
          <w:color w:val="auto"/>
          <w:sz w:val="24"/>
          <w:highlight w:val="none"/>
          <w:lang w:val="en-US" w:eastAsia="zh-CN"/>
        </w:rPr>
      </w:pPr>
      <w:bookmarkStart w:id="128" w:name="_Toc115436073"/>
      <w:bookmarkStart w:id="129" w:name="_Toc2805"/>
      <w:bookmarkStart w:id="130" w:name="_Toc13351"/>
      <w:bookmarkStart w:id="131" w:name="_Toc26775"/>
      <w:r>
        <w:rPr>
          <w:rFonts w:hint="eastAsia" w:ascii="宋体" w:hAnsi="宋体" w:eastAsia="宋体" w:cs="宋体"/>
          <w:b/>
          <w:bCs/>
          <w:color w:val="000000"/>
          <w:kern w:val="2"/>
          <w:sz w:val="28"/>
          <w:szCs w:val="28"/>
          <w:highlight w:val="none"/>
          <w:lang w:val="en-US" w:eastAsia="zh-CN" w:bidi="ar-SA"/>
        </w:rPr>
        <w:t>（十</w:t>
      </w:r>
      <w:r>
        <w:rPr>
          <w:rFonts w:hint="eastAsia" w:ascii="宋体" w:hAnsi="宋体" w:eastAsia="宋体" w:cs="宋体"/>
          <w:b/>
          <w:color w:val="auto"/>
          <w:sz w:val="28"/>
          <w:szCs w:val="28"/>
          <w:highlight w:val="none"/>
        </w:rPr>
        <w:t>一</w:t>
      </w:r>
      <w:r>
        <w:rPr>
          <w:rFonts w:hint="eastAsia" w:ascii="宋体" w:hAnsi="宋体" w:eastAsia="宋体" w:cs="宋体"/>
          <w:b/>
          <w:bCs/>
          <w:color w:val="000000"/>
          <w:kern w:val="2"/>
          <w:sz w:val="28"/>
          <w:szCs w:val="28"/>
          <w:highlight w:val="none"/>
          <w:lang w:val="en-US" w:eastAsia="zh-CN" w:bidi="ar-SA"/>
        </w:rPr>
        <w:t>）</w:t>
      </w:r>
      <w:r>
        <w:rPr>
          <w:rFonts w:hint="eastAsia" w:ascii="宋体" w:hAnsi="宋体" w:eastAsia="宋体" w:cs="宋体"/>
          <w:b/>
          <w:color w:val="auto"/>
          <w:sz w:val="28"/>
          <w:highlight w:val="none"/>
        </w:rPr>
        <w:t>质疑及答复</w:t>
      </w:r>
      <w:bookmarkEnd w:id="128"/>
      <w:bookmarkEnd w:id="129"/>
      <w:bookmarkEnd w:id="130"/>
      <w:bookmarkEnd w:id="131"/>
      <w:r>
        <w:rPr>
          <w:rFonts w:hint="eastAsia" w:ascii="宋体" w:hAnsi="宋体" w:eastAsia="宋体" w:cs="宋体"/>
          <w:b/>
          <w:color w:val="auto"/>
          <w:sz w:val="28"/>
          <w:highlight w:val="none"/>
          <w:lang w:eastAsia="zh-CN"/>
        </w:rPr>
        <w:t>、</w:t>
      </w:r>
      <w:r>
        <w:rPr>
          <w:rFonts w:hint="eastAsia" w:ascii="宋体" w:hAnsi="宋体" w:eastAsia="宋体" w:cs="宋体"/>
          <w:b/>
          <w:color w:val="auto"/>
          <w:sz w:val="28"/>
          <w:highlight w:val="none"/>
          <w:lang w:val="en-US" w:eastAsia="zh-CN"/>
        </w:rPr>
        <w:t>投诉</w:t>
      </w:r>
    </w:p>
    <w:p w14:paraId="2EADF7C4">
      <w:pPr>
        <w:shd w:val="clear" w:color="auto" w:fill="auto"/>
        <w:spacing w:line="40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、质疑的提出</w:t>
      </w:r>
      <w:r>
        <w:rPr>
          <w:rFonts w:hint="eastAsia" w:ascii="宋体" w:hAnsi="宋体" w:eastAsia="宋体" w:cs="宋体"/>
          <w:color w:val="auto"/>
          <w:sz w:val="21"/>
          <w:szCs w:val="21"/>
          <w:highlight w:val="none"/>
        </w:rPr>
        <w:tab/>
      </w:r>
    </w:p>
    <w:p w14:paraId="0041BED2">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 本采购文件中所称质疑及答复，是指参加本次采购活动的供应商对政府采购活动中的采购文件、采购过程和中标结果向采购方</w:t>
      </w:r>
      <w:r>
        <w:rPr>
          <w:rFonts w:hint="eastAsia" w:ascii="宋体" w:hAnsi="宋体" w:eastAsia="宋体" w:cs="宋体"/>
          <w:color w:val="auto"/>
          <w:sz w:val="21"/>
          <w:szCs w:val="21"/>
          <w:highlight w:val="none"/>
          <w:lang w:eastAsia="zh-CN"/>
        </w:rPr>
        <w:t>一次性</w:t>
      </w:r>
      <w:r>
        <w:rPr>
          <w:rFonts w:hint="eastAsia" w:ascii="宋体" w:hAnsi="宋体" w:eastAsia="宋体" w:cs="宋体"/>
          <w:color w:val="auto"/>
          <w:sz w:val="21"/>
          <w:szCs w:val="21"/>
          <w:highlight w:val="none"/>
        </w:rPr>
        <w:t>提出质疑，采购方答复质疑的行为。</w:t>
      </w:r>
    </w:p>
    <w:p w14:paraId="1DDC2035">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 供应商认为采购文件、采购过程和中标结果使自己的权益受到损害的，可以在知道或者应知其权益受到损害之日起 7 个工作日内，以书面形式</w:t>
      </w:r>
      <w:r>
        <w:rPr>
          <w:rFonts w:hint="eastAsia" w:ascii="宋体" w:hAnsi="宋体" w:eastAsia="宋体" w:cs="宋体"/>
          <w:color w:val="auto"/>
          <w:sz w:val="21"/>
          <w:szCs w:val="21"/>
          <w:highlight w:val="none"/>
          <w:lang w:eastAsia="zh-CN"/>
        </w:rPr>
        <w:t>一次性</w:t>
      </w:r>
      <w:r>
        <w:rPr>
          <w:rFonts w:hint="eastAsia" w:ascii="宋体" w:hAnsi="宋体" w:eastAsia="宋体" w:cs="宋体"/>
          <w:color w:val="auto"/>
          <w:sz w:val="21"/>
          <w:szCs w:val="21"/>
          <w:highlight w:val="none"/>
        </w:rPr>
        <w:t>向采购方提出质疑。</w:t>
      </w:r>
    </w:p>
    <w:p w14:paraId="3F518C9D">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供应商应知其权益受到损害之日，是指：</w:t>
      </w:r>
    </w:p>
    <w:p w14:paraId="5DFFFABE">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（一）对可以质疑的采购文件提出质疑的，为收到采购文件之日或者采购文件公告期限届满之日；</w:t>
      </w:r>
    </w:p>
    <w:p w14:paraId="1DDEFE4C">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（二）对采购过程提出质疑的，为各采购程序环节结束之日；</w:t>
      </w:r>
    </w:p>
    <w:p w14:paraId="5A3818AE">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（三）对中标结果提出质疑的，为中标结果公告期限届满之日。</w:t>
      </w:r>
    </w:p>
    <w:p w14:paraId="46C4D14D">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 xml:space="preserve"> 对可以质疑的采购文件提出质疑的，质疑人为参与本项目的报价方或潜在报价方。可质疑的文件为采购公告以及采购文件（包括属于其组成部分的澄清、修改、补充文件和评审标准、合同文本等）。</w:t>
      </w:r>
    </w:p>
    <w:p w14:paraId="7B19ABCB">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 xml:space="preserve"> 对采购过程和中标结果提出质疑的，质疑人为直接参与本项目的报价方。采购过程</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即从采购项目信息公告发布起到中标结果公告止，包括采购文件的发出、提交投标文件、投标文件开启、评审等各个采购程序环节。</w:t>
      </w:r>
    </w:p>
    <w:p w14:paraId="0DF9CE7F">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 xml:space="preserve">  提出质疑应当符合下列条件：</w:t>
      </w:r>
    </w:p>
    <w:p w14:paraId="4C122591">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（一）质疑主体应当符合有关规定；</w:t>
      </w:r>
    </w:p>
    <w:p w14:paraId="6ECA96B4">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（二）在质疑法定期限内提出；</w:t>
      </w:r>
    </w:p>
    <w:p w14:paraId="7DD4C4B4">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（三）属于可以提出质疑的政府采购事项受理范围和本项目采购人的管辖权范围；</w:t>
      </w:r>
    </w:p>
    <w:p w14:paraId="7C4E7031">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（四）政府采购</w:t>
      </w:r>
      <w:r>
        <w:rPr>
          <w:rFonts w:hint="eastAsia" w:ascii="宋体" w:hAnsi="宋体" w:cs="宋体"/>
          <w:color w:val="auto"/>
          <w:sz w:val="21"/>
          <w:szCs w:val="21"/>
          <w:highlight w:val="none"/>
          <w:lang w:eastAsia="zh-CN"/>
        </w:rPr>
        <w:t>法律法规</w:t>
      </w:r>
      <w:r>
        <w:rPr>
          <w:rFonts w:hint="eastAsia" w:ascii="宋体" w:hAnsi="宋体" w:eastAsia="宋体" w:cs="宋体"/>
          <w:color w:val="auto"/>
          <w:sz w:val="21"/>
          <w:szCs w:val="21"/>
          <w:highlight w:val="none"/>
        </w:rPr>
        <w:t>、规章规定的其他条件。</w:t>
      </w:r>
    </w:p>
    <w:p w14:paraId="196F9E1B">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 xml:space="preserve"> 提出质疑应当具有明确的请求和提供必要的证明材料。明确的请求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即质疑人在质疑函中提出的，要求采购方对其予以支持的主张。必要的证明材料</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即能够证明质疑人的质疑请求成立的必要材料，包括相关证据、依据和其他有关材料。</w:t>
      </w:r>
    </w:p>
    <w:p w14:paraId="571DFB90">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 xml:space="preserve"> 质疑人所提供的证明材料应当具有真实性、合法性以及与质疑事项的关联性和证明力，否则不能作为认定该质疑事项成立的依据。</w:t>
      </w:r>
    </w:p>
    <w:p w14:paraId="2106DD30">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 xml:space="preserve"> 质疑人提出质疑时应当提交质疑函。质疑函包括下列内容：</w:t>
      </w:r>
    </w:p>
    <w:p w14:paraId="067CD18D">
      <w:pPr>
        <w:shd w:val="clear" w:color="auto" w:fill="auto"/>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（一）提出质疑的质疑人的名称、地址、邮编、联系人及联系电话等；</w:t>
      </w:r>
    </w:p>
    <w:p w14:paraId="5206C34F">
      <w:pPr>
        <w:shd w:val="clear" w:color="auto" w:fill="auto"/>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（二）质疑项目的名称、编号；</w:t>
      </w:r>
    </w:p>
    <w:p w14:paraId="4E37E13C">
      <w:pPr>
        <w:shd w:val="clear" w:color="auto" w:fill="auto"/>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（三）质疑事项；</w:t>
      </w:r>
    </w:p>
    <w:p w14:paraId="2CC879E3">
      <w:pPr>
        <w:shd w:val="clear" w:color="auto" w:fill="auto"/>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（四）事实依据和证明材料；</w:t>
      </w:r>
    </w:p>
    <w:p w14:paraId="75A0B216">
      <w:pPr>
        <w:shd w:val="clear" w:color="auto" w:fill="auto"/>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（五）法律依据；</w:t>
      </w:r>
    </w:p>
    <w:p w14:paraId="378209D5">
      <w:pPr>
        <w:shd w:val="clear" w:color="auto" w:fill="auto"/>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（六）提出质疑的日期。</w:t>
      </w:r>
    </w:p>
    <w:p w14:paraId="1398B51E">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1.10</w:t>
      </w:r>
      <w:r>
        <w:rPr>
          <w:rFonts w:hint="eastAsia" w:ascii="宋体" w:hAnsi="宋体" w:eastAsia="宋体" w:cs="宋体"/>
          <w:color w:val="auto"/>
          <w:sz w:val="21"/>
          <w:szCs w:val="21"/>
          <w:highlight w:val="none"/>
        </w:rPr>
        <w:t xml:space="preserve">  质疑函采用实名制。质疑人为自然人的应当由本人签字，并附有效身份证明文件；质疑人为法人或者非法人组织的应当由法定代表人或者负责人签字并加盖公章，并附有效身份证明文件。</w:t>
      </w:r>
    </w:p>
    <w:p w14:paraId="16EE81F8">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w:t>
      </w:r>
      <w:r>
        <w:rPr>
          <w:rFonts w:hint="eastAsia" w:ascii="宋体" w:hAnsi="宋体" w:eastAsia="宋体" w:cs="宋体"/>
          <w:color w:val="auto"/>
          <w:sz w:val="21"/>
          <w:szCs w:val="21"/>
          <w:highlight w:val="none"/>
        </w:rPr>
        <w:t xml:space="preserve"> 质疑人可以委托代理人进行质疑。代理人应当提交授权委托书。授权委托书应当载明委托代理的具体权限、期限和相关事项。</w:t>
      </w:r>
    </w:p>
    <w:p w14:paraId="4FD7F5B2">
      <w:pPr>
        <w:shd w:val="clear" w:color="auto" w:fill="auto"/>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、质疑的审查和受理</w:t>
      </w:r>
    </w:p>
    <w:p w14:paraId="0F4B9939">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 采购方在收到质疑函后应当及时审查是否符合质疑受理条件，对符合质疑受理条件的，及时予以受理。</w:t>
      </w:r>
    </w:p>
    <w:p w14:paraId="4807B971">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.2对不符合质疑受理条件的，分别按照下列不同情形予以处理：</w:t>
      </w:r>
    </w:p>
    <w:p w14:paraId="311C9A59">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（一）质疑函内容不符合规定的，告知质疑人进行修改并重新提出质疑。修改后质疑事项仍不具体、不明确或者最终递交质疑函的时间超过质疑法定期限的，不予受理；</w:t>
      </w:r>
    </w:p>
    <w:p w14:paraId="0BEE44B9">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（二）质疑主体不符合有关规定的，告知质疑人不予受理；</w:t>
      </w:r>
    </w:p>
    <w:p w14:paraId="2C3A03D4">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（三）超过质疑法定期限提出质疑的，告知质疑人不予受理；</w:t>
      </w:r>
    </w:p>
    <w:p w14:paraId="5088997B">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（四）对不属于可以提出质疑的政府采购事项提出质疑的，告知质疑人不予受理；</w:t>
      </w:r>
    </w:p>
    <w:p w14:paraId="3028AD4F">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（五）质疑不属于本项目采购方管辖的，告知质疑人向有管辖权的采购人提出质疑；</w:t>
      </w:r>
    </w:p>
    <w:p w14:paraId="51F42915">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（六）质疑不符合其他条件的，告知质疑人不予受理。</w:t>
      </w:r>
    </w:p>
    <w:p w14:paraId="2DE5C61F">
      <w:pPr>
        <w:shd w:val="clear" w:color="auto" w:fill="auto"/>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、质疑的处理和答复</w:t>
      </w:r>
    </w:p>
    <w:p w14:paraId="13162F62">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 按照《政府采购质疑和投诉办法（财政部94号令）》处理及答复质疑。</w:t>
      </w:r>
    </w:p>
    <w:p w14:paraId="55467741">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 采购方受理质疑后，将及时把质疑函发送给被质疑人，并要求其在一定</w:t>
      </w:r>
      <w:r>
        <w:rPr>
          <w:rFonts w:hint="eastAsia" w:ascii="宋体" w:hAnsi="宋体" w:cs="宋体"/>
          <w:color w:val="auto"/>
          <w:sz w:val="21"/>
          <w:szCs w:val="21"/>
          <w:highlight w:val="none"/>
          <w:lang w:eastAsia="zh-CN"/>
        </w:rPr>
        <w:t>期限内</w:t>
      </w:r>
      <w:r>
        <w:rPr>
          <w:rFonts w:hint="eastAsia" w:ascii="宋体" w:hAnsi="宋体" w:eastAsia="宋体" w:cs="宋体"/>
          <w:color w:val="auto"/>
          <w:sz w:val="21"/>
          <w:szCs w:val="21"/>
          <w:highlight w:val="none"/>
        </w:rPr>
        <w:t>提交书面答复，同时提供有关证据、依据和相关材料。</w:t>
      </w:r>
    </w:p>
    <w:p w14:paraId="5F52B14C">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 对于质疑事项中涉及的问题较多、情况比较复杂的，为了全面查清事实、取得充分的证据，采购方认为有必要时，可以进行调查取证或者组织质证。</w:t>
      </w:r>
    </w:p>
    <w:p w14:paraId="36FA6530">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.4对评审过程、中标结果提出质疑的，采购方可以组织原评审委员会协助答复质疑。</w:t>
      </w:r>
    </w:p>
    <w:p w14:paraId="5CEEDD5A">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.5质疑处理过程中，质疑人书面申请撤回质疑的，将终止质疑处理程序。</w:t>
      </w:r>
    </w:p>
    <w:p w14:paraId="2C837B03">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.6质疑人拒绝配合采购方依法对质疑进行调查处理的，采购方将按质疑人自动撤回质疑处理；被质疑人拒绝配合采购方依法对质疑进行调查处理的，采购方将视同其认可质疑事项。</w:t>
      </w:r>
    </w:p>
    <w:p w14:paraId="23FDAF93">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.7 采购方将在正式受理质疑后 7 个工作日内作出答复，但处理质疑需要进行调查取证、组织专家评审、质疑人及被质疑人提交或补正材料等所需时间，不计算在质疑处理期限内。</w:t>
      </w:r>
    </w:p>
    <w:p w14:paraId="457B61ED">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.8 采购方经调查、论证、核实，认定质疑不能成立的，继续开展采购活动；认定质疑成立的，按照以下情况处理：</w:t>
      </w:r>
    </w:p>
    <w:p w14:paraId="0E2F8457">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0BEF5FF7">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14:paraId="2A76FD77">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.9 采购方将书面答复质疑，质疑答复包括下列内容：</w:t>
      </w:r>
    </w:p>
    <w:p w14:paraId="318ABB76">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（一）质疑人名称；</w:t>
      </w:r>
    </w:p>
    <w:p w14:paraId="208D9EF2">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（二）收到质疑函的日期、质疑项目名称及编号</w:t>
      </w:r>
      <w:r>
        <w:rPr>
          <w:rFonts w:hint="eastAsia" w:ascii="宋体" w:hAnsi="宋体" w:cs="宋体"/>
          <w:color w:val="auto"/>
          <w:sz w:val="21"/>
          <w:szCs w:val="21"/>
          <w:highlight w:val="none"/>
          <w:lang w:eastAsia="zh-CN"/>
        </w:rPr>
        <w:t>；</w:t>
      </w:r>
    </w:p>
    <w:p w14:paraId="037BFA91">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（三）质疑事项、质疑答复的具体内容、事实依据和法律依据；</w:t>
      </w:r>
    </w:p>
    <w:p w14:paraId="59081FF4">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（四）告知质疑人依法投诉的权利；</w:t>
      </w:r>
    </w:p>
    <w:p w14:paraId="35571F7E">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（五）质疑答复日期。</w:t>
      </w:r>
    </w:p>
    <w:p w14:paraId="446B79EB">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.10 质疑人有下列行为之一的，属于虚假、恶意质疑，将由采购方建议财政部门将其列入不良行为记录名单，禁止其 1 至 3 年内参加政府采购活动：</w:t>
      </w:r>
    </w:p>
    <w:p w14:paraId="6E9E5F36">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（一）受理后发现投诉不符合法定受理条件；</w:t>
      </w:r>
    </w:p>
    <w:p w14:paraId="26A745D1">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（二）投诉事项缺乏事实依据，投诉事项不成立；</w:t>
      </w:r>
    </w:p>
    <w:p w14:paraId="408B74F0">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（三）投诉人捏造事实或者提供虚假材料；</w:t>
      </w:r>
    </w:p>
    <w:p w14:paraId="24E460EA">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（四）投诉人以非法手段取得证明材料。证据来源的合法性存在明显疑问，投诉人无法证明其取得方式合法的，视为以非法手段取得证明材料。</w:t>
      </w:r>
    </w:p>
    <w:p w14:paraId="502F2A83">
      <w:pPr>
        <w:shd w:val="clear" w:color="auto" w:fill="auto"/>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（五）法律法规规定的其他违法情形。</w:t>
      </w:r>
    </w:p>
    <w:p w14:paraId="559AECA9">
      <w:pPr>
        <w:pStyle w:val="129"/>
        <w:shd w:val="clear" w:color="auto" w:fill="auto"/>
        <w:spacing w:line="450" w:lineRule="exact"/>
        <w:jc w:val="center"/>
        <w:rPr>
          <w:rFonts w:hint="eastAsia" w:ascii="宋体" w:hAnsi="宋体" w:eastAsia="宋体" w:cs="宋体"/>
          <w:color w:val="auto"/>
          <w:sz w:val="28"/>
          <w:szCs w:val="28"/>
          <w:highlight w:val="none"/>
        </w:rPr>
      </w:pPr>
      <w:bookmarkStart w:id="132" w:name="_Toc31734"/>
      <w:bookmarkStart w:id="133" w:name="_Toc25094"/>
      <w:bookmarkStart w:id="134" w:name="_Toc4251"/>
      <w:bookmarkStart w:id="135" w:name="_Toc13588"/>
      <w:bookmarkStart w:id="136" w:name="_Toc16936"/>
      <w:bookmarkStart w:id="137" w:name="_Toc19742"/>
      <w:bookmarkStart w:id="138" w:name="_Toc25665"/>
    </w:p>
    <w:p w14:paraId="566D1176">
      <w:pPr>
        <w:shd w:val="clear" w:color="auto" w:fill="auto"/>
        <w:spacing w:before="101" w:line="224" w:lineRule="auto"/>
        <w:outlineLvl w:val="2"/>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br w:type="page"/>
      </w:r>
      <w:bookmarkEnd w:id="132"/>
      <w:bookmarkEnd w:id="133"/>
      <w:bookmarkEnd w:id="134"/>
      <w:bookmarkEnd w:id="135"/>
      <w:bookmarkEnd w:id="136"/>
      <w:bookmarkEnd w:id="137"/>
      <w:bookmarkEnd w:id="138"/>
      <w:bookmarkStart w:id="139" w:name="_Toc110010424"/>
      <w:bookmarkStart w:id="140" w:name="_Toc21178"/>
      <w:bookmarkStart w:id="141" w:name="_Toc1224"/>
      <w:r>
        <w:rPr>
          <w:rFonts w:hint="eastAsia" w:ascii="宋体" w:hAnsi="宋体" w:eastAsia="宋体" w:cs="宋体"/>
          <w:color w:val="auto"/>
          <w:spacing w:val="8"/>
          <w:sz w:val="21"/>
          <w:szCs w:val="21"/>
          <w:highlight w:val="none"/>
        </w:rPr>
        <w:t>附</w:t>
      </w:r>
      <w:r>
        <w:rPr>
          <w:rFonts w:hint="eastAsia" w:ascii="宋体" w:hAnsi="宋体" w:eastAsia="宋体" w:cs="宋体"/>
          <w:color w:val="auto"/>
          <w:spacing w:val="6"/>
          <w:sz w:val="21"/>
          <w:szCs w:val="21"/>
          <w:highlight w:val="none"/>
        </w:rPr>
        <w:t>件：质疑函范本</w:t>
      </w:r>
      <w:bookmarkEnd w:id="139"/>
      <w:bookmarkEnd w:id="140"/>
      <w:bookmarkEnd w:id="141"/>
    </w:p>
    <w:p w14:paraId="514CB04F">
      <w:pPr>
        <w:shd w:val="clear" w:color="auto" w:fill="auto"/>
        <w:spacing w:line="250" w:lineRule="auto"/>
        <w:rPr>
          <w:rFonts w:hint="eastAsia" w:ascii="宋体" w:hAnsi="宋体" w:eastAsia="宋体" w:cs="宋体"/>
          <w:color w:val="auto"/>
          <w:sz w:val="21"/>
          <w:szCs w:val="21"/>
          <w:highlight w:val="none"/>
        </w:rPr>
      </w:pPr>
    </w:p>
    <w:p w14:paraId="272BD226">
      <w:pPr>
        <w:shd w:val="clear" w:color="auto" w:fill="auto"/>
        <w:spacing w:before="101" w:line="225" w:lineRule="auto"/>
        <w:ind w:left="3656"/>
        <w:rPr>
          <w:rFonts w:hint="eastAsia" w:ascii="宋体" w:hAnsi="宋体" w:eastAsia="宋体" w:cs="宋体"/>
          <w:color w:val="auto"/>
          <w:sz w:val="21"/>
          <w:szCs w:val="21"/>
          <w:highlight w:val="none"/>
        </w:rPr>
      </w:pPr>
      <w:r>
        <w:rPr>
          <w:rFonts w:hint="eastAsia" w:ascii="宋体" w:hAnsi="宋体" w:eastAsia="宋体" w:cs="宋体"/>
          <w:color w:val="auto"/>
          <w:spacing w:val="25"/>
          <w:sz w:val="21"/>
          <w:szCs w:val="21"/>
          <w:highlight w:val="none"/>
        </w:rPr>
        <w:t>质</w:t>
      </w:r>
      <w:r>
        <w:rPr>
          <w:rFonts w:hint="eastAsia" w:ascii="宋体" w:hAnsi="宋体" w:eastAsia="宋体" w:cs="宋体"/>
          <w:color w:val="auto"/>
          <w:spacing w:val="24"/>
          <w:sz w:val="21"/>
          <w:szCs w:val="21"/>
          <w:highlight w:val="none"/>
        </w:rPr>
        <w:t>疑函</w:t>
      </w:r>
    </w:p>
    <w:p w14:paraId="201CFA6D">
      <w:pPr>
        <w:shd w:val="clear" w:color="auto" w:fill="auto"/>
        <w:spacing w:before="237" w:line="468" w:lineRule="exact"/>
        <w:ind w:left="27"/>
        <w:outlineLvl w:val="2"/>
        <w:rPr>
          <w:rFonts w:hint="eastAsia" w:ascii="宋体" w:hAnsi="宋体" w:eastAsia="宋体" w:cs="宋体"/>
          <w:color w:val="auto"/>
          <w:sz w:val="21"/>
          <w:szCs w:val="21"/>
          <w:highlight w:val="none"/>
        </w:rPr>
      </w:pPr>
      <w:bookmarkStart w:id="142" w:name="_Toc1299"/>
      <w:bookmarkStart w:id="143" w:name="_Toc110010425"/>
      <w:bookmarkStart w:id="144" w:name="_Toc5896"/>
      <w:bookmarkStart w:id="145" w:name="_Toc25739"/>
      <w:r>
        <w:rPr>
          <w:rFonts w:hint="eastAsia" w:ascii="宋体" w:hAnsi="宋体" w:eastAsia="宋体" w:cs="宋体"/>
          <w:color w:val="auto"/>
          <w:spacing w:val="-2"/>
          <w:position w:val="2"/>
          <w:sz w:val="21"/>
          <w:szCs w:val="21"/>
          <w:highlight w:val="none"/>
        </w:rPr>
        <w:t>一、质</w:t>
      </w:r>
      <w:r>
        <w:rPr>
          <w:rFonts w:hint="eastAsia" w:ascii="宋体" w:hAnsi="宋体" w:eastAsia="宋体" w:cs="宋体"/>
          <w:color w:val="auto"/>
          <w:spacing w:val="-1"/>
          <w:position w:val="2"/>
          <w:sz w:val="21"/>
          <w:szCs w:val="21"/>
          <w:highlight w:val="none"/>
        </w:rPr>
        <w:t>疑供应商基本信息</w:t>
      </w:r>
      <w:bookmarkEnd w:id="142"/>
      <w:bookmarkEnd w:id="143"/>
      <w:bookmarkEnd w:id="144"/>
      <w:bookmarkEnd w:id="145"/>
    </w:p>
    <w:p w14:paraId="5A5F4F10">
      <w:pPr>
        <w:shd w:val="clear" w:color="auto" w:fill="auto"/>
        <w:spacing w:before="77" w:line="219" w:lineRule="auto"/>
        <w:ind w:left="50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质</w:t>
      </w:r>
      <w:r>
        <w:rPr>
          <w:rFonts w:hint="eastAsia" w:ascii="宋体" w:hAnsi="宋体" w:eastAsia="宋体" w:cs="宋体"/>
          <w:color w:val="auto"/>
          <w:spacing w:val="-2"/>
          <w:sz w:val="21"/>
          <w:szCs w:val="21"/>
          <w:highlight w:val="none"/>
        </w:rPr>
        <w:t>疑供应商：</w:t>
      </w:r>
      <w:r>
        <w:rPr>
          <w:rFonts w:hint="eastAsia" w:ascii="宋体" w:hAnsi="宋体" w:eastAsia="宋体" w:cs="宋体"/>
          <w:color w:val="auto"/>
          <w:sz w:val="21"/>
          <w:szCs w:val="21"/>
          <w:highlight w:val="none"/>
          <w:u w:val="dotted"/>
        </w:rPr>
        <w:t xml:space="preserve">                                       </w:t>
      </w:r>
    </w:p>
    <w:p w14:paraId="6FF0E45B">
      <w:pPr>
        <w:shd w:val="clear" w:color="auto" w:fill="auto"/>
        <w:spacing w:before="212" w:line="220" w:lineRule="auto"/>
        <w:ind w:left="50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地址：</w:t>
      </w:r>
      <w:r>
        <w:rPr>
          <w:rFonts w:hint="eastAsia" w:ascii="宋体" w:hAnsi="宋体" w:eastAsia="宋体" w:cs="宋体"/>
          <w:color w:val="auto"/>
          <w:spacing w:val="-8"/>
          <w:sz w:val="21"/>
          <w:szCs w:val="21"/>
          <w:highlight w:val="none"/>
          <w:u w:val="dotted"/>
        </w:rPr>
        <w:t xml:space="preserve">  </w:t>
      </w:r>
      <w:r>
        <w:rPr>
          <w:rFonts w:hint="eastAsia" w:ascii="宋体" w:hAnsi="宋体" w:eastAsia="宋体" w:cs="宋体"/>
          <w:color w:val="auto"/>
          <w:spacing w:val="-5"/>
          <w:sz w:val="21"/>
          <w:szCs w:val="21"/>
          <w:highlight w:val="none"/>
          <w:u w:val="dotted"/>
        </w:rPr>
        <w:t xml:space="preserve"> </w:t>
      </w:r>
      <w:r>
        <w:rPr>
          <w:rFonts w:hint="eastAsia" w:ascii="宋体" w:hAnsi="宋体" w:eastAsia="宋体" w:cs="宋体"/>
          <w:color w:val="auto"/>
          <w:spacing w:val="-4"/>
          <w:sz w:val="21"/>
          <w:szCs w:val="21"/>
          <w:highlight w:val="none"/>
          <w:u w:val="dotted"/>
        </w:rPr>
        <w:t xml:space="preserve">                        </w:t>
      </w:r>
      <w:r>
        <w:rPr>
          <w:rFonts w:hint="eastAsia" w:ascii="宋体" w:hAnsi="宋体" w:eastAsia="宋体" w:cs="宋体"/>
          <w:color w:val="auto"/>
          <w:spacing w:val="-4"/>
          <w:sz w:val="21"/>
          <w:szCs w:val="21"/>
          <w:highlight w:val="none"/>
        </w:rPr>
        <w:t>邮编：</w:t>
      </w:r>
      <w:r>
        <w:rPr>
          <w:rFonts w:hint="eastAsia" w:ascii="宋体" w:hAnsi="宋体" w:eastAsia="宋体" w:cs="宋体"/>
          <w:color w:val="auto"/>
          <w:sz w:val="21"/>
          <w:szCs w:val="21"/>
          <w:highlight w:val="none"/>
          <w:u w:val="dotted"/>
        </w:rPr>
        <w:t xml:space="preserve">                   </w:t>
      </w:r>
    </w:p>
    <w:p w14:paraId="60A27A10">
      <w:pPr>
        <w:shd w:val="clear" w:color="auto" w:fill="auto"/>
        <w:spacing w:before="211" w:line="222" w:lineRule="auto"/>
        <w:ind w:left="50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联系人：</w:t>
      </w:r>
      <w:r>
        <w:rPr>
          <w:rFonts w:hint="eastAsia" w:ascii="宋体" w:hAnsi="宋体" w:eastAsia="宋体" w:cs="宋体"/>
          <w:color w:val="auto"/>
          <w:spacing w:val="-8"/>
          <w:sz w:val="21"/>
          <w:szCs w:val="21"/>
          <w:highlight w:val="none"/>
          <w:u w:val="dotted"/>
        </w:rPr>
        <w:t xml:space="preserve">  </w:t>
      </w:r>
      <w:r>
        <w:rPr>
          <w:rFonts w:hint="eastAsia" w:ascii="宋体" w:hAnsi="宋体" w:eastAsia="宋体" w:cs="宋体"/>
          <w:color w:val="auto"/>
          <w:spacing w:val="-4"/>
          <w:sz w:val="21"/>
          <w:szCs w:val="21"/>
          <w:highlight w:val="none"/>
          <w:u w:val="dotted"/>
        </w:rPr>
        <w:t xml:space="preserve">                     </w:t>
      </w:r>
      <w:r>
        <w:rPr>
          <w:rFonts w:hint="eastAsia" w:ascii="宋体" w:hAnsi="宋体" w:eastAsia="宋体" w:cs="宋体"/>
          <w:color w:val="auto"/>
          <w:spacing w:val="-4"/>
          <w:sz w:val="21"/>
          <w:szCs w:val="21"/>
          <w:highlight w:val="none"/>
        </w:rPr>
        <w:t>联系电话：</w:t>
      </w:r>
      <w:r>
        <w:rPr>
          <w:rFonts w:hint="eastAsia" w:ascii="宋体" w:hAnsi="宋体" w:eastAsia="宋体" w:cs="宋体"/>
          <w:color w:val="auto"/>
          <w:sz w:val="21"/>
          <w:szCs w:val="21"/>
          <w:highlight w:val="none"/>
          <w:u w:val="dotted"/>
        </w:rPr>
        <w:t xml:space="preserve">                 </w:t>
      </w:r>
    </w:p>
    <w:p w14:paraId="53869994">
      <w:pPr>
        <w:shd w:val="clear" w:color="auto" w:fill="auto"/>
        <w:spacing w:before="205" w:line="220" w:lineRule="auto"/>
        <w:ind w:left="50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授</w:t>
      </w:r>
      <w:r>
        <w:rPr>
          <w:rFonts w:hint="eastAsia" w:ascii="宋体" w:hAnsi="宋体" w:eastAsia="宋体" w:cs="宋体"/>
          <w:color w:val="auto"/>
          <w:spacing w:val="-2"/>
          <w:sz w:val="21"/>
          <w:szCs w:val="21"/>
          <w:highlight w:val="none"/>
        </w:rPr>
        <w:t>权代表：</w:t>
      </w:r>
      <w:r>
        <w:rPr>
          <w:rFonts w:hint="eastAsia" w:ascii="宋体" w:hAnsi="宋体" w:eastAsia="宋体" w:cs="宋体"/>
          <w:color w:val="auto"/>
          <w:sz w:val="21"/>
          <w:szCs w:val="21"/>
          <w:highlight w:val="none"/>
          <w:u w:val="dotted"/>
        </w:rPr>
        <w:t xml:space="preserve">                                         </w:t>
      </w:r>
    </w:p>
    <w:p w14:paraId="31BDFDDE">
      <w:pPr>
        <w:shd w:val="clear" w:color="auto" w:fill="auto"/>
        <w:spacing w:before="214" w:line="222" w:lineRule="auto"/>
        <w:ind w:left="50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联系</w:t>
      </w:r>
      <w:r>
        <w:rPr>
          <w:rFonts w:hint="eastAsia" w:ascii="宋体" w:hAnsi="宋体" w:eastAsia="宋体" w:cs="宋体"/>
          <w:color w:val="auto"/>
          <w:spacing w:val="-2"/>
          <w:sz w:val="21"/>
          <w:szCs w:val="21"/>
          <w:highlight w:val="none"/>
        </w:rPr>
        <w:t>电话：</w:t>
      </w:r>
      <w:r>
        <w:rPr>
          <w:rFonts w:hint="eastAsia" w:ascii="宋体" w:hAnsi="宋体" w:eastAsia="宋体" w:cs="宋体"/>
          <w:color w:val="auto"/>
          <w:sz w:val="21"/>
          <w:szCs w:val="21"/>
          <w:highlight w:val="none"/>
          <w:u w:val="dotted"/>
        </w:rPr>
        <w:t xml:space="preserve">                                          </w:t>
      </w:r>
    </w:p>
    <w:p w14:paraId="051DC84C">
      <w:pPr>
        <w:shd w:val="clear" w:color="auto" w:fill="auto"/>
        <w:spacing w:before="208" w:line="220" w:lineRule="auto"/>
        <w:ind w:left="50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地址：</w:t>
      </w:r>
      <w:r>
        <w:rPr>
          <w:rFonts w:hint="eastAsia" w:ascii="宋体" w:hAnsi="宋体" w:eastAsia="宋体" w:cs="宋体"/>
          <w:color w:val="auto"/>
          <w:spacing w:val="-8"/>
          <w:sz w:val="21"/>
          <w:szCs w:val="21"/>
          <w:highlight w:val="none"/>
          <w:u w:val="dotted"/>
        </w:rPr>
        <w:t xml:space="preserve">   </w:t>
      </w:r>
      <w:r>
        <w:rPr>
          <w:rFonts w:hint="eastAsia" w:ascii="宋体" w:hAnsi="宋体" w:eastAsia="宋体" w:cs="宋体"/>
          <w:color w:val="auto"/>
          <w:spacing w:val="-5"/>
          <w:sz w:val="21"/>
          <w:szCs w:val="21"/>
          <w:highlight w:val="none"/>
          <w:u w:val="dotted"/>
        </w:rPr>
        <w:t xml:space="preserve"> </w:t>
      </w:r>
      <w:r>
        <w:rPr>
          <w:rFonts w:hint="eastAsia" w:ascii="宋体" w:hAnsi="宋体" w:eastAsia="宋体" w:cs="宋体"/>
          <w:color w:val="auto"/>
          <w:spacing w:val="-4"/>
          <w:sz w:val="21"/>
          <w:szCs w:val="21"/>
          <w:highlight w:val="none"/>
          <w:u w:val="dotted"/>
        </w:rPr>
        <w:t xml:space="preserve">                      </w:t>
      </w:r>
      <w:r>
        <w:rPr>
          <w:rFonts w:hint="eastAsia" w:ascii="宋体" w:hAnsi="宋体" w:eastAsia="宋体" w:cs="宋体"/>
          <w:color w:val="auto"/>
          <w:spacing w:val="-4"/>
          <w:sz w:val="21"/>
          <w:szCs w:val="21"/>
          <w:highlight w:val="none"/>
        </w:rPr>
        <w:t>邮编：</w:t>
      </w:r>
      <w:r>
        <w:rPr>
          <w:rFonts w:hint="eastAsia" w:ascii="宋体" w:hAnsi="宋体" w:eastAsia="宋体" w:cs="宋体"/>
          <w:color w:val="auto"/>
          <w:sz w:val="21"/>
          <w:szCs w:val="21"/>
          <w:highlight w:val="none"/>
          <w:u w:val="dotted"/>
        </w:rPr>
        <w:t xml:space="preserve">                    </w:t>
      </w:r>
    </w:p>
    <w:p w14:paraId="74583B02">
      <w:pPr>
        <w:shd w:val="clear" w:color="auto" w:fill="auto"/>
        <w:spacing w:before="209" w:line="371" w:lineRule="exact"/>
        <w:ind w:left="27"/>
        <w:outlineLvl w:val="2"/>
        <w:rPr>
          <w:rFonts w:hint="eastAsia" w:ascii="宋体" w:hAnsi="宋体" w:eastAsia="宋体" w:cs="宋体"/>
          <w:color w:val="auto"/>
          <w:sz w:val="21"/>
          <w:szCs w:val="21"/>
          <w:highlight w:val="none"/>
        </w:rPr>
      </w:pPr>
      <w:bookmarkStart w:id="146" w:name="_Toc110010426"/>
      <w:bookmarkStart w:id="147" w:name="_Toc15098"/>
      <w:bookmarkStart w:id="148" w:name="_Toc3585"/>
      <w:bookmarkStart w:id="149" w:name="_Toc1061"/>
      <w:r>
        <w:rPr>
          <w:rFonts w:hint="eastAsia" w:ascii="宋体" w:hAnsi="宋体" w:eastAsia="宋体" w:cs="宋体"/>
          <w:color w:val="auto"/>
          <w:spacing w:val="-2"/>
          <w:position w:val="1"/>
          <w:sz w:val="21"/>
          <w:szCs w:val="21"/>
          <w:highlight w:val="none"/>
        </w:rPr>
        <w:t>二、质疑项</w:t>
      </w:r>
      <w:r>
        <w:rPr>
          <w:rFonts w:hint="eastAsia" w:ascii="宋体" w:hAnsi="宋体" w:eastAsia="宋体" w:cs="宋体"/>
          <w:color w:val="auto"/>
          <w:spacing w:val="-1"/>
          <w:position w:val="1"/>
          <w:sz w:val="21"/>
          <w:szCs w:val="21"/>
          <w:highlight w:val="none"/>
        </w:rPr>
        <w:t>目基本情况</w:t>
      </w:r>
      <w:bookmarkEnd w:id="146"/>
      <w:bookmarkEnd w:id="147"/>
      <w:bookmarkEnd w:id="148"/>
      <w:bookmarkEnd w:id="149"/>
    </w:p>
    <w:p w14:paraId="3CC3DACF">
      <w:pPr>
        <w:shd w:val="clear" w:color="auto" w:fill="auto"/>
        <w:spacing w:before="173" w:line="221" w:lineRule="auto"/>
        <w:ind w:left="50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质疑项目</w:t>
      </w:r>
      <w:r>
        <w:rPr>
          <w:rFonts w:hint="eastAsia" w:ascii="宋体" w:hAnsi="宋体" w:eastAsia="宋体" w:cs="宋体"/>
          <w:color w:val="auto"/>
          <w:spacing w:val="-1"/>
          <w:sz w:val="21"/>
          <w:szCs w:val="21"/>
          <w:highlight w:val="none"/>
        </w:rPr>
        <w:t>的名称：</w:t>
      </w:r>
      <w:r>
        <w:rPr>
          <w:rFonts w:hint="eastAsia" w:ascii="宋体" w:hAnsi="宋体" w:eastAsia="宋体" w:cs="宋体"/>
          <w:color w:val="auto"/>
          <w:sz w:val="21"/>
          <w:szCs w:val="21"/>
          <w:highlight w:val="none"/>
          <w:u w:val="dotted"/>
        </w:rPr>
        <w:t xml:space="preserve">                                         </w:t>
      </w:r>
    </w:p>
    <w:p w14:paraId="22D37176">
      <w:pPr>
        <w:shd w:val="clear" w:color="auto" w:fill="auto"/>
        <w:spacing w:before="210" w:line="220" w:lineRule="auto"/>
        <w:ind w:left="506"/>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质疑项</w:t>
      </w:r>
      <w:r>
        <w:rPr>
          <w:rFonts w:hint="eastAsia" w:ascii="宋体" w:hAnsi="宋体" w:eastAsia="宋体" w:cs="宋体"/>
          <w:color w:val="auto"/>
          <w:spacing w:val="-9"/>
          <w:sz w:val="21"/>
          <w:szCs w:val="21"/>
          <w:highlight w:val="none"/>
        </w:rPr>
        <w:t>目</w:t>
      </w:r>
      <w:r>
        <w:rPr>
          <w:rFonts w:hint="eastAsia" w:ascii="宋体" w:hAnsi="宋体" w:eastAsia="宋体" w:cs="宋体"/>
          <w:color w:val="auto"/>
          <w:spacing w:val="-5"/>
          <w:sz w:val="21"/>
          <w:szCs w:val="21"/>
          <w:highlight w:val="none"/>
        </w:rPr>
        <w:t>的编号：</w:t>
      </w:r>
      <w:r>
        <w:rPr>
          <w:rFonts w:hint="eastAsia" w:ascii="宋体" w:hAnsi="宋体" w:eastAsia="宋体" w:cs="宋体"/>
          <w:color w:val="auto"/>
          <w:spacing w:val="-5"/>
          <w:sz w:val="21"/>
          <w:szCs w:val="21"/>
          <w:highlight w:val="none"/>
          <w:u w:val="dotted"/>
        </w:rPr>
        <w:t xml:space="preserve">                </w:t>
      </w:r>
      <w:r>
        <w:rPr>
          <w:rFonts w:hint="eastAsia" w:ascii="宋体" w:hAnsi="宋体" w:eastAsia="宋体" w:cs="宋体"/>
          <w:color w:val="auto"/>
          <w:spacing w:val="-5"/>
          <w:sz w:val="21"/>
          <w:szCs w:val="21"/>
          <w:highlight w:val="none"/>
        </w:rPr>
        <w:t>包号：</w:t>
      </w:r>
      <w:r>
        <w:rPr>
          <w:rFonts w:hint="eastAsia" w:ascii="宋体" w:hAnsi="宋体" w:eastAsia="宋体" w:cs="宋体"/>
          <w:color w:val="auto"/>
          <w:sz w:val="21"/>
          <w:szCs w:val="21"/>
          <w:highlight w:val="none"/>
          <w:u w:val="dotted"/>
        </w:rPr>
        <w:t xml:space="preserve">                    </w:t>
      </w:r>
    </w:p>
    <w:p w14:paraId="3FD37DD8">
      <w:pPr>
        <w:shd w:val="clear" w:color="auto" w:fill="auto"/>
        <w:spacing w:before="212" w:line="219" w:lineRule="auto"/>
        <w:ind w:left="50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采购人名</w:t>
      </w:r>
      <w:r>
        <w:rPr>
          <w:rFonts w:hint="eastAsia" w:ascii="宋体" w:hAnsi="宋体" w:eastAsia="宋体" w:cs="宋体"/>
          <w:color w:val="auto"/>
          <w:spacing w:val="-1"/>
          <w:sz w:val="21"/>
          <w:szCs w:val="21"/>
          <w:highlight w:val="none"/>
        </w:rPr>
        <w:t>称：</w:t>
      </w:r>
      <w:r>
        <w:rPr>
          <w:rFonts w:hint="eastAsia" w:ascii="宋体" w:hAnsi="宋体" w:eastAsia="宋体" w:cs="宋体"/>
          <w:color w:val="auto"/>
          <w:sz w:val="21"/>
          <w:szCs w:val="21"/>
          <w:highlight w:val="none"/>
          <w:u w:val="dotted"/>
        </w:rPr>
        <w:t xml:space="preserve">                                           </w:t>
      </w:r>
    </w:p>
    <w:p w14:paraId="3840814D">
      <w:pPr>
        <w:shd w:val="clear" w:color="auto" w:fill="auto"/>
        <w:spacing w:before="212" w:line="219" w:lineRule="auto"/>
        <w:ind w:left="50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采购</w:t>
      </w:r>
      <w:r>
        <w:rPr>
          <w:rFonts w:hint="eastAsia" w:ascii="宋体" w:hAnsi="宋体" w:eastAsia="宋体" w:cs="宋体"/>
          <w:color w:val="auto"/>
          <w:spacing w:val="-1"/>
          <w:sz w:val="21"/>
          <w:szCs w:val="21"/>
          <w:highlight w:val="none"/>
        </w:rPr>
        <w:t>文件获取日期：</w:t>
      </w:r>
      <w:r>
        <w:rPr>
          <w:rFonts w:hint="eastAsia" w:ascii="宋体" w:hAnsi="宋体" w:eastAsia="宋体" w:cs="宋体"/>
          <w:color w:val="auto"/>
          <w:sz w:val="21"/>
          <w:szCs w:val="21"/>
          <w:highlight w:val="none"/>
          <w:u w:val="dotted"/>
        </w:rPr>
        <w:t xml:space="preserve">                                       </w:t>
      </w:r>
    </w:p>
    <w:p w14:paraId="6E93B902">
      <w:pPr>
        <w:shd w:val="clear" w:color="auto" w:fill="auto"/>
        <w:spacing w:before="213" w:line="237" w:lineRule="auto"/>
        <w:ind w:left="22"/>
        <w:outlineLvl w:val="2"/>
        <w:rPr>
          <w:rFonts w:hint="eastAsia" w:ascii="宋体" w:hAnsi="宋体" w:eastAsia="宋体" w:cs="宋体"/>
          <w:color w:val="auto"/>
          <w:sz w:val="21"/>
          <w:szCs w:val="21"/>
          <w:highlight w:val="none"/>
        </w:rPr>
      </w:pPr>
      <w:bookmarkStart w:id="150" w:name="_Toc110010427"/>
      <w:bookmarkStart w:id="151" w:name="_Toc14686"/>
      <w:bookmarkStart w:id="152" w:name="_Toc22496"/>
      <w:bookmarkStart w:id="153" w:name="_Toc32569"/>
      <w:r>
        <w:rPr>
          <w:rFonts w:hint="eastAsia" w:ascii="宋体" w:hAnsi="宋体" w:eastAsia="宋体" w:cs="宋体"/>
          <w:color w:val="auto"/>
          <w:spacing w:val="-2"/>
          <w:sz w:val="21"/>
          <w:szCs w:val="21"/>
          <w:highlight w:val="none"/>
        </w:rPr>
        <w:t>三</w:t>
      </w:r>
      <w:r>
        <w:rPr>
          <w:rFonts w:hint="eastAsia" w:ascii="宋体" w:hAnsi="宋体" w:eastAsia="宋体" w:cs="宋体"/>
          <w:color w:val="auto"/>
          <w:spacing w:val="-1"/>
          <w:sz w:val="21"/>
          <w:szCs w:val="21"/>
          <w:highlight w:val="none"/>
        </w:rPr>
        <w:t>、质疑事项具体内容</w:t>
      </w:r>
      <w:bookmarkEnd w:id="150"/>
      <w:bookmarkEnd w:id="151"/>
      <w:bookmarkEnd w:id="152"/>
      <w:bookmarkEnd w:id="153"/>
    </w:p>
    <w:p w14:paraId="1A44C498">
      <w:pPr>
        <w:shd w:val="clear" w:color="auto" w:fill="auto"/>
        <w:spacing w:before="184" w:line="221" w:lineRule="auto"/>
        <w:ind w:left="506"/>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质</w:t>
      </w:r>
      <w:r>
        <w:rPr>
          <w:rFonts w:hint="eastAsia" w:ascii="宋体" w:hAnsi="宋体" w:eastAsia="宋体" w:cs="宋体"/>
          <w:color w:val="auto"/>
          <w:spacing w:val="-11"/>
          <w:sz w:val="21"/>
          <w:szCs w:val="21"/>
          <w:highlight w:val="none"/>
        </w:rPr>
        <w:t>疑事项 1：</w:t>
      </w:r>
      <w:r>
        <w:rPr>
          <w:rFonts w:hint="eastAsia" w:ascii="宋体" w:hAnsi="宋体" w:eastAsia="宋体" w:cs="宋体"/>
          <w:color w:val="auto"/>
          <w:sz w:val="21"/>
          <w:szCs w:val="21"/>
          <w:highlight w:val="none"/>
          <w:u w:val="dotted"/>
        </w:rPr>
        <w:t xml:space="preserve">                                             </w:t>
      </w:r>
    </w:p>
    <w:p w14:paraId="22795649">
      <w:pPr>
        <w:shd w:val="clear" w:color="auto" w:fill="auto"/>
        <w:spacing w:before="211" w:line="219" w:lineRule="auto"/>
        <w:ind w:left="50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事</w:t>
      </w:r>
      <w:r>
        <w:rPr>
          <w:rFonts w:hint="eastAsia" w:ascii="宋体" w:hAnsi="宋体" w:eastAsia="宋体" w:cs="宋体"/>
          <w:color w:val="auto"/>
          <w:spacing w:val="-2"/>
          <w:sz w:val="21"/>
          <w:szCs w:val="21"/>
          <w:highlight w:val="none"/>
        </w:rPr>
        <w:t>实依据：</w:t>
      </w:r>
      <w:r>
        <w:rPr>
          <w:rFonts w:hint="eastAsia" w:ascii="宋体" w:hAnsi="宋体" w:eastAsia="宋体" w:cs="宋体"/>
          <w:color w:val="auto"/>
          <w:sz w:val="21"/>
          <w:szCs w:val="21"/>
          <w:highlight w:val="none"/>
          <w:u w:val="dotted"/>
        </w:rPr>
        <w:t xml:space="preserve">                                             </w:t>
      </w:r>
    </w:p>
    <w:p w14:paraId="5E051DE6">
      <w:pPr>
        <w:shd w:val="clear" w:color="auto" w:fill="auto"/>
        <w:tabs>
          <w:tab w:val="left" w:pos="8322"/>
        </w:tabs>
        <w:spacing w:before="286" w:line="241" w:lineRule="exact"/>
        <w:ind w:left="4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ab/>
      </w:r>
    </w:p>
    <w:p w14:paraId="1594CFCC">
      <w:pPr>
        <w:shd w:val="clear" w:color="auto" w:fill="auto"/>
        <w:spacing w:before="230" w:line="219" w:lineRule="auto"/>
        <w:ind w:left="50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法律</w:t>
      </w:r>
      <w:r>
        <w:rPr>
          <w:rFonts w:hint="eastAsia" w:ascii="宋体" w:hAnsi="宋体" w:eastAsia="宋体" w:cs="宋体"/>
          <w:color w:val="auto"/>
          <w:spacing w:val="-2"/>
          <w:sz w:val="21"/>
          <w:szCs w:val="21"/>
          <w:highlight w:val="none"/>
        </w:rPr>
        <w:t>依据：</w:t>
      </w:r>
      <w:r>
        <w:rPr>
          <w:rFonts w:hint="eastAsia" w:ascii="宋体" w:hAnsi="宋体" w:eastAsia="宋体" w:cs="宋体"/>
          <w:color w:val="auto"/>
          <w:sz w:val="21"/>
          <w:szCs w:val="21"/>
          <w:highlight w:val="none"/>
          <w:u w:val="dotted"/>
        </w:rPr>
        <w:t xml:space="preserve">                                             </w:t>
      </w:r>
    </w:p>
    <w:p w14:paraId="1F01E7E1">
      <w:pPr>
        <w:shd w:val="clear" w:color="auto" w:fill="auto"/>
        <w:tabs>
          <w:tab w:val="left" w:pos="8322"/>
        </w:tabs>
        <w:spacing w:before="289" w:line="241" w:lineRule="exact"/>
        <w:ind w:left="4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ab/>
      </w:r>
    </w:p>
    <w:p w14:paraId="421450F3">
      <w:pPr>
        <w:shd w:val="clear" w:color="auto" w:fill="auto"/>
        <w:spacing w:before="227" w:line="545" w:lineRule="exact"/>
        <w:ind w:left="506"/>
        <w:rPr>
          <w:rFonts w:hint="eastAsia" w:ascii="宋体" w:hAnsi="宋体" w:eastAsia="宋体" w:cs="宋体"/>
          <w:color w:val="auto"/>
          <w:sz w:val="21"/>
          <w:szCs w:val="21"/>
          <w:highlight w:val="none"/>
        </w:rPr>
      </w:pPr>
      <w:r>
        <w:rPr>
          <w:rFonts w:hint="eastAsia" w:ascii="宋体" w:hAnsi="宋体" w:eastAsia="宋体" w:cs="宋体"/>
          <w:color w:val="auto"/>
          <w:spacing w:val="-15"/>
          <w:position w:val="19"/>
          <w:sz w:val="21"/>
          <w:szCs w:val="21"/>
          <w:highlight w:val="none"/>
        </w:rPr>
        <w:t>质</w:t>
      </w:r>
      <w:r>
        <w:rPr>
          <w:rFonts w:hint="eastAsia" w:ascii="宋体" w:hAnsi="宋体" w:eastAsia="宋体" w:cs="宋体"/>
          <w:color w:val="auto"/>
          <w:spacing w:val="-11"/>
          <w:position w:val="19"/>
          <w:sz w:val="21"/>
          <w:szCs w:val="21"/>
          <w:highlight w:val="none"/>
        </w:rPr>
        <w:t>疑事项 2</w:t>
      </w:r>
    </w:p>
    <w:p w14:paraId="3D507CAC">
      <w:pPr>
        <w:shd w:val="clear" w:color="auto" w:fill="auto"/>
        <w:spacing w:line="442" w:lineRule="exact"/>
        <w:ind w:left="522"/>
        <w:rPr>
          <w:rFonts w:hint="eastAsia" w:ascii="宋体" w:hAnsi="宋体" w:eastAsia="宋体" w:cs="宋体"/>
          <w:color w:val="auto"/>
          <w:sz w:val="21"/>
          <w:szCs w:val="21"/>
          <w:highlight w:val="none"/>
        </w:rPr>
      </w:pPr>
      <w:r>
        <w:rPr>
          <w:rFonts w:hint="eastAsia" w:ascii="宋体" w:hAnsi="宋体" w:eastAsia="宋体" w:cs="宋体"/>
          <w:color w:val="auto"/>
          <w:position w:val="3"/>
          <w:sz w:val="21"/>
          <w:szCs w:val="21"/>
          <w:highlight w:val="none"/>
        </w:rPr>
        <w:t>……</w:t>
      </w:r>
    </w:p>
    <w:p w14:paraId="770C6CEA">
      <w:pPr>
        <w:shd w:val="clear" w:color="auto" w:fill="auto"/>
        <w:jc w:val="center"/>
        <w:rPr>
          <w:rFonts w:hint="eastAsia" w:ascii="宋体" w:hAnsi="宋体" w:eastAsia="宋体" w:cs="宋体"/>
          <w:color w:val="auto"/>
          <w:sz w:val="21"/>
          <w:szCs w:val="21"/>
          <w:highlight w:val="none"/>
        </w:rPr>
      </w:pPr>
    </w:p>
    <w:p w14:paraId="464DBC31">
      <w:pPr>
        <w:shd w:val="clear" w:color="auto" w:fill="auto"/>
        <w:spacing w:line="442" w:lineRule="exact"/>
        <w:ind w:left="522"/>
        <w:rPr>
          <w:rFonts w:hint="eastAsia" w:ascii="宋体" w:hAnsi="宋体" w:eastAsia="宋体" w:cs="宋体"/>
          <w:color w:val="auto"/>
          <w:position w:val="3"/>
          <w:sz w:val="21"/>
          <w:szCs w:val="21"/>
          <w:highlight w:val="none"/>
        </w:rPr>
      </w:pPr>
      <w:r>
        <w:rPr>
          <w:rFonts w:hint="eastAsia" w:ascii="宋体" w:hAnsi="宋体" w:eastAsia="宋体" w:cs="宋体"/>
          <w:color w:val="auto"/>
          <w:position w:val="3"/>
          <w:sz w:val="21"/>
          <w:szCs w:val="21"/>
          <w:highlight w:val="none"/>
        </w:rPr>
        <w:t>签字</w:t>
      </w:r>
      <w:r>
        <w:rPr>
          <w:rFonts w:hint="eastAsia" w:ascii="宋体" w:hAnsi="宋体" w:cs="宋体"/>
          <w:color w:val="auto"/>
          <w:position w:val="3"/>
          <w:sz w:val="21"/>
          <w:szCs w:val="21"/>
          <w:highlight w:val="none"/>
          <w:lang w:eastAsia="zh-CN"/>
        </w:rPr>
        <w:t>（</w:t>
      </w:r>
      <w:r>
        <w:rPr>
          <w:rFonts w:hint="eastAsia" w:ascii="宋体" w:hAnsi="宋体" w:eastAsia="宋体" w:cs="宋体"/>
          <w:color w:val="auto"/>
          <w:position w:val="3"/>
          <w:sz w:val="21"/>
          <w:szCs w:val="21"/>
          <w:highlight w:val="none"/>
        </w:rPr>
        <w:t>签章</w:t>
      </w:r>
      <w:r>
        <w:rPr>
          <w:rFonts w:hint="eastAsia" w:ascii="宋体" w:hAnsi="宋体" w:cs="宋体"/>
          <w:color w:val="auto"/>
          <w:position w:val="3"/>
          <w:sz w:val="21"/>
          <w:szCs w:val="21"/>
          <w:highlight w:val="none"/>
          <w:lang w:eastAsia="zh-CN"/>
        </w:rPr>
        <w:t>）</w:t>
      </w:r>
      <w:r>
        <w:rPr>
          <w:rFonts w:hint="eastAsia" w:ascii="宋体" w:hAnsi="宋体" w:eastAsia="宋体" w:cs="宋体"/>
          <w:color w:val="auto"/>
          <w:position w:val="3"/>
          <w:sz w:val="21"/>
          <w:szCs w:val="21"/>
          <w:highlight w:val="none"/>
        </w:rPr>
        <w:t>：                          日期：</w:t>
      </w:r>
    </w:p>
    <w:p w14:paraId="0A3F37FB">
      <w:pPr>
        <w:shd w:val="clear" w:color="auto" w:fill="auto"/>
        <w:spacing w:before="56" w:line="185" w:lineRule="auto"/>
        <w:rPr>
          <w:rFonts w:hint="eastAsia" w:ascii="宋体" w:hAnsi="宋体" w:eastAsia="宋体" w:cs="宋体"/>
          <w:color w:val="auto"/>
          <w:sz w:val="21"/>
          <w:szCs w:val="21"/>
          <w:highlight w:val="none"/>
        </w:rPr>
      </w:pPr>
    </w:p>
    <w:p w14:paraId="4BE99430">
      <w:pPr>
        <w:shd w:val="clear" w:color="auto" w:fill="auto"/>
        <w:spacing w:line="14" w:lineRule="auto"/>
        <w:rPr>
          <w:rFonts w:hint="eastAsia" w:ascii="宋体" w:hAnsi="宋体" w:eastAsia="宋体" w:cs="宋体"/>
          <w:color w:val="auto"/>
          <w:sz w:val="21"/>
          <w:szCs w:val="21"/>
          <w:highlight w:val="none"/>
        </w:rPr>
        <w:sectPr>
          <w:footerReference r:id="rId11" w:type="default"/>
          <w:type w:val="continuous"/>
          <w:pgSz w:w="11905" w:h="16838"/>
          <w:pgMar w:top="1304" w:right="964" w:bottom="1020" w:left="1191" w:header="567" w:footer="454" w:gutter="0"/>
          <w:pgNumType w:fmt="decimal"/>
          <w:cols w:space="720" w:num="1"/>
          <w:rtlGutter w:val="0"/>
          <w:docGrid w:type="lines" w:linePitch="317" w:charSpace="0"/>
        </w:sectPr>
      </w:pPr>
    </w:p>
    <w:p w14:paraId="35DE696B">
      <w:pPr>
        <w:shd w:val="clear" w:color="auto" w:fill="auto"/>
        <w:rPr>
          <w:rFonts w:hint="eastAsia" w:ascii="宋体" w:hAnsi="宋体" w:eastAsia="宋体" w:cs="宋体"/>
          <w:color w:val="auto"/>
          <w:sz w:val="21"/>
          <w:szCs w:val="21"/>
          <w:highlight w:val="none"/>
        </w:rPr>
        <w:sectPr>
          <w:footerReference r:id="rId12" w:type="default"/>
          <w:type w:val="continuous"/>
          <w:pgSz w:w="11905" w:h="16838"/>
          <w:pgMar w:top="1304" w:right="964" w:bottom="1020" w:left="1191" w:header="567" w:footer="454" w:gutter="0"/>
          <w:pgNumType w:fmt="decimal"/>
          <w:cols w:space="720" w:num="1"/>
          <w:rtlGutter w:val="0"/>
          <w:docGrid w:type="lines" w:linePitch="317" w:charSpace="0"/>
        </w:sectPr>
      </w:pPr>
    </w:p>
    <w:p w14:paraId="1E1B4572">
      <w:pPr>
        <w:shd w:val="clear" w:color="auto" w:fill="auto"/>
        <w:spacing w:line="478" w:lineRule="auto"/>
        <w:rPr>
          <w:rFonts w:hint="eastAsia" w:ascii="宋体" w:hAnsi="宋体" w:eastAsia="宋体" w:cs="宋体"/>
          <w:color w:val="auto"/>
          <w:sz w:val="21"/>
          <w:szCs w:val="21"/>
          <w:highlight w:val="none"/>
        </w:rPr>
      </w:pPr>
    </w:p>
    <w:p w14:paraId="50E021B2">
      <w:pPr>
        <w:shd w:val="clear" w:color="auto" w:fill="auto"/>
        <w:spacing w:before="91" w:line="220" w:lineRule="auto"/>
        <w:ind w:left="50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质疑函制</w:t>
      </w:r>
      <w:r>
        <w:rPr>
          <w:rFonts w:hint="eastAsia" w:ascii="宋体" w:hAnsi="宋体" w:eastAsia="宋体" w:cs="宋体"/>
          <w:color w:val="auto"/>
          <w:spacing w:val="-1"/>
          <w:sz w:val="21"/>
          <w:szCs w:val="21"/>
          <w:highlight w:val="none"/>
        </w:rPr>
        <w:t>作说明：</w:t>
      </w:r>
    </w:p>
    <w:p w14:paraId="36CAC0BC">
      <w:pPr>
        <w:shd w:val="clear" w:color="auto" w:fill="auto"/>
        <w:spacing w:before="31" w:line="239" w:lineRule="auto"/>
        <w:ind w:left="525"/>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1.供应商提出质疑时，应提交质疑函和必要的证明材料。</w:t>
      </w:r>
    </w:p>
    <w:p w14:paraId="0016D8FB">
      <w:pPr>
        <w:shd w:val="clear" w:color="auto" w:fill="auto"/>
        <w:spacing w:before="31" w:line="239" w:lineRule="auto"/>
        <w:ind w:left="525"/>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2.质疑供应商若委托代理人进行质疑的，质疑函应按要求列明 “授权代表”的有关内容，并在附件中提交由质疑供应商签署的授权 委托书。授权委托书应载明代理人的姓名或者名称、代理事项、具体 权限、期限和相关事项。</w:t>
      </w:r>
    </w:p>
    <w:p w14:paraId="7DB0D735">
      <w:pPr>
        <w:shd w:val="clear" w:color="auto" w:fill="auto"/>
        <w:spacing w:before="31" w:line="239" w:lineRule="auto"/>
        <w:ind w:left="525"/>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3.质疑供应商若对项目的某一分包进行质疑，质疑函中应列明具 体分包号。</w:t>
      </w:r>
    </w:p>
    <w:p w14:paraId="4A9CCDD3">
      <w:pPr>
        <w:shd w:val="clear" w:color="auto" w:fill="auto"/>
        <w:spacing w:before="31" w:line="239" w:lineRule="auto"/>
        <w:ind w:left="525"/>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4.质疑函的质疑事项应具体、明确，并有必要的事实依据和法律 依据。</w:t>
      </w:r>
    </w:p>
    <w:p w14:paraId="7AED5AAD">
      <w:pPr>
        <w:shd w:val="clear" w:color="auto" w:fill="auto"/>
        <w:spacing w:before="31" w:line="239" w:lineRule="auto"/>
        <w:ind w:left="525"/>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5.质疑函的质疑请求应与质疑事项相关。</w:t>
      </w:r>
    </w:p>
    <w:p w14:paraId="0675FA79">
      <w:pPr>
        <w:shd w:val="clear" w:color="auto" w:fill="auto"/>
        <w:spacing w:before="31" w:line="239" w:lineRule="auto"/>
        <w:ind w:left="525"/>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6.质疑供应商为自然人的，质疑函应由本人签字；质疑供应商为 法人或者其他组织的，质疑函应由法定代表人、主要负责人，或者其 授权代表签字或者盖章，并加盖公章。</w:t>
      </w:r>
    </w:p>
    <w:p w14:paraId="32BE4AC5">
      <w:pPr>
        <w:shd w:val="clear" w:color="auto" w:fill="auto"/>
        <w:spacing w:line="360" w:lineRule="auto"/>
        <w:jc w:val="center"/>
        <w:rPr>
          <w:rFonts w:hint="eastAsia" w:ascii="宋体" w:hAnsi="宋体" w:eastAsia="宋体" w:cs="宋体"/>
          <w:color w:val="auto"/>
          <w:kern w:val="0"/>
          <w:sz w:val="21"/>
          <w:szCs w:val="21"/>
          <w:highlight w:val="none"/>
        </w:rPr>
      </w:pPr>
    </w:p>
    <w:p w14:paraId="05D1BFBA">
      <w:pPr>
        <w:shd w:val="clear" w:color="auto" w:fill="auto"/>
        <w:spacing w:before="101" w:line="224" w:lineRule="auto"/>
        <w:ind w:left="49"/>
        <w:outlineLvl w:val="2"/>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br w:type="page"/>
      </w:r>
      <w:bookmarkStart w:id="154" w:name="_Toc110010428"/>
      <w:bookmarkStart w:id="155" w:name="_Toc22150"/>
      <w:bookmarkStart w:id="156" w:name="_Toc31259"/>
      <w:bookmarkStart w:id="157" w:name="_Toc23110"/>
      <w:r>
        <w:rPr>
          <w:rFonts w:hint="eastAsia" w:ascii="宋体" w:hAnsi="宋体" w:eastAsia="宋体" w:cs="宋体"/>
          <w:color w:val="auto"/>
          <w:spacing w:val="8"/>
          <w:sz w:val="21"/>
          <w:szCs w:val="21"/>
          <w:highlight w:val="none"/>
        </w:rPr>
        <w:t>附</w:t>
      </w:r>
      <w:r>
        <w:rPr>
          <w:rFonts w:hint="eastAsia" w:ascii="宋体" w:hAnsi="宋体" w:eastAsia="宋体" w:cs="宋体"/>
          <w:color w:val="auto"/>
          <w:spacing w:val="6"/>
          <w:sz w:val="21"/>
          <w:szCs w:val="21"/>
          <w:highlight w:val="none"/>
        </w:rPr>
        <w:t>件：投诉书范本</w:t>
      </w:r>
      <w:bookmarkEnd w:id="154"/>
      <w:bookmarkEnd w:id="155"/>
      <w:bookmarkEnd w:id="156"/>
      <w:bookmarkEnd w:id="157"/>
    </w:p>
    <w:p w14:paraId="5BD75C60">
      <w:pPr>
        <w:shd w:val="clear" w:color="auto" w:fill="auto"/>
        <w:spacing w:line="393" w:lineRule="auto"/>
        <w:rPr>
          <w:rFonts w:hint="eastAsia" w:ascii="宋体" w:hAnsi="宋体" w:eastAsia="宋体" w:cs="宋体"/>
          <w:color w:val="auto"/>
          <w:sz w:val="21"/>
          <w:szCs w:val="21"/>
          <w:highlight w:val="none"/>
        </w:rPr>
      </w:pPr>
    </w:p>
    <w:p w14:paraId="613550B7">
      <w:pPr>
        <w:shd w:val="clear" w:color="auto" w:fill="auto"/>
        <w:spacing w:before="115" w:line="224"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4"/>
          <w:sz w:val="21"/>
          <w:szCs w:val="21"/>
          <w:highlight w:val="none"/>
        </w:rPr>
        <w:t>投诉</w:t>
      </w:r>
      <w:r>
        <w:rPr>
          <w:rFonts w:hint="eastAsia" w:ascii="宋体" w:hAnsi="宋体" w:eastAsia="宋体" w:cs="宋体"/>
          <w:color w:val="auto"/>
          <w:spacing w:val="23"/>
          <w:sz w:val="21"/>
          <w:szCs w:val="21"/>
          <w:highlight w:val="none"/>
        </w:rPr>
        <w:t>书</w:t>
      </w:r>
    </w:p>
    <w:p w14:paraId="34E9DBB2">
      <w:pPr>
        <w:shd w:val="clear" w:color="auto" w:fill="auto"/>
        <w:spacing w:before="265" w:line="434" w:lineRule="exact"/>
        <w:ind w:left="27"/>
        <w:outlineLvl w:val="2"/>
        <w:rPr>
          <w:rFonts w:hint="eastAsia" w:ascii="宋体" w:hAnsi="宋体" w:eastAsia="宋体" w:cs="宋体"/>
          <w:color w:val="auto"/>
          <w:sz w:val="21"/>
          <w:szCs w:val="21"/>
          <w:highlight w:val="none"/>
        </w:rPr>
      </w:pPr>
      <w:bookmarkStart w:id="158" w:name="_Toc21592"/>
      <w:bookmarkStart w:id="159" w:name="_Toc5746"/>
      <w:bookmarkStart w:id="160" w:name="_Toc110010429"/>
      <w:bookmarkStart w:id="161" w:name="_Toc26371"/>
      <w:r>
        <w:rPr>
          <w:rFonts w:hint="eastAsia" w:ascii="宋体" w:hAnsi="宋体" w:eastAsia="宋体" w:cs="宋体"/>
          <w:color w:val="auto"/>
          <w:spacing w:val="-2"/>
          <w:position w:val="1"/>
          <w:sz w:val="21"/>
          <w:szCs w:val="21"/>
          <w:highlight w:val="none"/>
        </w:rPr>
        <w:t>一、投诉</w:t>
      </w:r>
      <w:r>
        <w:rPr>
          <w:rFonts w:hint="eastAsia" w:ascii="宋体" w:hAnsi="宋体" w:eastAsia="宋体" w:cs="宋体"/>
          <w:color w:val="auto"/>
          <w:spacing w:val="-1"/>
          <w:position w:val="1"/>
          <w:sz w:val="21"/>
          <w:szCs w:val="21"/>
          <w:highlight w:val="none"/>
        </w:rPr>
        <w:t>相关主体基本情况</w:t>
      </w:r>
      <w:bookmarkEnd w:id="158"/>
      <w:bookmarkEnd w:id="159"/>
      <w:bookmarkEnd w:id="160"/>
      <w:bookmarkEnd w:id="161"/>
    </w:p>
    <w:p w14:paraId="3301BE17">
      <w:pPr>
        <w:shd w:val="clear" w:color="auto" w:fill="auto"/>
        <w:spacing w:before="1" w:line="220" w:lineRule="auto"/>
        <w:ind w:left="508"/>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投</w:t>
      </w:r>
      <w:r>
        <w:rPr>
          <w:rFonts w:hint="eastAsia" w:ascii="宋体" w:hAnsi="宋体" w:eastAsia="宋体" w:cs="宋体"/>
          <w:color w:val="auto"/>
          <w:spacing w:val="-3"/>
          <w:sz w:val="21"/>
          <w:szCs w:val="21"/>
          <w:highlight w:val="none"/>
        </w:rPr>
        <w:t>诉人：</w:t>
      </w:r>
      <w:r>
        <w:rPr>
          <w:rFonts w:hint="eastAsia" w:ascii="宋体" w:hAnsi="宋体" w:eastAsia="宋体" w:cs="宋体"/>
          <w:color w:val="auto"/>
          <w:sz w:val="21"/>
          <w:szCs w:val="21"/>
          <w:highlight w:val="none"/>
          <w:u w:val="dotted"/>
        </w:rPr>
        <w:t xml:space="preserve">                                                 </w:t>
      </w:r>
    </w:p>
    <w:p w14:paraId="1B527E94">
      <w:pPr>
        <w:shd w:val="clear" w:color="auto" w:fill="auto"/>
        <w:spacing w:before="102" w:line="220" w:lineRule="auto"/>
        <w:ind w:left="50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地址：</w:t>
      </w:r>
      <w:r>
        <w:rPr>
          <w:rFonts w:hint="eastAsia" w:ascii="宋体" w:hAnsi="宋体" w:eastAsia="宋体" w:cs="宋体"/>
          <w:color w:val="auto"/>
          <w:spacing w:val="-8"/>
          <w:sz w:val="21"/>
          <w:szCs w:val="21"/>
          <w:highlight w:val="none"/>
          <w:u w:val="dotted"/>
        </w:rPr>
        <w:t xml:space="preserve">  </w:t>
      </w:r>
      <w:r>
        <w:rPr>
          <w:rFonts w:hint="eastAsia" w:ascii="宋体" w:hAnsi="宋体" w:eastAsia="宋体" w:cs="宋体"/>
          <w:color w:val="auto"/>
          <w:spacing w:val="-5"/>
          <w:sz w:val="21"/>
          <w:szCs w:val="21"/>
          <w:highlight w:val="none"/>
          <w:u w:val="dotted"/>
        </w:rPr>
        <w:t xml:space="preserve"> </w:t>
      </w:r>
      <w:r>
        <w:rPr>
          <w:rFonts w:hint="eastAsia" w:ascii="宋体" w:hAnsi="宋体" w:eastAsia="宋体" w:cs="宋体"/>
          <w:color w:val="auto"/>
          <w:spacing w:val="-4"/>
          <w:sz w:val="21"/>
          <w:szCs w:val="21"/>
          <w:highlight w:val="none"/>
          <w:u w:val="dotted"/>
        </w:rPr>
        <w:t xml:space="preserve">                        </w:t>
      </w:r>
      <w:r>
        <w:rPr>
          <w:rFonts w:hint="eastAsia" w:ascii="宋体" w:hAnsi="宋体" w:eastAsia="宋体" w:cs="宋体"/>
          <w:color w:val="auto"/>
          <w:spacing w:val="-4"/>
          <w:sz w:val="21"/>
          <w:szCs w:val="21"/>
          <w:highlight w:val="none"/>
        </w:rPr>
        <w:t>邮编：</w:t>
      </w:r>
      <w:r>
        <w:rPr>
          <w:rFonts w:hint="eastAsia" w:ascii="宋体" w:hAnsi="宋体" w:eastAsia="宋体" w:cs="宋体"/>
          <w:color w:val="auto"/>
          <w:sz w:val="21"/>
          <w:szCs w:val="21"/>
          <w:highlight w:val="none"/>
          <w:u w:val="dotted"/>
        </w:rPr>
        <w:t xml:space="preserve">                   </w:t>
      </w:r>
    </w:p>
    <w:p w14:paraId="58C4F3DE">
      <w:pPr>
        <w:shd w:val="clear" w:color="auto" w:fill="auto"/>
        <w:spacing w:before="101" w:line="220" w:lineRule="auto"/>
        <w:ind w:left="50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法定代</w:t>
      </w:r>
      <w:r>
        <w:rPr>
          <w:rFonts w:hint="eastAsia" w:ascii="宋体" w:hAnsi="宋体" w:eastAsia="宋体" w:cs="宋体"/>
          <w:color w:val="auto"/>
          <w:spacing w:val="-1"/>
          <w:sz w:val="21"/>
          <w:szCs w:val="21"/>
          <w:highlight w:val="none"/>
        </w:rPr>
        <w:t>表人/主要负责人：</w:t>
      </w:r>
      <w:r>
        <w:rPr>
          <w:rFonts w:hint="eastAsia" w:ascii="宋体" w:hAnsi="宋体" w:eastAsia="宋体" w:cs="宋体"/>
          <w:color w:val="auto"/>
          <w:sz w:val="21"/>
          <w:szCs w:val="21"/>
          <w:highlight w:val="none"/>
          <w:u w:val="dotted"/>
        </w:rPr>
        <w:t xml:space="preserve">                                  </w:t>
      </w:r>
    </w:p>
    <w:p w14:paraId="01432AE0">
      <w:pPr>
        <w:shd w:val="clear" w:color="auto" w:fill="auto"/>
        <w:spacing w:before="104" w:line="222" w:lineRule="auto"/>
        <w:ind w:left="50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联系</w:t>
      </w:r>
      <w:r>
        <w:rPr>
          <w:rFonts w:hint="eastAsia" w:ascii="宋体" w:hAnsi="宋体" w:eastAsia="宋体" w:cs="宋体"/>
          <w:color w:val="auto"/>
          <w:spacing w:val="-2"/>
          <w:sz w:val="21"/>
          <w:szCs w:val="21"/>
          <w:highlight w:val="none"/>
        </w:rPr>
        <w:t>电话：</w:t>
      </w:r>
      <w:r>
        <w:rPr>
          <w:rFonts w:hint="eastAsia" w:ascii="宋体" w:hAnsi="宋体" w:eastAsia="宋体" w:cs="宋体"/>
          <w:color w:val="auto"/>
          <w:sz w:val="21"/>
          <w:szCs w:val="21"/>
          <w:highlight w:val="none"/>
          <w:u w:val="dotted"/>
        </w:rPr>
        <w:t xml:space="preserve">                                             </w:t>
      </w:r>
    </w:p>
    <w:p w14:paraId="42E302F6">
      <w:pPr>
        <w:shd w:val="clear" w:color="auto" w:fill="auto"/>
        <w:spacing w:before="99" w:line="220" w:lineRule="auto"/>
        <w:ind w:left="50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授权代表：</w:t>
      </w:r>
      <w:r>
        <w:rPr>
          <w:rFonts w:hint="eastAsia" w:ascii="宋体" w:hAnsi="宋体" w:eastAsia="宋体" w:cs="宋体"/>
          <w:color w:val="auto"/>
          <w:spacing w:val="-6"/>
          <w:sz w:val="21"/>
          <w:szCs w:val="21"/>
          <w:highlight w:val="none"/>
          <w:u w:val="dotted"/>
        </w:rPr>
        <w:t xml:space="preserve"> </w:t>
      </w:r>
      <w:r>
        <w:rPr>
          <w:rFonts w:hint="eastAsia" w:ascii="宋体" w:hAnsi="宋体" w:eastAsia="宋体" w:cs="宋体"/>
          <w:color w:val="auto"/>
          <w:spacing w:val="-4"/>
          <w:sz w:val="21"/>
          <w:szCs w:val="21"/>
          <w:highlight w:val="none"/>
          <w:u w:val="dotted"/>
        </w:rPr>
        <w:t xml:space="preserve">                   </w:t>
      </w:r>
      <w:r>
        <w:rPr>
          <w:rFonts w:hint="eastAsia" w:ascii="宋体" w:hAnsi="宋体" w:eastAsia="宋体" w:cs="宋体"/>
          <w:color w:val="auto"/>
          <w:spacing w:val="-4"/>
          <w:sz w:val="21"/>
          <w:szCs w:val="21"/>
          <w:highlight w:val="none"/>
          <w:u w:val="dotted"/>
          <w:lang w:val="en-US" w:eastAsia="zh-CN"/>
        </w:rPr>
        <w:t xml:space="preserve"> </w:t>
      </w:r>
      <w:r>
        <w:rPr>
          <w:rFonts w:hint="eastAsia" w:ascii="宋体" w:hAnsi="宋体" w:eastAsia="宋体" w:cs="宋体"/>
          <w:color w:val="auto"/>
          <w:spacing w:val="-4"/>
          <w:sz w:val="21"/>
          <w:szCs w:val="21"/>
          <w:highlight w:val="none"/>
          <w:u w:val="dotted"/>
        </w:rPr>
        <w:t xml:space="preserve">  </w:t>
      </w:r>
      <w:r>
        <w:rPr>
          <w:rFonts w:hint="eastAsia" w:ascii="宋体" w:hAnsi="宋体" w:eastAsia="宋体" w:cs="宋体"/>
          <w:color w:val="auto"/>
          <w:spacing w:val="-4"/>
          <w:sz w:val="21"/>
          <w:szCs w:val="21"/>
          <w:highlight w:val="none"/>
        </w:rPr>
        <w:t>联系电话：</w:t>
      </w:r>
      <w:r>
        <w:rPr>
          <w:rFonts w:hint="eastAsia" w:ascii="宋体" w:hAnsi="宋体" w:eastAsia="宋体" w:cs="宋体"/>
          <w:color w:val="auto"/>
          <w:sz w:val="21"/>
          <w:szCs w:val="21"/>
          <w:highlight w:val="none"/>
          <w:u w:val="dotted"/>
        </w:rPr>
        <w:t xml:space="preserve">                </w:t>
      </w:r>
    </w:p>
    <w:p w14:paraId="4E9601B3">
      <w:pPr>
        <w:shd w:val="clear" w:color="auto" w:fill="auto"/>
        <w:spacing w:before="101" w:line="220" w:lineRule="auto"/>
        <w:ind w:left="50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地址：</w:t>
      </w:r>
      <w:r>
        <w:rPr>
          <w:rFonts w:hint="eastAsia" w:ascii="宋体" w:hAnsi="宋体" w:eastAsia="宋体" w:cs="宋体"/>
          <w:color w:val="auto"/>
          <w:spacing w:val="-8"/>
          <w:sz w:val="21"/>
          <w:szCs w:val="21"/>
          <w:highlight w:val="none"/>
          <w:u w:val="dotted"/>
        </w:rPr>
        <w:t xml:space="preserve">   </w:t>
      </w:r>
      <w:r>
        <w:rPr>
          <w:rFonts w:hint="eastAsia" w:ascii="宋体" w:hAnsi="宋体" w:eastAsia="宋体" w:cs="宋体"/>
          <w:color w:val="auto"/>
          <w:spacing w:val="-5"/>
          <w:sz w:val="21"/>
          <w:szCs w:val="21"/>
          <w:highlight w:val="none"/>
          <w:u w:val="dotted"/>
        </w:rPr>
        <w:t xml:space="preserve"> </w:t>
      </w:r>
      <w:r>
        <w:rPr>
          <w:rFonts w:hint="eastAsia" w:ascii="宋体" w:hAnsi="宋体" w:eastAsia="宋体" w:cs="宋体"/>
          <w:color w:val="auto"/>
          <w:spacing w:val="-4"/>
          <w:sz w:val="21"/>
          <w:szCs w:val="21"/>
          <w:highlight w:val="none"/>
          <w:u w:val="dotted"/>
        </w:rPr>
        <w:t xml:space="preserve">                   </w:t>
      </w:r>
      <w:r>
        <w:rPr>
          <w:rFonts w:hint="eastAsia" w:ascii="宋体" w:hAnsi="宋体" w:eastAsia="宋体" w:cs="宋体"/>
          <w:color w:val="auto"/>
          <w:spacing w:val="-4"/>
          <w:sz w:val="21"/>
          <w:szCs w:val="21"/>
          <w:highlight w:val="none"/>
          <w:u w:val="dotted"/>
          <w:lang w:val="en-US" w:eastAsia="zh-CN"/>
        </w:rPr>
        <w:t xml:space="preserve"> </w:t>
      </w:r>
      <w:r>
        <w:rPr>
          <w:rFonts w:hint="eastAsia" w:ascii="宋体" w:hAnsi="宋体" w:eastAsia="宋体" w:cs="宋体"/>
          <w:color w:val="auto"/>
          <w:spacing w:val="-4"/>
          <w:sz w:val="21"/>
          <w:szCs w:val="21"/>
          <w:highlight w:val="none"/>
          <w:u w:val="dotted"/>
        </w:rPr>
        <w:t xml:space="preserve">   </w:t>
      </w:r>
      <w:r>
        <w:rPr>
          <w:rFonts w:hint="eastAsia" w:ascii="宋体" w:hAnsi="宋体" w:eastAsia="宋体" w:cs="宋体"/>
          <w:color w:val="auto"/>
          <w:spacing w:val="-4"/>
          <w:sz w:val="21"/>
          <w:szCs w:val="21"/>
          <w:highlight w:val="none"/>
        </w:rPr>
        <w:t>邮编：</w:t>
      </w:r>
      <w:r>
        <w:rPr>
          <w:rFonts w:hint="eastAsia" w:ascii="宋体" w:hAnsi="宋体" w:eastAsia="宋体" w:cs="宋体"/>
          <w:color w:val="auto"/>
          <w:sz w:val="21"/>
          <w:szCs w:val="21"/>
          <w:highlight w:val="none"/>
          <w:u w:val="dotted"/>
        </w:rPr>
        <w:t xml:space="preserve">                    </w:t>
      </w:r>
    </w:p>
    <w:p w14:paraId="561DA15F">
      <w:pPr>
        <w:shd w:val="clear" w:color="auto" w:fill="auto"/>
        <w:spacing w:before="103" w:line="220" w:lineRule="auto"/>
        <w:ind w:left="505"/>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被</w:t>
      </w:r>
      <w:r>
        <w:rPr>
          <w:rFonts w:hint="eastAsia" w:ascii="宋体" w:hAnsi="宋体" w:eastAsia="宋体" w:cs="宋体"/>
          <w:color w:val="auto"/>
          <w:spacing w:val="-11"/>
          <w:sz w:val="21"/>
          <w:szCs w:val="21"/>
          <w:highlight w:val="none"/>
        </w:rPr>
        <w:t>投诉人 1：</w:t>
      </w:r>
    </w:p>
    <w:p w14:paraId="1EB62E95">
      <w:pPr>
        <w:shd w:val="clear" w:color="auto" w:fill="auto"/>
        <w:spacing w:before="101" w:line="185" w:lineRule="auto"/>
        <w:ind w:left="50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地址：</w:t>
      </w:r>
      <w:r>
        <w:rPr>
          <w:rFonts w:hint="eastAsia" w:ascii="宋体" w:hAnsi="宋体" w:eastAsia="宋体" w:cs="宋体"/>
          <w:color w:val="auto"/>
          <w:spacing w:val="-8"/>
          <w:sz w:val="21"/>
          <w:szCs w:val="21"/>
          <w:highlight w:val="none"/>
          <w:u w:val="dotted"/>
        </w:rPr>
        <w:t xml:space="preserve">   </w:t>
      </w:r>
      <w:r>
        <w:rPr>
          <w:rFonts w:hint="eastAsia" w:ascii="宋体" w:hAnsi="宋体" w:eastAsia="宋体" w:cs="宋体"/>
          <w:color w:val="auto"/>
          <w:spacing w:val="-5"/>
          <w:sz w:val="21"/>
          <w:szCs w:val="21"/>
          <w:highlight w:val="none"/>
          <w:u w:val="dotted"/>
        </w:rPr>
        <w:t xml:space="preserve"> </w:t>
      </w:r>
      <w:r>
        <w:rPr>
          <w:rFonts w:hint="eastAsia" w:ascii="宋体" w:hAnsi="宋体" w:eastAsia="宋体" w:cs="宋体"/>
          <w:color w:val="auto"/>
          <w:spacing w:val="-4"/>
          <w:sz w:val="21"/>
          <w:szCs w:val="21"/>
          <w:highlight w:val="none"/>
          <w:u w:val="dotted"/>
        </w:rPr>
        <w:t xml:space="preserve">                      </w:t>
      </w:r>
      <w:r>
        <w:rPr>
          <w:rFonts w:hint="eastAsia" w:ascii="宋体" w:hAnsi="宋体" w:eastAsia="宋体" w:cs="宋体"/>
          <w:color w:val="auto"/>
          <w:spacing w:val="-4"/>
          <w:sz w:val="21"/>
          <w:szCs w:val="21"/>
          <w:highlight w:val="none"/>
          <w:u w:val="dotted"/>
          <w:lang w:val="en-US" w:eastAsia="zh-CN"/>
        </w:rPr>
        <w:t xml:space="preserve"> </w:t>
      </w:r>
      <w:r>
        <w:rPr>
          <w:rFonts w:hint="eastAsia" w:ascii="宋体" w:hAnsi="宋体" w:eastAsia="宋体" w:cs="宋体"/>
          <w:color w:val="auto"/>
          <w:spacing w:val="-4"/>
          <w:sz w:val="21"/>
          <w:szCs w:val="21"/>
          <w:highlight w:val="none"/>
        </w:rPr>
        <w:t>邮编：</w:t>
      </w:r>
      <w:r>
        <w:rPr>
          <w:rFonts w:hint="eastAsia" w:ascii="宋体" w:hAnsi="宋体" w:eastAsia="宋体" w:cs="宋体"/>
          <w:color w:val="auto"/>
          <w:sz w:val="21"/>
          <w:szCs w:val="21"/>
          <w:highlight w:val="none"/>
          <w:u w:val="dotted"/>
        </w:rPr>
        <w:t xml:space="preserve">                    </w:t>
      </w:r>
    </w:p>
    <w:p w14:paraId="03CA3A11">
      <w:pPr>
        <w:shd w:val="clear" w:color="auto" w:fill="auto"/>
        <w:rPr>
          <w:rFonts w:hint="eastAsia" w:ascii="宋体" w:hAnsi="宋体" w:eastAsia="宋体" w:cs="宋体"/>
          <w:color w:val="auto"/>
          <w:sz w:val="21"/>
          <w:szCs w:val="21"/>
          <w:highlight w:val="none"/>
        </w:rPr>
      </w:pPr>
    </w:p>
    <w:p w14:paraId="55940AF7">
      <w:pPr>
        <w:shd w:val="clear" w:color="auto" w:fill="auto"/>
        <w:spacing w:before="103" w:line="220" w:lineRule="auto"/>
        <w:ind w:left="505"/>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联系人：</w:t>
      </w:r>
      <w:r>
        <w:rPr>
          <w:rFonts w:hint="eastAsia" w:ascii="宋体" w:hAnsi="宋体" w:eastAsia="宋体" w:cs="宋体"/>
          <w:color w:val="auto"/>
          <w:spacing w:val="-8"/>
          <w:sz w:val="21"/>
          <w:szCs w:val="21"/>
          <w:highlight w:val="none"/>
          <w:u w:val="dotted"/>
        </w:rPr>
        <w:t xml:space="preserve">   </w:t>
      </w:r>
      <w:r>
        <w:rPr>
          <w:rFonts w:hint="eastAsia" w:ascii="宋体" w:hAnsi="宋体" w:eastAsia="宋体" w:cs="宋体"/>
          <w:color w:val="auto"/>
          <w:spacing w:val="-5"/>
          <w:sz w:val="21"/>
          <w:szCs w:val="21"/>
          <w:highlight w:val="none"/>
          <w:u w:val="dotted"/>
        </w:rPr>
        <w:t xml:space="preserve"> </w:t>
      </w:r>
      <w:r>
        <w:rPr>
          <w:rFonts w:hint="eastAsia" w:ascii="宋体" w:hAnsi="宋体" w:eastAsia="宋体" w:cs="宋体"/>
          <w:color w:val="auto"/>
          <w:spacing w:val="-4"/>
          <w:sz w:val="21"/>
          <w:szCs w:val="21"/>
          <w:highlight w:val="none"/>
          <w:u w:val="dotted"/>
        </w:rPr>
        <w:t xml:space="preserve">                      </w:t>
      </w:r>
      <w:r>
        <w:rPr>
          <w:rFonts w:hint="eastAsia" w:ascii="宋体" w:hAnsi="宋体" w:eastAsia="宋体" w:cs="宋体"/>
          <w:color w:val="auto"/>
          <w:spacing w:val="-17"/>
          <w:sz w:val="21"/>
          <w:szCs w:val="21"/>
          <w:highlight w:val="none"/>
        </w:rPr>
        <w:t xml:space="preserve">联系电话：                </w:t>
      </w:r>
    </w:p>
    <w:p w14:paraId="5183E85D">
      <w:pPr>
        <w:shd w:val="clear" w:color="auto" w:fill="auto"/>
        <w:spacing w:before="103" w:line="220" w:lineRule="auto"/>
        <w:ind w:left="505"/>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联系人：</w:t>
      </w:r>
      <w:r>
        <w:rPr>
          <w:rFonts w:hint="eastAsia" w:ascii="宋体" w:hAnsi="宋体" w:eastAsia="宋体" w:cs="宋体"/>
          <w:color w:val="auto"/>
          <w:spacing w:val="-8"/>
          <w:sz w:val="21"/>
          <w:szCs w:val="21"/>
          <w:highlight w:val="none"/>
          <w:u w:val="dotted"/>
        </w:rPr>
        <w:t xml:space="preserve">   </w:t>
      </w:r>
      <w:r>
        <w:rPr>
          <w:rFonts w:hint="eastAsia" w:ascii="宋体" w:hAnsi="宋体" w:eastAsia="宋体" w:cs="宋体"/>
          <w:color w:val="auto"/>
          <w:spacing w:val="-5"/>
          <w:sz w:val="21"/>
          <w:szCs w:val="21"/>
          <w:highlight w:val="none"/>
          <w:u w:val="dotted"/>
        </w:rPr>
        <w:t xml:space="preserve"> </w:t>
      </w:r>
      <w:r>
        <w:rPr>
          <w:rFonts w:hint="eastAsia" w:ascii="宋体" w:hAnsi="宋体" w:eastAsia="宋体" w:cs="宋体"/>
          <w:color w:val="auto"/>
          <w:spacing w:val="-4"/>
          <w:sz w:val="21"/>
          <w:szCs w:val="21"/>
          <w:highlight w:val="none"/>
          <w:u w:val="dotted"/>
        </w:rPr>
        <w:t xml:space="preserve">                      </w:t>
      </w:r>
      <w:r>
        <w:rPr>
          <w:rFonts w:hint="eastAsia" w:ascii="宋体" w:hAnsi="宋体" w:eastAsia="宋体" w:cs="宋体"/>
          <w:color w:val="auto"/>
          <w:spacing w:val="-17"/>
          <w:sz w:val="21"/>
          <w:szCs w:val="21"/>
          <w:highlight w:val="none"/>
        </w:rPr>
        <w:t xml:space="preserve">联系电话：     </w:t>
      </w:r>
      <w:r>
        <w:rPr>
          <w:rFonts w:hint="eastAsia" w:ascii="宋体" w:hAnsi="宋体" w:eastAsia="宋体" w:cs="宋体"/>
          <w:color w:val="auto"/>
          <w:sz w:val="21"/>
          <w:szCs w:val="21"/>
          <w:highlight w:val="none"/>
          <w:u w:val="dotted"/>
        </w:rPr>
        <w:t xml:space="preserve">           </w:t>
      </w:r>
    </w:p>
    <w:p w14:paraId="6AAC77BF">
      <w:pPr>
        <w:shd w:val="clear" w:color="auto" w:fill="auto"/>
        <w:spacing w:before="100" w:line="371" w:lineRule="exact"/>
        <w:ind w:left="27"/>
        <w:outlineLvl w:val="2"/>
        <w:rPr>
          <w:rFonts w:hint="eastAsia" w:ascii="宋体" w:hAnsi="宋体" w:eastAsia="宋体" w:cs="宋体"/>
          <w:color w:val="auto"/>
          <w:sz w:val="21"/>
          <w:szCs w:val="21"/>
          <w:highlight w:val="none"/>
        </w:rPr>
      </w:pPr>
      <w:bookmarkStart w:id="162" w:name="_Toc27620"/>
      <w:bookmarkStart w:id="163" w:name="_Toc25199"/>
      <w:bookmarkStart w:id="164" w:name="_Toc377"/>
      <w:bookmarkStart w:id="165" w:name="_Toc110010430"/>
      <w:r>
        <w:rPr>
          <w:rFonts w:hint="eastAsia" w:ascii="宋体" w:hAnsi="宋体" w:eastAsia="宋体" w:cs="宋体"/>
          <w:color w:val="auto"/>
          <w:spacing w:val="-2"/>
          <w:position w:val="1"/>
          <w:sz w:val="21"/>
          <w:szCs w:val="21"/>
          <w:highlight w:val="none"/>
        </w:rPr>
        <w:t>二、投诉项目</w:t>
      </w:r>
      <w:r>
        <w:rPr>
          <w:rFonts w:hint="eastAsia" w:ascii="宋体" w:hAnsi="宋体" w:eastAsia="宋体" w:cs="宋体"/>
          <w:color w:val="auto"/>
          <w:spacing w:val="-1"/>
          <w:position w:val="1"/>
          <w:sz w:val="21"/>
          <w:szCs w:val="21"/>
          <w:highlight w:val="none"/>
        </w:rPr>
        <w:t>基本情况</w:t>
      </w:r>
      <w:bookmarkEnd w:id="162"/>
      <w:bookmarkEnd w:id="163"/>
      <w:bookmarkEnd w:id="164"/>
      <w:bookmarkEnd w:id="165"/>
    </w:p>
    <w:p w14:paraId="14FEC7FA">
      <w:pPr>
        <w:shd w:val="clear" w:color="auto" w:fill="auto"/>
        <w:spacing w:before="64" w:line="219" w:lineRule="auto"/>
        <w:ind w:left="50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采购项</w:t>
      </w:r>
      <w:r>
        <w:rPr>
          <w:rFonts w:hint="eastAsia" w:ascii="宋体" w:hAnsi="宋体" w:eastAsia="宋体" w:cs="宋体"/>
          <w:color w:val="auto"/>
          <w:spacing w:val="-1"/>
          <w:sz w:val="21"/>
          <w:szCs w:val="21"/>
          <w:highlight w:val="none"/>
        </w:rPr>
        <w:t>目名称：</w:t>
      </w:r>
      <w:r>
        <w:rPr>
          <w:rFonts w:hint="eastAsia" w:ascii="宋体" w:hAnsi="宋体" w:eastAsia="宋体" w:cs="宋体"/>
          <w:color w:val="auto"/>
          <w:sz w:val="21"/>
          <w:szCs w:val="21"/>
          <w:highlight w:val="none"/>
          <w:u w:val="dotted"/>
        </w:rPr>
        <w:t xml:space="preserve">                                           </w:t>
      </w:r>
    </w:p>
    <w:p w14:paraId="19AA1E8F">
      <w:pPr>
        <w:shd w:val="clear" w:color="auto" w:fill="auto"/>
        <w:spacing w:before="104" w:line="219" w:lineRule="auto"/>
        <w:ind w:left="50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采购项目</w:t>
      </w:r>
      <w:r>
        <w:rPr>
          <w:rFonts w:hint="eastAsia" w:ascii="宋体" w:hAnsi="宋体" w:eastAsia="宋体" w:cs="宋体"/>
          <w:color w:val="auto"/>
          <w:spacing w:val="-4"/>
          <w:sz w:val="21"/>
          <w:szCs w:val="21"/>
          <w:highlight w:val="none"/>
        </w:rPr>
        <w:t>编号：</w:t>
      </w:r>
      <w:r>
        <w:rPr>
          <w:rFonts w:hint="eastAsia" w:ascii="宋体" w:hAnsi="宋体" w:eastAsia="宋体" w:cs="宋体"/>
          <w:color w:val="auto"/>
          <w:spacing w:val="-4"/>
          <w:sz w:val="21"/>
          <w:szCs w:val="21"/>
          <w:highlight w:val="none"/>
          <w:u w:val="dotted"/>
        </w:rPr>
        <w:t xml:space="preserve">                        </w:t>
      </w:r>
      <w:r>
        <w:rPr>
          <w:rFonts w:hint="eastAsia" w:ascii="宋体" w:hAnsi="宋体" w:eastAsia="宋体" w:cs="宋体"/>
          <w:color w:val="auto"/>
          <w:spacing w:val="-4"/>
          <w:sz w:val="21"/>
          <w:szCs w:val="21"/>
          <w:highlight w:val="none"/>
        </w:rPr>
        <w:t>包号：</w:t>
      </w:r>
      <w:r>
        <w:rPr>
          <w:rFonts w:hint="eastAsia" w:ascii="宋体" w:hAnsi="宋体" w:eastAsia="宋体" w:cs="宋体"/>
          <w:color w:val="auto"/>
          <w:sz w:val="21"/>
          <w:szCs w:val="21"/>
          <w:highlight w:val="none"/>
          <w:u w:val="dotted"/>
        </w:rPr>
        <w:t xml:space="preserve">              </w:t>
      </w:r>
    </w:p>
    <w:p w14:paraId="1E9DE950">
      <w:pPr>
        <w:shd w:val="clear" w:color="auto" w:fill="auto"/>
        <w:spacing w:before="102" w:line="219" w:lineRule="auto"/>
        <w:ind w:left="50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采购人名</w:t>
      </w:r>
      <w:r>
        <w:rPr>
          <w:rFonts w:hint="eastAsia" w:ascii="宋体" w:hAnsi="宋体" w:eastAsia="宋体" w:cs="宋体"/>
          <w:color w:val="auto"/>
          <w:spacing w:val="-1"/>
          <w:sz w:val="21"/>
          <w:szCs w:val="21"/>
          <w:highlight w:val="none"/>
        </w:rPr>
        <w:t>称：</w:t>
      </w:r>
      <w:r>
        <w:rPr>
          <w:rFonts w:hint="eastAsia" w:ascii="宋体" w:hAnsi="宋体" w:eastAsia="宋体" w:cs="宋体"/>
          <w:color w:val="auto"/>
          <w:sz w:val="21"/>
          <w:szCs w:val="21"/>
          <w:highlight w:val="none"/>
          <w:u w:val="dotted"/>
        </w:rPr>
        <w:t xml:space="preserve">                                           </w:t>
      </w:r>
    </w:p>
    <w:p w14:paraId="20EB86E1">
      <w:pPr>
        <w:shd w:val="clear" w:color="auto" w:fill="auto"/>
        <w:spacing w:before="105" w:line="219" w:lineRule="auto"/>
        <w:ind w:left="50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代理机构名</w:t>
      </w:r>
      <w:r>
        <w:rPr>
          <w:rFonts w:hint="eastAsia" w:ascii="宋体" w:hAnsi="宋体" w:eastAsia="宋体" w:cs="宋体"/>
          <w:color w:val="auto"/>
          <w:spacing w:val="-1"/>
          <w:sz w:val="21"/>
          <w:szCs w:val="21"/>
          <w:highlight w:val="none"/>
        </w:rPr>
        <w:t>称：</w:t>
      </w:r>
      <w:r>
        <w:rPr>
          <w:rFonts w:hint="eastAsia" w:ascii="宋体" w:hAnsi="宋体" w:eastAsia="宋体" w:cs="宋体"/>
          <w:color w:val="auto"/>
          <w:sz w:val="21"/>
          <w:szCs w:val="21"/>
          <w:highlight w:val="none"/>
          <w:u w:val="dotted"/>
        </w:rPr>
        <w:t xml:space="preserve">                                           </w:t>
      </w:r>
    </w:p>
    <w:p w14:paraId="25F77B2E">
      <w:pPr>
        <w:shd w:val="clear" w:color="auto" w:fill="auto"/>
        <w:spacing w:before="104" w:line="219" w:lineRule="auto"/>
        <w:ind w:left="50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采购文件公告</w:t>
      </w:r>
      <w:r>
        <w:rPr>
          <w:rFonts w:hint="eastAsia" w:ascii="宋体" w:hAnsi="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u w:val="single"/>
        </w:rPr>
        <w:t xml:space="preserve">  是/否 </w:t>
      </w:r>
      <w:r>
        <w:rPr>
          <w:rFonts w:hint="eastAsia" w:ascii="宋体" w:hAnsi="宋体" w:eastAsia="宋体" w:cs="宋体"/>
          <w:color w:val="auto"/>
          <w:spacing w:val="7"/>
          <w:sz w:val="21"/>
          <w:szCs w:val="21"/>
          <w:highlight w:val="none"/>
        </w:rPr>
        <w:t xml:space="preserve"> 公告期限</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u w:val="dotted"/>
        </w:rPr>
        <w:t xml:space="preserve">                        </w:t>
      </w:r>
    </w:p>
    <w:p w14:paraId="4AF3D3CB">
      <w:pPr>
        <w:shd w:val="clear" w:color="auto" w:fill="auto"/>
        <w:spacing w:before="103" w:line="287" w:lineRule="auto"/>
        <w:ind w:left="22" w:right="12" w:firstLine="48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采购结果公告：</w:t>
      </w:r>
      <w:r>
        <w:rPr>
          <w:rFonts w:hint="eastAsia" w:ascii="宋体" w:hAnsi="宋体" w:eastAsia="宋体" w:cs="宋体"/>
          <w:color w:val="auto"/>
          <w:spacing w:val="-1"/>
          <w:sz w:val="21"/>
          <w:szCs w:val="21"/>
          <w:highlight w:val="none"/>
          <w:u w:val="single"/>
        </w:rPr>
        <w:t xml:space="preserve">  是/否 </w:t>
      </w:r>
      <w:r>
        <w:rPr>
          <w:rFonts w:hint="eastAsia" w:ascii="宋体" w:hAnsi="宋体" w:eastAsia="宋体" w:cs="宋体"/>
          <w:color w:val="auto"/>
          <w:spacing w:val="-1"/>
          <w:sz w:val="21"/>
          <w:szCs w:val="21"/>
          <w:highlight w:val="none"/>
        </w:rPr>
        <w:t xml:space="preserve"> 公告期限：</w:t>
      </w:r>
      <w:r>
        <w:rPr>
          <w:rFonts w:hint="eastAsia" w:ascii="宋体" w:hAnsi="宋体" w:eastAsia="宋体" w:cs="宋体"/>
          <w:color w:val="auto"/>
          <w:spacing w:val="-1"/>
          <w:sz w:val="21"/>
          <w:szCs w:val="21"/>
          <w:highlight w:val="none"/>
          <w:u w:val="dotted"/>
        </w:rPr>
        <w:t xml:space="preserve">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411B1A1B">
      <w:pPr>
        <w:shd w:val="clear" w:color="auto" w:fill="auto"/>
        <w:spacing w:before="100" w:line="371" w:lineRule="exact"/>
        <w:ind w:left="27" w:right="0" w:firstLine="0"/>
        <w:outlineLvl w:val="2"/>
        <w:rPr>
          <w:rFonts w:hint="eastAsia" w:ascii="宋体" w:hAnsi="宋体" w:eastAsia="宋体" w:cs="宋体"/>
          <w:color w:val="auto"/>
          <w:spacing w:val="-2"/>
          <w:position w:val="1"/>
          <w:sz w:val="21"/>
          <w:szCs w:val="21"/>
          <w:highlight w:val="none"/>
        </w:rPr>
      </w:pPr>
      <w:r>
        <w:rPr>
          <w:rFonts w:hint="eastAsia" w:ascii="宋体" w:hAnsi="宋体" w:eastAsia="宋体" w:cs="宋体"/>
          <w:color w:val="auto"/>
          <w:spacing w:val="-2"/>
          <w:position w:val="1"/>
          <w:sz w:val="21"/>
          <w:szCs w:val="21"/>
          <w:highlight w:val="none"/>
        </w:rPr>
        <w:t>三、质疑基本情况</w:t>
      </w:r>
    </w:p>
    <w:p w14:paraId="2420CA32">
      <w:pPr>
        <w:shd w:val="clear" w:color="auto" w:fill="auto"/>
        <w:spacing w:before="1" w:line="287" w:lineRule="auto"/>
        <w:ind w:left="23" w:right="11" w:firstLine="484"/>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投</w:t>
      </w:r>
      <w:r>
        <w:rPr>
          <w:rFonts w:hint="eastAsia" w:ascii="宋体" w:hAnsi="宋体" w:eastAsia="宋体" w:cs="宋体"/>
          <w:color w:val="auto"/>
          <w:spacing w:val="-6"/>
          <w:sz w:val="21"/>
          <w:szCs w:val="21"/>
          <w:highlight w:val="none"/>
        </w:rPr>
        <w:t>诉人于</w:t>
      </w:r>
      <w:r>
        <w:rPr>
          <w:rFonts w:hint="eastAsia" w:ascii="宋体" w:hAnsi="宋体" w:eastAsia="宋体" w:cs="宋体"/>
          <w:color w:val="auto"/>
          <w:spacing w:val="-6"/>
          <w:sz w:val="21"/>
          <w:szCs w:val="21"/>
          <w:highlight w:val="none"/>
          <w:u w:val="dotted"/>
        </w:rPr>
        <w:t xml:space="preserve">           </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u w:val="dotted"/>
        </w:rPr>
        <w:t xml:space="preserve">           </w:t>
      </w:r>
      <w:r>
        <w:rPr>
          <w:rFonts w:hint="eastAsia" w:ascii="宋体" w:hAnsi="宋体" w:eastAsia="宋体" w:cs="宋体"/>
          <w:color w:val="auto"/>
          <w:spacing w:val="-6"/>
          <w:sz w:val="21"/>
          <w:szCs w:val="21"/>
          <w:highlight w:val="none"/>
        </w:rPr>
        <w:t>月</w:t>
      </w:r>
      <w:r>
        <w:rPr>
          <w:rFonts w:hint="eastAsia" w:ascii="宋体" w:hAnsi="宋体" w:eastAsia="宋体" w:cs="宋体"/>
          <w:color w:val="auto"/>
          <w:spacing w:val="-6"/>
          <w:sz w:val="21"/>
          <w:szCs w:val="21"/>
          <w:highlight w:val="none"/>
          <w:u w:val="dotted"/>
        </w:rPr>
        <w:t xml:space="preserve">            </w:t>
      </w:r>
      <w:r>
        <w:rPr>
          <w:rFonts w:hint="eastAsia" w:ascii="宋体" w:hAnsi="宋体" w:eastAsia="宋体" w:cs="宋体"/>
          <w:color w:val="auto"/>
          <w:spacing w:val="-6"/>
          <w:sz w:val="21"/>
          <w:szCs w:val="21"/>
          <w:highlight w:val="none"/>
        </w:rPr>
        <w:t>日 ，向</w:t>
      </w:r>
      <w:r>
        <w:rPr>
          <w:rFonts w:hint="eastAsia" w:ascii="宋体" w:hAnsi="宋体" w:eastAsia="宋体" w:cs="宋体"/>
          <w:color w:val="auto"/>
          <w:spacing w:val="-4"/>
          <w:sz w:val="21"/>
          <w:szCs w:val="21"/>
          <w:highlight w:val="none"/>
        </w:rPr>
        <w:t>提</w:t>
      </w:r>
      <w:r>
        <w:rPr>
          <w:rFonts w:hint="eastAsia" w:ascii="宋体" w:hAnsi="宋体" w:eastAsia="宋体" w:cs="宋体"/>
          <w:color w:val="auto"/>
          <w:spacing w:val="-2"/>
          <w:sz w:val="21"/>
          <w:szCs w:val="21"/>
          <w:highlight w:val="none"/>
        </w:rPr>
        <w:t>出质疑，</w:t>
      </w:r>
    </w:p>
    <w:p w14:paraId="6994E436">
      <w:pPr>
        <w:shd w:val="clear" w:color="auto" w:fill="auto"/>
        <w:spacing w:before="1" w:line="220" w:lineRule="auto"/>
        <w:ind w:left="50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质</w:t>
      </w:r>
      <w:r>
        <w:rPr>
          <w:rFonts w:hint="eastAsia" w:ascii="宋体" w:hAnsi="宋体" w:eastAsia="宋体" w:cs="宋体"/>
          <w:color w:val="auto"/>
          <w:spacing w:val="-2"/>
          <w:sz w:val="21"/>
          <w:szCs w:val="21"/>
          <w:highlight w:val="none"/>
        </w:rPr>
        <w:t>疑事项为：</w:t>
      </w:r>
      <w:r>
        <w:rPr>
          <w:rFonts w:hint="eastAsia" w:ascii="宋体" w:hAnsi="宋体" w:eastAsia="宋体" w:cs="宋体"/>
          <w:color w:val="auto"/>
          <w:sz w:val="21"/>
          <w:szCs w:val="21"/>
          <w:highlight w:val="none"/>
          <w:u w:val="dotted"/>
        </w:rPr>
        <w:t xml:space="preserve">                                           </w:t>
      </w:r>
    </w:p>
    <w:p w14:paraId="3AB14DB1">
      <w:pPr>
        <w:shd w:val="clear" w:color="auto" w:fill="auto"/>
        <w:spacing w:before="103" w:line="287" w:lineRule="auto"/>
        <w:ind w:left="459" w:right="11" w:firstLine="10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采购人/</w:t>
      </w:r>
      <w:r>
        <w:rPr>
          <w:rFonts w:hint="eastAsia" w:ascii="宋体" w:hAnsi="宋体" w:eastAsia="宋体" w:cs="宋体"/>
          <w:color w:val="auto"/>
          <w:spacing w:val="-2"/>
          <w:sz w:val="21"/>
          <w:szCs w:val="21"/>
          <w:highlight w:val="none"/>
        </w:rPr>
        <w:t>采购代理机构于</w:t>
      </w:r>
      <w:r>
        <w:rPr>
          <w:rFonts w:hint="eastAsia" w:ascii="宋体" w:hAnsi="宋体" w:eastAsia="宋体" w:cs="宋体"/>
          <w:color w:val="auto"/>
          <w:spacing w:val="-2"/>
          <w:sz w:val="21"/>
          <w:szCs w:val="21"/>
          <w:highlight w:val="none"/>
          <w:u w:val="dotted"/>
        </w:rPr>
        <w:t xml:space="preserve">      </w:t>
      </w:r>
      <w:r>
        <w:rPr>
          <w:rFonts w:hint="eastAsia" w:ascii="宋体" w:hAnsi="宋体" w:eastAsia="宋体" w:cs="宋体"/>
          <w:color w:val="auto"/>
          <w:spacing w:val="-2"/>
          <w:sz w:val="21"/>
          <w:szCs w:val="21"/>
          <w:highlight w:val="none"/>
        </w:rPr>
        <w:t xml:space="preserve"> 年</w:t>
      </w:r>
      <w:r>
        <w:rPr>
          <w:rFonts w:hint="eastAsia" w:ascii="宋体" w:hAnsi="宋体" w:eastAsia="宋体" w:cs="宋体"/>
          <w:color w:val="auto"/>
          <w:spacing w:val="-2"/>
          <w:sz w:val="21"/>
          <w:szCs w:val="21"/>
          <w:highlight w:val="none"/>
          <w:u w:val="dotted"/>
        </w:rPr>
        <w:t xml:space="preserve">      </w:t>
      </w:r>
      <w:r>
        <w:rPr>
          <w:rFonts w:hint="eastAsia" w:ascii="宋体" w:hAnsi="宋体" w:eastAsia="宋体" w:cs="宋体"/>
          <w:color w:val="auto"/>
          <w:spacing w:val="-2"/>
          <w:sz w:val="21"/>
          <w:szCs w:val="21"/>
          <w:highlight w:val="none"/>
        </w:rPr>
        <w:t xml:space="preserve"> 月</w:t>
      </w:r>
      <w:r>
        <w:rPr>
          <w:rFonts w:hint="eastAsia" w:ascii="宋体" w:hAnsi="宋体" w:eastAsia="宋体" w:cs="宋体"/>
          <w:color w:val="auto"/>
          <w:spacing w:val="-2"/>
          <w:sz w:val="21"/>
          <w:szCs w:val="21"/>
          <w:highlight w:val="none"/>
          <w:u w:val="dotted"/>
        </w:rPr>
        <w:t xml:space="preserve">      </w:t>
      </w:r>
      <w:r>
        <w:rPr>
          <w:rFonts w:hint="eastAsia" w:ascii="宋体" w:hAnsi="宋体" w:eastAsia="宋体" w:cs="宋体"/>
          <w:color w:val="auto"/>
          <w:spacing w:val="-2"/>
          <w:sz w:val="21"/>
          <w:szCs w:val="21"/>
          <w:highlight w:val="none"/>
        </w:rPr>
        <w:t xml:space="preserve"> 日，就质疑</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事项做出了答复/没有在</w:t>
      </w:r>
      <w:r>
        <w:rPr>
          <w:rFonts w:hint="eastAsia" w:ascii="宋体" w:hAnsi="宋体" w:eastAsia="宋体" w:cs="宋体"/>
          <w:color w:val="auto"/>
          <w:sz w:val="21"/>
          <w:szCs w:val="21"/>
          <w:highlight w:val="none"/>
        </w:rPr>
        <w:t>法定期限内做出答复。</w:t>
      </w:r>
    </w:p>
    <w:p w14:paraId="13D497FF">
      <w:pPr>
        <w:shd w:val="clear" w:color="auto" w:fill="auto"/>
        <w:spacing w:before="100" w:line="371" w:lineRule="exact"/>
        <w:ind w:left="27"/>
        <w:outlineLvl w:val="2"/>
        <w:rPr>
          <w:rFonts w:hint="eastAsia" w:ascii="宋体" w:hAnsi="宋体" w:eastAsia="宋体" w:cs="宋体"/>
          <w:color w:val="auto"/>
          <w:spacing w:val="-2"/>
          <w:position w:val="1"/>
          <w:sz w:val="21"/>
          <w:szCs w:val="21"/>
          <w:highlight w:val="none"/>
        </w:rPr>
      </w:pPr>
      <w:r>
        <w:rPr>
          <w:rFonts w:hint="eastAsia" w:ascii="宋体" w:hAnsi="宋体" w:eastAsia="宋体" w:cs="宋体"/>
          <w:color w:val="auto"/>
          <w:spacing w:val="-2"/>
          <w:position w:val="1"/>
          <w:sz w:val="21"/>
          <w:szCs w:val="21"/>
          <w:highlight w:val="none"/>
          <w:lang w:val="en-US" w:eastAsia="zh-CN"/>
        </w:rPr>
        <w:t>四</w:t>
      </w:r>
      <w:r>
        <w:rPr>
          <w:rFonts w:hint="eastAsia" w:ascii="宋体" w:hAnsi="宋体" w:eastAsia="宋体" w:cs="宋体"/>
          <w:color w:val="auto"/>
          <w:spacing w:val="-2"/>
          <w:position w:val="1"/>
          <w:sz w:val="21"/>
          <w:szCs w:val="21"/>
          <w:highlight w:val="none"/>
        </w:rPr>
        <w:t>、投诉事项具体内容</w:t>
      </w:r>
    </w:p>
    <w:p w14:paraId="3314F610">
      <w:pPr>
        <w:shd w:val="clear" w:color="auto" w:fill="auto"/>
        <w:spacing w:before="98" w:line="221" w:lineRule="auto"/>
        <w:ind w:left="508"/>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投</w:t>
      </w:r>
      <w:r>
        <w:rPr>
          <w:rFonts w:hint="eastAsia" w:ascii="宋体" w:hAnsi="宋体" w:eastAsia="宋体" w:cs="宋体"/>
          <w:color w:val="auto"/>
          <w:spacing w:val="-10"/>
          <w:sz w:val="21"/>
          <w:szCs w:val="21"/>
          <w:highlight w:val="none"/>
        </w:rPr>
        <w:t>诉事项 1 ：</w:t>
      </w:r>
      <w:r>
        <w:rPr>
          <w:rFonts w:hint="eastAsia" w:ascii="宋体" w:hAnsi="宋体" w:eastAsia="宋体" w:cs="宋体"/>
          <w:color w:val="auto"/>
          <w:sz w:val="21"/>
          <w:szCs w:val="21"/>
          <w:highlight w:val="none"/>
          <w:u w:val="dotted"/>
        </w:rPr>
        <w:t xml:space="preserve">                                            </w:t>
      </w:r>
    </w:p>
    <w:p w14:paraId="11804507">
      <w:pPr>
        <w:shd w:val="clear" w:color="auto" w:fill="auto"/>
        <w:spacing w:before="100" w:line="219" w:lineRule="auto"/>
        <w:ind w:left="50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事</w:t>
      </w:r>
      <w:r>
        <w:rPr>
          <w:rFonts w:hint="eastAsia" w:ascii="宋体" w:hAnsi="宋体" w:eastAsia="宋体" w:cs="宋体"/>
          <w:color w:val="auto"/>
          <w:spacing w:val="-2"/>
          <w:sz w:val="21"/>
          <w:szCs w:val="21"/>
          <w:highlight w:val="none"/>
        </w:rPr>
        <w:t>实依据：</w:t>
      </w:r>
      <w:r>
        <w:rPr>
          <w:rFonts w:hint="eastAsia" w:ascii="宋体" w:hAnsi="宋体" w:eastAsia="宋体" w:cs="宋体"/>
          <w:color w:val="auto"/>
          <w:sz w:val="21"/>
          <w:szCs w:val="21"/>
          <w:highlight w:val="none"/>
          <w:u w:val="dotted"/>
        </w:rPr>
        <w:t xml:space="preserve">                                             </w:t>
      </w:r>
    </w:p>
    <w:p w14:paraId="4967475C">
      <w:pPr>
        <w:shd w:val="clear" w:color="auto" w:fill="auto"/>
        <w:tabs>
          <w:tab w:val="left" w:pos="8322"/>
        </w:tabs>
        <w:spacing w:before="179" w:line="242" w:lineRule="exact"/>
        <w:ind w:left="4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ab/>
      </w:r>
    </w:p>
    <w:p w14:paraId="4E363C9F">
      <w:pPr>
        <w:shd w:val="clear" w:color="auto" w:fill="auto"/>
        <w:spacing w:before="118" w:line="219" w:lineRule="auto"/>
        <w:ind w:left="50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法律</w:t>
      </w:r>
      <w:r>
        <w:rPr>
          <w:rFonts w:hint="eastAsia" w:ascii="宋体" w:hAnsi="宋体" w:eastAsia="宋体" w:cs="宋体"/>
          <w:color w:val="auto"/>
          <w:spacing w:val="-2"/>
          <w:sz w:val="21"/>
          <w:szCs w:val="21"/>
          <w:highlight w:val="none"/>
        </w:rPr>
        <w:t>依据：</w:t>
      </w:r>
      <w:r>
        <w:rPr>
          <w:rFonts w:hint="eastAsia" w:ascii="宋体" w:hAnsi="宋体" w:eastAsia="宋体" w:cs="宋体"/>
          <w:color w:val="auto"/>
          <w:sz w:val="21"/>
          <w:szCs w:val="21"/>
          <w:highlight w:val="none"/>
          <w:u w:val="dotted"/>
        </w:rPr>
        <w:t xml:space="preserve">                                             </w:t>
      </w:r>
    </w:p>
    <w:p w14:paraId="58C5C09D">
      <w:pPr>
        <w:shd w:val="clear" w:color="auto" w:fill="auto"/>
        <w:tabs>
          <w:tab w:val="left" w:pos="8322"/>
        </w:tabs>
        <w:spacing w:before="179" w:line="242" w:lineRule="exact"/>
        <w:ind w:left="4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ab/>
      </w:r>
    </w:p>
    <w:p w14:paraId="4935E883">
      <w:pPr>
        <w:shd w:val="clear" w:color="auto" w:fill="auto"/>
        <w:spacing w:before="118" w:line="437" w:lineRule="exact"/>
        <w:ind w:left="508"/>
        <w:rPr>
          <w:rFonts w:hint="eastAsia" w:ascii="宋体" w:hAnsi="宋体" w:eastAsia="宋体" w:cs="宋体"/>
          <w:color w:val="auto"/>
          <w:sz w:val="21"/>
          <w:szCs w:val="21"/>
          <w:highlight w:val="none"/>
        </w:rPr>
      </w:pPr>
      <w:r>
        <w:rPr>
          <w:rFonts w:hint="eastAsia" w:ascii="宋体" w:hAnsi="宋体" w:eastAsia="宋体" w:cs="宋体"/>
          <w:color w:val="auto"/>
          <w:spacing w:val="-13"/>
          <w:position w:val="11"/>
          <w:sz w:val="21"/>
          <w:szCs w:val="21"/>
          <w:highlight w:val="none"/>
        </w:rPr>
        <w:t>投</w:t>
      </w:r>
      <w:r>
        <w:rPr>
          <w:rFonts w:hint="eastAsia" w:ascii="宋体" w:hAnsi="宋体" w:eastAsia="宋体" w:cs="宋体"/>
          <w:color w:val="auto"/>
          <w:spacing w:val="-12"/>
          <w:position w:val="11"/>
          <w:sz w:val="21"/>
          <w:szCs w:val="21"/>
          <w:highlight w:val="none"/>
        </w:rPr>
        <w:t>诉事项 2</w:t>
      </w:r>
    </w:p>
    <w:p w14:paraId="7AB61D29">
      <w:pPr>
        <w:shd w:val="clear" w:color="auto" w:fill="auto"/>
        <w:spacing w:line="437" w:lineRule="exact"/>
        <w:ind w:left="522"/>
        <w:rPr>
          <w:rFonts w:hint="eastAsia" w:ascii="宋体" w:hAnsi="宋体" w:eastAsia="宋体" w:cs="宋体"/>
          <w:color w:val="auto"/>
          <w:sz w:val="21"/>
          <w:szCs w:val="21"/>
          <w:highlight w:val="none"/>
        </w:rPr>
      </w:pPr>
      <w:r>
        <w:rPr>
          <w:rFonts w:hint="eastAsia" w:ascii="宋体" w:hAnsi="宋体" w:eastAsia="宋体" w:cs="宋体"/>
          <w:color w:val="auto"/>
          <w:position w:val="3"/>
          <w:sz w:val="21"/>
          <w:szCs w:val="21"/>
          <w:highlight w:val="none"/>
        </w:rPr>
        <w:t>……</w:t>
      </w:r>
    </w:p>
    <w:p w14:paraId="5385292B">
      <w:pPr>
        <w:shd w:val="clear" w:color="auto" w:fill="auto"/>
        <w:spacing w:line="239" w:lineRule="exact"/>
        <w:rPr>
          <w:rFonts w:hint="eastAsia" w:ascii="宋体" w:hAnsi="宋体" w:eastAsia="宋体" w:cs="宋体"/>
          <w:color w:val="auto"/>
          <w:sz w:val="21"/>
          <w:szCs w:val="21"/>
          <w:highlight w:val="none"/>
        </w:rPr>
      </w:pPr>
    </w:p>
    <w:p w14:paraId="05DEF4EA">
      <w:pPr>
        <w:shd w:val="clear" w:color="auto" w:fill="auto"/>
        <w:spacing w:before="56" w:line="437" w:lineRule="exact"/>
        <w:ind w:left="505"/>
        <w:rPr>
          <w:rFonts w:hint="eastAsia" w:ascii="宋体" w:hAnsi="宋体" w:eastAsia="宋体" w:cs="宋体"/>
          <w:color w:val="auto"/>
          <w:spacing w:val="-1"/>
          <w:position w:val="11"/>
          <w:sz w:val="21"/>
          <w:szCs w:val="21"/>
          <w:highlight w:val="none"/>
        </w:rPr>
      </w:pPr>
      <w:r>
        <w:rPr>
          <w:rFonts w:hint="eastAsia" w:ascii="宋体" w:hAnsi="宋体" w:eastAsia="宋体" w:cs="宋体"/>
          <w:color w:val="auto"/>
          <w:spacing w:val="-2"/>
          <w:position w:val="11"/>
          <w:sz w:val="21"/>
          <w:szCs w:val="21"/>
          <w:highlight w:val="none"/>
        </w:rPr>
        <w:t>签字</w:t>
      </w:r>
      <w:r>
        <w:rPr>
          <w:rFonts w:hint="eastAsia" w:ascii="宋体" w:hAnsi="宋体" w:cs="宋体"/>
          <w:color w:val="auto"/>
          <w:spacing w:val="-2"/>
          <w:position w:val="11"/>
          <w:sz w:val="21"/>
          <w:szCs w:val="21"/>
          <w:highlight w:val="none"/>
          <w:lang w:eastAsia="zh-CN"/>
        </w:rPr>
        <w:t>（</w:t>
      </w:r>
      <w:r>
        <w:rPr>
          <w:rFonts w:hint="eastAsia" w:ascii="宋体" w:hAnsi="宋体" w:eastAsia="宋体" w:cs="宋体"/>
          <w:color w:val="auto"/>
          <w:spacing w:val="-2"/>
          <w:position w:val="11"/>
          <w:sz w:val="21"/>
          <w:szCs w:val="21"/>
          <w:highlight w:val="none"/>
        </w:rPr>
        <w:t>签</w:t>
      </w:r>
      <w:r>
        <w:rPr>
          <w:rFonts w:hint="eastAsia" w:ascii="宋体" w:hAnsi="宋体" w:eastAsia="宋体" w:cs="宋体"/>
          <w:color w:val="auto"/>
          <w:spacing w:val="-1"/>
          <w:position w:val="11"/>
          <w:sz w:val="21"/>
          <w:szCs w:val="21"/>
          <w:highlight w:val="none"/>
        </w:rPr>
        <w:t>章</w:t>
      </w:r>
      <w:r>
        <w:rPr>
          <w:rFonts w:hint="eastAsia" w:ascii="宋体" w:hAnsi="宋体" w:cs="宋体"/>
          <w:color w:val="auto"/>
          <w:spacing w:val="-1"/>
          <w:position w:val="11"/>
          <w:sz w:val="21"/>
          <w:szCs w:val="21"/>
          <w:highlight w:val="none"/>
          <w:lang w:eastAsia="zh-CN"/>
        </w:rPr>
        <w:t>）</w:t>
      </w:r>
      <w:r>
        <w:rPr>
          <w:rFonts w:hint="eastAsia" w:ascii="宋体" w:hAnsi="宋体" w:eastAsia="宋体" w:cs="宋体"/>
          <w:color w:val="auto"/>
          <w:spacing w:val="-1"/>
          <w:position w:val="11"/>
          <w:sz w:val="21"/>
          <w:szCs w:val="21"/>
          <w:highlight w:val="none"/>
        </w:rPr>
        <w:t xml:space="preserve">： </w:t>
      </w:r>
    </w:p>
    <w:p w14:paraId="64677E8D">
      <w:pPr>
        <w:shd w:val="clear" w:color="auto" w:fill="auto"/>
        <w:spacing w:before="56" w:line="437" w:lineRule="exact"/>
        <w:ind w:left="505"/>
        <w:rPr>
          <w:rFonts w:hint="eastAsia" w:ascii="宋体" w:hAnsi="宋体" w:eastAsia="宋体" w:cs="宋体"/>
          <w:color w:val="auto"/>
          <w:spacing w:val="-1"/>
          <w:position w:val="11"/>
          <w:sz w:val="21"/>
          <w:szCs w:val="21"/>
          <w:highlight w:val="none"/>
        </w:rPr>
      </w:pPr>
      <w:r>
        <w:rPr>
          <w:rFonts w:hint="eastAsia" w:ascii="宋体" w:hAnsi="宋体" w:eastAsia="宋体" w:cs="宋体"/>
          <w:color w:val="auto"/>
          <w:spacing w:val="-20"/>
          <w:sz w:val="21"/>
          <w:szCs w:val="21"/>
          <w:highlight w:val="none"/>
        </w:rPr>
        <w:t>日</w:t>
      </w:r>
      <w:r>
        <w:rPr>
          <w:rFonts w:hint="eastAsia" w:ascii="宋体" w:hAnsi="宋体" w:eastAsia="宋体" w:cs="宋体"/>
          <w:color w:val="auto"/>
          <w:spacing w:val="-19"/>
          <w:sz w:val="21"/>
          <w:szCs w:val="21"/>
          <w:highlight w:val="none"/>
        </w:rPr>
        <w:t>期：</w:t>
      </w:r>
      <w:r>
        <w:rPr>
          <w:rFonts w:hint="eastAsia" w:ascii="宋体" w:hAnsi="宋体" w:eastAsia="宋体" w:cs="宋体"/>
          <w:color w:val="auto"/>
          <w:spacing w:val="-1"/>
          <w:position w:val="11"/>
          <w:sz w:val="21"/>
          <w:szCs w:val="21"/>
          <w:highlight w:val="none"/>
        </w:rPr>
        <w:t xml:space="preserve"> </w:t>
      </w:r>
    </w:p>
    <w:p w14:paraId="416812C1">
      <w:pPr>
        <w:shd w:val="clear" w:color="auto" w:fill="auto"/>
        <w:spacing w:line="392" w:lineRule="auto"/>
        <w:rPr>
          <w:rFonts w:hint="eastAsia" w:ascii="宋体" w:hAnsi="宋体" w:eastAsia="宋体" w:cs="宋体"/>
          <w:color w:val="auto"/>
          <w:sz w:val="21"/>
          <w:szCs w:val="21"/>
          <w:highlight w:val="none"/>
        </w:rPr>
      </w:pPr>
    </w:p>
    <w:p w14:paraId="6C402FB2">
      <w:pPr>
        <w:shd w:val="clear" w:color="auto" w:fill="auto"/>
        <w:spacing w:before="91" w:line="219" w:lineRule="auto"/>
        <w:ind w:left="50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投诉书制作说</w:t>
      </w:r>
      <w:r>
        <w:rPr>
          <w:rFonts w:hint="eastAsia" w:ascii="宋体" w:hAnsi="宋体" w:eastAsia="宋体" w:cs="宋体"/>
          <w:color w:val="auto"/>
          <w:spacing w:val="-1"/>
          <w:sz w:val="21"/>
          <w:szCs w:val="21"/>
          <w:highlight w:val="none"/>
        </w:rPr>
        <w:t>明：</w:t>
      </w:r>
    </w:p>
    <w:p w14:paraId="39640316">
      <w:pPr>
        <w:shd w:val="clear" w:color="auto" w:fill="auto"/>
        <w:spacing w:before="31" w:line="239" w:lineRule="auto"/>
        <w:ind w:left="525"/>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1.投诉人提起投诉时，应当提交投诉书和必要的证明材料，并按 照被投诉人和与投诉事项有关的供应商数量提供投诉书副本。</w:t>
      </w:r>
    </w:p>
    <w:p w14:paraId="5A9AB68A">
      <w:pPr>
        <w:shd w:val="clear" w:color="auto" w:fill="auto"/>
        <w:spacing w:before="31" w:line="239" w:lineRule="auto"/>
        <w:ind w:left="525"/>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2.投诉人若委托代理人进行投诉的，投诉书应按要求列明“授权 代表”的有关内容，并在附件中提交由投诉人签署的授权委托书。授 权委托书应载明代理人的姓名或者名称、代理事项、具体权限、期限 和相关事项。</w:t>
      </w:r>
    </w:p>
    <w:p w14:paraId="216B8E89">
      <w:pPr>
        <w:shd w:val="clear" w:color="auto" w:fill="auto"/>
        <w:spacing w:before="31" w:line="239" w:lineRule="auto"/>
        <w:ind w:left="525"/>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3.投诉人若对项目的某一分包进行投诉，投诉书中应列明具体分 包号。</w:t>
      </w:r>
    </w:p>
    <w:p w14:paraId="1A1CD0B0">
      <w:pPr>
        <w:shd w:val="clear" w:color="auto" w:fill="auto"/>
        <w:spacing w:before="31" w:line="239" w:lineRule="auto"/>
        <w:ind w:left="525"/>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4.投诉书应简要列明质疑事项，质疑函、质疑答复等作为附件材 料提供。</w:t>
      </w:r>
    </w:p>
    <w:p w14:paraId="6FCC4B46">
      <w:pPr>
        <w:shd w:val="clear" w:color="auto" w:fill="auto"/>
        <w:spacing w:before="31" w:line="239" w:lineRule="auto"/>
        <w:ind w:left="525"/>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5.投诉书的投诉事项应具体、明确，并有必要的事实依据和法律 依据。</w:t>
      </w:r>
    </w:p>
    <w:p w14:paraId="4D9200CA">
      <w:pPr>
        <w:shd w:val="clear" w:color="auto" w:fill="auto"/>
        <w:spacing w:before="31" w:line="239" w:lineRule="auto"/>
        <w:ind w:left="525"/>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6.投诉书的投诉请求应与投诉事项相关。</w:t>
      </w:r>
    </w:p>
    <w:p w14:paraId="5827613A">
      <w:pPr>
        <w:shd w:val="clear" w:color="auto" w:fill="auto"/>
        <w:spacing w:before="31" w:line="239" w:lineRule="auto"/>
        <w:ind w:left="525"/>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7.投诉人为自然人的，投诉书应由本人签字；投诉人为法人或者 其他组织的，投诉书应当由法定代表人、主要负责人，或者其授权代 表签字或者盖章，并加盖公章。</w:t>
      </w:r>
    </w:p>
    <w:p w14:paraId="367EAB42">
      <w:pPr>
        <w:shd w:val="clear" w:color="auto" w:fill="auto"/>
        <w:spacing w:line="460" w:lineRule="exact"/>
        <w:ind w:firstLine="420" w:firstLineChars="200"/>
        <w:rPr>
          <w:rFonts w:hint="eastAsia" w:ascii="宋体" w:hAnsi="宋体" w:eastAsia="宋体" w:cs="宋体"/>
          <w:color w:val="000000"/>
          <w:kern w:val="0"/>
          <w:sz w:val="22"/>
          <w:szCs w:val="22"/>
          <w:highlight w:val="none"/>
          <w:shd w:val="clear" w:color="auto" w:fill="FFFFFF"/>
        </w:rPr>
      </w:pPr>
      <w:r>
        <w:rPr>
          <w:rFonts w:hint="eastAsia" w:ascii="宋体" w:hAnsi="宋体" w:eastAsia="宋体" w:cs="宋体"/>
          <w:kern w:val="2"/>
          <w:sz w:val="21"/>
          <w:szCs w:val="24"/>
          <w:highlight w:val="none"/>
          <w:lang w:val="en-US" w:eastAsia="zh-CN" w:bidi="ar-SA"/>
        </w:rPr>
        <w:br w:type="page"/>
      </w:r>
    </w:p>
    <w:p w14:paraId="6C12789F">
      <w:pPr>
        <w:spacing w:line="360" w:lineRule="auto"/>
        <w:jc w:val="center"/>
        <w:outlineLvl w:val="0"/>
        <w:rPr>
          <w:rFonts w:hint="eastAsia" w:ascii="宋体" w:hAnsi="宋体" w:eastAsia="宋体" w:cs="宋体"/>
          <w:b/>
          <w:sz w:val="36"/>
          <w:szCs w:val="36"/>
          <w:highlight w:val="none"/>
        </w:rPr>
      </w:pPr>
      <w:bookmarkStart w:id="166" w:name="_Toc99301421"/>
      <w:bookmarkStart w:id="167" w:name="_Toc6417"/>
      <w:bookmarkStart w:id="168" w:name="_Toc1354"/>
      <w:bookmarkStart w:id="169" w:name="_Toc115435536"/>
      <w:bookmarkStart w:id="170" w:name="_Toc23291"/>
      <w:bookmarkStart w:id="171" w:name="_Toc115436075"/>
      <w:bookmarkStart w:id="172" w:name="_Toc23028"/>
      <w:bookmarkStart w:id="173" w:name="_Toc2362"/>
      <w:bookmarkStart w:id="174" w:name="_Toc29710"/>
      <w:bookmarkStart w:id="175" w:name="_Toc20110"/>
      <w:bookmarkStart w:id="176" w:name="_Toc17238"/>
      <w:bookmarkStart w:id="177" w:name="_Toc4147"/>
      <w:bookmarkStart w:id="178" w:name="_Toc521014791"/>
      <w:bookmarkStart w:id="179" w:name="_Toc24395"/>
      <w:bookmarkStart w:id="180" w:name="_Toc503212223"/>
      <w:r>
        <w:rPr>
          <w:rFonts w:hint="eastAsia" w:ascii="宋体" w:hAnsi="宋体" w:eastAsia="宋体" w:cs="宋体"/>
          <w:b/>
          <w:sz w:val="36"/>
          <w:szCs w:val="36"/>
          <w:highlight w:val="none"/>
        </w:rPr>
        <w:t>第三章   资格审查</w:t>
      </w:r>
      <w:bookmarkEnd w:id="166"/>
      <w:bookmarkStart w:id="181" w:name="_Toc487900382"/>
    </w:p>
    <w:p w14:paraId="070AA2B2">
      <w:pPr>
        <w:tabs>
          <w:tab w:val="left" w:pos="360"/>
          <w:tab w:val="left" w:pos="900"/>
        </w:tabs>
        <w:snapToGrid w:val="0"/>
        <w:spacing w:line="360" w:lineRule="auto"/>
        <w:jc w:val="center"/>
        <w:outlineLvl w:val="1"/>
        <w:rPr>
          <w:rFonts w:hint="eastAsia" w:ascii="宋体" w:hAnsi="宋体" w:eastAsia="宋体" w:cs="宋体"/>
          <w:b/>
          <w:sz w:val="24"/>
          <w:highlight w:val="none"/>
        </w:rPr>
      </w:pPr>
      <w:bookmarkStart w:id="182" w:name="_Toc99301422"/>
      <w:r>
        <w:rPr>
          <w:rFonts w:hint="eastAsia" w:ascii="宋体" w:hAnsi="宋体" w:eastAsia="宋体" w:cs="宋体"/>
          <w:b/>
          <w:sz w:val="24"/>
          <w:highlight w:val="none"/>
        </w:rPr>
        <w:t>一、资格审查程序</w:t>
      </w:r>
      <w:bookmarkEnd w:id="182"/>
    </w:p>
    <w:p w14:paraId="7388A03B">
      <w:pPr>
        <w:numPr>
          <w:ilvl w:val="0"/>
          <w:numId w:val="7"/>
        </w:numPr>
        <w:tabs>
          <w:tab w:val="left" w:pos="426"/>
          <w:tab w:val="left" w:pos="851"/>
          <w:tab w:val="clear" w:pos="900"/>
        </w:tabs>
        <w:snapToGrid w:val="0"/>
        <w:spacing w:line="360" w:lineRule="auto"/>
        <w:ind w:left="426" w:hanging="426"/>
        <w:outlineLvl w:val="1"/>
        <w:rPr>
          <w:rFonts w:hint="eastAsia" w:ascii="宋体" w:hAnsi="宋体" w:eastAsia="宋体" w:cs="宋体"/>
          <w:sz w:val="24"/>
          <w:highlight w:val="none"/>
        </w:rPr>
      </w:pPr>
      <w:r>
        <w:rPr>
          <w:rFonts w:hint="eastAsia" w:ascii="宋体" w:hAnsi="宋体" w:eastAsia="宋体" w:cs="宋体"/>
          <w:sz w:val="24"/>
          <w:highlight w:val="none"/>
        </w:rPr>
        <w:t>开标结束后，采购人或采购代理机构将根据《资格审查要求》中的规定，对投标人进行资格审查，并形成资格审查结果。</w:t>
      </w:r>
    </w:p>
    <w:p w14:paraId="792E6277">
      <w:pPr>
        <w:numPr>
          <w:ilvl w:val="0"/>
          <w:numId w:val="7"/>
        </w:numPr>
        <w:tabs>
          <w:tab w:val="left" w:pos="426"/>
          <w:tab w:val="left" w:pos="851"/>
          <w:tab w:val="clear" w:pos="900"/>
        </w:tabs>
        <w:snapToGrid w:val="0"/>
        <w:spacing w:line="360" w:lineRule="auto"/>
        <w:ind w:left="426" w:hanging="426"/>
        <w:outlineLvl w:val="1"/>
        <w:rPr>
          <w:rFonts w:hint="eastAsia" w:ascii="宋体" w:hAnsi="宋体" w:eastAsia="宋体" w:cs="宋体"/>
          <w:sz w:val="24"/>
          <w:highlight w:val="none"/>
        </w:rPr>
      </w:pPr>
      <w:r>
        <w:rPr>
          <w:rFonts w:hint="eastAsia" w:ascii="宋体" w:hAnsi="宋体" w:eastAsia="宋体" w:cs="宋体"/>
          <w:sz w:val="24"/>
          <w:highlight w:val="none"/>
        </w:rPr>
        <w:t>《资格审查要求》中对格式有要求的，除招标文件另有规定外，均为“实质性格式”文件。</w:t>
      </w:r>
    </w:p>
    <w:p w14:paraId="207007B0">
      <w:pPr>
        <w:numPr>
          <w:ilvl w:val="0"/>
          <w:numId w:val="7"/>
        </w:numPr>
        <w:tabs>
          <w:tab w:val="left" w:pos="426"/>
          <w:tab w:val="left" w:pos="851"/>
          <w:tab w:val="clear" w:pos="900"/>
        </w:tabs>
        <w:snapToGrid w:val="0"/>
        <w:spacing w:line="360" w:lineRule="auto"/>
        <w:ind w:left="426" w:hanging="426"/>
        <w:outlineLvl w:val="1"/>
        <w:rPr>
          <w:rFonts w:hint="eastAsia" w:ascii="宋体" w:hAnsi="宋体" w:eastAsia="宋体" w:cs="宋体"/>
          <w:sz w:val="24"/>
          <w:highlight w:val="none"/>
        </w:rPr>
      </w:pPr>
      <w:r>
        <w:rPr>
          <w:rFonts w:hint="eastAsia" w:ascii="宋体" w:hAnsi="宋体" w:eastAsia="宋体" w:cs="宋体"/>
          <w:sz w:val="24"/>
          <w:highlight w:val="none"/>
        </w:rPr>
        <w:t>投标人《资格证明文件》有任何一项不符合《资格审查要求》的，资格审查不合格，其</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14:paraId="1779888B">
      <w:pPr>
        <w:numPr>
          <w:ilvl w:val="0"/>
          <w:numId w:val="7"/>
        </w:numPr>
        <w:tabs>
          <w:tab w:val="left" w:pos="426"/>
          <w:tab w:val="left" w:pos="851"/>
          <w:tab w:val="clear" w:pos="900"/>
        </w:tabs>
        <w:snapToGrid w:val="0"/>
        <w:spacing w:line="360" w:lineRule="auto"/>
        <w:ind w:left="426" w:hanging="426"/>
        <w:outlineLvl w:val="1"/>
        <w:rPr>
          <w:rFonts w:hint="eastAsia" w:ascii="宋体" w:hAnsi="宋体" w:eastAsia="宋体" w:cs="宋体"/>
          <w:sz w:val="24"/>
          <w:highlight w:val="none"/>
        </w:rPr>
      </w:pPr>
      <w:r>
        <w:rPr>
          <w:rFonts w:hint="eastAsia" w:ascii="宋体" w:hAnsi="宋体" w:eastAsia="宋体" w:cs="宋体"/>
          <w:sz w:val="24"/>
          <w:highlight w:val="none"/>
        </w:rPr>
        <w:t>资格审查合格的投标人不足3家的，不进行评标。</w:t>
      </w:r>
    </w:p>
    <w:p w14:paraId="6EDB9DED">
      <w:pPr>
        <w:widowControl/>
        <w:jc w:val="left"/>
        <w:rPr>
          <w:rFonts w:hint="eastAsia" w:ascii="宋体" w:hAnsi="宋体" w:eastAsia="宋体" w:cs="宋体"/>
          <w:sz w:val="24"/>
          <w:highlight w:val="none"/>
        </w:rPr>
      </w:pPr>
    </w:p>
    <w:p w14:paraId="04398239">
      <w:pPr>
        <w:tabs>
          <w:tab w:val="left" w:pos="360"/>
          <w:tab w:val="left" w:pos="900"/>
        </w:tabs>
        <w:snapToGrid w:val="0"/>
        <w:spacing w:line="360" w:lineRule="auto"/>
        <w:jc w:val="center"/>
        <w:outlineLvl w:val="1"/>
        <w:rPr>
          <w:rFonts w:hint="eastAsia" w:ascii="宋体" w:hAnsi="宋体" w:eastAsia="宋体" w:cs="宋体"/>
          <w:b/>
          <w:sz w:val="24"/>
          <w:highlight w:val="none"/>
        </w:rPr>
      </w:pPr>
      <w:r>
        <w:rPr>
          <w:rFonts w:hint="eastAsia" w:ascii="宋体" w:hAnsi="宋体" w:eastAsia="宋体" w:cs="宋体"/>
          <w:b/>
          <w:sz w:val="24"/>
          <w:highlight w:val="none"/>
        </w:rPr>
        <w:t>二、资格审查要求</w:t>
      </w:r>
    </w:p>
    <w:bookmarkEnd w:id="181"/>
    <w:tbl>
      <w:tblPr>
        <w:tblStyle w:val="77"/>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248"/>
        <w:gridCol w:w="7963"/>
      </w:tblGrid>
      <w:tr w14:paraId="787B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E636F53">
            <w:pPr>
              <w:widowControl/>
              <w:ind w:left="105" w:leftChars="0" w:right="62" w:rightChars="0" w:hanging="105" w:hangingChars="50"/>
              <w:jc w:val="center"/>
              <w:rPr>
                <w:rFonts w:hint="eastAsia" w:ascii="宋体" w:hAnsi="宋体" w:eastAsia="宋体" w:cs="宋体"/>
                <w:b/>
                <w:sz w:val="21"/>
                <w:szCs w:val="21"/>
                <w:highlight w:val="none"/>
                <w:vertAlign w:val="baseline"/>
              </w:rPr>
            </w:pPr>
            <w:bookmarkStart w:id="183" w:name="_Hlt487972895"/>
            <w:bookmarkEnd w:id="183"/>
            <w:bookmarkStart w:id="184" w:name="_Toc99301423"/>
            <w:r>
              <w:rPr>
                <w:rFonts w:hint="eastAsia" w:ascii="宋体" w:hAnsi="宋体" w:eastAsia="宋体" w:cs="宋体"/>
                <w:b/>
                <w:color w:val="000000"/>
                <w:kern w:val="0"/>
                <w:sz w:val="21"/>
                <w:szCs w:val="21"/>
                <w:highlight w:val="none"/>
              </w:rPr>
              <w:t>序号</w:t>
            </w:r>
          </w:p>
        </w:tc>
        <w:tc>
          <w:tcPr>
            <w:tcW w:w="1248" w:type="dxa"/>
            <w:vAlign w:val="center"/>
          </w:tcPr>
          <w:p w14:paraId="572F5CC8">
            <w:pPr>
              <w:widowControl/>
              <w:ind w:left="105" w:leftChars="0" w:right="62" w:rightChars="0" w:hanging="105" w:hangingChars="50"/>
              <w:jc w:val="center"/>
              <w:rPr>
                <w:rFonts w:hint="eastAsia" w:ascii="宋体" w:hAnsi="宋体" w:eastAsia="宋体" w:cs="宋体"/>
                <w:b/>
                <w:sz w:val="21"/>
                <w:szCs w:val="21"/>
                <w:highlight w:val="none"/>
                <w:vertAlign w:val="baseline"/>
              </w:rPr>
            </w:pPr>
            <w:r>
              <w:rPr>
                <w:rFonts w:hint="eastAsia" w:ascii="宋体" w:hAnsi="宋体" w:eastAsia="宋体" w:cs="宋体"/>
                <w:b/>
                <w:color w:val="000000"/>
                <w:kern w:val="0"/>
                <w:sz w:val="21"/>
                <w:szCs w:val="21"/>
                <w:highlight w:val="none"/>
              </w:rPr>
              <w:t>审查因素</w:t>
            </w:r>
          </w:p>
        </w:tc>
        <w:tc>
          <w:tcPr>
            <w:tcW w:w="7963" w:type="dxa"/>
            <w:vAlign w:val="center"/>
          </w:tcPr>
          <w:p w14:paraId="603B8269">
            <w:pPr>
              <w:widowControl/>
              <w:ind w:left="105" w:leftChars="0" w:right="62" w:rightChars="0" w:hanging="105" w:hangingChars="50"/>
              <w:jc w:val="center"/>
              <w:rPr>
                <w:rFonts w:hint="eastAsia" w:ascii="宋体" w:hAnsi="宋体" w:eastAsia="宋体" w:cs="宋体"/>
                <w:b/>
                <w:sz w:val="21"/>
                <w:szCs w:val="21"/>
                <w:highlight w:val="none"/>
                <w:vertAlign w:val="baseline"/>
              </w:rPr>
            </w:pPr>
            <w:r>
              <w:rPr>
                <w:rFonts w:hint="eastAsia" w:ascii="宋体" w:hAnsi="宋体" w:eastAsia="宋体" w:cs="宋体"/>
                <w:b/>
                <w:color w:val="000000"/>
                <w:kern w:val="0"/>
                <w:sz w:val="21"/>
                <w:szCs w:val="21"/>
                <w:highlight w:val="none"/>
              </w:rPr>
              <w:t>审查内容</w:t>
            </w:r>
          </w:p>
        </w:tc>
      </w:tr>
      <w:tr w14:paraId="7B13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14:paraId="387E0996">
            <w:pPr>
              <w:numPr>
                <w:ilvl w:val="0"/>
                <w:numId w:val="8"/>
              </w:numPr>
              <w:spacing w:line="360" w:lineRule="auto"/>
              <w:ind w:left="425" w:leftChars="0" w:hanging="425" w:firstLineChars="0"/>
              <w:jc w:val="center"/>
              <w:outlineLvl w:val="0"/>
              <w:rPr>
                <w:rFonts w:hint="eastAsia" w:ascii="宋体" w:hAnsi="宋体" w:eastAsia="宋体" w:cs="宋体"/>
                <w:b/>
                <w:sz w:val="21"/>
                <w:szCs w:val="21"/>
                <w:highlight w:val="none"/>
                <w:vertAlign w:val="baseline"/>
              </w:rPr>
            </w:pPr>
          </w:p>
        </w:tc>
        <w:tc>
          <w:tcPr>
            <w:tcW w:w="1248" w:type="dxa"/>
          </w:tcPr>
          <w:p w14:paraId="27E6F9D7">
            <w:pPr>
              <w:spacing w:line="360" w:lineRule="auto"/>
              <w:jc w:val="center"/>
              <w:outlineLvl w:val="0"/>
              <w:rPr>
                <w:rFonts w:hint="default" w:ascii="宋体" w:hAnsi="宋体" w:eastAsia="宋体" w:cs="宋体"/>
                <w:b/>
                <w:sz w:val="21"/>
                <w:szCs w:val="21"/>
                <w:highlight w:val="none"/>
                <w:vertAlign w:val="baseline"/>
                <w:lang w:val="en-US" w:eastAsia="zh-CN"/>
              </w:rPr>
            </w:pPr>
            <w:r>
              <w:rPr>
                <w:rStyle w:val="94"/>
                <w:rFonts w:hint="eastAsia" w:asciiTheme="minorEastAsia" w:hAnsiTheme="minorEastAsia" w:eastAsiaTheme="minorEastAsia" w:cstheme="minorEastAsia"/>
                <w:i w:val="0"/>
                <w:iCs w:val="0"/>
                <w:color w:val="auto"/>
                <w:spacing w:val="-2"/>
                <w:sz w:val="21"/>
                <w:szCs w:val="21"/>
                <w:highlight w:val="none"/>
                <w:lang w:val="en-US" w:eastAsia="zh-CN"/>
              </w:rPr>
              <w:t>营业执照</w:t>
            </w:r>
          </w:p>
        </w:tc>
        <w:tc>
          <w:tcPr>
            <w:tcW w:w="7963" w:type="dxa"/>
            <w:vAlign w:val="center"/>
          </w:tcPr>
          <w:p w14:paraId="79C2FFEA">
            <w:pPr>
              <w:spacing w:line="240" w:lineRule="auto"/>
              <w:ind w:left="105" w:leftChars="0" w:right="62" w:rightChars="0" w:hanging="105" w:hangingChars="50"/>
              <w:jc w:val="left"/>
              <w:rPr>
                <w:rFonts w:hint="eastAsia" w:ascii="宋体" w:hAnsi="宋体" w:eastAsia="宋体" w:cs="宋体"/>
                <w:b w:val="0"/>
                <w:bCs/>
                <w:sz w:val="21"/>
                <w:szCs w:val="21"/>
                <w:highlight w:val="none"/>
                <w:vertAlign w:val="baseline"/>
                <w:lang w:eastAsia="zh-CN"/>
              </w:rPr>
            </w:pPr>
            <w:r>
              <w:rPr>
                <w:rFonts w:hint="eastAsia" w:ascii="宋体" w:hAnsi="宋体" w:eastAsia="宋体" w:cs="宋体"/>
                <w:b w:val="0"/>
                <w:bCs/>
                <w:sz w:val="21"/>
                <w:szCs w:val="21"/>
                <w:highlight w:val="none"/>
                <w:vertAlign w:val="baseline"/>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w:t>
            </w:r>
            <w:r>
              <w:rPr>
                <w:rFonts w:hint="eastAsia" w:ascii="宋体" w:hAnsi="宋体" w:cs="宋体"/>
                <w:b w:val="0"/>
                <w:bCs/>
                <w:sz w:val="21"/>
                <w:szCs w:val="21"/>
                <w:highlight w:val="none"/>
                <w:vertAlign w:val="baseline"/>
                <w:lang w:eastAsia="zh-CN"/>
              </w:rPr>
              <w:t>；</w:t>
            </w:r>
          </w:p>
        </w:tc>
      </w:tr>
      <w:tr w14:paraId="3A70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14:paraId="4ABCAD1C">
            <w:pPr>
              <w:numPr>
                <w:ilvl w:val="0"/>
                <w:numId w:val="8"/>
              </w:numPr>
              <w:spacing w:line="360" w:lineRule="auto"/>
              <w:ind w:left="425" w:leftChars="0" w:hanging="425" w:firstLineChars="0"/>
              <w:jc w:val="center"/>
              <w:outlineLvl w:val="0"/>
              <w:rPr>
                <w:rFonts w:hint="eastAsia" w:ascii="宋体" w:hAnsi="宋体" w:eastAsia="宋体" w:cs="宋体"/>
                <w:b/>
                <w:sz w:val="21"/>
                <w:szCs w:val="21"/>
                <w:highlight w:val="none"/>
                <w:vertAlign w:val="baseline"/>
              </w:rPr>
            </w:pPr>
          </w:p>
        </w:tc>
        <w:tc>
          <w:tcPr>
            <w:tcW w:w="1248" w:type="dxa"/>
          </w:tcPr>
          <w:p w14:paraId="7FDCB733">
            <w:pPr>
              <w:spacing w:line="240" w:lineRule="auto"/>
              <w:ind w:left="103" w:leftChars="0" w:right="62" w:rightChars="0" w:hanging="103" w:hangingChars="50"/>
              <w:jc w:val="center"/>
              <w:rPr>
                <w:rStyle w:val="94"/>
                <w:rFonts w:hint="default" w:asciiTheme="minorEastAsia" w:hAnsiTheme="minorEastAsia" w:eastAsiaTheme="minorEastAsia" w:cstheme="minorEastAsia"/>
                <w:i w:val="0"/>
                <w:iCs w:val="0"/>
                <w:color w:val="auto"/>
                <w:spacing w:val="-2"/>
                <w:sz w:val="21"/>
                <w:szCs w:val="21"/>
                <w:highlight w:val="none"/>
                <w:lang w:val="en-US" w:eastAsia="zh-CN"/>
              </w:rPr>
            </w:pPr>
            <w:r>
              <w:rPr>
                <w:rStyle w:val="94"/>
                <w:rFonts w:hint="eastAsia" w:asciiTheme="minorEastAsia" w:hAnsiTheme="minorEastAsia" w:eastAsiaTheme="minorEastAsia" w:cstheme="minorEastAsia"/>
                <w:i w:val="0"/>
                <w:iCs w:val="0"/>
                <w:color w:val="auto"/>
                <w:spacing w:val="-2"/>
                <w:sz w:val="21"/>
                <w:szCs w:val="21"/>
                <w:highlight w:val="none"/>
                <w:lang w:val="en-US" w:eastAsia="zh-CN"/>
              </w:rPr>
              <w:t>完税证明</w:t>
            </w:r>
          </w:p>
        </w:tc>
        <w:tc>
          <w:tcPr>
            <w:tcW w:w="7963" w:type="dxa"/>
            <w:vAlign w:val="center"/>
          </w:tcPr>
          <w:p w14:paraId="153B0F0D">
            <w:pPr>
              <w:spacing w:line="240" w:lineRule="auto"/>
              <w:ind w:left="105" w:leftChars="0" w:right="62" w:rightChars="0" w:hanging="105" w:hangingChars="50"/>
              <w:jc w:val="left"/>
              <w:rPr>
                <w:rFonts w:hint="eastAsia" w:ascii="宋体" w:hAnsi="宋体" w:eastAsia="宋体" w:cs="宋体"/>
                <w:b w:val="0"/>
                <w:bCs/>
                <w:sz w:val="21"/>
                <w:szCs w:val="21"/>
                <w:highlight w:val="none"/>
                <w:vertAlign w:val="baseline"/>
                <w:lang w:eastAsia="zh-CN"/>
              </w:rPr>
            </w:pPr>
            <w:r>
              <w:rPr>
                <w:rFonts w:hint="eastAsia" w:ascii="宋体" w:hAnsi="宋体" w:eastAsia="宋体" w:cs="宋体"/>
                <w:b w:val="0"/>
                <w:bCs/>
                <w:sz w:val="21"/>
                <w:szCs w:val="21"/>
                <w:highlight w:val="none"/>
                <w:vertAlign w:val="baseline"/>
              </w:rPr>
              <w:t>提供近三个月（近三个月是指</w:t>
            </w:r>
            <w:r>
              <w:rPr>
                <w:rFonts w:hint="eastAsia" w:ascii="宋体" w:hAnsi="宋体" w:cs="宋体"/>
                <w:b w:val="0"/>
                <w:bCs/>
                <w:sz w:val="21"/>
                <w:szCs w:val="21"/>
                <w:highlight w:val="none"/>
                <w:vertAlign w:val="baseline"/>
                <w:lang w:eastAsia="zh-CN"/>
              </w:rPr>
              <w:t>2024年</w:t>
            </w:r>
            <w:r>
              <w:rPr>
                <w:rFonts w:hint="eastAsia" w:ascii="宋体" w:hAnsi="宋体" w:cs="宋体"/>
                <w:b w:val="0"/>
                <w:bCs/>
                <w:sz w:val="21"/>
                <w:szCs w:val="21"/>
                <w:highlight w:val="none"/>
                <w:vertAlign w:val="baseline"/>
                <w:lang w:val="en-US" w:eastAsia="zh-CN"/>
              </w:rPr>
              <w:t>10</w:t>
            </w:r>
            <w:r>
              <w:rPr>
                <w:rFonts w:hint="eastAsia" w:ascii="宋体" w:hAnsi="宋体" w:cs="宋体"/>
                <w:b w:val="0"/>
                <w:bCs/>
                <w:sz w:val="21"/>
                <w:szCs w:val="21"/>
                <w:highlight w:val="none"/>
                <w:vertAlign w:val="baseline"/>
                <w:lang w:eastAsia="zh-CN"/>
              </w:rPr>
              <w:t>月-2024年1</w:t>
            </w:r>
            <w:r>
              <w:rPr>
                <w:rFonts w:hint="eastAsia" w:ascii="宋体" w:hAnsi="宋体" w:cs="宋体"/>
                <w:b w:val="0"/>
                <w:bCs/>
                <w:sz w:val="21"/>
                <w:szCs w:val="21"/>
                <w:highlight w:val="none"/>
                <w:vertAlign w:val="baseline"/>
                <w:lang w:val="en-US" w:eastAsia="zh-CN"/>
              </w:rPr>
              <w:t>2</w:t>
            </w:r>
            <w:r>
              <w:rPr>
                <w:rFonts w:hint="eastAsia" w:ascii="宋体" w:hAnsi="宋体" w:cs="宋体"/>
                <w:b w:val="0"/>
                <w:bCs/>
                <w:sz w:val="21"/>
                <w:szCs w:val="21"/>
                <w:highlight w:val="none"/>
                <w:vertAlign w:val="baseline"/>
                <w:lang w:eastAsia="zh-CN"/>
              </w:rPr>
              <w:t>月</w:t>
            </w:r>
            <w:r>
              <w:rPr>
                <w:rFonts w:hint="eastAsia" w:ascii="宋体" w:hAnsi="宋体" w:eastAsia="宋体" w:cs="宋体"/>
                <w:b w:val="0"/>
                <w:bCs/>
                <w:sz w:val="21"/>
                <w:szCs w:val="21"/>
                <w:highlight w:val="none"/>
                <w:vertAlign w:val="baseline"/>
              </w:rPr>
              <w:t>）的缴纳税收的完税证明；如依法免税的，应提供相应文件证明（需含增值税、印花税等税种；新成立不足3个月的公司按实际发生提供，如当月无需缴税需提供税务机关出具的无欠税证明）</w:t>
            </w:r>
            <w:r>
              <w:rPr>
                <w:rFonts w:hint="eastAsia" w:ascii="宋体" w:hAnsi="宋体" w:cs="宋体"/>
                <w:b w:val="0"/>
                <w:bCs/>
                <w:sz w:val="21"/>
                <w:szCs w:val="21"/>
                <w:highlight w:val="none"/>
                <w:vertAlign w:val="baseline"/>
                <w:lang w:eastAsia="zh-CN"/>
              </w:rPr>
              <w:t>；</w:t>
            </w:r>
          </w:p>
        </w:tc>
      </w:tr>
      <w:tr w14:paraId="33A9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14:paraId="1CDFF9A0">
            <w:pPr>
              <w:numPr>
                <w:ilvl w:val="0"/>
                <w:numId w:val="8"/>
              </w:numPr>
              <w:spacing w:line="360" w:lineRule="auto"/>
              <w:ind w:left="425" w:leftChars="0" w:hanging="425" w:firstLineChars="0"/>
              <w:jc w:val="center"/>
              <w:outlineLvl w:val="0"/>
              <w:rPr>
                <w:rFonts w:hint="eastAsia" w:ascii="宋体" w:hAnsi="宋体" w:eastAsia="宋体" w:cs="宋体"/>
                <w:b/>
                <w:sz w:val="21"/>
                <w:szCs w:val="21"/>
                <w:highlight w:val="none"/>
                <w:vertAlign w:val="baseline"/>
              </w:rPr>
            </w:pPr>
          </w:p>
        </w:tc>
        <w:tc>
          <w:tcPr>
            <w:tcW w:w="1248" w:type="dxa"/>
          </w:tcPr>
          <w:p w14:paraId="52F6F655">
            <w:pPr>
              <w:spacing w:line="240" w:lineRule="auto"/>
              <w:ind w:left="103" w:leftChars="0" w:right="62" w:rightChars="0" w:hanging="103" w:hangingChars="50"/>
              <w:jc w:val="center"/>
              <w:rPr>
                <w:rStyle w:val="94"/>
                <w:rFonts w:hint="default" w:asciiTheme="minorEastAsia" w:hAnsiTheme="minorEastAsia" w:eastAsiaTheme="minorEastAsia" w:cstheme="minorEastAsia"/>
                <w:i w:val="0"/>
                <w:iCs w:val="0"/>
                <w:color w:val="auto"/>
                <w:spacing w:val="-2"/>
                <w:sz w:val="21"/>
                <w:szCs w:val="21"/>
                <w:highlight w:val="none"/>
                <w:lang w:val="en-US" w:eastAsia="zh-CN"/>
              </w:rPr>
            </w:pPr>
            <w:r>
              <w:rPr>
                <w:rStyle w:val="94"/>
                <w:rFonts w:hint="eastAsia" w:asciiTheme="minorEastAsia" w:hAnsiTheme="minorEastAsia" w:eastAsiaTheme="minorEastAsia" w:cstheme="minorEastAsia"/>
                <w:i w:val="0"/>
                <w:iCs w:val="0"/>
                <w:color w:val="auto"/>
                <w:spacing w:val="-2"/>
                <w:sz w:val="21"/>
                <w:szCs w:val="21"/>
                <w:highlight w:val="none"/>
                <w:lang w:val="en-US" w:eastAsia="zh-CN"/>
              </w:rPr>
              <w:t>社保证明</w:t>
            </w:r>
          </w:p>
        </w:tc>
        <w:tc>
          <w:tcPr>
            <w:tcW w:w="7963" w:type="dxa"/>
            <w:vAlign w:val="center"/>
          </w:tcPr>
          <w:p w14:paraId="265CA45E">
            <w:pPr>
              <w:spacing w:line="240" w:lineRule="auto"/>
              <w:ind w:left="105" w:leftChars="0" w:right="62" w:rightChars="0" w:hanging="105" w:hangingChars="50"/>
              <w:jc w:val="left"/>
              <w:rPr>
                <w:rFonts w:hint="eastAsia" w:ascii="宋体" w:hAnsi="宋体" w:eastAsia="宋体" w:cs="宋体"/>
                <w:b w:val="0"/>
                <w:bCs/>
                <w:sz w:val="21"/>
                <w:szCs w:val="21"/>
                <w:highlight w:val="none"/>
                <w:vertAlign w:val="baseline"/>
                <w:lang w:eastAsia="zh-CN"/>
              </w:rPr>
            </w:pPr>
            <w:r>
              <w:rPr>
                <w:rFonts w:hint="eastAsia" w:ascii="宋体" w:hAnsi="宋体" w:eastAsia="宋体" w:cs="宋体"/>
                <w:b w:val="0"/>
                <w:bCs/>
                <w:sz w:val="21"/>
                <w:szCs w:val="21"/>
                <w:highlight w:val="none"/>
                <w:vertAlign w:val="baseline"/>
              </w:rPr>
              <w:t>提供近三个月（近三个月是指</w:t>
            </w:r>
            <w:r>
              <w:rPr>
                <w:rFonts w:hint="eastAsia" w:ascii="宋体" w:hAnsi="宋体" w:cs="宋体"/>
                <w:b w:val="0"/>
                <w:bCs/>
                <w:sz w:val="21"/>
                <w:szCs w:val="21"/>
                <w:highlight w:val="none"/>
                <w:vertAlign w:val="baseline"/>
                <w:lang w:eastAsia="zh-CN"/>
              </w:rPr>
              <w:t>2024年</w:t>
            </w:r>
            <w:r>
              <w:rPr>
                <w:rFonts w:hint="eastAsia" w:ascii="宋体" w:hAnsi="宋体" w:cs="宋体"/>
                <w:b w:val="0"/>
                <w:bCs/>
                <w:sz w:val="21"/>
                <w:szCs w:val="21"/>
                <w:highlight w:val="none"/>
                <w:vertAlign w:val="baseline"/>
                <w:lang w:val="en-US" w:eastAsia="zh-CN"/>
              </w:rPr>
              <w:t>10</w:t>
            </w:r>
            <w:r>
              <w:rPr>
                <w:rFonts w:hint="eastAsia" w:ascii="宋体" w:hAnsi="宋体" w:cs="宋体"/>
                <w:b w:val="0"/>
                <w:bCs/>
                <w:sz w:val="21"/>
                <w:szCs w:val="21"/>
                <w:highlight w:val="none"/>
                <w:vertAlign w:val="baseline"/>
                <w:lang w:eastAsia="zh-CN"/>
              </w:rPr>
              <w:t>月-2024年1</w:t>
            </w:r>
            <w:r>
              <w:rPr>
                <w:rFonts w:hint="eastAsia" w:ascii="宋体" w:hAnsi="宋体" w:cs="宋体"/>
                <w:b w:val="0"/>
                <w:bCs/>
                <w:sz w:val="21"/>
                <w:szCs w:val="21"/>
                <w:highlight w:val="none"/>
                <w:vertAlign w:val="baseline"/>
                <w:lang w:val="en-US" w:eastAsia="zh-CN"/>
              </w:rPr>
              <w:t>2</w:t>
            </w:r>
            <w:r>
              <w:rPr>
                <w:rFonts w:hint="eastAsia" w:ascii="宋体" w:hAnsi="宋体" w:cs="宋体"/>
                <w:b w:val="0"/>
                <w:bCs/>
                <w:sz w:val="21"/>
                <w:szCs w:val="21"/>
                <w:highlight w:val="none"/>
                <w:vertAlign w:val="baseline"/>
                <w:lang w:eastAsia="zh-CN"/>
              </w:rPr>
              <w:t>月</w:t>
            </w:r>
            <w:r>
              <w:rPr>
                <w:rFonts w:hint="eastAsia" w:ascii="宋体" w:hAnsi="宋体" w:eastAsia="宋体" w:cs="宋体"/>
                <w:b w:val="0"/>
                <w:bCs/>
                <w:sz w:val="21"/>
                <w:szCs w:val="21"/>
                <w:highlight w:val="none"/>
                <w:vertAlign w:val="baseline"/>
              </w:rPr>
              <w:t>）本单位的社保缴纳证明（社保缴费凭证及明细，新成立不足3个月的公司以实际发生的为准）。如依法不需要缴纳社会保障资金的，应提供相应文件证明</w:t>
            </w:r>
            <w:r>
              <w:rPr>
                <w:rFonts w:hint="eastAsia" w:ascii="宋体" w:hAnsi="宋体" w:cs="宋体"/>
                <w:b w:val="0"/>
                <w:bCs/>
                <w:sz w:val="21"/>
                <w:szCs w:val="21"/>
                <w:highlight w:val="none"/>
                <w:vertAlign w:val="baseline"/>
                <w:lang w:eastAsia="zh-CN"/>
              </w:rPr>
              <w:t>；</w:t>
            </w:r>
          </w:p>
        </w:tc>
      </w:tr>
      <w:tr w14:paraId="2C5E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14:paraId="528CCBD3">
            <w:pPr>
              <w:numPr>
                <w:ilvl w:val="0"/>
                <w:numId w:val="8"/>
              </w:numPr>
              <w:spacing w:line="360" w:lineRule="auto"/>
              <w:ind w:left="425" w:leftChars="0" w:hanging="425" w:firstLineChars="0"/>
              <w:jc w:val="center"/>
              <w:outlineLvl w:val="0"/>
              <w:rPr>
                <w:rFonts w:hint="eastAsia" w:ascii="宋体" w:hAnsi="宋体" w:eastAsia="宋体" w:cs="宋体"/>
                <w:b/>
                <w:sz w:val="21"/>
                <w:szCs w:val="21"/>
                <w:highlight w:val="none"/>
                <w:vertAlign w:val="baseline"/>
              </w:rPr>
            </w:pPr>
          </w:p>
        </w:tc>
        <w:tc>
          <w:tcPr>
            <w:tcW w:w="1248" w:type="dxa"/>
          </w:tcPr>
          <w:p w14:paraId="38AE0927">
            <w:pPr>
              <w:spacing w:line="240" w:lineRule="auto"/>
              <w:ind w:left="103" w:leftChars="0" w:right="62" w:rightChars="0" w:hanging="103" w:hangingChars="50"/>
              <w:jc w:val="center"/>
              <w:rPr>
                <w:rStyle w:val="94"/>
                <w:rFonts w:hint="default" w:asciiTheme="minorEastAsia" w:hAnsiTheme="minorEastAsia" w:eastAsiaTheme="minorEastAsia" w:cstheme="minorEastAsia"/>
                <w:i w:val="0"/>
                <w:iCs w:val="0"/>
                <w:color w:val="auto"/>
                <w:spacing w:val="-2"/>
                <w:sz w:val="21"/>
                <w:szCs w:val="21"/>
                <w:highlight w:val="none"/>
                <w:lang w:val="en-US" w:eastAsia="zh-CN"/>
              </w:rPr>
            </w:pPr>
            <w:r>
              <w:rPr>
                <w:rStyle w:val="94"/>
                <w:rFonts w:hint="eastAsia" w:asciiTheme="minorEastAsia" w:hAnsiTheme="minorEastAsia" w:eastAsiaTheme="minorEastAsia" w:cstheme="minorEastAsia"/>
                <w:i w:val="0"/>
                <w:iCs w:val="0"/>
                <w:color w:val="auto"/>
                <w:spacing w:val="-2"/>
                <w:sz w:val="21"/>
                <w:szCs w:val="21"/>
                <w:highlight w:val="none"/>
                <w:lang w:val="en-US" w:eastAsia="zh-CN"/>
              </w:rPr>
              <w:t>财务会计报告</w:t>
            </w:r>
          </w:p>
        </w:tc>
        <w:tc>
          <w:tcPr>
            <w:tcW w:w="7963" w:type="dxa"/>
            <w:vAlign w:val="center"/>
          </w:tcPr>
          <w:p w14:paraId="41A2D256">
            <w:pPr>
              <w:spacing w:line="240" w:lineRule="auto"/>
              <w:ind w:left="105" w:leftChars="0" w:right="62" w:rightChars="0" w:hanging="105" w:hangingChars="50"/>
              <w:jc w:val="left"/>
              <w:rPr>
                <w:rFonts w:hint="eastAsia" w:ascii="宋体" w:hAnsi="宋体" w:eastAsia="宋体" w:cs="宋体"/>
                <w:b w:val="0"/>
                <w:bCs/>
                <w:sz w:val="21"/>
                <w:szCs w:val="21"/>
                <w:highlight w:val="none"/>
                <w:vertAlign w:val="baseline"/>
              </w:rPr>
            </w:pPr>
            <w:r>
              <w:rPr>
                <w:rFonts w:hint="eastAsia" w:ascii="宋体" w:hAnsi="宋体" w:eastAsia="宋体" w:cs="宋体"/>
                <w:color w:val="000000"/>
                <w:szCs w:val="21"/>
                <w:highlight w:val="none"/>
                <w:lang w:val="en-US" w:eastAsia="zh-CN"/>
              </w:rPr>
              <w:t>提供2023年度由第三方财务审计机构出具的财务审计报告或新成立的企业提供银行出具的近三个月的资信证明；</w:t>
            </w:r>
          </w:p>
        </w:tc>
      </w:tr>
      <w:tr w14:paraId="5A24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14:paraId="61BDF031">
            <w:pPr>
              <w:numPr>
                <w:ilvl w:val="0"/>
                <w:numId w:val="8"/>
              </w:numPr>
              <w:spacing w:line="360" w:lineRule="auto"/>
              <w:ind w:left="425" w:leftChars="0" w:hanging="425" w:firstLineChars="0"/>
              <w:jc w:val="center"/>
              <w:outlineLvl w:val="0"/>
              <w:rPr>
                <w:rFonts w:hint="eastAsia" w:ascii="宋体" w:hAnsi="宋体" w:eastAsia="宋体" w:cs="宋体"/>
                <w:b/>
                <w:sz w:val="21"/>
                <w:szCs w:val="21"/>
                <w:highlight w:val="none"/>
                <w:vertAlign w:val="baseline"/>
              </w:rPr>
            </w:pPr>
          </w:p>
        </w:tc>
        <w:tc>
          <w:tcPr>
            <w:tcW w:w="1248" w:type="dxa"/>
          </w:tcPr>
          <w:p w14:paraId="075BC8A3">
            <w:pPr>
              <w:spacing w:line="240" w:lineRule="auto"/>
              <w:ind w:left="103" w:leftChars="0" w:right="62" w:rightChars="0" w:hanging="103" w:hangingChars="50"/>
              <w:jc w:val="center"/>
              <w:rPr>
                <w:rStyle w:val="94"/>
                <w:rFonts w:hint="default" w:asciiTheme="minorEastAsia" w:hAnsiTheme="minorEastAsia" w:eastAsiaTheme="minorEastAsia" w:cstheme="minorEastAsia"/>
                <w:i w:val="0"/>
                <w:iCs w:val="0"/>
                <w:color w:val="auto"/>
                <w:spacing w:val="-2"/>
                <w:sz w:val="21"/>
                <w:szCs w:val="21"/>
                <w:highlight w:val="none"/>
                <w:lang w:val="en-US" w:eastAsia="zh-CN"/>
              </w:rPr>
            </w:pPr>
            <w:r>
              <w:rPr>
                <w:rStyle w:val="94"/>
                <w:rFonts w:hint="eastAsia" w:asciiTheme="minorEastAsia" w:hAnsiTheme="minorEastAsia" w:eastAsiaTheme="minorEastAsia" w:cstheme="minorEastAsia"/>
                <w:i w:val="0"/>
                <w:iCs w:val="0"/>
                <w:color w:val="auto"/>
                <w:spacing w:val="-2"/>
                <w:sz w:val="21"/>
                <w:szCs w:val="21"/>
                <w:highlight w:val="none"/>
                <w:lang w:val="en-US" w:eastAsia="zh-CN"/>
              </w:rPr>
              <w:t>管理、控股</w:t>
            </w:r>
          </w:p>
        </w:tc>
        <w:tc>
          <w:tcPr>
            <w:tcW w:w="7963" w:type="dxa"/>
            <w:vAlign w:val="center"/>
          </w:tcPr>
          <w:p w14:paraId="29B434C5">
            <w:pPr>
              <w:spacing w:line="240" w:lineRule="auto"/>
              <w:ind w:left="105" w:leftChars="0" w:right="62" w:rightChars="0" w:hanging="105" w:hangingChars="50"/>
              <w:jc w:val="left"/>
              <w:rPr>
                <w:rFonts w:hint="eastAsia" w:ascii="宋体" w:hAnsi="宋体" w:eastAsia="宋体" w:cs="宋体"/>
                <w:b w:val="0"/>
                <w:bCs/>
                <w:sz w:val="21"/>
                <w:szCs w:val="21"/>
                <w:highlight w:val="none"/>
                <w:vertAlign w:val="baseline"/>
                <w:lang w:eastAsia="zh-CN"/>
              </w:rPr>
            </w:pPr>
            <w:r>
              <w:rPr>
                <w:rFonts w:hint="eastAsia" w:ascii="宋体" w:hAnsi="宋体" w:eastAsia="宋体" w:cs="宋体"/>
                <w:color w:val="000000"/>
                <w:highlight w:val="none"/>
              </w:rPr>
              <w:t>企业负责人为同一人或者存在直接控股、管理关系的不同投标人，不得参加同一合同项下的政府采购活动的声明函；否则，皆取消投标资格</w:t>
            </w:r>
            <w:r>
              <w:rPr>
                <w:rFonts w:hint="eastAsia" w:ascii="宋体" w:hAnsi="宋体" w:cs="宋体"/>
                <w:color w:val="000000"/>
                <w:highlight w:val="none"/>
                <w:lang w:eastAsia="zh-CN"/>
              </w:rPr>
              <w:t>；</w:t>
            </w:r>
          </w:p>
        </w:tc>
      </w:tr>
      <w:tr w14:paraId="4D90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14:paraId="71133CAC">
            <w:pPr>
              <w:numPr>
                <w:ilvl w:val="0"/>
                <w:numId w:val="8"/>
              </w:numPr>
              <w:spacing w:line="360" w:lineRule="auto"/>
              <w:ind w:left="425" w:leftChars="0" w:hanging="425" w:firstLineChars="0"/>
              <w:jc w:val="center"/>
              <w:outlineLvl w:val="0"/>
              <w:rPr>
                <w:rFonts w:hint="eastAsia" w:ascii="宋体" w:hAnsi="宋体" w:eastAsia="宋体" w:cs="宋体"/>
                <w:b/>
                <w:sz w:val="21"/>
                <w:szCs w:val="21"/>
                <w:highlight w:val="none"/>
                <w:vertAlign w:val="baseline"/>
              </w:rPr>
            </w:pPr>
          </w:p>
        </w:tc>
        <w:tc>
          <w:tcPr>
            <w:tcW w:w="1248" w:type="dxa"/>
            <w:vAlign w:val="top"/>
          </w:tcPr>
          <w:p w14:paraId="1B1A5479">
            <w:pPr>
              <w:spacing w:line="240" w:lineRule="auto"/>
              <w:ind w:left="103" w:leftChars="0" w:right="62" w:rightChars="0" w:hanging="103" w:hangingChars="50"/>
              <w:jc w:val="center"/>
              <w:rPr>
                <w:rFonts w:hint="default" w:asciiTheme="minorEastAsia" w:hAnsiTheme="minorEastAsia" w:eastAsiaTheme="minorEastAsia" w:cstheme="minorEastAsia"/>
                <w:i w:val="0"/>
                <w:iCs w:val="0"/>
                <w:color w:val="auto"/>
                <w:spacing w:val="-2"/>
                <w:kern w:val="2"/>
                <w:sz w:val="21"/>
                <w:szCs w:val="21"/>
                <w:highlight w:val="none"/>
                <w:lang w:val="en-US" w:eastAsia="zh-CN" w:bidi="ar-SA"/>
              </w:rPr>
            </w:pPr>
            <w:r>
              <w:rPr>
                <w:rStyle w:val="94"/>
                <w:rFonts w:hint="eastAsia" w:asciiTheme="minorEastAsia" w:hAnsiTheme="minorEastAsia" w:eastAsiaTheme="minorEastAsia" w:cstheme="minorEastAsia"/>
                <w:i w:val="0"/>
                <w:iCs w:val="0"/>
                <w:color w:val="auto"/>
                <w:spacing w:val="-2"/>
                <w:sz w:val="21"/>
                <w:szCs w:val="21"/>
                <w:highlight w:val="none"/>
                <w:lang w:val="en-US" w:eastAsia="zh-CN"/>
              </w:rPr>
              <w:t>投标保证金</w:t>
            </w:r>
          </w:p>
        </w:tc>
        <w:tc>
          <w:tcPr>
            <w:tcW w:w="7963" w:type="dxa"/>
            <w:vAlign w:val="center"/>
          </w:tcPr>
          <w:p w14:paraId="3243B6C5">
            <w:pPr>
              <w:spacing w:line="240" w:lineRule="auto"/>
              <w:ind w:left="103" w:leftChars="0" w:right="62" w:rightChars="0" w:hanging="103" w:hangingChars="50"/>
              <w:jc w:val="left"/>
              <w:rPr>
                <w:rFonts w:hint="eastAsia" w:ascii="宋体" w:hAnsi="宋体" w:eastAsia="宋体" w:cs="宋体"/>
                <w:b w:val="0"/>
                <w:bCs/>
                <w:kern w:val="2"/>
                <w:sz w:val="21"/>
                <w:szCs w:val="21"/>
                <w:highlight w:val="none"/>
                <w:vertAlign w:val="baseline"/>
                <w:lang w:val="en-US" w:eastAsia="zh-CN" w:bidi="ar-SA"/>
              </w:rPr>
            </w:pPr>
            <w:r>
              <w:rPr>
                <w:rStyle w:val="94"/>
                <w:rFonts w:hint="eastAsia" w:asciiTheme="minorEastAsia" w:hAnsiTheme="minorEastAsia" w:eastAsiaTheme="minorEastAsia" w:cstheme="minorEastAsia"/>
                <w:b w:val="0"/>
                <w:bCs/>
                <w:i w:val="0"/>
                <w:iCs w:val="0"/>
                <w:color w:val="auto"/>
                <w:spacing w:val="-2"/>
                <w:sz w:val="21"/>
                <w:szCs w:val="21"/>
                <w:highlight w:val="none"/>
                <w:lang w:val="en-US" w:eastAsia="zh-CN"/>
              </w:rPr>
              <w:t>是否按照要求足额缴纳投标保证金；</w:t>
            </w:r>
          </w:p>
        </w:tc>
      </w:tr>
      <w:tr w14:paraId="02B0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14:paraId="7DC0C895">
            <w:pPr>
              <w:numPr>
                <w:ilvl w:val="0"/>
                <w:numId w:val="8"/>
              </w:numPr>
              <w:spacing w:line="360" w:lineRule="auto"/>
              <w:ind w:left="425" w:leftChars="0" w:hanging="425" w:firstLineChars="0"/>
              <w:jc w:val="center"/>
              <w:outlineLvl w:val="0"/>
              <w:rPr>
                <w:rFonts w:hint="eastAsia" w:ascii="宋体" w:hAnsi="宋体" w:eastAsia="宋体" w:cs="宋体"/>
                <w:b/>
                <w:sz w:val="21"/>
                <w:szCs w:val="21"/>
                <w:highlight w:val="none"/>
                <w:vertAlign w:val="baseline"/>
              </w:rPr>
            </w:pPr>
          </w:p>
        </w:tc>
        <w:tc>
          <w:tcPr>
            <w:tcW w:w="1248" w:type="dxa"/>
          </w:tcPr>
          <w:p w14:paraId="07F882BC">
            <w:pPr>
              <w:spacing w:line="240" w:lineRule="auto"/>
              <w:ind w:left="103" w:leftChars="0" w:right="62" w:rightChars="0" w:hanging="103" w:hangingChars="50"/>
              <w:jc w:val="center"/>
              <w:rPr>
                <w:rStyle w:val="94"/>
                <w:rFonts w:hint="default" w:asciiTheme="minorEastAsia" w:hAnsiTheme="minorEastAsia" w:eastAsiaTheme="minorEastAsia" w:cstheme="minorEastAsia"/>
                <w:i w:val="0"/>
                <w:iCs w:val="0"/>
                <w:color w:val="auto"/>
                <w:spacing w:val="-2"/>
                <w:sz w:val="21"/>
                <w:szCs w:val="21"/>
                <w:highlight w:val="none"/>
                <w:lang w:val="en-US" w:eastAsia="zh-CN"/>
              </w:rPr>
            </w:pPr>
            <w:r>
              <w:rPr>
                <w:rStyle w:val="94"/>
                <w:rFonts w:hint="eastAsia" w:asciiTheme="minorEastAsia" w:hAnsiTheme="minorEastAsia" w:eastAsiaTheme="minorEastAsia" w:cstheme="minorEastAsia"/>
                <w:i w:val="0"/>
                <w:iCs w:val="0"/>
                <w:color w:val="auto"/>
                <w:spacing w:val="-2"/>
                <w:sz w:val="21"/>
                <w:szCs w:val="21"/>
                <w:highlight w:val="none"/>
                <w:lang w:val="en-US" w:eastAsia="zh-CN"/>
              </w:rPr>
              <w:t>中小企业声明函</w:t>
            </w:r>
          </w:p>
        </w:tc>
        <w:tc>
          <w:tcPr>
            <w:tcW w:w="7963" w:type="dxa"/>
            <w:vAlign w:val="center"/>
          </w:tcPr>
          <w:p w14:paraId="19EBD86A">
            <w:pPr>
              <w:spacing w:line="240" w:lineRule="auto"/>
              <w:ind w:left="105" w:leftChars="0" w:right="62" w:rightChars="0" w:hanging="105" w:hangingChars="50"/>
              <w:jc w:val="left"/>
              <w:rPr>
                <w:rFonts w:hint="eastAsia" w:ascii="宋体" w:hAnsi="宋体" w:eastAsia="宋体" w:cs="宋体"/>
                <w:b w:val="0"/>
                <w:bCs/>
                <w:sz w:val="21"/>
                <w:szCs w:val="21"/>
                <w:highlight w:val="none"/>
                <w:vertAlign w:val="baseline"/>
              </w:rPr>
            </w:pPr>
            <w:r>
              <w:rPr>
                <w:rFonts w:hint="eastAsia" w:cs="宋体"/>
                <w:color w:val="000000"/>
                <w:highlight w:val="none"/>
                <w:lang w:eastAsia="zh-CN"/>
              </w:rPr>
              <w:t>提供有效的中小企业声明函</w:t>
            </w:r>
          </w:p>
        </w:tc>
      </w:tr>
      <w:tr w14:paraId="36F0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tcPr>
          <w:p w14:paraId="24FE05EE">
            <w:pPr>
              <w:numPr>
                <w:ilvl w:val="0"/>
                <w:numId w:val="8"/>
              </w:numPr>
              <w:spacing w:line="360" w:lineRule="auto"/>
              <w:ind w:left="425" w:leftChars="0" w:hanging="425" w:firstLineChars="0"/>
              <w:jc w:val="center"/>
              <w:outlineLvl w:val="0"/>
              <w:rPr>
                <w:rFonts w:hint="eastAsia" w:ascii="宋体" w:hAnsi="宋体" w:eastAsia="宋体" w:cs="宋体"/>
                <w:b/>
                <w:sz w:val="21"/>
                <w:szCs w:val="21"/>
                <w:highlight w:val="none"/>
                <w:vertAlign w:val="baseline"/>
              </w:rPr>
            </w:pPr>
          </w:p>
        </w:tc>
        <w:tc>
          <w:tcPr>
            <w:tcW w:w="1248" w:type="dxa"/>
            <w:vAlign w:val="top"/>
          </w:tcPr>
          <w:p w14:paraId="15C92717">
            <w:pPr>
              <w:spacing w:line="240" w:lineRule="auto"/>
              <w:ind w:left="103" w:leftChars="0" w:right="62" w:rightChars="0" w:hanging="103" w:hangingChars="50"/>
              <w:jc w:val="center"/>
              <w:rPr>
                <w:rFonts w:hint="eastAsia" w:asciiTheme="minorEastAsia" w:hAnsiTheme="minorEastAsia" w:eastAsiaTheme="minorEastAsia" w:cstheme="minorEastAsia"/>
                <w:i w:val="0"/>
                <w:iCs w:val="0"/>
                <w:color w:val="auto"/>
                <w:spacing w:val="-2"/>
                <w:kern w:val="2"/>
                <w:sz w:val="21"/>
                <w:szCs w:val="21"/>
                <w:highlight w:val="none"/>
                <w:lang w:val="en-US" w:eastAsia="zh-CN" w:bidi="ar-SA"/>
              </w:rPr>
            </w:pPr>
            <w:r>
              <w:rPr>
                <w:rStyle w:val="94"/>
                <w:rFonts w:hint="eastAsia" w:asciiTheme="minorEastAsia" w:hAnsiTheme="minorEastAsia" w:eastAsiaTheme="minorEastAsia" w:cstheme="minorEastAsia"/>
                <w:i w:val="0"/>
                <w:iCs w:val="0"/>
                <w:color w:val="auto"/>
                <w:spacing w:val="-2"/>
                <w:sz w:val="21"/>
                <w:szCs w:val="21"/>
                <w:highlight w:val="none"/>
                <w:lang w:val="en-US" w:eastAsia="zh-CN"/>
              </w:rPr>
              <w:t>特定资格</w:t>
            </w:r>
          </w:p>
        </w:tc>
        <w:tc>
          <w:tcPr>
            <w:tcW w:w="7963" w:type="dxa"/>
            <w:vAlign w:val="center"/>
          </w:tcPr>
          <w:p w14:paraId="52D925DE">
            <w:pPr>
              <w:spacing w:line="240" w:lineRule="auto"/>
              <w:ind w:left="105" w:leftChars="0" w:right="62" w:rightChars="0" w:hanging="105" w:hangingChars="50"/>
              <w:jc w:val="left"/>
              <w:rPr>
                <w:rFonts w:hint="eastAsia" w:ascii="宋体" w:hAnsi="宋体" w:eastAsia="宋体" w:cs="宋体"/>
                <w:b w:val="0"/>
                <w:bCs/>
                <w:kern w:val="2"/>
                <w:sz w:val="21"/>
                <w:szCs w:val="21"/>
                <w:highlight w:val="none"/>
                <w:vertAlign w:val="baseline"/>
                <w:lang w:val="en-US" w:eastAsia="zh-CN" w:bidi="ar-SA"/>
              </w:rPr>
            </w:pPr>
            <w:r>
              <w:rPr>
                <w:rFonts w:hint="eastAsia" w:cs="宋体"/>
                <w:color w:val="000000"/>
                <w:szCs w:val="21"/>
                <w:highlight w:val="none"/>
                <w:lang w:val="en-US" w:eastAsia="zh-CN"/>
              </w:rPr>
              <w:t>供应商必须具有有效的《林草种子生产经营许可证》；</w:t>
            </w:r>
          </w:p>
        </w:tc>
      </w:tr>
    </w:tbl>
    <w:p w14:paraId="4F684C1E">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r>
        <w:rPr>
          <w:rFonts w:hint="eastAsia" w:ascii="宋体" w:hAnsi="宋体" w:eastAsia="宋体" w:cs="宋体"/>
          <w:b/>
          <w:sz w:val="36"/>
          <w:szCs w:val="36"/>
          <w:highlight w:val="none"/>
        </w:rPr>
        <w:t xml:space="preserve">第四章   </w:t>
      </w:r>
      <w:bookmarkStart w:id="185" w:name="_Hlt164229061"/>
      <w:bookmarkEnd w:id="185"/>
      <w:r>
        <w:rPr>
          <w:rFonts w:hint="eastAsia" w:ascii="宋体" w:hAnsi="宋体" w:eastAsia="宋体" w:cs="宋体"/>
          <w:b/>
          <w:sz w:val="36"/>
          <w:szCs w:val="36"/>
          <w:highlight w:val="none"/>
        </w:rPr>
        <w:t>评标程序、评标方法和评标标准</w:t>
      </w:r>
      <w:bookmarkEnd w:id="184"/>
    </w:p>
    <w:p w14:paraId="2CFE7377">
      <w:pPr>
        <w:tabs>
          <w:tab w:val="left" w:pos="360"/>
          <w:tab w:val="left" w:pos="900"/>
        </w:tabs>
        <w:snapToGrid w:val="0"/>
        <w:spacing w:line="360" w:lineRule="auto"/>
        <w:jc w:val="center"/>
        <w:outlineLvl w:val="1"/>
        <w:rPr>
          <w:rFonts w:hint="eastAsia" w:ascii="宋体" w:hAnsi="宋体" w:eastAsia="宋体" w:cs="宋体"/>
          <w:b/>
          <w:highlight w:val="none"/>
        </w:rPr>
      </w:pPr>
      <w:r>
        <w:rPr>
          <w:rFonts w:hint="eastAsia" w:ascii="宋体" w:hAnsi="宋体" w:eastAsia="宋体" w:cs="宋体"/>
          <w:b/>
          <w:sz w:val="24"/>
          <w:highlight w:val="none"/>
        </w:rPr>
        <w:t>一、评标方法</w:t>
      </w:r>
    </w:p>
    <w:p w14:paraId="2074113A">
      <w:pPr>
        <w:numPr>
          <w:ilvl w:val="0"/>
          <w:numId w:val="9"/>
        </w:numPr>
        <w:tabs>
          <w:tab w:val="left" w:pos="360"/>
        </w:tabs>
        <w:snapToGrid w:val="0"/>
        <w:spacing w:line="360" w:lineRule="auto"/>
        <w:ind w:left="900" w:leftChars="0" w:hanging="900" w:firstLineChars="0"/>
        <w:outlineLvl w:val="1"/>
        <w:rPr>
          <w:rFonts w:hint="eastAsia" w:ascii="宋体" w:hAnsi="宋体" w:eastAsia="宋体" w:cs="宋体"/>
          <w:sz w:val="24"/>
          <w:highlight w:val="none"/>
        </w:rPr>
      </w:pPr>
      <w:bookmarkStart w:id="186" w:name="_Toc150774641"/>
      <w:bookmarkStart w:id="187" w:name="_Toc226965731"/>
      <w:bookmarkStart w:id="188" w:name="_Toc164229382"/>
      <w:bookmarkStart w:id="189" w:name="_Toc195842906"/>
      <w:bookmarkStart w:id="190" w:name="_Toc264969231"/>
      <w:bookmarkStart w:id="191" w:name="_Toc151193711"/>
      <w:bookmarkStart w:id="192" w:name="_Toc151193929"/>
      <w:bookmarkStart w:id="193" w:name="_Toc127151541"/>
      <w:bookmarkStart w:id="194" w:name="_Toc164608655"/>
      <w:bookmarkStart w:id="195" w:name="_Toc151193855"/>
      <w:bookmarkStart w:id="196" w:name="_Toc305158809"/>
      <w:bookmarkStart w:id="197" w:name="_Toc151193639"/>
      <w:bookmarkStart w:id="198" w:name="_Toc226965814"/>
      <w:bookmarkStart w:id="199" w:name="_Toc142311043"/>
      <w:bookmarkStart w:id="200" w:name="_Toc151193783"/>
      <w:bookmarkStart w:id="201" w:name="_Toc127151742"/>
      <w:bookmarkStart w:id="202" w:name="_Toc149720834"/>
      <w:bookmarkStart w:id="203" w:name="_Toc164229236"/>
      <w:bookmarkStart w:id="204" w:name="_Toc150480779"/>
      <w:bookmarkStart w:id="205" w:name="_Toc151190168"/>
      <w:bookmarkStart w:id="206" w:name="_Toc164351635"/>
      <w:bookmarkStart w:id="207" w:name="_Toc127161455"/>
      <w:bookmarkStart w:id="208" w:name="_Toc305158883"/>
      <w:bookmarkStart w:id="209" w:name="_Toc226337237"/>
      <w:bookmarkStart w:id="210" w:name="_Toc150774746"/>
      <w:bookmarkStart w:id="211" w:name="_Toc226309785"/>
      <w:bookmarkStart w:id="212" w:name="_Toc150509292"/>
      <w:bookmarkStart w:id="213" w:name="_Toc265228379"/>
      <w:bookmarkStart w:id="214" w:name="_Toc164608810"/>
      <w:bookmarkStart w:id="215" w:name="_Toc353825551"/>
      <w:bookmarkStart w:id="216" w:name="_Toc353873941"/>
      <w:r>
        <w:rPr>
          <w:rFonts w:hint="eastAsia" w:ascii="宋体" w:hAnsi="宋体" w:eastAsia="宋体" w:cs="宋体"/>
          <w:sz w:val="24"/>
          <w:highlight w:val="none"/>
        </w:rPr>
        <w:t>投标文件的符合性审查</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15D1485F">
      <w:pPr>
        <w:numPr>
          <w:ilvl w:val="1"/>
          <w:numId w:val="9"/>
        </w:numPr>
        <w:tabs>
          <w:tab w:val="left" w:pos="1080"/>
        </w:tabs>
        <w:snapToGrid w:val="0"/>
        <w:spacing w:line="360" w:lineRule="auto"/>
        <w:ind w:left="1468" w:leftChars="0" w:hanging="900" w:firstLineChars="0"/>
        <w:rPr>
          <w:rFonts w:hint="eastAsia" w:ascii="宋体" w:hAnsi="宋体" w:eastAsia="宋体" w:cs="宋体"/>
          <w:sz w:val="24"/>
          <w:highlight w:val="none"/>
        </w:rPr>
      </w:pPr>
      <w:r>
        <w:rPr>
          <w:rFonts w:hint="eastAsia" w:ascii="宋体" w:hAnsi="宋体" w:eastAsia="宋体" w:cs="宋体"/>
          <w:sz w:val="24"/>
          <w:highlight w:val="none"/>
        </w:rPr>
        <w:t>评标委员会对资格审查合格的投标人的投标文件进行符合性审查，以确定其是否满足招标文件的实质性要求。</w:t>
      </w:r>
      <w:bookmarkStart w:id="217" w:name="_Toc520356167"/>
    </w:p>
    <w:p w14:paraId="7E38EC2E">
      <w:pPr>
        <w:numPr>
          <w:ilvl w:val="1"/>
          <w:numId w:val="9"/>
        </w:numPr>
        <w:tabs>
          <w:tab w:val="left" w:pos="1080"/>
        </w:tabs>
        <w:snapToGrid w:val="0"/>
        <w:spacing w:line="360" w:lineRule="auto"/>
        <w:ind w:left="1468" w:leftChars="0" w:hanging="900" w:firstLineChars="0"/>
        <w:rPr>
          <w:rFonts w:hint="eastAsia" w:ascii="宋体" w:hAnsi="宋体" w:eastAsia="宋体" w:cs="宋体"/>
          <w:sz w:val="24"/>
          <w:highlight w:val="none"/>
        </w:rPr>
      </w:pPr>
      <w:r>
        <w:rPr>
          <w:rFonts w:hint="eastAsia" w:ascii="宋体" w:hAnsi="宋体" w:eastAsia="宋体" w:cs="宋体"/>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217"/>
      <w:r>
        <w:rPr>
          <w:rFonts w:hint="eastAsia" w:ascii="宋体" w:hAnsi="宋体" w:eastAsia="宋体" w:cs="宋体"/>
          <w:sz w:val="24"/>
          <w:highlight w:val="none"/>
        </w:rPr>
        <w:t>要求的，</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14:paraId="3BB32920">
      <w:pPr>
        <w:tabs>
          <w:tab w:val="left" w:pos="900"/>
          <w:tab w:val="left" w:pos="1080"/>
          <w:tab w:val="left" w:pos="1589"/>
        </w:tabs>
        <w:snapToGrid w:val="0"/>
        <w:spacing w:line="360" w:lineRule="auto"/>
        <w:ind w:leftChars="-170" w:hanging="357" w:hangingChars="148"/>
        <w:jc w:val="center"/>
        <w:rPr>
          <w:rFonts w:hint="eastAsia" w:ascii="宋体" w:hAnsi="宋体" w:eastAsia="宋体" w:cs="宋体"/>
          <w:b/>
          <w:color w:val="000000"/>
          <w:sz w:val="24"/>
          <w:highlight w:val="none"/>
          <w:lang w:eastAsia="zh-CN"/>
        </w:rPr>
      </w:pPr>
      <w:r>
        <w:rPr>
          <w:rFonts w:hint="eastAsia" w:ascii="宋体" w:hAnsi="宋体" w:eastAsia="宋体" w:cs="宋体"/>
          <w:b/>
          <w:sz w:val="24"/>
          <w:highlight w:val="none"/>
        </w:rPr>
        <w:t>符合性审查要求</w:t>
      </w:r>
    </w:p>
    <w:tbl>
      <w:tblPr>
        <w:tblStyle w:val="7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629"/>
        <w:gridCol w:w="5042"/>
        <w:gridCol w:w="600"/>
        <w:gridCol w:w="871"/>
        <w:gridCol w:w="510"/>
        <w:gridCol w:w="637"/>
      </w:tblGrid>
      <w:tr w14:paraId="189C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3" w:type="pct"/>
            <w:noWrap w:val="0"/>
            <w:vAlign w:val="center"/>
          </w:tcPr>
          <w:p w14:paraId="63A4FE1F">
            <w:pPr>
              <w:widowControl/>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序号</w:t>
            </w:r>
          </w:p>
        </w:tc>
        <w:tc>
          <w:tcPr>
            <w:tcW w:w="818" w:type="pct"/>
            <w:noWrap w:val="0"/>
            <w:vAlign w:val="center"/>
          </w:tcPr>
          <w:p w14:paraId="1F9D5A0C">
            <w:pPr>
              <w:widowControl/>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审查因素</w:t>
            </w:r>
          </w:p>
        </w:tc>
        <w:tc>
          <w:tcPr>
            <w:tcW w:w="2531" w:type="pct"/>
            <w:noWrap w:val="0"/>
            <w:vAlign w:val="center"/>
          </w:tcPr>
          <w:p w14:paraId="7F761733">
            <w:pPr>
              <w:widowControl/>
              <w:jc w:val="center"/>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审查内容</w:t>
            </w:r>
          </w:p>
        </w:tc>
        <w:tc>
          <w:tcPr>
            <w:tcW w:w="301" w:type="pct"/>
            <w:noWrap w:val="0"/>
            <w:vAlign w:val="center"/>
          </w:tcPr>
          <w:p w14:paraId="2EF5A97E">
            <w:pPr>
              <w:widowControl/>
              <w:jc w:val="center"/>
              <w:rPr>
                <w:rFonts w:hint="eastAsia" w:ascii="宋体" w:hAnsi="宋体" w:eastAsia="宋体" w:cs="宋体"/>
                <w:b/>
                <w:color w:val="000000"/>
                <w:kern w:val="0"/>
                <w:sz w:val="24"/>
                <w:highlight w:val="none"/>
              </w:rPr>
            </w:pPr>
          </w:p>
        </w:tc>
        <w:tc>
          <w:tcPr>
            <w:tcW w:w="437" w:type="pct"/>
            <w:noWrap w:val="0"/>
            <w:vAlign w:val="center"/>
          </w:tcPr>
          <w:p w14:paraId="4ABB1662">
            <w:pPr>
              <w:widowControl/>
              <w:jc w:val="center"/>
              <w:rPr>
                <w:rFonts w:hint="eastAsia" w:ascii="宋体" w:hAnsi="宋体" w:eastAsia="宋体" w:cs="宋体"/>
                <w:b/>
                <w:color w:val="000000"/>
                <w:kern w:val="0"/>
                <w:sz w:val="24"/>
                <w:highlight w:val="none"/>
              </w:rPr>
            </w:pPr>
          </w:p>
        </w:tc>
        <w:tc>
          <w:tcPr>
            <w:tcW w:w="256" w:type="pct"/>
            <w:noWrap w:val="0"/>
            <w:vAlign w:val="center"/>
          </w:tcPr>
          <w:p w14:paraId="279C14DE">
            <w:pPr>
              <w:widowControl/>
              <w:jc w:val="center"/>
              <w:rPr>
                <w:rFonts w:hint="eastAsia" w:ascii="宋体" w:hAnsi="宋体" w:eastAsia="宋体" w:cs="宋体"/>
                <w:b/>
                <w:color w:val="000000"/>
                <w:kern w:val="0"/>
                <w:sz w:val="24"/>
                <w:highlight w:val="none"/>
              </w:rPr>
            </w:pPr>
          </w:p>
        </w:tc>
        <w:tc>
          <w:tcPr>
            <w:tcW w:w="320" w:type="pct"/>
            <w:noWrap w:val="0"/>
            <w:vAlign w:val="center"/>
          </w:tcPr>
          <w:p w14:paraId="1EDFEF79">
            <w:pPr>
              <w:widowControl/>
              <w:jc w:val="center"/>
              <w:rPr>
                <w:rFonts w:hint="eastAsia" w:ascii="宋体" w:hAnsi="宋体" w:eastAsia="宋体" w:cs="宋体"/>
                <w:b/>
                <w:color w:val="000000"/>
                <w:kern w:val="0"/>
                <w:sz w:val="24"/>
                <w:highlight w:val="none"/>
              </w:rPr>
            </w:pPr>
          </w:p>
        </w:tc>
      </w:tr>
      <w:tr w14:paraId="2F75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33" w:type="pct"/>
            <w:noWrap w:val="0"/>
            <w:vAlign w:val="center"/>
          </w:tcPr>
          <w:p w14:paraId="375A424E">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818" w:type="pct"/>
            <w:noWrap w:val="0"/>
            <w:vAlign w:val="center"/>
          </w:tcPr>
          <w:p w14:paraId="1D88FDEE">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授权委托书</w:t>
            </w:r>
          </w:p>
        </w:tc>
        <w:tc>
          <w:tcPr>
            <w:tcW w:w="2531" w:type="pct"/>
            <w:noWrap w:val="0"/>
            <w:vAlign w:val="center"/>
          </w:tcPr>
          <w:p w14:paraId="663170EE">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按招标文件要求提供授权委托书；</w:t>
            </w:r>
          </w:p>
        </w:tc>
        <w:tc>
          <w:tcPr>
            <w:tcW w:w="301" w:type="pct"/>
            <w:noWrap w:val="0"/>
            <w:vAlign w:val="center"/>
          </w:tcPr>
          <w:p w14:paraId="0FDECBA1">
            <w:pPr>
              <w:tabs>
                <w:tab w:val="left" w:pos="1080"/>
              </w:tabs>
              <w:snapToGrid w:val="0"/>
              <w:spacing w:line="240" w:lineRule="auto"/>
              <w:rPr>
                <w:rFonts w:hint="eastAsia" w:ascii="宋体" w:hAnsi="宋体" w:eastAsia="宋体" w:cs="宋体"/>
                <w:sz w:val="21"/>
                <w:szCs w:val="21"/>
                <w:highlight w:val="none"/>
              </w:rPr>
            </w:pPr>
          </w:p>
        </w:tc>
        <w:tc>
          <w:tcPr>
            <w:tcW w:w="437" w:type="pct"/>
            <w:noWrap w:val="0"/>
            <w:vAlign w:val="center"/>
          </w:tcPr>
          <w:p w14:paraId="5EAF6C0E">
            <w:pPr>
              <w:tabs>
                <w:tab w:val="left" w:pos="1080"/>
              </w:tabs>
              <w:snapToGrid w:val="0"/>
              <w:spacing w:line="240" w:lineRule="auto"/>
              <w:rPr>
                <w:rFonts w:hint="eastAsia" w:ascii="宋体" w:hAnsi="宋体" w:eastAsia="宋体" w:cs="宋体"/>
                <w:sz w:val="21"/>
                <w:szCs w:val="21"/>
                <w:highlight w:val="none"/>
              </w:rPr>
            </w:pPr>
          </w:p>
        </w:tc>
        <w:tc>
          <w:tcPr>
            <w:tcW w:w="256" w:type="pct"/>
            <w:noWrap w:val="0"/>
            <w:vAlign w:val="center"/>
          </w:tcPr>
          <w:p w14:paraId="5F0A5310">
            <w:pPr>
              <w:tabs>
                <w:tab w:val="left" w:pos="1080"/>
              </w:tabs>
              <w:snapToGrid w:val="0"/>
              <w:spacing w:line="240" w:lineRule="auto"/>
              <w:rPr>
                <w:rFonts w:hint="eastAsia" w:ascii="宋体" w:hAnsi="宋体" w:eastAsia="宋体" w:cs="宋体"/>
                <w:sz w:val="21"/>
                <w:szCs w:val="21"/>
                <w:highlight w:val="none"/>
              </w:rPr>
            </w:pPr>
          </w:p>
        </w:tc>
        <w:tc>
          <w:tcPr>
            <w:tcW w:w="320" w:type="pct"/>
            <w:noWrap w:val="0"/>
            <w:vAlign w:val="center"/>
          </w:tcPr>
          <w:p w14:paraId="23EEA463">
            <w:pPr>
              <w:tabs>
                <w:tab w:val="left" w:pos="1080"/>
              </w:tabs>
              <w:snapToGrid w:val="0"/>
              <w:spacing w:line="240" w:lineRule="auto"/>
              <w:rPr>
                <w:rFonts w:hint="eastAsia" w:ascii="宋体" w:hAnsi="宋体" w:eastAsia="宋体" w:cs="宋体"/>
                <w:sz w:val="21"/>
                <w:szCs w:val="21"/>
                <w:highlight w:val="none"/>
              </w:rPr>
            </w:pPr>
          </w:p>
        </w:tc>
      </w:tr>
      <w:tr w14:paraId="1553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33" w:type="pct"/>
            <w:noWrap w:val="0"/>
            <w:vAlign w:val="center"/>
          </w:tcPr>
          <w:p w14:paraId="626A6451">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818" w:type="pct"/>
            <w:noWrap w:val="0"/>
            <w:vAlign w:val="center"/>
          </w:tcPr>
          <w:p w14:paraId="555B2FEF">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投标完整性</w:t>
            </w:r>
          </w:p>
        </w:tc>
        <w:tc>
          <w:tcPr>
            <w:tcW w:w="2531" w:type="pct"/>
            <w:noWrap w:val="0"/>
            <w:vAlign w:val="center"/>
          </w:tcPr>
          <w:p w14:paraId="2FD68DBD">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未将一个采购包中的内容拆开投标；</w:t>
            </w:r>
          </w:p>
        </w:tc>
        <w:tc>
          <w:tcPr>
            <w:tcW w:w="301" w:type="pct"/>
            <w:noWrap w:val="0"/>
            <w:vAlign w:val="center"/>
          </w:tcPr>
          <w:p w14:paraId="6A42D8A5">
            <w:pPr>
              <w:tabs>
                <w:tab w:val="left" w:pos="1080"/>
              </w:tabs>
              <w:snapToGrid w:val="0"/>
              <w:spacing w:line="240" w:lineRule="auto"/>
              <w:rPr>
                <w:rFonts w:hint="eastAsia" w:ascii="宋体" w:hAnsi="宋体" w:eastAsia="宋体" w:cs="宋体"/>
                <w:sz w:val="21"/>
                <w:szCs w:val="21"/>
                <w:highlight w:val="none"/>
              </w:rPr>
            </w:pPr>
          </w:p>
        </w:tc>
        <w:tc>
          <w:tcPr>
            <w:tcW w:w="437" w:type="pct"/>
            <w:noWrap w:val="0"/>
            <w:vAlign w:val="center"/>
          </w:tcPr>
          <w:p w14:paraId="4B5DE0A4">
            <w:pPr>
              <w:tabs>
                <w:tab w:val="left" w:pos="1080"/>
              </w:tabs>
              <w:snapToGrid w:val="0"/>
              <w:spacing w:line="240" w:lineRule="auto"/>
              <w:rPr>
                <w:rFonts w:hint="eastAsia" w:ascii="宋体" w:hAnsi="宋体" w:eastAsia="宋体" w:cs="宋体"/>
                <w:sz w:val="21"/>
                <w:szCs w:val="21"/>
                <w:highlight w:val="none"/>
              </w:rPr>
            </w:pPr>
          </w:p>
        </w:tc>
        <w:tc>
          <w:tcPr>
            <w:tcW w:w="256" w:type="pct"/>
            <w:noWrap w:val="0"/>
            <w:vAlign w:val="center"/>
          </w:tcPr>
          <w:p w14:paraId="4D6BC342">
            <w:pPr>
              <w:tabs>
                <w:tab w:val="left" w:pos="1080"/>
              </w:tabs>
              <w:snapToGrid w:val="0"/>
              <w:spacing w:line="240" w:lineRule="auto"/>
              <w:rPr>
                <w:rFonts w:hint="eastAsia" w:ascii="宋体" w:hAnsi="宋体" w:eastAsia="宋体" w:cs="宋体"/>
                <w:sz w:val="21"/>
                <w:szCs w:val="21"/>
                <w:highlight w:val="none"/>
              </w:rPr>
            </w:pPr>
          </w:p>
        </w:tc>
        <w:tc>
          <w:tcPr>
            <w:tcW w:w="320" w:type="pct"/>
            <w:noWrap w:val="0"/>
            <w:vAlign w:val="center"/>
          </w:tcPr>
          <w:p w14:paraId="790C47F7">
            <w:pPr>
              <w:tabs>
                <w:tab w:val="left" w:pos="1080"/>
              </w:tabs>
              <w:snapToGrid w:val="0"/>
              <w:spacing w:line="240" w:lineRule="auto"/>
              <w:rPr>
                <w:rFonts w:hint="eastAsia" w:ascii="宋体" w:hAnsi="宋体" w:eastAsia="宋体" w:cs="宋体"/>
                <w:sz w:val="21"/>
                <w:szCs w:val="21"/>
                <w:highlight w:val="none"/>
              </w:rPr>
            </w:pPr>
          </w:p>
        </w:tc>
      </w:tr>
      <w:tr w14:paraId="55B0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33" w:type="pct"/>
            <w:noWrap w:val="0"/>
            <w:vAlign w:val="center"/>
          </w:tcPr>
          <w:p w14:paraId="286C2070">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818" w:type="pct"/>
            <w:noWrap w:val="0"/>
            <w:vAlign w:val="center"/>
          </w:tcPr>
          <w:p w14:paraId="695BE2A5">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p>
        </w:tc>
        <w:tc>
          <w:tcPr>
            <w:tcW w:w="2531" w:type="pct"/>
            <w:noWrap w:val="0"/>
            <w:vAlign w:val="center"/>
          </w:tcPr>
          <w:p w14:paraId="2D378C90">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投标报价未超过招标文件中规定的项目/采购包预算金额或者项目/采购包最高限价</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投标单价未超过单价最高限价</w:t>
            </w:r>
            <w:r>
              <w:rPr>
                <w:rFonts w:hint="eastAsia" w:ascii="宋体" w:hAnsi="宋体" w:eastAsia="宋体" w:cs="宋体"/>
                <w:sz w:val="21"/>
                <w:szCs w:val="21"/>
                <w:highlight w:val="none"/>
              </w:rPr>
              <w:t>；</w:t>
            </w:r>
          </w:p>
        </w:tc>
        <w:tc>
          <w:tcPr>
            <w:tcW w:w="301" w:type="pct"/>
            <w:noWrap w:val="0"/>
            <w:vAlign w:val="center"/>
          </w:tcPr>
          <w:p w14:paraId="5EB4181D">
            <w:pPr>
              <w:tabs>
                <w:tab w:val="left" w:pos="1080"/>
              </w:tabs>
              <w:snapToGrid w:val="0"/>
              <w:spacing w:line="240" w:lineRule="auto"/>
              <w:rPr>
                <w:rFonts w:hint="eastAsia" w:ascii="宋体" w:hAnsi="宋体" w:eastAsia="宋体" w:cs="宋体"/>
                <w:sz w:val="21"/>
                <w:szCs w:val="21"/>
                <w:highlight w:val="none"/>
              </w:rPr>
            </w:pPr>
          </w:p>
        </w:tc>
        <w:tc>
          <w:tcPr>
            <w:tcW w:w="437" w:type="pct"/>
            <w:noWrap w:val="0"/>
            <w:vAlign w:val="center"/>
          </w:tcPr>
          <w:p w14:paraId="00E91DB3">
            <w:pPr>
              <w:tabs>
                <w:tab w:val="left" w:pos="1080"/>
              </w:tabs>
              <w:snapToGrid w:val="0"/>
              <w:spacing w:line="240" w:lineRule="auto"/>
              <w:rPr>
                <w:rFonts w:hint="eastAsia" w:ascii="宋体" w:hAnsi="宋体" w:eastAsia="宋体" w:cs="宋体"/>
                <w:sz w:val="21"/>
                <w:szCs w:val="21"/>
                <w:highlight w:val="none"/>
              </w:rPr>
            </w:pPr>
          </w:p>
        </w:tc>
        <w:tc>
          <w:tcPr>
            <w:tcW w:w="256" w:type="pct"/>
            <w:noWrap w:val="0"/>
            <w:vAlign w:val="center"/>
          </w:tcPr>
          <w:p w14:paraId="2168FCB6">
            <w:pPr>
              <w:tabs>
                <w:tab w:val="left" w:pos="1080"/>
              </w:tabs>
              <w:snapToGrid w:val="0"/>
              <w:spacing w:line="240" w:lineRule="auto"/>
              <w:rPr>
                <w:rFonts w:hint="eastAsia" w:ascii="宋体" w:hAnsi="宋体" w:eastAsia="宋体" w:cs="宋体"/>
                <w:sz w:val="21"/>
                <w:szCs w:val="21"/>
                <w:highlight w:val="none"/>
              </w:rPr>
            </w:pPr>
          </w:p>
        </w:tc>
        <w:tc>
          <w:tcPr>
            <w:tcW w:w="320" w:type="pct"/>
            <w:noWrap w:val="0"/>
            <w:vAlign w:val="center"/>
          </w:tcPr>
          <w:p w14:paraId="5CC62F51">
            <w:pPr>
              <w:tabs>
                <w:tab w:val="left" w:pos="1080"/>
              </w:tabs>
              <w:snapToGrid w:val="0"/>
              <w:spacing w:line="240" w:lineRule="auto"/>
              <w:rPr>
                <w:rFonts w:hint="eastAsia" w:ascii="宋体" w:hAnsi="宋体" w:eastAsia="宋体" w:cs="宋体"/>
                <w:sz w:val="21"/>
                <w:szCs w:val="21"/>
                <w:highlight w:val="none"/>
              </w:rPr>
            </w:pPr>
          </w:p>
        </w:tc>
      </w:tr>
      <w:tr w14:paraId="5BD0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33" w:type="pct"/>
            <w:noWrap w:val="0"/>
            <w:vAlign w:val="center"/>
          </w:tcPr>
          <w:p w14:paraId="4A1285DC">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818" w:type="pct"/>
            <w:noWrap w:val="0"/>
            <w:vAlign w:val="center"/>
          </w:tcPr>
          <w:p w14:paraId="01188683">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报价唯一性</w:t>
            </w:r>
          </w:p>
        </w:tc>
        <w:tc>
          <w:tcPr>
            <w:tcW w:w="2531" w:type="pct"/>
            <w:noWrap w:val="0"/>
            <w:vAlign w:val="center"/>
          </w:tcPr>
          <w:p w14:paraId="3A4D5D64">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投标文件未出现可选择性或可调整的报价（招标文件另有规定的除外）；</w:t>
            </w:r>
          </w:p>
        </w:tc>
        <w:tc>
          <w:tcPr>
            <w:tcW w:w="301" w:type="pct"/>
            <w:noWrap w:val="0"/>
            <w:vAlign w:val="center"/>
          </w:tcPr>
          <w:p w14:paraId="057F97EE">
            <w:pPr>
              <w:tabs>
                <w:tab w:val="left" w:pos="1080"/>
              </w:tabs>
              <w:snapToGrid w:val="0"/>
              <w:spacing w:line="240" w:lineRule="auto"/>
              <w:rPr>
                <w:rFonts w:hint="eastAsia" w:ascii="宋体" w:hAnsi="宋体" w:eastAsia="宋体" w:cs="宋体"/>
                <w:sz w:val="21"/>
                <w:szCs w:val="21"/>
                <w:highlight w:val="none"/>
              </w:rPr>
            </w:pPr>
          </w:p>
        </w:tc>
        <w:tc>
          <w:tcPr>
            <w:tcW w:w="437" w:type="pct"/>
            <w:noWrap w:val="0"/>
            <w:vAlign w:val="center"/>
          </w:tcPr>
          <w:p w14:paraId="4D092DA7">
            <w:pPr>
              <w:tabs>
                <w:tab w:val="left" w:pos="1080"/>
              </w:tabs>
              <w:snapToGrid w:val="0"/>
              <w:spacing w:line="240" w:lineRule="auto"/>
              <w:rPr>
                <w:rFonts w:hint="eastAsia" w:ascii="宋体" w:hAnsi="宋体" w:eastAsia="宋体" w:cs="宋体"/>
                <w:sz w:val="21"/>
                <w:szCs w:val="21"/>
                <w:highlight w:val="none"/>
              </w:rPr>
            </w:pPr>
          </w:p>
        </w:tc>
        <w:tc>
          <w:tcPr>
            <w:tcW w:w="256" w:type="pct"/>
            <w:noWrap w:val="0"/>
            <w:vAlign w:val="center"/>
          </w:tcPr>
          <w:p w14:paraId="13079D29">
            <w:pPr>
              <w:tabs>
                <w:tab w:val="left" w:pos="1080"/>
              </w:tabs>
              <w:snapToGrid w:val="0"/>
              <w:spacing w:line="240" w:lineRule="auto"/>
              <w:rPr>
                <w:rFonts w:hint="eastAsia" w:ascii="宋体" w:hAnsi="宋体" w:eastAsia="宋体" w:cs="宋体"/>
                <w:sz w:val="21"/>
                <w:szCs w:val="21"/>
                <w:highlight w:val="none"/>
              </w:rPr>
            </w:pPr>
          </w:p>
        </w:tc>
        <w:tc>
          <w:tcPr>
            <w:tcW w:w="320" w:type="pct"/>
            <w:noWrap w:val="0"/>
            <w:vAlign w:val="center"/>
          </w:tcPr>
          <w:p w14:paraId="6B894C03">
            <w:pPr>
              <w:tabs>
                <w:tab w:val="left" w:pos="1080"/>
              </w:tabs>
              <w:snapToGrid w:val="0"/>
              <w:spacing w:line="240" w:lineRule="auto"/>
              <w:rPr>
                <w:rFonts w:hint="eastAsia" w:ascii="宋体" w:hAnsi="宋体" w:eastAsia="宋体" w:cs="宋体"/>
                <w:sz w:val="21"/>
                <w:szCs w:val="21"/>
                <w:highlight w:val="none"/>
              </w:rPr>
            </w:pPr>
          </w:p>
        </w:tc>
      </w:tr>
      <w:tr w14:paraId="469B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33" w:type="pct"/>
            <w:noWrap w:val="0"/>
            <w:vAlign w:val="center"/>
          </w:tcPr>
          <w:p w14:paraId="7467612D">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18" w:type="pct"/>
            <w:noWrap w:val="0"/>
            <w:vAlign w:val="center"/>
          </w:tcPr>
          <w:p w14:paraId="7E8A98AC">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2531" w:type="pct"/>
            <w:noWrap w:val="0"/>
            <w:vAlign w:val="center"/>
          </w:tcPr>
          <w:p w14:paraId="72319EBC">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投标文件中承诺的投标有效期满足招标文件中载明的投标有效期的；</w:t>
            </w:r>
          </w:p>
        </w:tc>
        <w:tc>
          <w:tcPr>
            <w:tcW w:w="301" w:type="pct"/>
            <w:noWrap w:val="0"/>
            <w:vAlign w:val="center"/>
          </w:tcPr>
          <w:p w14:paraId="453D7182">
            <w:pPr>
              <w:tabs>
                <w:tab w:val="left" w:pos="1080"/>
              </w:tabs>
              <w:snapToGrid w:val="0"/>
              <w:spacing w:line="240" w:lineRule="auto"/>
              <w:rPr>
                <w:rFonts w:hint="eastAsia" w:ascii="宋体" w:hAnsi="宋体" w:eastAsia="宋体" w:cs="宋体"/>
                <w:sz w:val="21"/>
                <w:szCs w:val="21"/>
                <w:highlight w:val="none"/>
              </w:rPr>
            </w:pPr>
          </w:p>
        </w:tc>
        <w:tc>
          <w:tcPr>
            <w:tcW w:w="437" w:type="pct"/>
            <w:noWrap w:val="0"/>
            <w:vAlign w:val="center"/>
          </w:tcPr>
          <w:p w14:paraId="12702DBB">
            <w:pPr>
              <w:tabs>
                <w:tab w:val="left" w:pos="1080"/>
              </w:tabs>
              <w:snapToGrid w:val="0"/>
              <w:spacing w:line="240" w:lineRule="auto"/>
              <w:rPr>
                <w:rFonts w:hint="eastAsia" w:ascii="宋体" w:hAnsi="宋体" w:eastAsia="宋体" w:cs="宋体"/>
                <w:sz w:val="21"/>
                <w:szCs w:val="21"/>
                <w:highlight w:val="none"/>
              </w:rPr>
            </w:pPr>
          </w:p>
        </w:tc>
        <w:tc>
          <w:tcPr>
            <w:tcW w:w="256" w:type="pct"/>
            <w:noWrap w:val="0"/>
            <w:vAlign w:val="center"/>
          </w:tcPr>
          <w:p w14:paraId="79E4D90D">
            <w:pPr>
              <w:tabs>
                <w:tab w:val="left" w:pos="1080"/>
              </w:tabs>
              <w:snapToGrid w:val="0"/>
              <w:spacing w:line="240" w:lineRule="auto"/>
              <w:rPr>
                <w:rFonts w:hint="eastAsia" w:ascii="宋体" w:hAnsi="宋体" w:eastAsia="宋体" w:cs="宋体"/>
                <w:sz w:val="21"/>
                <w:szCs w:val="21"/>
                <w:highlight w:val="none"/>
              </w:rPr>
            </w:pPr>
          </w:p>
        </w:tc>
        <w:tc>
          <w:tcPr>
            <w:tcW w:w="320" w:type="pct"/>
            <w:noWrap w:val="0"/>
            <w:vAlign w:val="center"/>
          </w:tcPr>
          <w:p w14:paraId="44E3B017">
            <w:pPr>
              <w:tabs>
                <w:tab w:val="left" w:pos="1080"/>
              </w:tabs>
              <w:snapToGrid w:val="0"/>
              <w:spacing w:line="240" w:lineRule="auto"/>
              <w:rPr>
                <w:rFonts w:hint="eastAsia" w:ascii="宋体" w:hAnsi="宋体" w:eastAsia="宋体" w:cs="宋体"/>
                <w:sz w:val="21"/>
                <w:szCs w:val="21"/>
                <w:highlight w:val="none"/>
              </w:rPr>
            </w:pPr>
          </w:p>
        </w:tc>
      </w:tr>
      <w:tr w14:paraId="49F3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33" w:type="pct"/>
            <w:noWrap w:val="0"/>
            <w:vAlign w:val="center"/>
          </w:tcPr>
          <w:p w14:paraId="38ABF84B">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818" w:type="pct"/>
            <w:noWrap w:val="0"/>
            <w:vAlign w:val="center"/>
          </w:tcPr>
          <w:p w14:paraId="7E8A5539">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签署、盖章</w:t>
            </w:r>
          </w:p>
        </w:tc>
        <w:tc>
          <w:tcPr>
            <w:tcW w:w="2531" w:type="pct"/>
            <w:noWrap w:val="0"/>
            <w:vAlign w:val="center"/>
          </w:tcPr>
          <w:p w14:paraId="1D4552A5">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按照招标文件要求签署、盖章的；</w:t>
            </w:r>
          </w:p>
        </w:tc>
        <w:tc>
          <w:tcPr>
            <w:tcW w:w="301" w:type="pct"/>
            <w:noWrap w:val="0"/>
            <w:vAlign w:val="center"/>
          </w:tcPr>
          <w:p w14:paraId="14D15889">
            <w:pPr>
              <w:tabs>
                <w:tab w:val="left" w:pos="1080"/>
              </w:tabs>
              <w:snapToGrid w:val="0"/>
              <w:spacing w:line="240" w:lineRule="auto"/>
              <w:rPr>
                <w:rFonts w:hint="eastAsia" w:ascii="宋体" w:hAnsi="宋体" w:eastAsia="宋体" w:cs="宋体"/>
                <w:sz w:val="21"/>
                <w:szCs w:val="21"/>
                <w:highlight w:val="none"/>
              </w:rPr>
            </w:pPr>
          </w:p>
        </w:tc>
        <w:tc>
          <w:tcPr>
            <w:tcW w:w="437" w:type="pct"/>
            <w:noWrap w:val="0"/>
            <w:vAlign w:val="center"/>
          </w:tcPr>
          <w:p w14:paraId="56504FDD">
            <w:pPr>
              <w:tabs>
                <w:tab w:val="left" w:pos="1080"/>
              </w:tabs>
              <w:snapToGrid w:val="0"/>
              <w:spacing w:line="240" w:lineRule="auto"/>
              <w:rPr>
                <w:rFonts w:hint="eastAsia" w:ascii="宋体" w:hAnsi="宋体" w:eastAsia="宋体" w:cs="宋体"/>
                <w:sz w:val="21"/>
                <w:szCs w:val="21"/>
                <w:highlight w:val="none"/>
              </w:rPr>
            </w:pPr>
          </w:p>
        </w:tc>
        <w:tc>
          <w:tcPr>
            <w:tcW w:w="256" w:type="pct"/>
            <w:noWrap w:val="0"/>
            <w:vAlign w:val="center"/>
          </w:tcPr>
          <w:p w14:paraId="51EF8AC9">
            <w:pPr>
              <w:tabs>
                <w:tab w:val="left" w:pos="1080"/>
              </w:tabs>
              <w:snapToGrid w:val="0"/>
              <w:spacing w:line="240" w:lineRule="auto"/>
              <w:rPr>
                <w:rFonts w:hint="eastAsia" w:ascii="宋体" w:hAnsi="宋体" w:eastAsia="宋体" w:cs="宋体"/>
                <w:sz w:val="21"/>
                <w:szCs w:val="21"/>
                <w:highlight w:val="none"/>
              </w:rPr>
            </w:pPr>
          </w:p>
        </w:tc>
        <w:tc>
          <w:tcPr>
            <w:tcW w:w="320" w:type="pct"/>
            <w:noWrap w:val="0"/>
            <w:vAlign w:val="center"/>
          </w:tcPr>
          <w:p w14:paraId="4BCE3870">
            <w:pPr>
              <w:tabs>
                <w:tab w:val="left" w:pos="1080"/>
              </w:tabs>
              <w:snapToGrid w:val="0"/>
              <w:spacing w:line="240" w:lineRule="auto"/>
              <w:rPr>
                <w:rFonts w:hint="eastAsia" w:ascii="宋体" w:hAnsi="宋体" w:eastAsia="宋体" w:cs="宋体"/>
                <w:sz w:val="21"/>
                <w:szCs w:val="21"/>
                <w:highlight w:val="none"/>
              </w:rPr>
            </w:pPr>
          </w:p>
        </w:tc>
      </w:tr>
      <w:tr w14:paraId="3BBA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33" w:type="pct"/>
            <w:noWrap w:val="0"/>
            <w:vAlign w:val="center"/>
          </w:tcPr>
          <w:p w14:paraId="4C2038BE">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818" w:type="pct"/>
            <w:noWrap w:val="0"/>
            <w:vAlign w:val="center"/>
          </w:tcPr>
          <w:p w14:paraId="3C5B8731">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实质性格式</w:t>
            </w:r>
          </w:p>
        </w:tc>
        <w:tc>
          <w:tcPr>
            <w:tcW w:w="2531" w:type="pct"/>
            <w:noWrap w:val="0"/>
            <w:vAlign w:val="center"/>
          </w:tcPr>
          <w:p w14:paraId="79B6C682">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标记为“实质性格式”的文件均按招标文件要求提供；</w:t>
            </w:r>
          </w:p>
        </w:tc>
        <w:tc>
          <w:tcPr>
            <w:tcW w:w="301" w:type="pct"/>
            <w:noWrap w:val="0"/>
            <w:vAlign w:val="center"/>
          </w:tcPr>
          <w:p w14:paraId="23976630">
            <w:pPr>
              <w:tabs>
                <w:tab w:val="left" w:pos="1080"/>
              </w:tabs>
              <w:snapToGrid w:val="0"/>
              <w:spacing w:line="240" w:lineRule="auto"/>
              <w:rPr>
                <w:rFonts w:hint="eastAsia" w:ascii="宋体" w:hAnsi="宋体" w:eastAsia="宋体" w:cs="宋体"/>
                <w:sz w:val="21"/>
                <w:szCs w:val="21"/>
                <w:highlight w:val="none"/>
              </w:rPr>
            </w:pPr>
          </w:p>
        </w:tc>
        <w:tc>
          <w:tcPr>
            <w:tcW w:w="437" w:type="pct"/>
            <w:noWrap w:val="0"/>
            <w:vAlign w:val="center"/>
          </w:tcPr>
          <w:p w14:paraId="15E24E83">
            <w:pPr>
              <w:tabs>
                <w:tab w:val="left" w:pos="1080"/>
              </w:tabs>
              <w:snapToGrid w:val="0"/>
              <w:spacing w:line="240" w:lineRule="auto"/>
              <w:rPr>
                <w:rFonts w:hint="eastAsia" w:ascii="宋体" w:hAnsi="宋体" w:eastAsia="宋体" w:cs="宋体"/>
                <w:sz w:val="21"/>
                <w:szCs w:val="21"/>
                <w:highlight w:val="none"/>
              </w:rPr>
            </w:pPr>
          </w:p>
        </w:tc>
        <w:tc>
          <w:tcPr>
            <w:tcW w:w="256" w:type="pct"/>
            <w:noWrap w:val="0"/>
            <w:vAlign w:val="center"/>
          </w:tcPr>
          <w:p w14:paraId="57789A35">
            <w:pPr>
              <w:tabs>
                <w:tab w:val="left" w:pos="1080"/>
              </w:tabs>
              <w:snapToGrid w:val="0"/>
              <w:spacing w:line="240" w:lineRule="auto"/>
              <w:rPr>
                <w:rFonts w:hint="eastAsia" w:ascii="宋体" w:hAnsi="宋体" w:eastAsia="宋体" w:cs="宋体"/>
                <w:sz w:val="21"/>
                <w:szCs w:val="21"/>
                <w:highlight w:val="none"/>
              </w:rPr>
            </w:pPr>
          </w:p>
        </w:tc>
        <w:tc>
          <w:tcPr>
            <w:tcW w:w="320" w:type="pct"/>
            <w:noWrap w:val="0"/>
            <w:vAlign w:val="center"/>
          </w:tcPr>
          <w:p w14:paraId="46273138">
            <w:pPr>
              <w:tabs>
                <w:tab w:val="left" w:pos="1080"/>
              </w:tabs>
              <w:snapToGrid w:val="0"/>
              <w:spacing w:line="240" w:lineRule="auto"/>
              <w:rPr>
                <w:rFonts w:hint="eastAsia" w:ascii="宋体" w:hAnsi="宋体" w:eastAsia="宋体" w:cs="宋体"/>
                <w:sz w:val="21"/>
                <w:szCs w:val="21"/>
                <w:highlight w:val="none"/>
              </w:rPr>
            </w:pPr>
          </w:p>
        </w:tc>
      </w:tr>
      <w:tr w14:paraId="3E8E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33" w:type="pct"/>
            <w:noWrap w:val="0"/>
            <w:vAlign w:val="center"/>
          </w:tcPr>
          <w:p w14:paraId="78811CA5">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818" w:type="pct"/>
            <w:noWrap w:val="0"/>
            <w:vAlign w:val="center"/>
          </w:tcPr>
          <w:p w14:paraId="44BA31CF">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★号条款响应</w:t>
            </w:r>
          </w:p>
        </w:tc>
        <w:tc>
          <w:tcPr>
            <w:tcW w:w="2531" w:type="pct"/>
            <w:noWrap w:val="0"/>
            <w:vAlign w:val="center"/>
          </w:tcPr>
          <w:p w14:paraId="31C8CAD2">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投标文件满足招标文件第五章《采购需求》中★号条款要求的；</w:t>
            </w:r>
          </w:p>
        </w:tc>
        <w:tc>
          <w:tcPr>
            <w:tcW w:w="301" w:type="pct"/>
            <w:noWrap w:val="0"/>
            <w:vAlign w:val="center"/>
          </w:tcPr>
          <w:p w14:paraId="07037D2F">
            <w:pPr>
              <w:tabs>
                <w:tab w:val="left" w:pos="1080"/>
              </w:tabs>
              <w:snapToGrid w:val="0"/>
              <w:spacing w:line="240" w:lineRule="auto"/>
              <w:rPr>
                <w:rFonts w:hint="eastAsia" w:ascii="宋体" w:hAnsi="宋体" w:eastAsia="宋体" w:cs="宋体"/>
                <w:sz w:val="21"/>
                <w:szCs w:val="21"/>
                <w:highlight w:val="none"/>
              </w:rPr>
            </w:pPr>
          </w:p>
        </w:tc>
        <w:tc>
          <w:tcPr>
            <w:tcW w:w="437" w:type="pct"/>
            <w:noWrap w:val="0"/>
            <w:vAlign w:val="center"/>
          </w:tcPr>
          <w:p w14:paraId="1263556D">
            <w:pPr>
              <w:tabs>
                <w:tab w:val="left" w:pos="1080"/>
              </w:tabs>
              <w:snapToGrid w:val="0"/>
              <w:spacing w:line="240" w:lineRule="auto"/>
              <w:rPr>
                <w:rFonts w:hint="eastAsia" w:ascii="宋体" w:hAnsi="宋体" w:eastAsia="宋体" w:cs="宋体"/>
                <w:sz w:val="21"/>
                <w:szCs w:val="21"/>
                <w:highlight w:val="none"/>
              </w:rPr>
            </w:pPr>
          </w:p>
        </w:tc>
        <w:tc>
          <w:tcPr>
            <w:tcW w:w="256" w:type="pct"/>
            <w:noWrap w:val="0"/>
            <w:vAlign w:val="center"/>
          </w:tcPr>
          <w:p w14:paraId="7E6CFE5A">
            <w:pPr>
              <w:tabs>
                <w:tab w:val="left" w:pos="1080"/>
              </w:tabs>
              <w:snapToGrid w:val="0"/>
              <w:spacing w:line="240" w:lineRule="auto"/>
              <w:rPr>
                <w:rFonts w:hint="eastAsia" w:ascii="宋体" w:hAnsi="宋体" w:eastAsia="宋体" w:cs="宋体"/>
                <w:sz w:val="21"/>
                <w:szCs w:val="21"/>
                <w:highlight w:val="none"/>
              </w:rPr>
            </w:pPr>
          </w:p>
        </w:tc>
        <w:tc>
          <w:tcPr>
            <w:tcW w:w="320" w:type="pct"/>
            <w:noWrap w:val="0"/>
            <w:vAlign w:val="center"/>
          </w:tcPr>
          <w:p w14:paraId="7B760EA6">
            <w:pPr>
              <w:tabs>
                <w:tab w:val="left" w:pos="1080"/>
              </w:tabs>
              <w:snapToGrid w:val="0"/>
              <w:spacing w:line="240" w:lineRule="auto"/>
              <w:rPr>
                <w:rFonts w:hint="eastAsia" w:ascii="宋体" w:hAnsi="宋体" w:eastAsia="宋体" w:cs="宋体"/>
                <w:sz w:val="21"/>
                <w:szCs w:val="21"/>
                <w:highlight w:val="none"/>
              </w:rPr>
            </w:pPr>
          </w:p>
        </w:tc>
      </w:tr>
      <w:tr w14:paraId="4B27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33" w:type="pct"/>
            <w:noWrap w:val="0"/>
            <w:vAlign w:val="center"/>
          </w:tcPr>
          <w:p w14:paraId="1616764F">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818" w:type="pct"/>
            <w:noWrap w:val="0"/>
            <w:vAlign w:val="center"/>
          </w:tcPr>
          <w:p w14:paraId="63A7266C">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报价的修正（如有）</w:t>
            </w:r>
          </w:p>
        </w:tc>
        <w:tc>
          <w:tcPr>
            <w:tcW w:w="2531" w:type="pct"/>
            <w:noWrap w:val="0"/>
            <w:vAlign w:val="center"/>
          </w:tcPr>
          <w:p w14:paraId="028BB9C8">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不涉及报价修正，或投标文件报价出现前后不一致时，投标人对修正后的报价予以确认；（如有）</w:t>
            </w:r>
          </w:p>
        </w:tc>
        <w:tc>
          <w:tcPr>
            <w:tcW w:w="301" w:type="pct"/>
            <w:noWrap w:val="0"/>
            <w:vAlign w:val="center"/>
          </w:tcPr>
          <w:p w14:paraId="6B65FD72">
            <w:pPr>
              <w:tabs>
                <w:tab w:val="left" w:pos="1080"/>
              </w:tabs>
              <w:snapToGrid w:val="0"/>
              <w:spacing w:line="240" w:lineRule="auto"/>
              <w:rPr>
                <w:rFonts w:hint="eastAsia" w:ascii="宋体" w:hAnsi="宋体" w:eastAsia="宋体" w:cs="宋体"/>
                <w:sz w:val="21"/>
                <w:szCs w:val="21"/>
                <w:highlight w:val="none"/>
              </w:rPr>
            </w:pPr>
          </w:p>
        </w:tc>
        <w:tc>
          <w:tcPr>
            <w:tcW w:w="437" w:type="pct"/>
            <w:noWrap w:val="0"/>
            <w:vAlign w:val="center"/>
          </w:tcPr>
          <w:p w14:paraId="0EEF9D84">
            <w:pPr>
              <w:tabs>
                <w:tab w:val="left" w:pos="1080"/>
              </w:tabs>
              <w:snapToGrid w:val="0"/>
              <w:spacing w:line="240" w:lineRule="auto"/>
              <w:rPr>
                <w:rFonts w:hint="eastAsia" w:ascii="宋体" w:hAnsi="宋体" w:eastAsia="宋体" w:cs="宋体"/>
                <w:sz w:val="21"/>
                <w:szCs w:val="21"/>
                <w:highlight w:val="none"/>
              </w:rPr>
            </w:pPr>
          </w:p>
        </w:tc>
        <w:tc>
          <w:tcPr>
            <w:tcW w:w="256" w:type="pct"/>
            <w:noWrap w:val="0"/>
            <w:vAlign w:val="center"/>
          </w:tcPr>
          <w:p w14:paraId="32C9DC11">
            <w:pPr>
              <w:tabs>
                <w:tab w:val="left" w:pos="1080"/>
              </w:tabs>
              <w:snapToGrid w:val="0"/>
              <w:spacing w:line="240" w:lineRule="auto"/>
              <w:rPr>
                <w:rFonts w:hint="eastAsia" w:ascii="宋体" w:hAnsi="宋体" w:eastAsia="宋体" w:cs="宋体"/>
                <w:sz w:val="21"/>
                <w:szCs w:val="21"/>
                <w:highlight w:val="none"/>
              </w:rPr>
            </w:pPr>
          </w:p>
        </w:tc>
        <w:tc>
          <w:tcPr>
            <w:tcW w:w="320" w:type="pct"/>
            <w:noWrap w:val="0"/>
            <w:vAlign w:val="center"/>
          </w:tcPr>
          <w:p w14:paraId="50924DD5">
            <w:pPr>
              <w:tabs>
                <w:tab w:val="left" w:pos="1080"/>
              </w:tabs>
              <w:snapToGrid w:val="0"/>
              <w:spacing w:line="240" w:lineRule="auto"/>
              <w:rPr>
                <w:rFonts w:hint="eastAsia" w:ascii="宋体" w:hAnsi="宋体" w:eastAsia="宋体" w:cs="宋体"/>
                <w:sz w:val="21"/>
                <w:szCs w:val="21"/>
                <w:highlight w:val="none"/>
              </w:rPr>
            </w:pPr>
          </w:p>
        </w:tc>
      </w:tr>
      <w:tr w14:paraId="3BF2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33" w:type="pct"/>
            <w:noWrap w:val="0"/>
            <w:vAlign w:val="center"/>
          </w:tcPr>
          <w:p w14:paraId="3955731A">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818" w:type="pct"/>
            <w:noWrap w:val="0"/>
            <w:vAlign w:val="center"/>
          </w:tcPr>
          <w:p w14:paraId="19E0513D">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报价合理性</w:t>
            </w:r>
          </w:p>
        </w:tc>
        <w:tc>
          <w:tcPr>
            <w:tcW w:w="2531" w:type="pct"/>
            <w:noWrap w:val="0"/>
            <w:vAlign w:val="center"/>
          </w:tcPr>
          <w:p w14:paraId="52CDF734">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报价合理，或投标人的报价明显低于其他通过符合性审查投标人的报价，有可能影响产品质量或者不能诚信履约的，能够应评标委员会要求在规定时间内证明其报价合理性的；</w:t>
            </w:r>
          </w:p>
        </w:tc>
        <w:tc>
          <w:tcPr>
            <w:tcW w:w="301" w:type="pct"/>
            <w:noWrap w:val="0"/>
            <w:vAlign w:val="center"/>
          </w:tcPr>
          <w:p w14:paraId="0A135892">
            <w:pPr>
              <w:tabs>
                <w:tab w:val="left" w:pos="1080"/>
              </w:tabs>
              <w:snapToGrid w:val="0"/>
              <w:spacing w:line="240" w:lineRule="auto"/>
              <w:rPr>
                <w:rFonts w:hint="eastAsia" w:ascii="宋体" w:hAnsi="宋体" w:eastAsia="宋体" w:cs="宋体"/>
                <w:sz w:val="21"/>
                <w:szCs w:val="21"/>
                <w:highlight w:val="none"/>
              </w:rPr>
            </w:pPr>
          </w:p>
        </w:tc>
        <w:tc>
          <w:tcPr>
            <w:tcW w:w="437" w:type="pct"/>
            <w:noWrap w:val="0"/>
            <w:vAlign w:val="center"/>
          </w:tcPr>
          <w:p w14:paraId="38D27481">
            <w:pPr>
              <w:tabs>
                <w:tab w:val="left" w:pos="1080"/>
              </w:tabs>
              <w:snapToGrid w:val="0"/>
              <w:spacing w:line="240" w:lineRule="auto"/>
              <w:rPr>
                <w:rFonts w:hint="eastAsia" w:ascii="宋体" w:hAnsi="宋体" w:eastAsia="宋体" w:cs="宋体"/>
                <w:sz w:val="21"/>
                <w:szCs w:val="21"/>
                <w:highlight w:val="none"/>
              </w:rPr>
            </w:pPr>
          </w:p>
        </w:tc>
        <w:tc>
          <w:tcPr>
            <w:tcW w:w="256" w:type="pct"/>
            <w:noWrap w:val="0"/>
            <w:vAlign w:val="center"/>
          </w:tcPr>
          <w:p w14:paraId="506443F2">
            <w:pPr>
              <w:tabs>
                <w:tab w:val="left" w:pos="1080"/>
              </w:tabs>
              <w:snapToGrid w:val="0"/>
              <w:spacing w:line="240" w:lineRule="auto"/>
              <w:rPr>
                <w:rFonts w:hint="eastAsia" w:ascii="宋体" w:hAnsi="宋体" w:eastAsia="宋体" w:cs="宋体"/>
                <w:sz w:val="21"/>
                <w:szCs w:val="21"/>
                <w:highlight w:val="none"/>
              </w:rPr>
            </w:pPr>
          </w:p>
        </w:tc>
        <w:tc>
          <w:tcPr>
            <w:tcW w:w="320" w:type="pct"/>
            <w:noWrap w:val="0"/>
            <w:vAlign w:val="center"/>
          </w:tcPr>
          <w:p w14:paraId="53B28B19">
            <w:pPr>
              <w:tabs>
                <w:tab w:val="left" w:pos="1080"/>
              </w:tabs>
              <w:snapToGrid w:val="0"/>
              <w:spacing w:line="240" w:lineRule="auto"/>
              <w:rPr>
                <w:rFonts w:hint="eastAsia" w:ascii="宋体" w:hAnsi="宋体" w:eastAsia="宋体" w:cs="宋体"/>
                <w:sz w:val="21"/>
                <w:szCs w:val="21"/>
                <w:highlight w:val="none"/>
              </w:rPr>
            </w:pPr>
          </w:p>
        </w:tc>
      </w:tr>
      <w:tr w14:paraId="0CF7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33" w:type="pct"/>
            <w:noWrap w:val="0"/>
            <w:vAlign w:val="center"/>
          </w:tcPr>
          <w:p w14:paraId="425D54D4">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818" w:type="pct"/>
            <w:noWrap w:val="0"/>
            <w:vAlign w:val="center"/>
          </w:tcPr>
          <w:p w14:paraId="380EE2B1">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公平竞争</w:t>
            </w:r>
          </w:p>
        </w:tc>
        <w:tc>
          <w:tcPr>
            <w:tcW w:w="2531" w:type="pct"/>
            <w:noWrap w:val="0"/>
            <w:vAlign w:val="center"/>
          </w:tcPr>
          <w:p w14:paraId="02A38561">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投标人遵循公平竞争的原则，不存在恶意串通，妨碍其他投标人的竞争行为，不存在损害采购人或者其他投标人的合法权益情形的；</w:t>
            </w:r>
          </w:p>
        </w:tc>
        <w:tc>
          <w:tcPr>
            <w:tcW w:w="301" w:type="pct"/>
            <w:noWrap w:val="0"/>
            <w:vAlign w:val="center"/>
          </w:tcPr>
          <w:p w14:paraId="105F3161">
            <w:pPr>
              <w:tabs>
                <w:tab w:val="left" w:pos="1080"/>
              </w:tabs>
              <w:snapToGrid w:val="0"/>
              <w:spacing w:line="240" w:lineRule="auto"/>
              <w:rPr>
                <w:rFonts w:hint="eastAsia" w:ascii="宋体" w:hAnsi="宋体" w:eastAsia="宋体" w:cs="宋体"/>
                <w:sz w:val="21"/>
                <w:szCs w:val="21"/>
                <w:highlight w:val="none"/>
              </w:rPr>
            </w:pPr>
          </w:p>
        </w:tc>
        <w:tc>
          <w:tcPr>
            <w:tcW w:w="437" w:type="pct"/>
            <w:noWrap w:val="0"/>
            <w:vAlign w:val="center"/>
          </w:tcPr>
          <w:p w14:paraId="17B36613">
            <w:pPr>
              <w:tabs>
                <w:tab w:val="left" w:pos="1080"/>
              </w:tabs>
              <w:snapToGrid w:val="0"/>
              <w:spacing w:line="240" w:lineRule="auto"/>
              <w:rPr>
                <w:rFonts w:hint="eastAsia" w:ascii="宋体" w:hAnsi="宋体" w:eastAsia="宋体" w:cs="宋体"/>
                <w:sz w:val="21"/>
                <w:szCs w:val="21"/>
                <w:highlight w:val="none"/>
              </w:rPr>
            </w:pPr>
          </w:p>
        </w:tc>
        <w:tc>
          <w:tcPr>
            <w:tcW w:w="256" w:type="pct"/>
            <w:noWrap w:val="0"/>
            <w:vAlign w:val="center"/>
          </w:tcPr>
          <w:p w14:paraId="40F772E0">
            <w:pPr>
              <w:tabs>
                <w:tab w:val="left" w:pos="1080"/>
              </w:tabs>
              <w:snapToGrid w:val="0"/>
              <w:spacing w:line="240" w:lineRule="auto"/>
              <w:rPr>
                <w:rFonts w:hint="eastAsia" w:ascii="宋体" w:hAnsi="宋体" w:eastAsia="宋体" w:cs="宋体"/>
                <w:sz w:val="21"/>
                <w:szCs w:val="21"/>
                <w:highlight w:val="none"/>
              </w:rPr>
            </w:pPr>
          </w:p>
        </w:tc>
        <w:tc>
          <w:tcPr>
            <w:tcW w:w="320" w:type="pct"/>
            <w:noWrap w:val="0"/>
            <w:vAlign w:val="center"/>
          </w:tcPr>
          <w:p w14:paraId="7716CCAA">
            <w:pPr>
              <w:tabs>
                <w:tab w:val="left" w:pos="1080"/>
              </w:tabs>
              <w:snapToGrid w:val="0"/>
              <w:spacing w:line="240" w:lineRule="auto"/>
              <w:rPr>
                <w:rFonts w:hint="eastAsia" w:ascii="宋体" w:hAnsi="宋体" w:eastAsia="宋体" w:cs="宋体"/>
                <w:sz w:val="21"/>
                <w:szCs w:val="21"/>
                <w:highlight w:val="none"/>
              </w:rPr>
            </w:pPr>
          </w:p>
        </w:tc>
      </w:tr>
      <w:tr w14:paraId="602B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333" w:type="pct"/>
            <w:noWrap w:val="0"/>
            <w:vAlign w:val="center"/>
          </w:tcPr>
          <w:p w14:paraId="67F77F87">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818" w:type="pct"/>
            <w:noWrap w:val="0"/>
            <w:vAlign w:val="center"/>
          </w:tcPr>
          <w:p w14:paraId="1C0105F5">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串通投标</w:t>
            </w:r>
          </w:p>
        </w:tc>
        <w:tc>
          <w:tcPr>
            <w:tcW w:w="2531" w:type="pct"/>
            <w:noWrap w:val="0"/>
            <w:vAlign w:val="center"/>
          </w:tcPr>
          <w:p w14:paraId="3B685969">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301" w:type="pct"/>
            <w:noWrap w:val="0"/>
            <w:vAlign w:val="center"/>
          </w:tcPr>
          <w:p w14:paraId="756A60E6">
            <w:pPr>
              <w:tabs>
                <w:tab w:val="left" w:pos="1080"/>
              </w:tabs>
              <w:snapToGrid w:val="0"/>
              <w:spacing w:line="240" w:lineRule="auto"/>
              <w:rPr>
                <w:rFonts w:hint="eastAsia" w:ascii="宋体" w:hAnsi="宋体" w:eastAsia="宋体" w:cs="宋体"/>
                <w:sz w:val="21"/>
                <w:szCs w:val="21"/>
                <w:highlight w:val="none"/>
              </w:rPr>
            </w:pPr>
          </w:p>
        </w:tc>
        <w:tc>
          <w:tcPr>
            <w:tcW w:w="437" w:type="pct"/>
            <w:noWrap w:val="0"/>
            <w:vAlign w:val="center"/>
          </w:tcPr>
          <w:p w14:paraId="21075346">
            <w:pPr>
              <w:tabs>
                <w:tab w:val="left" w:pos="1080"/>
              </w:tabs>
              <w:snapToGrid w:val="0"/>
              <w:spacing w:line="240" w:lineRule="auto"/>
              <w:rPr>
                <w:rFonts w:hint="eastAsia" w:ascii="宋体" w:hAnsi="宋体" w:eastAsia="宋体" w:cs="宋体"/>
                <w:sz w:val="21"/>
                <w:szCs w:val="21"/>
                <w:highlight w:val="none"/>
              </w:rPr>
            </w:pPr>
          </w:p>
        </w:tc>
        <w:tc>
          <w:tcPr>
            <w:tcW w:w="256" w:type="pct"/>
            <w:noWrap w:val="0"/>
            <w:vAlign w:val="center"/>
          </w:tcPr>
          <w:p w14:paraId="5B4284F9">
            <w:pPr>
              <w:tabs>
                <w:tab w:val="left" w:pos="1080"/>
              </w:tabs>
              <w:snapToGrid w:val="0"/>
              <w:spacing w:line="240" w:lineRule="auto"/>
              <w:rPr>
                <w:rFonts w:hint="eastAsia" w:ascii="宋体" w:hAnsi="宋体" w:eastAsia="宋体" w:cs="宋体"/>
                <w:sz w:val="21"/>
                <w:szCs w:val="21"/>
                <w:highlight w:val="none"/>
              </w:rPr>
            </w:pPr>
          </w:p>
        </w:tc>
        <w:tc>
          <w:tcPr>
            <w:tcW w:w="320" w:type="pct"/>
            <w:noWrap w:val="0"/>
            <w:vAlign w:val="center"/>
          </w:tcPr>
          <w:p w14:paraId="7C4DFC39">
            <w:pPr>
              <w:tabs>
                <w:tab w:val="left" w:pos="1080"/>
              </w:tabs>
              <w:snapToGrid w:val="0"/>
              <w:spacing w:line="240" w:lineRule="auto"/>
              <w:rPr>
                <w:rFonts w:hint="eastAsia" w:ascii="宋体" w:hAnsi="宋体" w:eastAsia="宋体" w:cs="宋体"/>
                <w:sz w:val="21"/>
                <w:szCs w:val="21"/>
                <w:highlight w:val="none"/>
              </w:rPr>
            </w:pPr>
          </w:p>
        </w:tc>
      </w:tr>
      <w:tr w14:paraId="69F5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33" w:type="pct"/>
            <w:noWrap w:val="0"/>
            <w:vAlign w:val="center"/>
          </w:tcPr>
          <w:p w14:paraId="0DBC28D3">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818" w:type="pct"/>
            <w:noWrap w:val="0"/>
            <w:vAlign w:val="center"/>
          </w:tcPr>
          <w:p w14:paraId="23D88703">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附加条件</w:t>
            </w:r>
          </w:p>
        </w:tc>
        <w:tc>
          <w:tcPr>
            <w:tcW w:w="2531" w:type="pct"/>
            <w:noWrap w:val="0"/>
            <w:vAlign w:val="center"/>
          </w:tcPr>
          <w:p w14:paraId="00A82016">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投标文件未含有采购人不能接受的附加条件的；</w:t>
            </w:r>
          </w:p>
        </w:tc>
        <w:tc>
          <w:tcPr>
            <w:tcW w:w="301" w:type="pct"/>
            <w:noWrap w:val="0"/>
            <w:vAlign w:val="center"/>
          </w:tcPr>
          <w:p w14:paraId="3EF7186F">
            <w:pPr>
              <w:tabs>
                <w:tab w:val="left" w:pos="1080"/>
              </w:tabs>
              <w:snapToGrid w:val="0"/>
              <w:spacing w:line="240" w:lineRule="auto"/>
              <w:rPr>
                <w:rFonts w:hint="eastAsia" w:ascii="宋体" w:hAnsi="宋体" w:eastAsia="宋体" w:cs="宋体"/>
                <w:sz w:val="21"/>
                <w:szCs w:val="21"/>
                <w:highlight w:val="none"/>
              </w:rPr>
            </w:pPr>
          </w:p>
        </w:tc>
        <w:tc>
          <w:tcPr>
            <w:tcW w:w="437" w:type="pct"/>
            <w:noWrap w:val="0"/>
            <w:vAlign w:val="center"/>
          </w:tcPr>
          <w:p w14:paraId="53871A81">
            <w:pPr>
              <w:tabs>
                <w:tab w:val="left" w:pos="1080"/>
              </w:tabs>
              <w:snapToGrid w:val="0"/>
              <w:spacing w:line="240" w:lineRule="auto"/>
              <w:rPr>
                <w:rFonts w:hint="eastAsia" w:ascii="宋体" w:hAnsi="宋体" w:eastAsia="宋体" w:cs="宋体"/>
                <w:sz w:val="21"/>
                <w:szCs w:val="21"/>
                <w:highlight w:val="none"/>
              </w:rPr>
            </w:pPr>
          </w:p>
        </w:tc>
        <w:tc>
          <w:tcPr>
            <w:tcW w:w="256" w:type="pct"/>
            <w:noWrap w:val="0"/>
            <w:vAlign w:val="center"/>
          </w:tcPr>
          <w:p w14:paraId="0728D499">
            <w:pPr>
              <w:tabs>
                <w:tab w:val="left" w:pos="1080"/>
              </w:tabs>
              <w:snapToGrid w:val="0"/>
              <w:spacing w:line="240" w:lineRule="auto"/>
              <w:rPr>
                <w:rFonts w:hint="eastAsia" w:ascii="宋体" w:hAnsi="宋体" w:eastAsia="宋体" w:cs="宋体"/>
                <w:sz w:val="21"/>
                <w:szCs w:val="21"/>
                <w:highlight w:val="none"/>
              </w:rPr>
            </w:pPr>
          </w:p>
        </w:tc>
        <w:tc>
          <w:tcPr>
            <w:tcW w:w="320" w:type="pct"/>
            <w:noWrap w:val="0"/>
            <w:vAlign w:val="center"/>
          </w:tcPr>
          <w:p w14:paraId="12A7153B">
            <w:pPr>
              <w:tabs>
                <w:tab w:val="left" w:pos="1080"/>
              </w:tabs>
              <w:snapToGrid w:val="0"/>
              <w:spacing w:line="240" w:lineRule="auto"/>
              <w:rPr>
                <w:rFonts w:hint="eastAsia" w:ascii="宋体" w:hAnsi="宋体" w:eastAsia="宋体" w:cs="宋体"/>
                <w:sz w:val="21"/>
                <w:szCs w:val="21"/>
                <w:highlight w:val="none"/>
              </w:rPr>
            </w:pPr>
          </w:p>
        </w:tc>
      </w:tr>
      <w:tr w14:paraId="1E11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33" w:type="pct"/>
            <w:noWrap w:val="0"/>
            <w:vAlign w:val="center"/>
          </w:tcPr>
          <w:p w14:paraId="1759040A">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818" w:type="pct"/>
            <w:noWrap w:val="0"/>
            <w:vAlign w:val="center"/>
          </w:tcPr>
          <w:p w14:paraId="0866C3F4">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其他无效情形</w:t>
            </w:r>
          </w:p>
        </w:tc>
        <w:tc>
          <w:tcPr>
            <w:tcW w:w="2531" w:type="pct"/>
            <w:noWrap w:val="0"/>
            <w:vAlign w:val="center"/>
          </w:tcPr>
          <w:p w14:paraId="74595CFE">
            <w:pPr>
              <w:tabs>
                <w:tab w:val="left" w:pos="1080"/>
              </w:tabs>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投标人、投标文件不存在不符合</w:t>
            </w:r>
            <w:r>
              <w:rPr>
                <w:rFonts w:hint="eastAsia" w:ascii="宋体" w:hAnsi="宋体" w:cs="宋体"/>
                <w:sz w:val="21"/>
                <w:szCs w:val="21"/>
                <w:highlight w:val="none"/>
                <w:lang w:eastAsia="zh-CN"/>
              </w:rPr>
              <w:t>法律法规</w:t>
            </w:r>
            <w:r>
              <w:rPr>
                <w:rFonts w:hint="eastAsia" w:ascii="宋体" w:hAnsi="宋体" w:eastAsia="宋体" w:cs="宋体"/>
                <w:sz w:val="21"/>
                <w:szCs w:val="21"/>
                <w:highlight w:val="none"/>
              </w:rPr>
              <w:t>和招标文件规定的其他无效情形。</w:t>
            </w:r>
          </w:p>
        </w:tc>
        <w:tc>
          <w:tcPr>
            <w:tcW w:w="301" w:type="pct"/>
            <w:noWrap w:val="0"/>
            <w:vAlign w:val="center"/>
          </w:tcPr>
          <w:p w14:paraId="56F85929">
            <w:pPr>
              <w:tabs>
                <w:tab w:val="left" w:pos="1080"/>
              </w:tabs>
              <w:snapToGrid w:val="0"/>
              <w:spacing w:line="240" w:lineRule="auto"/>
              <w:rPr>
                <w:rFonts w:hint="eastAsia" w:ascii="宋体" w:hAnsi="宋体" w:eastAsia="宋体" w:cs="宋体"/>
                <w:sz w:val="21"/>
                <w:szCs w:val="21"/>
                <w:highlight w:val="none"/>
              </w:rPr>
            </w:pPr>
          </w:p>
        </w:tc>
        <w:tc>
          <w:tcPr>
            <w:tcW w:w="437" w:type="pct"/>
            <w:noWrap w:val="0"/>
            <w:vAlign w:val="center"/>
          </w:tcPr>
          <w:p w14:paraId="0DF2244D">
            <w:pPr>
              <w:tabs>
                <w:tab w:val="left" w:pos="1080"/>
              </w:tabs>
              <w:snapToGrid w:val="0"/>
              <w:spacing w:line="240" w:lineRule="auto"/>
              <w:rPr>
                <w:rFonts w:hint="eastAsia" w:ascii="宋体" w:hAnsi="宋体" w:eastAsia="宋体" w:cs="宋体"/>
                <w:sz w:val="21"/>
                <w:szCs w:val="21"/>
                <w:highlight w:val="none"/>
              </w:rPr>
            </w:pPr>
          </w:p>
        </w:tc>
        <w:tc>
          <w:tcPr>
            <w:tcW w:w="256" w:type="pct"/>
            <w:noWrap w:val="0"/>
            <w:vAlign w:val="center"/>
          </w:tcPr>
          <w:p w14:paraId="1A8DF7C4">
            <w:pPr>
              <w:tabs>
                <w:tab w:val="left" w:pos="1080"/>
              </w:tabs>
              <w:snapToGrid w:val="0"/>
              <w:spacing w:line="240" w:lineRule="auto"/>
              <w:rPr>
                <w:rFonts w:hint="eastAsia" w:ascii="宋体" w:hAnsi="宋体" w:eastAsia="宋体" w:cs="宋体"/>
                <w:sz w:val="21"/>
                <w:szCs w:val="21"/>
                <w:highlight w:val="none"/>
              </w:rPr>
            </w:pPr>
          </w:p>
        </w:tc>
        <w:tc>
          <w:tcPr>
            <w:tcW w:w="320" w:type="pct"/>
            <w:noWrap w:val="0"/>
            <w:vAlign w:val="center"/>
          </w:tcPr>
          <w:p w14:paraId="55D9DCB4">
            <w:pPr>
              <w:tabs>
                <w:tab w:val="left" w:pos="1080"/>
              </w:tabs>
              <w:snapToGrid w:val="0"/>
              <w:spacing w:line="240" w:lineRule="auto"/>
              <w:rPr>
                <w:rFonts w:hint="eastAsia" w:ascii="宋体" w:hAnsi="宋体" w:eastAsia="宋体" w:cs="宋体"/>
                <w:sz w:val="21"/>
                <w:szCs w:val="21"/>
                <w:highlight w:val="none"/>
              </w:rPr>
            </w:pPr>
          </w:p>
        </w:tc>
      </w:tr>
    </w:tbl>
    <w:p w14:paraId="5EFE30D3">
      <w:pPr>
        <w:keepNext w:val="0"/>
        <w:keepLines w:val="0"/>
        <w:pageBreakBefore w:val="0"/>
        <w:widowControl w:val="0"/>
        <w:numPr>
          <w:ilvl w:val="0"/>
          <w:numId w:val="9"/>
        </w:numPr>
        <w:tabs>
          <w:tab w:val="left" w:pos="360"/>
        </w:tabs>
        <w:kinsoku/>
        <w:wordWrap/>
        <w:overflowPunct/>
        <w:topLinePunct w:val="0"/>
        <w:autoSpaceDE/>
        <w:autoSpaceDN/>
        <w:bidi w:val="0"/>
        <w:snapToGrid w:val="0"/>
        <w:spacing w:line="360" w:lineRule="auto"/>
        <w:ind w:left="0" w:leftChars="0" w:right="0" w:firstLine="0" w:firstLineChars="0"/>
        <w:textAlignment w:val="auto"/>
        <w:outlineLvl w:val="1"/>
        <w:rPr>
          <w:rFonts w:hint="eastAsia" w:ascii="宋体" w:hAnsi="宋体" w:eastAsia="宋体" w:cs="宋体"/>
          <w:sz w:val="24"/>
          <w:highlight w:val="none"/>
        </w:rPr>
      </w:pPr>
      <w:r>
        <w:rPr>
          <w:rFonts w:hint="eastAsia" w:ascii="宋体" w:hAnsi="宋体" w:eastAsia="宋体" w:cs="宋体"/>
          <w:sz w:val="24"/>
          <w:highlight w:val="none"/>
        </w:rPr>
        <w:t>投标文件有关事项的澄清或者说明</w:t>
      </w:r>
    </w:p>
    <w:p w14:paraId="77F5C8C4">
      <w:pPr>
        <w:keepNext w:val="0"/>
        <w:keepLines w:val="0"/>
        <w:pageBreakBefore w:val="0"/>
        <w:widowControl w:val="0"/>
        <w:numPr>
          <w:ilvl w:val="1"/>
          <w:numId w:val="9"/>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43E1F138">
      <w:pPr>
        <w:keepNext w:val="0"/>
        <w:keepLines w:val="0"/>
        <w:pageBreakBefore w:val="0"/>
        <w:widowControl w:val="0"/>
        <w:numPr>
          <w:ilvl w:val="1"/>
          <w:numId w:val="9"/>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eastAsia="宋体" w:cs="宋体"/>
          <w:b/>
          <w:sz w:val="24"/>
          <w:highlight w:val="none"/>
        </w:rPr>
        <w:t>无效投标处理</w:t>
      </w:r>
      <w:r>
        <w:rPr>
          <w:rFonts w:hint="eastAsia" w:ascii="宋体" w:hAnsi="宋体" w:eastAsia="宋体" w:cs="宋体"/>
          <w:sz w:val="24"/>
          <w:highlight w:val="none"/>
        </w:rPr>
        <w:t>。</w:t>
      </w:r>
    </w:p>
    <w:p w14:paraId="4603BD12">
      <w:pPr>
        <w:keepNext w:val="0"/>
        <w:keepLines w:val="0"/>
        <w:pageBreakBefore w:val="0"/>
        <w:widowControl w:val="0"/>
        <w:numPr>
          <w:ilvl w:val="1"/>
          <w:numId w:val="9"/>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14:paraId="461AD44D">
      <w:pPr>
        <w:keepNext w:val="0"/>
        <w:keepLines w:val="0"/>
        <w:pageBreakBefore w:val="0"/>
        <w:widowControl w:val="0"/>
        <w:numPr>
          <w:ilvl w:val="1"/>
          <w:numId w:val="9"/>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投标文件报价出现前后不一致的，按照下列规定修正：</w:t>
      </w:r>
    </w:p>
    <w:p w14:paraId="4484C55C">
      <w:pPr>
        <w:keepNext w:val="0"/>
        <w:keepLines w:val="0"/>
        <w:pageBreakBefore w:val="0"/>
        <w:widowControl w:val="0"/>
        <w:numPr>
          <w:ilvl w:val="2"/>
          <w:numId w:val="9"/>
        </w:numPr>
        <w:tabs>
          <w:tab w:val="left" w:pos="1080"/>
          <w:tab w:val="left" w:pos="1589"/>
          <w:tab w:val="left" w:pos="2035"/>
          <w:tab w:val="left" w:pos="2114"/>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招标文件对于报价修正是否另有规定：</w:t>
      </w:r>
    </w:p>
    <w:p w14:paraId="1450C50C">
      <w:pPr>
        <w:keepNext w:val="0"/>
        <w:keepLines w:val="0"/>
        <w:pageBreakBefore w:val="0"/>
        <w:widowControl w:val="0"/>
        <w:tabs>
          <w:tab w:val="left" w:pos="1080"/>
          <w:tab w:val="left" w:pos="1589"/>
          <w:tab w:val="left" w:pos="2035"/>
          <w:tab w:val="left" w:pos="2114"/>
        </w:tabs>
        <w:kinsoku/>
        <w:wordWrap/>
        <w:overflowPunct/>
        <w:topLinePunct w:val="0"/>
        <w:autoSpaceDE/>
        <w:autoSpaceDN/>
        <w:bidi w:val="0"/>
        <w:snapToGrid w:val="0"/>
        <w:spacing w:line="360" w:lineRule="auto"/>
        <w:ind w:left="0" w:right="0" w:firstLine="0" w:firstLineChars="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□有，具体规定为：______________</w:t>
      </w:r>
    </w:p>
    <w:p w14:paraId="2931B45E">
      <w:pPr>
        <w:keepNext w:val="0"/>
        <w:keepLines w:val="0"/>
        <w:pageBreakBefore w:val="0"/>
        <w:widowControl w:val="0"/>
        <w:tabs>
          <w:tab w:val="left" w:pos="1080"/>
          <w:tab w:val="left" w:pos="1589"/>
          <w:tab w:val="left" w:pos="2035"/>
          <w:tab w:val="left" w:pos="2114"/>
        </w:tabs>
        <w:kinsoku/>
        <w:wordWrap/>
        <w:overflowPunct/>
        <w:topLinePunct w:val="0"/>
        <w:autoSpaceDE/>
        <w:autoSpaceDN/>
        <w:bidi w:val="0"/>
        <w:snapToGrid w:val="0"/>
        <w:spacing w:line="360" w:lineRule="auto"/>
        <w:ind w:left="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rPr>
        <w:t>无，按下述2.4.2-2.4.7项规定修正。</w:t>
      </w:r>
    </w:p>
    <w:p w14:paraId="34FE6BD8">
      <w:pPr>
        <w:keepNext w:val="0"/>
        <w:keepLines w:val="0"/>
        <w:pageBreakBefore w:val="0"/>
        <w:widowControl w:val="0"/>
        <w:numPr>
          <w:ilvl w:val="2"/>
          <w:numId w:val="9"/>
        </w:numPr>
        <w:tabs>
          <w:tab w:val="left" w:pos="2035"/>
          <w:tab w:val="left" w:pos="2114"/>
          <w:tab w:val="left" w:pos="2977"/>
        </w:tabs>
        <w:kinsoku/>
        <w:wordWrap/>
        <w:overflowPunct/>
        <w:topLinePunct w:val="0"/>
        <w:autoSpaceDE/>
        <w:autoSpaceDN/>
        <w:bidi w:val="0"/>
        <w:adjustRightInd/>
        <w:snapToGrid w:val="0"/>
        <w:spacing w:line="360" w:lineRule="auto"/>
        <w:ind w:left="0" w:leftChars="0" w:right="0" w:firstLine="0" w:firstLine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单独递交的开标一览表（报价表）与投标文件中开标一览表（报价表）内容不一致的，以单独递交的开标一览表（报价表）为准；</w:t>
      </w:r>
    </w:p>
    <w:p w14:paraId="0F8DBDC2">
      <w:pPr>
        <w:keepNext w:val="0"/>
        <w:keepLines w:val="0"/>
        <w:pageBreakBefore w:val="0"/>
        <w:widowControl w:val="0"/>
        <w:numPr>
          <w:ilvl w:val="2"/>
          <w:numId w:val="9"/>
        </w:numPr>
        <w:tabs>
          <w:tab w:val="left" w:pos="2035"/>
          <w:tab w:val="left" w:pos="2114"/>
          <w:tab w:val="left" w:pos="2977"/>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投标文件中开标一览表（报价表）内容与投标文件中相应内容不一致的，以开标一览表（报价表）为准；</w:t>
      </w:r>
    </w:p>
    <w:p w14:paraId="250E7E81">
      <w:pPr>
        <w:keepNext w:val="0"/>
        <w:keepLines w:val="0"/>
        <w:pageBreakBefore w:val="0"/>
        <w:widowControl w:val="0"/>
        <w:numPr>
          <w:ilvl w:val="2"/>
          <w:numId w:val="9"/>
        </w:numPr>
        <w:tabs>
          <w:tab w:val="left" w:pos="2035"/>
          <w:tab w:val="left" w:pos="2114"/>
          <w:tab w:val="left" w:pos="2977"/>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大写金额和小写金额不一致的，以大写金额为准；</w:t>
      </w:r>
    </w:p>
    <w:p w14:paraId="377F117F">
      <w:pPr>
        <w:keepNext w:val="0"/>
        <w:keepLines w:val="0"/>
        <w:pageBreakBefore w:val="0"/>
        <w:widowControl w:val="0"/>
        <w:numPr>
          <w:ilvl w:val="2"/>
          <w:numId w:val="9"/>
        </w:numPr>
        <w:tabs>
          <w:tab w:val="left" w:pos="2035"/>
          <w:tab w:val="left" w:pos="2114"/>
          <w:tab w:val="left" w:pos="2977"/>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单价金额小数点或者百分比有明显错位的，以开标一览表的总价为准，并修改单价；</w:t>
      </w:r>
    </w:p>
    <w:p w14:paraId="170851BA">
      <w:pPr>
        <w:keepNext w:val="0"/>
        <w:keepLines w:val="0"/>
        <w:pageBreakBefore w:val="0"/>
        <w:widowControl w:val="0"/>
        <w:numPr>
          <w:ilvl w:val="2"/>
          <w:numId w:val="9"/>
        </w:numPr>
        <w:tabs>
          <w:tab w:val="left" w:pos="2035"/>
          <w:tab w:val="left" w:pos="2114"/>
          <w:tab w:val="left" w:pos="2977"/>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总价金额与按单价汇总金额不一致的，以单价金额计算结果为准。</w:t>
      </w:r>
    </w:p>
    <w:p w14:paraId="4AB4DF1F">
      <w:pPr>
        <w:keepNext w:val="0"/>
        <w:keepLines w:val="0"/>
        <w:pageBreakBefore w:val="0"/>
        <w:widowControl w:val="0"/>
        <w:numPr>
          <w:ilvl w:val="2"/>
          <w:numId w:val="9"/>
        </w:numPr>
        <w:tabs>
          <w:tab w:val="left" w:pos="1080"/>
          <w:tab w:val="left" w:pos="1589"/>
          <w:tab w:val="left" w:pos="2035"/>
          <w:tab w:val="left" w:pos="2114"/>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同时出现两种以上不一致的，按照前款规定的顺序修正。修正后的报价经投标人书面确认后产生约束力，投标人不确认的，其</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14:paraId="1E91CA8F">
      <w:pPr>
        <w:keepNext w:val="0"/>
        <w:keepLines w:val="0"/>
        <w:pageBreakBefore w:val="0"/>
        <w:widowControl w:val="0"/>
        <w:numPr>
          <w:ilvl w:val="1"/>
          <w:numId w:val="9"/>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落实政府采购政策的价格调整：只有符合第二章《投标人须知》规定情形的，可以享受中小企业扶持政策，用扣除后的价格参加评审；否则，评标时价格不予扣除。</w:t>
      </w:r>
    </w:p>
    <w:p w14:paraId="1AD23864">
      <w:pPr>
        <w:keepNext w:val="0"/>
        <w:keepLines w:val="0"/>
        <w:pageBreakBefore w:val="0"/>
        <w:widowControl w:val="0"/>
        <w:numPr>
          <w:ilvl w:val="2"/>
          <w:numId w:val="9"/>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对于未预留份额专门面向中小企业采购的采购项目，以及预留份额项目中的非预留部分采购包，对小微企业报价给予</w:t>
      </w:r>
      <w:r>
        <w:rPr>
          <w:rFonts w:hint="eastAsia" w:ascii="宋体" w:hAnsi="宋体" w:cs="宋体"/>
          <w:sz w:val="24"/>
          <w:highlight w:val="none"/>
          <w:lang w:val="en-US" w:eastAsia="zh-CN"/>
        </w:rPr>
        <w:t>1</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%的扣除，用扣除后的价格参加评审。</w:t>
      </w:r>
    </w:p>
    <w:p w14:paraId="233515E7">
      <w:pPr>
        <w:keepNext w:val="0"/>
        <w:keepLines w:val="0"/>
        <w:pageBreakBefore w:val="0"/>
        <w:widowControl w:val="0"/>
        <w:numPr>
          <w:ilvl w:val="2"/>
          <w:numId w:val="9"/>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0%以上的联合体或者大中型企业的报价给予</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%的扣除，用扣除后的价格参加评审。</w:t>
      </w:r>
    </w:p>
    <w:p w14:paraId="59858594">
      <w:pPr>
        <w:keepNext w:val="0"/>
        <w:keepLines w:val="0"/>
        <w:pageBreakBefore w:val="0"/>
        <w:widowControl w:val="0"/>
        <w:numPr>
          <w:ilvl w:val="2"/>
          <w:numId w:val="9"/>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组成联合体或者接受分包的小微企业与联合体内其他企业、分包企业之间存在直接控股、管理关系的，不享受价格扣除优惠政策。</w:t>
      </w:r>
    </w:p>
    <w:p w14:paraId="4C30A59A">
      <w:pPr>
        <w:keepNext w:val="0"/>
        <w:keepLines w:val="0"/>
        <w:pageBreakBefore w:val="0"/>
        <w:widowControl w:val="0"/>
        <w:numPr>
          <w:ilvl w:val="2"/>
          <w:numId w:val="9"/>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价格扣除比例对小型企业和微型企业同等对待，不作区分。</w:t>
      </w:r>
    </w:p>
    <w:p w14:paraId="6A44FD9C">
      <w:pPr>
        <w:keepNext w:val="0"/>
        <w:keepLines w:val="0"/>
        <w:pageBreakBefore w:val="0"/>
        <w:widowControl w:val="0"/>
        <w:numPr>
          <w:ilvl w:val="2"/>
          <w:numId w:val="9"/>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color w:val="000000"/>
          <w:sz w:val="24"/>
          <w:highlight w:val="none"/>
        </w:rPr>
        <w:t>中小企业参加政府采购活动，应当按照招标文件给定的格式出具《中小企业声明函》，否则不得享受相关中小企业扶持政策。</w:t>
      </w:r>
    </w:p>
    <w:p w14:paraId="30A228CA">
      <w:pPr>
        <w:keepNext w:val="0"/>
        <w:keepLines w:val="0"/>
        <w:pageBreakBefore w:val="0"/>
        <w:widowControl w:val="0"/>
        <w:numPr>
          <w:ilvl w:val="2"/>
          <w:numId w:val="9"/>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监狱企业提供了由省级以上监狱管理局（北京市含教育矫治局）、戒毒管理局（含新疆生产建设兵团）出具的属于监狱企业的证明文件的，视同小微企业。</w:t>
      </w:r>
    </w:p>
    <w:p w14:paraId="4A415B20">
      <w:pPr>
        <w:keepNext w:val="0"/>
        <w:keepLines w:val="0"/>
        <w:pageBreakBefore w:val="0"/>
        <w:widowControl w:val="0"/>
        <w:numPr>
          <w:ilvl w:val="2"/>
          <w:numId w:val="9"/>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残疾人福利性单位按招标文件要求提供了《残疾人福利性单位声明函》（见附件）的，视同小微企业。</w:t>
      </w:r>
    </w:p>
    <w:p w14:paraId="6228B983">
      <w:pPr>
        <w:keepNext w:val="0"/>
        <w:keepLines w:val="0"/>
        <w:pageBreakBefore w:val="0"/>
        <w:widowControl w:val="0"/>
        <w:numPr>
          <w:ilvl w:val="2"/>
          <w:numId w:val="9"/>
        </w:numPr>
        <w:tabs>
          <w:tab w:val="left" w:pos="1080"/>
          <w:tab w:val="left" w:pos="1589"/>
          <w:tab w:val="left" w:pos="2014"/>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若投标人同时属于小型或微型企业、监狱企业、残疾人福利性单位中的两种及以上，将不重复享受小微企业价格扣减的优惠政策。</w:t>
      </w:r>
    </w:p>
    <w:p w14:paraId="613CE8D3">
      <w:pPr>
        <w:keepNext w:val="0"/>
        <w:keepLines w:val="0"/>
        <w:pageBreakBefore w:val="0"/>
        <w:widowControl w:val="0"/>
        <w:numPr>
          <w:ilvl w:val="0"/>
          <w:numId w:val="9"/>
        </w:numPr>
        <w:tabs>
          <w:tab w:val="left" w:pos="360"/>
        </w:tabs>
        <w:kinsoku/>
        <w:wordWrap/>
        <w:overflowPunct/>
        <w:topLinePunct w:val="0"/>
        <w:autoSpaceDE/>
        <w:autoSpaceDN/>
        <w:bidi w:val="0"/>
        <w:snapToGrid w:val="0"/>
        <w:spacing w:line="360" w:lineRule="auto"/>
        <w:ind w:left="0" w:leftChars="0" w:right="0" w:firstLine="0" w:firstLineChars="0"/>
        <w:textAlignment w:val="auto"/>
        <w:outlineLvl w:val="1"/>
        <w:rPr>
          <w:rFonts w:hint="eastAsia" w:ascii="宋体" w:hAnsi="宋体" w:eastAsia="宋体" w:cs="宋体"/>
          <w:sz w:val="24"/>
          <w:highlight w:val="none"/>
        </w:rPr>
      </w:pPr>
      <w:r>
        <w:rPr>
          <w:rFonts w:hint="eastAsia" w:ascii="宋体" w:hAnsi="宋体" w:eastAsia="宋体" w:cs="宋体"/>
          <w:sz w:val="24"/>
          <w:highlight w:val="none"/>
        </w:rPr>
        <w:t>投标文件的比较和评价</w:t>
      </w:r>
      <w:bookmarkEnd w:id="215"/>
      <w:bookmarkEnd w:id="216"/>
    </w:p>
    <w:p w14:paraId="3A6ADABA">
      <w:pPr>
        <w:keepNext w:val="0"/>
        <w:keepLines w:val="0"/>
        <w:pageBreakBefore w:val="0"/>
        <w:widowControl w:val="0"/>
        <w:numPr>
          <w:ilvl w:val="1"/>
          <w:numId w:val="9"/>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17E528B9">
      <w:pPr>
        <w:keepNext w:val="0"/>
        <w:keepLines w:val="0"/>
        <w:pageBreakBefore w:val="0"/>
        <w:widowControl w:val="0"/>
        <w:numPr>
          <w:ilvl w:val="1"/>
          <w:numId w:val="9"/>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评标方法和评标标准</w:t>
      </w:r>
    </w:p>
    <w:p w14:paraId="1797A5F5">
      <w:pPr>
        <w:keepNext w:val="0"/>
        <w:keepLines w:val="0"/>
        <w:pageBreakBefore w:val="0"/>
        <w:widowControl w:val="0"/>
        <w:numPr>
          <w:ilvl w:val="2"/>
          <w:numId w:val="9"/>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本项目采用的评标方法为：</w:t>
      </w:r>
    </w:p>
    <w:p w14:paraId="58A7CA5F">
      <w:pPr>
        <w:keepNext w:val="0"/>
        <w:keepLines w:val="0"/>
        <w:pageBreakBefore w:val="0"/>
        <w:widowControl w:val="0"/>
        <w:tabs>
          <w:tab w:val="left" w:pos="900"/>
          <w:tab w:val="left" w:pos="1589"/>
          <w:tab w:val="left" w:pos="1701"/>
        </w:tabs>
        <w:kinsoku/>
        <w:wordWrap/>
        <w:overflowPunct/>
        <w:topLinePunct w:val="0"/>
        <w:autoSpaceDE/>
        <w:autoSpaceDN/>
        <w:bidi w:val="0"/>
        <w:snapToGrid w:val="0"/>
        <w:spacing w:line="360" w:lineRule="auto"/>
        <w:ind w:left="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4A3BE37">
      <w:pPr>
        <w:keepNext w:val="0"/>
        <w:keepLines w:val="0"/>
        <w:pageBreakBefore w:val="0"/>
        <w:widowControl w:val="0"/>
        <w:tabs>
          <w:tab w:val="left" w:pos="900"/>
          <w:tab w:val="left" w:pos="1589"/>
          <w:tab w:val="left" w:pos="1701"/>
        </w:tabs>
        <w:kinsoku/>
        <w:wordWrap/>
        <w:overflowPunct/>
        <w:topLinePunct w:val="0"/>
        <w:autoSpaceDE/>
        <w:autoSpaceDN/>
        <w:bidi w:val="0"/>
        <w:snapToGrid w:val="0"/>
        <w:spacing w:line="360" w:lineRule="auto"/>
        <w:ind w:left="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□最低评标价法，指投标文件满足招标文件全部实质性要求，且投标报价最低的投标人为中标候选人的评标方法。</w:t>
      </w:r>
    </w:p>
    <w:p w14:paraId="01093637">
      <w:pPr>
        <w:keepNext w:val="0"/>
        <w:keepLines w:val="0"/>
        <w:pageBreakBefore w:val="0"/>
        <w:widowControl w:val="0"/>
        <w:numPr>
          <w:ilvl w:val="2"/>
          <w:numId w:val="9"/>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14:paraId="53A720C5">
      <w:pPr>
        <w:keepNext w:val="0"/>
        <w:keepLines w:val="0"/>
        <w:pageBreakBefore w:val="0"/>
        <w:widowControl w:val="0"/>
        <w:tabs>
          <w:tab w:val="left" w:pos="1080"/>
          <w:tab w:val="left" w:pos="1589"/>
          <w:tab w:val="left" w:pos="2035"/>
        </w:tabs>
        <w:kinsoku/>
        <w:wordWrap/>
        <w:overflowPunct/>
        <w:topLinePunct w:val="0"/>
        <w:autoSpaceDE/>
        <w:autoSpaceDN/>
        <w:bidi w:val="0"/>
        <w:snapToGrid w:val="0"/>
        <w:spacing w:line="360" w:lineRule="auto"/>
        <w:ind w:left="0" w:right="0" w:firstLine="0" w:firstLineChars="0"/>
        <w:textAlignment w:val="auto"/>
        <w:rPr>
          <w:rFonts w:hint="eastAsia" w:ascii="宋体" w:hAnsi="宋体" w:eastAsia="宋体" w:cs="宋体"/>
          <w:sz w:val="24"/>
          <w:highlight w:val="none"/>
        </w:rPr>
      </w:pPr>
      <w:r>
        <w:rPr>
          <w:rFonts w:hint="eastAsia" w:ascii="宋体" w:hAnsi="宋体" w:cs="宋体"/>
          <w:sz w:val="24"/>
          <w:highlight w:val="none"/>
          <w:lang w:eastAsia="zh-CN"/>
        </w:rPr>
        <w:t>□</w:t>
      </w:r>
      <w:r>
        <w:rPr>
          <w:rFonts w:hint="eastAsia" w:ascii="宋体" w:hAnsi="宋体" w:eastAsia="宋体" w:cs="宋体"/>
          <w:sz w:val="24"/>
          <w:highlight w:val="none"/>
        </w:rPr>
        <w:t>随机抽取</w:t>
      </w:r>
    </w:p>
    <w:p w14:paraId="29A3994D">
      <w:pPr>
        <w:keepNext w:val="0"/>
        <w:keepLines w:val="0"/>
        <w:pageBreakBefore w:val="0"/>
        <w:widowControl w:val="0"/>
        <w:tabs>
          <w:tab w:val="left" w:pos="1080"/>
          <w:tab w:val="left" w:pos="1589"/>
          <w:tab w:val="left" w:pos="2035"/>
        </w:tabs>
        <w:kinsoku/>
        <w:wordWrap/>
        <w:overflowPunct/>
        <w:topLinePunct w:val="0"/>
        <w:autoSpaceDE/>
        <w:autoSpaceDN/>
        <w:bidi w:val="0"/>
        <w:snapToGrid w:val="0"/>
        <w:spacing w:line="360" w:lineRule="auto"/>
        <w:ind w:left="0" w:right="0" w:firstLine="0" w:firstLineChars="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□其他方式，具体要求：_____</w:t>
      </w:r>
    </w:p>
    <w:p w14:paraId="0B0E2895">
      <w:pPr>
        <w:keepNext w:val="0"/>
        <w:keepLines w:val="0"/>
        <w:pageBreakBefore w:val="0"/>
        <w:widowControl w:val="0"/>
        <w:numPr>
          <w:ilvl w:val="2"/>
          <w:numId w:val="9"/>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非政府强制采购的节能产品或环境标志产品，依据品目清单和认证证书实施政府优先采购。优先采购的具体规定（如涉及）_____。</w:t>
      </w:r>
    </w:p>
    <w:p w14:paraId="3BDA8FBA">
      <w:pPr>
        <w:keepNext w:val="0"/>
        <w:keepLines w:val="0"/>
        <w:pageBreakBefore w:val="0"/>
        <w:widowControl w:val="0"/>
        <w:numPr>
          <w:ilvl w:val="2"/>
          <w:numId w:val="9"/>
        </w:numPr>
        <w:tabs>
          <w:tab w:val="left" w:pos="1080"/>
          <w:tab w:val="left" w:pos="1589"/>
          <w:tab w:val="left" w:pos="2035"/>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关于无线局域网认证产品政府采购清单中的产品，优先采购的具体规定（如涉及）_____。</w:t>
      </w:r>
    </w:p>
    <w:p w14:paraId="51670B94">
      <w:pPr>
        <w:keepNext w:val="0"/>
        <w:keepLines w:val="0"/>
        <w:pageBreakBefore w:val="0"/>
        <w:widowControl w:val="0"/>
        <w:numPr>
          <w:ilvl w:val="0"/>
          <w:numId w:val="9"/>
        </w:numPr>
        <w:tabs>
          <w:tab w:val="left" w:pos="360"/>
        </w:tabs>
        <w:kinsoku/>
        <w:wordWrap/>
        <w:overflowPunct/>
        <w:topLinePunct w:val="0"/>
        <w:autoSpaceDE/>
        <w:autoSpaceDN/>
        <w:bidi w:val="0"/>
        <w:snapToGrid w:val="0"/>
        <w:spacing w:line="360" w:lineRule="auto"/>
        <w:ind w:left="0" w:leftChars="0" w:right="0" w:firstLine="0" w:firstLineChars="0"/>
        <w:textAlignment w:val="auto"/>
        <w:outlineLvl w:val="1"/>
        <w:rPr>
          <w:rFonts w:hint="eastAsia" w:ascii="宋体" w:hAnsi="宋体" w:eastAsia="宋体" w:cs="宋体"/>
          <w:sz w:val="24"/>
          <w:highlight w:val="none"/>
        </w:rPr>
      </w:pPr>
      <w:r>
        <w:rPr>
          <w:rFonts w:hint="eastAsia" w:ascii="宋体" w:hAnsi="宋体" w:eastAsia="宋体" w:cs="宋体"/>
          <w:sz w:val="24"/>
          <w:highlight w:val="none"/>
        </w:rPr>
        <w:t>确定</w:t>
      </w:r>
      <w:bookmarkStart w:id="218" w:name="_Toc127151747"/>
      <w:bookmarkStart w:id="219" w:name="_Toc151193788"/>
      <w:bookmarkStart w:id="220" w:name="_Toc150509297"/>
      <w:bookmarkStart w:id="221" w:name="_Toc520356170"/>
      <w:bookmarkStart w:id="222" w:name="_Toc226965819"/>
      <w:bookmarkStart w:id="223" w:name="_Toc164608660"/>
      <w:bookmarkStart w:id="224" w:name="_Toc151193644"/>
      <w:bookmarkStart w:id="225" w:name="_Toc195842911"/>
      <w:bookmarkStart w:id="226" w:name="_Toc150480784"/>
      <w:bookmarkStart w:id="227" w:name="_Toc127151546"/>
      <w:bookmarkStart w:id="228" w:name="_Toc149720839"/>
      <w:bookmarkStart w:id="229" w:name="_Toc226337242"/>
      <w:bookmarkStart w:id="230" w:name="_Toc151193716"/>
      <w:bookmarkStart w:id="231" w:name="_Toc305158814"/>
      <w:bookmarkStart w:id="232" w:name="_Toc164351640"/>
      <w:bookmarkStart w:id="233" w:name="_Toc150774751"/>
      <w:bookmarkStart w:id="234" w:name="_Toc142311048"/>
      <w:bookmarkStart w:id="235" w:name="_Toc151193934"/>
      <w:bookmarkStart w:id="236" w:name="_Toc151193860"/>
      <w:bookmarkStart w:id="237" w:name="_Toc127161460"/>
      <w:bookmarkStart w:id="238" w:name="_Toc305158888"/>
      <w:bookmarkStart w:id="239" w:name="_Toc265228384"/>
      <w:bookmarkStart w:id="240" w:name="_Toc164229387"/>
      <w:bookmarkStart w:id="241" w:name="_Toc164229241"/>
      <w:bookmarkStart w:id="242" w:name="_Toc151190173"/>
      <w:bookmarkStart w:id="243" w:name="_Toc164608815"/>
      <w:bookmarkStart w:id="244" w:name="_Toc226309790"/>
      <w:bookmarkStart w:id="245" w:name="_Toc226965736"/>
      <w:bookmarkStart w:id="246" w:name="_Toc150774646"/>
      <w:bookmarkStart w:id="247" w:name="_Ref467307010"/>
      <w:bookmarkStart w:id="248" w:name="_Toc264969236"/>
      <w:r>
        <w:rPr>
          <w:rFonts w:hint="eastAsia" w:ascii="宋体" w:hAnsi="宋体" w:eastAsia="宋体" w:cs="宋体"/>
          <w:sz w:val="24"/>
          <w:highlight w:val="none"/>
        </w:rPr>
        <w:t>中标候选人名单</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52426F6B">
      <w:pPr>
        <w:keepNext w:val="0"/>
        <w:keepLines w:val="0"/>
        <w:pageBreakBefore w:val="0"/>
        <w:widowControl w:val="0"/>
        <w:numPr>
          <w:ilvl w:val="1"/>
          <w:numId w:val="9"/>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1DE312A">
      <w:pPr>
        <w:pStyle w:val="48"/>
        <w:keepNext w:val="0"/>
        <w:keepLines w:val="0"/>
        <w:pageBreakBefore w:val="0"/>
        <w:widowControl w:val="0"/>
        <w:tabs>
          <w:tab w:val="left" w:pos="900"/>
          <w:tab w:val="left" w:pos="2127"/>
        </w:tabs>
        <w:kinsoku/>
        <w:wordWrap/>
        <w:overflowPunct/>
        <w:topLinePunct w:val="0"/>
        <w:autoSpaceDE/>
        <w:autoSpaceDN/>
        <w:bidi w:val="0"/>
        <w:adjustRightInd w:val="0"/>
        <w:snapToGrid w:val="0"/>
        <w:spacing w:line="360" w:lineRule="auto"/>
        <w:ind w:left="0" w:right="0" w:firstLine="0" w:firstLineChars="0"/>
        <w:textAlignment w:val="auto"/>
        <w:rPr>
          <w:rFonts w:hint="eastAsia" w:ascii="宋体" w:hAnsi="宋体" w:eastAsia="宋体" w:cs="宋体"/>
          <w:sz w:val="24"/>
          <w:szCs w:val="24"/>
          <w:highlight w:val="none"/>
        </w:rPr>
      </w:pPr>
      <w:r>
        <w:rPr>
          <w:rFonts w:hint="eastAsia" w:hAnsi="宋体" w:cs="宋体"/>
          <w:sz w:val="24"/>
          <w:szCs w:val="24"/>
          <w:highlight w:val="none"/>
          <w:lang w:eastAsia="zh-CN"/>
        </w:rPr>
        <w:t>☑</w:t>
      </w:r>
      <w:r>
        <w:rPr>
          <w:rFonts w:hint="eastAsia" w:ascii="宋体" w:hAnsi="宋体" w:eastAsia="宋体" w:cs="宋体"/>
          <w:sz w:val="24"/>
          <w:szCs w:val="24"/>
          <w:highlight w:val="none"/>
        </w:rPr>
        <w:t>随机抽取</w:t>
      </w:r>
    </w:p>
    <w:p w14:paraId="0AA4144A">
      <w:pPr>
        <w:pStyle w:val="48"/>
        <w:keepNext w:val="0"/>
        <w:keepLines w:val="0"/>
        <w:pageBreakBefore w:val="0"/>
        <w:widowControl w:val="0"/>
        <w:tabs>
          <w:tab w:val="left" w:pos="900"/>
          <w:tab w:val="left" w:pos="2127"/>
        </w:tabs>
        <w:kinsoku/>
        <w:wordWrap/>
        <w:overflowPunct/>
        <w:topLinePunct w:val="0"/>
        <w:autoSpaceDE/>
        <w:autoSpaceDN/>
        <w:bidi w:val="0"/>
        <w:adjustRightInd w:val="0"/>
        <w:snapToGrid w:val="0"/>
        <w:spacing w:line="360" w:lineRule="auto"/>
        <w:ind w:left="0" w:right="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□其他方式，具体要求：_____</w:t>
      </w:r>
    </w:p>
    <w:p w14:paraId="21FD89DA">
      <w:pPr>
        <w:keepNext w:val="0"/>
        <w:keepLines w:val="0"/>
        <w:pageBreakBefore w:val="0"/>
        <w:widowControl w:val="0"/>
        <w:numPr>
          <w:ilvl w:val="1"/>
          <w:numId w:val="9"/>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92E5FE7">
      <w:pPr>
        <w:keepNext w:val="0"/>
        <w:keepLines w:val="0"/>
        <w:pageBreakBefore w:val="0"/>
        <w:widowControl w:val="0"/>
        <w:numPr>
          <w:ilvl w:val="1"/>
          <w:numId w:val="9"/>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538E0392">
      <w:pPr>
        <w:keepNext w:val="0"/>
        <w:keepLines w:val="0"/>
        <w:pageBreakBefore w:val="0"/>
        <w:widowControl w:val="0"/>
        <w:numPr>
          <w:ilvl w:val="1"/>
          <w:numId w:val="9"/>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评标委员会要对评分汇总情况进行复核，特别是对排名第一的、报价最低的、投标或响应文件被认定为无效的情形进行重点复核。</w:t>
      </w:r>
    </w:p>
    <w:p w14:paraId="65009CE8">
      <w:pPr>
        <w:keepNext w:val="0"/>
        <w:keepLines w:val="0"/>
        <w:pageBreakBefore w:val="0"/>
        <w:widowControl w:val="0"/>
        <w:numPr>
          <w:ilvl w:val="1"/>
          <w:numId w:val="9"/>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评标委员会将根据各投标人的评标排序，依次推荐本项目（各采购包）的中标候选人，起草并签署评标报告。本项目（各采购包）评标委员会共（各）推荐___名中标候选人。</w:t>
      </w:r>
    </w:p>
    <w:p w14:paraId="2AC0E88A">
      <w:pPr>
        <w:keepNext w:val="0"/>
        <w:keepLines w:val="0"/>
        <w:pageBreakBefore w:val="0"/>
        <w:widowControl w:val="0"/>
        <w:numPr>
          <w:ilvl w:val="0"/>
          <w:numId w:val="9"/>
        </w:numPr>
        <w:tabs>
          <w:tab w:val="left" w:pos="360"/>
        </w:tabs>
        <w:kinsoku/>
        <w:wordWrap/>
        <w:overflowPunct/>
        <w:topLinePunct w:val="0"/>
        <w:autoSpaceDE/>
        <w:autoSpaceDN/>
        <w:bidi w:val="0"/>
        <w:snapToGrid w:val="0"/>
        <w:spacing w:line="360" w:lineRule="auto"/>
        <w:ind w:left="0" w:leftChars="0" w:right="0" w:firstLine="0" w:firstLineChars="0"/>
        <w:textAlignment w:val="auto"/>
        <w:outlineLvl w:val="1"/>
        <w:rPr>
          <w:rFonts w:hint="eastAsia" w:ascii="宋体" w:hAnsi="宋体" w:eastAsia="宋体" w:cs="宋体"/>
          <w:sz w:val="24"/>
          <w:highlight w:val="none"/>
        </w:rPr>
      </w:pPr>
      <w:r>
        <w:rPr>
          <w:rFonts w:hint="eastAsia" w:ascii="宋体" w:hAnsi="宋体" w:eastAsia="宋体" w:cs="宋体"/>
          <w:sz w:val="24"/>
          <w:highlight w:val="none"/>
        </w:rPr>
        <w:t>报告违法行为</w:t>
      </w:r>
    </w:p>
    <w:p w14:paraId="50AF7DC7">
      <w:pPr>
        <w:keepNext w:val="0"/>
        <w:keepLines w:val="0"/>
        <w:pageBreakBefore w:val="0"/>
        <w:widowControl w:val="0"/>
        <w:numPr>
          <w:ilvl w:val="1"/>
          <w:numId w:val="9"/>
        </w:numPr>
        <w:tabs>
          <w:tab w:val="left" w:pos="1080"/>
        </w:tabs>
        <w:kinsoku/>
        <w:wordWrap/>
        <w:overflowPunct/>
        <w:topLinePunct w:val="0"/>
        <w:autoSpaceDE/>
        <w:autoSpaceDN/>
        <w:bidi w:val="0"/>
        <w:snapToGrid w:val="0"/>
        <w:spacing w:line="360" w:lineRule="auto"/>
        <w:ind w:left="0" w:leftChars="0" w:right="0" w:firstLine="0" w:firstLineChars="0"/>
        <w:textAlignment w:val="auto"/>
        <w:rPr>
          <w:rFonts w:hint="eastAsia" w:ascii="宋体" w:hAnsi="宋体" w:eastAsia="宋体" w:cs="宋体"/>
          <w:sz w:val="24"/>
          <w:highlight w:val="none"/>
        </w:rPr>
        <w:sectPr>
          <w:headerReference r:id="rId13" w:type="default"/>
          <w:footerReference r:id="rId14" w:type="default"/>
          <w:type w:val="continuous"/>
          <w:pgSz w:w="11905" w:h="16838"/>
          <w:pgMar w:top="1304" w:right="964" w:bottom="1020" w:left="1191" w:header="567" w:footer="454" w:gutter="0"/>
          <w:pgNumType w:fmt="decimal"/>
          <w:cols w:space="720" w:num="1"/>
          <w:rtlGutter w:val="0"/>
          <w:docGrid w:type="lines" w:linePitch="317" w:charSpace="0"/>
        </w:sectPr>
      </w:pPr>
      <w:r>
        <w:rPr>
          <w:rFonts w:hint="eastAsia" w:ascii="宋体" w:hAnsi="宋体" w:eastAsia="宋体" w:cs="宋体"/>
          <w:sz w:val="24"/>
          <w:highlight w:val="none"/>
        </w:rPr>
        <w:t>评标委员会在评标过程中发现投标人有行贿、提供虚假材料或者串通等违法行为时，有向采购人、采购代理机构或者有关部门报告的职责。</w:t>
      </w:r>
    </w:p>
    <w:p w14:paraId="62AEB257">
      <w:pPr>
        <w:widowControl/>
        <w:numPr>
          <w:ilvl w:val="0"/>
          <w:numId w:val="10"/>
        </w:numPr>
        <w:jc w:val="center"/>
        <w:rPr>
          <w:rFonts w:hint="eastAsia" w:ascii="宋体" w:hAnsi="宋体" w:eastAsia="宋体" w:cs="宋体"/>
          <w:highlight w:val="none"/>
        </w:rPr>
      </w:pPr>
      <w:r>
        <w:rPr>
          <w:rFonts w:hint="eastAsia" w:ascii="宋体" w:hAnsi="宋体" w:eastAsia="宋体" w:cs="宋体"/>
          <w:b/>
          <w:sz w:val="24"/>
          <w:highlight w:val="none"/>
        </w:rPr>
        <w:t>评标标准</w:t>
      </w:r>
    </w:p>
    <w:p w14:paraId="02BD8092">
      <w:pPr>
        <w:pStyle w:val="85"/>
        <w:rPr>
          <w:rFonts w:hint="eastAsia" w:ascii="宋体" w:hAnsi="宋体" w:eastAsia="宋体" w:cs="宋体"/>
          <w:b/>
          <w:sz w:val="24"/>
          <w:highlight w:val="none"/>
        </w:rPr>
      </w:pPr>
    </w:p>
    <w:tbl>
      <w:tblPr>
        <w:tblStyle w:val="76"/>
        <w:tblpPr w:leftFromText="180" w:rightFromText="180" w:vertAnchor="text" w:horzAnchor="page" w:tblpX="2011" w:tblpY="67"/>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1"/>
        <w:gridCol w:w="1710"/>
        <w:gridCol w:w="4472"/>
        <w:gridCol w:w="1619"/>
      </w:tblGrid>
      <w:tr w14:paraId="1B8ED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23" w:type="pct"/>
            <w:noWrap w:val="0"/>
            <w:vAlign w:val="center"/>
          </w:tcPr>
          <w:p w14:paraId="7FBBF933">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003" w:type="pct"/>
            <w:noWrap w:val="0"/>
            <w:vAlign w:val="center"/>
          </w:tcPr>
          <w:p w14:paraId="59F93C18">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评审因素</w:t>
            </w:r>
          </w:p>
        </w:tc>
        <w:tc>
          <w:tcPr>
            <w:tcW w:w="2623" w:type="pct"/>
            <w:noWrap w:val="0"/>
            <w:vAlign w:val="center"/>
          </w:tcPr>
          <w:p w14:paraId="28DE89D9">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评分细则</w:t>
            </w:r>
          </w:p>
        </w:tc>
        <w:tc>
          <w:tcPr>
            <w:tcW w:w="949" w:type="pct"/>
            <w:noWrap w:val="0"/>
            <w:vAlign w:val="center"/>
          </w:tcPr>
          <w:p w14:paraId="48546D43">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分值</w:t>
            </w:r>
          </w:p>
          <w:p w14:paraId="1752DC51">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（分）</w:t>
            </w:r>
          </w:p>
        </w:tc>
      </w:tr>
      <w:tr w14:paraId="0A50F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423" w:type="pct"/>
            <w:noWrap w:val="0"/>
            <w:vAlign w:val="center"/>
          </w:tcPr>
          <w:p w14:paraId="2899151F">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一</w:t>
            </w:r>
          </w:p>
        </w:tc>
        <w:tc>
          <w:tcPr>
            <w:tcW w:w="4576" w:type="pct"/>
            <w:gridSpan w:val="3"/>
            <w:noWrap w:val="0"/>
            <w:vAlign w:val="center"/>
          </w:tcPr>
          <w:p w14:paraId="7214B343">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bCs/>
                <w:i/>
                <w:color w:val="000000"/>
                <w:sz w:val="24"/>
                <w:szCs w:val="24"/>
                <w:highlight w:val="none"/>
                <w:shd w:val="pct10" w:color="auto" w:fill="FFFFFF"/>
              </w:rPr>
            </w:pPr>
            <w:r>
              <w:rPr>
                <w:rFonts w:hint="eastAsia" w:ascii="宋体" w:hAnsi="宋体" w:cs="宋体"/>
                <w:b/>
                <w:color w:val="000000"/>
                <w:sz w:val="24"/>
                <w:szCs w:val="24"/>
                <w:highlight w:val="none"/>
                <w:lang w:val="en-US" w:eastAsia="zh-CN"/>
              </w:rPr>
              <w:t>报价</w:t>
            </w:r>
            <w:r>
              <w:rPr>
                <w:rFonts w:hint="eastAsia" w:ascii="宋体" w:hAnsi="宋体" w:eastAsia="宋体" w:cs="宋体"/>
                <w:b/>
                <w:color w:val="000000"/>
                <w:sz w:val="24"/>
                <w:szCs w:val="24"/>
                <w:highlight w:val="none"/>
              </w:rPr>
              <w:t>部分（合计30分）</w:t>
            </w:r>
          </w:p>
        </w:tc>
      </w:tr>
      <w:tr w14:paraId="35136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23" w:type="pct"/>
            <w:noWrap w:val="0"/>
            <w:vAlign w:val="center"/>
          </w:tcPr>
          <w:p w14:paraId="1457C6FC">
            <w:pPr>
              <w:pStyle w:val="171"/>
              <w:keepNext w:val="0"/>
              <w:keepLines w:val="0"/>
              <w:pageBreakBefore w:val="0"/>
              <w:numPr>
                <w:ilvl w:val="0"/>
                <w:numId w:val="11"/>
              </w:numPr>
              <w:kinsoku/>
              <w:wordWrap/>
              <w:overflowPunct/>
              <w:topLinePunct w:val="0"/>
              <w:bidi w:val="0"/>
              <w:snapToGrid w:val="0"/>
              <w:spacing w:line="288" w:lineRule="auto"/>
              <w:ind w:left="0" w:leftChars="0" w:right="0" w:rightChars="0" w:firstLine="0" w:firstLineChars="0"/>
              <w:jc w:val="center"/>
              <w:rPr>
                <w:rFonts w:hint="eastAsia" w:ascii="宋体" w:hAnsi="宋体" w:eastAsia="宋体" w:cs="宋体"/>
                <w:color w:val="000000"/>
                <w:sz w:val="24"/>
                <w:szCs w:val="24"/>
                <w:highlight w:val="none"/>
              </w:rPr>
            </w:pPr>
          </w:p>
        </w:tc>
        <w:tc>
          <w:tcPr>
            <w:tcW w:w="1003" w:type="pct"/>
            <w:noWrap w:val="0"/>
            <w:vAlign w:val="center"/>
          </w:tcPr>
          <w:p w14:paraId="3CD458BB">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w:t>
            </w:r>
          </w:p>
        </w:tc>
        <w:tc>
          <w:tcPr>
            <w:tcW w:w="2623" w:type="pct"/>
            <w:noWrap w:val="0"/>
            <w:vAlign w:val="center"/>
          </w:tcPr>
          <w:p w14:paraId="13B8AE93">
            <w:pPr>
              <w:keepNext w:val="0"/>
              <w:keepLines w:val="0"/>
              <w:pageBreakBefore w:val="0"/>
              <w:kinsoku/>
              <w:wordWrap/>
              <w:overflowPunct/>
              <w:topLinePunct w:val="0"/>
              <w:autoSpaceDE w:val="0"/>
              <w:autoSpaceDN w:val="0"/>
              <w:bidi w:val="0"/>
              <w:snapToGrid w:val="0"/>
              <w:spacing w:line="288" w:lineRule="auto"/>
              <w:ind w:left="120" w:leftChars="0" w:right="0" w:rightChars="0"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价格分应当采用低价优先法计算，即满足招标文件要求且投标价格最低的投标报价为评标基准价，其价格分为满分。其他投标人的价格分统一按照下列公式计算：</w:t>
            </w:r>
          </w:p>
          <w:p w14:paraId="638D199D">
            <w:pPr>
              <w:keepNext w:val="0"/>
              <w:keepLines w:val="0"/>
              <w:pageBreakBefore w:val="0"/>
              <w:widowControl/>
              <w:kinsoku/>
              <w:wordWrap/>
              <w:overflowPunct/>
              <w:topLinePunct w:val="0"/>
              <w:bidi w:val="0"/>
              <w:snapToGrid w:val="0"/>
              <w:spacing w:line="288" w:lineRule="auto"/>
              <w:ind w:left="120" w:leftChars="0" w:right="0" w:rightChars="0" w:firstLine="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投标报价得分=</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评标基准价／投标报价</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×100×权重</w:t>
            </w:r>
          </w:p>
          <w:p w14:paraId="74309E12">
            <w:pPr>
              <w:keepNext w:val="0"/>
              <w:keepLines w:val="0"/>
              <w:pageBreakBefore w:val="0"/>
              <w:widowControl/>
              <w:kinsoku/>
              <w:wordWrap/>
              <w:overflowPunct/>
              <w:topLinePunct w:val="0"/>
              <w:bidi w:val="0"/>
              <w:snapToGrid w:val="0"/>
              <w:spacing w:line="288" w:lineRule="auto"/>
              <w:ind w:left="120" w:leftChars="0" w:right="0" w:rightChars="0" w:firstLine="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备注：</w:t>
            </w:r>
          </w:p>
          <w:p w14:paraId="483A3D82">
            <w:pPr>
              <w:pStyle w:val="171"/>
              <w:keepNext w:val="0"/>
              <w:keepLines w:val="0"/>
              <w:pageBreakBefore w:val="0"/>
              <w:widowControl/>
              <w:numPr>
                <w:ilvl w:val="0"/>
                <w:numId w:val="0"/>
              </w:numPr>
              <w:kinsoku/>
              <w:wordWrap/>
              <w:overflowPunct/>
              <w:topLinePunct w:val="0"/>
              <w:bidi w:val="0"/>
              <w:snapToGrid w:val="0"/>
              <w:spacing w:line="288" w:lineRule="auto"/>
              <w:ind w:left="0" w:leftChars="0" w:right="0" w:rightChars="0" w:firstLine="0" w:firstLineChars="0"/>
              <w:jc w:val="left"/>
              <w:rPr>
                <w:rFonts w:hint="eastAsia" w:ascii="宋体" w:hAnsi="宋体" w:eastAsia="宋体" w:cs="宋体"/>
                <w:color w:val="000000"/>
                <w:sz w:val="24"/>
                <w:szCs w:val="24"/>
                <w:highlight w:val="none"/>
              </w:rPr>
            </w:pP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bCs/>
                <w:color w:val="000000"/>
                <w:sz w:val="24"/>
                <w:szCs w:val="24"/>
                <w:highlight w:val="none"/>
              </w:rPr>
              <w:t>因落实政府采购政策进行价格调整的，以调整后的价格计算评标基准价和投标报价</w:t>
            </w:r>
            <w:r>
              <w:rPr>
                <w:rFonts w:hint="eastAsia" w:ascii="宋体" w:hAnsi="宋体" w:cs="宋体"/>
                <w:bCs/>
                <w:color w:val="000000"/>
                <w:sz w:val="24"/>
                <w:szCs w:val="24"/>
                <w:highlight w:val="none"/>
                <w:lang w:eastAsia="zh-CN"/>
              </w:rPr>
              <w:t>，</w:t>
            </w:r>
            <w:r>
              <w:rPr>
                <w:rFonts w:hint="eastAsia" w:ascii="宋体" w:hAnsi="宋体" w:eastAsia="宋体" w:cs="宋体"/>
                <w:color w:val="000000"/>
                <w:sz w:val="24"/>
                <w:szCs w:val="24"/>
                <w:highlight w:val="none"/>
              </w:rPr>
              <w:t>详见《价格扣除》。</w:t>
            </w:r>
          </w:p>
          <w:p w14:paraId="119F9EFB">
            <w:pPr>
              <w:pStyle w:val="171"/>
              <w:keepNext w:val="0"/>
              <w:keepLines w:val="0"/>
              <w:pageBreakBefore w:val="0"/>
              <w:numPr>
                <w:ilvl w:val="0"/>
                <w:numId w:val="0"/>
              </w:numPr>
              <w:kinsoku/>
              <w:wordWrap/>
              <w:overflowPunct/>
              <w:topLinePunct w:val="0"/>
              <w:bidi w:val="0"/>
              <w:snapToGrid w:val="0"/>
              <w:spacing w:line="288" w:lineRule="auto"/>
              <w:ind w:left="0" w:leftChars="0" w:right="0" w:rightChars="0" w:firstLine="0" w:firstLineChars="0"/>
              <w:rPr>
                <w:rFonts w:hint="eastAsia" w:ascii="宋体" w:hAnsi="宋体" w:eastAsia="宋体" w:cs="宋体"/>
                <w:bCs/>
                <w:color w:val="000000"/>
                <w:sz w:val="24"/>
                <w:szCs w:val="24"/>
                <w:highlight w:val="none"/>
              </w:rPr>
            </w:pPr>
            <w:r>
              <w:rPr>
                <w:rFonts w:hint="default" w:ascii="宋体" w:hAnsi="宋体" w:eastAsia="宋体" w:cs="宋体"/>
                <w:bCs/>
                <w:color w:val="auto"/>
                <w:kern w:val="2"/>
                <w:sz w:val="24"/>
                <w:szCs w:val="24"/>
                <w:highlight w:val="none"/>
                <w:lang w:val="en-US" w:eastAsia="zh-CN" w:bidi="ar-SA"/>
              </w:rPr>
              <w:t>2、</w:t>
            </w:r>
            <w:r>
              <w:rPr>
                <w:rFonts w:hint="eastAsia" w:ascii="宋体" w:hAnsi="宋体" w:eastAsia="宋体" w:cs="宋体"/>
                <w:bCs/>
                <w:color w:val="000000"/>
                <w:sz w:val="24"/>
                <w:szCs w:val="24"/>
                <w:highlight w:val="none"/>
              </w:rPr>
              <w:t>投标报价得分四舍五入后，</w:t>
            </w:r>
            <w:r>
              <w:rPr>
                <w:rFonts w:hint="eastAsia" w:ascii="宋体" w:hAnsi="宋体" w:eastAsia="宋体" w:cs="宋体"/>
                <w:color w:val="000000"/>
                <w:sz w:val="24"/>
                <w:szCs w:val="24"/>
                <w:highlight w:val="none"/>
              </w:rPr>
              <w:t>小数点后保留两位有效数</w:t>
            </w:r>
            <w:r>
              <w:rPr>
                <w:rFonts w:hint="eastAsia" w:ascii="宋体" w:hAnsi="宋体" w:eastAsia="宋体" w:cs="宋体"/>
                <w:bCs/>
                <w:color w:val="000000"/>
                <w:sz w:val="24"/>
                <w:szCs w:val="24"/>
                <w:highlight w:val="none"/>
              </w:rPr>
              <w:t>；</w:t>
            </w:r>
          </w:p>
        </w:tc>
        <w:tc>
          <w:tcPr>
            <w:tcW w:w="949" w:type="pct"/>
            <w:noWrap w:val="0"/>
            <w:vAlign w:val="center"/>
          </w:tcPr>
          <w:p w14:paraId="12BA10BF">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30</w:t>
            </w:r>
          </w:p>
        </w:tc>
      </w:tr>
      <w:tr w14:paraId="05C3C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5000" w:type="pct"/>
            <w:gridSpan w:val="4"/>
            <w:noWrap w:val="0"/>
            <w:vAlign w:val="center"/>
          </w:tcPr>
          <w:p w14:paraId="5E4E6937">
            <w:pPr>
              <w:keepNext w:val="0"/>
              <w:keepLines w:val="0"/>
              <w:pageBreakBefore w:val="0"/>
              <w:kinsoku/>
              <w:wordWrap/>
              <w:overflowPunct/>
              <w:topLinePunct w:val="0"/>
              <w:bidi w:val="0"/>
              <w:snapToGrid w:val="0"/>
              <w:spacing w:line="288" w:lineRule="auto"/>
              <w:ind w:left="120" w:leftChars="0" w:right="0" w:rightChars="0" w:firstLine="0"/>
              <w:jc w:val="center"/>
              <w:rPr>
                <w:rFonts w:hint="default" w:ascii="宋体" w:hAnsi="宋体" w:eastAsia="宋体" w:cs="宋体"/>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商务技术部分（合计70分）</w:t>
            </w:r>
          </w:p>
        </w:tc>
      </w:tr>
      <w:tr w14:paraId="530A8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23" w:type="pct"/>
            <w:vMerge w:val="restart"/>
            <w:noWrap w:val="0"/>
            <w:vAlign w:val="center"/>
          </w:tcPr>
          <w:p w14:paraId="14E49D30">
            <w:pPr>
              <w:pStyle w:val="171"/>
              <w:keepNext w:val="0"/>
              <w:keepLines w:val="0"/>
              <w:pageBreakBefore w:val="0"/>
              <w:numPr>
                <w:ilvl w:val="0"/>
                <w:numId w:val="12"/>
              </w:numPr>
              <w:kinsoku/>
              <w:wordWrap/>
              <w:overflowPunct/>
              <w:topLinePunct w:val="0"/>
              <w:bidi w:val="0"/>
              <w:snapToGrid w:val="0"/>
              <w:spacing w:line="288" w:lineRule="auto"/>
              <w:ind w:left="0" w:leftChars="0" w:right="0" w:rightChars="0" w:firstLine="0" w:firstLineChars="0"/>
              <w:jc w:val="center"/>
              <w:rPr>
                <w:rFonts w:hint="eastAsia" w:ascii="宋体" w:hAnsi="宋体" w:eastAsia="宋体" w:cs="宋体"/>
                <w:color w:val="000000"/>
                <w:sz w:val="24"/>
                <w:szCs w:val="24"/>
                <w:highlight w:val="none"/>
              </w:rPr>
            </w:pPr>
          </w:p>
        </w:tc>
        <w:tc>
          <w:tcPr>
            <w:tcW w:w="1003" w:type="pct"/>
            <w:vMerge w:val="restart"/>
            <w:noWrap w:val="0"/>
            <w:vAlign w:val="center"/>
          </w:tcPr>
          <w:p w14:paraId="39C1803B">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团队实力</w:t>
            </w:r>
          </w:p>
        </w:tc>
        <w:tc>
          <w:tcPr>
            <w:tcW w:w="2623" w:type="pct"/>
            <w:noWrap w:val="0"/>
            <w:vAlign w:val="center"/>
          </w:tcPr>
          <w:p w14:paraId="2B0B57F9">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投标人具有专业配送车辆（具有拉运功能的车辆）并配备专业配送人员的不少于3辆，具有3辆得</w:t>
            </w:r>
            <w:r>
              <w:rPr>
                <w:rFonts w:hint="eastAsia" w:ascii="宋体" w:hAnsi="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分。在3辆的基础上，每增加一辆得1分。本项最高得</w:t>
            </w:r>
            <w:r>
              <w:rPr>
                <w:rFonts w:hint="eastAsia" w:ascii="宋体" w:hAnsi="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分</w:t>
            </w:r>
            <w:r>
              <w:rPr>
                <w:rFonts w:hint="eastAsia" w:ascii="宋体" w:hAnsi="宋体" w:cs="宋体"/>
                <w:bCs/>
                <w:color w:val="000000"/>
                <w:sz w:val="24"/>
                <w:szCs w:val="24"/>
                <w:highlight w:val="none"/>
                <w:lang w:eastAsia="zh-CN"/>
              </w:rPr>
              <w:t>；</w:t>
            </w:r>
          </w:p>
          <w:p w14:paraId="361901C7">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（须同时满足车辆及驾驶配送人员同时满足才可得分，否则不予得分！）</w:t>
            </w:r>
          </w:p>
          <w:p w14:paraId="4BF60D55">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注：关于车辆：供应商自有车辆的，提供有效的《机动车行驶证》及车辆图片；车辆属租赁的须提供租赁合同并提供车辆图片。否则不予得分！</w:t>
            </w:r>
          </w:p>
          <w:p w14:paraId="541D4F45">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关于专业配送人员：需提供专业配送人员的驾驶证、身份证扫描件、劳动合同。</w:t>
            </w:r>
          </w:p>
        </w:tc>
        <w:tc>
          <w:tcPr>
            <w:tcW w:w="949" w:type="pct"/>
            <w:noWrap w:val="0"/>
            <w:vAlign w:val="center"/>
          </w:tcPr>
          <w:p w14:paraId="7331B296">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p>
        </w:tc>
      </w:tr>
      <w:tr w14:paraId="68FE4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23" w:type="pct"/>
            <w:vMerge w:val="continue"/>
            <w:noWrap w:val="0"/>
            <w:vAlign w:val="center"/>
          </w:tcPr>
          <w:p w14:paraId="2EC5D162">
            <w:pPr>
              <w:pStyle w:val="171"/>
              <w:keepNext w:val="0"/>
              <w:keepLines w:val="0"/>
              <w:pageBreakBefore w:val="0"/>
              <w:kinsoku/>
              <w:wordWrap/>
              <w:overflowPunct/>
              <w:topLinePunct w:val="0"/>
              <w:bidi w:val="0"/>
              <w:snapToGrid w:val="0"/>
              <w:spacing w:line="288" w:lineRule="auto"/>
              <w:ind w:left="0" w:leftChars="0" w:right="0" w:rightChars="0" w:firstLine="0" w:firstLineChars="0"/>
              <w:jc w:val="center"/>
              <w:rPr>
                <w:rFonts w:hint="eastAsia" w:ascii="宋体" w:hAnsi="宋体" w:eastAsia="宋体" w:cs="宋体"/>
                <w:color w:val="000000"/>
                <w:sz w:val="24"/>
                <w:szCs w:val="24"/>
                <w:highlight w:val="none"/>
              </w:rPr>
            </w:pPr>
          </w:p>
        </w:tc>
        <w:tc>
          <w:tcPr>
            <w:tcW w:w="1003" w:type="pct"/>
            <w:vMerge w:val="continue"/>
            <w:noWrap w:val="0"/>
            <w:vAlign w:val="center"/>
          </w:tcPr>
          <w:p w14:paraId="4AF15924">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color w:val="000000"/>
                <w:sz w:val="24"/>
                <w:szCs w:val="24"/>
                <w:highlight w:val="none"/>
              </w:rPr>
            </w:pPr>
          </w:p>
        </w:tc>
        <w:tc>
          <w:tcPr>
            <w:tcW w:w="2623" w:type="pct"/>
            <w:noWrap w:val="0"/>
            <w:vAlign w:val="center"/>
          </w:tcPr>
          <w:p w14:paraId="08B8B34C">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投标人具备完善的</w:t>
            </w:r>
            <w:r>
              <w:rPr>
                <w:rFonts w:hint="eastAsia" w:ascii="宋体" w:hAnsi="宋体" w:cs="宋体"/>
                <w:bCs/>
                <w:color w:val="000000"/>
                <w:sz w:val="24"/>
                <w:szCs w:val="24"/>
                <w:highlight w:val="none"/>
                <w:lang w:val="en-US" w:eastAsia="zh-CN"/>
              </w:rPr>
              <w:t>管护</w:t>
            </w:r>
            <w:r>
              <w:rPr>
                <w:rFonts w:hint="eastAsia" w:ascii="宋体" w:hAnsi="宋体" w:eastAsia="宋体" w:cs="宋体"/>
                <w:bCs/>
                <w:color w:val="000000"/>
                <w:sz w:val="24"/>
                <w:szCs w:val="24"/>
                <w:highlight w:val="none"/>
              </w:rPr>
              <w:t>人员、清园整地人员、栽植人员（需提供相关人员身份证扫描件、劳动合同），具有5名养护人员的得基准分3分，在5名的基础上，每增加1名得1分，本项最高得6分；</w:t>
            </w:r>
          </w:p>
        </w:tc>
        <w:tc>
          <w:tcPr>
            <w:tcW w:w="949" w:type="pct"/>
            <w:noWrap w:val="0"/>
            <w:vAlign w:val="center"/>
          </w:tcPr>
          <w:p w14:paraId="12FF923F">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p>
        </w:tc>
      </w:tr>
      <w:tr w14:paraId="66B72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23" w:type="pct"/>
            <w:noWrap w:val="0"/>
            <w:vAlign w:val="center"/>
          </w:tcPr>
          <w:p w14:paraId="2C4ADD3C">
            <w:pPr>
              <w:pStyle w:val="171"/>
              <w:keepNext w:val="0"/>
              <w:keepLines w:val="0"/>
              <w:pageBreakBefore w:val="0"/>
              <w:numPr>
                <w:ilvl w:val="0"/>
                <w:numId w:val="12"/>
              </w:numPr>
              <w:kinsoku/>
              <w:wordWrap/>
              <w:overflowPunct/>
              <w:topLinePunct w:val="0"/>
              <w:bidi w:val="0"/>
              <w:snapToGrid w:val="0"/>
              <w:spacing w:line="288" w:lineRule="auto"/>
              <w:ind w:left="0" w:leftChars="0" w:right="0" w:rightChars="0" w:firstLine="0" w:firstLineChars="0"/>
              <w:jc w:val="center"/>
              <w:rPr>
                <w:rFonts w:hint="eastAsia" w:ascii="宋体" w:hAnsi="宋体" w:eastAsia="宋体" w:cs="宋体"/>
                <w:color w:val="000000"/>
                <w:sz w:val="24"/>
                <w:szCs w:val="24"/>
                <w:highlight w:val="none"/>
              </w:rPr>
            </w:pPr>
          </w:p>
        </w:tc>
        <w:tc>
          <w:tcPr>
            <w:tcW w:w="1003" w:type="pct"/>
            <w:noWrap w:val="0"/>
            <w:vAlign w:val="center"/>
          </w:tcPr>
          <w:p w14:paraId="4311590C">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技术支持及保障</w:t>
            </w:r>
          </w:p>
        </w:tc>
        <w:tc>
          <w:tcPr>
            <w:tcW w:w="2623" w:type="pct"/>
            <w:noWrap w:val="0"/>
            <w:vAlign w:val="center"/>
          </w:tcPr>
          <w:p w14:paraId="59BEA72B">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根据各投标人提供的</w:t>
            </w:r>
            <w:r>
              <w:rPr>
                <w:rFonts w:hint="eastAsia" w:ascii="宋体" w:hAnsi="宋体" w:cs="宋体"/>
                <w:bCs/>
                <w:color w:val="000000"/>
                <w:sz w:val="24"/>
                <w:szCs w:val="24"/>
                <w:highlight w:val="none"/>
                <w:lang w:eastAsia="zh-CN"/>
              </w:rPr>
              <w:t>①</w:t>
            </w:r>
            <w:r>
              <w:rPr>
                <w:rFonts w:hint="eastAsia" w:ascii="宋体" w:hAnsi="宋体" w:eastAsia="宋体" w:cs="宋体"/>
                <w:bCs/>
                <w:color w:val="000000"/>
                <w:sz w:val="24"/>
                <w:szCs w:val="24"/>
                <w:highlight w:val="none"/>
              </w:rPr>
              <w:t>服务承诺、</w:t>
            </w:r>
            <w:r>
              <w:rPr>
                <w:rFonts w:hint="eastAsia" w:ascii="宋体" w:hAnsi="宋体" w:cs="宋体"/>
                <w:bCs/>
                <w:color w:val="000000"/>
                <w:sz w:val="24"/>
                <w:szCs w:val="24"/>
                <w:highlight w:val="none"/>
                <w:lang w:eastAsia="zh-CN"/>
              </w:rPr>
              <w:t>②</w:t>
            </w:r>
            <w:r>
              <w:rPr>
                <w:rFonts w:hint="eastAsia" w:ascii="宋体" w:hAnsi="宋体" w:cs="宋体"/>
                <w:bCs/>
                <w:color w:val="000000"/>
                <w:sz w:val="24"/>
                <w:szCs w:val="24"/>
                <w:highlight w:val="none"/>
                <w:lang w:val="en-US" w:eastAsia="zh-CN"/>
              </w:rPr>
              <w:t>项目</w:t>
            </w:r>
            <w:r>
              <w:rPr>
                <w:rFonts w:hint="eastAsia" w:ascii="宋体" w:hAnsi="宋体" w:eastAsia="宋体" w:cs="宋体"/>
                <w:bCs/>
                <w:color w:val="000000"/>
                <w:sz w:val="24"/>
                <w:szCs w:val="24"/>
                <w:highlight w:val="none"/>
              </w:rPr>
              <w:t>计划（包括具体的服务内容、供货方案、组织措施等）、</w:t>
            </w:r>
            <w:r>
              <w:rPr>
                <w:rFonts w:hint="eastAsia" w:ascii="宋体" w:hAnsi="宋体" w:cs="宋体"/>
                <w:bCs/>
                <w:color w:val="000000"/>
                <w:sz w:val="24"/>
                <w:szCs w:val="24"/>
                <w:highlight w:val="none"/>
                <w:lang w:eastAsia="zh-CN"/>
              </w:rPr>
              <w:t>③</w:t>
            </w:r>
            <w:r>
              <w:rPr>
                <w:rFonts w:hint="eastAsia" w:ascii="宋体" w:hAnsi="宋体" w:eastAsia="宋体" w:cs="宋体"/>
                <w:bCs/>
                <w:color w:val="000000"/>
                <w:sz w:val="24"/>
                <w:szCs w:val="24"/>
                <w:highlight w:val="none"/>
              </w:rPr>
              <w:t>包括人员的配备情况、</w:t>
            </w:r>
            <w:r>
              <w:rPr>
                <w:rFonts w:hint="eastAsia" w:ascii="宋体" w:hAnsi="宋体" w:cs="宋体"/>
                <w:bCs/>
                <w:color w:val="000000"/>
                <w:sz w:val="24"/>
                <w:szCs w:val="24"/>
                <w:highlight w:val="none"/>
                <w:lang w:val="en-US" w:eastAsia="zh-CN"/>
              </w:rPr>
              <w:t>修复及抚育</w:t>
            </w:r>
            <w:r>
              <w:rPr>
                <w:rFonts w:hint="eastAsia" w:ascii="宋体" w:hAnsi="宋体" w:eastAsia="宋体" w:cs="宋体"/>
                <w:bCs/>
                <w:color w:val="000000"/>
                <w:sz w:val="24"/>
                <w:szCs w:val="24"/>
                <w:highlight w:val="none"/>
              </w:rPr>
              <w:t>的计划、</w:t>
            </w:r>
            <w:r>
              <w:rPr>
                <w:rFonts w:hint="eastAsia" w:ascii="宋体" w:hAnsi="宋体" w:cs="宋体"/>
                <w:bCs/>
                <w:color w:val="000000"/>
                <w:sz w:val="24"/>
                <w:szCs w:val="24"/>
                <w:highlight w:val="none"/>
                <w:lang w:eastAsia="zh-CN"/>
              </w:rPr>
              <w:t>④</w:t>
            </w:r>
            <w:r>
              <w:rPr>
                <w:rFonts w:hint="eastAsia" w:ascii="宋体" w:hAnsi="宋体" w:eastAsia="宋体" w:cs="宋体"/>
                <w:bCs/>
                <w:color w:val="000000"/>
                <w:sz w:val="24"/>
                <w:szCs w:val="24"/>
                <w:highlight w:val="none"/>
              </w:rPr>
              <w:t>是否已建立完备的客户服务体系、能否及时、有效地为客户提供优质服务等</w:t>
            </w:r>
            <w:r>
              <w:rPr>
                <w:rFonts w:hint="eastAsia" w:ascii="宋体" w:hAnsi="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项内容，方案内容完整齐全，符合项目实际的，得</w:t>
            </w:r>
            <w:r>
              <w:rPr>
                <w:rFonts w:hint="eastAsia" w:ascii="宋体" w:hAnsi="宋体" w:cs="宋体"/>
                <w:bCs/>
                <w:color w:val="000000"/>
                <w:sz w:val="24"/>
                <w:szCs w:val="24"/>
                <w:highlight w:val="none"/>
                <w:lang w:val="en-US" w:eastAsia="zh-CN"/>
              </w:rPr>
              <w:t>8</w:t>
            </w:r>
            <w:r>
              <w:rPr>
                <w:rFonts w:hint="eastAsia" w:ascii="宋体" w:hAnsi="宋体" w:eastAsia="宋体" w:cs="宋体"/>
                <w:bCs/>
                <w:color w:val="000000"/>
                <w:sz w:val="24"/>
                <w:szCs w:val="24"/>
                <w:highlight w:val="none"/>
              </w:rPr>
              <w:t>分；每缺少一项方案内容或内容存在缺陷的扣</w:t>
            </w:r>
            <w:r>
              <w:rPr>
                <w:rFonts w:hint="eastAsia" w:ascii="宋体" w:hAnsi="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分，扣完为止；未提供的，此项不得分。</w:t>
            </w:r>
            <w:r>
              <w:rPr>
                <w:rFonts w:hint="eastAsia" w:ascii="宋体" w:hAnsi="宋体" w:cs="宋体"/>
                <w:bCs/>
                <w:color w:val="000000"/>
                <w:sz w:val="24"/>
                <w:szCs w:val="24"/>
                <w:highlight w:val="none"/>
                <w:lang w:eastAsia="zh-CN"/>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其他：该项内容套用其他项项目方案，存在不适用项目实际情况的情形、凭空编造、内容前后不一致、前后逻辑错误、地点区域错误、内容缺失。</w:t>
            </w:r>
          </w:p>
        </w:tc>
        <w:tc>
          <w:tcPr>
            <w:tcW w:w="949" w:type="pct"/>
            <w:noWrap w:val="0"/>
            <w:vAlign w:val="center"/>
          </w:tcPr>
          <w:p w14:paraId="2AE773D3">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p>
        </w:tc>
      </w:tr>
      <w:tr w14:paraId="65C5B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23" w:type="pct"/>
            <w:noWrap w:val="0"/>
            <w:vAlign w:val="center"/>
          </w:tcPr>
          <w:p w14:paraId="13F6D430">
            <w:pPr>
              <w:pStyle w:val="171"/>
              <w:keepNext w:val="0"/>
              <w:keepLines w:val="0"/>
              <w:pageBreakBefore w:val="0"/>
              <w:numPr>
                <w:ilvl w:val="0"/>
                <w:numId w:val="12"/>
              </w:numPr>
              <w:kinsoku/>
              <w:wordWrap/>
              <w:overflowPunct/>
              <w:topLinePunct w:val="0"/>
              <w:bidi w:val="0"/>
              <w:snapToGrid w:val="0"/>
              <w:spacing w:line="288" w:lineRule="auto"/>
              <w:ind w:left="0" w:leftChars="0" w:right="0" w:rightChars="0" w:firstLine="0" w:firstLineChars="0"/>
              <w:jc w:val="center"/>
              <w:rPr>
                <w:rFonts w:hint="eastAsia" w:ascii="宋体" w:hAnsi="宋体" w:eastAsia="宋体" w:cs="宋体"/>
                <w:color w:val="000000"/>
                <w:sz w:val="24"/>
                <w:szCs w:val="24"/>
                <w:highlight w:val="none"/>
              </w:rPr>
            </w:pPr>
          </w:p>
        </w:tc>
        <w:tc>
          <w:tcPr>
            <w:tcW w:w="1003" w:type="pct"/>
            <w:noWrap w:val="0"/>
            <w:vAlign w:val="center"/>
          </w:tcPr>
          <w:p w14:paraId="13813CEB">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实施方案</w:t>
            </w:r>
          </w:p>
        </w:tc>
        <w:tc>
          <w:tcPr>
            <w:tcW w:w="2623" w:type="pct"/>
            <w:noWrap w:val="0"/>
            <w:vAlign w:val="center"/>
          </w:tcPr>
          <w:p w14:paraId="3415AFA0">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供应商根据本项目的实际情况，所编制项目实施方案包含：</w:t>
            </w:r>
          </w:p>
          <w:p w14:paraId="3717C07D">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1.施工准备计划：施工技术、现场、物资与机械应能充分保证工程需要等 4 项内容，提供的计划内容完整可行、符合项目实际情况的得 </w:t>
            </w:r>
            <w:r>
              <w:rPr>
                <w:rFonts w:hint="eastAsia" w:ascii="宋体" w:hAnsi="宋体" w:cs="宋体"/>
                <w:bCs/>
                <w:color w:val="000000"/>
                <w:sz w:val="24"/>
                <w:szCs w:val="24"/>
                <w:highlight w:val="none"/>
                <w:lang w:val="en-US" w:eastAsia="zh-CN"/>
              </w:rPr>
              <w:t>8</w:t>
            </w:r>
            <w:r>
              <w:rPr>
                <w:rFonts w:hint="eastAsia" w:ascii="宋体" w:hAnsi="宋体" w:eastAsia="宋体" w:cs="宋体"/>
                <w:bCs/>
                <w:color w:val="000000"/>
                <w:sz w:val="24"/>
                <w:szCs w:val="24"/>
                <w:highlight w:val="none"/>
              </w:rPr>
              <w:t xml:space="preserve"> 分；每缺少一项方案内容或内容存在缺陷的扣 </w:t>
            </w:r>
            <w:r>
              <w:rPr>
                <w:rFonts w:hint="eastAsia" w:ascii="宋体" w:hAnsi="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 xml:space="preserve"> 分，扣完为止；未提供的，此项不得分。</w:t>
            </w:r>
          </w:p>
          <w:p w14:paraId="6C462632">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2.劳动力及设备安排计划；提供的方案合理、科学、全面的得 </w:t>
            </w:r>
            <w:r>
              <w:rPr>
                <w:rFonts w:hint="eastAsia" w:ascii="宋体" w:hAnsi="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 xml:space="preserve"> 分，每缺少一项方案内容或内容存在缺陷的扣 </w:t>
            </w:r>
            <w:r>
              <w:rPr>
                <w:rFonts w:hint="eastAsia" w:ascii="宋体" w:hAnsi="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 xml:space="preserve"> 分，扣完为止；未提供的，此项不得分；</w:t>
            </w:r>
          </w:p>
          <w:p w14:paraId="42B96070">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3.文明施工及环境保护措施；提供的施工及环境保护措施方案的合理、科学、全面、先进的得 </w:t>
            </w:r>
            <w:r>
              <w:rPr>
                <w:rFonts w:hint="eastAsia" w:ascii="宋体" w:hAnsi="宋体" w:cs="宋体"/>
                <w:bCs/>
                <w:color w:val="000000"/>
                <w:sz w:val="24"/>
                <w:szCs w:val="24"/>
                <w:highlight w:val="none"/>
                <w:lang w:val="en-US" w:eastAsia="zh-CN"/>
              </w:rPr>
              <w:t>8</w:t>
            </w:r>
            <w:r>
              <w:rPr>
                <w:rFonts w:hint="eastAsia" w:ascii="宋体" w:hAnsi="宋体" w:eastAsia="宋体" w:cs="宋体"/>
                <w:bCs/>
                <w:color w:val="000000"/>
                <w:sz w:val="24"/>
                <w:szCs w:val="24"/>
                <w:highlight w:val="none"/>
              </w:rPr>
              <w:t xml:space="preserve">分，每缺少一项方案内容或内容存在缺陷的扣 </w:t>
            </w:r>
            <w:r>
              <w:rPr>
                <w:rFonts w:hint="eastAsia" w:ascii="宋体" w:hAnsi="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 xml:space="preserve"> 分，扣完为止；未提供的，此项不得分；</w:t>
            </w:r>
          </w:p>
          <w:p w14:paraId="64800544">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w:t>
            </w:r>
            <w:r>
              <w:rPr>
                <w:rFonts w:hint="eastAsia" w:ascii="宋体" w:hAnsi="宋体" w:cs="宋体"/>
                <w:bCs/>
                <w:color w:val="000000"/>
                <w:sz w:val="24"/>
                <w:szCs w:val="24"/>
                <w:highlight w:val="none"/>
                <w:lang w:val="en-US" w:eastAsia="zh-CN"/>
              </w:rPr>
              <w:t>其他：</w:t>
            </w:r>
            <w:r>
              <w:rPr>
                <w:rFonts w:hint="eastAsia" w:ascii="宋体" w:hAnsi="宋体" w:eastAsia="宋体" w:cs="宋体"/>
                <w:bCs/>
                <w:color w:val="000000"/>
                <w:sz w:val="24"/>
                <w:szCs w:val="24"/>
                <w:highlight w:val="none"/>
              </w:rPr>
              <w:t>该项内容套用其他项</w:t>
            </w:r>
            <w:r>
              <w:rPr>
                <w:rFonts w:hint="eastAsia" w:ascii="宋体" w:hAnsi="宋体" w:cs="宋体"/>
                <w:bCs/>
                <w:color w:val="000000"/>
                <w:sz w:val="24"/>
                <w:szCs w:val="24"/>
                <w:highlight w:val="none"/>
                <w:lang w:val="en-US" w:eastAsia="zh-CN"/>
              </w:rPr>
              <w:t>项目方案</w:t>
            </w:r>
            <w:r>
              <w:rPr>
                <w:rFonts w:hint="eastAsia" w:ascii="宋体" w:hAnsi="宋体" w:cs="宋体"/>
                <w:bCs/>
                <w:color w:val="000000"/>
                <w:sz w:val="24"/>
                <w:szCs w:val="24"/>
                <w:highlight w:val="none"/>
                <w:lang w:eastAsia="zh-CN"/>
              </w:rPr>
              <w:t>，</w:t>
            </w:r>
            <w:r>
              <w:rPr>
                <w:rFonts w:hint="eastAsia" w:ascii="宋体" w:hAnsi="宋体" w:eastAsia="宋体" w:cs="宋体"/>
                <w:kern w:val="2"/>
                <w:sz w:val="24"/>
                <w:szCs w:val="24"/>
                <w:highlight w:val="none"/>
                <w:lang w:val="en-US" w:eastAsia="zh-CN" w:bidi="ar-SA"/>
              </w:rPr>
              <w:t>存在不适用项目实际情况的情形、凭空编造、内容前后不一致、前后逻辑错误、地点区域错误、内容缺失</w:t>
            </w:r>
            <w:r>
              <w:rPr>
                <w:rFonts w:hint="eastAsia" w:ascii="宋体" w:hAnsi="宋体" w:eastAsia="宋体" w:cs="宋体"/>
                <w:bCs/>
                <w:color w:val="000000"/>
                <w:sz w:val="24"/>
                <w:szCs w:val="24"/>
                <w:highlight w:val="none"/>
              </w:rPr>
              <w:t>。</w:t>
            </w:r>
          </w:p>
        </w:tc>
        <w:tc>
          <w:tcPr>
            <w:tcW w:w="949" w:type="pct"/>
            <w:noWrap w:val="0"/>
            <w:vAlign w:val="center"/>
          </w:tcPr>
          <w:p w14:paraId="49FA3C8E">
            <w:pPr>
              <w:keepNext w:val="0"/>
              <w:keepLines w:val="0"/>
              <w:pageBreakBefore w:val="0"/>
              <w:kinsoku/>
              <w:wordWrap/>
              <w:overflowPunct/>
              <w:topLinePunct w:val="0"/>
              <w:bidi w:val="0"/>
              <w:snapToGrid w:val="0"/>
              <w:spacing w:line="288" w:lineRule="auto"/>
              <w:ind w:left="120" w:leftChars="0" w:right="0" w:rightChars="0" w:firstLine="0"/>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22</w:t>
            </w:r>
          </w:p>
        </w:tc>
      </w:tr>
      <w:tr w14:paraId="1E4BFF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23" w:type="pct"/>
            <w:noWrap w:val="0"/>
            <w:vAlign w:val="center"/>
          </w:tcPr>
          <w:p w14:paraId="23BCE69A">
            <w:pPr>
              <w:pStyle w:val="171"/>
              <w:keepNext w:val="0"/>
              <w:keepLines w:val="0"/>
              <w:pageBreakBefore w:val="0"/>
              <w:numPr>
                <w:ilvl w:val="0"/>
                <w:numId w:val="12"/>
              </w:numPr>
              <w:kinsoku/>
              <w:wordWrap/>
              <w:overflowPunct/>
              <w:topLinePunct w:val="0"/>
              <w:bidi w:val="0"/>
              <w:snapToGrid w:val="0"/>
              <w:spacing w:line="288" w:lineRule="auto"/>
              <w:ind w:left="0" w:leftChars="0" w:right="0" w:rightChars="0" w:firstLine="0" w:firstLineChars="0"/>
              <w:jc w:val="center"/>
              <w:rPr>
                <w:rFonts w:hint="eastAsia" w:ascii="宋体" w:hAnsi="宋体" w:eastAsia="宋体" w:cs="宋体"/>
                <w:color w:val="000000"/>
                <w:sz w:val="24"/>
                <w:szCs w:val="24"/>
                <w:highlight w:val="none"/>
              </w:rPr>
            </w:pPr>
          </w:p>
        </w:tc>
        <w:tc>
          <w:tcPr>
            <w:tcW w:w="1003" w:type="pct"/>
            <w:noWrap w:val="0"/>
            <w:vAlign w:val="center"/>
          </w:tcPr>
          <w:p w14:paraId="4B1DF20B">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技术难点及相应解决方案</w:t>
            </w:r>
          </w:p>
        </w:tc>
        <w:tc>
          <w:tcPr>
            <w:tcW w:w="2623" w:type="pct"/>
            <w:noWrap w:val="0"/>
            <w:vAlign w:val="center"/>
          </w:tcPr>
          <w:p w14:paraId="665DD303">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有针对本项目施工中的重难点问题分析及关键技术问题和针对本项目的解决方案，符合项目实际情况的得 </w:t>
            </w:r>
            <w:r>
              <w:rPr>
                <w:rFonts w:hint="eastAsia" w:ascii="宋体" w:hAnsi="宋体" w:cs="宋体"/>
                <w:bCs/>
                <w:color w:val="000000"/>
                <w:sz w:val="24"/>
                <w:szCs w:val="24"/>
                <w:highlight w:val="none"/>
                <w:lang w:val="en-US" w:eastAsia="zh-CN"/>
              </w:rPr>
              <w:t>10</w:t>
            </w:r>
            <w:r>
              <w:rPr>
                <w:rFonts w:hint="eastAsia" w:ascii="宋体" w:hAnsi="宋体" w:eastAsia="宋体" w:cs="宋体"/>
                <w:bCs/>
                <w:color w:val="000000"/>
                <w:sz w:val="24"/>
                <w:szCs w:val="24"/>
                <w:highlight w:val="none"/>
              </w:rPr>
              <w:t xml:space="preserve"> 分；每缺少一项方案内容或内容存在缺陷的扣 2分，扣完为止；未提供的，此项不得分。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w:t>
            </w:r>
            <w:r>
              <w:rPr>
                <w:rFonts w:hint="eastAsia" w:ascii="宋体" w:hAnsi="宋体" w:cs="宋体"/>
                <w:bCs/>
                <w:color w:val="000000"/>
                <w:sz w:val="24"/>
                <w:szCs w:val="24"/>
                <w:highlight w:val="none"/>
                <w:lang w:val="en-US" w:eastAsia="zh-CN"/>
              </w:rPr>
              <w:t>其他：</w:t>
            </w:r>
            <w:r>
              <w:rPr>
                <w:rFonts w:hint="eastAsia" w:ascii="宋体" w:hAnsi="宋体" w:eastAsia="宋体" w:cs="宋体"/>
                <w:bCs/>
                <w:color w:val="000000"/>
                <w:sz w:val="24"/>
                <w:szCs w:val="24"/>
                <w:highlight w:val="none"/>
              </w:rPr>
              <w:t>该项内容套用其他项</w:t>
            </w:r>
            <w:r>
              <w:rPr>
                <w:rFonts w:hint="eastAsia" w:ascii="宋体" w:hAnsi="宋体" w:cs="宋体"/>
                <w:bCs/>
                <w:color w:val="000000"/>
                <w:sz w:val="24"/>
                <w:szCs w:val="24"/>
                <w:highlight w:val="none"/>
                <w:lang w:val="en-US" w:eastAsia="zh-CN"/>
              </w:rPr>
              <w:t>项目方案</w:t>
            </w:r>
            <w:r>
              <w:rPr>
                <w:rFonts w:hint="eastAsia" w:ascii="宋体" w:hAnsi="宋体" w:cs="宋体"/>
                <w:bCs/>
                <w:color w:val="000000"/>
                <w:sz w:val="24"/>
                <w:szCs w:val="24"/>
                <w:highlight w:val="none"/>
                <w:lang w:eastAsia="zh-CN"/>
              </w:rPr>
              <w:t>，</w:t>
            </w:r>
            <w:r>
              <w:rPr>
                <w:rFonts w:hint="eastAsia" w:ascii="宋体" w:hAnsi="宋体" w:eastAsia="宋体" w:cs="宋体"/>
                <w:kern w:val="2"/>
                <w:sz w:val="24"/>
                <w:szCs w:val="24"/>
                <w:highlight w:val="none"/>
                <w:lang w:val="en-US" w:eastAsia="zh-CN" w:bidi="ar-SA"/>
              </w:rPr>
              <w:t>存在不适用项目实际情况的情形、凭空编造、内容前后不一致、前后逻辑错误、地点区域错误、内容缺失</w:t>
            </w:r>
            <w:r>
              <w:rPr>
                <w:rFonts w:hint="eastAsia" w:ascii="宋体" w:hAnsi="宋体" w:eastAsia="宋体" w:cs="宋体"/>
                <w:bCs/>
                <w:color w:val="000000"/>
                <w:sz w:val="24"/>
                <w:szCs w:val="24"/>
                <w:highlight w:val="none"/>
              </w:rPr>
              <w:t>。</w:t>
            </w:r>
          </w:p>
        </w:tc>
        <w:tc>
          <w:tcPr>
            <w:tcW w:w="949" w:type="pct"/>
            <w:noWrap w:val="0"/>
            <w:vAlign w:val="center"/>
          </w:tcPr>
          <w:p w14:paraId="1789572A">
            <w:pPr>
              <w:keepNext w:val="0"/>
              <w:keepLines w:val="0"/>
              <w:pageBreakBefore w:val="0"/>
              <w:kinsoku/>
              <w:wordWrap/>
              <w:overflowPunct/>
              <w:topLinePunct w:val="0"/>
              <w:bidi w:val="0"/>
              <w:snapToGrid w:val="0"/>
              <w:spacing w:line="288" w:lineRule="auto"/>
              <w:ind w:left="120" w:leftChars="0" w:right="0" w:rightChars="0" w:firstLine="0"/>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10</w:t>
            </w:r>
          </w:p>
        </w:tc>
      </w:tr>
      <w:tr w14:paraId="4461D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23" w:type="pct"/>
            <w:vMerge w:val="restart"/>
            <w:noWrap w:val="0"/>
            <w:vAlign w:val="center"/>
          </w:tcPr>
          <w:p w14:paraId="36025AE3">
            <w:pPr>
              <w:pStyle w:val="171"/>
              <w:keepNext w:val="0"/>
              <w:keepLines w:val="0"/>
              <w:pageBreakBefore w:val="0"/>
              <w:numPr>
                <w:ilvl w:val="0"/>
                <w:numId w:val="12"/>
              </w:numPr>
              <w:kinsoku/>
              <w:wordWrap/>
              <w:overflowPunct/>
              <w:topLinePunct w:val="0"/>
              <w:bidi w:val="0"/>
              <w:snapToGrid w:val="0"/>
              <w:spacing w:line="288" w:lineRule="auto"/>
              <w:ind w:left="0" w:leftChars="0" w:right="0" w:rightChars="0" w:firstLine="0" w:firstLineChars="0"/>
              <w:jc w:val="center"/>
              <w:rPr>
                <w:rFonts w:hint="eastAsia" w:ascii="宋体" w:hAnsi="宋体" w:eastAsia="宋体" w:cs="宋体"/>
                <w:color w:val="000000"/>
                <w:sz w:val="24"/>
                <w:szCs w:val="24"/>
                <w:highlight w:val="none"/>
              </w:rPr>
            </w:pPr>
          </w:p>
        </w:tc>
        <w:tc>
          <w:tcPr>
            <w:tcW w:w="1003" w:type="pct"/>
            <w:vMerge w:val="restart"/>
            <w:noWrap w:val="0"/>
            <w:vAlign w:val="center"/>
          </w:tcPr>
          <w:p w14:paraId="57C386BE">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售后服务</w:t>
            </w:r>
          </w:p>
          <w:p w14:paraId="16344738">
            <w:pPr>
              <w:keepNext w:val="0"/>
              <w:keepLines w:val="0"/>
              <w:pageBreakBefore w:val="0"/>
              <w:kinsoku/>
              <w:wordWrap/>
              <w:overflowPunct/>
              <w:topLinePunct w:val="0"/>
              <w:bidi w:val="0"/>
              <w:snapToGrid w:val="0"/>
              <w:spacing w:line="288" w:lineRule="auto"/>
              <w:ind w:left="120" w:leftChars="0" w:right="0" w:rightChars="0" w:firstLine="0"/>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货物质量保证方案</w:t>
            </w:r>
          </w:p>
        </w:tc>
        <w:tc>
          <w:tcPr>
            <w:tcW w:w="2623" w:type="pct"/>
            <w:noWrap w:val="0"/>
            <w:vAlign w:val="center"/>
          </w:tcPr>
          <w:p w14:paraId="005E985A">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项目售后服务方案包括但不限于售后服务承诺、售后服务方案、</w:t>
            </w:r>
            <w:r>
              <w:rPr>
                <w:rFonts w:hint="eastAsia" w:ascii="宋体" w:hAnsi="宋体" w:cs="宋体"/>
                <w:bCs/>
                <w:color w:val="000000"/>
                <w:sz w:val="24"/>
                <w:szCs w:val="24"/>
                <w:highlight w:val="none"/>
                <w:lang w:val="en-US" w:eastAsia="zh-CN"/>
              </w:rPr>
              <w:t>修复及抚育</w:t>
            </w:r>
            <w:r>
              <w:rPr>
                <w:rFonts w:hint="eastAsia" w:ascii="宋体" w:hAnsi="宋体" w:eastAsia="宋体" w:cs="宋体"/>
                <w:bCs/>
                <w:color w:val="000000"/>
                <w:sz w:val="24"/>
                <w:szCs w:val="24"/>
                <w:highlight w:val="none"/>
              </w:rPr>
              <w:t>方案、</w:t>
            </w:r>
            <w:r>
              <w:rPr>
                <w:rFonts w:hint="eastAsia" w:ascii="宋体" w:hAnsi="宋体" w:cs="宋体"/>
                <w:bCs/>
                <w:color w:val="000000"/>
                <w:sz w:val="24"/>
                <w:szCs w:val="24"/>
                <w:highlight w:val="none"/>
                <w:lang w:val="en-US" w:eastAsia="zh-CN"/>
              </w:rPr>
              <w:t>苗木养护技术培训</w:t>
            </w:r>
            <w:r>
              <w:rPr>
                <w:rFonts w:hint="eastAsia" w:ascii="宋体" w:hAnsi="宋体" w:eastAsia="宋体" w:cs="宋体"/>
                <w:bCs/>
                <w:color w:val="000000"/>
                <w:sz w:val="24"/>
                <w:szCs w:val="24"/>
                <w:highlight w:val="none"/>
              </w:rPr>
              <w:t>、</w:t>
            </w:r>
            <w:r>
              <w:rPr>
                <w:rFonts w:hint="eastAsia" w:ascii="宋体" w:hAnsi="宋体" w:cs="宋体"/>
                <w:bCs/>
                <w:color w:val="000000"/>
                <w:sz w:val="24"/>
                <w:szCs w:val="24"/>
                <w:highlight w:val="none"/>
                <w:lang w:val="en-US" w:eastAsia="zh-CN"/>
              </w:rPr>
              <w:t>质保内存活率承诺</w:t>
            </w:r>
            <w:r>
              <w:rPr>
                <w:rFonts w:hint="eastAsia" w:ascii="宋体" w:hAnsi="宋体" w:eastAsia="宋体" w:cs="宋体"/>
                <w:bCs/>
                <w:color w:val="000000"/>
                <w:sz w:val="24"/>
                <w:szCs w:val="24"/>
                <w:highlight w:val="none"/>
              </w:rPr>
              <w:t>、质保外服务措施等6 项内容，方案内容完整齐全，符合项目实际的，得 6 分；每缺少一项方案内容或内容存在缺陷的扣 1 分，扣完为止；未提供项目售后服务方案的，此项不得分。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w:t>
            </w:r>
            <w:r>
              <w:rPr>
                <w:rFonts w:hint="eastAsia" w:ascii="宋体" w:hAnsi="宋体" w:cs="宋体"/>
                <w:bCs/>
                <w:color w:val="000000"/>
                <w:sz w:val="24"/>
                <w:szCs w:val="24"/>
                <w:highlight w:val="none"/>
                <w:lang w:val="en-US" w:eastAsia="zh-CN"/>
              </w:rPr>
              <w:t>其他：</w:t>
            </w:r>
            <w:r>
              <w:rPr>
                <w:rFonts w:hint="eastAsia" w:ascii="宋体" w:hAnsi="宋体" w:eastAsia="宋体" w:cs="宋体"/>
                <w:bCs/>
                <w:color w:val="000000"/>
                <w:sz w:val="24"/>
                <w:szCs w:val="24"/>
                <w:highlight w:val="none"/>
              </w:rPr>
              <w:t>该项内容套用其他项</w:t>
            </w:r>
            <w:r>
              <w:rPr>
                <w:rFonts w:hint="eastAsia" w:ascii="宋体" w:hAnsi="宋体" w:cs="宋体"/>
                <w:bCs/>
                <w:color w:val="000000"/>
                <w:sz w:val="24"/>
                <w:szCs w:val="24"/>
                <w:highlight w:val="none"/>
                <w:lang w:val="en-US" w:eastAsia="zh-CN"/>
              </w:rPr>
              <w:t>项目方案</w:t>
            </w:r>
            <w:r>
              <w:rPr>
                <w:rFonts w:hint="eastAsia" w:ascii="宋体" w:hAnsi="宋体" w:cs="宋体"/>
                <w:bCs/>
                <w:color w:val="000000"/>
                <w:sz w:val="24"/>
                <w:szCs w:val="24"/>
                <w:highlight w:val="none"/>
                <w:lang w:eastAsia="zh-CN"/>
              </w:rPr>
              <w:t>，</w:t>
            </w:r>
            <w:r>
              <w:rPr>
                <w:rFonts w:hint="eastAsia" w:ascii="宋体" w:hAnsi="宋体" w:eastAsia="宋体" w:cs="宋体"/>
                <w:kern w:val="2"/>
                <w:sz w:val="24"/>
                <w:szCs w:val="24"/>
                <w:highlight w:val="none"/>
                <w:lang w:val="en-US" w:eastAsia="zh-CN" w:bidi="ar-SA"/>
              </w:rPr>
              <w:t>存在不适用项目实际情况的情形、凭空编造、内容前后不一致、前后逻辑错误、地点区域错误、内容缺失</w:t>
            </w:r>
            <w:r>
              <w:rPr>
                <w:rFonts w:hint="eastAsia" w:ascii="宋体" w:hAnsi="宋体" w:eastAsia="宋体" w:cs="宋体"/>
                <w:bCs/>
                <w:color w:val="000000"/>
                <w:sz w:val="24"/>
                <w:szCs w:val="24"/>
                <w:highlight w:val="none"/>
              </w:rPr>
              <w:t>。</w:t>
            </w:r>
          </w:p>
        </w:tc>
        <w:tc>
          <w:tcPr>
            <w:tcW w:w="949" w:type="pct"/>
            <w:noWrap w:val="0"/>
            <w:vAlign w:val="center"/>
          </w:tcPr>
          <w:p w14:paraId="0ED29FE6">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p>
        </w:tc>
      </w:tr>
      <w:tr w14:paraId="76BB1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23" w:type="pct"/>
            <w:vMerge w:val="continue"/>
            <w:noWrap w:val="0"/>
            <w:vAlign w:val="center"/>
          </w:tcPr>
          <w:p w14:paraId="0435EAE9">
            <w:pPr>
              <w:pStyle w:val="171"/>
              <w:keepNext w:val="0"/>
              <w:keepLines w:val="0"/>
              <w:pageBreakBefore w:val="0"/>
              <w:kinsoku/>
              <w:wordWrap/>
              <w:overflowPunct/>
              <w:topLinePunct w:val="0"/>
              <w:bidi w:val="0"/>
              <w:snapToGrid w:val="0"/>
              <w:spacing w:line="288" w:lineRule="auto"/>
              <w:ind w:left="0" w:leftChars="0" w:right="0" w:rightChars="0" w:firstLine="0" w:firstLineChars="0"/>
              <w:jc w:val="center"/>
              <w:rPr>
                <w:rFonts w:hint="eastAsia" w:ascii="宋体" w:hAnsi="宋体" w:eastAsia="宋体" w:cs="宋体"/>
                <w:color w:val="000000"/>
                <w:sz w:val="24"/>
                <w:szCs w:val="24"/>
                <w:highlight w:val="none"/>
              </w:rPr>
            </w:pPr>
          </w:p>
        </w:tc>
        <w:tc>
          <w:tcPr>
            <w:tcW w:w="1003" w:type="pct"/>
            <w:vMerge w:val="continue"/>
            <w:noWrap w:val="0"/>
            <w:vAlign w:val="center"/>
          </w:tcPr>
          <w:p w14:paraId="55CDB94A">
            <w:pPr>
              <w:keepNext w:val="0"/>
              <w:keepLines w:val="0"/>
              <w:pageBreakBefore w:val="0"/>
              <w:kinsoku/>
              <w:wordWrap/>
              <w:overflowPunct/>
              <w:topLinePunct w:val="0"/>
              <w:bidi w:val="0"/>
              <w:snapToGrid w:val="0"/>
              <w:spacing w:line="288" w:lineRule="auto"/>
              <w:ind w:left="120" w:leftChars="0" w:right="0" w:rightChars="0" w:firstLine="0"/>
              <w:jc w:val="center"/>
              <w:rPr>
                <w:rFonts w:hint="default" w:ascii="宋体" w:hAnsi="宋体" w:eastAsia="宋体" w:cs="宋体"/>
                <w:color w:val="000000"/>
                <w:sz w:val="24"/>
                <w:szCs w:val="24"/>
                <w:highlight w:val="none"/>
                <w:lang w:val="en-US" w:eastAsia="zh-CN"/>
              </w:rPr>
            </w:pPr>
          </w:p>
        </w:tc>
        <w:tc>
          <w:tcPr>
            <w:tcW w:w="2623" w:type="pct"/>
            <w:noWrap w:val="0"/>
            <w:vAlign w:val="center"/>
          </w:tcPr>
          <w:p w14:paraId="1FAFC2D2">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ascii="宋体" w:hAnsi="宋体" w:cs="宋体"/>
                <w:color w:val="000000"/>
                <w:kern w:val="0"/>
                <w:sz w:val="24"/>
                <w:highlight w:val="none"/>
              </w:rPr>
            </w:pPr>
            <w:r>
              <w:rPr>
                <w:rFonts w:hint="eastAsia" w:ascii="宋体" w:hAnsi="宋体" w:cs="宋体"/>
                <w:color w:val="000000"/>
                <w:kern w:val="0"/>
                <w:sz w:val="24"/>
                <w:highlight w:val="none"/>
              </w:rPr>
              <w:t>根据投标人对售后服务方案（包括但不限于质保期限长短、</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内容、服务响应时间等）进行综合打分：</w:t>
            </w:r>
            <w:r>
              <w:rPr>
                <w:rFonts w:ascii="宋体" w:hAnsi="宋体" w:cs="宋体"/>
                <w:color w:val="000000"/>
                <w:kern w:val="0"/>
                <w:sz w:val="24"/>
                <w:highlight w:val="none"/>
              </w:rPr>
              <w:t xml:space="preserve">  </w:t>
            </w:r>
          </w:p>
          <w:p w14:paraId="7DB1CC2F">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hint="eastAsia" w:ascii="宋体" w:hAnsi="宋体" w:cs="宋体"/>
                <w:color w:val="000000"/>
                <w:kern w:val="0"/>
                <w:sz w:val="24"/>
                <w:highlight w:val="none"/>
              </w:rPr>
            </w:pPr>
            <w:r>
              <w:rPr>
                <w:rFonts w:ascii="宋体" w:hAnsi="宋体" w:cs="宋体"/>
                <w:color w:val="000000"/>
                <w:kern w:val="0"/>
                <w:sz w:val="24"/>
                <w:highlight w:val="none"/>
              </w:rPr>
              <w:t>A</w:t>
            </w:r>
            <w:r>
              <w:rPr>
                <w:rFonts w:hint="eastAsia" w:ascii="宋体" w:hAnsi="宋体" w:cs="宋体"/>
                <w:color w:val="000000"/>
                <w:kern w:val="0"/>
                <w:sz w:val="24"/>
                <w:highlight w:val="none"/>
              </w:rPr>
              <w:t>有完善的售后服务计划方案且在</w:t>
            </w:r>
            <w:r>
              <w:rPr>
                <w:rFonts w:ascii="宋体" w:hAnsi="宋体" w:cs="宋体"/>
                <w:color w:val="000000"/>
                <w:kern w:val="0"/>
                <w:sz w:val="24"/>
                <w:highlight w:val="none"/>
              </w:rPr>
              <w:t>1</w:t>
            </w:r>
            <w:r>
              <w:rPr>
                <w:rFonts w:hint="eastAsia" w:ascii="宋体" w:hAnsi="宋体" w:cs="宋体"/>
                <w:color w:val="000000"/>
                <w:kern w:val="0"/>
                <w:sz w:val="24"/>
                <w:highlight w:val="none"/>
              </w:rPr>
              <w:t>小时以内现场响应的，得</w:t>
            </w:r>
            <w:r>
              <w:rPr>
                <w:rFonts w:ascii="宋体" w:hAnsi="宋体" w:cs="宋体"/>
                <w:color w:val="000000"/>
                <w:kern w:val="0"/>
                <w:sz w:val="24"/>
                <w:highlight w:val="none"/>
              </w:rPr>
              <w:t>3</w:t>
            </w:r>
            <w:r>
              <w:rPr>
                <w:rFonts w:hint="eastAsia" w:ascii="宋体" w:hAnsi="宋体" w:cs="宋体"/>
                <w:color w:val="000000"/>
                <w:kern w:val="0"/>
                <w:sz w:val="24"/>
                <w:highlight w:val="none"/>
              </w:rPr>
              <w:t>分；</w:t>
            </w:r>
          </w:p>
          <w:p w14:paraId="43848074">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hint="eastAsia" w:ascii="宋体" w:hAnsi="宋体" w:cs="宋体"/>
                <w:color w:val="000000"/>
                <w:kern w:val="0"/>
                <w:sz w:val="24"/>
                <w:highlight w:val="none"/>
              </w:rPr>
            </w:pPr>
            <w:r>
              <w:rPr>
                <w:rFonts w:ascii="宋体" w:hAnsi="宋体" w:cs="宋体"/>
                <w:color w:val="000000"/>
                <w:kern w:val="0"/>
                <w:sz w:val="24"/>
                <w:highlight w:val="none"/>
              </w:rPr>
              <w:t xml:space="preserve"> B</w:t>
            </w:r>
            <w:r>
              <w:rPr>
                <w:rFonts w:hint="eastAsia" w:ascii="宋体" w:hAnsi="宋体" w:cs="宋体"/>
                <w:color w:val="000000"/>
                <w:kern w:val="0"/>
                <w:sz w:val="24"/>
                <w:highlight w:val="none"/>
              </w:rPr>
              <w:t>有较完善的售后服务计划且在</w:t>
            </w:r>
            <w:r>
              <w:rPr>
                <w:rFonts w:ascii="宋体" w:hAnsi="宋体" w:cs="宋体"/>
                <w:color w:val="000000"/>
                <w:kern w:val="0"/>
                <w:sz w:val="24"/>
                <w:highlight w:val="none"/>
              </w:rPr>
              <w:t>1</w:t>
            </w:r>
            <w:r>
              <w:rPr>
                <w:rFonts w:hint="eastAsia" w:ascii="宋体" w:hAnsi="宋体" w:cs="宋体"/>
                <w:color w:val="000000"/>
                <w:kern w:val="0"/>
                <w:sz w:val="24"/>
                <w:highlight w:val="none"/>
              </w:rPr>
              <w:t>小时以上</w:t>
            </w:r>
            <w:r>
              <w:rPr>
                <w:rFonts w:ascii="宋体" w:hAnsi="宋体" w:cs="宋体"/>
                <w:color w:val="000000"/>
                <w:kern w:val="0"/>
                <w:sz w:val="24"/>
                <w:highlight w:val="none"/>
              </w:rPr>
              <w:t>2</w:t>
            </w:r>
            <w:r>
              <w:rPr>
                <w:rFonts w:hint="eastAsia" w:ascii="宋体" w:hAnsi="宋体" w:cs="宋体"/>
                <w:color w:val="000000"/>
                <w:kern w:val="0"/>
                <w:sz w:val="24"/>
                <w:highlight w:val="none"/>
              </w:rPr>
              <w:t>小时以内现场响应的，得</w:t>
            </w:r>
            <w:r>
              <w:rPr>
                <w:rFonts w:ascii="宋体" w:hAnsi="宋体" w:cs="宋体"/>
                <w:color w:val="000000"/>
                <w:kern w:val="0"/>
                <w:sz w:val="24"/>
                <w:highlight w:val="none"/>
              </w:rPr>
              <w:t>2</w:t>
            </w:r>
            <w:r>
              <w:rPr>
                <w:rFonts w:hint="eastAsia" w:ascii="宋体" w:hAnsi="宋体" w:cs="宋体"/>
                <w:color w:val="000000"/>
                <w:kern w:val="0"/>
                <w:sz w:val="24"/>
                <w:highlight w:val="none"/>
              </w:rPr>
              <w:t>分；</w:t>
            </w:r>
          </w:p>
          <w:p w14:paraId="1ADCB4B0">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hint="eastAsia" w:ascii="宋体" w:hAnsi="宋体" w:cs="宋体"/>
                <w:color w:val="000000"/>
                <w:kern w:val="0"/>
                <w:sz w:val="24"/>
                <w:highlight w:val="none"/>
              </w:rPr>
            </w:pPr>
            <w:r>
              <w:rPr>
                <w:rFonts w:ascii="宋体" w:hAnsi="宋体" w:cs="宋体"/>
                <w:color w:val="000000"/>
                <w:kern w:val="0"/>
                <w:sz w:val="24"/>
                <w:highlight w:val="none"/>
              </w:rPr>
              <w:t xml:space="preserve"> C</w:t>
            </w:r>
            <w:r>
              <w:rPr>
                <w:rFonts w:hint="eastAsia" w:ascii="宋体" w:hAnsi="宋体" w:cs="宋体"/>
                <w:color w:val="000000"/>
                <w:kern w:val="0"/>
                <w:sz w:val="24"/>
                <w:highlight w:val="none"/>
              </w:rPr>
              <w:t>有售后服务方案且在</w:t>
            </w:r>
            <w:r>
              <w:rPr>
                <w:rFonts w:ascii="宋体" w:hAnsi="宋体" w:cs="宋体"/>
                <w:color w:val="000000"/>
                <w:kern w:val="0"/>
                <w:sz w:val="24"/>
                <w:highlight w:val="none"/>
              </w:rPr>
              <w:t xml:space="preserve"> 2</w:t>
            </w:r>
            <w:r>
              <w:rPr>
                <w:rFonts w:hint="eastAsia" w:ascii="宋体" w:hAnsi="宋体" w:cs="宋体"/>
                <w:color w:val="000000"/>
                <w:kern w:val="0"/>
                <w:sz w:val="24"/>
                <w:highlight w:val="none"/>
              </w:rPr>
              <w:t>小时以上</w:t>
            </w:r>
            <w:r>
              <w:rPr>
                <w:rFonts w:ascii="宋体" w:hAnsi="宋体" w:cs="宋体"/>
                <w:color w:val="000000"/>
                <w:kern w:val="0"/>
                <w:sz w:val="24"/>
                <w:highlight w:val="none"/>
              </w:rPr>
              <w:t>3</w:t>
            </w:r>
            <w:r>
              <w:rPr>
                <w:rFonts w:hint="eastAsia" w:ascii="宋体" w:hAnsi="宋体" w:cs="宋体"/>
                <w:color w:val="000000"/>
                <w:kern w:val="0"/>
                <w:sz w:val="24"/>
                <w:highlight w:val="none"/>
              </w:rPr>
              <w:t>小时以内现场响应的，得</w:t>
            </w:r>
            <w:r>
              <w:rPr>
                <w:rFonts w:ascii="宋体" w:hAnsi="宋体" w:cs="宋体"/>
                <w:color w:val="000000"/>
                <w:kern w:val="0"/>
                <w:sz w:val="24"/>
                <w:highlight w:val="none"/>
              </w:rPr>
              <w:t>1</w:t>
            </w:r>
            <w:r>
              <w:rPr>
                <w:rFonts w:hint="eastAsia" w:ascii="宋体" w:hAnsi="宋体" w:cs="宋体"/>
                <w:color w:val="000000"/>
                <w:kern w:val="0"/>
                <w:sz w:val="24"/>
                <w:highlight w:val="none"/>
              </w:rPr>
              <w:t>分。</w:t>
            </w:r>
          </w:p>
          <w:p w14:paraId="5A0613C2">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ascii="宋体" w:hAnsi="宋体" w:cs="宋体"/>
                <w:color w:val="000000"/>
                <w:kern w:val="0"/>
                <w:sz w:val="24"/>
                <w:highlight w:val="none"/>
              </w:rPr>
            </w:pPr>
            <w:r>
              <w:rPr>
                <w:rFonts w:ascii="宋体" w:hAnsi="宋体" w:cs="宋体"/>
                <w:color w:val="000000"/>
                <w:kern w:val="0"/>
                <w:sz w:val="24"/>
                <w:highlight w:val="none"/>
              </w:rPr>
              <w:t xml:space="preserve"> D</w:t>
            </w:r>
            <w:r>
              <w:rPr>
                <w:rFonts w:hint="eastAsia" w:ascii="宋体" w:hAnsi="宋体" w:cs="宋体"/>
                <w:color w:val="000000"/>
                <w:kern w:val="0"/>
                <w:sz w:val="24"/>
                <w:highlight w:val="none"/>
              </w:rPr>
              <w:t>不提供方案、现场响应时间承诺书或承诺时间超过</w:t>
            </w:r>
            <w:r>
              <w:rPr>
                <w:rFonts w:ascii="宋体" w:hAnsi="宋体" w:cs="宋体"/>
                <w:color w:val="000000"/>
                <w:kern w:val="0"/>
                <w:sz w:val="24"/>
                <w:highlight w:val="none"/>
              </w:rPr>
              <w:t>3</w:t>
            </w:r>
            <w:r>
              <w:rPr>
                <w:rFonts w:hint="eastAsia" w:ascii="宋体" w:hAnsi="宋体" w:cs="宋体"/>
                <w:color w:val="000000"/>
                <w:kern w:val="0"/>
                <w:sz w:val="24"/>
                <w:highlight w:val="none"/>
              </w:rPr>
              <w:t>小时的不得分。</w:t>
            </w:r>
            <w:r>
              <w:rPr>
                <w:rFonts w:ascii="宋体" w:hAnsi="宋体" w:cs="宋体"/>
                <w:color w:val="000000"/>
                <w:kern w:val="0"/>
                <w:sz w:val="24"/>
                <w:highlight w:val="none"/>
              </w:rPr>
              <w:t xml:space="preserve"> </w:t>
            </w:r>
          </w:p>
          <w:p w14:paraId="05020368">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hint="eastAsia" w:ascii="宋体" w:hAnsi="宋体" w:eastAsia="宋体" w:cs="宋体"/>
                <w:bCs/>
                <w:color w:val="000000"/>
                <w:sz w:val="24"/>
                <w:szCs w:val="24"/>
                <w:highlight w:val="none"/>
              </w:rPr>
            </w:pPr>
            <w:r>
              <w:rPr>
                <w:rFonts w:hint="eastAsia" w:ascii="宋体" w:hAnsi="宋体" w:cs="宋体"/>
                <w:color w:val="000000"/>
                <w:kern w:val="0"/>
                <w:sz w:val="24"/>
                <w:highlight w:val="none"/>
              </w:rPr>
              <w:t>（注：承诺书格式自拟，须加盖投标人公章并由法定代表人及项目经理签字，否则不得分。）</w:t>
            </w:r>
          </w:p>
        </w:tc>
        <w:tc>
          <w:tcPr>
            <w:tcW w:w="949" w:type="pct"/>
            <w:noWrap w:val="0"/>
            <w:vAlign w:val="center"/>
          </w:tcPr>
          <w:p w14:paraId="27CAEFAF">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p>
        </w:tc>
      </w:tr>
      <w:tr w14:paraId="3BD90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23" w:type="pct"/>
            <w:noWrap w:val="0"/>
            <w:vAlign w:val="center"/>
          </w:tcPr>
          <w:p w14:paraId="46B4BE01">
            <w:pPr>
              <w:pStyle w:val="171"/>
              <w:keepNext w:val="0"/>
              <w:keepLines w:val="0"/>
              <w:pageBreakBefore w:val="0"/>
              <w:numPr>
                <w:ilvl w:val="0"/>
                <w:numId w:val="12"/>
              </w:numPr>
              <w:kinsoku/>
              <w:wordWrap/>
              <w:overflowPunct/>
              <w:topLinePunct w:val="0"/>
              <w:bidi w:val="0"/>
              <w:snapToGrid w:val="0"/>
              <w:spacing w:line="288" w:lineRule="auto"/>
              <w:ind w:left="0" w:leftChars="0" w:right="0" w:rightChars="0" w:firstLine="0" w:firstLineChars="0"/>
              <w:jc w:val="center"/>
              <w:rPr>
                <w:rFonts w:hint="eastAsia" w:ascii="宋体" w:hAnsi="宋体" w:eastAsia="宋体" w:cs="宋体"/>
                <w:color w:val="000000"/>
                <w:sz w:val="24"/>
                <w:szCs w:val="24"/>
                <w:highlight w:val="none"/>
              </w:rPr>
            </w:pPr>
          </w:p>
        </w:tc>
        <w:tc>
          <w:tcPr>
            <w:tcW w:w="1003" w:type="pct"/>
            <w:noWrap w:val="0"/>
            <w:vAlign w:val="center"/>
          </w:tcPr>
          <w:p w14:paraId="60B032AB">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安全保证</w:t>
            </w:r>
          </w:p>
        </w:tc>
        <w:tc>
          <w:tcPr>
            <w:tcW w:w="2623" w:type="pct"/>
            <w:noWrap w:val="0"/>
            <w:vAlign w:val="center"/>
          </w:tcPr>
          <w:p w14:paraId="56AA6D88">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修复、抚育</w:t>
            </w:r>
            <w:r>
              <w:rPr>
                <w:rFonts w:hint="eastAsia" w:ascii="宋体" w:hAnsi="宋体" w:eastAsia="宋体" w:cs="宋体"/>
                <w:bCs/>
                <w:color w:val="000000"/>
                <w:sz w:val="24"/>
                <w:szCs w:val="24"/>
                <w:highlight w:val="none"/>
              </w:rPr>
              <w:t xml:space="preserve">及施工安全保证措施应符合国家规定的强制性标准，并有针对性，同时要符合实际情况，并承诺施工期间属供应商自身的安全由供应商自行负责。切实可行并做承诺的得 </w:t>
            </w: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 xml:space="preserve"> 分，无方案及承诺不得分；（格式自拟</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lang w:val="en-US" w:eastAsia="zh-CN"/>
              </w:rPr>
              <w:t>由项目经理签字</w:t>
            </w:r>
            <w:r>
              <w:rPr>
                <w:rFonts w:hint="eastAsia" w:ascii="宋体" w:hAnsi="宋体" w:eastAsia="宋体" w:cs="宋体"/>
                <w:bCs/>
                <w:color w:val="000000"/>
                <w:sz w:val="24"/>
                <w:szCs w:val="24"/>
                <w:highlight w:val="none"/>
              </w:rPr>
              <w:t>）</w:t>
            </w:r>
          </w:p>
        </w:tc>
        <w:tc>
          <w:tcPr>
            <w:tcW w:w="949" w:type="pct"/>
            <w:noWrap w:val="0"/>
            <w:vAlign w:val="center"/>
          </w:tcPr>
          <w:p w14:paraId="27802CA5">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p>
        </w:tc>
      </w:tr>
      <w:tr w14:paraId="70B66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423" w:type="pct"/>
            <w:noWrap w:val="0"/>
            <w:vAlign w:val="center"/>
          </w:tcPr>
          <w:p w14:paraId="5714F439">
            <w:pPr>
              <w:pStyle w:val="171"/>
              <w:keepNext w:val="0"/>
              <w:keepLines w:val="0"/>
              <w:pageBreakBefore w:val="0"/>
              <w:numPr>
                <w:ilvl w:val="0"/>
                <w:numId w:val="12"/>
              </w:numPr>
              <w:kinsoku/>
              <w:wordWrap/>
              <w:overflowPunct/>
              <w:topLinePunct w:val="0"/>
              <w:bidi w:val="0"/>
              <w:snapToGrid w:val="0"/>
              <w:spacing w:line="288" w:lineRule="auto"/>
              <w:ind w:left="0" w:leftChars="0" w:right="0" w:rightChars="0" w:firstLine="0" w:firstLineChars="0"/>
              <w:jc w:val="center"/>
              <w:rPr>
                <w:rFonts w:hint="eastAsia" w:ascii="宋体" w:hAnsi="宋体" w:eastAsia="宋体" w:cs="宋体"/>
                <w:color w:val="000000"/>
                <w:sz w:val="24"/>
                <w:szCs w:val="24"/>
                <w:highlight w:val="none"/>
              </w:rPr>
            </w:pPr>
          </w:p>
        </w:tc>
        <w:tc>
          <w:tcPr>
            <w:tcW w:w="1003" w:type="pct"/>
            <w:noWrap w:val="0"/>
            <w:vAlign w:val="center"/>
          </w:tcPr>
          <w:p w14:paraId="24F2F845">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应急服务方案</w:t>
            </w:r>
          </w:p>
        </w:tc>
        <w:tc>
          <w:tcPr>
            <w:tcW w:w="2623" w:type="pct"/>
            <w:noWrap w:val="0"/>
            <w:vAlign w:val="center"/>
          </w:tcPr>
          <w:p w14:paraId="6FF0CF77">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评标委员会根据投标人编制应急方案的合理、完善情况打分。提供的应急方案有预防性、科学合理、应急有效且能及时解决突发状况的得 4 分；每缺少一项方案内容或内容存在缺陷的扣 1 分，扣完为止；未提供此方案的，此项不得分。</w:t>
            </w:r>
          </w:p>
          <w:p w14:paraId="54644E05">
            <w:pPr>
              <w:pStyle w:val="171"/>
              <w:keepNext w:val="0"/>
              <w:keepLines w:val="0"/>
              <w:pageBreakBefore w:val="0"/>
              <w:numPr>
                <w:ilvl w:val="0"/>
                <w:numId w:val="0"/>
              </w:numPr>
              <w:kinsoku/>
              <w:wordWrap/>
              <w:overflowPunct/>
              <w:topLinePunct w:val="0"/>
              <w:bidi w:val="0"/>
              <w:snapToGrid w:val="0"/>
              <w:spacing w:line="288" w:lineRule="auto"/>
              <w:ind w:leftChars="0" w:right="0" w:right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w:t>
            </w:r>
            <w:r>
              <w:rPr>
                <w:rFonts w:hint="eastAsia" w:ascii="宋体" w:hAnsi="宋体" w:cs="宋体"/>
                <w:bCs/>
                <w:color w:val="000000"/>
                <w:sz w:val="24"/>
                <w:szCs w:val="24"/>
                <w:highlight w:val="none"/>
                <w:lang w:val="en-US" w:eastAsia="zh-CN"/>
              </w:rPr>
              <w:t>其他：</w:t>
            </w:r>
            <w:r>
              <w:rPr>
                <w:rFonts w:hint="eastAsia" w:ascii="宋体" w:hAnsi="宋体" w:eastAsia="宋体" w:cs="宋体"/>
                <w:bCs/>
                <w:color w:val="000000"/>
                <w:sz w:val="24"/>
                <w:szCs w:val="24"/>
                <w:highlight w:val="none"/>
              </w:rPr>
              <w:t>该项内容套用其他项</w:t>
            </w:r>
            <w:r>
              <w:rPr>
                <w:rFonts w:hint="eastAsia" w:ascii="宋体" w:hAnsi="宋体" w:cs="宋体"/>
                <w:bCs/>
                <w:color w:val="000000"/>
                <w:sz w:val="24"/>
                <w:szCs w:val="24"/>
                <w:highlight w:val="none"/>
                <w:lang w:val="en-US" w:eastAsia="zh-CN"/>
              </w:rPr>
              <w:t>项目方案</w:t>
            </w:r>
            <w:r>
              <w:rPr>
                <w:rFonts w:hint="eastAsia" w:ascii="宋体" w:hAnsi="宋体" w:cs="宋体"/>
                <w:bCs/>
                <w:color w:val="000000"/>
                <w:sz w:val="24"/>
                <w:szCs w:val="24"/>
                <w:highlight w:val="none"/>
                <w:lang w:eastAsia="zh-CN"/>
              </w:rPr>
              <w:t>，</w:t>
            </w:r>
            <w:r>
              <w:rPr>
                <w:rFonts w:hint="eastAsia" w:ascii="宋体" w:hAnsi="宋体" w:eastAsia="宋体" w:cs="宋体"/>
                <w:kern w:val="2"/>
                <w:sz w:val="24"/>
                <w:szCs w:val="24"/>
                <w:highlight w:val="none"/>
                <w:lang w:val="en-US" w:eastAsia="zh-CN" w:bidi="ar-SA"/>
              </w:rPr>
              <w:t>存在不适用项目实际情况的情形、凭空编造、内容前后不一致、前后逻辑错误、地点区域错误、内容缺失</w:t>
            </w:r>
            <w:r>
              <w:rPr>
                <w:rFonts w:hint="eastAsia" w:ascii="宋体" w:hAnsi="宋体" w:eastAsia="宋体" w:cs="宋体"/>
                <w:bCs/>
                <w:color w:val="000000"/>
                <w:sz w:val="24"/>
                <w:szCs w:val="24"/>
                <w:highlight w:val="none"/>
              </w:rPr>
              <w:t>。</w:t>
            </w:r>
          </w:p>
        </w:tc>
        <w:tc>
          <w:tcPr>
            <w:tcW w:w="949" w:type="pct"/>
            <w:noWrap w:val="0"/>
            <w:vAlign w:val="center"/>
          </w:tcPr>
          <w:p w14:paraId="7E7828FD">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p>
        </w:tc>
      </w:tr>
      <w:tr w14:paraId="2E1EA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4050" w:type="pct"/>
            <w:gridSpan w:val="3"/>
            <w:noWrap w:val="0"/>
            <w:vAlign w:val="center"/>
          </w:tcPr>
          <w:p w14:paraId="2F4331B4">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b/>
                <w:color w:val="000000"/>
                <w:sz w:val="24"/>
                <w:szCs w:val="24"/>
                <w:highlight w:val="none"/>
                <w:u w:val="double"/>
              </w:rPr>
            </w:pPr>
            <w:r>
              <w:rPr>
                <w:rFonts w:hint="eastAsia" w:ascii="宋体" w:hAnsi="宋体" w:eastAsia="宋体" w:cs="宋体"/>
                <w:b/>
                <w:color w:val="000000"/>
                <w:sz w:val="24"/>
                <w:szCs w:val="24"/>
                <w:highlight w:val="none"/>
                <w:u w:val="double"/>
              </w:rPr>
              <w:t>合计</w:t>
            </w:r>
          </w:p>
        </w:tc>
        <w:tc>
          <w:tcPr>
            <w:tcW w:w="949" w:type="pct"/>
            <w:noWrap w:val="0"/>
            <w:vAlign w:val="center"/>
          </w:tcPr>
          <w:p w14:paraId="3843D661">
            <w:pPr>
              <w:keepNext w:val="0"/>
              <w:keepLines w:val="0"/>
              <w:pageBreakBefore w:val="0"/>
              <w:kinsoku/>
              <w:wordWrap/>
              <w:overflowPunct/>
              <w:topLinePunct w:val="0"/>
              <w:bidi w:val="0"/>
              <w:snapToGrid w:val="0"/>
              <w:spacing w:line="288" w:lineRule="auto"/>
              <w:ind w:left="120" w:leftChars="0" w:right="0" w:rightChars="0" w:firstLine="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100分</w:t>
            </w:r>
          </w:p>
        </w:tc>
      </w:tr>
    </w:tbl>
    <w:p w14:paraId="0E0AA2FA">
      <w:pPr>
        <w:pStyle w:val="85"/>
        <w:rPr>
          <w:rFonts w:hint="eastAsia" w:ascii="宋体" w:hAnsi="宋体" w:eastAsia="宋体" w:cs="宋体"/>
          <w:b/>
          <w:sz w:val="24"/>
          <w:highlight w:val="none"/>
        </w:rPr>
      </w:pPr>
    </w:p>
    <w:p w14:paraId="06676154">
      <w:pPr>
        <w:rPr>
          <w:rFonts w:hint="eastAsia" w:ascii="宋体" w:hAnsi="宋体" w:eastAsia="宋体" w:cs="宋体"/>
          <w:b/>
          <w:sz w:val="24"/>
          <w:highlight w:val="none"/>
        </w:rPr>
      </w:pPr>
      <w:r>
        <w:rPr>
          <w:rFonts w:hint="eastAsia" w:ascii="宋体" w:hAnsi="宋体" w:eastAsia="宋体" w:cs="宋体"/>
          <w:b/>
          <w:sz w:val="24"/>
          <w:highlight w:val="none"/>
        </w:rPr>
        <w:br w:type="page"/>
      </w:r>
    </w:p>
    <w:p w14:paraId="4DFE4A46">
      <w:pPr>
        <w:numPr>
          <w:ilvl w:val="0"/>
          <w:numId w:val="13"/>
        </w:numPr>
        <w:spacing w:line="360" w:lineRule="auto"/>
        <w:jc w:val="center"/>
        <w:outlineLvl w:val="0"/>
        <w:rPr>
          <w:rFonts w:hint="eastAsia" w:ascii="宋体" w:hAnsi="宋体" w:eastAsia="宋体" w:cs="宋体"/>
          <w:b/>
          <w:sz w:val="36"/>
          <w:szCs w:val="36"/>
          <w:highlight w:val="none"/>
        </w:rPr>
      </w:pPr>
      <w:bookmarkStart w:id="249" w:name="_Toc99301424"/>
      <w:r>
        <w:rPr>
          <w:rFonts w:hint="eastAsia" w:ascii="宋体" w:hAnsi="宋体" w:eastAsia="宋体" w:cs="宋体"/>
          <w:b/>
          <w:sz w:val="36"/>
          <w:szCs w:val="36"/>
          <w:highlight w:val="none"/>
        </w:rPr>
        <w:t xml:space="preserve">  采购需求</w:t>
      </w:r>
      <w:bookmarkEnd w:id="249"/>
    </w:p>
    <w:p w14:paraId="24813B6D">
      <w:pPr>
        <w:pStyle w:val="48"/>
        <w:numPr>
          <w:ilvl w:val="0"/>
          <w:numId w:val="0"/>
        </w:numPr>
        <w:tabs>
          <w:tab w:val="left" w:pos="540"/>
        </w:tabs>
        <w:snapToGrid w:val="0"/>
        <w:spacing w:line="360" w:lineRule="auto"/>
        <w:ind w:left="120" w:leftChars="0" w:right="62" w:rightChars="0" w:hanging="120" w:hangingChars="50"/>
        <w:rPr>
          <w:rFonts w:hint="eastAsia" w:ascii="宋体" w:hAnsi="宋体" w:eastAsia="宋体" w:cs="宋体"/>
          <w:b/>
          <w:color w:val="000000"/>
          <w:sz w:val="24"/>
          <w:szCs w:val="24"/>
          <w:highlight w:val="none"/>
        </w:rPr>
      </w:pPr>
      <w:r>
        <w:rPr>
          <w:rFonts w:hint="eastAsia" w:ascii="宋体" w:hAnsi="宋体" w:eastAsia="宋体" w:cs="Courier New"/>
          <w:b/>
          <w:color w:val="auto"/>
          <w:kern w:val="2"/>
          <w:sz w:val="24"/>
          <w:szCs w:val="24"/>
          <w:lang w:val="en-US" w:eastAsia="zh-CN" w:bidi="ar-SA"/>
        </w:rPr>
        <w:t>一、</w:t>
      </w:r>
      <w:r>
        <w:rPr>
          <w:rFonts w:hint="eastAsia" w:ascii="宋体" w:hAnsi="宋体" w:eastAsia="宋体" w:cs="宋体"/>
          <w:b/>
          <w:color w:val="000000"/>
          <w:sz w:val="24"/>
          <w:szCs w:val="24"/>
          <w:highlight w:val="none"/>
        </w:rPr>
        <w:t>有关说明</w:t>
      </w:r>
    </w:p>
    <w:p w14:paraId="62C853F9">
      <w:pPr>
        <w:numPr>
          <w:ilvl w:val="0"/>
          <w:numId w:val="14"/>
        </w:numPr>
        <w:snapToGrid w:val="0"/>
        <w:spacing w:line="360" w:lineRule="auto"/>
        <w:ind w:left="567" w:hanging="567"/>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投标人须对本项目的采购标的进行整体投标，任何只对本项目采购标的其中一部分内容、数量进行的投标都被视为无效投标。</w:t>
      </w:r>
    </w:p>
    <w:p w14:paraId="5AE8FF48">
      <w:pPr>
        <w:numPr>
          <w:ilvl w:val="0"/>
          <w:numId w:val="14"/>
        </w:numPr>
        <w:snapToGrid w:val="0"/>
        <w:spacing w:line="360" w:lineRule="auto"/>
        <w:ind w:left="567" w:hanging="567"/>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产品属于国家强制采购的节能产品，响应供应商必须提供属于国家强制性节能产品品目清单内的产品进行响应，并提供有效的强制性节能产品认证证书</w:t>
      </w:r>
      <w:r>
        <w:rPr>
          <w:rFonts w:hint="eastAsia" w:ascii="宋体" w:hAnsi="宋体" w:cs="宋体"/>
          <w:bCs/>
          <w:color w:val="000000"/>
          <w:sz w:val="24"/>
          <w:szCs w:val="24"/>
          <w:highlight w:val="none"/>
          <w:lang w:eastAsia="zh-CN"/>
        </w:rPr>
        <w:t>原件或复印件加盖公章</w:t>
      </w:r>
      <w:r>
        <w:rPr>
          <w:rFonts w:hint="eastAsia" w:ascii="宋体" w:hAnsi="宋体" w:eastAsia="宋体" w:cs="宋体"/>
          <w:bCs/>
          <w:color w:val="000000"/>
          <w:sz w:val="24"/>
          <w:szCs w:val="24"/>
          <w:highlight w:val="none"/>
        </w:rPr>
        <w:t>。</w:t>
      </w:r>
    </w:p>
    <w:p w14:paraId="77D220F8">
      <w:pPr>
        <w:numPr>
          <w:ilvl w:val="0"/>
          <w:numId w:val="14"/>
        </w:numPr>
        <w:snapToGrid w:val="0"/>
        <w:spacing w:line="360" w:lineRule="auto"/>
        <w:ind w:left="567" w:hanging="567"/>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采购需求中标注“★”号条款为实质性条款，必须逐条进行响应，有任何一条负偏离的，将导致</w:t>
      </w:r>
      <w:r>
        <w:rPr>
          <w:rFonts w:hint="eastAsia" w:ascii="宋体" w:hAnsi="宋体" w:eastAsia="宋体" w:cs="宋体"/>
          <w:b/>
          <w:bCs/>
          <w:color w:val="000000"/>
          <w:sz w:val="24"/>
          <w:szCs w:val="24"/>
          <w:highlight w:val="none"/>
        </w:rPr>
        <w:t>无效投标</w:t>
      </w:r>
      <w:r>
        <w:rPr>
          <w:rFonts w:hint="eastAsia" w:ascii="宋体" w:hAnsi="宋体" w:eastAsia="宋体" w:cs="宋体"/>
          <w:bCs/>
          <w:color w:val="000000"/>
          <w:sz w:val="24"/>
          <w:szCs w:val="24"/>
          <w:highlight w:val="none"/>
        </w:rPr>
        <w:t>。</w:t>
      </w:r>
    </w:p>
    <w:p w14:paraId="34F4C018">
      <w:pPr>
        <w:numPr>
          <w:ilvl w:val="0"/>
          <w:numId w:val="14"/>
        </w:numPr>
        <w:snapToGrid w:val="0"/>
        <w:spacing w:line="360" w:lineRule="auto"/>
        <w:rPr>
          <w:rFonts w:hint="eastAsia"/>
        </w:rPr>
      </w:pPr>
      <w:r>
        <w:rPr>
          <w:rFonts w:hint="eastAsia" w:ascii="宋体" w:hAnsi="宋体" w:eastAsia="宋体" w:cs="宋体"/>
          <w:bCs/>
          <w:color w:val="000000"/>
          <w:sz w:val="24"/>
          <w:szCs w:val="24"/>
          <w:highlight w:val="none"/>
        </w:rPr>
        <w:t>采购需求中标注“▲”号条款为重要技术参数，但不作为无效投标条款。</w:t>
      </w:r>
    </w:p>
    <w:p w14:paraId="1C4CE358">
      <w:pPr>
        <w:pStyle w:val="48"/>
        <w:numPr>
          <w:ilvl w:val="0"/>
          <w:numId w:val="0"/>
        </w:numPr>
        <w:tabs>
          <w:tab w:val="left" w:pos="540"/>
        </w:tabs>
        <w:snapToGrid w:val="0"/>
        <w:spacing w:line="360" w:lineRule="auto"/>
        <w:ind w:left="120" w:leftChars="0" w:right="62" w:rightChars="0" w:hanging="120" w:hangingChars="50"/>
        <w:rPr>
          <w:rFonts w:hint="eastAsia" w:ascii="宋体" w:hAnsi="宋体" w:eastAsia="宋体" w:cs="宋体"/>
          <w:b/>
          <w:color w:val="000000"/>
          <w:sz w:val="24"/>
          <w:szCs w:val="24"/>
          <w:highlight w:val="none"/>
        </w:rPr>
      </w:pPr>
      <w:r>
        <w:rPr>
          <w:rFonts w:hint="eastAsia" w:ascii="宋体" w:hAnsi="宋体" w:eastAsia="宋体" w:cs="Courier New"/>
          <w:b/>
          <w:color w:val="auto"/>
          <w:kern w:val="2"/>
          <w:sz w:val="24"/>
          <w:szCs w:val="24"/>
          <w:lang w:val="en-US" w:eastAsia="zh-CN" w:bidi="ar-SA"/>
        </w:rPr>
        <w:t>二、</w:t>
      </w:r>
      <w:r>
        <w:rPr>
          <w:rFonts w:hint="eastAsia" w:ascii="宋体" w:hAnsi="宋体" w:eastAsia="宋体" w:cs="宋体"/>
          <w:b/>
          <w:color w:val="000000"/>
          <w:sz w:val="24"/>
          <w:szCs w:val="24"/>
          <w:highlight w:val="none"/>
        </w:rPr>
        <w:t>项目所在县基本概况</w:t>
      </w:r>
    </w:p>
    <w:p w14:paraId="0887035F">
      <w:pPr>
        <w:rPr>
          <w:rFonts w:hint="eastAsia" w:ascii="宋体" w:hAnsi="宋体" w:eastAsia="宋体" w:cs="宋体"/>
          <w:b/>
          <w:bCs w:val="0"/>
          <w:color w:val="000000"/>
          <w:sz w:val="24"/>
          <w:szCs w:val="24"/>
          <w:highlight w:val="none"/>
        </w:rPr>
      </w:pPr>
      <w:r>
        <w:rPr>
          <w:rFonts w:hint="eastAsia" w:ascii="宋体" w:hAnsi="宋体" w:cs="宋体"/>
          <w:b/>
          <w:bCs w:val="0"/>
          <w:color w:val="000000"/>
          <w:sz w:val="24"/>
          <w:szCs w:val="24"/>
          <w:highlight w:val="none"/>
          <w:lang w:val="en-US" w:eastAsia="zh-CN"/>
        </w:rPr>
        <w:t>1、</w:t>
      </w:r>
      <w:r>
        <w:rPr>
          <w:rFonts w:hint="eastAsia" w:ascii="宋体" w:hAnsi="宋体" w:eastAsia="宋体" w:cs="宋体"/>
          <w:b/>
          <w:bCs w:val="0"/>
          <w:color w:val="000000"/>
          <w:sz w:val="24"/>
          <w:szCs w:val="24"/>
          <w:highlight w:val="none"/>
        </w:rPr>
        <w:t>地理位置</w:t>
      </w:r>
    </w:p>
    <w:p w14:paraId="0B6BD37F">
      <w:pP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于田县位于中国新疆维吾尔自治区西南部，昆仑山脉北麓，与西藏自治区交界处。于田县位于东经81°9′～82°51′，北纬35°14′～39°29′。东连民丰，北临塔克拉玛干大沙漠与沙雅县相壤，西临策勒县，南与西藏自治区改则县、日吐县相接，全县总面积达3.95万km2。是一个以维吾尔族为主的少数民族聚居区，县境地势南高北低，南部为昆仑山，北部为塔克拉玛干沙漠。于田县县城距乌鲁木齐市1300km，距和田市180km。315国道横贯东西，穿过县境，对外交通便利。</w:t>
      </w:r>
    </w:p>
    <w:p w14:paraId="0FEEEC99">
      <w:pPr>
        <w:rPr>
          <w:rFonts w:hint="eastAsia" w:ascii="宋体" w:hAnsi="宋体" w:eastAsia="宋体" w:cs="宋体"/>
          <w:b/>
          <w:bCs w:val="0"/>
          <w:color w:val="000000"/>
          <w:sz w:val="24"/>
          <w:szCs w:val="24"/>
          <w:highlight w:val="none"/>
        </w:rPr>
      </w:pPr>
      <w:r>
        <w:rPr>
          <w:rFonts w:hint="eastAsia" w:ascii="宋体" w:hAnsi="宋体" w:cs="宋体"/>
          <w:b/>
          <w:bCs w:val="0"/>
          <w:color w:val="000000"/>
          <w:sz w:val="24"/>
          <w:szCs w:val="24"/>
          <w:highlight w:val="none"/>
          <w:lang w:val="en-US" w:eastAsia="zh-CN"/>
        </w:rPr>
        <w:t>2、</w:t>
      </w:r>
      <w:r>
        <w:rPr>
          <w:rFonts w:hint="eastAsia" w:ascii="宋体" w:hAnsi="宋体" w:eastAsia="宋体" w:cs="宋体"/>
          <w:b/>
          <w:bCs w:val="0"/>
          <w:color w:val="000000"/>
          <w:sz w:val="24"/>
          <w:szCs w:val="24"/>
          <w:highlight w:val="none"/>
        </w:rPr>
        <w:t>气候</w:t>
      </w:r>
    </w:p>
    <w:p w14:paraId="6C402362">
      <w:pPr>
        <w:ind w:left="239" w:leftChars="114" w:firstLine="360" w:firstLineChars="15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于田县属暖温带内陆干旱荒漠气候。南部山区为半温润气候区；中部平原为暖温干旱气候区；北部荒漠为极端干旱沙漠气候区。气候主要特点是：四季分明、昼夜温差大，热量资源丰富，光照充足，降水稀少，蒸发量大，春夏多风沙和浮尘等灾害天气。多年平均气温为11.6ºC，多年平均降水量47.7mm，蒸发量是2432.1mm，北部沙漠地带降水量仅为12mm，多年平均相对温度42%，大于10ºC积温4208.1ºC，年日照总数为2769.5h，日照率为62%，平原区年总辐射量为143K/cm2，是辐射高值区，大部分灌区多年平均无霜期为213d。平原绿洲年平均风速1.8m/s，风速以春季最大，平均2.2m/s，秋冬季最小，平均为1.4m/s，春季盛行东北风</w:t>
      </w:r>
      <w:r>
        <w:rPr>
          <w:rFonts w:hint="eastAsia" w:ascii="宋体" w:hAnsi="宋体" w:cs="宋体"/>
          <w:b w:val="0"/>
          <w:bCs/>
          <w:color w:val="000000"/>
          <w:sz w:val="24"/>
          <w:szCs w:val="24"/>
          <w:highlight w:val="none"/>
          <w:lang w:eastAsia="zh-CN"/>
        </w:rPr>
        <w:t>。</w:t>
      </w:r>
    </w:p>
    <w:p w14:paraId="20B7FE33">
      <w:pPr>
        <w:rPr>
          <w:rFonts w:hint="default" w:ascii="宋体" w:hAnsi="宋体" w:cs="宋体"/>
          <w:b/>
          <w:bCs w:val="0"/>
          <w:color w:val="000000"/>
          <w:sz w:val="24"/>
          <w:szCs w:val="24"/>
          <w:highlight w:val="none"/>
          <w:lang w:val="en-US" w:eastAsia="zh-CN"/>
        </w:rPr>
      </w:pPr>
      <w:r>
        <w:rPr>
          <w:rFonts w:hint="eastAsia" w:ascii="宋体" w:hAnsi="宋体" w:cs="宋体"/>
          <w:b/>
          <w:bCs w:val="0"/>
          <w:color w:val="000000"/>
          <w:sz w:val="24"/>
          <w:szCs w:val="24"/>
          <w:highlight w:val="none"/>
          <w:lang w:val="en-US" w:eastAsia="zh-CN"/>
        </w:rPr>
        <w:t>3、水文</w:t>
      </w:r>
    </w:p>
    <w:p w14:paraId="485D80EF">
      <w:pPr>
        <w:ind w:left="239" w:leftChars="114" w:firstLine="360" w:firstLineChars="150"/>
        <w:rPr>
          <w:rFonts w:hint="default" w:ascii="宋体" w:hAnsi="宋体" w:eastAsia="宋体" w:cs="宋体"/>
          <w:b w:val="0"/>
          <w:bCs/>
          <w:color w:val="000000"/>
          <w:sz w:val="24"/>
          <w:szCs w:val="24"/>
          <w:highlight w:val="none"/>
          <w:lang w:val="en-US" w:eastAsia="zh-CN"/>
        </w:rPr>
      </w:pPr>
      <w:r>
        <w:rPr>
          <w:rFonts w:hint="default" w:ascii="宋体" w:hAnsi="宋体" w:eastAsia="宋体" w:cs="宋体"/>
          <w:b w:val="0"/>
          <w:bCs/>
          <w:color w:val="000000"/>
          <w:sz w:val="24"/>
          <w:szCs w:val="24"/>
          <w:highlight w:val="none"/>
          <w:lang w:val="en-US" w:eastAsia="zh-CN"/>
        </w:rPr>
        <w:t>于田有大小季节性河流11条，年总径流量9.968亿m³，其中可利用的河流有克里雅河、土米亚河、皮什盖河、阿羌河等四条，年径流量为9.178亿m³。按克里雅河多年平均值计算(6-9月）四个月的径流量占全年径流量的66.6%，(3月一5月）三个月的径流量占全年总径流量的10.58%，春旱仍是于田县农业生产的较大威胁。</w:t>
      </w:r>
    </w:p>
    <w:p w14:paraId="23B53936">
      <w:pPr>
        <w:ind w:left="239" w:leftChars="114" w:firstLine="360" w:firstLineChars="150"/>
        <w:rPr>
          <w:rFonts w:hint="default" w:ascii="宋体" w:hAnsi="宋体" w:eastAsia="宋体" w:cs="宋体"/>
          <w:b w:val="0"/>
          <w:bCs/>
          <w:color w:val="000000"/>
          <w:sz w:val="24"/>
          <w:szCs w:val="24"/>
          <w:highlight w:val="none"/>
          <w:lang w:val="en-US" w:eastAsia="zh-CN"/>
        </w:rPr>
      </w:pPr>
      <w:r>
        <w:rPr>
          <w:rFonts w:hint="default" w:ascii="宋体" w:hAnsi="宋体" w:eastAsia="宋体" w:cs="宋体"/>
          <w:b w:val="0"/>
          <w:bCs/>
          <w:color w:val="000000"/>
          <w:sz w:val="24"/>
          <w:szCs w:val="24"/>
          <w:highlight w:val="none"/>
          <w:lang w:val="en-US" w:eastAsia="zh-CN"/>
        </w:rPr>
        <w:t>泉水主要分布在克里雅河沿岸和西部冲积一洪积扇缘沟地带、山区和东部很少，泉水年径量为30367万m³，其中可利用12419万m³，春季占21.9%，夏季占15°/</w:t>
      </w:r>
      <w:r>
        <w:rPr>
          <w:rFonts w:hint="eastAsia" w:ascii="宋体" w:hAnsi="宋体" w:eastAsia="宋体" w:cs="宋体"/>
          <w:b w:val="0"/>
          <w:bCs/>
          <w:color w:val="000000"/>
          <w:sz w:val="24"/>
          <w:szCs w:val="24"/>
          <w:highlight w:val="none"/>
          <w:lang w:val="en-US" w:eastAsia="zh-CN"/>
        </w:rPr>
        <w:t>。</w:t>
      </w:r>
      <w:r>
        <w:rPr>
          <w:rFonts w:hint="default" w:ascii="宋体" w:hAnsi="宋体" w:eastAsia="宋体" w:cs="宋体"/>
          <w:b w:val="0"/>
          <w:bCs/>
          <w:color w:val="000000"/>
          <w:sz w:val="24"/>
          <w:szCs w:val="24"/>
          <w:highlight w:val="none"/>
          <w:lang w:val="en-US" w:eastAsia="zh-CN"/>
        </w:rPr>
        <w:t>秋季占31.4%，冬季占31.7%，泉水径流量年际间变化不大，其季节分布则与水相反，随气温降低而增加，秋冬水量大春夏水量小。</w:t>
      </w:r>
    </w:p>
    <w:p w14:paraId="300D2528">
      <w:pPr>
        <w:ind w:left="239" w:leftChars="114" w:firstLine="360" w:firstLineChars="150"/>
        <w:rPr>
          <w:rFonts w:hint="eastAsia" w:ascii="宋体" w:hAnsi="宋体" w:eastAsia="宋体" w:cs="宋体"/>
          <w:b w:val="0"/>
          <w:bCs/>
          <w:color w:val="000000"/>
          <w:sz w:val="24"/>
          <w:szCs w:val="24"/>
          <w:highlight w:val="none"/>
          <w:lang w:val="en-US" w:eastAsia="zh-CN"/>
        </w:rPr>
      </w:pPr>
      <w:r>
        <w:rPr>
          <w:rFonts w:hint="default" w:ascii="宋体" w:hAnsi="宋体" w:eastAsia="宋体" w:cs="宋体"/>
          <w:b w:val="0"/>
          <w:bCs/>
          <w:color w:val="000000"/>
          <w:sz w:val="24"/>
          <w:szCs w:val="24"/>
          <w:highlight w:val="none"/>
          <w:lang w:val="en-US" w:eastAsia="zh-CN"/>
        </w:rPr>
        <w:t>于田县地下水资源很丰富，动储量2.9亿m³，占可利用水资源的30%，分布在冲积平原和河床两侧地带，平原西部地下水埋藏较浅，有许多露头地带，北部河床两侧及三角洲亦有较好的潜水带，为荒漠植被的生长创造了良好的条件，平原东部地下水埋藏较深，在20m以上</w:t>
      </w:r>
      <w:r>
        <w:rPr>
          <w:rFonts w:hint="eastAsia" w:ascii="宋体" w:hAnsi="宋体" w:eastAsia="宋体" w:cs="宋体"/>
          <w:b w:val="0"/>
          <w:bCs/>
          <w:color w:val="000000"/>
          <w:sz w:val="24"/>
          <w:szCs w:val="24"/>
          <w:highlight w:val="none"/>
          <w:lang w:val="en-US" w:eastAsia="zh-CN"/>
        </w:rPr>
        <w:t>。</w:t>
      </w:r>
    </w:p>
    <w:p w14:paraId="28736353">
      <w:pPr>
        <w:rPr>
          <w:rFonts w:hint="eastAsia" w:ascii="宋体" w:hAnsi="宋体" w:eastAsia="宋体" w:cs="宋体"/>
          <w:b/>
          <w:bCs w:val="0"/>
          <w:color w:val="000000"/>
          <w:sz w:val="24"/>
          <w:szCs w:val="24"/>
          <w:highlight w:val="none"/>
        </w:rPr>
      </w:pPr>
      <w:r>
        <w:rPr>
          <w:rFonts w:hint="eastAsia" w:ascii="宋体" w:hAnsi="宋体" w:cs="宋体"/>
          <w:b/>
          <w:bCs w:val="0"/>
          <w:color w:val="000000"/>
          <w:sz w:val="24"/>
          <w:szCs w:val="24"/>
          <w:highlight w:val="none"/>
          <w:lang w:val="en-US" w:eastAsia="zh-CN"/>
        </w:rPr>
        <w:t>4、</w:t>
      </w:r>
      <w:r>
        <w:rPr>
          <w:rFonts w:hint="eastAsia" w:ascii="宋体" w:hAnsi="宋体" w:eastAsia="宋体" w:cs="宋体"/>
          <w:b/>
          <w:bCs w:val="0"/>
          <w:color w:val="000000"/>
          <w:sz w:val="24"/>
          <w:szCs w:val="24"/>
          <w:highlight w:val="none"/>
        </w:rPr>
        <w:t>土壤</w:t>
      </w:r>
    </w:p>
    <w:p w14:paraId="3E3E44AB">
      <w:pPr>
        <w:ind w:left="239" w:leftChars="114" w:firstLine="360" w:firstLineChars="15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于田县的土壤具有明显的垂直分布规律，南部高山、亚高山为寒漠土，高山漠土和亚高山高原土，中山带为山地草原土和山地棕漠土，低山带主要为山地棕漠土和灌淤土，中部绿洲多灌淤土，北部沙漠分布风沙土。耕作区主要沿河流系分布，土地大部分是冲积而成，土壤质地疏松、通透性良好、供肥力强、宜种度广，由于沙性重、颗粒小、结构差，保肥保水性功能较差。</w:t>
      </w:r>
    </w:p>
    <w:p w14:paraId="53D744B0">
      <w:pPr>
        <w:pStyle w:val="48"/>
        <w:numPr>
          <w:ilvl w:val="0"/>
          <w:numId w:val="0"/>
        </w:numPr>
        <w:tabs>
          <w:tab w:val="left" w:pos="540"/>
        </w:tabs>
        <w:snapToGrid w:val="0"/>
        <w:spacing w:line="360" w:lineRule="auto"/>
        <w:ind w:left="120" w:leftChars="0" w:right="62" w:rightChars="0" w:hanging="120" w:hangingChars="50"/>
        <w:rPr>
          <w:rFonts w:hint="eastAsia" w:ascii="宋体" w:hAnsi="宋体" w:eastAsia="宋体" w:cs="宋体"/>
          <w:b/>
          <w:color w:val="000000"/>
          <w:sz w:val="24"/>
          <w:szCs w:val="24"/>
          <w:highlight w:val="none"/>
        </w:rPr>
      </w:pPr>
      <w:r>
        <w:rPr>
          <w:rFonts w:hint="eastAsia" w:ascii="宋体" w:hAnsi="宋体" w:eastAsia="宋体" w:cs="Courier New"/>
          <w:b/>
          <w:color w:val="auto"/>
          <w:kern w:val="2"/>
          <w:sz w:val="24"/>
          <w:szCs w:val="24"/>
          <w:lang w:val="en-US" w:eastAsia="zh-CN" w:bidi="ar-SA"/>
        </w:rPr>
        <w:t>三、</w:t>
      </w:r>
      <w:r>
        <w:rPr>
          <w:rFonts w:hint="eastAsia" w:ascii="宋体" w:hAnsi="宋体" w:eastAsia="宋体" w:cs="宋体"/>
          <w:b/>
          <w:color w:val="000000"/>
          <w:sz w:val="24"/>
          <w:szCs w:val="24"/>
          <w:highlight w:val="none"/>
        </w:rPr>
        <w:t>项目基本概况</w:t>
      </w:r>
    </w:p>
    <w:p w14:paraId="4361089F">
      <w:pPr>
        <w:pStyle w:val="71"/>
        <w:numPr>
          <w:ilvl w:val="0"/>
          <w:numId w:val="0"/>
        </w:numPr>
        <w:spacing w:before="50" w:beforeAutospacing="0" w:after="50" w:afterAutospacing="0" w:line="360" w:lineRule="auto"/>
        <w:ind w:left="120" w:leftChars="0" w:right="62" w:rightChars="0" w:hanging="120" w:hangingChars="50"/>
        <w:rPr>
          <w:rFonts w:hint="eastAsia" w:cs="宋体"/>
          <w:b/>
          <w:bCs w:val="0"/>
          <w:color w:val="000000"/>
          <w:sz w:val="24"/>
          <w:szCs w:val="24"/>
          <w:highlight w:val="none"/>
          <w:lang w:val="en-US" w:eastAsia="zh-CN"/>
        </w:rPr>
      </w:pPr>
      <w:r>
        <w:rPr>
          <w:rFonts w:hint="eastAsia" w:ascii="宋体" w:hAnsi="宋体" w:eastAsia="宋体" w:cs="宋体"/>
          <w:b/>
          <w:bCs w:val="0"/>
          <w:color w:val="000000"/>
          <w:kern w:val="0"/>
          <w:sz w:val="24"/>
          <w:szCs w:val="24"/>
          <w:lang w:val="en-US" w:eastAsia="zh-CN" w:bidi="ar-SA"/>
        </w:rPr>
        <w:t>1、</w:t>
      </w:r>
      <w:r>
        <w:rPr>
          <w:rFonts w:hint="eastAsia" w:cs="宋体"/>
          <w:b/>
          <w:bCs w:val="0"/>
          <w:color w:val="000000"/>
          <w:sz w:val="24"/>
          <w:szCs w:val="24"/>
          <w:highlight w:val="none"/>
          <w:lang w:val="en-US" w:eastAsia="zh-CN"/>
        </w:rPr>
        <w:t>项目范围：</w:t>
      </w:r>
    </w:p>
    <w:p w14:paraId="368BE22F">
      <w:pPr>
        <w:pStyle w:val="71"/>
        <w:spacing w:before="50" w:beforeAutospacing="0" w:after="50" w:afterAutospacing="0" w:line="360" w:lineRule="auto"/>
        <w:ind w:left="239" w:leftChars="114" w:firstLine="360" w:firstLineChars="15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退化林修复1.65万亩，其中退化乔木林0.21万亩位于阿羌乡，四至坐标：547635/4003502、541534/4005143、589957/4049953、594691/4039045；退化灌木林1.44万亩位于达里雅布依乡，四至坐标：590671/4256310、588582/4259540、591754/4262520、594751/4261205。</w:t>
      </w:r>
    </w:p>
    <w:p w14:paraId="19B08024">
      <w:pPr>
        <w:pStyle w:val="71"/>
        <w:spacing w:before="50" w:beforeAutospacing="0" w:after="50" w:afterAutospacing="0" w:line="360" w:lineRule="auto"/>
        <w:ind w:left="239" w:leftChars="114" w:firstLine="360" w:firstLineChars="15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中幼林抚育0.021万亩，项目区位于阿热勒乡和奥依托格拉克乡，四至坐标为562411/4076901、562655/4076759、566746/4077866、569585/4076910。</w:t>
      </w:r>
    </w:p>
    <w:p w14:paraId="09086C08">
      <w:pPr>
        <w:pStyle w:val="71"/>
        <w:spacing w:before="50" w:beforeAutospacing="0" w:after="50" w:afterAutospacing="0" w:line="360" w:lineRule="auto"/>
        <w:ind w:firstLine="420"/>
        <w:rPr>
          <w:rFonts w:hint="eastAsia" w:cs="宋体"/>
          <w:b/>
          <w:bCs w:val="0"/>
          <w:color w:val="000000"/>
          <w:sz w:val="24"/>
          <w:szCs w:val="24"/>
          <w:highlight w:val="none"/>
          <w:lang w:val="en-US" w:eastAsia="zh-CN" w:bidi="ar-SA"/>
        </w:rPr>
      </w:pPr>
      <w:r>
        <w:rPr>
          <w:rFonts w:hint="eastAsia" w:cs="宋体"/>
          <w:b/>
          <w:bCs w:val="0"/>
          <w:color w:val="000000"/>
          <w:sz w:val="24"/>
          <w:szCs w:val="24"/>
          <w:highlight w:val="none"/>
          <w:lang w:val="en-US" w:eastAsia="zh-CN" w:bidi="ar-SA"/>
        </w:rPr>
        <w:t>2、项目内容</w:t>
      </w:r>
    </w:p>
    <w:p w14:paraId="7B3FBB8B">
      <w:pPr>
        <w:pStyle w:val="71"/>
        <w:spacing w:before="50" w:beforeAutospacing="0" w:after="50" w:afterAutospacing="0" w:line="360" w:lineRule="auto"/>
        <w:ind w:left="239" w:leftChars="114" w:firstLine="360" w:firstLineChars="150"/>
        <w:rPr>
          <w:rFonts w:hint="default" w:cs="宋体"/>
          <w:b w:val="0"/>
          <w:bCs/>
          <w:color w:val="000000"/>
          <w:sz w:val="24"/>
          <w:szCs w:val="24"/>
          <w:highlight w:val="none"/>
          <w:lang w:val="en-US" w:eastAsia="zh-CN" w:bidi="ar-SA"/>
        </w:rPr>
      </w:pPr>
      <w:r>
        <w:rPr>
          <w:rFonts w:hint="default" w:cs="宋体"/>
          <w:b w:val="0"/>
          <w:bCs/>
          <w:color w:val="000000"/>
          <w:sz w:val="24"/>
          <w:szCs w:val="24"/>
          <w:highlight w:val="none"/>
          <w:lang w:val="en-US" w:eastAsia="zh-CN" w:bidi="ar-SA"/>
        </w:rPr>
        <w:t>1．退化林修复</w:t>
      </w:r>
    </w:p>
    <w:p w14:paraId="24A9468E">
      <w:pPr>
        <w:pStyle w:val="71"/>
        <w:spacing w:before="50" w:beforeAutospacing="0" w:after="50" w:afterAutospacing="0" w:line="360" w:lineRule="auto"/>
        <w:ind w:left="239" w:leftChars="114" w:firstLine="360" w:firstLineChars="150"/>
        <w:rPr>
          <w:rFonts w:hint="default" w:cs="宋体"/>
          <w:b w:val="0"/>
          <w:bCs/>
          <w:color w:val="000000"/>
          <w:sz w:val="24"/>
          <w:szCs w:val="24"/>
          <w:highlight w:val="none"/>
          <w:lang w:val="en-US" w:eastAsia="zh-CN" w:bidi="ar-SA"/>
        </w:rPr>
      </w:pPr>
      <w:r>
        <w:rPr>
          <w:rFonts w:hint="default" w:cs="宋体"/>
          <w:b w:val="0"/>
          <w:bCs/>
          <w:color w:val="000000"/>
          <w:sz w:val="24"/>
          <w:szCs w:val="24"/>
          <w:highlight w:val="none"/>
          <w:lang w:val="en-US" w:eastAsia="zh-CN" w:bidi="ar-SA"/>
        </w:rPr>
        <w:t>完成16500亩退化林修复，其中退化乔木林修复2100亩、退化灌木林修复14400亩。通过退化林修复，解决部分乔木林林相不整齐、林网缺行断带，所有退化林病虫害严重、林间枯枝病枝堆积等问题，提高生态防护林的防护能力。</w:t>
      </w:r>
    </w:p>
    <w:p w14:paraId="246A65D6">
      <w:pPr>
        <w:pStyle w:val="71"/>
        <w:spacing w:before="50" w:beforeAutospacing="0" w:after="50" w:afterAutospacing="0" w:line="360" w:lineRule="auto"/>
        <w:ind w:left="239" w:leftChars="114" w:firstLine="360" w:firstLineChars="150"/>
        <w:rPr>
          <w:rFonts w:hint="default" w:cs="宋体"/>
          <w:b w:val="0"/>
          <w:bCs/>
          <w:color w:val="000000"/>
          <w:sz w:val="24"/>
          <w:szCs w:val="24"/>
          <w:highlight w:val="none"/>
          <w:lang w:val="en-US" w:eastAsia="zh-CN" w:bidi="ar-SA"/>
        </w:rPr>
      </w:pPr>
      <w:r>
        <w:rPr>
          <w:rFonts w:hint="default" w:cs="宋体"/>
          <w:b w:val="0"/>
          <w:bCs/>
          <w:color w:val="000000"/>
          <w:sz w:val="24"/>
          <w:szCs w:val="24"/>
          <w:highlight w:val="none"/>
          <w:lang w:val="en-US" w:eastAsia="zh-CN" w:bidi="ar-SA"/>
        </w:rPr>
        <w:t>退化乔木林修复项目区修复树种为杨树、沙枣，对部分缺行断带的林地进行补植补造，对退化乔木林全部进行整形修枝、有害生物防治、林地清理等修复措施。</w:t>
      </w:r>
    </w:p>
    <w:p w14:paraId="357FAF95">
      <w:pPr>
        <w:pStyle w:val="71"/>
        <w:spacing w:before="50" w:beforeAutospacing="0" w:after="50" w:afterAutospacing="0" w:line="360" w:lineRule="auto"/>
        <w:ind w:left="239" w:leftChars="114" w:firstLine="360" w:firstLineChars="150"/>
        <w:rPr>
          <w:rFonts w:hint="default" w:cs="宋体"/>
          <w:b w:val="0"/>
          <w:bCs/>
          <w:color w:val="000000"/>
          <w:sz w:val="24"/>
          <w:szCs w:val="24"/>
          <w:highlight w:val="none"/>
          <w:lang w:val="en-US" w:eastAsia="zh-CN" w:bidi="ar-SA"/>
        </w:rPr>
      </w:pPr>
      <w:r>
        <w:rPr>
          <w:rFonts w:hint="default" w:cs="宋体"/>
          <w:b w:val="0"/>
          <w:bCs/>
          <w:color w:val="000000"/>
          <w:sz w:val="24"/>
          <w:szCs w:val="24"/>
          <w:highlight w:val="none"/>
          <w:lang w:val="en-US" w:eastAsia="zh-CN" w:bidi="ar-SA"/>
        </w:rPr>
        <w:t>退化灌木林修复项目区修复树种全部为柽柳，进行补播、有害生物防治、林地清理、清理引水渠、修建拦洪坝等措施，提高林木的防护功能。</w:t>
      </w:r>
    </w:p>
    <w:p w14:paraId="1019C9A0">
      <w:pPr>
        <w:pStyle w:val="71"/>
        <w:spacing w:before="50" w:beforeAutospacing="0" w:after="50" w:afterAutospacing="0" w:line="360" w:lineRule="auto"/>
        <w:ind w:left="239" w:leftChars="114" w:firstLine="360" w:firstLineChars="150"/>
        <w:rPr>
          <w:rFonts w:hint="default" w:cs="宋体"/>
          <w:b w:val="0"/>
          <w:bCs/>
          <w:color w:val="000000"/>
          <w:sz w:val="24"/>
          <w:szCs w:val="24"/>
          <w:highlight w:val="none"/>
          <w:lang w:val="en-US" w:eastAsia="zh-CN" w:bidi="ar-SA"/>
        </w:rPr>
      </w:pPr>
      <w:r>
        <w:rPr>
          <w:rFonts w:hint="default" w:cs="宋体"/>
          <w:b w:val="0"/>
          <w:bCs/>
          <w:color w:val="000000"/>
          <w:sz w:val="24"/>
          <w:szCs w:val="24"/>
          <w:highlight w:val="none"/>
          <w:lang w:val="en-US" w:eastAsia="zh-CN" w:bidi="ar-SA"/>
        </w:rPr>
        <w:t>2．中幼林抚育</w:t>
      </w:r>
    </w:p>
    <w:p w14:paraId="559DC9E8">
      <w:pPr>
        <w:pStyle w:val="71"/>
        <w:spacing w:before="50" w:beforeAutospacing="0" w:after="50" w:afterAutospacing="0" w:line="360" w:lineRule="auto"/>
        <w:ind w:left="239" w:leftChars="114" w:firstLine="360" w:firstLineChars="150"/>
        <w:rPr>
          <w:rFonts w:hint="default" w:cs="宋体"/>
          <w:b w:val="0"/>
          <w:bCs/>
          <w:color w:val="000000"/>
          <w:sz w:val="24"/>
          <w:szCs w:val="24"/>
          <w:highlight w:val="none"/>
          <w:lang w:val="en-US" w:eastAsia="zh-CN" w:bidi="ar-SA"/>
        </w:rPr>
      </w:pPr>
      <w:r>
        <w:rPr>
          <w:rFonts w:hint="default" w:cs="宋体"/>
          <w:b w:val="0"/>
          <w:bCs/>
          <w:color w:val="000000"/>
          <w:sz w:val="24"/>
          <w:szCs w:val="24"/>
          <w:highlight w:val="none"/>
          <w:lang w:val="en-US" w:eastAsia="zh-CN" w:bidi="ar-SA"/>
        </w:rPr>
        <w:t>中幼林抚育0.021万亩，对道路两侧的防护林进行抚育管护，抚育树种为法国梧桐、紫叶李。抚育措施为有害生物防治、整形修枝、林地清理等抚育措施。</w:t>
      </w:r>
    </w:p>
    <w:p w14:paraId="57193300">
      <w:pPr>
        <w:pStyle w:val="48"/>
        <w:numPr>
          <w:ilvl w:val="0"/>
          <w:numId w:val="0"/>
        </w:numPr>
        <w:tabs>
          <w:tab w:val="left" w:pos="540"/>
        </w:tabs>
        <w:snapToGrid w:val="0"/>
        <w:spacing w:line="360" w:lineRule="auto"/>
        <w:ind w:left="120" w:leftChars="0" w:right="62" w:rightChars="0" w:hanging="120" w:hangingChars="50"/>
        <w:rPr>
          <w:rFonts w:hint="eastAsia" w:ascii="宋体" w:hAnsi="宋体" w:eastAsia="宋体" w:cs="宋体"/>
          <w:b/>
          <w:color w:val="000000"/>
          <w:sz w:val="24"/>
          <w:szCs w:val="24"/>
          <w:highlight w:val="none"/>
        </w:rPr>
      </w:pPr>
      <w:r>
        <w:rPr>
          <w:rFonts w:hint="eastAsia" w:ascii="宋体" w:hAnsi="宋体" w:eastAsia="宋体" w:cs="Courier New"/>
          <w:b/>
          <w:color w:val="auto"/>
          <w:kern w:val="2"/>
          <w:sz w:val="24"/>
          <w:szCs w:val="24"/>
          <w:lang w:val="en-US" w:eastAsia="zh-CN" w:bidi="ar-SA"/>
        </w:rPr>
        <w:t>四、</w:t>
      </w:r>
      <w:r>
        <w:rPr>
          <w:rFonts w:hint="eastAsia" w:ascii="宋体" w:hAnsi="宋体" w:eastAsia="宋体" w:cs="宋体"/>
          <w:b/>
          <w:color w:val="000000"/>
          <w:sz w:val="24"/>
          <w:szCs w:val="24"/>
          <w:highlight w:val="none"/>
        </w:rPr>
        <w:t>采购项目清单</w:t>
      </w:r>
      <w:r>
        <w:rPr>
          <w:rFonts w:hint="eastAsia" w:hAnsi="宋体" w:cs="宋体"/>
          <w:b/>
          <w:color w:val="000000"/>
          <w:sz w:val="24"/>
          <w:szCs w:val="24"/>
          <w:highlight w:val="none"/>
          <w:lang w:val="en-US" w:eastAsia="zh-CN"/>
        </w:rPr>
        <w:t>及技术要求</w:t>
      </w:r>
    </w:p>
    <w:p w14:paraId="00D24B64">
      <w:pPr>
        <w:pStyle w:val="48"/>
        <w:numPr>
          <w:ilvl w:val="0"/>
          <w:numId w:val="0"/>
        </w:numPr>
        <w:tabs>
          <w:tab w:val="left" w:pos="540"/>
        </w:tabs>
        <w:snapToGrid w:val="0"/>
        <w:spacing w:line="360" w:lineRule="auto"/>
        <w:ind w:left="120" w:leftChars="0" w:right="62" w:rightChars="0" w:hanging="120" w:hangingChars="50"/>
        <w:rPr>
          <w:rFonts w:hint="eastAsia" w:ascii="宋体" w:hAnsi="宋体" w:eastAsia="宋体" w:cs="宋体"/>
          <w:b/>
          <w:color w:val="000000"/>
          <w:sz w:val="24"/>
          <w:szCs w:val="24"/>
          <w:highlight w:val="none"/>
        </w:rPr>
      </w:pPr>
      <w:r>
        <w:rPr>
          <w:rFonts w:hint="eastAsia" w:ascii="宋体" w:hAnsi="宋体" w:eastAsia="宋体" w:cs="宋体"/>
          <w:b/>
          <w:color w:val="000000"/>
          <w:kern w:val="2"/>
          <w:sz w:val="24"/>
          <w:szCs w:val="24"/>
          <w:highlight w:val="none"/>
          <w:lang w:val="en-US" w:eastAsia="zh-CN" w:bidi="ar-SA"/>
        </w:rPr>
        <w:t>（一）</w:t>
      </w:r>
      <w:r>
        <w:rPr>
          <w:rFonts w:hint="eastAsia" w:ascii="宋体" w:hAnsi="宋体" w:eastAsia="宋体" w:cs="宋体"/>
          <w:b/>
          <w:color w:val="000000"/>
          <w:sz w:val="24"/>
          <w:szCs w:val="24"/>
          <w:highlight w:val="none"/>
        </w:rPr>
        <w:t>采购项目一览表</w:t>
      </w:r>
    </w:p>
    <w:tbl>
      <w:tblPr>
        <w:tblStyle w:val="76"/>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2062"/>
        <w:gridCol w:w="2869"/>
        <w:gridCol w:w="774"/>
        <w:gridCol w:w="1157"/>
        <w:gridCol w:w="1324"/>
      </w:tblGrid>
      <w:tr w14:paraId="6ED3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jc w:val="center"/>
        </w:trPr>
        <w:tc>
          <w:tcPr>
            <w:tcW w:w="1152" w:type="dxa"/>
            <w:shd w:val="clear" w:color="auto" w:fill="FFFFFF"/>
            <w:noWrap w:val="0"/>
            <w:vAlign w:val="center"/>
          </w:tcPr>
          <w:p w14:paraId="6349D06B">
            <w:pPr>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序号</w:t>
            </w:r>
          </w:p>
        </w:tc>
        <w:tc>
          <w:tcPr>
            <w:tcW w:w="2062" w:type="dxa"/>
            <w:shd w:val="clear" w:color="auto" w:fill="FFFFFF"/>
            <w:noWrap w:val="0"/>
            <w:vAlign w:val="center"/>
          </w:tcPr>
          <w:p w14:paraId="03F5096E">
            <w:pPr>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标的名称</w:t>
            </w:r>
          </w:p>
        </w:tc>
        <w:tc>
          <w:tcPr>
            <w:tcW w:w="2869" w:type="dxa"/>
            <w:shd w:val="clear" w:color="auto" w:fill="FFFFFF"/>
            <w:noWrap w:val="0"/>
            <w:vAlign w:val="center"/>
          </w:tcPr>
          <w:p w14:paraId="160CDDFF">
            <w:pPr>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lang w:val="en-US" w:eastAsia="zh-CN"/>
              </w:rPr>
              <w:t>型号参数</w:t>
            </w:r>
          </w:p>
        </w:tc>
        <w:tc>
          <w:tcPr>
            <w:tcW w:w="774" w:type="dxa"/>
            <w:shd w:val="clear" w:color="auto" w:fill="FFFFFF"/>
            <w:noWrap w:val="0"/>
            <w:vAlign w:val="center"/>
          </w:tcPr>
          <w:p w14:paraId="61953BF4">
            <w:pPr>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单位</w:t>
            </w:r>
          </w:p>
        </w:tc>
        <w:tc>
          <w:tcPr>
            <w:tcW w:w="1157" w:type="dxa"/>
            <w:shd w:val="clear" w:color="auto" w:fill="FFFFFF"/>
            <w:noWrap w:val="0"/>
            <w:vAlign w:val="center"/>
          </w:tcPr>
          <w:p w14:paraId="3B285D49">
            <w:pPr>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数量</w:t>
            </w:r>
          </w:p>
        </w:tc>
        <w:tc>
          <w:tcPr>
            <w:tcW w:w="1324" w:type="dxa"/>
            <w:shd w:val="clear" w:color="auto" w:fill="FFFFFF"/>
            <w:noWrap w:val="0"/>
            <w:vAlign w:val="center"/>
          </w:tcPr>
          <w:p w14:paraId="0818887C">
            <w:pPr>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单价最高限价（元）</w:t>
            </w:r>
          </w:p>
        </w:tc>
      </w:tr>
      <w:tr w14:paraId="5110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52" w:type="dxa"/>
            <w:shd w:val="clear" w:color="auto" w:fill="auto"/>
            <w:noWrap w:val="0"/>
            <w:vAlign w:val="center"/>
          </w:tcPr>
          <w:p w14:paraId="5E100404">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2062" w:type="dxa"/>
            <w:shd w:val="clear" w:color="auto" w:fill="auto"/>
            <w:noWrap w:val="0"/>
            <w:vAlign w:val="center"/>
          </w:tcPr>
          <w:p w14:paraId="72076B8C">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退化林修复</w:t>
            </w:r>
          </w:p>
        </w:tc>
        <w:tc>
          <w:tcPr>
            <w:tcW w:w="2869" w:type="dxa"/>
            <w:shd w:val="clear" w:color="auto" w:fill="auto"/>
            <w:noWrap w:val="0"/>
            <w:vAlign w:val="center"/>
          </w:tcPr>
          <w:p w14:paraId="6EC161E5">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16500亩</w:t>
            </w:r>
          </w:p>
        </w:tc>
        <w:tc>
          <w:tcPr>
            <w:tcW w:w="774" w:type="dxa"/>
            <w:shd w:val="clear" w:color="auto" w:fill="auto"/>
            <w:noWrap w:val="0"/>
            <w:vAlign w:val="center"/>
          </w:tcPr>
          <w:p w14:paraId="3E57BE57">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b/>
                <w:bCs/>
                <w:i w:val="0"/>
                <w:iCs w:val="0"/>
                <w:color w:val="auto"/>
                <w:kern w:val="2"/>
                <w:sz w:val="21"/>
                <w:szCs w:val="21"/>
                <w:highlight w:val="none"/>
                <w:u w:val="none"/>
                <w:lang w:val="en-US" w:eastAsia="zh-CN" w:bidi="ar-SA"/>
              </w:rPr>
            </w:pPr>
          </w:p>
        </w:tc>
        <w:tc>
          <w:tcPr>
            <w:tcW w:w="1157" w:type="dxa"/>
            <w:shd w:val="clear" w:color="auto" w:fill="auto"/>
            <w:noWrap w:val="0"/>
            <w:vAlign w:val="center"/>
          </w:tcPr>
          <w:p w14:paraId="3522BE80">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b/>
                <w:bCs/>
                <w:i w:val="0"/>
                <w:iCs w:val="0"/>
                <w:color w:val="auto"/>
                <w:kern w:val="2"/>
                <w:sz w:val="21"/>
                <w:szCs w:val="21"/>
                <w:highlight w:val="none"/>
                <w:u w:val="none"/>
                <w:lang w:val="en-US" w:eastAsia="zh-CN" w:bidi="ar-SA"/>
              </w:rPr>
            </w:pPr>
          </w:p>
        </w:tc>
        <w:tc>
          <w:tcPr>
            <w:tcW w:w="1324" w:type="dxa"/>
            <w:shd w:val="clear" w:color="auto" w:fill="auto"/>
            <w:noWrap w:val="0"/>
            <w:vAlign w:val="center"/>
          </w:tcPr>
          <w:p w14:paraId="4ACEA3ED">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b/>
                <w:bCs/>
                <w:i w:val="0"/>
                <w:iCs w:val="0"/>
                <w:color w:val="auto"/>
                <w:kern w:val="2"/>
                <w:sz w:val="21"/>
                <w:szCs w:val="21"/>
                <w:highlight w:val="none"/>
                <w:u w:val="none"/>
                <w:lang w:val="en-US" w:eastAsia="zh-CN" w:bidi="ar-SA"/>
              </w:rPr>
            </w:pPr>
          </w:p>
        </w:tc>
      </w:tr>
      <w:tr w14:paraId="7C4D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152" w:type="dxa"/>
            <w:shd w:val="clear" w:color="auto" w:fill="auto"/>
            <w:noWrap w:val="0"/>
            <w:vAlign w:val="center"/>
          </w:tcPr>
          <w:p w14:paraId="3037FF26">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1.1</w:t>
            </w:r>
          </w:p>
        </w:tc>
        <w:tc>
          <w:tcPr>
            <w:tcW w:w="2062" w:type="dxa"/>
            <w:shd w:val="clear" w:color="auto" w:fill="auto"/>
            <w:noWrap w:val="0"/>
            <w:vAlign w:val="center"/>
          </w:tcPr>
          <w:p w14:paraId="6BB30FDA">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退化乔木林修复</w:t>
            </w:r>
          </w:p>
        </w:tc>
        <w:tc>
          <w:tcPr>
            <w:tcW w:w="2869" w:type="dxa"/>
            <w:shd w:val="clear" w:color="auto" w:fill="auto"/>
            <w:noWrap w:val="0"/>
            <w:vAlign w:val="center"/>
          </w:tcPr>
          <w:p w14:paraId="0280D96D">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2100亩</w:t>
            </w:r>
          </w:p>
        </w:tc>
        <w:tc>
          <w:tcPr>
            <w:tcW w:w="774" w:type="dxa"/>
            <w:shd w:val="clear" w:color="auto" w:fill="auto"/>
            <w:noWrap w:val="0"/>
            <w:vAlign w:val="center"/>
          </w:tcPr>
          <w:p w14:paraId="77910AAC">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b/>
                <w:bCs/>
                <w:i w:val="0"/>
                <w:iCs w:val="0"/>
                <w:color w:val="auto"/>
                <w:kern w:val="2"/>
                <w:sz w:val="21"/>
                <w:szCs w:val="21"/>
                <w:highlight w:val="none"/>
                <w:u w:val="none"/>
                <w:lang w:val="en-US" w:eastAsia="zh-CN" w:bidi="ar-SA"/>
              </w:rPr>
            </w:pPr>
          </w:p>
        </w:tc>
        <w:tc>
          <w:tcPr>
            <w:tcW w:w="1157" w:type="dxa"/>
            <w:shd w:val="clear" w:color="auto" w:fill="auto"/>
            <w:noWrap w:val="0"/>
            <w:vAlign w:val="center"/>
          </w:tcPr>
          <w:p w14:paraId="7786E1BD">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b/>
                <w:bCs/>
                <w:i w:val="0"/>
                <w:iCs w:val="0"/>
                <w:color w:val="auto"/>
                <w:kern w:val="2"/>
                <w:sz w:val="21"/>
                <w:szCs w:val="21"/>
                <w:highlight w:val="none"/>
                <w:u w:val="none"/>
                <w:lang w:val="en-US" w:eastAsia="zh-CN" w:bidi="ar-SA"/>
              </w:rPr>
            </w:pPr>
          </w:p>
        </w:tc>
        <w:tc>
          <w:tcPr>
            <w:tcW w:w="1324" w:type="dxa"/>
            <w:shd w:val="clear" w:color="auto" w:fill="auto"/>
            <w:noWrap w:val="0"/>
            <w:vAlign w:val="center"/>
          </w:tcPr>
          <w:p w14:paraId="4D4C03A2">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i w:val="0"/>
                <w:iCs w:val="0"/>
                <w:color w:val="auto"/>
                <w:kern w:val="2"/>
                <w:sz w:val="21"/>
                <w:szCs w:val="21"/>
                <w:highlight w:val="none"/>
                <w:u w:val="none"/>
                <w:lang w:val="en-US" w:eastAsia="zh-CN" w:bidi="ar-SA"/>
              </w:rPr>
            </w:pPr>
          </w:p>
        </w:tc>
      </w:tr>
      <w:tr w14:paraId="7FE1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294A09AC">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1.1.1</w:t>
            </w:r>
          </w:p>
        </w:tc>
        <w:tc>
          <w:tcPr>
            <w:tcW w:w="2062" w:type="dxa"/>
            <w:shd w:val="clear" w:color="auto" w:fill="auto"/>
            <w:vAlign w:val="center"/>
          </w:tcPr>
          <w:p w14:paraId="74AB4490">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补植</w:t>
            </w:r>
          </w:p>
        </w:tc>
        <w:tc>
          <w:tcPr>
            <w:tcW w:w="2869" w:type="dxa"/>
            <w:shd w:val="clear" w:color="auto" w:fill="auto"/>
            <w:vAlign w:val="center"/>
          </w:tcPr>
          <w:p w14:paraId="2832A766">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b/>
                <w:bCs/>
                <w:i w:val="0"/>
                <w:iCs w:val="0"/>
                <w:color w:val="auto"/>
                <w:kern w:val="2"/>
                <w:sz w:val="21"/>
                <w:szCs w:val="21"/>
                <w:highlight w:val="none"/>
                <w:u w:val="none"/>
                <w:lang w:val="en-US" w:eastAsia="zh-CN" w:bidi="ar-SA"/>
              </w:rPr>
            </w:pPr>
          </w:p>
        </w:tc>
        <w:tc>
          <w:tcPr>
            <w:tcW w:w="774" w:type="dxa"/>
            <w:shd w:val="clear" w:color="auto" w:fill="auto"/>
            <w:vAlign w:val="center"/>
          </w:tcPr>
          <w:p w14:paraId="5BC30FF3">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b/>
                <w:bCs/>
                <w:i w:val="0"/>
                <w:iCs w:val="0"/>
                <w:color w:val="auto"/>
                <w:kern w:val="2"/>
                <w:sz w:val="21"/>
                <w:szCs w:val="21"/>
                <w:highlight w:val="none"/>
                <w:u w:val="none"/>
                <w:lang w:val="en-US" w:eastAsia="zh-CN" w:bidi="ar-SA"/>
              </w:rPr>
            </w:pPr>
          </w:p>
        </w:tc>
        <w:tc>
          <w:tcPr>
            <w:tcW w:w="1157" w:type="dxa"/>
            <w:shd w:val="clear" w:color="auto" w:fill="auto"/>
            <w:vAlign w:val="center"/>
          </w:tcPr>
          <w:p w14:paraId="15CDD6AD">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b/>
                <w:bCs/>
                <w:i w:val="0"/>
                <w:iCs w:val="0"/>
                <w:color w:val="auto"/>
                <w:kern w:val="2"/>
                <w:sz w:val="21"/>
                <w:szCs w:val="21"/>
                <w:highlight w:val="none"/>
                <w:u w:val="none"/>
                <w:lang w:val="en-US" w:eastAsia="zh-CN" w:bidi="ar-SA"/>
              </w:rPr>
            </w:pPr>
          </w:p>
        </w:tc>
        <w:tc>
          <w:tcPr>
            <w:tcW w:w="1324" w:type="dxa"/>
            <w:shd w:val="clear" w:color="auto" w:fill="auto"/>
            <w:vAlign w:val="center"/>
          </w:tcPr>
          <w:p w14:paraId="267721CA">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i w:val="0"/>
                <w:iCs w:val="0"/>
                <w:color w:val="auto"/>
                <w:kern w:val="2"/>
                <w:sz w:val="21"/>
                <w:szCs w:val="21"/>
                <w:highlight w:val="none"/>
                <w:u w:val="none"/>
                <w:lang w:val="en-US" w:eastAsia="zh-CN" w:bidi="ar-SA"/>
              </w:rPr>
            </w:pPr>
          </w:p>
        </w:tc>
      </w:tr>
      <w:tr w14:paraId="31E7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0921200C">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1.1.1.1</w:t>
            </w:r>
          </w:p>
        </w:tc>
        <w:tc>
          <w:tcPr>
            <w:tcW w:w="2062" w:type="dxa"/>
            <w:shd w:val="clear" w:color="auto" w:fill="auto"/>
            <w:vAlign w:val="center"/>
          </w:tcPr>
          <w:p w14:paraId="5B818C77">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新疆杨</w:t>
            </w:r>
          </w:p>
        </w:tc>
        <w:tc>
          <w:tcPr>
            <w:tcW w:w="2869" w:type="dxa"/>
            <w:shd w:val="clear" w:color="auto" w:fill="auto"/>
            <w:vAlign w:val="center"/>
          </w:tcPr>
          <w:p w14:paraId="6CB83220">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两年生二级苗</w:t>
            </w:r>
          </w:p>
          <w:p w14:paraId="57620E9D">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left"/>
              <w:textAlignment w:val="center"/>
              <w:rPr>
                <w:rFonts w:hint="eastAsia"/>
                <w:lang w:val="en-US" w:eastAsia="zh-CN"/>
              </w:rPr>
            </w:pPr>
            <w:r>
              <w:rPr>
                <w:rFonts w:hint="eastAsia" w:ascii="宋体" w:hAnsi="宋体" w:eastAsia="宋体" w:cs="宋体"/>
                <w:i w:val="0"/>
                <w:iCs w:val="0"/>
                <w:color w:val="auto"/>
                <w:kern w:val="0"/>
                <w:sz w:val="21"/>
                <w:szCs w:val="21"/>
                <w:highlight w:val="none"/>
                <w:u w:val="none"/>
                <w:lang w:val="en-US" w:eastAsia="zh-CN" w:bidi="ar"/>
              </w:rPr>
              <w:t>胸径2厘米以上,两年生以上扦插苗,根系完整,生长健壮,无失水,无损伤,无检疫性病虫害,不得用平茬,定干高度2.4米</w:t>
            </w:r>
          </w:p>
        </w:tc>
        <w:tc>
          <w:tcPr>
            <w:tcW w:w="774" w:type="dxa"/>
            <w:shd w:val="clear" w:color="auto" w:fill="auto"/>
            <w:vAlign w:val="center"/>
          </w:tcPr>
          <w:p w14:paraId="0A01F723">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株</w:t>
            </w:r>
          </w:p>
        </w:tc>
        <w:tc>
          <w:tcPr>
            <w:tcW w:w="1157" w:type="dxa"/>
            <w:shd w:val="clear" w:color="auto" w:fill="auto"/>
            <w:vAlign w:val="center"/>
          </w:tcPr>
          <w:p w14:paraId="15E9662D">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22005</w:t>
            </w:r>
          </w:p>
        </w:tc>
        <w:tc>
          <w:tcPr>
            <w:tcW w:w="1324" w:type="dxa"/>
            <w:shd w:val="clear" w:color="auto" w:fill="auto"/>
            <w:vAlign w:val="center"/>
          </w:tcPr>
          <w:p w14:paraId="4793F0D7">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r>
      <w:tr w14:paraId="74F0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3D2F81A4">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1.1.1.2</w:t>
            </w:r>
          </w:p>
        </w:tc>
        <w:tc>
          <w:tcPr>
            <w:tcW w:w="2062" w:type="dxa"/>
            <w:shd w:val="clear" w:color="auto" w:fill="auto"/>
            <w:vAlign w:val="center"/>
          </w:tcPr>
          <w:p w14:paraId="1C0679E9">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人工栽植</w:t>
            </w:r>
          </w:p>
        </w:tc>
        <w:tc>
          <w:tcPr>
            <w:tcW w:w="2869" w:type="dxa"/>
            <w:shd w:val="clear" w:color="auto" w:fill="auto"/>
            <w:vAlign w:val="center"/>
          </w:tcPr>
          <w:p w14:paraId="33375283">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人工服务</w:t>
            </w:r>
          </w:p>
        </w:tc>
        <w:tc>
          <w:tcPr>
            <w:tcW w:w="774" w:type="dxa"/>
            <w:shd w:val="clear" w:color="auto" w:fill="auto"/>
            <w:vAlign w:val="center"/>
          </w:tcPr>
          <w:p w14:paraId="6B5CD4AC">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亩</w:t>
            </w:r>
          </w:p>
        </w:tc>
        <w:tc>
          <w:tcPr>
            <w:tcW w:w="1157" w:type="dxa"/>
            <w:shd w:val="clear" w:color="auto" w:fill="auto"/>
            <w:vAlign w:val="center"/>
          </w:tcPr>
          <w:p w14:paraId="25B97053">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313.3</w:t>
            </w:r>
          </w:p>
        </w:tc>
        <w:tc>
          <w:tcPr>
            <w:tcW w:w="1324" w:type="dxa"/>
            <w:shd w:val="clear" w:color="auto" w:fill="auto"/>
            <w:vAlign w:val="center"/>
          </w:tcPr>
          <w:p w14:paraId="3A18C9F1">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180</w:t>
            </w:r>
          </w:p>
        </w:tc>
      </w:tr>
      <w:tr w14:paraId="2DDF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56294A21">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1.1.2</w:t>
            </w:r>
          </w:p>
        </w:tc>
        <w:tc>
          <w:tcPr>
            <w:tcW w:w="2062" w:type="dxa"/>
            <w:shd w:val="clear" w:color="auto" w:fill="auto"/>
            <w:vAlign w:val="center"/>
          </w:tcPr>
          <w:p w14:paraId="42B0E9C7">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整形修枝</w:t>
            </w:r>
          </w:p>
        </w:tc>
        <w:tc>
          <w:tcPr>
            <w:tcW w:w="2869" w:type="dxa"/>
            <w:shd w:val="clear" w:color="auto" w:fill="auto"/>
            <w:vAlign w:val="center"/>
          </w:tcPr>
          <w:p w14:paraId="318009D3">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人工服务</w:t>
            </w:r>
          </w:p>
        </w:tc>
        <w:tc>
          <w:tcPr>
            <w:tcW w:w="774" w:type="dxa"/>
            <w:shd w:val="clear" w:color="auto" w:fill="auto"/>
            <w:vAlign w:val="center"/>
          </w:tcPr>
          <w:p w14:paraId="64DAEA19">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亩</w:t>
            </w:r>
          </w:p>
        </w:tc>
        <w:tc>
          <w:tcPr>
            <w:tcW w:w="1157" w:type="dxa"/>
            <w:shd w:val="clear" w:color="auto" w:fill="auto"/>
            <w:vAlign w:val="center"/>
          </w:tcPr>
          <w:p w14:paraId="2AD50F2A">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2100</w:t>
            </w:r>
          </w:p>
        </w:tc>
        <w:tc>
          <w:tcPr>
            <w:tcW w:w="1324" w:type="dxa"/>
            <w:shd w:val="clear" w:color="auto" w:fill="auto"/>
            <w:vAlign w:val="center"/>
          </w:tcPr>
          <w:p w14:paraId="614BA798">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240</w:t>
            </w:r>
          </w:p>
        </w:tc>
      </w:tr>
      <w:tr w14:paraId="4C75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79E0924D">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1.1.3</w:t>
            </w:r>
          </w:p>
        </w:tc>
        <w:tc>
          <w:tcPr>
            <w:tcW w:w="2062" w:type="dxa"/>
            <w:shd w:val="clear" w:color="auto" w:fill="auto"/>
            <w:vAlign w:val="center"/>
          </w:tcPr>
          <w:p w14:paraId="18DF36A7">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林地清理</w:t>
            </w:r>
          </w:p>
        </w:tc>
        <w:tc>
          <w:tcPr>
            <w:tcW w:w="2869" w:type="dxa"/>
            <w:shd w:val="clear" w:color="auto" w:fill="auto"/>
            <w:vAlign w:val="center"/>
          </w:tcPr>
          <w:p w14:paraId="200B1B6A">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人工服务</w:t>
            </w:r>
          </w:p>
        </w:tc>
        <w:tc>
          <w:tcPr>
            <w:tcW w:w="774" w:type="dxa"/>
            <w:shd w:val="clear" w:color="auto" w:fill="auto"/>
            <w:vAlign w:val="center"/>
          </w:tcPr>
          <w:p w14:paraId="03C12B6D">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亩</w:t>
            </w:r>
          </w:p>
        </w:tc>
        <w:tc>
          <w:tcPr>
            <w:tcW w:w="1157" w:type="dxa"/>
            <w:shd w:val="clear" w:color="auto" w:fill="auto"/>
            <w:vAlign w:val="center"/>
          </w:tcPr>
          <w:p w14:paraId="3961F401">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2100</w:t>
            </w:r>
          </w:p>
        </w:tc>
        <w:tc>
          <w:tcPr>
            <w:tcW w:w="1324" w:type="dxa"/>
            <w:shd w:val="clear" w:color="auto" w:fill="auto"/>
            <w:vAlign w:val="center"/>
          </w:tcPr>
          <w:p w14:paraId="0082A5CF">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230</w:t>
            </w:r>
          </w:p>
        </w:tc>
      </w:tr>
      <w:tr w14:paraId="1059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24BB5429">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1.1.4</w:t>
            </w:r>
          </w:p>
        </w:tc>
        <w:tc>
          <w:tcPr>
            <w:tcW w:w="2062" w:type="dxa"/>
            <w:shd w:val="clear" w:color="auto" w:fill="auto"/>
            <w:vAlign w:val="center"/>
          </w:tcPr>
          <w:p w14:paraId="004BD1BF">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有害生物防治</w:t>
            </w:r>
          </w:p>
        </w:tc>
        <w:tc>
          <w:tcPr>
            <w:tcW w:w="2869" w:type="dxa"/>
            <w:shd w:val="clear" w:color="auto" w:fill="auto"/>
            <w:vAlign w:val="center"/>
          </w:tcPr>
          <w:p w14:paraId="2D1CF40D">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人工服务</w:t>
            </w:r>
          </w:p>
        </w:tc>
        <w:tc>
          <w:tcPr>
            <w:tcW w:w="774" w:type="dxa"/>
            <w:shd w:val="clear" w:color="auto" w:fill="auto"/>
            <w:vAlign w:val="center"/>
          </w:tcPr>
          <w:p w14:paraId="2F3E4CCF">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亩</w:t>
            </w:r>
          </w:p>
        </w:tc>
        <w:tc>
          <w:tcPr>
            <w:tcW w:w="1157" w:type="dxa"/>
            <w:shd w:val="clear" w:color="auto" w:fill="auto"/>
            <w:vAlign w:val="center"/>
          </w:tcPr>
          <w:p w14:paraId="7EFA384B">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2100</w:t>
            </w:r>
          </w:p>
        </w:tc>
        <w:tc>
          <w:tcPr>
            <w:tcW w:w="1324" w:type="dxa"/>
            <w:shd w:val="clear" w:color="auto" w:fill="auto"/>
            <w:vAlign w:val="center"/>
          </w:tcPr>
          <w:p w14:paraId="1383F869">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160</w:t>
            </w:r>
          </w:p>
        </w:tc>
      </w:tr>
      <w:tr w14:paraId="542F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334DDC88">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1.1.5</w:t>
            </w:r>
          </w:p>
        </w:tc>
        <w:tc>
          <w:tcPr>
            <w:tcW w:w="2062" w:type="dxa"/>
            <w:shd w:val="clear" w:color="auto" w:fill="auto"/>
            <w:vAlign w:val="center"/>
          </w:tcPr>
          <w:p w14:paraId="2727BADB">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药剂</w:t>
            </w:r>
          </w:p>
        </w:tc>
        <w:tc>
          <w:tcPr>
            <w:tcW w:w="2869" w:type="dxa"/>
            <w:shd w:val="clear" w:color="auto" w:fill="auto"/>
            <w:vAlign w:val="center"/>
          </w:tcPr>
          <w:p w14:paraId="4D5B6216">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b/>
                <w:bCs/>
                <w:i w:val="0"/>
                <w:iCs w:val="0"/>
                <w:color w:val="auto"/>
                <w:kern w:val="2"/>
                <w:sz w:val="21"/>
                <w:szCs w:val="21"/>
                <w:highlight w:val="none"/>
                <w:u w:val="none"/>
                <w:lang w:val="en-US" w:eastAsia="zh-CN" w:bidi="ar-SA"/>
              </w:rPr>
            </w:pPr>
          </w:p>
        </w:tc>
        <w:tc>
          <w:tcPr>
            <w:tcW w:w="774" w:type="dxa"/>
            <w:shd w:val="clear" w:color="auto" w:fill="auto"/>
            <w:vAlign w:val="center"/>
          </w:tcPr>
          <w:p w14:paraId="58304BF6">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b/>
                <w:bCs/>
                <w:i w:val="0"/>
                <w:iCs w:val="0"/>
                <w:color w:val="auto"/>
                <w:kern w:val="2"/>
                <w:sz w:val="21"/>
                <w:szCs w:val="21"/>
                <w:highlight w:val="none"/>
                <w:u w:val="none"/>
                <w:lang w:val="en-US" w:eastAsia="zh-CN" w:bidi="ar-SA"/>
              </w:rPr>
            </w:pPr>
          </w:p>
        </w:tc>
        <w:tc>
          <w:tcPr>
            <w:tcW w:w="1157" w:type="dxa"/>
            <w:shd w:val="clear" w:color="auto" w:fill="auto"/>
            <w:vAlign w:val="center"/>
          </w:tcPr>
          <w:p w14:paraId="5545AE34">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b/>
                <w:bCs/>
                <w:i w:val="0"/>
                <w:iCs w:val="0"/>
                <w:color w:val="auto"/>
                <w:kern w:val="2"/>
                <w:sz w:val="21"/>
                <w:szCs w:val="21"/>
                <w:highlight w:val="none"/>
                <w:u w:val="none"/>
                <w:lang w:val="en-US" w:eastAsia="zh-CN" w:bidi="ar-SA"/>
              </w:rPr>
            </w:pPr>
          </w:p>
        </w:tc>
        <w:tc>
          <w:tcPr>
            <w:tcW w:w="1324" w:type="dxa"/>
            <w:shd w:val="clear" w:color="auto" w:fill="auto"/>
            <w:vAlign w:val="center"/>
          </w:tcPr>
          <w:p w14:paraId="3E8C2D45">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b/>
                <w:bCs/>
                <w:i w:val="0"/>
                <w:iCs w:val="0"/>
                <w:color w:val="auto"/>
                <w:kern w:val="2"/>
                <w:sz w:val="21"/>
                <w:szCs w:val="21"/>
                <w:highlight w:val="none"/>
                <w:u w:val="none"/>
                <w:lang w:val="en-US" w:eastAsia="zh-CN" w:bidi="ar-SA"/>
              </w:rPr>
            </w:pPr>
          </w:p>
        </w:tc>
      </w:tr>
      <w:tr w14:paraId="713F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671477B2">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1.1.5.1</w:t>
            </w:r>
          </w:p>
        </w:tc>
        <w:tc>
          <w:tcPr>
            <w:tcW w:w="2062" w:type="dxa"/>
            <w:shd w:val="clear" w:color="auto" w:fill="auto"/>
            <w:vAlign w:val="center"/>
          </w:tcPr>
          <w:p w14:paraId="45B97F1B">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45%高氯·毒死婢</w:t>
            </w:r>
          </w:p>
        </w:tc>
        <w:tc>
          <w:tcPr>
            <w:tcW w:w="2869" w:type="dxa"/>
            <w:shd w:val="clear" w:color="auto" w:fill="auto"/>
            <w:vAlign w:val="center"/>
          </w:tcPr>
          <w:p w14:paraId="22AB87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平均用量323g/亩</w:t>
            </w:r>
          </w:p>
          <w:p w14:paraId="760EE6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高效氯氰菊酯质量分数/%3.0±0.3</w:t>
            </w:r>
          </w:p>
          <w:p w14:paraId="19E244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毒死蜱质量分数/%41.5士2.1</w:t>
            </w:r>
          </w:p>
          <w:p w14:paraId="14CE04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治螟磷质量分数'/%≤0.13</w:t>
            </w:r>
          </w:p>
          <w:p w14:paraId="1F3EF8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pH值4.0~6.0</w:t>
            </w:r>
          </w:p>
          <w:p w14:paraId="19CEE8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持久起泡性(1min后)，ml≤60</w:t>
            </w:r>
          </w:p>
          <w:p w14:paraId="1D45C2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乳液稳定性(稀释200倍)</w:t>
            </w:r>
            <w:r>
              <w:rPr>
                <w:rFonts w:hint="eastAsia" w:ascii="宋体" w:hAnsi="宋体" w:cs="宋体"/>
                <w:i w:val="0"/>
                <w:iCs w:val="0"/>
                <w:color w:val="auto"/>
                <w:kern w:val="0"/>
                <w:sz w:val="21"/>
                <w:szCs w:val="21"/>
                <w:highlight w:val="none"/>
                <w:u w:val="none"/>
                <w:lang w:val="en-US" w:eastAsia="zh-CN" w:bidi="ar"/>
              </w:rPr>
              <w:t>-</w:t>
            </w:r>
            <w:r>
              <w:rPr>
                <w:rFonts w:hint="default" w:ascii="宋体" w:hAnsi="宋体" w:eastAsia="宋体" w:cs="宋体"/>
                <w:i w:val="0"/>
                <w:iCs w:val="0"/>
                <w:color w:val="auto"/>
                <w:kern w:val="0"/>
                <w:sz w:val="21"/>
                <w:szCs w:val="21"/>
                <w:highlight w:val="none"/>
                <w:u w:val="none"/>
                <w:lang w:val="en-US" w:eastAsia="zh-CN" w:bidi="ar"/>
              </w:rPr>
              <w:t>合格</w:t>
            </w:r>
          </w:p>
          <w:p w14:paraId="790F79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低温稳定性</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合格</w:t>
            </w:r>
          </w:p>
          <w:p w14:paraId="732E1B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热储稳定性</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合格</w:t>
            </w:r>
          </w:p>
        </w:tc>
        <w:tc>
          <w:tcPr>
            <w:tcW w:w="774" w:type="dxa"/>
            <w:shd w:val="clear" w:color="auto" w:fill="auto"/>
            <w:vAlign w:val="center"/>
          </w:tcPr>
          <w:p w14:paraId="04FD7594">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千克</w:t>
            </w:r>
          </w:p>
        </w:tc>
        <w:tc>
          <w:tcPr>
            <w:tcW w:w="1157" w:type="dxa"/>
            <w:shd w:val="clear" w:color="auto" w:fill="auto"/>
            <w:vAlign w:val="center"/>
          </w:tcPr>
          <w:p w14:paraId="51862748">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679</w:t>
            </w:r>
          </w:p>
        </w:tc>
        <w:tc>
          <w:tcPr>
            <w:tcW w:w="1324" w:type="dxa"/>
            <w:shd w:val="clear" w:color="auto" w:fill="auto"/>
            <w:vAlign w:val="center"/>
          </w:tcPr>
          <w:p w14:paraId="29023844">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78</w:t>
            </w:r>
          </w:p>
        </w:tc>
      </w:tr>
      <w:tr w14:paraId="51D2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72149BD2">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1.1.5.2</w:t>
            </w:r>
          </w:p>
        </w:tc>
        <w:tc>
          <w:tcPr>
            <w:tcW w:w="2062" w:type="dxa"/>
            <w:shd w:val="clear" w:color="auto" w:fill="auto"/>
            <w:vAlign w:val="center"/>
          </w:tcPr>
          <w:p w14:paraId="322435DC">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石硫合剂</w:t>
            </w:r>
          </w:p>
        </w:tc>
        <w:tc>
          <w:tcPr>
            <w:tcW w:w="2869" w:type="dxa"/>
            <w:shd w:val="clear" w:color="auto" w:fill="auto"/>
            <w:vAlign w:val="center"/>
          </w:tcPr>
          <w:p w14:paraId="741701CD">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left"/>
              <w:textAlignment w:val="center"/>
              <w:rPr>
                <w:rFonts w:hint="eastAsia"/>
                <w:lang w:val="en-US" w:eastAsia="zh-CN"/>
              </w:rPr>
            </w:pPr>
            <w:r>
              <w:rPr>
                <w:rFonts w:hint="eastAsia"/>
                <w:lang w:val="en-US" w:eastAsia="zh-CN"/>
              </w:rPr>
              <w:t>石硫合剂：29％水剂，多硫化钙(CaS4）含量(29土1.5)％，水不溶物含量≤1.0，PH值 10～12，稀释液均一，无析出物。</w:t>
            </w:r>
          </w:p>
        </w:tc>
        <w:tc>
          <w:tcPr>
            <w:tcW w:w="774" w:type="dxa"/>
            <w:shd w:val="clear" w:color="auto" w:fill="auto"/>
            <w:vAlign w:val="center"/>
          </w:tcPr>
          <w:p w14:paraId="737FB1FF">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千克</w:t>
            </w:r>
          </w:p>
        </w:tc>
        <w:tc>
          <w:tcPr>
            <w:tcW w:w="1157" w:type="dxa"/>
            <w:shd w:val="clear" w:color="auto" w:fill="auto"/>
            <w:vAlign w:val="center"/>
          </w:tcPr>
          <w:p w14:paraId="487653C0">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63000</w:t>
            </w:r>
          </w:p>
        </w:tc>
        <w:tc>
          <w:tcPr>
            <w:tcW w:w="1324" w:type="dxa"/>
            <w:shd w:val="clear" w:color="auto" w:fill="auto"/>
            <w:vAlign w:val="center"/>
          </w:tcPr>
          <w:p w14:paraId="1F2464C7">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r>
      <w:tr w14:paraId="6A1F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3AC55525">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1.2</w:t>
            </w:r>
          </w:p>
        </w:tc>
        <w:tc>
          <w:tcPr>
            <w:tcW w:w="2062" w:type="dxa"/>
            <w:shd w:val="clear" w:color="auto" w:fill="auto"/>
            <w:vAlign w:val="center"/>
          </w:tcPr>
          <w:p w14:paraId="08EBBD34">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退化灌木林修复</w:t>
            </w:r>
          </w:p>
        </w:tc>
        <w:tc>
          <w:tcPr>
            <w:tcW w:w="2869" w:type="dxa"/>
            <w:shd w:val="clear" w:color="auto" w:fill="auto"/>
            <w:vAlign w:val="center"/>
          </w:tcPr>
          <w:p w14:paraId="03318D28">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14400亩</w:t>
            </w:r>
          </w:p>
        </w:tc>
        <w:tc>
          <w:tcPr>
            <w:tcW w:w="774" w:type="dxa"/>
            <w:shd w:val="clear" w:color="auto" w:fill="auto"/>
            <w:vAlign w:val="center"/>
          </w:tcPr>
          <w:p w14:paraId="4D7813ED">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i w:val="0"/>
                <w:iCs w:val="0"/>
                <w:color w:val="auto"/>
                <w:kern w:val="2"/>
                <w:sz w:val="21"/>
                <w:szCs w:val="21"/>
                <w:highlight w:val="none"/>
                <w:u w:val="none"/>
                <w:lang w:val="en-US" w:eastAsia="zh-CN" w:bidi="ar-SA"/>
              </w:rPr>
            </w:pPr>
          </w:p>
        </w:tc>
        <w:tc>
          <w:tcPr>
            <w:tcW w:w="1157" w:type="dxa"/>
            <w:shd w:val="clear" w:color="auto" w:fill="auto"/>
            <w:vAlign w:val="center"/>
          </w:tcPr>
          <w:p w14:paraId="0243FD2A">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i w:val="0"/>
                <w:iCs w:val="0"/>
                <w:color w:val="auto"/>
                <w:kern w:val="2"/>
                <w:sz w:val="21"/>
                <w:szCs w:val="21"/>
                <w:highlight w:val="none"/>
                <w:u w:val="none"/>
                <w:lang w:val="en-US" w:eastAsia="zh-CN" w:bidi="ar-SA"/>
              </w:rPr>
            </w:pPr>
          </w:p>
        </w:tc>
        <w:tc>
          <w:tcPr>
            <w:tcW w:w="1324" w:type="dxa"/>
            <w:shd w:val="clear" w:color="auto" w:fill="auto"/>
            <w:vAlign w:val="center"/>
          </w:tcPr>
          <w:p w14:paraId="3371BE92">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i w:val="0"/>
                <w:iCs w:val="0"/>
                <w:color w:val="auto"/>
                <w:kern w:val="2"/>
                <w:sz w:val="21"/>
                <w:szCs w:val="21"/>
                <w:highlight w:val="none"/>
                <w:u w:val="none"/>
                <w:lang w:val="en-US" w:eastAsia="zh-CN" w:bidi="ar-SA"/>
              </w:rPr>
            </w:pPr>
          </w:p>
        </w:tc>
      </w:tr>
      <w:tr w14:paraId="531E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451FCBF6">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1.2.1</w:t>
            </w:r>
          </w:p>
        </w:tc>
        <w:tc>
          <w:tcPr>
            <w:tcW w:w="2062" w:type="dxa"/>
            <w:shd w:val="clear" w:color="auto" w:fill="auto"/>
            <w:vAlign w:val="center"/>
          </w:tcPr>
          <w:p w14:paraId="2D40B87E">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补播</w:t>
            </w:r>
          </w:p>
        </w:tc>
        <w:tc>
          <w:tcPr>
            <w:tcW w:w="2869" w:type="dxa"/>
            <w:shd w:val="clear" w:color="auto" w:fill="auto"/>
            <w:vAlign w:val="center"/>
          </w:tcPr>
          <w:p w14:paraId="0F4544C3">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b/>
                <w:bCs/>
                <w:i w:val="0"/>
                <w:iCs w:val="0"/>
                <w:color w:val="auto"/>
                <w:kern w:val="2"/>
                <w:sz w:val="21"/>
                <w:szCs w:val="21"/>
                <w:highlight w:val="none"/>
                <w:u w:val="none"/>
                <w:lang w:val="en-US" w:eastAsia="zh-CN" w:bidi="ar-SA"/>
              </w:rPr>
            </w:pPr>
          </w:p>
        </w:tc>
        <w:tc>
          <w:tcPr>
            <w:tcW w:w="774" w:type="dxa"/>
            <w:shd w:val="clear" w:color="auto" w:fill="auto"/>
            <w:vAlign w:val="center"/>
          </w:tcPr>
          <w:p w14:paraId="540234E1">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b/>
                <w:bCs/>
                <w:i w:val="0"/>
                <w:iCs w:val="0"/>
                <w:color w:val="auto"/>
                <w:kern w:val="2"/>
                <w:sz w:val="21"/>
                <w:szCs w:val="21"/>
                <w:highlight w:val="none"/>
                <w:u w:val="none"/>
                <w:lang w:val="en-US" w:eastAsia="zh-CN" w:bidi="ar-SA"/>
              </w:rPr>
            </w:pPr>
          </w:p>
        </w:tc>
        <w:tc>
          <w:tcPr>
            <w:tcW w:w="1157" w:type="dxa"/>
            <w:shd w:val="clear" w:color="auto" w:fill="auto"/>
            <w:vAlign w:val="center"/>
          </w:tcPr>
          <w:p w14:paraId="6C5D7D17">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b/>
                <w:bCs/>
                <w:i w:val="0"/>
                <w:iCs w:val="0"/>
                <w:color w:val="auto"/>
                <w:kern w:val="2"/>
                <w:sz w:val="21"/>
                <w:szCs w:val="21"/>
                <w:highlight w:val="none"/>
                <w:u w:val="none"/>
                <w:lang w:val="en-US" w:eastAsia="zh-CN" w:bidi="ar-SA"/>
              </w:rPr>
            </w:pPr>
          </w:p>
        </w:tc>
        <w:tc>
          <w:tcPr>
            <w:tcW w:w="1324" w:type="dxa"/>
            <w:shd w:val="clear" w:color="auto" w:fill="auto"/>
            <w:vAlign w:val="center"/>
          </w:tcPr>
          <w:p w14:paraId="7B561F4A">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b/>
                <w:bCs/>
                <w:i w:val="0"/>
                <w:iCs w:val="0"/>
                <w:color w:val="auto"/>
                <w:kern w:val="2"/>
                <w:sz w:val="21"/>
                <w:szCs w:val="21"/>
                <w:highlight w:val="none"/>
                <w:u w:val="none"/>
                <w:lang w:val="en-US" w:eastAsia="zh-CN" w:bidi="ar-SA"/>
              </w:rPr>
            </w:pPr>
          </w:p>
        </w:tc>
      </w:tr>
      <w:tr w14:paraId="798A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59437BCC">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1.2.1.1</w:t>
            </w:r>
          </w:p>
        </w:tc>
        <w:tc>
          <w:tcPr>
            <w:tcW w:w="2062" w:type="dxa"/>
            <w:shd w:val="clear" w:color="auto" w:fill="auto"/>
            <w:vAlign w:val="center"/>
          </w:tcPr>
          <w:p w14:paraId="00E39044">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柽柳种子</w:t>
            </w:r>
          </w:p>
        </w:tc>
        <w:tc>
          <w:tcPr>
            <w:tcW w:w="2869" w:type="dxa"/>
            <w:shd w:val="clear" w:color="auto" w:fill="auto"/>
            <w:vAlign w:val="center"/>
          </w:tcPr>
          <w:p w14:paraId="582579D3">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平均200g/亩</w:t>
            </w:r>
          </w:p>
          <w:p w14:paraId="021F43EE">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left"/>
              <w:textAlignment w:val="center"/>
              <w:rPr>
                <w:rFonts w:hint="eastAsia"/>
                <w:lang w:val="en-US" w:eastAsia="zh-CN"/>
              </w:rPr>
            </w:pPr>
            <w:r>
              <w:rPr>
                <w:rFonts w:hint="eastAsia" w:ascii="宋体" w:hAnsi="宋体" w:eastAsia="宋体" w:cs="宋体"/>
                <w:i w:val="0"/>
                <w:iCs w:val="0"/>
                <w:color w:val="auto"/>
                <w:kern w:val="0"/>
                <w:sz w:val="21"/>
                <w:szCs w:val="21"/>
                <w:highlight w:val="none"/>
                <w:u w:val="none"/>
                <w:lang w:val="en-US" w:eastAsia="zh-CN" w:bidi="ar"/>
              </w:rPr>
              <w:t>当年新生净种子，纯度为99%以上，杂质低于1%，发芽率达到90%以上</w:t>
            </w:r>
          </w:p>
        </w:tc>
        <w:tc>
          <w:tcPr>
            <w:tcW w:w="774" w:type="dxa"/>
            <w:shd w:val="clear" w:color="auto" w:fill="auto"/>
            <w:vAlign w:val="center"/>
          </w:tcPr>
          <w:p w14:paraId="47C6FC8F">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kg</w:t>
            </w:r>
          </w:p>
        </w:tc>
        <w:tc>
          <w:tcPr>
            <w:tcW w:w="1157" w:type="dxa"/>
            <w:shd w:val="clear" w:color="auto" w:fill="auto"/>
            <w:vAlign w:val="center"/>
          </w:tcPr>
          <w:p w14:paraId="56C16EF7">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2880</w:t>
            </w:r>
          </w:p>
        </w:tc>
        <w:tc>
          <w:tcPr>
            <w:tcW w:w="1324" w:type="dxa"/>
            <w:shd w:val="clear" w:color="auto" w:fill="auto"/>
            <w:vAlign w:val="center"/>
          </w:tcPr>
          <w:p w14:paraId="4FB61E57">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350</w:t>
            </w:r>
          </w:p>
        </w:tc>
      </w:tr>
      <w:tr w14:paraId="0A70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07E1B150">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1.2.1.2</w:t>
            </w:r>
          </w:p>
        </w:tc>
        <w:tc>
          <w:tcPr>
            <w:tcW w:w="2062" w:type="dxa"/>
            <w:shd w:val="clear" w:color="auto" w:fill="auto"/>
            <w:vAlign w:val="center"/>
          </w:tcPr>
          <w:p w14:paraId="213491EE">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人工撒播种子</w:t>
            </w:r>
          </w:p>
        </w:tc>
        <w:tc>
          <w:tcPr>
            <w:tcW w:w="2869" w:type="dxa"/>
            <w:shd w:val="clear" w:color="auto" w:fill="auto"/>
            <w:vAlign w:val="center"/>
          </w:tcPr>
          <w:p w14:paraId="5E81901B">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人工服务</w:t>
            </w:r>
          </w:p>
        </w:tc>
        <w:tc>
          <w:tcPr>
            <w:tcW w:w="774" w:type="dxa"/>
            <w:shd w:val="clear" w:color="auto" w:fill="auto"/>
            <w:vAlign w:val="center"/>
          </w:tcPr>
          <w:p w14:paraId="73E61DEA">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亩</w:t>
            </w:r>
          </w:p>
        </w:tc>
        <w:tc>
          <w:tcPr>
            <w:tcW w:w="1157" w:type="dxa"/>
            <w:shd w:val="clear" w:color="auto" w:fill="auto"/>
            <w:vAlign w:val="center"/>
          </w:tcPr>
          <w:p w14:paraId="3E5B2813">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14400</w:t>
            </w:r>
          </w:p>
        </w:tc>
        <w:tc>
          <w:tcPr>
            <w:tcW w:w="1324" w:type="dxa"/>
            <w:shd w:val="clear" w:color="auto" w:fill="auto"/>
            <w:vAlign w:val="center"/>
          </w:tcPr>
          <w:p w14:paraId="78FDC2C1">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95</w:t>
            </w:r>
          </w:p>
        </w:tc>
      </w:tr>
      <w:tr w14:paraId="3646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5B778E6A">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1.2.2</w:t>
            </w:r>
          </w:p>
        </w:tc>
        <w:tc>
          <w:tcPr>
            <w:tcW w:w="2062" w:type="dxa"/>
            <w:shd w:val="clear" w:color="auto" w:fill="auto"/>
            <w:vAlign w:val="center"/>
          </w:tcPr>
          <w:p w14:paraId="4A8E38D5">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有害生物防治</w:t>
            </w:r>
          </w:p>
        </w:tc>
        <w:tc>
          <w:tcPr>
            <w:tcW w:w="2869" w:type="dxa"/>
            <w:shd w:val="clear" w:color="auto" w:fill="auto"/>
            <w:vAlign w:val="center"/>
          </w:tcPr>
          <w:p w14:paraId="73562868">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人工服务</w:t>
            </w:r>
          </w:p>
        </w:tc>
        <w:tc>
          <w:tcPr>
            <w:tcW w:w="774" w:type="dxa"/>
            <w:shd w:val="clear" w:color="auto" w:fill="auto"/>
            <w:vAlign w:val="center"/>
          </w:tcPr>
          <w:p w14:paraId="47338357">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亩</w:t>
            </w:r>
          </w:p>
        </w:tc>
        <w:tc>
          <w:tcPr>
            <w:tcW w:w="1157" w:type="dxa"/>
            <w:shd w:val="clear" w:color="auto" w:fill="auto"/>
            <w:vAlign w:val="center"/>
          </w:tcPr>
          <w:p w14:paraId="40015AEB">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14400</w:t>
            </w:r>
          </w:p>
        </w:tc>
        <w:tc>
          <w:tcPr>
            <w:tcW w:w="1324" w:type="dxa"/>
            <w:shd w:val="clear" w:color="auto" w:fill="auto"/>
            <w:vAlign w:val="center"/>
          </w:tcPr>
          <w:p w14:paraId="4ACB6A86">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w:t>
            </w:r>
          </w:p>
        </w:tc>
      </w:tr>
      <w:tr w14:paraId="2237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40018DDA">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1.2.3</w:t>
            </w:r>
          </w:p>
        </w:tc>
        <w:tc>
          <w:tcPr>
            <w:tcW w:w="2062" w:type="dxa"/>
            <w:shd w:val="clear" w:color="auto" w:fill="auto"/>
            <w:vAlign w:val="center"/>
          </w:tcPr>
          <w:p w14:paraId="3C261A66">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石硫合剂</w:t>
            </w:r>
          </w:p>
        </w:tc>
        <w:tc>
          <w:tcPr>
            <w:tcW w:w="2869" w:type="dxa"/>
            <w:shd w:val="clear" w:color="auto" w:fill="auto"/>
            <w:vAlign w:val="center"/>
          </w:tcPr>
          <w:p w14:paraId="2CED4F13">
            <w:pPr>
              <w:pStyle w:val="2"/>
              <w:keepNext w:val="0"/>
              <w:keepLines w:val="0"/>
              <w:pageBreakBefore w:val="0"/>
              <w:kinsoku/>
              <w:wordWrap/>
              <w:overflowPunct/>
              <w:topLinePunct w:val="0"/>
              <w:autoSpaceDE/>
              <w:autoSpaceDN/>
              <w:bidi w:val="0"/>
              <w:adjustRightInd/>
              <w:spacing w:before="0" w:after="0" w:line="240" w:lineRule="auto"/>
              <w:ind w:left="0" w:leftChars="0" w:right="0" w:firstLine="0" w:firstLineChars="0"/>
              <w:jc w:val="left"/>
              <w:rPr>
                <w:rFonts w:hint="eastAsia"/>
                <w:lang w:val="en-US" w:eastAsia="zh-CN"/>
              </w:rPr>
            </w:pPr>
            <w:r>
              <w:rPr>
                <w:rFonts w:hint="eastAsia" w:ascii="Times New Roman" w:hAnsi="Times New Roman" w:eastAsia="宋体" w:cs="Times New Roman"/>
                <w:kern w:val="2"/>
                <w:sz w:val="21"/>
                <w:szCs w:val="24"/>
                <w:lang w:val="en-US" w:eastAsia="zh-CN" w:bidi="ar-SA"/>
              </w:rPr>
              <w:t>石硫合剂：29％水剂，多硫化钙(CaS4）含量(29土1.5)％，水不溶物含量≤1.0，PH值 10～12，稀释液均一，无析出物。</w:t>
            </w:r>
          </w:p>
        </w:tc>
        <w:tc>
          <w:tcPr>
            <w:tcW w:w="774" w:type="dxa"/>
            <w:shd w:val="clear" w:color="auto" w:fill="auto"/>
            <w:vAlign w:val="center"/>
          </w:tcPr>
          <w:p w14:paraId="13B0030B">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千克</w:t>
            </w:r>
          </w:p>
        </w:tc>
        <w:tc>
          <w:tcPr>
            <w:tcW w:w="1157" w:type="dxa"/>
            <w:shd w:val="clear" w:color="auto" w:fill="auto"/>
            <w:vAlign w:val="center"/>
          </w:tcPr>
          <w:p w14:paraId="34B56121">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172800</w:t>
            </w:r>
          </w:p>
        </w:tc>
        <w:tc>
          <w:tcPr>
            <w:tcW w:w="1324" w:type="dxa"/>
            <w:shd w:val="clear" w:color="auto" w:fill="auto"/>
            <w:vAlign w:val="center"/>
          </w:tcPr>
          <w:p w14:paraId="2EDCFE46">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r>
      <w:tr w14:paraId="3320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17C2EDBF">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1.2.4</w:t>
            </w:r>
          </w:p>
        </w:tc>
        <w:tc>
          <w:tcPr>
            <w:tcW w:w="2062" w:type="dxa"/>
            <w:shd w:val="clear" w:color="auto" w:fill="auto"/>
            <w:vAlign w:val="center"/>
          </w:tcPr>
          <w:p w14:paraId="1B281F64">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林地清理</w:t>
            </w:r>
          </w:p>
        </w:tc>
        <w:tc>
          <w:tcPr>
            <w:tcW w:w="2869" w:type="dxa"/>
            <w:shd w:val="clear" w:color="auto" w:fill="auto"/>
            <w:vAlign w:val="center"/>
          </w:tcPr>
          <w:p w14:paraId="3CADDA38">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病枝、枯枝清理</w:t>
            </w:r>
          </w:p>
        </w:tc>
        <w:tc>
          <w:tcPr>
            <w:tcW w:w="774" w:type="dxa"/>
            <w:shd w:val="clear" w:color="auto" w:fill="auto"/>
            <w:vAlign w:val="center"/>
          </w:tcPr>
          <w:p w14:paraId="013C8F1C">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亩</w:t>
            </w:r>
          </w:p>
        </w:tc>
        <w:tc>
          <w:tcPr>
            <w:tcW w:w="1157" w:type="dxa"/>
            <w:shd w:val="clear" w:color="auto" w:fill="auto"/>
            <w:vAlign w:val="center"/>
          </w:tcPr>
          <w:p w14:paraId="10096DCB">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14400</w:t>
            </w:r>
          </w:p>
        </w:tc>
        <w:tc>
          <w:tcPr>
            <w:tcW w:w="1324" w:type="dxa"/>
            <w:shd w:val="clear" w:color="auto" w:fill="auto"/>
            <w:vAlign w:val="center"/>
          </w:tcPr>
          <w:p w14:paraId="4BE3F7FC">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150</w:t>
            </w:r>
          </w:p>
        </w:tc>
      </w:tr>
      <w:tr w14:paraId="76C6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3FC089FB">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1.2.5</w:t>
            </w:r>
          </w:p>
        </w:tc>
        <w:tc>
          <w:tcPr>
            <w:tcW w:w="2062" w:type="dxa"/>
            <w:shd w:val="clear" w:color="auto" w:fill="auto"/>
            <w:vAlign w:val="center"/>
          </w:tcPr>
          <w:p w14:paraId="5FC62E0C">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拦洪坝</w:t>
            </w:r>
          </w:p>
        </w:tc>
        <w:tc>
          <w:tcPr>
            <w:tcW w:w="2869" w:type="dxa"/>
            <w:shd w:val="clear" w:color="auto" w:fill="auto"/>
            <w:vAlign w:val="center"/>
          </w:tcPr>
          <w:p w14:paraId="5C2B910B">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新建临时设施</w:t>
            </w:r>
          </w:p>
        </w:tc>
        <w:tc>
          <w:tcPr>
            <w:tcW w:w="774" w:type="dxa"/>
            <w:shd w:val="clear" w:color="auto" w:fill="auto"/>
            <w:vAlign w:val="center"/>
          </w:tcPr>
          <w:p w14:paraId="68DC004F">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千米</w:t>
            </w:r>
          </w:p>
        </w:tc>
        <w:tc>
          <w:tcPr>
            <w:tcW w:w="1157" w:type="dxa"/>
            <w:shd w:val="clear" w:color="auto" w:fill="auto"/>
            <w:vAlign w:val="center"/>
          </w:tcPr>
          <w:p w14:paraId="4A76662F">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5.3</w:t>
            </w:r>
          </w:p>
        </w:tc>
        <w:tc>
          <w:tcPr>
            <w:tcW w:w="1324" w:type="dxa"/>
            <w:shd w:val="clear" w:color="auto" w:fill="auto"/>
            <w:vAlign w:val="center"/>
          </w:tcPr>
          <w:p w14:paraId="5F0FA686">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30000</w:t>
            </w:r>
          </w:p>
        </w:tc>
      </w:tr>
      <w:tr w14:paraId="59B1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6D513F2C">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1.2.6</w:t>
            </w:r>
          </w:p>
        </w:tc>
        <w:tc>
          <w:tcPr>
            <w:tcW w:w="2062" w:type="dxa"/>
            <w:shd w:val="clear" w:color="auto" w:fill="auto"/>
            <w:vAlign w:val="center"/>
          </w:tcPr>
          <w:p w14:paraId="4AF0EB63">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引水渠</w:t>
            </w:r>
          </w:p>
        </w:tc>
        <w:tc>
          <w:tcPr>
            <w:tcW w:w="2869" w:type="dxa"/>
            <w:shd w:val="clear" w:color="auto" w:fill="auto"/>
            <w:vAlign w:val="center"/>
          </w:tcPr>
          <w:p w14:paraId="35029DAD">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修缮清淤</w:t>
            </w:r>
          </w:p>
        </w:tc>
        <w:tc>
          <w:tcPr>
            <w:tcW w:w="774" w:type="dxa"/>
            <w:shd w:val="clear" w:color="auto" w:fill="auto"/>
            <w:vAlign w:val="center"/>
          </w:tcPr>
          <w:p w14:paraId="1E3E972E">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千米</w:t>
            </w:r>
          </w:p>
        </w:tc>
        <w:tc>
          <w:tcPr>
            <w:tcW w:w="1157" w:type="dxa"/>
            <w:shd w:val="clear" w:color="auto" w:fill="auto"/>
            <w:vAlign w:val="center"/>
          </w:tcPr>
          <w:p w14:paraId="5CFC6F85">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40.5</w:t>
            </w:r>
          </w:p>
        </w:tc>
        <w:tc>
          <w:tcPr>
            <w:tcW w:w="1324" w:type="dxa"/>
            <w:shd w:val="clear" w:color="auto" w:fill="auto"/>
            <w:vAlign w:val="center"/>
          </w:tcPr>
          <w:p w14:paraId="3759C675">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10000</w:t>
            </w:r>
          </w:p>
        </w:tc>
      </w:tr>
      <w:tr w14:paraId="5F9D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4B1BEA2B">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2062" w:type="dxa"/>
            <w:shd w:val="clear" w:color="auto" w:fill="auto"/>
            <w:vAlign w:val="center"/>
          </w:tcPr>
          <w:p w14:paraId="74212A2B">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中幼林抚育</w:t>
            </w:r>
          </w:p>
        </w:tc>
        <w:tc>
          <w:tcPr>
            <w:tcW w:w="2869" w:type="dxa"/>
            <w:shd w:val="clear" w:color="auto" w:fill="auto"/>
            <w:vAlign w:val="center"/>
          </w:tcPr>
          <w:p w14:paraId="6C58E30C">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210亩</w:t>
            </w:r>
          </w:p>
        </w:tc>
        <w:tc>
          <w:tcPr>
            <w:tcW w:w="774" w:type="dxa"/>
            <w:shd w:val="clear" w:color="auto" w:fill="auto"/>
            <w:vAlign w:val="center"/>
          </w:tcPr>
          <w:p w14:paraId="68480588">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i w:val="0"/>
                <w:iCs w:val="0"/>
                <w:color w:val="auto"/>
                <w:kern w:val="2"/>
                <w:sz w:val="21"/>
                <w:szCs w:val="21"/>
                <w:highlight w:val="none"/>
                <w:u w:val="none"/>
                <w:lang w:val="en-US" w:eastAsia="zh-CN" w:bidi="ar-SA"/>
              </w:rPr>
            </w:pPr>
          </w:p>
        </w:tc>
        <w:tc>
          <w:tcPr>
            <w:tcW w:w="1157" w:type="dxa"/>
            <w:shd w:val="clear" w:color="auto" w:fill="auto"/>
            <w:vAlign w:val="center"/>
          </w:tcPr>
          <w:p w14:paraId="66E89098">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i w:val="0"/>
                <w:iCs w:val="0"/>
                <w:color w:val="auto"/>
                <w:kern w:val="2"/>
                <w:sz w:val="21"/>
                <w:szCs w:val="21"/>
                <w:highlight w:val="none"/>
                <w:u w:val="none"/>
                <w:lang w:val="en-US" w:eastAsia="zh-CN" w:bidi="ar-SA"/>
              </w:rPr>
            </w:pPr>
          </w:p>
        </w:tc>
        <w:tc>
          <w:tcPr>
            <w:tcW w:w="1324" w:type="dxa"/>
            <w:shd w:val="clear" w:color="auto" w:fill="auto"/>
            <w:vAlign w:val="center"/>
          </w:tcPr>
          <w:p w14:paraId="2857C155">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rPr>
                <w:rFonts w:hint="eastAsia" w:ascii="宋体" w:hAnsi="宋体" w:eastAsia="宋体" w:cs="宋体"/>
                <w:i w:val="0"/>
                <w:iCs w:val="0"/>
                <w:color w:val="auto"/>
                <w:kern w:val="2"/>
                <w:sz w:val="21"/>
                <w:szCs w:val="21"/>
                <w:highlight w:val="none"/>
                <w:u w:val="none"/>
                <w:lang w:val="en-US" w:eastAsia="zh-CN" w:bidi="ar-SA"/>
              </w:rPr>
            </w:pPr>
          </w:p>
        </w:tc>
      </w:tr>
      <w:tr w14:paraId="690A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70F0D372">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w:t>
            </w:r>
          </w:p>
        </w:tc>
        <w:tc>
          <w:tcPr>
            <w:tcW w:w="2062" w:type="dxa"/>
            <w:shd w:val="clear" w:color="auto" w:fill="auto"/>
            <w:vAlign w:val="center"/>
          </w:tcPr>
          <w:p w14:paraId="6F43C3F8">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有害生物防治</w:t>
            </w:r>
          </w:p>
        </w:tc>
        <w:tc>
          <w:tcPr>
            <w:tcW w:w="2869" w:type="dxa"/>
            <w:shd w:val="clear" w:color="auto" w:fill="auto"/>
            <w:vAlign w:val="center"/>
          </w:tcPr>
          <w:p w14:paraId="5E3C71AA">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人工服务</w:t>
            </w:r>
          </w:p>
        </w:tc>
        <w:tc>
          <w:tcPr>
            <w:tcW w:w="774" w:type="dxa"/>
            <w:shd w:val="clear" w:color="auto" w:fill="auto"/>
            <w:vAlign w:val="center"/>
          </w:tcPr>
          <w:p w14:paraId="41742043">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亩</w:t>
            </w:r>
          </w:p>
        </w:tc>
        <w:tc>
          <w:tcPr>
            <w:tcW w:w="1157" w:type="dxa"/>
            <w:shd w:val="clear" w:color="auto" w:fill="auto"/>
            <w:vAlign w:val="center"/>
          </w:tcPr>
          <w:p w14:paraId="3BB3B6BB">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210</w:t>
            </w:r>
          </w:p>
        </w:tc>
        <w:tc>
          <w:tcPr>
            <w:tcW w:w="1324" w:type="dxa"/>
            <w:shd w:val="clear" w:color="auto" w:fill="auto"/>
            <w:vAlign w:val="center"/>
          </w:tcPr>
          <w:p w14:paraId="0012D9ED">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w:t>
            </w:r>
          </w:p>
        </w:tc>
      </w:tr>
      <w:tr w14:paraId="1414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4DFE4340">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w:t>
            </w:r>
          </w:p>
        </w:tc>
        <w:tc>
          <w:tcPr>
            <w:tcW w:w="2062" w:type="dxa"/>
            <w:shd w:val="clear" w:color="auto" w:fill="auto"/>
            <w:vAlign w:val="center"/>
          </w:tcPr>
          <w:p w14:paraId="2302BA4B">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45%高氯·毒死婢</w:t>
            </w:r>
          </w:p>
        </w:tc>
        <w:tc>
          <w:tcPr>
            <w:tcW w:w="2869" w:type="dxa"/>
            <w:shd w:val="clear" w:color="auto" w:fill="auto"/>
            <w:vAlign w:val="center"/>
          </w:tcPr>
          <w:p w14:paraId="7CE8129F">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平均用量150g/亩</w:t>
            </w:r>
          </w:p>
          <w:p w14:paraId="3C8BEE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高效氯氰菊酯质量分数/%3.0±0.3</w:t>
            </w:r>
          </w:p>
          <w:p w14:paraId="46231F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毒死蜱质量分数/%41.5士2.1</w:t>
            </w:r>
          </w:p>
          <w:p w14:paraId="10427D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治螟磷质量分数'/%≤0.13</w:t>
            </w:r>
          </w:p>
          <w:p w14:paraId="14ECA5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pH值4.0~6.0</w:t>
            </w:r>
          </w:p>
          <w:p w14:paraId="6CE8A7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持久起泡性(1min后)，ml≤60</w:t>
            </w:r>
          </w:p>
          <w:p w14:paraId="09385A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乳液稳定性(稀释200倍)</w:t>
            </w:r>
            <w:r>
              <w:rPr>
                <w:rFonts w:hint="eastAsia" w:ascii="宋体" w:hAnsi="宋体" w:cs="宋体"/>
                <w:i w:val="0"/>
                <w:iCs w:val="0"/>
                <w:color w:val="auto"/>
                <w:kern w:val="0"/>
                <w:sz w:val="21"/>
                <w:szCs w:val="21"/>
                <w:highlight w:val="none"/>
                <w:u w:val="none"/>
                <w:lang w:val="en-US" w:eastAsia="zh-CN" w:bidi="ar"/>
              </w:rPr>
              <w:t>-</w:t>
            </w:r>
            <w:r>
              <w:rPr>
                <w:rFonts w:hint="default" w:ascii="宋体" w:hAnsi="宋体" w:eastAsia="宋体" w:cs="宋体"/>
                <w:i w:val="0"/>
                <w:iCs w:val="0"/>
                <w:color w:val="auto"/>
                <w:kern w:val="0"/>
                <w:sz w:val="21"/>
                <w:szCs w:val="21"/>
                <w:highlight w:val="none"/>
                <w:u w:val="none"/>
                <w:lang w:val="en-US" w:eastAsia="zh-CN" w:bidi="ar"/>
              </w:rPr>
              <w:t>合格</w:t>
            </w:r>
          </w:p>
          <w:p w14:paraId="3C3335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低温稳定性</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合格</w:t>
            </w:r>
          </w:p>
          <w:p w14:paraId="521A43DD">
            <w:pPr>
              <w:pStyle w:val="2"/>
              <w:keepNext w:val="0"/>
              <w:keepLines w:val="0"/>
              <w:pageBreakBefore w:val="0"/>
              <w:kinsoku/>
              <w:wordWrap/>
              <w:overflowPunct/>
              <w:topLinePunct w:val="0"/>
              <w:autoSpaceDE/>
              <w:autoSpaceDN/>
              <w:bidi w:val="0"/>
              <w:adjustRightInd/>
              <w:spacing w:before="0" w:after="0" w:line="240" w:lineRule="auto"/>
              <w:ind w:left="0" w:leftChars="0" w:right="0" w:firstLine="0" w:firstLineChars="0"/>
              <w:rPr>
                <w:rFonts w:hint="eastAsia"/>
                <w:lang w:val="en-US" w:eastAsia="zh-CN"/>
              </w:rPr>
            </w:pPr>
            <w:r>
              <w:rPr>
                <w:rFonts w:hint="default" w:ascii="宋体" w:hAnsi="宋体" w:eastAsia="宋体" w:cs="宋体"/>
                <w:i w:val="0"/>
                <w:iCs w:val="0"/>
                <w:color w:val="auto"/>
                <w:kern w:val="0"/>
                <w:sz w:val="21"/>
                <w:szCs w:val="21"/>
                <w:highlight w:val="none"/>
                <w:u w:val="none"/>
                <w:lang w:val="en-US" w:eastAsia="zh-CN" w:bidi="ar"/>
              </w:rPr>
              <w:t>热储稳定性</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合格</w:t>
            </w:r>
          </w:p>
        </w:tc>
        <w:tc>
          <w:tcPr>
            <w:tcW w:w="774" w:type="dxa"/>
            <w:shd w:val="clear" w:color="auto" w:fill="auto"/>
            <w:vAlign w:val="center"/>
          </w:tcPr>
          <w:p w14:paraId="64BE3A5C">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千克</w:t>
            </w:r>
          </w:p>
        </w:tc>
        <w:tc>
          <w:tcPr>
            <w:tcW w:w="1157" w:type="dxa"/>
            <w:shd w:val="clear" w:color="auto" w:fill="auto"/>
            <w:vAlign w:val="center"/>
          </w:tcPr>
          <w:p w14:paraId="761C9EE1">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31.5</w:t>
            </w:r>
          </w:p>
        </w:tc>
        <w:tc>
          <w:tcPr>
            <w:tcW w:w="1324" w:type="dxa"/>
            <w:shd w:val="clear" w:color="auto" w:fill="auto"/>
            <w:vAlign w:val="center"/>
          </w:tcPr>
          <w:p w14:paraId="459C4DD9">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78</w:t>
            </w:r>
          </w:p>
        </w:tc>
      </w:tr>
      <w:tr w14:paraId="656B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4B4EB16F">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w:t>
            </w:r>
          </w:p>
        </w:tc>
        <w:tc>
          <w:tcPr>
            <w:tcW w:w="2062" w:type="dxa"/>
            <w:shd w:val="clear" w:color="auto" w:fill="auto"/>
            <w:vAlign w:val="center"/>
          </w:tcPr>
          <w:p w14:paraId="69D729AD">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石硫合剂</w:t>
            </w:r>
          </w:p>
        </w:tc>
        <w:tc>
          <w:tcPr>
            <w:tcW w:w="2869" w:type="dxa"/>
            <w:shd w:val="clear" w:color="auto" w:fill="auto"/>
            <w:vAlign w:val="center"/>
          </w:tcPr>
          <w:p w14:paraId="62C5C43F">
            <w:pPr>
              <w:pStyle w:val="2"/>
              <w:keepNext w:val="0"/>
              <w:keepLines w:val="0"/>
              <w:pageBreakBefore w:val="0"/>
              <w:kinsoku/>
              <w:wordWrap/>
              <w:overflowPunct/>
              <w:topLinePunct w:val="0"/>
              <w:autoSpaceDE/>
              <w:autoSpaceDN/>
              <w:bidi w:val="0"/>
              <w:adjustRightInd/>
              <w:spacing w:before="0" w:after="0" w:line="240" w:lineRule="auto"/>
              <w:ind w:left="0" w:leftChars="0" w:right="0" w:firstLine="0" w:firstLineChars="0"/>
              <w:jc w:val="left"/>
              <w:rPr>
                <w:rFonts w:hint="eastAsia"/>
                <w:lang w:val="en-US" w:eastAsia="zh-CN"/>
              </w:rPr>
            </w:pPr>
            <w:r>
              <w:rPr>
                <w:rFonts w:hint="default" w:ascii="Times New Roman" w:hAnsi="Times New Roman" w:eastAsia="宋体" w:cs="Times New Roman"/>
                <w:kern w:val="2"/>
                <w:sz w:val="21"/>
                <w:szCs w:val="24"/>
                <w:lang w:val="en-US" w:eastAsia="zh-CN" w:bidi="ar-SA"/>
              </w:rPr>
              <w:t>石硫合剂：29％水剂，多硫化钙(CaS4</w:t>
            </w:r>
            <w:r>
              <w:rPr>
                <w:rFonts w:hint="eastAsia" w:ascii="Times New Roman" w:hAnsi="Times New Roman" w:eastAsia="宋体" w:cs="Times New Roman"/>
                <w:kern w:val="2"/>
                <w:sz w:val="21"/>
                <w:szCs w:val="24"/>
                <w:lang w:val="en-US" w:eastAsia="zh-CN" w:bidi="ar-SA"/>
              </w:rPr>
              <w:t>）</w:t>
            </w:r>
            <w:r>
              <w:rPr>
                <w:rFonts w:hint="default" w:ascii="Times New Roman" w:hAnsi="Times New Roman" w:eastAsia="宋体" w:cs="Times New Roman"/>
                <w:kern w:val="2"/>
                <w:sz w:val="21"/>
                <w:szCs w:val="24"/>
                <w:lang w:val="en-US" w:eastAsia="zh-CN" w:bidi="ar-SA"/>
              </w:rPr>
              <w:t>含量(29土1.5)％，水不溶物含量≤1.0，PH值 10～12，稀释液均一，无析出物。</w:t>
            </w:r>
          </w:p>
        </w:tc>
        <w:tc>
          <w:tcPr>
            <w:tcW w:w="774" w:type="dxa"/>
            <w:shd w:val="clear" w:color="auto" w:fill="auto"/>
            <w:vAlign w:val="center"/>
          </w:tcPr>
          <w:p w14:paraId="7AD78EA5">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千克</w:t>
            </w:r>
          </w:p>
        </w:tc>
        <w:tc>
          <w:tcPr>
            <w:tcW w:w="1157" w:type="dxa"/>
            <w:shd w:val="clear" w:color="auto" w:fill="auto"/>
            <w:vAlign w:val="center"/>
          </w:tcPr>
          <w:p w14:paraId="1870E4CD">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2520</w:t>
            </w:r>
          </w:p>
        </w:tc>
        <w:tc>
          <w:tcPr>
            <w:tcW w:w="1324" w:type="dxa"/>
            <w:shd w:val="clear" w:color="auto" w:fill="auto"/>
            <w:vAlign w:val="center"/>
          </w:tcPr>
          <w:p w14:paraId="60EF4CA9">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r>
      <w:tr w14:paraId="1FAF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53EF3B7E">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w:t>
            </w:r>
          </w:p>
        </w:tc>
        <w:tc>
          <w:tcPr>
            <w:tcW w:w="2062" w:type="dxa"/>
            <w:shd w:val="clear" w:color="auto" w:fill="auto"/>
            <w:vAlign w:val="center"/>
          </w:tcPr>
          <w:p w14:paraId="0B290403">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整形修枝</w:t>
            </w:r>
          </w:p>
        </w:tc>
        <w:tc>
          <w:tcPr>
            <w:tcW w:w="2869" w:type="dxa"/>
            <w:shd w:val="clear" w:color="auto" w:fill="auto"/>
            <w:vAlign w:val="center"/>
          </w:tcPr>
          <w:p w14:paraId="067703E5">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人工服务</w:t>
            </w:r>
          </w:p>
        </w:tc>
        <w:tc>
          <w:tcPr>
            <w:tcW w:w="774" w:type="dxa"/>
            <w:shd w:val="clear" w:color="auto" w:fill="auto"/>
            <w:vAlign w:val="center"/>
          </w:tcPr>
          <w:p w14:paraId="0A1AFE0B">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亩</w:t>
            </w:r>
          </w:p>
        </w:tc>
        <w:tc>
          <w:tcPr>
            <w:tcW w:w="1157" w:type="dxa"/>
            <w:shd w:val="clear" w:color="auto" w:fill="auto"/>
            <w:vAlign w:val="center"/>
          </w:tcPr>
          <w:p w14:paraId="3C22E86C">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210</w:t>
            </w:r>
          </w:p>
        </w:tc>
        <w:tc>
          <w:tcPr>
            <w:tcW w:w="1324" w:type="dxa"/>
            <w:shd w:val="clear" w:color="auto" w:fill="auto"/>
            <w:vAlign w:val="center"/>
          </w:tcPr>
          <w:p w14:paraId="23ED46DC">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140</w:t>
            </w:r>
          </w:p>
        </w:tc>
      </w:tr>
      <w:tr w14:paraId="6649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52" w:type="dxa"/>
            <w:shd w:val="clear" w:color="auto" w:fill="auto"/>
            <w:vAlign w:val="center"/>
          </w:tcPr>
          <w:p w14:paraId="353CE957">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w:t>
            </w:r>
          </w:p>
        </w:tc>
        <w:tc>
          <w:tcPr>
            <w:tcW w:w="2062" w:type="dxa"/>
            <w:shd w:val="clear" w:color="auto" w:fill="auto"/>
            <w:vAlign w:val="center"/>
          </w:tcPr>
          <w:p w14:paraId="5C78C1C3">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林地清理</w:t>
            </w:r>
          </w:p>
        </w:tc>
        <w:tc>
          <w:tcPr>
            <w:tcW w:w="2869" w:type="dxa"/>
            <w:shd w:val="clear" w:color="auto" w:fill="auto"/>
            <w:vAlign w:val="center"/>
          </w:tcPr>
          <w:p w14:paraId="658A294E">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人工服务</w:t>
            </w:r>
          </w:p>
        </w:tc>
        <w:tc>
          <w:tcPr>
            <w:tcW w:w="774" w:type="dxa"/>
            <w:shd w:val="clear" w:color="auto" w:fill="auto"/>
            <w:vAlign w:val="center"/>
          </w:tcPr>
          <w:p w14:paraId="12C06050">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亩</w:t>
            </w:r>
          </w:p>
        </w:tc>
        <w:tc>
          <w:tcPr>
            <w:tcW w:w="1157" w:type="dxa"/>
            <w:shd w:val="clear" w:color="auto" w:fill="auto"/>
            <w:vAlign w:val="center"/>
          </w:tcPr>
          <w:p w14:paraId="6E1EB882">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210</w:t>
            </w:r>
          </w:p>
        </w:tc>
        <w:tc>
          <w:tcPr>
            <w:tcW w:w="1324" w:type="dxa"/>
            <w:shd w:val="clear" w:color="auto" w:fill="auto"/>
            <w:vAlign w:val="center"/>
          </w:tcPr>
          <w:p w14:paraId="71F312DB">
            <w:pPr>
              <w:keepNext w:val="0"/>
              <w:keepLines w:val="0"/>
              <w:pageBreakBefore w:val="0"/>
              <w:widowControl/>
              <w:suppressLineNumbers w:val="0"/>
              <w:kinsoku/>
              <w:wordWrap/>
              <w:overflowPunct/>
              <w:topLinePunct w:val="0"/>
              <w:autoSpaceDE/>
              <w:autoSpaceDN/>
              <w:bidi w:val="0"/>
              <w:adjustRightInd/>
              <w:spacing w:line="240" w:lineRule="auto"/>
              <w:ind w:left="0" w:leftChars="0" w:right="0" w:rightChars="0" w:firstLine="0" w:firstLine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w:t>
            </w:r>
          </w:p>
        </w:tc>
      </w:tr>
    </w:tbl>
    <w:p w14:paraId="54011CF7">
      <w:pPr>
        <w:pStyle w:val="48"/>
        <w:tabs>
          <w:tab w:val="left" w:pos="540"/>
        </w:tabs>
        <w:snapToGrid w:val="0"/>
        <w:spacing w:line="360" w:lineRule="auto"/>
        <w:rPr>
          <w:rFonts w:hint="default" w:ascii="宋体" w:hAnsi="宋体" w:eastAsia="宋体" w:cs="宋体"/>
          <w:b/>
          <w:color w:val="000000"/>
          <w:sz w:val="24"/>
          <w:szCs w:val="24"/>
          <w:highlight w:val="none"/>
          <w:lang w:val="en-US" w:eastAsia="zh-CN"/>
        </w:rPr>
      </w:pPr>
      <w:r>
        <w:rPr>
          <w:rFonts w:hint="eastAsia" w:hAnsi="宋体" w:cs="宋体"/>
          <w:b/>
          <w:color w:val="000000"/>
          <w:sz w:val="24"/>
          <w:szCs w:val="24"/>
          <w:highlight w:val="none"/>
          <w:lang w:val="en-US" w:eastAsia="zh-CN"/>
        </w:rPr>
        <w:t>★特别注意：投标供应商在投标报价时，不得超过单价最高限价，否则作无效投标处理。</w:t>
      </w:r>
    </w:p>
    <w:p w14:paraId="3F3A9BDC">
      <w:pPr>
        <w:rPr>
          <w:rFonts w:hint="eastAsia" w:cs="宋体"/>
          <w:b w:val="0"/>
          <w:bCs/>
          <w:color w:val="000000"/>
          <w:sz w:val="24"/>
          <w:szCs w:val="24"/>
          <w:highlight w:val="none"/>
          <w:lang w:val="en-US" w:eastAsia="zh-CN" w:bidi="ar-SA"/>
        </w:rPr>
      </w:pPr>
      <w:r>
        <w:rPr>
          <w:rFonts w:hint="eastAsia" w:cs="宋体"/>
          <w:b w:val="0"/>
          <w:bCs/>
          <w:color w:val="000000"/>
          <w:sz w:val="24"/>
          <w:szCs w:val="24"/>
          <w:highlight w:val="none"/>
          <w:lang w:val="en-US" w:eastAsia="zh-CN" w:bidi="ar-SA"/>
        </w:rPr>
        <w:br w:type="page"/>
      </w:r>
    </w:p>
    <w:p w14:paraId="1C817F91">
      <w:pPr>
        <w:pStyle w:val="71"/>
        <w:spacing w:before="50" w:beforeAutospacing="0" w:after="50" w:afterAutospacing="0" w:line="360" w:lineRule="auto"/>
        <w:rPr>
          <w:rFonts w:hint="default" w:cs="宋体"/>
          <w:b/>
          <w:bCs w:val="0"/>
          <w:color w:val="000000"/>
          <w:sz w:val="24"/>
          <w:szCs w:val="24"/>
          <w:highlight w:val="none"/>
          <w:lang w:val="en-US" w:eastAsia="zh-CN" w:bidi="ar-SA"/>
        </w:rPr>
      </w:pPr>
      <w:r>
        <w:rPr>
          <w:rFonts w:hint="eastAsia" w:cs="宋体"/>
          <w:b/>
          <w:bCs w:val="0"/>
          <w:color w:val="000000"/>
          <w:sz w:val="24"/>
          <w:szCs w:val="24"/>
          <w:highlight w:val="none"/>
          <w:lang w:val="en-US" w:eastAsia="zh-CN" w:bidi="ar-SA"/>
        </w:rPr>
        <w:t>（二）技术措施</w:t>
      </w:r>
    </w:p>
    <w:p w14:paraId="3FE8DA73">
      <w:pPr>
        <w:pStyle w:val="8"/>
        <w:numPr>
          <w:ilvl w:val="3"/>
          <w:numId w:val="0"/>
        </w:numPr>
        <w:tabs>
          <w:tab w:val="clear" w:pos="425"/>
          <w:tab w:val="clear" w:pos="1751"/>
        </w:tabs>
        <w:bidi w:val="0"/>
        <w:ind w:left="120" w:leftChars="0" w:right="62" w:rightChars="0"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退化林修复</w:t>
      </w:r>
    </w:p>
    <w:p w14:paraId="69AAAA1E">
      <w:pPr>
        <w:pStyle w:val="9"/>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①退化乔木林修复</w:t>
      </w:r>
    </w:p>
    <w:p w14:paraId="1D0F135B">
      <w:pPr>
        <w:spacing w:line="56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退化乔木林</w:t>
      </w:r>
      <w:r>
        <w:rPr>
          <w:rFonts w:hint="eastAsia" w:ascii="宋体" w:hAnsi="宋体" w:eastAsia="宋体" w:cs="宋体"/>
          <w:color w:val="auto"/>
          <w:sz w:val="24"/>
          <w:szCs w:val="24"/>
          <w:highlight w:val="none"/>
        </w:rPr>
        <w:t>修复</w:t>
      </w:r>
      <w:r>
        <w:rPr>
          <w:rFonts w:hint="eastAsia" w:ascii="宋体" w:hAnsi="宋体" w:eastAsia="宋体" w:cs="宋体"/>
          <w:color w:val="auto"/>
          <w:sz w:val="24"/>
          <w:szCs w:val="24"/>
          <w:highlight w:val="none"/>
          <w:lang w:val="en-US" w:eastAsia="zh-CN"/>
        </w:rPr>
        <w:t>项目区，树种为杨树、沙枣，其中313.3亩退化林退化程度为一般，需要</w:t>
      </w:r>
      <w:r>
        <w:rPr>
          <w:rFonts w:hint="eastAsia" w:ascii="宋体" w:hAnsi="宋体" w:eastAsia="宋体" w:cs="宋体"/>
          <w:color w:val="auto"/>
          <w:sz w:val="24"/>
          <w:szCs w:val="24"/>
          <w:highlight w:val="none"/>
          <w:u w:val="none"/>
          <w:lang w:val="en-US" w:eastAsia="zh-CN"/>
        </w:rPr>
        <w:t>补植补造、林分抚育、病虫害防治等措施；1786.7亩退化林退化程度为重度，需要林分抚育、病虫害防治等措施，以此改善林木生长环境，提高防护能力</w:t>
      </w:r>
      <w:r>
        <w:rPr>
          <w:rFonts w:hint="eastAsia" w:ascii="宋体" w:hAnsi="宋体" w:eastAsia="宋体" w:cs="宋体"/>
          <w:color w:val="auto"/>
          <w:sz w:val="24"/>
          <w:szCs w:val="24"/>
          <w:highlight w:val="none"/>
          <w:u w:val="none"/>
          <w:lang w:eastAsia="zh-CN"/>
        </w:rPr>
        <w:t>。</w:t>
      </w:r>
    </w:p>
    <w:p w14:paraId="03FE0569">
      <w:pPr>
        <w:pStyle w:val="10"/>
        <w:bidi w:val="0"/>
        <w:rPr>
          <w:rFonts w:hint="eastAsia" w:ascii="宋体" w:hAnsi="宋体" w:eastAsia="宋体" w:cs="宋体"/>
          <w:color w:val="auto"/>
          <w:sz w:val="24"/>
          <w:szCs w:val="24"/>
          <w:highlight w:val="none"/>
          <w:lang w:val="en-US" w:eastAsia="zh-CN"/>
        </w:rPr>
      </w:pPr>
      <w:r>
        <w:rPr>
          <w:rFonts w:hint="eastAsia" w:ascii="宋体" w:hAnsi="宋体" w:eastAsia="宋体" w:cs="宋体"/>
          <w:i w:val="0"/>
          <w:iCs/>
          <w:color w:val="auto"/>
          <w:sz w:val="24"/>
          <w:szCs w:val="24"/>
          <w:highlight w:val="none"/>
          <w:lang w:val="en-US" w:eastAsia="zh-CN"/>
        </w:rPr>
        <w:t>1）补植补造</w:t>
      </w:r>
    </w:p>
    <w:p w14:paraId="3C452493">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1、树种选择</w:t>
      </w:r>
    </w:p>
    <w:p w14:paraId="4C722B03">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根据当地自然地理特点，应遵循“因地制宜，适地适树”的原则，选择乡土树种新疆杨为造林树种。</w:t>
      </w:r>
    </w:p>
    <w:p w14:paraId="35FE44E3">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2、苗木规格</w:t>
      </w:r>
    </w:p>
    <w:p w14:paraId="00E57F77">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全部选用“两证一签”齐全、经过检验检疫、顶芽饱满、生长健壮、无机械损伤、无病虫害、根系发达的二级苗及以上。要求随起苗随种植，造林过程中注意苗木根系保鲜，及时覆盖淋水，假植，防止失水干缩。</w:t>
      </w:r>
    </w:p>
    <w:p w14:paraId="5B626633">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3、植苗</w:t>
      </w:r>
    </w:p>
    <w:p w14:paraId="4B80269D">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按照设计株行距和栽植点，定点挖穴，植树穴规格为40×40×40厘米，采用“三埋二踩一提苗”的栽植方法，根系要舒展。苗木栽植后，及时灌头水，待合墒时，经扶苗，培土再抢灌第二水，以后按灌溉制度灌溉。</w:t>
      </w:r>
    </w:p>
    <w:p w14:paraId="0E5DEBAF">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4、造林时间</w:t>
      </w:r>
    </w:p>
    <w:p w14:paraId="07135D01">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2025年4月。</w:t>
      </w:r>
    </w:p>
    <w:p w14:paraId="0DC8D1E5">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5、灌溉</w:t>
      </w:r>
    </w:p>
    <w:p w14:paraId="5041D264">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浇水应一次浇透，之后按照新疆维吾尔自治区《农业灌溉用水定额》（DB65/3611-2014）中规定的灌溉制度及时灌溉。</w:t>
      </w:r>
    </w:p>
    <w:p w14:paraId="7F0F752A">
      <w:pPr>
        <w:pStyle w:val="10"/>
        <w:bidi w:val="0"/>
        <w:rPr>
          <w:rFonts w:hint="eastAsia" w:ascii="宋体" w:hAnsi="宋体" w:eastAsia="宋体" w:cs="宋体"/>
          <w:color w:val="auto"/>
          <w:sz w:val="24"/>
          <w:szCs w:val="24"/>
          <w:highlight w:val="none"/>
          <w:lang w:val="en-US" w:eastAsia="zh-CN"/>
        </w:rPr>
      </w:pPr>
      <w:r>
        <w:rPr>
          <w:rFonts w:hint="eastAsia" w:ascii="宋体" w:hAnsi="宋体" w:eastAsia="宋体" w:cs="宋体"/>
          <w:i w:val="0"/>
          <w:iCs/>
          <w:color w:val="auto"/>
          <w:sz w:val="24"/>
          <w:szCs w:val="24"/>
          <w:highlight w:val="none"/>
          <w:lang w:val="en-US" w:eastAsia="zh-CN"/>
        </w:rPr>
        <w:t>2）修枝</w:t>
      </w:r>
    </w:p>
    <w:p w14:paraId="4EE5F5EE">
      <w:pPr>
        <w:spacing w:line="56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）修枝对象及目的</w:t>
      </w:r>
    </w:p>
    <w:p w14:paraId="3726DAD3">
      <w:pPr>
        <w:spacing w:line="56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选择影响</w:t>
      </w:r>
      <w:r>
        <w:rPr>
          <w:rFonts w:hint="eastAsia" w:ascii="宋体" w:hAnsi="宋体" w:eastAsia="宋体" w:cs="宋体"/>
          <w:color w:val="auto"/>
          <w:sz w:val="24"/>
          <w:szCs w:val="24"/>
          <w:highlight w:val="none"/>
          <w:lang w:val="en-US" w:eastAsia="zh-CN"/>
        </w:rPr>
        <w:t>树体</w:t>
      </w:r>
      <w:r>
        <w:rPr>
          <w:rFonts w:hint="eastAsia" w:ascii="宋体" w:hAnsi="宋体" w:eastAsia="宋体" w:cs="宋体"/>
          <w:color w:val="auto"/>
          <w:sz w:val="24"/>
          <w:szCs w:val="24"/>
          <w:highlight w:val="none"/>
          <w:lang w:eastAsia="zh-CN"/>
        </w:rPr>
        <w:t>通风和透光的枝条进行修剪，对影响干形的侧枝和重叠枝也一并剪除，注意控制</w:t>
      </w:r>
      <w:r>
        <w:rPr>
          <w:rFonts w:hint="eastAsia" w:ascii="宋体" w:hAnsi="宋体" w:eastAsia="宋体" w:cs="宋体"/>
          <w:color w:val="auto"/>
          <w:sz w:val="24"/>
          <w:szCs w:val="24"/>
          <w:highlight w:val="none"/>
          <w:lang w:val="en-US" w:eastAsia="zh-CN"/>
        </w:rPr>
        <w:t>防护林</w:t>
      </w:r>
      <w:r>
        <w:rPr>
          <w:rFonts w:hint="eastAsia" w:ascii="宋体" w:hAnsi="宋体" w:eastAsia="宋体" w:cs="宋体"/>
          <w:color w:val="auto"/>
          <w:sz w:val="24"/>
          <w:szCs w:val="24"/>
          <w:highlight w:val="none"/>
          <w:lang w:eastAsia="zh-CN"/>
        </w:rPr>
        <w:t>的营养生长。将部分枯死枝条以及树冠下部分蘖出的无用枝条进行剔除，修枝可以改善园区内的通风和透光状况，增强了树体抗御自然灾害的能力。</w:t>
      </w:r>
    </w:p>
    <w:p w14:paraId="734C5F34">
      <w:pPr>
        <w:spacing w:line="56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修枝时间</w:t>
      </w:r>
    </w:p>
    <w:p w14:paraId="226594E5">
      <w:pPr>
        <w:spacing w:line="56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一般在树木落叶到春季发芽前进行。此时树木已停止生长，修枝不易撕裂树皮，不流树液，且第二年春季愈合组织形成快，伤口愈合也快，还有利于新梢生长，又能减少病虫的感染机会。</w:t>
      </w:r>
    </w:p>
    <w:p w14:paraId="132D547A">
      <w:pPr>
        <w:spacing w:line="56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修枝方法</w:t>
      </w:r>
    </w:p>
    <w:p w14:paraId="3D4EC17B">
      <w:pPr>
        <w:spacing w:line="56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在树干的高度、粗度、部位均达到理想之后，可以将下面的侧枝一次修除。用快刀或锯在侧枝的基部(不留残桩)一次全部修除。有条件的，伤口可用石硫合剂(或腊)涂抹，以防病虫感染和利于伤口愈合。</w:t>
      </w:r>
    </w:p>
    <w:p w14:paraId="36044864">
      <w:pPr>
        <w:spacing w:line="56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）采取修枝抚育后的林分应达到以下要求</w:t>
      </w:r>
    </w:p>
    <w:p w14:paraId="4EFEB08A">
      <w:pPr>
        <w:spacing w:line="56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a）修去枯死枝和树冠下部 1 轮～2 轮活枝；</w:t>
      </w:r>
    </w:p>
    <w:p w14:paraId="6BFE2F08">
      <w:pPr>
        <w:spacing w:line="56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b）幼龄林阶段修枝后保留冠长不低于树高的 2/3、枝桩尽量修平，剪口不能伤害树干的韧皮部和木质部；</w:t>
      </w:r>
    </w:p>
    <w:p w14:paraId="0E17AADB">
      <w:pPr>
        <w:spacing w:line="56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c）中龄林阶段修枝后保留冠长不低于树高的 1/2、枝桩尽量修平，剪口不能伤害树干的韧皮部和木质部。</w:t>
      </w:r>
    </w:p>
    <w:p w14:paraId="36D549F0">
      <w:pPr>
        <w:pStyle w:val="10"/>
        <w:bidi w:val="0"/>
        <w:rPr>
          <w:rFonts w:hint="eastAsia" w:ascii="宋体" w:hAnsi="宋体" w:eastAsia="宋体" w:cs="宋体"/>
          <w:color w:val="auto"/>
          <w:sz w:val="24"/>
          <w:szCs w:val="24"/>
          <w:highlight w:val="none"/>
          <w:lang w:val="en-US" w:eastAsia="zh-CN"/>
        </w:rPr>
      </w:pPr>
      <w:r>
        <w:rPr>
          <w:rFonts w:hint="eastAsia" w:ascii="宋体" w:hAnsi="宋体" w:eastAsia="宋体" w:cs="宋体"/>
          <w:i w:val="0"/>
          <w:iCs/>
          <w:color w:val="auto"/>
          <w:sz w:val="24"/>
          <w:szCs w:val="24"/>
          <w:highlight w:val="none"/>
          <w:lang w:val="en-US" w:eastAsia="zh-CN"/>
        </w:rPr>
        <w:t>3）有害生物防治</w:t>
      </w:r>
    </w:p>
    <w:p w14:paraId="1C11AF8C">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此次作业区内病虫害主要为草履蚧、春尺蠖等，鉴于病虫害严重的现状，应采取行之有效的手段进行有害生物防治，及时制止病虫害的蔓延。将采取物理防治和化学防治结合进行有害生物防治。同时，也要做好虫情监测工作，及时采取适宜的防治措施，以免错过最佳防治时期。</w:t>
      </w:r>
    </w:p>
    <w:p w14:paraId="3F9F8BF1">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物理防治包括涂白、缠胶带等方式进行防治。</w:t>
      </w:r>
    </w:p>
    <w:p w14:paraId="4A8CE1F8">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涂白：树干涂白是使用石硫合剂涂抹于树干表面，可以保护树木不受虫子的侵害，也可以防冻，用石灰浆涂白后可以将太阳光反射掉，可以降低树干昼夜温差，减轻树木冻害。涂时以不流失及干后不翘、不脱落为宜。树木涂白时间，一般在11月至12月上旬进行较适宜，若为了避免日灼危害的树种，亦可在6月间涂白一次。涂白高度应视树木的大小而定，通常涂白的树干以离地面1.2米为宜，应涂成同一高度，视为美观。</w:t>
      </w:r>
    </w:p>
    <w:p w14:paraId="6CDA5524">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缠胶带；(1)将20cm宽塑料布绑在干基距地面10cm处，采用塑料胶带黏合接口，防治成虫上树。(2)塑料袋下堆积圆锥形土堆，拍实其表面，确保光滑，上缘压1.5cm塑料布，加固塑料布。(3)土堆周围挖10cm宽深小沟，沟壁垂直，并光滑。</w:t>
      </w:r>
    </w:p>
    <w:p w14:paraId="77AEF40F">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化学防治包括采用45%高氯·毒死婢、石硫合剂等药剂进行药物防治。</w:t>
      </w:r>
    </w:p>
    <w:p w14:paraId="325D8D99">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化学防治首先需要明确该类害虫的为害时期和程度，把握其虫态发生规律，对于受害严重的植株及时烧毁，避免虫害蔓延。对于幼虫，采用人工刮皮，清除幼虫；对于成虫，可采用45%高氯·毒死婢、石硫合剂喷洒涂抹在害虫可能侵入的部位上，45%高氯·毒死婢平均用量323g/亩、石硫合剂平均用量30kg/亩。</w:t>
      </w:r>
    </w:p>
    <w:p w14:paraId="7DAF64CB">
      <w:pPr>
        <w:pStyle w:val="10"/>
        <w:bidi w:val="0"/>
        <w:rPr>
          <w:rFonts w:hint="eastAsia" w:ascii="宋体" w:hAnsi="宋体" w:eastAsia="宋体" w:cs="宋体"/>
          <w:i w:val="0"/>
          <w:iCs/>
          <w:color w:val="auto"/>
          <w:sz w:val="24"/>
          <w:szCs w:val="24"/>
          <w:highlight w:val="none"/>
          <w:lang w:val="en-US" w:eastAsia="zh-CN"/>
        </w:rPr>
      </w:pPr>
      <w:r>
        <w:rPr>
          <w:rFonts w:hint="eastAsia" w:ascii="宋体" w:hAnsi="宋体" w:eastAsia="宋体" w:cs="宋体"/>
          <w:i w:val="0"/>
          <w:iCs/>
          <w:color w:val="auto"/>
          <w:sz w:val="24"/>
          <w:szCs w:val="24"/>
          <w:highlight w:val="none"/>
          <w:lang w:val="en-US" w:eastAsia="zh-CN"/>
        </w:rPr>
        <w:t>4）林地清理</w:t>
      </w:r>
    </w:p>
    <w:p w14:paraId="5183410D">
      <w:pPr>
        <w:spacing w:line="56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林地清理主要清除林地内病虫害木，过密处生长不良的活立木、风折和风压后功能降低的林木和树冠下部已枯死或濒临枯死的枝条，减少虫源木。林地的枯枝、烂叶也应及时清理，减少病虫源。项目作业区内的病死木、少量树冠下部已枯死或濒临枯死的枝条，都需要及时清理。</w:t>
      </w:r>
    </w:p>
    <w:p w14:paraId="24296CA2">
      <w:pPr>
        <w:pStyle w:val="10"/>
        <w:bidi w:val="0"/>
        <w:rPr>
          <w:rFonts w:hint="eastAsia" w:ascii="宋体" w:hAnsi="宋体" w:eastAsia="宋体" w:cs="宋体"/>
          <w:color w:val="auto"/>
          <w:sz w:val="24"/>
          <w:szCs w:val="24"/>
          <w:highlight w:val="none"/>
          <w:lang w:val="en-US" w:eastAsia="zh-CN"/>
        </w:rPr>
      </w:pPr>
      <w:r>
        <w:rPr>
          <w:rFonts w:hint="eastAsia" w:ascii="宋体" w:hAnsi="宋体" w:eastAsia="宋体" w:cs="宋体"/>
          <w:i w:val="0"/>
          <w:iCs/>
          <w:color w:val="auto"/>
          <w:sz w:val="24"/>
          <w:szCs w:val="24"/>
          <w:highlight w:val="none"/>
          <w:lang w:val="en-US" w:eastAsia="zh-CN"/>
        </w:rPr>
        <w:t>5）浇水</w:t>
      </w:r>
    </w:p>
    <w:p w14:paraId="2C333C4D">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一是夏季管护。夏季酷热高温，苗木极易出现回芽现象。要及时进行灌水与中耕除草，使土壤透水、透气、保墒，促进苗木生新根。</w:t>
      </w:r>
    </w:p>
    <w:p w14:paraId="1297A894">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是冬季管护。灌好冬水，对树干进行缠草绳或涂刷石蜡保水剂。</w:t>
      </w:r>
    </w:p>
    <w:p w14:paraId="6D6DC5C3">
      <w:pPr>
        <w:pStyle w:val="9"/>
        <w:bidi w:val="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②退化灌木林修复</w:t>
      </w:r>
    </w:p>
    <w:p w14:paraId="14E90C5B">
      <w:pPr>
        <w:spacing w:line="560" w:lineRule="exact"/>
        <w:ind w:firstLine="360" w:firstLineChars="15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项目区天然灌木林退化程度为重度退化林，需要进行补植补播，有害生物防治、林地清理、清理引水渠、修建拦洪坝等措施，以此改善林木生长环境，提高防护能力</w:t>
      </w:r>
      <w:r>
        <w:rPr>
          <w:rFonts w:hint="eastAsia" w:ascii="宋体" w:hAnsi="宋体" w:eastAsia="宋体" w:cs="宋体"/>
          <w:color w:val="auto"/>
          <w:sz w:val="24"/>
          <w:szCs w:val="24"/>
          <w:highlight w:val="none"/>
          <w:lang w:eastAsia="zh-CN"/>
        </w:rPr>
        <w:t>。</w:t>
      </w:r>
    </w:p>
    <w:p w14:paraId="7E23939C">
      <w:pPr>
        <w:pStyle w:val="10"/>
        <w:rPr>
          <w:rFonts w:hint="eastAsia" w:ascii="宋体" w:hAnsi="宋体" w:eastAsia="宋体" w:cs="宋体"/>
          <w:color w:val="auto"/>
          <w:sz w:val="24"/>
          <w:szCs w:val="24"/>
          <w:highlight w:val="none"/>
        </w:rPr>
      </w:pPr>
      <w:r>
        <w:rPr>
          <w:rFonts w:hint="eastAsia" w:ascii="宋体" w:hAnsi="宋体" w:eastAsia="宋体" w:cs="宋体"/>
          <w:i w:val="0"/>
          <w:iCs/>
          <w:color w:val="auto"/>
          <w:sz w:val="24"/>
          <w:szCs w:val="24"/>
          <w:highlight w:val="none"/>
          <w:lang w:val="en-US" w:eastAsia="zh-CN"/>
        </w:rPr>
        <w:t>1）补播</w:t>
      </w:r>
    </w:p>
    <w:p w14:paraId="141B93C8">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1、树种选择</w:t>
      </w:r>
    </w:p>
    <w:p w14:paraId="4F6AA7F1">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根据当地自然地理特点，应遵循“因地制宜，适地适树”的原则，选择乡土树种柽柳为造林树种。</w:t>
      </w:r>
    </w:p>
    <w:p w14:paraId="5D3E2A8C">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2、种苗规格</w:t>
      </w:r>
    </w:p>
    <w:p w14:paraId="65BA88A5">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购买种子和播种使用前，必须按照我国种子检验协会制订的统一质量检验规程，对种子净度、种子发芽率、种子生活力、种子水分和种子千粒重品质等特征进行检验。应达到相关种子质量分级二级的要求，且具有“两证一签”的种子。</w:t>
      </w:r>
    </w:p>
    <w:p w14:paraId="49ECCBA2">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3、播种时间</w:t>
      </w:r>
    </w:p>
    <w:p w14:paraId="7712D97A">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柽柳</w:t>
      </w:r>
      <w:r>
        <w:rPr>
          <w:rFonts w:hint="eastAsia" w:ascii="宋体" w:hAnsi="宋体" w:eastAsia="宋体" w:cs="宋体"/>
          <w:color w:val="auto"/>
          <w:sz w:val="24"/>
          <w:szCs w:val="24"/>
          <w:highlight w:val="none"/>
        </w:rPr>
        <w:t>播种时间取决于土壤温度和水分条件。播种时间应着重考虑有利于种子发芽、幼苗成活。根据当地实际情况，播种时间可选择春季或秋季。春季播种一般选择在5月、地温稳定在10℃以上，地温初升土壤水分条件较好时进行播种。此时温度适宜，土壤墒情好，杂草长势弱，易于出苗、保全苗。秋播可选择10月进行播种，播种必须在第一场雪下雪前完成。</w:t>
      </w:r>
    </w:p>
    <w:p w14:paraId="098724BB">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4、播种方式</w:t>
      </w:r>
    </w:p>
    <w:p w14:paraId="1B56332D">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在表层土壤解冻2cm左右时，进行钉齿耙划破地表处理，随后利用机械和人工均匀播种。播种量为200g/亩。</w:t>
      </w:r>
    </w:p>
    <w:p w14:paraId="2EF26371">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坡度较大（≥25°）的地方采用人工播种，坡度较为平缓处采用机械播种，二者相结合。播种行距15-30厘米，播种深度2-3厘米。播种后再进行压实处理，能有效避免机械作业对原生植物及其根系的伤害。利用土壤解冻和种子重力所产生的向下牵引力并配合压实处理，使种子与土壤结合的更加紧密，有利于其萌发生根生长。能充分利用土壤中的墒情，节约用水、降低播种成本。</w:t>
      </w:r>
    </w:p>
    <w:p w14:paraId="6709DAF3">
      <w:pPr>
        <w:pStyle w:val="10"/>
        <w:tabs>
          <w:tab w:val="left" w:pos="0"/>
          <w:tab w:val="left" w:pos="2100"/>
        </w:tabs>
        <w:rPr>
          <w:rFonts w:hint="eastAsia" w:ascii="宋体" w:hAnsi="宋体" w:eastAsia="宋体" w:cs="宋体"/>
          <w:color w:val="auto"/>
          <w:sz w:val="24"/>
          <w:szCs w:val="24"/>
          <w:highlight w:val="none"/>
        </w:rPr>
      </w:pPr>
      <w:r>
        <w:rPr>
          <w:rFonts w:hint="eastAsia" w:ascii="宋体" w:hAnsi="宋体" w:eastAsia="宋体" w:cs="宋体"/>
          <w:i w:val="0"/>
          <w:iCs/>
          <w:color w:val="auto"/>
          <w:sz w:val="24"/>
          <w:szCs w:val="24"/>
          <w:highlight w:val="none"/>
          <w:lang w:val="en-US" w:eastAsia="zh-CN"/>
        </w:rPr>
        <w:t>2）</w:t>
      </w:r>
      <w:r>
        <w:rPr>
          <w:rFonts w:hint="eastAsia" w:ascii="宋体" w:hAnsi="宋体" w:eastAsia="宋体" w:cs="宋体"/>
          <w:i w:val="0"/>
          <w:iCs/>
          <w:color w:val="auto"/>
          <w:sz w:val="24"/>
          <w:szCs w:val="24"/>
          <w:highlight w:val="none"/>
        </w:rPr>
        <w:t>有害生物防治</w:t>
      </w:r>
    </w:p>
    <w:p w14:paraId="1FCA6FEA">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购置石硫合剂对柽柳进行化学防治，并通过加强人工喷洒和物力防除的方式进行柽柳有害生物防治。</w:t>
      </w:r>
    </w:p>
    <w:p w14:paraId="34EF1C82">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柽柳的病害主要是白粉病、枝枯病、锈病；鼠害主要是野兔、</w:t>
      </w:r>
      <w:r>
        <w:rPr>
          <w:rFonts w:hint="eastAsia" w:ascii="宋体" w:hAnsi="宋体" w:eastAsia="宋体" w:cs="宋体"/>
          <w:color w:val="auto"/>
          <w:sz w:val="24"/>
          <w:szCs w:val="24"/>
          <w:highlight w:val="none"/>
        </w:rPr>
        <w:t>大沙鼠</w:t>
      </w:r>
      <w:r>
        <w:rPr>
          <w:rFonts w:hint="eastAsia" w:ascii="宋体" w:hAnsi="宋体" w:eastAsia="宋体" w:cs="宋体"/>
          <w:color w:val="auto"/>
          <w:sz w:val="24"/>
          <w:szCs w:val="24"/>
          <w:highlight w:val="none"/>
          <w:lang w:eastAsia="zh-CN"/>
        </w:rPr>
        <w:t>。</w:t>
      </w:r>
    </w:p>
    <w:p w14:paraId="234769A0">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1.病害</w:t>
      </w:r>
    </w:p>
    <w:p w14:paraId="5947687F">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白粉病：清除侵染源。结合秋冬季修剪，去除带病枝和落叶，集中销毁。加强管理。适时增施磷、钾肥，通风透光。喷药防治。发芽前喷施5°Be石硫合剂，消灭越冬菌源；生长季用25%粉锈宁可湿性粉剂2000倍液、50%退菌特800倍液或25%多菌灵可湿性粉剂500倍液喷施，每15天喷1次，连喷2-3次。</w:t>
      </w:r>
    </w:p>
    <w:p w14:paraId="54A177F3">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枝枯病：加强栽培管理，提高抗病能力。药剂防治：50%代森铵或65%代森锌可湿性粉剂1000倍液、70%百菌清可湿性粉剂500倍液喷施，控制病害发展。</w:t>
      </w:r>
    </w:p>
    <w:p w14:paraId="5AC18B7C">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锈病：清除侵染源。结合修剪及时去除病枝、病叶等，集中销毁。药剂防治。休眠期喷施0.3%五氯酚钠混合1°Be石硫合剂；生长季喷25%粉锈宁可湿性粉剂2000倍液、65%代森锌可湿性粉剂500倍液。</w:t>
      </w:r>
    </w:p>
    <w:p w14:paraId="5FB493D6">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2.鼠害</w:t>
      </w:r>
    </w:p>
    <w:p w14:paraId="0F049E8D">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鼠害主要是</w:t>
      </w:r>
      <w:r>
        <w:rPr>
          <w:rFonts w:hint="eastAsia" w:ascii="宋体" w:hAnsi="宋体" w:eastAsia="宋体" w:cs="宋体"/>
          <w:color w:val="auto"/>
          <w:sz w:val="24"/>
          <w:szCs w:val="24"/>
          <w:highlight w:val="none"/>
          <w:lang w:val="en-US" w:eastAsia="zh-CN"/>
        </w:rPr>
        <w:t>野兔、</w:t>
      </w:r>
      <w:r>
        <w:rPr>
          <w:rFonts w:hint="eastAsia" w:ascii="宋体" w:hAnsi="宋体" w:eastAsia="宋体" w:cs="宋体"/>
          <w:color w:val="auto"/>
          <w:sz w:val="24"/>
          <w:szCs w:val="24"/>
          <w:highlight w:val="none"/>
        </w:rPr>
        <w:t>大沙鼠啃食</w:t>
      </w:r>
      <w:r>
        <w:rPr>
          <w:rFonts w:hint="eastAsia" w:ascii="宋体" w:hAnsi="宋体" w:eastAsia="宋体" w:cs="宋体"/>
          <w:color w:val="auto"/>
          <w:sz w:val="24"/>
          <w:szCs w:val="24"/>
          <w:highlight w:val="none"/>
          <w:lang w:eastAsia="zh-CN"/>
        </w:rPr>
        <w:t>柽柳</w:t>
      </w:r>
      <w:r>
        <w:rPr>
          <w:rFonts w:hint="eastAsia" w:ascii="宋体" w:hAnsi="宋体" w:eastAsia="宋体" w:cs="宋体"/>
          <w:color w:val="auto"/>
          <w:sz w:val="24"/>
          <w:szCs w:val="24"/>
          <w:highlight w:val="none"/>
        </w:rPr>
        <w:t>枝条、根系，应在入冬下雪前和翌年4月，用无二次中毒的灭鼠剂进行灭鼠，同时注意保护天敌。</w:t>
      </w:r>
    </w:p>
    <w:p w14:paraId="2D048F80">
      <w:pPr>
        <w:pStyle w:val="10"/>
        <w:bidi w:val="0"/>
        <w:rPr>
          <w:rFonts w:hint="eastAsia" w:ascii="宋体" w:hAnsi="宋体" w:eastAsia="宋体" w:cs="宋体"/>
          <w:color w:val="auto"/>
          <w:sz w:val="24"/>
          <w:szCs w:val="24"/>
          <w:highlight w:val="none"/>
          <w:lang w:val="en-US" w:eastAsia="zh-CN"/>
        </w:rPr>
      </w:pPr>
      <w:r>
        <w:rPr>
          <w:rFonts w:hint="eastAsia" w:ascii="宋体" w:hAnsi="宋体" w:eastAsia="宋体" w:cs="宋体"/>
          <w:i w:val="0"/>
          <w:iCs/>
          <w:color w:val="auto"/>
          <w:sz w:val="24"/>
          <w:szCs w:val="24"/>
          <w:highlight w:val="none"/>
          <w:lang w:val="en-US" w:eastAsia="zh-CN"/>
        </w:rPr>
        <w:t>3）林地清理</w:t>
      </w:r>
    </w:p>
    <w:p w14:paraId="455B2F47">
      <w:pPr>
        <w:spacing w:line="56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柽柳灌木林的</w:t>
      </w:r>
      <w:r>
        <w:rPr>
          <w:rFonts w:hint="eastAsia" w:ascii="宋体" w:hAnsi="宋体" w:eastAsia="宋体" w:cs="宋体"/>
          <w:color w:val="auto"/>
          <w:sz w:val="24"/>
          <w:szCs w:val="24"/>
          <w:highlight w:val="none"/>
          <w:lang w:eastAsia="zh-CN"/>
        </w:rPr>
        <w:t>林地清理主要清除</w:t>
      </w:r>
      <w:r>
        <w:rPr>
          <w:rFonts w:hint="eastAsia" w:ascii="宋体" w:hAnsi="宋体" w:eastAsia="宋体" w:cs="宋体"/>
          <w:color w:val="auto"/>
          <w:sz w:val="24"/>
          <w:szCs w:val="24"/>
          <w:highlight w:val="none"/>
          <w:lang w:val="en-US" w:eastAsia="zh-CN"/>
        </w:rPr>
        <w:t>平茬后修剪下来的枝条，以及</w:t>
      </w:r>
      <w:r>
        <w:rPr>
          <w:rFonts w:hint="eastAsia" w:ascii="宋体" w:hAnsi="宋体" w:eastAsia="宋体" w:cs="宋体"/>
          <w:color w:val="auto"/>
          <w:sz w:val="24"/>
          <w:szCs w:val="24"/>
          <w:highlight w:val="none"/>
          <w:lang w:eastAsia="zh-CN"/>
        </w:rPr>
        <w:t>林地内病虫害木，过密处生长不良的活立木、风折和风压后功能降低的林木和树冠下部已枯死或濒临枯死的枝条，减少虫源木。林地的枯枝、烂叶也应及时清理，减少病虫源。项目作业区内的病死木、少量树冠下部已枯死或濒临枯死的枝条，都需要及时清理。</w:t>
      </w:r>
    </w:p>
    <w:p w14:paraId="480CCD8C">
      <w:pPr>
        <w:spacing w:line="56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清理堆积物和杂物，‌确保森林区域干净整洁。</w:t>
      </w:r>
      <w:r>
        <w:rPr>
          <w:rFonts w:hint="eastAsia" w:ascii="宋体" w:hAnsi="宋体" w:eastAsia="宋体" w:cs="宋体"/>
          <w:color w:val="auto"/>
          <w:sz w:val="24"/>
          <w:szCs w:val="24"/>
          <w:highlight w:val="none"/>
          <w:lang w:val="en-US" w:eastAsia="zh-CN"/>
        </w:rPr>
        <w:t>通过林地清理</w:t>
      </w:r>
      <w:r>
        <w:rPr>
          <w:rFonts w:hint="eastAsia" w:ascii="宋体" w:hAnsi="宋体" w:eastAsia="宋体" w:cs="宋体"/>
          <w:color w:val="auto"/>
          <w:sz w:val="24"/>
          <w:szCs w:val="24"/>
          <w:highlight w:val="none"/>
          <w:lang w:eastAsia="zh-CN"/>
        </w:rPr>
        <w:t>不仅消除了林区森林火灾隐患，‌而且</w:t>
      </w:r>
      <w:r>
        <w:rPr>
          <w:rFonts w:hint="eastAsia" w:ascii="宋体" w:hAnsi="宋体" w:eastAsia="宋体" w:cs="宋体"/>
          <w:color w:val="auto"/>
          <w:sz w:val="24"/>
          <w:szCs w:val="24"/>
          <w:highlight w:val="none"/>
          <w:lang w:val="en-US" w:eastAsia="zh-CN"/>
        </w:rPr>
        <w:t>能够积极</w:t>
      </w:r>
      <w:r>
        <w:rPr>
          <w:rFonts w:hint="eastAsia" w:ascii="宋体" w:hAnsi="宋体" w:eastAsia="宋体" w:cs="宋体"/>
          <w:color w:val="auto"/>
          <w:sz w:val="24"/>
          <w:szCs w:val="24"/>
          <w:highlight w:val="none"/>
          <w:lang w:eastAsia="zh-CN"/>
        </w:rPr>
        <w:t>改善林区内卫生状况、‌促进森林更新和控制病虫害。‌</w:t>
      </w:r>
    </w:p>
    <w:p w14:paraId="2B5D7353">
      <w:pPr>
        <w:pStyle w:val="10"/>
        <w:rPr>
          <w:rFonts w:hint="eastAsia" w:ascii="宋体" w:hAnsi="宋体" w:eastAsia="宋体" w:cs="宋体"/>
          <w:color w:val="auto"/>
          <w:sz w:val="24"/>
          <w:szCs w:val="24"/>
          <w:highlight w:val="none"/>
        </w:rPr>
      </w:pPr>
      <w:r>
        <w:rPr>
          <w:rFonts w:hint="eastAsia" w:ascii="宋体" w:hAnsi="宋体" w:eastAsia="宋体" w:cs="宋体"/>
          <w:i w:val="0"/>
          <w:iCs/>
          <w:color w:val="auto"/>
          <w:sz w:val="24"/>
          <w:szCs w:val="24"/>
          <w:highlight w:val="none"/>
          <w:lang w:val="en-US" w:eastAsia="zh-CN"/>
        </w:rPr>
        <w:t>4）引水渠和拦洪坝</w:t>
      </w:r>
    </w:p>
    <w:p w14:paraId="490291BB">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柽柳整个生长季节灌水次数视土壤墒情而定，秋冬灌足冬水，保障土壤墒情。以后可视土壤含水量进行灌溉，柽柳林前期一般15天～20天灌水1次，连续灌水3次，一般全年灌水3次。</w:t>
      </w:r>
    </w:p>
    <w:p w14:paraId="7BC5E37B">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为保障柽柳正常灌水，需要修建临时拦洪坝，并将已有的引水渠进行修缮清淤，以达到正常引水灌溉的作用。</w:t>
      </w:r>
    </w:p>
    <w:p w14:paraId="1459F9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引水渠建设布局表</w:t>
      </w:r>
    </w:p>
    <w:tbl>
      <w:tblPr>
        <w:tblStyle w:val="7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3"/>
        <w:gridCol w:w="2079"/>
        <w:gridCol w:w="2079"/>
        <w:gridCol w:w="1367"/>
        <w:gridCol w:w="1541"/>
      </w:tblGrid>
      <w:tr w14:paraId="48B52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A2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2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73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长度（公里）</w:t>
            </w:r>
          </w:p>
        </w:tc>
        <w:tc>
          <w:tcPr>
            <w:tcW w:w="12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68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乡名</w:t>
            </w:r>
          </w:p>
        </w:tc>
        <w:tc>
          <w:tcPr>
            <w:tcW w:w="17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3D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坐标</w:t>
            </w:r>
          </w:p>
        </w:tc>
      </w:tr>
      <w:tr w14:paraId="79CE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E8A8">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1141">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44DE">
            <w:pPr>
              <w:jc w:val="center"/>
              <w:rPr>
                <w:rFonts w:hint="eastAsia" w:ascii="宋体" w:hAnsi="宋体" w:eastAsia="宋体" w:cs="宋体"/>
                <w:i w:val="0"/>
                <w:iCs w:val="0"/>
                <w:color w:val="auto"/>
                <w:sz w:val="24"/>
                <w:szCs w:val="24"/>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6F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x</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53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w:t>
            </w:r>
          </w:p>
        </w:tc>
      </w:tr>
      <w:tr w14:paraId="091A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3C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7C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30.6</w:t>
            </w:r>
          </w:p>
        </w:tc>
        <w:tc>
          <w:tcPr>
            <w:tcW w:w="1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2B3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AB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591292</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3A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4256559</w:t>
            </w:r>
          </w:p>
        </w:tc>
      </w:tr>
      <w:tr w14:paraId="2FA3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F7AF">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2D3A">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F1626">
            <w:pPr>
              <w:jc w:val="center"/>
              <w:rPr>
                <w:rFonts w:hint="eastAsia" w:ascii="宋体" w:hAnsi="宋体" w:eastAsia="宋体" w:cs="宋体"/>
                <w:i w:val="0"/>
                <w:iCs w:val="0"/>
                <w:color w:val="auto"/>
                <w:sz w:val="24"/>
                <w:szCs w:val="24"/>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82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589491</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3F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4256164</w:t>
            </w:r>
          </w:p>
        </w:tc>
      </w:tr>
      <w:tr w14:paraId="7C698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5E48">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26E0">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043DF">
            <w:pPr>
              <w:jc w:val="center"/>
              <w:rPr>
                <w:rFonts w:hint="eastAsia" w:ascii="宋体" w:hAnsi="宋体" w:eastAsia="宋体" w:cs="宋体"/>
                <w:i w:val="0"/>
                <w:iCs w:val="0"/>
                <w:color w:val="auto"/>
                <w:sz w:val="24"/>
                <w:szCs w:val="24"/>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BE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587868</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38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4254693</w:t>
            </w:r>
          </w:p>
        </w:tc>
      </w:tr>
      <w:tr w14:paraId="3C82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02CB">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DB50">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54EF7">
            <w:pPr>
              <w:jc w:val="center"/>
              <w:rPr>
                <w:rFonts w:hint="eastAsia" w:ascii="宋体" w:hAnsi="宋体" w:eastAsia="宋体" w:cs="宋体"/>
                <w:i w:val="0"/>
                <w:iCs w:val="0"/>
                <w:color w:val="auto"/>
                <w:sz w:val="24"/>
                <w:szCs w:val="24"/>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65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584829</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47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4253145</w:t>
            </w:r>
          </w:p>
        </w:tc>
      </w:tr>
      <w:tr w14:paraId="30D74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17F0">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19C1">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02109">
            <w:pPr>
              <w:jc w:val="center"/>
              <w:rPr>
                <w:rFonts w:hint="eastAsia" w:ascii="宋体" w:hAnsi="宋体" w:eastAsia="宋体" w:cs="宋体"/>
                <w:i w:val="0"/>
                <w:iCs w:val="0"/>
                <w:color w:val="auto"/>
                <w:sz w:val="24"/>
                <w:szCs w:val="24"/>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6C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582877</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C1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4253545</w:t>
            </w:r>
          </w:p>
        </w:tc>
      </w:tr>
      <w:tr w14:paraId="0C118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9B10">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1CD8">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BC384">
            <w:pPr>
              <w:jc w:val="center"/>
              <w:rPr>
                <w:rFonts w:hint="eastAsia" w:ascii="宋体" w:hAnsi="宋体" w:eastAsia="宋体" w:cs="宋体"/>
                <w:i w:val="0"/>
                <w:iCs w:val="0"/>
                <w:color w:val="auto"/>
                <w:sz w:val="24"/>
                <w:szCs w:val="24"/>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0C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581193</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0A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4251339</w:t>
            </w:r>
          </w:p>
        </w:tc>
      </w:tr>
      <w:tr w14:paraId="52F5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BB9D">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43B8">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26F04">
            <w:pPr>
              <w:jc w:val="center"/>
              <w:rPr>
                <w:rFonts w:hint="eastAsia" w:ascii="宋体" w:hAnsi="宋体" w:eastAsia="宋体" w:cs="宋体"/>
                <w:i w:val="0"/>
                <w:iCs w:val="0"/>
                <w:color w:val="auto"/>
                <w:sz w:val="24"/>
                <w:szCs w:val="24"/>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BD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579886</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C2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4248588</w:t>
            </w:r>
          </w:p>
        </w:tc>
      </w:tr>
      <w:tr w14:paraId="33AD5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D488">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D0EF">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CB5B1">
            <w:pPr>
              <w:jc w:val="center"/>
              <w:rPr>
                <w:rFonts w:hint="eastAsia" w:ascii="宋体" w:hAnsi="宋体" w:eastAsia="宋体" w:cs="宋体"/>
                <w:i w:val="0"/>
                <w:iCs w:val="0"/>
                <w:color w:val="auto"/>
                <w:sz w:val="24"/>
                <w:szCs w:val="24"/>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B8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578781</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53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4247525</w:t>
            </w:r>
          </w:p>
        </w:tc>
      </w:tr>
      <w:tr w14:paraId="153B2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E805">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C75C">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349FA">
            <w:pPr>
              <w:jc w:val="center"/>
              <w:rPr>
                <w:rFonts w:hint="eastAsia" w:ascii="宋体" w:hAnsi="宋体" w:eastAsia="宋体" w:cs="宋体"/>
                <w:i w:val="0"/>
                <w:iCs w:val="0"/>
                <w:color w:val="auto"/>
                <w:sz w:val="24"/>
                <w:szCs w:val="24"/>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4A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576509</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0B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4246038</w:t>
            </w:r>
          </w:p>
        </w:tc>
      </w:tr>
      <w:tr w14:paraId="03EAA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0105">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114E">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E7FCA">
            <w:pPr>
              <w:jc w:val="center"/>
              <w:rPr>
                <w:rFonts w:hint="eastAsia" w:ascii="宋体" w:hAnsi="宋体" w:eastAsia="宋体" w:cs="宋体"/>
                <w:i w:val="0"/>
                <w:iCs w:val="0"/>
                <w:color w:val="auto"/>
                <w:sz w:val="24"/>
                <w:szCs w:val="24"/>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2D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574858</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FC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4246320</w:t>
            </w:r>
          </w:p>
        </w:tc>
      </w:tr>
      <w:tr w14:paraId="2E1D3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DD1B">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0ED2">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46E9C">
            <w:pPr>
              <w:jc w:val="center"/>
              <w:rPr>
                <w:rFonts w:hint="eastAsia" w:ascii="宋体" w:hAnsi="宋体" w:eastAsia="宋体" w:cs="宋体"/>
                <w:i w:val="0"/>
                <w:iCs w:val="0"/>
                <w:color w:val="auto"/>
                <w:sz w:val="24"/>
                <w:szCs w:val="24"/>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F8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572756</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85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4245790</w:t>
            </w:r>
          </w:p>
        </w:tc>
      </w:tr>
      <w:tr w14:paraId="1255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386D">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1116">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DE81B">
            <w:pPr>
              <w:jc w:val="center"/>
              <w:rPr>
                <w:rFonts w:hint="eastAsia" w:ascii="宋体" w:hAnsi="宋体" w:eastAsia="宋体" w:cs="宋体"/>
                <w:i w:val="0"/>
                <w:iCs w:val="0"/>
                <w:color w:val="auto"/>
                <w:sz w:val="24"/>
                <w:szCs w:val="24"/>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7F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572039</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F3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4243592</w:t>
            </w:r>
          </w:p>
        </w:tc>
      </w:tr>
      <w:tr w14:paraId="2396E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02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04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1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734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FB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582877</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2D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4253545</w:t>
            </w:r>
          </w:p>
        </w:tc>
      </w:tr>
      <w:tr w14:paraId="190B8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6D70">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85E8">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D5868">
            <w:pPr>
              <w:jc w:val="center"/>
              <w:rPr>
                <w:rFonts w:hint="eastAsia" w:ascii="宋体" w:hAnsi="宋体" w:eastAsia="宋体" w:cs="宋体"/>
                <w:i w:val="0"/>
                <w:iCs w:val="0"/>
                <w:color w:val="auto"/>
                <w:sz w:val="24"/>
                <w:szCs w:val="24"/>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1B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585556</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E0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4255206</w:t>
            </w:r>
          </w:p>
        </w:tc>
      </w:tr>
      <w:tr w14:paraId="0FF48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775F">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3A57">
            <w:pPr>
              <w:jc w:val="center"/>
              <w:rPr>
                <w:rFonts w:hint="eastAsia" w:ascii="宋体" w:hAnsi="宋体" w:eastAsia="宋体" w:cs="宋体"/>
                <w:i w:val="0"/>
                <w:iCs w:val="0"/>
                <w:color w:val="auto"/>
                <w:sz w:val="24"/>
                <w:szCs w:val="24"/>
                <w:highlight w:val="none"/>
                <w:u w:val="none"/>
              </w:rPr>
            </w:pPr>
          </w:p>
        </w:tc>
        <w:tc>
          <w:tcPr>
            <w:tcW w:w="1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7E29E">
            <w:pPr>
              <w:jc w:val="center"/>
              <w:rPr>
                <w:rFonts w:hint="eastAsia" w:ascii="宋体" w:hAnsi="宋体" w:eastAsia="宋体" w:cs="宋体"/>
                <w:i w:val="0"/>
                <w:iCs w:val="0"/>
                <w:color w:val="auto"/>
                <w:sz w:val="24"/>
                <w:szCs w:val="24"/>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C5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589968</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38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4258471</w:t>
            </w:r>
          </w:p>
        </w:tc>
      </w:tr>
    </w:tbl>
    <w:p w14:paraId="73C4D3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拦洪坝建设布局表</w:t>
      </w:r>
    </w:p>
    <w:tbl>
      <w:tblPr>
        <w:tblStyle w:val="7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1"/>
        <w:gridCol w:w="1718"/>
        <w:gridCol w:w="2206"/>
        <w:gridCol w:w="1440"/>
        <w:gridCol w:w="1625"/>
      </w:tblGrid>
      <w:tr w14:paraId="18D31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EA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5F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长度（公里）</w:t>
            </w:r>
          </w:p>
        </w:tc>
        <w:tc>
          <w:tcPr>
            <w:tcW w:w="13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FE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乡名</w:t>
            </w:r>
          </w:p>
        </w:tc>
        <w:tc>
          <w:tcPr>
            <w:tcW w:w="18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C8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起始点坐标</w:t>
            </w:r>
          </w:p>
        </w:tc>
      </w:tr>
      <w:tr w14:paraId="7C55E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DE92">
            <w:pPr>
              <w:jc w:val="center"/>
              <w:rPr>
                <w:rFonts w:hint="eastAsia" w:ascii="宋体" w:hAnsi="宋体" w:eastAsia="宋体" w:cs="宋体"/>
                <w:i w:val="0"/>
                <w:iCs w:val="0"/>
                <w:color w:val="auto"/>
                <w:sz w:val="24"/>
                <w:szCs w:val="24"/>
                <w:highlight w:val="none"/>
                <w:u w:val="none"/>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A6AB">
            <w:pPr>
              <w:jc w:val="center"/>
              <w:rPr>
                <w:rFonts w:hint="eastAsia" w:ascii="宋体" w:hAnsi="宋体" w:eastAsia="宋体" w:cs="宋体"/>
                <w:i w:val="0"/>
                <w:iCs w:val="0"/>
                <w:color w:val="auto"/>
                <w:sz w:val="24"/>
                <w:szCs w:val="24"/>
                <w:highlight w:val="none"/>
                <w:u w:val="none"/>
              </w:rPr>
            </w:pPr>
          </w:p>
        </w:tc>
        <w:tc>
          <w:tcPr>
            <w:tcW w:w="1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59FA">
            <w:pPr>
              <w:jc w:val="center"/>
              <w:rPr>
                <w:rFonts w:hint="eastAsia" w:ascii="宋体" w:hAnsi="宋体" w:eastAsia="宋体" w:cs="宋体"/>
                <w:i w:val="0"/>
                <w:iCs w:val="0"/>
                <w:color w:val="auto"/>
                <w:sz w:val="24"/>
                <w:szCs w:val="24"/>
                <w:highlight w:val="none"/>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EA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x</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2F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w:t>
            </w:r>
          </w:p>
        </w:tc>
      </w:tr>
      <w:tr w14:paraId="4F749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91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BC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71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5E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589382</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63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4257679</w:t>
            </w:r>
          </w:p>
        </w:tc>
      </w:tr>
      <w:tr w14:paraId="00EEA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740C">
            <w:pPr>
              <w:jc w:val="center"/>
              <w:rPr>
                <w:rFonts w:hint="eastAsia" w:ascii="宋体" w:hAnsi="宋体" w:eastAsia="宋体" w:cs="宋体"/>
                <w:i w:val="0"/>
                <w:iCs w:val="0"/>
                <w:color w:val="auto"/>
                <w:sz w:val="24"/>
                <w:szCs w:val="24"/>
                <w:highlight w:val="none"/>
                <w:u w:val="none"/>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AD19">
            <w:pPr>
              <w:jc w:val="center"/>
              <w:rPr>
                <w:rFonts w:hint="eastAsia" w:ascii="宋体" w:hAnsi="宋体" w:eastAsia="宋体" w:cs="宋体"/>
                <w:i w:val="0"/>
                <w:iCs w:val="0"/>
                <w:color w:val="auto"/>
                <w:sz w:val="24"/>
                <w:szCs w:val="24"/>
                <w:highlight w:val="none"/>
                <w:u w:val="none"/>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1E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C1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589657</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E5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4259177</w:t>
            </w:r>
          </w:p>
        </w:tc>
      </w:tr>
      <w:tr w14:paraId="17395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31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D2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w:t>
            </w: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08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FD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591628</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31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4257357</w:t>
            </w:r>
          </w:p>
        </w:tc>
      </w:tr>
      <w:tr w14:paraId="032CD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9424">
            <w:pPr>
              <w:jc w:val="center"/>
              <w:rPr>
                <w:rFonts w:hint="eastAsia" w:ascii="宋体" w:hAnsi="宋体" w:eastAsia="宋体" w:cs="宋体"/>
                <w:i w:val="0"/>
                <w:iCs w:val="0"/>
                <w:color w:val="auto"/>
                <w:sz w:val="24"/>
                <w:szCs w:val="24"/>
                <w:highlight w:val="none"/>
                <w:u w:val="none"/>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4C0D">
            <w:pPr>
              <w:jc w:val="center"/>
              <w:rPr>
                <w:rFonts w:hint="eastAsia" w:ascii="宋体" w:hAnsi="宋体" w:eastAsia="宋体" w:cs="宋体"/>
                <w:i w:val="0"/>
                <w:iCs w:val="0"/>
                <w:color w:val="auto"/>
                <w:sz w:val="24"/>
                <w:szCs w:val="24"/>
                <w:highlight w:val="none"/>
                <w:u w:val="none"/>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39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75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591111</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07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4257389</w:t>
            </w:r>
          </w:p>
        </w:tc>
      </w:tr>
      <w:tr w14:paraId="05B08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27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D8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w:t>
            </w: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B1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30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591129</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57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4257945</w:t>
            </w:r>
          </w:p>
        </w:tc>
      </w:tr>
      <w:tr w14:paraId="48502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307D">
            <w:pPr>
              <w:jc w:val="center"/>
              <w:rPr>
                <w:rFonts w:hint="eastAsia" w:ascii="宋体" w:hAnsi="宋体" w:eastAsia="宋体" w:cs="宋体"/>
                <w:i w:val="0"/>
                <w:iCs w:val="0"/>
                <w:color w:val="auto"/>
                <w:sz w:val="24"/>
                <w:szCs w:val="24"/>
                <w:highlight w:val="none"/>
                <w:u w:val="none"/>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C60A">
            <w:pPr>
              <w:jc w:val="center"/>
              <w:rPr>
                <w:rFonts w:hint="eastAsia" w:ascii="宋体" w:hAnsi="宋体" w:eastAsia="宋体" w:cs="宋体"/>
                <w:i w:val="0"/>
                <w:iCs w:val="0"/>
                <w:color w:val="auto"/>
                <w:sz w:val="24"/>
                <w:szCs w:val="24"/>
                <w:highlight w:val="none"/>
                <w:u w:val="none"/>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3F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8F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591561</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0A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4257950</w:t>
            </w:r>
          </w:p>
        </w:tc>
      </w:tr>
      <w:tr w14:paraId="34B8C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E1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31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w:t>
            </w: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E2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CC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590349</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00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4259114</w:t>
            </w:r>
          </w:p>
        </w:tc>
      </w:tr>
      <w:tr w14:paraId="37633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986B">
            <w:pPr>
              <w:jc w:val="center"/>
              <w:rPr>
                <w:rFonts w:hint="eastAsia" w:ascii="宋体" w:hAnsi="宋体" w:eastAsia="宋体" w:cs="宋体"/>
                <w:i w:val="0"/>
                <w:iCs w:val="0"/>
                <w:color w:val="auto"/>
                <w:sz w:val="24"/>
                <w:szCs w:val="24"/>
                <w:highlight w:val="none"/>
                <w:u w:val="none"/>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8437">
            <w:pPr>
              <w:jc w:val="center"/>
              <w:rPr>
                <w:rFonts w:hint="eastAsia" w:ascii="宋体" w:hAnsi="宋体" w:eastAsia="宋体" w:cs="宋体"/>
                <w:i w:val="0"/>
                <w:iCs w:val="0"/>
                <w:color w:val="auto"/>
                <w:sz w:val="24"/>
                <w:szCs w:val="24"/>
                <w:highlight w:val="none"/>
                <w:u w:val="none"/>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5E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CC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590632</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98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4258936</w:t>
            </w:r>
          </w:p>
        </w:tc>
      </w:tr>
      <w:tr w14:paraId="376CD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5C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34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w:t>
            </w: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A6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C8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588226</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CA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4260923</w:t>
            </w:r>
          </w:p>
        </w:tc>
      </w:tr>
      <w:tr w14:paraId="6016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2F4A">
            <w:pPr>
              <w:jc w:val="center"/>
              <w:rPr>
                <w:rFonts w:hint="eastAsia" w:ascii="宋体" w:hAnsi="宋体" w:eastAsia="宋体" w:cs="宋体"/>
                <w:i w:val="0"/>
                <w:iCs w:val="0"/>
                <w:color w:val="auto"/>
                <w:sz w:val="24"/>
                <w:szCs w:val="24"/>
                <w:highlight w:val="none"/>
                <w:u w:val="none"/>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8C46">
            <w:pPr>
              <w:jc w:val="center"/>
              <w:rPr>
                <w:rFonts w:hint="eastAsia" w:ascii="宋体" w:hAnsi="宋体" w:eastAsia="宋体" w:cs="宋体"/>
                <w:i w:val="0"/>
                <w:iCs w:val="0"/>
                <w:color w:val="auto"/>
                <w:sz w:val="24"/>
                <w:szCs w:val="24"/>
                <w:highlight w:val="none"/>
                <w:u w:val="none"/>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08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28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588459</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C0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4261055</w:t>
            </w:r>
          </w:p>
        </w:tc>
      </w:tr>
      <w:tr w14:paraId="6D493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D7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7A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w:t>
            </w: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92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1D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591132</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CB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4262079</w:t>
            </w:r>
          </w:p>
        </w:tc>
      </w:tr>
      <w:tr w14:paraId="7848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8321">
            <w:pPr>
              <w:jc w:val="center"/>
              <w:rPr>
                <w:rFonts w:hint="eastAsia" w:ascii="宋体" w:hAnsi="宋体" w:eastAsia="宋体" w:cs="宋体"/>
                <w:i w:val="0"/>
                <w:iCs w:val="0"/>
                <w:color w:val="auto"/>
                <w:sz w:val="24"/>
                <w:szCs w:val="24"/>
                <w:highlight w:val="none"/>
                <w:u w:val="none"/>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D403">
            <w:pPr>
              <w:jc w:val="center"/>
              <w:rPr>
                <w:rFonts w:hint="eastAsia" w:ascii="宋体" w:hAnsi="宋体" w:eastAsia="宋体" w:cs="宋体"/>
                <w:i w:val="0"/>
                <w:iCs w:val="0"/>
                <w:color w:val="auto"/>
                <w:sz w:val="24"/>
                <w:szCs w:val="24"/>
                <w:highlight w:val="none"/>
                <w:u w:val="none"/>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15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0C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591241</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59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4261947</w:t>
            </w:r>
          </w:p>
        </w:tc>
      </w:tr>
      <w:tr w14:paraId="2BDD6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D4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F5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w:t>
            </w: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84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2A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591651</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A0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4261734</w:t>
            </w:r>
          </w:p>
        </w:tc>
      </w:tr>
      <w:tr w14:paraId="0BE4E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CA65">
            <w:pPr>
              <w:jc w:val="center"/>
              <w:rPr>
                <w:rFonts w:hint="eastAsia" w:ascii="宋体" w:hAnsi="宋体" w:eastAsia="宋体" w:cs="宋体"/>
                <w:i w:val="0"/>
                <w:iCs w:val="0"/>
                <w:color w:val="auto"/>
                <w:sz w:val="24"/>
                <w:szCs w:val="24"/>
                <w:highlight w:val="none"/>
                <w:u w:val="none"/>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91DB">
            <w:pPr>
              <w:jc w:val="center"/>
              <w:rPr>
                <w:rFonts w:hint="eastAsia" w:ascii="宋体" w:hAnsi="宋体" w:eastAsia="宋体" w:cs="宋体"/>
                <w:i w:val="0"/>
                <w:iCs w:val="0"/>
                <w:color w:val="auto"/>
                <w:sz w:val="24"/>
                <w:szCs w:val="24"/>
                <w:highlight w:val="none"/>
                <w:u w:val="none"/>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FB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7F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591756</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FC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4261377</w:t>
            </w:r>
          </w:p>
        </w:tc>
      </w:tr>
      <w:tr w14:paraId="6CE0F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3A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2F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w:t>
            </w: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96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C8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592616</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38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4261558</w:t>
            </w:r>
          </w:p>
        </w:tc>
      </w:tr>
      <w:tr w14:paraId="2476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0058">
            <w:pPr>
              <w:jc w:val="center"/>
              <w:rPr>
                <w:rFonts w:hint="eastAsia" w:ascii="宋体" w:hAnsi="宋体" w:eastAsia="宋体" w:cs="宋体"/>
                <w:i w:val="0"/>
                <w:iCs w:val="0"/>
                <w:color w:val="auto"/>
                <w:sz w:val="24"/>
                <w:szCs w:val="24"/>
                <w:highlight w:val="none"/>
                <w:u w:val="none"/>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49BA">
            <w:pPr>
              <w:jc w:val="center"/>
              <w:rPr>
                <w:rFonts w:hint="eastAsia" w:ascii="宋体" w:hAnsi="宋体" w:eastAsia="宋体" w:cs="宋体"/>
                <w:i w:val="0"/>
                <w:iCs w:val="0"/>
                <w:color w:val="auto"/>
                <w:sz w:val="24"/>
                <w:szCs w:val="24"/>
                <w:highlight w:val="none"/>
                <w:u w:val="none"/>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88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A5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592548</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38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4261285</w:t>
            </w:r>
          </w:p>
        </w:tc>
      </w:tr>
      <w:tr w14:paraId="29349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57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42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w:t>
            </w: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91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1B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593575</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F1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4261361</w:t>
            </w:r>
          </w:p>
        </w:tc>
      </w:tr>
      <w:tr w14:paraId="3EA09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BE21">
            <w:pPr>
              <w:jc w:val="center"/>
              <w:rPr>
                <w:rFonts w:hint="eastAsia" w:ascii="宋体" w:hAnsi="宋体" w:eastAsia="宋体" w:cs="宋体"/>
                <w:i w:val="0"/>
                <w:iCs w:val="0"/>
                <w:color w:val="auto"/>
                <w:sz w:val="24"/>
                <w:szCs w:val="24"/>
                <w:highlight w:val="none"/>
                <w:u w:val="none"/>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26E5">
            <w:pPr>
              <w:jc w:val="center"/>
              <w:rPr>
                <w:rFonts w:hint="eastAsia" w:ascii="宋体" w:hAnsi="宋体" w:eastAsia="宋体" w:cs="宋体"/>
                <w:i w:val="0"/>
                <w:iCs w:val="0"/>
                <w:color w:val="auto"/>
                <w:sz w:val="24"/>
                <w:szCs w:val="24"/>
                <w:highlight w:val="none"/>
                <w:u w:val="none"/>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4E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B8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593569</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BA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4261098</w:t>
            </w:r>
          </w:p>
        </w:tc>
      </w:tr>
      <w:tr w14:paraId="34FFA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38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D0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0.4</w:t>
            </w: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3F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7C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594319</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9D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4261494</w:t>
            </w:r>
          </w:p>
        </w:tc>
      </w:tr>
      <w:tr w14:paraId="3B557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91A1">
            <w:pPr>
              <w:jc w:val="center"/>
              <w:rPr>
                <w:rFonts w:hint="eastAsia" w:ascii="宋体" w:hAnsi="宋体" w:eastAsia="宋体" w:cs="宋体"/>
                <w:i w:val="0"/>
                <w:iCs w:val="0"/>
                <w:color w:val="auto"/>
                <w:sz w:val="24"/>
                <w:szCs w:val="24"/>
                <w:highlight w:val="none"/>
                <w:u w:val="none"/>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8E78">
            <w:pPr>
              <w:jc w:val="center"/>
              <w:rPr>
                <w:rFonts w:hint="eastAsia" w:ascii="宋体" w:hAnsi="宋体" w:eastAsia="宋体" w:cs="宋体"/>
                <w:i w:val="0"/>
                <w:iCs w:val="0"/>
                <w:color w:val="auto"/>
                <w:sz w:val="24"/>
                <w:szCs w:val="24"/>
                <w:highlight w:val="none"/>
                <w:u w:val="none"/>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79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FA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594466</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66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4261073</w:t>
            </w:r>
          </w:p>
        </w:tc>
      </w:tr>
      <w:tr w14:paraId="20E5E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75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41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w:t>
            </w: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98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30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589590</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1C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4260984</w:t>
            </w:r>
          </w:p>
        </w:tc>
      </w:tr>
      <w:tr w14:paraId="134D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0D59">
            <w:pPr>
              <w:jc w:val="center"/>
              <w:rPr>
                <w:rFonts w:hint="eastAsia" w:ascii="宋体" w:hAnsi="宋体" w:eastAsia="宋体" w:cs="宋体"/>
                <w:i w:val="0"/>
                <w:iCs w:val="0"/>
                <w:color w:val="auto"/>
                <w:sz w:val="24"/>
                <w:szCs w:val="24"/>
                <w:highlight w:val="none"/>
                <w:u w:val="none"/>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91F3">
            <w:pPr>
              <w:jc w:val="center"/>
              <w:rPr>
                <w:rFonts w:hint="eastAsia" w:ascii="宋体" w:hAnsi="宋体" w:eastAsia="宋体" w:cs="宋体"/>
                <w:i w:val="0"/>
                <w:iCs w:val="0"/>
                <w:color w:val="auto"/>
                <w:sz w:val="24"/>
                <w:szCs w:val="24"/>
                <w:highlight w:val="none"/>
                <w:u w:val="none"/>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54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7E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589798</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5B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4260822</w:t>
            </w:r>
          </w:p>
        </w:tc>
      </w:tr>
      <w:tr w14:paraId="1B565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75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E7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0.3</w:t>
            </w: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00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1B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589958</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DC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4261597</w:t>
            </w:r>
          </w:p>
        </w:tc>
      </w:tr>
      <w:tr w14:paraId="42D7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EB70">
            <w:pPr>
              <w:jc w:val="center"/>
              <w:rPr>
                <w:rFonts w:hint="eastAsia" w:ascii="宋体" w:hAnsi="宋体" w:eastAsia="宋体" w:cs="宋体"/>
                <w:i w:val="0"/>
                <w:iCs w:val="0"/>
                <w:color w:val="auto"/>
                <w:sz w:val="24"/>
                <w:szCs w:val="24"/>
                <w:highlight w:val="none"/>
                <w:u w:val="none"/>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5813">
            <w:pPr>
              <w:jc w:val="center"/>
              <w:rPr>
                <w:rFonts w:hint="eastAsia" w:ascii="宋体" w:hAnsi="宋体" w:eastAsia="宋体" w:cs="宋体"/>
                <w:i w:val="0"/>
                <w:iCs w:val="0"/>
                <w:color w:val="auto"/>
                <w:sz w:val="24"/>
                <w:szCs w:val="24"/>
                <w:highlight w:val="none"/>
                <w:u w:val="none"/>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FD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达里雅布依乡</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C2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590213</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61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4261403</w:t>
            </w:r>
          </w:p>
        </w:tc>
      </w:tr>
    </w:tbl>
    <w:p w14:paraId="51EA1A41">
      <w:pPr>
        <w:spacing w:line="560" w:lineRule="exact"/>
        <w:ind w:firstLine="360" w:firstLineChars="150"/>
        <w:rPr>
          <w:rFonts w:hint="eastAsia" w:ascii="宋体" w:hAnsi="宋体" w:eastAsia="宋体" w:cs="宋体"/>
          <w:color w:val="auto"/>
          <w:sz w:val="24"/>
          <w:szCs w:val="24"/>
          <w:highlight w:val="none"/>
          <w:lang w:val="en-US" w:eastAsia="zh-CN"/>
        </w:rPr>
      </w:pPr>
    </w:p>
    <w:p w14:paraId="56A16691">
      <w:pPr>
        <w:pStyle w:val="8"/>
        <w:numPr>
          <w:ilvl w:val="3"/>
          <w:numId w:val="0"/>
        </w:numPr>
        <w:tabs>
          <w:tab w:val="clear" w:pos="425"/>
          <w:tab w:val="clear" w:pos="1751"/>
        </w:tabs>
        <w:bidi w:val="0"/>
        <w:ind w:left="120" w:leftChars="0" w:right="62" w:rightChars="0" w:hanging="120" w:hangingChars="50"/>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中幼林抚育</w:t>
      </w:r>
    </w:p>
    <w:p w14:paraId="16906BE8">
      <w:pPr>
        <w:pStyle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①修枝</w:t>
      </w:r>
    </w:p>
    <w:p w14:paraId="7D28CCBB">
      <w:pPr>
        <w:spacing w:line="56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在树干的高度、粗度、部位均达到理想之后，可以将下面的侧枝一次修除。用快刀或锯在侧枝的基部(不留残桩)一次全部修除。有条件的，伤口可用石硫合剂(或腊)涂抹，以防病虫感染和利于伤口愈合。</w:t>
      </w:r>
    </w:p>
    <w:p w14:paraId="035DF77F">
      <w:pPr>
        <w:pStyle w:val="9"/>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②有害生物防治</w:t>
      </w:r>
    </w:p>
    <w:p w14:paraId="5DE6233B">
      <w:pPr>
        <w:pStyle w:val="10"/>
        <w:bidi w:val="0"/>
        <w:rPr>
          <w:rFonts w:hint="eastAsia" w:ascii="宋体" w:hAnsi="宋体" w:eastAsia="宋体" w:cs="宋体"/>
          <w:color w:val="auto"/>
          <w:sz w:val="24"/>
          <w:szCs w:val="24"/>
          <w:highlight w:val="none"/>
          <w:lang w:val="en-US" w:eastAsia="zh-CN"/>
        </w:rPr>
      </w:pPr>
      <w:r>
        <w:rPr>
          <w:rFonts w:hint="eastAsia" w:ascii="宋体" w:hAnsi="宋体" w:eastAsia="宋体" w:cs="宋体"/>
          <w:i w:val="0"/>
          <w:iCs/>
          <w:color w:val="auto"/>
          <w:sz w:val="24"/>
          <w:szCs w:val="24"/>
          <w:highlight w:val="none"/>
          <w:lang w:val="en-US" w:eastAsia="zh-CN"/>
        </w:rPr>
        <w:t>1）法国梧桐</w:t>
      </w:r>
    </w:p>
    <w:p w14:paraId="11803047">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（1）病害</w:t>
      </w:r>
    </w:p>
    <w:p w14:paraId="4E4652D7">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白粉病：防治重点应放在春季，在发病初期控制住病情。开春新叶萌发后，在完成冬季休眠期修剪后普遍喷1次5°Be石硫合剂，展叶初期喷施代森锰锌预防；发病后可用25%粉锈宁1000-1500倍液或70%甲基托布津800-1200倍液喷雾，每隔10-15天1次，连续2-3次，能有效地控制该病的发生与蔓延。</w:t>
      </w:r>
    </w:p>
    <w:p w14:paraId="1C679A79">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紫纹羽病：防治要拾净菌丝块，在病穴内或病株周围灌浇，五氯酚钠或代森铵等药剂消毒。</w:t>
      </w:r>
    </w:p>
    <w:p w14:paraId="3D3E7D79">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（2）虫害</w:t>
      </w:r>
    </w:p>
    <w:p w14:paraId="798A85D8">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1）食叶性害虫防治措施</w:t>
      </w:r>
    </w:p>
    <w:p w14:paraId="5E629E27">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黄刺蛾、丽绿刺蛾、中国绿刺蛾老熟幼虫在树干、树杈处结茧越冬习性，可结合冬春修剪人工清除虫茧；也可结合早春翻耕、施肥，集中收集树干基部或树根表土褐边绿刺蚁、褐刺蚁、扁刺蛾虫茧烧毁；蓑蛾类袋囊、楞蚕结茧也可在冬春人为摘除。</w:t>
      </w:r>
    </w:p>
    <w:p w14:paraId="52F26A72">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利用褐边绿刺蛾、丽绿刺蛾、中国绿刺蛾、褐刺蛾、樗蚕等幼虫的群集性，在幼虫孵化初期或低龄期进行人工捕杀。在虫口密度高、危害严重的情况下，可用25%灭幼脲悬浮剂1500倍液，或90%晶体敌百虫1500倍液，或80%敌敌畏乳油1000-1500倍液喷杀。</w:t>
      </w:r>
    </w:p>
    <w:p w14:paraId="6615A08E">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针对扁刺蛾、樗蚕、褐边绿刺蛾、褐刺蛾、中国绿刺蛾等成虫趋光性，可用高压灯诱杀。</w:t>
      </w:r>
    </w:p>
    <w:p w14:paraId="62B343ED">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保护天敌，利用寄生蜂、寄生蝇对害虫的控制作用进行生物防治。</w:t>
      </w:r>
    </w:p>
    <w:p w14:paraId="0F935AB7">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2）刺吸性害虫防治措施</w:t>
      </w:r>
    </w:p>
    <w:p w14:paraId="65E953B5">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秋冬季可结合修剪，剪除有虫枝或产卵枝；还可结合中耕松土铲除卵囊或压埋枯枝落叶消灭越冬成虫。对草履蚧等下树产卵害虫，可在树干基部挖坑放置杂草，诱其产卵后集中灭卵；还可对树干涂白、涂胶等，防止若虫上树。对日木龟蜡蚧等害虫，在其少量发生时，可在若虫孵化前，用硬刷子清理。</w:t>
      </w:r>
    </w:p>
    <w:p w14:paraId="16B733E9">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利用麻皮蝽成虫假死性和黑蚱蝉成虫蜕壳始飞特性，在成虫出盐期或羽化期进行人工捕杀。</w:t>
      </w:r>
    </w:p>
    <w:p w14:paraId="013C7D11">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根据日本龟蜡蚧、麻皮蝽、方翅网蝽若虫高集聚性，在若虫分散前，可喷施10%吡虫啉乳油1000-1500倍液或2.5%高效氯氟氰菊酯乳油1000-2000倍液防治；在黑蚱蝉发生严重时，也可在若虫期用10%吡虫啉乳油2000倍液喷杀。</w:t>
      </w:r>
    </w:p>
    <w:p w14:paraId="4135501B">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利用寄生蜂、瓢虫等天敌控害作用减少害虫发生。</w:t>
      </w:r>
    </w:p>
    <w:p w14:paraId="16884553">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加强苗木检验检疫，严格控制虫害地区有虫植株流出扩散。</w:t>
      </w:r>
    </w:p>
    <w:p w14:paraId="1FF4C263">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3）钻蛀性害虫防治措施</w:t>
      </w:r>
    </w:p>
    <w:p w14:paraId="444043D4">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结合各季修剪，伐除被害、枯死枝条，集中烧毁；用涂白剂对树干涂白，防止成虫产卵。</w:t>
      </w:r>
    </w:p>
    <w:p w14:paraId="7F269C78">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在虫卵孵化前，根据产卵习性，用刀挖或木槌砸击，人工清除虫卵。</w:t>
      </w:r>
    </w:p>
    <w:p w14:paraId="3B802448">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利用成虫假死、飞翔力不强的特点，在成虫羽化期人工捕杀。</w:t>
      </w:r>
    </w:p>
    <w:p w14:paraId="30C1AEB3">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钩杀木质部内幼虫，将细铁丝从新鲜粪便排泄孔刺入，向下直至端部，反复几次可钩杀幼虫。</w:t>
      </w:r>
    </w:p>
    <w:p w14:paraId="27E66E6C">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去除排泄口新鲜虫粪和木屑后，用注射器将80%敌敌畏乳油等30倍液注入虫道毒杀幼虫，注药后用泥团封口。</w:t>
      </w:r>
    </w:p>
    <w:p w14:paraId="603BB8B2">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在成虫发生期，洒施80%敌敌畏乳油100-200倍液或绿色威雷（8%氯氰菊酯）触破式微胶囊剂300-400倍液灭杀成虫。</w:t>
      </w:r>
    </w:p>
    <w:p w14:paraId="6F5E66A7">
      <w:pPr>
        <w:pStyle w:val="10"/>
        <w:bidi w:val="0"/>
        <w:rPr>
          <w:rFonts w:hint="eastAsia" w:ascii="宋体" w:hAnsi="宋体" w:eastAsia="宋体" w:cs="宋体"/>
          <w:color w:val="auto"/>
          <w:sz w:val="24"/>
          <w:szCs w:val="24"/>
          <w:highlight w:val="none"/>
          <w:lang w:val="en-US" w:eastAsia="zh-CN"/>
        </w:rPr>
      </w:pPr>
      <w:r>
        <w:rPr>
          <w:rFonts w:hint="eastAsia" w:ascii="宋体" w:hAnsi="宋体" w:eastAsia="宋体" w:cs="宋体"/>
          <w:i w:val="0"/>
          <w:iCs/>
          <w:color w:val="auto"/>
          <w:sz w:val="24"/>
          <w:szCs w:val="24"/>
          <w:highlight w:val="none"/>
          <w:lang w:val="en-US" w:eastAsia="zh-CN"/>
        </w:rPr>
        <w:t>2）紫叶李</w:t>
      </w:r>
    </w:p>
    <w:p w14:paraId="2593E42E">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紫叶李病虫害主要有红蜘蛛、刺蛾和布袋蛾等。红蜘蛛发生时用乐果防治。刺蛾和布袋蛾用敌百虫晶体800倍液喷雾防治。</w:t>
      </w:r>
    </w:p>
    <w:p w14:paraId="04E6074C">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紫叶李白粉病：①搞好园地卫生，秋后清扫落叶，集中深埋。②发病初期喷洒77%可杀得可湿性粉剂，0.3° Be石硫合剂或25%粉锈宁可湿性粉剂等。</w:t>
      </w:r>
    </w:p>
    <w:p w14:paraId="55EF01B9">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紫叶李流胶病：生长期喷洒50%多菌灵可湿性粉剂800倍液等3-4次，每15天一次。</w:t>
      </w:r>
    </w:p>
    <w:p w14:paraId="57F863DB">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紫叶李穿孔病：①加强园、圃管理，增强树势。注意增施有机肥，避免偏施氮肥，合理修剪，提高园内通透性。②结合冬季修剪，清洁园地，剪除病枝，清扫落叶，集中清出园外。</w:t>
      </w:r>
    </w:p>
    <w:p w14:paraId="4D0E742E">
      <w:pPr>
        <w:pStyle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③抚育管护</w:t>
      </w:r>
    </w:p>
    <w:p w14:paraId="48C176FB">
      <w:pPr>
        <w:spacing w:line="560" w:lineRule="exact"/>
        <w:ind w:firstLine="360" w:firstLineChars="15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树干涂白采用生石灰1分加4分水及盐少许，然后搅拌均匀，涂白高度在1米左右，要把树干涂匀，主要目的是降低树木病虫危害。</w:t>
      </w:r>
    </w:p>
    <w:p w14:paraId="27150FD4">
      <w:pPr>
        <w:spacing w:line="560" w:lineRule="exact"/>
        <w:ind w:firstLine="360" w:firstLineChars="150"/>
        <w:jc w:val="left"/>
        <w:rPr>
          <w:rFonts w:hint="eastAsia" w:cs="宋体"/>
          <w:b w:val="0"/>
          <w:bCs/>
          <w:color w:val="000000"/>
          <w:sz w:val="24"/>
          <w:szCs w:val="24"/>
          <w:highlight w:val="none"/>
          <w:lang w:val="en-US" w:eastAsia="zh-CN" w:bidi="ar-SA"/>
        </w:rPr>
      </w:pPr>
      <w:r>
        <w:rPr>
          <w:rFonts w:hint="eastAsia" w:ascii="宋体" w:hAnsi="宋体" w:eastAsia="宋体" w:cs="宋体"/>
          <w:color w:val="auto"/>
          <w:sz w:val="24"/>
          <w:szCs w:val="24"/>
          <w:highlight w:val="none"/>
          <w:lang w:val="en-US" w:eastAsia="zh-CN"/>
        </w:rPr>
        <w:t>冬季深翻可以用机械耕翻，也可人工用锹深翻。一般深度在20厘米以上，深翻时尽量不伤树根。可降低林木病虫危害，同时改善土壤的通气性，有利于林木生长。</w:t>
      </w:r>
    </w:p>
    <w:p w14:paraId="10E019DF">
      <w:pPr>
        <w:pStyle w:val="48"/>
        <w:numPr>
          <w:ilvl w:val="0"/>
          <w:numId w:val="0"/>
        </w:numPr>
        <w:tabs>
          <w:tab w:val="left" w:pos="540"/>
        </w:tabs>
        <w:snapToGrid w:val="0"/>
        <w:spacing w:line="360" w:lineRule="auto"/>
        <w:ind w:left="120" w:leftChars="0" w:right="62" w:rightChars="0" w:hanging="120" w:hangingChars="50"/>
        <w:rPr>
          <w:rFonts w:hint="eastAsia" w:ascii="宋体" w:hAnsi="宋体" w:eastAsia="宋体" w:cs="宋体"/>
          <w:b/>
          <w:color w:val="000000"/>
          <w:sz w:val="24"/>
          <w:szCs w:val="24"/>
          <w:highlight w:val="none"/>
          <w:lang w:val="en-US" w:eastAsia="zh-CN"/>
        </w:rPr>
      </w:pPr>
      <w:r>
        <w:rPr>
          <w:rFonts w:hint="eastAsia" w:ascii="宋体" w:hAnsi="宋体" w:eastAsia="宋体" w:cs="Courier New"/>
          <w:b/>
          <w:color w:val="auto"/>
          <w:kern w:val="2"/>
          <w:sz w:val="24"/>
          <w:szCs w:val="24"/>
          <w:lang w:val="en-US" w:eastAsia="zh-CN" w:bidi="ar-SA"/>
        </w:rPr>
        <w:t>五、</w:t>
      </w:r>
      <w:r>
        <w:rPr>
          <w:rFonts w:hint="eastAsia" w:ascii="宋体" w:hAnsi="宋体" w:eastAsia="宋体" w:cs="宋体"/>
          <w:b/>
          <w:color w:val="000000"/>
          <w:sz w:val="24"/>
          <w:szCs w:val="24"/>
          <w:highlight w:val="none"/>
          <w:lang w:val="en-US" w:eastAsia="en-US"/>
        </w:rPr>
        <w:t>采购项目商务要求</w:t>
      </w:r>
    </w:p>
    <w:p w14:paraId="7E880AB3">
      <w:pPr>
        <w:pageBreakBefore w:val="0"/>
        <w:numPr>
          <w:ilvl w:val="0"/>
          <w:numId w:val="0"/>
        </w:numPr>
        <w:kinsoku/>
        <w:wordWrap/>
        <w:overflowPunct/>
        <w:topLinePunct w:val="0"/>
        <w:bidi w:val="0"/>
        <w:spacing w:line="360" w:lineRule="auto"/>
        <w:ind w:left="0" w:leftChars="0" w:right="0" w:rightChars="0" w:firstLine="480" w:firstLineChars="200"/>
        <w:rPr>
          <w:rFonts w:hint="eastAsia" w:ascii="宋体" w:hAnsi="宋体" w:eastAsia="宋体" w:cs="宋体"/>
          <w:b w:val="0"/>
          <w:bCs w:val="0"/>
          <w:color w:val="000000"/>
          <w:sz w:val="24"/>
          <w:szCs w:val="24"/>
          <w:highlight w:val="none"/>
          <w:lang w:eastAsia="zh-CN"/>
        </w:rPr>
      </w:pPr>
      <w:r>
        <w:rPr>
          <w:rFonts w:hint="default" w:ascii="宋体" w:hAnsi="宋体" w:eastAsia="宋体" w:cs="宋体"/>
          <w:b w:val="0"/>
          <w:bCs w:val="0"/>
          <w:color w:val="000000"/>
          <w:kern w:val="2"/>
          <w:sz w:val="24"/>
          <w:szCs w:val="24"/>
          <w:highlight w:val="none"/>
          <w:lang w:val="en-US" w:eastAsia="zh-CN" w:bidi="ar-SA"/>
        </w:rPr>
        <w:t>1.</w:t>
      </w:r>
      <w:r>
        <w:rPr>
          <w:rFonts w:hint="eastAsia" w:ascii="宋体" w:hAnsi="宋体" w:eastAsia="宋体" w:cs="宋体"/>
          <w:b/>
          <w:color w:val="000000"/>
          <w:sz w:val="24"/>
          <w:szCs w:val="24"/>
          <w:highlight w:val="none"/>
        </w:rPr>
        <w:t>★</w:t>
      </w:r>
      <w:r>
        <w:rPr>
          <w:rFonts w:hint="eastAsia" w:ascii="宋体" w:hAnsi="宋体" w:eastAsia="宋体" w:cs="宋体"/>
          <w:b w:val="0"/>
          <w:bCs w:val="0"/>
          <w:color w:val="000000"/>
          <w:sz w:val="24"/>
          <w:szCs w:val="24"/>
          <w:highlight w:val="none"/>
        </w:rPr>
        <w:t>交货期：签订合同后</w:t>
      </w:r>
      <w:r>
        <w:rPr>
          <w:rFonts w:hint="eastAsia" w:ascii="宋体" w:hAnsi="宋体" w:cs="宋体"/>
          <w:b w:val="0"/>
          <w:bCs w:val="0"/>
          <w:color w:val="000000"/>
          <w:sz w:val="24"/>
          <w:szCs w:val="24"/>
          <w:highlight w:val="none"/>
          <w:lang w:val="en-US" w:eastAsia="zh-CN"/>
        </w:rPr>
        <w:t>一年。</w:t>
      </w:r>
    </w:p>
    <w:p w14:paraId="7305216F">
      <w:pPr>
        <w:pageBreakBefore w:val="0"/>
        <w:numPr>
          <w:ilvl w:val="0"/>
          <w:numId w:val="0"/>
        </w:numPr>
        <w:kinsoku/>
        <w:wordWrap/>
        <w:overflowPunct/>
        <w:topLinePunct w:val="0"/>
        <w:bidi w:val="0"/>
        <w:spacing w:line="360" w:lineRule="auto"/>
        <w:ind w:left="0" w:leftChars="0" w:right="0" w:rightChars="0" w:firstLine="480" w:firstLineChars="200"/>
        <w:rPr>
          <w:rFonts w:hint="eastAsia" w:ascii="宋体" w:hAnsi="宋体" w:eastAsia="宋体" w:cs="宋体"/>
          <w:b w:val="0"/>
          <w:bCs w:val="0"/>
          <w:color w:val="000000"/>
          <w:sz w:val="24"/>
          <w:szCs w:val="24"/>
          <w:highlight w:val="none"/>
        </w:rPr>
      </w:pPr>
      <w:r>
        <w:rPr>
          <w:rFonts w:hint="default" w:ascii="宋体" w:hAnsi="宋体" w:eastAsia="宋体" w:cs="宋体"/>
          <w:b w:val="0"/>
          <w:bCs w:val="0"/>
          <w:color w:val="000000"/>
          <w:kern w:val="2"/>
          <w:sz w:val="24"/>
          <w:szCs w:val="24"/>
          <w:highlight w:val="none"/>
          <w:lang w:val="en-US" w:eastAsia="zh-CN" w:bidi="ar-SA"/>
        </w:rPr>
        <w:t>2.</w:t>
      </w:r>
      <w:r>
        <w:rPr>
          <w:rFonts w:hint="eastAsia" w:ascii="宋体" w:hAnsi="宋体" w:eastAsia="宋体" w:cs="宋体"/>
          <w:b w:val="0"/>
          <w:bCs/>
          <w:color w:val="000000"/>
          <w:sz w:val="24"/>
          <w:szCs w:val="24"/>
          <w:highlight w:val="none"/>
        </w:rPr>
        <w:t>交货</w:t>
      </w:r>
      <w:r>
        <w:rPr>
          <w:rFonts w:hint="eastAsia" w:ascii="宋体" w:hAnsi="宋体" w:eastAsia="宋体" w:cs="宋体"/>
          <w:b w:val="0"/>
          <w:bCs w:val="0"/>
          <w:color w:val="000000"/>
          <w:sz w:val="24"/>
          <w:szCs w:val="24"/>
          <w:highlight w:val="none"/>
        </w:rPr>
        <w:t>地点：采购人指定地点</w:t>
      </w:r>
    </w:p>
    <w:p w14:paraId="77A664BE">
      <w:pPr>
        <w:pageBreakBefore w:val="0"/>
        <w:numPr>
          <w:ilvl w:val="0"/>
          <w:numId w:val="0"/>
        </w:numPr>
        <w:kinsoku/>
        <w:wordWrap/>
        <w:overflowPunct/>
        <w:topLinePunct w:val="0"/>
        <w:bidi w:val="0"/>
        <w:spacing w:line="360" w:lineRule="auto"/>
        <w:ind w:left="0" w:leftChars="0" w:right="0" w:rightChars="0" w:firstLine="480" w:firstLineChars="200"/>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kern w:val="2"/>
          <w:sz w:val="24"/>
          <w:szCs w:val="24"/>
          <w:highlight w:val="none"/>
          <w:lang w:val="en-US" w:eastAsia="zh-CN" w:bidi="ar-SA"/>
        </w:rPr>
        <w:t>3.</w:t>
      </w:r>
      <w:r>
        <w:rPr>
          <w:rFonts w:hint="eastAsia" w:ascii="宋体" w:hAnsi="宋体" w:eastAsia="宋体" w:cs="宋体"/>
          <w:b w:val="0"/>
          <w:bCs/>
          <w:color w:val="000000"/>
          <w:sz w:val="24"/>
          <w:szCs w:val="24"/>
          <w:highlight w:val="none"/>
          <w:lang w:val="en-US" w:eastAsia="zh-CN"/>
        </w:rPr>
        <w:t>报价要求：</w:t>
      </w:r>
      <w:r>
        <w:rPr>
          <w:rFonts w:hint="eastAsia" w:ascii="宋体" w:hAnsi="宋体" w:eastAsia="宋体" w:cs="宋体"/>
          <w:color w:val="000000"/>
          <w:sz w:val="24"/>
          <w:szCs w:val="24"/>
          <w:highlight w:val="none"/>
          <w:lang w:val="en-US" w:eastAsia="zh-CN"/>
        </w:rPr>
        <w:t>投标人投标报价以人民币为单位。投标报价包括但不限于：货物的采购、运输保险、装卸、种植、技术支持及培训、养护期、质保期售后服务、全额含税发票、雇员费用、验收费、合同实施过程中应预见和不可预见费用等。</w:t>
      </w:r>
    </w:p>
    <w:p w14:paraId="4EE063B1">
      <w:pPr>
        <w:pageBreakBefore w:val="0"/>
        <w:widowControl w:val="0"/>
        <w:kinsoku/>
        <w:wordWrap/>
        <w:overflowPunct/>
        <w:topLinePunct w:val="0"/>
        <w:bidi w:val="0"/>
        <w:spacing w:line="360" w:lineRule="auto"/>
        <w:ind w:left="0" w:leftChars="0" w:right="0" w:firstLine="482" w:firstLineChars="200"/>
        <w:jc w:val="both"/>
        <w:outlineLvl w:val="2"/>
        <w:rPr>
          <w:rFonts w:hint="eastAsia" w:ascii="宋体" w:hAnsi="宋体" w:eastAsia="宋体" w:cs="宋体"/>
          <w:color w:val="000000"/>
          <w:sz w:val="24"/>
          <w:szCs w:val="24"/>
          <w:highlight w:val="none"/>
          <w:lang w:val="en-US" w:eastAsia="zh-CN" w:bidi="ar-SA"/>
        </w:rPr>
      </w:pPr>
      <w:r>
        <w:rPr>
          <w:rFonts w:hint="eastAsia" w:ascii="宋体" w:hAnsi="宋体" w:eastAsia="宋体" w:cs="宋体"/>
          <w:b/>
          <w:color w:val="000000"/>
          <w:sz w:val="24"/>
          <w:szCs w:val="24"/>
          <w:highlight w:val="none"/>
          <w:lang w:val="en-US" w:eastAsia="zh-CN" w:bidi="ar-SA"/>
        </w:rPr>
        <w:t>★</w:t>
      </w:r>
      <w:r>
        <w:rPr>
          <w:rFonts w:hint="eastAsia" w:ascii="宋体" w:hAnsi="宋体" w:eastAsia="宋体" w:cs="宋体"/>
          <w:color w:val="000000"/>
          <w:sz w:val="24"/>
          <w:szCs w:val="24"/>
          <w:highlight w:val="none"/>
          <w:lang w:val="en-US" w:eastAsia="zh-CN" w:bidi="ar-SA"/>
        </w:rPr>
        <w:t>投标报价不得超过最高限制价，否则按无效投标处理。</w:t>
      </w:r>
    </w:p>
    <w:p w14:paraId="53F6A52E">
      <w:pPr>
        <w:pageBreakBefore w:val="0"/>
        <w:numPr>
          <w:ilvl w:val="0"/>
          <w:numId w:val="0"/>
        </w:numPr>
        <w:kinsoku/>
        <w:wordWrap/>
        <w:overflowPunct/>
        <w:topLinePunct w:val="0"/>
        <w:bidi w:val="0"/>
        <w:spacing w:line="360" w:lineRule="auto"/>
        <w:ind w:left="0" w:leftChars="0" w:right="0" w:rightChars="0" w:firstLine="480" w:firstLineChars="200"/>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kern w:val="2"/>
          <w:sz w:val="24"/>
          <w:szCs w:val="24"/>
          <w:highlight w:val="none"/>
          <w:lang w:val="en-US" w:eastAsia="zh-CN" w:bidi="ar-SA"/>
        </w:rPr>
        <w:t>4.</w:t>
      </w:r>
      <w:r>
        <w:rPr>
          <w:rFonts w:hint="eastAsia" w:ascii="宋体" w:hAnsi="宋体" w:eastAsia="宋体" w:cs="宋体"/>
          <w:b w:val="0"/>
          <w:bCs/>
          <w:color w:val="000000"/>
          <w:sz w:val="24"/>
          <w:szCs w:val="24"/>
          <w:highlight w:val="none"/>
          <w:lang w:val="en-US" w:eastAsia="zh-CN"/>
        </w:rPr>
        <w:t>违约责任</w:t>
      </w:r>
      <w:r>
        <w:rPr>
          <w:rFonts w:hint="eastAsia" w:ascii="宋体" w:hAnsi="宋体" w:eastAsia="宋体" w:cs="宋体"/>
          <w:color w:val="000000"/>
          <w:sz w:val="24"/>
          <w:szCs w:val="24"/>
          <w:highlight w:val="none"/>
          <w:lang w:val="en-US" w:eastAsia="zh-CN"/>
        </w:rPr>
        <w:t>：</w:t>
      </w:r>
    </w:p>
    <w:p w14:paraId="3883F20E">
      <w:pPr>
        <w:pStyle w:val="48"/>
        <w:pageBreakBefore w:val="0"/>
        <w:tabs>
          <w:tab w:val="left" w:pos="540"/>
        </w:tabs>
        <w:kinsoku/>
        <w:wordWrap/>
        <w:overflowPunct/>
        <w:topLinePunct w:val="0"/>
        <w:bidi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（1）中标人未能按时交付货物或交付的货物不符合招标文件，合同规定标准的，则向采购人支付货物总金额 5％的违约金，违约金从履约保证金中扣除。 </w:t>
      </w:r>
    </w:p>
    <w:p w14:paraId="2B8466D4">
      <w:pPr>
        <w:pStyle w:val="48"/>
        <w:pageBreakBefore w:val="0"/>
        <w:tabs>
          <w:tab w:val="left" w:pos="540"/>
        </w:tabs>
        <w:kinsoku/>
        <w:wordWrap/>
        <w:overflowPunct/>
        <w:topLinePunct w:val="0"/>
        <w:bidi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（2）如发现中标人交付货物的质量，规格和数量，不符合或达不到合同规定的技术参数和要求的， 采购人有权拒收货物，由此造成采购人损失的，中标人向采购人支付货物总金额 5% 的违约金，违约金从履约保证金中扣除。 </w:t>
      </w:r>
    </w:p>
    <w:p w14:paraId="19655A3B">
      <w:pPr>
        <w:pStyle w:val="48"/>
        <w:pageBreakBefore w:val="0"/>
        <w:tabs>
          <w:tab w:val="left" w:pos="540"/>
        </w:tabs>
        <w:kinsoku/>
        <w:wordWrap/>
        <w:overflowPunct/>
        <w:topLinePunct w:val="0"/>
        <w:bidi w:val="0"/>
        <w:snapToGrid w:val="0"/>
        <w:spacing w:line="360" w:lineRule="auto"/>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（3）质保期内，中标人无法按时为采购人提供售后服务或以任何理由拒绝履行售后服务承诺的，中标人向采购人支付货物总金额 5% 的违约金，违约金从履约保证金中扣除。 </w:t>
      </w:r>
    </w:p>
    <w:p w14:paraId="2EA274BD">
      <w:pPr>
        <w:pStyle w:val="48"/>
        <w:pageBreakBefore w:val="0"/>
        <w:tabs>
          <w:tab w:val="left" w:pos="540"/>
        </w:tabs>
        <w:kinsoku/>
        <w:wordWrap/>
        <w:overflowPunct/>
        <w:topLinePunct w:val="0"/>
        <w:bidi w:val="0"/>
        <w:snapToGrid w:val="0"/>
        <w:spacing w:line="360" w:lineRule="auto"/>
        <w:ind w:left="0"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（4）如在合同执行期间因中标人违约导致履约保证金部分扣除，中标人需在五个工作日内将扣除的履约保证金补齐。</w:t>
      </w:r>
    </w:p>
    <w:p w14:paraId="53FE45F4">
      <w:pPr>
        <w:pageBreakBefore w:val="0"/>
        <w:numPr>
          <w:ilvl w:val="0"/>
          <w:numId w:val="0"/>
        </w:numPr>
        <w:kinsoku/>
        <w:wordWrap/>
        <w:overflowPunct/>
        <w:topLinePunct w:val="0"/>
        <w:bidi w:val="0"/>
        <w:spacing w:line="360" w:lineRule="auto"/>
        <w:ind w:left="0" w:leftChars="0" w:right="0" w:rightChars="0" w:firstLine="480" w:firstLineChars="200"/>
        <w:rPr>
          <w:rFonts w:hint="eastAsia" w:ascii="宋体" w:hAnsi="宋体" w:eastAsia="宋体" w:cs="宋体"/>
          <w:b w:val="0"/>
          <w:bCs w:val="0"/>
          <w:color w:val="000000"/>
          <w:sz w:val="24"/>
          <w:szCs w:val="24"/>
          <w:highlight w:val="none"/>
          <w:lang w:val="en-US" w:eastAsia="zh-CN"/>
        </w:rPr>
      </w:pPr>
      <w:r>
        <w:rPr>
          <w:rFonts w:hint="default" w:ascii="宋体" w:hAnsi="宋体" w:eastAsia="宋体" w:cs="宋体"/>
          <w:b w:val="0"/>
          <w:bCs w:val="0"/>
          <w:color w:val="000000"/>
          <w:kern w:val="2"/>
          <w:sz w:val="24"/>
          <w:szCs w:val="24"/>
          <w:highlight w:val="none"/>
          <w:lang w:val="en-US" w:eastAsia="zh-CN" w:bidi="ar-SA"/>
        </w:rPr>
        <w:t>5.</w:t>
      </w:r>
      <w:r>
        <w:rPr>
          <w:rFonts w:hint="eastAsia" w:ascii="宋体" w:hAnsi="宋体" w:eastAsia="宋体" w:cs="宋体"/>
          <w:b w:val="0"/>
          <w:bCs w:val="0"/>
          <w:color w:val="000000"/>
          <w:sz w:val="24"/>
          <w:szCs w:val="24"/>
          <w:highlight w:val="none"/>
          <w:lang w:val="en-US" w:eastAsia="zh-CN"/>
        </w:rPr>
        <w:t>验收要求：</w:t>
      </w:r>
    </w:p>
    <w:p w14:paraId="019B33AD">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验收按国家有关的规定、规范进行，验收时如发现所交付的苗木有损坏或不符合质量要求之情形者，中标人应无条件按采购文件规定的质量要求进行更换，由此产生的所有费用由中标人承担。</w:t>
      </w:r>
      <w:r>
        <w:rPr>
          <w:rFonts w:hint="eastAsia" w:ascii="宋体" w:hAnsi="宋体" w:eastAsia="宋体" w:cs="宋体"/>
          <w:color w:val="000000"/>
          <w:sz w:val="24"/>
          <w:szCs w:val="24"/>
          <w:highlight w:val="none"/>
        </w:rPr>
        <w:t>本项目验收标准：货物进场验收，通过最终验收后交付采购人使用，进入质保期。根据国家颁布的最新检定规程执行。</w:t>
      </w:r>
    </w:p>
    <w:p w14:paraId="2DB213BB">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采购人组织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供应商针对此点提供书面承诺</w:t>
      </w:r>
      <w:r>
        <w:rPr>
          <w:rFonts w:hint="eastAsia" w:ascii="宋体" w:hAnsi="宋体" w:eastAsia="宋体" w:cs="宋体"/>
          <w:color w:val="000000"/>
          <w:sz w:val="24"/>
          <w:szCs w:val="24"/>
          <w:highlight w:val="none"/>
        </w:rPr>
        <w:t>。</w:t>
      </w:r>
    </w:p>
    <w:p w14:paraId="775DFA86">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验收标准按照国内最新相关标准实施，要求对全部产品、型号、规格、数量、外型、外观、包装进行验收。双方将依据有关规定，对到货的规格、数量等进行检验。</w:t>
      </w:r>
    </w:p>
    <w:p w14:paraId="4B7680B7">
      <w:pPr>
        <w:keepNext w:val="0"/>
        <w:keepLines w:val="0"/>
        <w:pageBreakBefore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bidi="ar-SA"/>
        </w:rPr>
        <w:t>★在实际供货时，若中标人提供的货物未能达到招标文件的要求和投标文件中的有关承诺，将按有关法规进行处罚，采购人将有权单方面中止合同的执行，并追究因中标人所提供的未达到所承诺准确率产品而产生的所有损失和责任。（以提供承诺函响应该条款，格式由供应商自拟。）</w:t>
      </w:r>
    </w:p>
    <w:p w14:paraId="730BEC44">
      <w:pPr>
        <w:pageBreakBefore w:val="0"/>
        <w:numPr>
          <w:ilvl w:val="0"/>
          <w:numId w:val="0"/>
        </w:numPr>
        <w:kinsoku/>
        <w:wordWrap/>
        <w:overflowPunct/>
        <w:topLinePunct w:val="0"/>
        <w:bidi w:val="0"/>
        <w:spacing w:line="360" w:lineRule="auto"/>
        <w:ind w:left="0" w:leftChars="0" w:right="0" w:rightChars="0" w:firstLine="480" w:firstLineChars="200"/>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kern w:val="2"/>
          <w:sz w:val="24"/>
          <w:szCs w:val="24"/>
          <w:highlight w:val="none"/>
          <w:lang w:val="en-US" w:eastAsia="zh-CN" w:bidi="ar-SA"/>
        </w:rPr>
        <w:t>6.</w:t>
      </w:r>
      <w:r>
        <w:rPr>
          <w:rFonts w:hint="eastAsia" w:ascii="宋体" w:hAnsi="宋体" w:eastAsia="宋体" w:cs="宋体"/>
          <w:color w:val="000000"/>
          <w:sz w:val="24"/>
          <w:szCs w:val="24"/>
          <w:highlight w:val="none"/>
          <w:lang w:val="en-US" w:eastAsia="zh-CN"/>
        </w:rPr>
        <w:t>服务要求</w:t>
      </w:r>
    </w:p>
    <w:p w14:paraId="74FA083C">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rPr>
        <w:t>交货要求</w:t>
      </w:r>
    </w:p>
    <w:p w14:paraId="494D970E">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为了保证货物在运输和装卸过程中的安全，货物包装应符合国家或行业标准规定。包装均应有良好的防湿、防锈、防潮、防雨、防腐及防碰撞的措施，并适宜当地的气候条件。凡由于包装不良造成的损失和由此产生的费用均由中标人承担。</w:t>
      </w:r>
    </w:p>
    <w:p w14:paraId="7A869815">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并在每次发货时，随货提供产品合格证、发货清单，以便采购人验收。</w:t>
      </w:r>
    </w:p>
    <w:p w14:paraId="317CD1AB">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中标人应当根据采购人实际情况，按与采购人的约定，在规定的时间内将预定的货物数量送到指定地点。除客观不可抗力外，中标人不得推迟送货。如确需延迟送货的，中标人应在得知情况的同时告知采购人并征得采购人同意，由于中标人拖沓造成采购人利益受损的，采购人有权要求中标人赔偿。供货期内中标人若出现延迟送货，经采购人书面提出整改通知，但情况没有改善的，采购人有权取消中标人供货资格，终止中标人供货合同和没收履约保证金。</w:t>
      </w:r>
    </w:p>
    <w:p w14:paraId="54A2804A">
      <w:pPr>
        <w:pStyle w:val="13"/>
        <w:keepNext w:val="0"/>
        <w:keepLines w:val="0"/>
        <w:pageBreakBefore w:val="0"/>
        <w:widowControl w:val="0"/>
        <w:kinsoku/>
        <w:wordWrap/>
        <w:overflowPunct/>
        <w:topLinePunct w:val="0"/>
        <w:bidi w:val="0"/>
        <w:adjustRightInd w:val="0"/>
        <w:spacing w:line="360" w:lineRule="auto"/>
        <w:ind w:left="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bidi="ar-SA"/>
        </w:rPr>
        <w:t>★在实际供货时，若中标人提供的货物未能达到招标文件的要求和投标文件中的有关承诺，将按有关法规进行处罚，采购人将有权单方面中止合同的执行，并追究因中标人所提供的未达到所承诺准确率产品而产生的所有损失和责任。（以提供承诺函响应该条款，格式由供应商自拟。）</w:t>
      </w:r>
    </w:p>
    <w:p w14:paraId="59CCACF2">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★投标</w:t>
      </w:r>
      <w:r>
        <w:rPr>
          <w:rFonts w:hint="eastAsia" w:ascii="宋体" w:hAnsi="宋体" w:eastAsia="宋体" w:cs="宋体"/>
          <w:color w:val="000000"/>
          <w:sz w:val="24"/>
          <w:szCs w:val="24"/>
          <w:highlight w:val="none"/>
          <w:lang w:eastAsia="zh-CN"/>
        </w:rPr>
        <w:t>人</w:t>
      </w:r>
      <w:r>
        <w:rPr>
          <w:rFonts w:hint="eastAsia" w:ascii="宋体" w:hAnsi="宋体" w:eastAsia="宋体" w:cs="宋体"/>
          <w:color w:val="000000"/>
          <w:sz w:val="24"/>
          <w:szCs w:val="24"/>
          <w:highlight w:val="none"/>
        </w:rPr>
        <w:t>须承诺如中标后将准时送货到采购人指定地点。（投标时提供承诺函）</w:t>
      </w:r>
    </w:p>
    <w:p w14:paraId="01577547">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）退换货要求</w:t>
      </w:r>
    </w:p>
    <w:p w14:paraId="43C1A39D">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如发现中标人所交付的货物有次品、损坏或其他不符合本项目的采购文件要求或不能满足投标文件有关承诺等情况，采购人有权提出退换货处理或按违约处理。</w:t>
      </w:r>
    </w:p>
    <w:p w14:paraId="4A00CF23">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由中标人负责对需退换货的产品做好相关记录，经中标人、采购人双方签字确认后，方可进行</w:t>
      </w:r>
      <w:r>
        <w:rPr>
          <w:rFonts w:hint="eastAsia" w:ascii="宋体" w:hAnsi="宋体" w:cs="宋体"/>
          <w:color w:val="000000"/>
          <w:sz w:val="24"/>
          <w:szCs w:val="24"/>
          <w:highlight w:val="none"/>
          <w:lang w:eastAsia="zh-CN"/>
        </w:rPr>
        <w:t>退换货</w:t>
      </w:r>
      <w:r>
        <w:rPr>
          <w:rFonts w:hint="eastAsia" w:ascii="宋体" w:hAnsi="宋体" w:eastAsia="宋体" w:cs="宋体"/>
          <w:color w:val="000000"/>
          <w:sz w:val="24"/>
          <w:szCs w:val="24"/>
          <w:highlight w:val="none"/>
        </w:rPr>
        <w:t>的工作。</w:t>
      </w:r>
    </w:p>
    <w:p w14:paraId="3CFAFEFC">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中标人须在确认当天完成所有的退换货工作，退换货工作包括货品的运输、搬运、堆放等，且由此产生的一切费用由中标人承担。</w:t>
      </w:r>
    </w:p>
    <w:p w14:paraId="14825484">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本项目换货后的产品须满足采购文件要求及投标文件承诺，不得低于原货品的标准要求；中标人也可经采购人同意后，选择同档次或优于原货品的同类产品替换原货品。</w:t>
      </w:r>
    </w:p>
    <w:p w14:paraId="2A7F8689">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★为确保本项目顺利完成，</w:t>
      </w:r>
      <w:r>
        <w:rPr>
          <w:rFonts w:hint="eastAsia" w:ascii="宋体" w:hAnsi="宋体" w:eastAsia="宋体" w:cs="宋体"/>
          <w:color w:val="000000"/>
          <w:sz w:val="24"/>
          <w:szCs w:val="24"/>
          <w:highlight w:val="none"/>
          <w:lang w:val="en-US" w:eastAsia="zh-CN"/>
        </w:rPr>
        <w:t>中标</w:t>
      </w:r>
      <w:r>
        <w:rPr>
          <w:rFonts w:hint="eastAsia" w:ascii="宋体" w:hAnsi="宋体" w:eastAsia="宋体" w:cs="宋体"/>
          <w:color w:val="000000"/>
          <w:sz w:val="24"/>
          <w:szCs w:val="24"/>
          <w:highlight w:val="none"/>
        </w:rPr>
        <w:t>供应商必须承诺：本公司承诺在中标后所投入的人员为本公司人员，并与投标文件提供的人员一致</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如服务期内采购人发现投入人员与投标文件不一致，视为提供虚假材料应标，采购人有权扣除履约保证金，单方面终止采购合同，并将供应商虚假应标的相关问题报送监管部门，供应商针对此点提供书面承诺</w:t>
      </w:r>
      <w:r>
        <w:rPr>
          <w:rFonts w:hint="eastAsia" w:ascii="宋体" w:hAnsi="宋体" w:eastAsia="宋体" w:cs="宋体"/>
          <w:color w:val="000000"/>
          <w:sz w:val="24"/>
          <w:szCs w:val="24"/>
          <w:highlight w:val="none"/>
        </w:rPr>
        <w:t>。</w:t>
      </w:r>
    </w:p>
    <w:p w14:paraId="14DAD677">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在采购人签收之前，货物的所有权和风险属于中标人，货物发生遗失、损坏由中标人负责。</w:t>
      </w:r>
    </w:p>
    <w:p w14:paraId="62B2D1AA">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中标人须严格按照各采购人的指令</w:t>
      </w:r>
      <w:r>
        <w:rPr>
          <w:rFonts w:hint="eastAsia" w:ascii="宋体" w:hAnsi="宋体" w:eastAsia="宋体" w:cs="宋体"/>
          <w:color w:val="000000"/>
          <w:sz w:val="24"/>
          <w:szCs w:val="24"/>
          <w:highlight w:val="none"/>
          <w:lang w:val="en-US" w:eastAsia="zh-CN"/>
        </w:rPr>
        <w:t>送货</w:t>
      </w:r>
      <w:r>
        <w:rPr>
          <w:rFonts w:hint="eastAsia" w:ascii="宋体" w:hAnsi="宋体" w:eastAsia="宋体" w:cs="宋体"/>
          <w:color w:val="000000"/>
          <w:sz w:val="24"/>
          <w:szCs w:val="24"/>
          <w:highlight w:val="none"/>
        </w:rPr>
        <w:t>商品的数量，不得随意增减数量，否则，采购人有权拒收。如因市场流通问题确实需要变更的，应事先书面申请，并经采购人同意后方可改变。</w:t>
      </w:r>
    </w:p>
    <w:p w14:paraId="0DD72F8A">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客观不可抗力外，中标人不得更改送货内容。如确需变更供货内容的，中标人应在得知情况的同时告知采购人并征得采购人同意，经发现中标人有私自更改菜单中货品时以违约论处，由此产生的一切损失和费用由中标人承担。供货期内中标人出现上述情况，经采购人书面提出整改通知，但情况没有改善的，采购人有权取消中标人供货资格，终止中标人供货合同和没收履约保证金。</w:t>
      </w:r>
    </w:p>
    <w:p w14:paraId="0D76E3DA">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采购人发现采购货物不能正常使用的，中标人应无条件退换。中标人未能履行招标文件和合同所定事项</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或供应不合格的、假冒伪劣、以次充好的商品，采购人退货后将记录在案，并对中标人予以处罚，要承担因此产生的一切损失和费用。</w:t>
      </w:r>
    </w:p>
    <w:p w14:paraId="0A958A94">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中标人不能按核定的供货价交付中标商品、不能提供与其承诺相符的服务或中标人存在违反招标文件和合同的行为，并且不予纠正的，将取消其供货资格。此项下违约责任包括但不限于下列各项：</w:t>
      </w:r>
    </w:p>
    <w:p w14:paraId="0E8068AC">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①中标人在收到采购人订货要求后，在承诺的供货时间内不能供货的；</w:t>
      </w:r>
    </w:p>
    <w:p w14:paraId="34282E7D">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②中标人未能提供承诺的服务的。</w:t>
      </w:r>
    </w:p>
    <w:p w14:paraId="131A5DCB">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中标商品在保质期出现损坏的，中标人应承诺提供替换服务，因替换货物产生的费用由中标人负责。</w:t>
      </w:r>
    </w:p>
    <w:p w14:paraId="0C3D84CB">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中标人的送货单必须详细注明商品的品牌、型号、单价、数量、送货单不得涂改。标记不清的，采购人将拒绝签收。结算期末中标人还应提供送货清单供采购人结算。</w:t>
      </w:r>
    </w:p>
    <w:p w14:paraId="7B670824">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中标人指定的送货专员必须穿着便于辨认的工衣和</w:t>
      </w:r>
      <w:r>
        <w:rPr>
          <w:rFonts w:hint="eastAsia" w:ascii="宋体" w:hAnsi="宋体" w:eastAsia="宋体" w:cs="宋体"/>
          <w:color w:val="000000"/>
          <w:sz w:val="24"/>
          <w:szCs w:val="24"/>
          <w:highlight w:val="none"/>
          <w:lang w:eastAsia="zh-CN"/>
        </w:rPr>
        <w:t>佩戴</w:t>
      </w:r>
      <w:r>
        <w:rPr>
          <w:rFonts w:hint="eastAsia" w:ascii="宋体" w:hAnsi="宋体" w:eastAsia="宋体" w:cs="宋体"/>
          <w:color w:val="000000"/>
          <w:sz w:val="24"/>
          <w:szCs w:val="24"/>
          <w:highlight w:val="none"/>
        </w:rPr>
        <w:t>胸卡，送货专员在采购人单位活动必须严格遵守采购人单位各项规章制度，不得做出有损采购人形象和利益的事情。</w:t>
      </w:r>
    </w:p>
    <w:p w14:paraId="59D1D929">
      <w:pPr>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中标人不得泄露采购人的商业秘密。泄密造成采购人损失的，中标人将承担由此产生的一切损失和法律责任。</w:t>
      </w:r>
    </w:p>
    <w:p w14:paraId="716AB5AB">
      <w:pPr>
        <w:pageBreakBefore w:val="0"/>
        <w:numPr>
          <w:ilvl w:val="0"/>
          <w:numId w:val="0"/>
        </w:numPr>
        <w:kinsoku/>
        <w:wordWrap/>
        <w:overflowPunct/>
        <w:topLinePunct w:val="0"/>
        <w:bidi w:val="0"/>
        <w:spacing w:line="360" w:lineRule="auto"/>
        <w:ind w:left="0" w:leftChars="0" w:right="0" w:rightChars="0" w:firstLine="480" w:firstLineChars="200"/>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kern w:val="2"/>
          <w:sz w:val="24"/>
          <w:szCs w:val="24"/>
          <w:highlight w:val="none"/>
          <w:lang w:val="en-US" w:eastAsia="zh-CN" w:bidi="ar-SA"/>
        </w:rPr>
        <w:t>7.</w:t>
      </w:r>
      <w:r>
        <w:rPr>
          <w:rFonts w:hint="eastAsia" w:ascii="宋体" w:hAnsi="宋体" w:eastAsia="宋体" w:cs="宋体"/>
          <w:color w:val="000000"/>
          <w:sz w:val="24"/>
          <w:szCs w:val="24"/>
          <w:highlight w:val="none"/>
          <w:lang w:val="en-US" w:eastAsia="zh-CN"/>
        </w:rPr>
        <w:t>售后要求：</w:t>
      </w:r>
    </w:p>
    <w:p w14:paraId="780F8F1E">
      <w:pPr>
        <w:pageBreakBefore w:val="0"/>
        <w:numPr>
          <w:ilvl w:val="0"/>
          <w:numId w:val="0"/>
        </w:numPr>
        <w:kinsoku/>
        <w:wordWrap/>
        <w:overflowPunct/>
        <w:topLinePunct w:val="0"/>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中标人供货后须对所供苗木开展</w:t>
      </w:r>
      <w:r>
        <w:rPr>
          <w:rFonts w:hint="eastAsia" w:ascii="宋体" w:hAnsi="宋体" w:cs="宋体"/>
          <w:color w:val="000000"/>
          <w:sz w:val="24"/>
          <w:szCs w:val="24"/>
          <w:highlight w:val="none"/>
          <w:lang w:val="en-US" w:eastAsia="zh-CN"/>
        </w:rPr>
        <w:t>培训</w:t>
      </w:r>
      <w:r>
        <w:rPr>
          <w:rFonts w:hint="eastAsia" w:ascii="宋体" w:hAnsi="宋体" w:eastAsia="宋体" w:cs="宋体"/>
          <w:color w:val="000000"/>
          <w:sz w:val="24"/>
          <w:szCs w:val="24"/>
          <w:highlight w:val="none"/>
          <w:lang w:val="en-US" w:eastAsia="zh-CN"/>
        </w:rPr>
        <w:t>养护</w:t>
      </w:r>
      <w:r>
        <w:rPr>
          <w:rFonts w:hint="eastAsia" w:ascii="宋体" w:hAnsi="宋体" w:cs="宋体"/>
          <w:color w:val="000000"/>
          <w:sz w:val="24"/>
          <w:szCs w:val="24"/>
          <w:highlight w:val="none"/>
          <w:lang w:val="en-US" w:eastAsia="zh-CN"/>
        </w:rPr>
        <w:t>知识</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质保</w:t>
      </w:r>
      <w:r>
        <w:rPr>
          <w:rFonts w:hint="eastAsia" w:ascii="宋体" w:hAnsi="宋体" w:eastAsia="宋体" w:cs="宋体"/>
          <w:color w:val="000000"/>
          <w:sz w:val="24"/>
          <w:szCs w:val="24"/>
          <w:highlight w:val="none"/>
          <w:lang w:val="en-US" w:eastAsia="zh-CN"/>
        </w:rPr>
        <w:t>期为</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年，</w:t>
      </w:r>
      <w:r>
        <w:rPr>
          <w:rFonts w:hint="eastAsia" w:ascii="宋体" w:hAnsi="宋体" w:cs="宋体"/>
          <w:color w:val="000000"/>
          <w:sz w:val="24"/>
          <w:szCs w:val="24"/>
          <w:highlight w:val="none"/>
          <w:lang w:val="en-US" w:eastAsia="zh-CN"/>
        </w:rPr>
        <w:t>质保期</w:t>
      </w:r>
      <w:r>
        <w:rPr>
          <w:rFonts w:hint="eastAsia" w:ascii="宋体" w:hAnsi="宋体" w:eastAsia="宋体" w:cs="宋体"/>
          <w:color w:val="000000"/>
          <w:sz w:val="24"/>
          <w:szCs w:val="24"/>
          <w:highlight w:val="none"/>
          <w:lang w:val="en-US" w:eastAsia="zh-CN"/>
        </w:rPr>
        <w:t>保证存活率达95%</w:t>
      </w:r>
      <w:r>
        <w:rPr>
          <w:rFonts w:hint="eastAsia" w:ascii="宋体" w:hAnsi="宋体" w:cs="宋体"/>
          <w:color w:val="000000"/>
          <w:sz w:val="24"/>
          <w:szCs w:val="24"/>
          <w:highlight w:val="none"/>
          <w:lang w:val="en-US" w:eastAsia="zh-CN"/>
        </w:rPr>
        <w:t>，如未达到应及时补种</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质保</w:t>
      </w:r>
      <w:r>
        <w:rPr>
          <w:rFonts w:hint="eastAsia" w:ascii="宋体" w:hAnsi="宋体" w:eastAsia="宋体" w:cs="宋体"/>
          <w:color w:val="000000"/>
          <w:sz w:val="24"/>
          <w:szCs w:val="24"/>
          <w:highlight w:val="none"/>
          <w:lang w:val="en-US" w:eastAsia="zh-CN"/>
        </w:rPr>
        <w:t>所需的费用包含在本次供货的报价中，采购人不再另付费。</w:t>
      </w:r>
    </w:p>
    <w:p w14:paraId="07BE50E0">
      <w:pPr>
        <w:pageBreakBefore w:val="0"/>
        <w:numPr>
          <w:ilvl w:val="0"/>
          <w:numId w:val="0"/>
        </w:numPr>
        <w:kinsoku/>
        <w:wordWrap/>
        <w:overflowPunct/>
        <w:topLinePunct w:val="0"/>
        <w:bidi w:val="0"/>
        <w:spacing w:line="360" w:lineRule="auto"/>
        <w:ind w:left="0" w:leftChars="0" w:right="0" w:rightChars="0" w:firstLine="480" w:firstLineChars="200"/>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kern w:val="2"/>
          <w:sz w:val="24"/>
          <w:szCs w:val="24"/>
          <w:highlight w:val="none"/>
          <w:lang w:val="en-US" w:eastAsia="zh-CN" w:bidi="ar-SA"/>
        </w:rPr>
        <w:t>8.</w:t>
      </w:r>
      <w:r>
        <w:rPr>
          <w:rFonts w:hint="eastAsia" w:ascii="宋体" w:hAnsi="宋体" w:eastAsia="宋体" w:cs="宋体"/>
          <w:color w:val="000000"/>
          <w:sz w:val="24"/>
          <w:szCs w:val="24"/>
          <w:highlight w:val="none"/>
          <w:lang w:val="en-US" w:eastAsia="zh-CN"/>
        </w:rPr>
        <w:t>付款方式：</w:t>
      </w:r>
    </w:p>
    <w:p w14:paraId="6C7BF532">
      <w:pPr>
        <w:pageBreakBefore w:val="0"/>
        <w:widowControl w:val="0"/>
        <w:kinsoku/>
        <w:wordWrap/>
        <w:overflowPunct/>
        <w:topLinePunct w:val="0"/>
        <w:bidi w:val="0"/>
        <w:spacing w:line="360" w:lineRule="auto"/>
        <w:ind w:left="0" w:leftChars="0" w:right="0" w:firstLine="480" w:firstLineChars="200"/>
        <w:jc w:val="both"/>
        <w:outlineLvl w:val="2"/>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1）预付款30%，成活率达标并验收通过后付剩余货款的70%。</w:t>
      </w:r>
    </w:p>
    <w:p w14:paraId="23CBAEBB">
      <w:pPr>
        <w:pageBreakBefore w:val="0"/>
        <w:widowControl w:val="0"/>
        <w:kinsoku/>
        <w:wordWrap/>
        <w:overflowPunct/>
        <w:topLinePunct w:val="0"/>
        <w:bidi w:val="0"/>
        <w:spacing w:line="360" w:lineRule="auto"/>
        <w:ind w:left="0" w:leftChars="0" w:right="0" w:firstLine="480" w:firstLineChars="200"/>
        <w:jc w:val="both"/>
        <w:outlineLvl w:val="2"/>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2）中标人凭以下有效文件与采购人结算：</w:t>
      </w:r>
    </w:p>
    <w:p w14:paraId="14C33A5D">
      <w:pPr>
        <w:pageBreakBefore w:val="0"/>
        <w:widowControl w:val="0"/>
        <w:kinsoku/>
        <w:wordWrap/>
        <w:overflowPunct/>
        <w:topLinePunct w:val="0"/>
        <w:bidi w:val="0"/>
        <w:spacing w:line="360" w:lineRule="auto"/>
        <w:ind w:left="0" w:leftChars="0" w:right="0" w:firstLine="480" w:firstLineChars="200"/>
        <w:jc w:val="both"/>
        <w:outlineLvl w:val="2"/>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a.合同；</w:t>
      </w:r>
    </w:p>
    <w:p w14:paraId="6F750B58">
      <w:pPr>
        <w:pageBreakBefore w:val="0"/>
        <w:widowControl w:val="0"/>
        <w:kinsoku/>
        <w:wordWrap/>
        <w:overflowPunct/>
        <w:topLinePunct w:val="0"/>
        <w:bidi w:val="0"/>
        <w:spacing w:line="360" w:lineRule="auto"/>
        <w:ind w:left="0" w:leftChars="0" w:right="0" w:firstLine="480" w:firstLineChars="200"/>
        <w:jc w:val="both"/>
        <w:outlineLvl w:val="2"/>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b.中标人开具的正式发票；</w:t>
      </w:r>
    </w:p>
    <w:p w14:paraId="6B0EDD83">
      <w:pPr>
        <w:pageBreakBefore w:val="0"/>
        <w:widowControl w:val="0"/>
        <w:kinsoku/>
        <w:wordWrap/>
        <w:overflowPunct/>
        <w:topLinePunct w:val="0"/>
        <w:bidi w:val="0"/>
        <w:spacing w:line="360" w:lineRule="auto"/>
        <w:ind w:left="0" w:leftChars="0" w:right="0" w:firstLine="480" w:firstLineChars="200"/>
        <w:jc w:val="both"/>
        <w:outlineLvl w:val="2"/>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c.中标通知书。</w:t>
      </w:r>
    </w:p>
    <w:p w14:paraId="3F403786">
      <w:pPr>
        <w:pageBreakBefore w:val="0"/>
        <w:widowControl w:val="0"/>
        <w:kinsoku/>
        <w:wordWrap/>
        <w:overflowPunct/>
        <w:topLinePunct w:val="0"/>
        <w:bidi w:val="0"/>
        <w:spacing w:line="360" w:lineRule="auto"/>
        <w:ind w:left="0" w:leftChars="0" w:right="0" w:firstLine="480" w:firstLineChars="200"/>
        <w:jc w:val="both"/>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★供应商必须单独提供书面承诺，不得因为采购人未支付货款拖欠农民工工资，否则采购人有权直接从货款中扣除，直接支付给农民工，并将供应商拖欠农民工工资的行为报有关部门处理。</w:t>
      </w:r>
    </w:p>
    <w:p w14:paraId="48C1A09A">
      <w:pPr>
        <w:pageBreakBefore w:val="0"/>
        <w:widowControl w:val="0"/>
        <w:kinsoku/>
        <w:wordWrap/>
        <w:overflowPunct/>
        <w:topLinePunct w:val="0"/>
        <w:bidi w:val="0"/>
        <w:spacing w:line="360" w:lineRule="auto"/>
        <w:ind w:left="0" w:leftChars="0" w:right="0" w:firstLine="480" w:firstLineChars="200"/>
        <w:jc w:val="both"/>
        <w:outlineLvl w:val="2"/>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w:t>
      </w:r>
      <w:r>
        <w:rPr>
          <w:rFonts w:hint="eastAsia" w:ascii="宋体" w:hAnsi="宋体" w:eastAsia="宋体" w:cs="宋体"/>
          <w:color w:val="000000"/>
          <w:sz w:val="24"/>
          <w:szCs w:val="24"/>
          <w:highlight w:val="none"/>
        </w:rPr>
        <w:t>合同签订</w:t>
      </w:r>
      <w:r>
        <w:rPr>
          <w:rFonts w:hint="eastAsia" w:ascii="宋体" w:hAnsi="宋体" w:cs="宋体"/>
          <w:color w:val="000000"/>
          <w:sz w:val="24"/>
          <w:szCs w:val="24"/>
          <w:highlight w:val="none"/>
          <w:lang w:val="en-US" w:eastAsia="zh-CN"/>
        </w:rPr>
        <w:t>后</w:t>
      </w:r>
      <w:r>
        <w:rPr>
          <w:rFonts w:hint="eastAsia" w:ascii="宋体" w:hAnsi="宋体" w:eastAsia="宋体" w:cs="宋体"/>
          <w:color w:val="000000"/>
          <w:sz w:val="24"/>
          <w:szCs w:val="24"/>
          <w:highlight w:val="none"/>
        </w:rPr>
        <w:t>5 个工作日内中标人向采购人提交金额为合同总额</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%的履约保证金。履约保证金在</w:t>
      </w:r>
      <w:r>
        <w:rPr>
          <w:rFonts w:hint="eastAsia" w:ascii="宋体" w:hAnsi="宋体" w:cs="宋体"/>
          <w:color w:val="000000"/>
          <w:sz w:val="24"/>
          <w:szCs w:val="24"/>
          <w:highlight w:val="none"/>
          <w:lang w:val="en-US" w:eastAsia="zh-CN"/>
        </w:rPr>
        <w:t>验收合格后</w:t>
      </w:r>
      <w:r>
        <w:rPr>
          <w:rFonts w:hint="eastAsia" w:ascii="宋体" w:hAnsi="宋体" w:eastAsia="宋体" w:cs="宋体"/>
          <w:color w:val="000000"/>
          <w:sz w:val="24"/>
          <w:szCs w:val="24"/>
          <w:highlight w:val="none"/>
        </w:rPr>
        <w:t>，由中标人提出申请，凭采购人出具的无质量及违约问题的证明及履约保证金收据，在十五个工作日内无息退还全额履约保证金</w:t>
      </w:r>
      <w:r>
        <w:rPr>
          <w:rFonts w:hint="eastAsia" w:ascii="宋体" w:hAnsi="宋体" w:eastAsia="宋体" w:cs="宋体"/>
          <w:color w:val="000000"/>
          <w:sz w:val="24"/>
          <w:szCs w:val="24"/>
          <w:highlight w:val="none"/>
          <w:lang w:eastAsia="zh-CN"/>
        </w:rPr>
        <w:t>。</w:t>
      </w:r>
    </w:p>
    <w:p w14:paraId="28EC45C9">
      <w:pPr>
        <w:pStyle w:val="13"/>
        <w:keepNext w:val="0"/>
        <w:keepLines w:val="0"/>
        <w:pageBreakBefore w:val="0"/>
        <w:widowControl w:val="0"/>
        <w:kinsoku/>
        <w:wordWrap/>
        <w:overflowPunct/>
        <w:topLinePunct w:val="0"/>
        <w:bidi w:val="0"/>
        <w:adjustRightInd w:val="0"/>
        <w:spacing w:line="360" w:lineRule="auto"/>
        <w:ind w:left="0" w:right="0" w:firstLine="480" w:firstLineChars="200"/>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成交供应商不能因此主张采购人违反合同约定，不能因此主张解除合同。（以提供承诺函响应该条款，格式由供应商自拟。）</w:t>
      </w:r>
    </w:p>
    <w:p w14:paraId="4D21677D">
      <w:pPr>
        <w:keepNext w:val="0"/>
        <w:keepLines w:val="0"/>
        <w:pageBreakBefore w:val="0"/>
        <w:widowControl w:val="0"/>
        <w:kinsoku/>
        <w:wordWrap/>
        <w:overflowPunct/>
        <w:topLinePunct w:val="0"/>
        <w:bidi w:val="0"/>
        <w:adjustRightInd w:val="0"/>
        <w:spacing w:line="360" w:lineRule="auto"/>
        <w:ind w:left="0" w:right="0" w:firstLine="480" w:firstLineChars="20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9.技术服务人员及售后服务队伍要求</w:t>
      </w:r>
    </w:p>
    <w:p w14:paraId="41BCD818">
      <w:pPr>
        <w:pStyle w:val="13"/>
        <w:keepNext w:val="0"/>
        <w:keepLines w:val="0"/>
        <w:pageBreakBefore w:val="0"/>
        <w:widowControl w:val="0"/>
        <w:kinsoku/>
        <w:wordWrap/>
        <w:overflowPunct/>
        <w:topLinePunct w:val="0"/>
        <w:bidi w:val="0"/>
        <w:adjustRightInd w:val="0"/>
        <w:spacing w:line="360" w:lineRule="auto"/>
        <w:ind w:left="0" w:right="0" w:firstLine="480" w:firstLineChars="200"/>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1.中标人需有稳定、专业的服务团队，须指派 1 名项目负责人全程跟踪管理本项目，与采购人保持良好的沟通。项目负责人应有丰富的类似项目经验、有良好的服务态度及沟通能力。</w:t>
      </w:r>
    </w:p>
    <w:p w14:paraId="2D0898FE">
      <w:pPr>
        <w:pStyle w:val="13"/>
        <w:keepNext w:val="0"/>
        <w:keepLines w:val="0"/>
        <w:pageBreakBefore w:val="0"/>
        <w:widowControl w:val="0"/>
        <w:kinsoku/>
        <w:wordWrap/>
        <w:overflowPunct/>
        <w:topLinePunct w:val="0"/>
        <w:bidi w:val="0"/>
        <w:adjustRightInd w:val="0"/>
        <w:spacing w:line="360" w:lineRule="auto"/>
        <w:ind w:left="0" w:right="0" w:firstLine="480" w:firstLineChars="200"/>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2.原则上项目负责人不得随意更换（除离职、生病等不可抗力外），如确需更换应提前 3 个工作日书面通知采购人，征得采购人同意后方可更换，而且更换后的人员水平不得低于原人员。</w:t>
      </w:r>
    </w:p>
    <w:p w14:paraId="7983DA77">
      <w:pPr>
        <w:pStyle w:val="13"/>
        <w:keepNext w:val="0"/>
        <w:keepLines w:val="0"/>
        <w:pageBreakBefore w:val="0"/>
        <w:widowControl w:val="0"/>
        <w:kinsoku/>
        <w:wordWrap/>
        <w:overflowPunct/>
        <w:topLinePunct w:val="0"/>
        <w:bidi w:val="0"/>
        <w:adjustRightInd w:val="0"/>
        <w:spacing w:line="360" w:lineRule="auto"/>
        <w:ind w:left="0" w:right="0" w:firstLine="480" w:firstLineChars="200"/>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3.中标人应当具有完善的物流配送体系和售后服务队伍，且具有履行本项目的供应、种植、</w:t>
      </w:r>
      <w:r>
        <w:rPr>
          <w:rFonts w:hint="eastAsia" w:ascii="宋体" w:hAnsi="宋体" w:cs="宋体"/>
          <w:color w:val="000000"/>
          <w:sz w:val="24"/>
          <w:szCs w:val="24"/>
          <w:highlight w:val="none"/>
          <w:lang w:val="en-US" w:eastAsia="zh-CN" w:bidi="ar-SA"/>
        </w:rPr>
        <w:t>修复、抚育</w:t>
      </w:r>
      <w:r>
        <w:rPr>
          <w:rFonts w:hint="eastAsia" w:ascii="宋体" w:hAnsi="宋体" w:eastAsia="宋体" w:cs="宋体"/>
          <w:color w:val="000000"/>
          <w:sz w:val="24"/>
          <w:szCs w:val="24"/>
          <w:highlight w:val="none"/>
          <w:lang w:val="en-US" w:eastAsia="zh-CN" w:bidi="ar-SA"/>
        </w:rPr>
        <w:t>等专业技术和服务能力。</w:t>
      </w:r>
    </w:p>
    <w:p w14:paraId="596DBEAD">
      <w:pPr>
        <w:pStyle w:val="48"/>
        <w:keepNext w:val="0"/>
        <w:keepLines w:val="0"/>
        <w:pageBreakBefore w:val="0"/>
        <w:widowControl w:val="0"/>
        <w:numPr>
          <w:ilvl w:val="0"/>
          <w:numId w:val="0"/>
        </w:numPr>
        <w:tabs>
          <w:tab w:val="left" w:pos="540"/>
        </w:tabs>
        <w:kinsoku/>
        <w:wordWrap/>
        <w:overflowPunct/>
        <w:topLinePunct w:val="0"/>
        <w:bidi w:val="0"/>
        <w:adjustRightInd w:val="0"/>
        <w:snapToGrid w:val="0"/>
        <w:spacing w:line="360" w:lineRule="auto"/>
        <w:ind w:left="0" w:leftChars="0" w:right="0" w:rightChars="0" w:firstLine="482" w:firstLineChars="200"/>
        <w:jc w:val="left"/>
        <w:textAlignment w:val="baseline"/>
        <w:rPr>
          <w:rFonts w:hint="eastAsia" w:ascii="宋体" w:hAnsi="宋体" w:eastAsia="宋体" w:cs="宋体"/>
          <w:b/>
          <w:bCs/>
          <w:color w:val="000000"/>
          <w:sz w:val="24"/>
          <w:szCs w:val="24"/>
          <w:highlight w:val="none"/>
        </w:rPr>
      </w:pPr>
      <w:r>
        <w:rPr>
          <w:rFonts w:hint="eastAsia" w:hAnsi="宋体" w:cs="Courier New"/>
          <w:b/>
          <w:bCs/>
          <w:color w:val="auto"/>
          <w:kern w:val="2"/>
          <w:sz w:val="24"/>
          <w:szCs w:val="24"/>
          <w:lang w:val="en-US" w:eastAsia="zh-CN" w:bidi="ar-SA"/>
        </w:rPr>
        <w:t>六</w:t>
      </w:r>
      <w:r>
        <w:rPr>
          <w:rFonts w:hint="eastAsia" w:ascii="宋体" w:hAnsi="宋体" w:eastAsia="宋体" w:cs="Courier New"/>
          <w:b/>
          <w:bCs/>
          <w:color w:val="auto"/>
          <w:kern w:val="2"/>
          <w:sz w:val="24"/>
          <w:szCs w:val="24"/>
          <w:lang w:val="en-US" w:eastAsia="zh-CN" w:bidi="ar-SA"/>
        </w:rPr>
        <w:t>、</w:t>
      </w:r>
      <w:r>
        <w:rPr>
          <w:rFonts w:hint="eastAsia" w:ascii="宋体" w:hAnsi="宋体" w:eastAsia="宋体" w:cs="宋体"/>
          <w:b/>
          <w:bCs/>
          <w:color w:val="000000"/>
          <w:sz w:val="24"/>
          <w:szCs w:val="24"/>
          <w:highlight w:val="none"/>
        </w:rPr>
        <w:t>诚信履约</w:t>
      </w:r>
    </w:p>
    <w:p w14:paraId="699B90BD">
      <w:pPr>
        <w:pStyle w:val="179"/>
        <w:keepNext w:val="0"/>
        <w:keepLines w:val="0"/>
        <w:pageBreakBefore w:val="0"/>
        <w:widowControl w:val="0"/>
        <w:kinsoku/>
        <w:wordWrap/>
        <w:overflowPunct/>
        <w:topLinePunct w:val="0"/>
        <w:bidi w:val="0"/>
        <w:adjustRightInd w:val="0"/>
        <w:spacing w:line="360" w:lineRule="auto"/>
        <w:ind w:left="0" w:leftChars="0" w:right="0" w:firstLine="480" w:firstLineChars="200"/>
        <w:textAlignment w:val="baseline"/>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rPr>
        <w:t>投标方可以有预见地参照“有效报价提示一”情形的要求， 投标文件预先提供书面说明和成本清单等相关证明材料，也可以预先准备好书面说明和必要的相关证明材料。如果评标委员会认为此报价有可能影响产品质量或者不能诚信履约而要求投标方作出书面说明或必要时提交相关证明材料，投标方能够在评标现场合理的时间内提供。如果投标方不能证明其报价合理性的，评标委员会应当将其作为无效投标处理。</w:t>
      </w:r>
    </w:p>
    <w:p w14:paraId="5FC9A210">
      <w:pPr>
        <w:pageBreakBefore w:val="0"/>
        <w:kinsoku/>
        <w:wordWrap/>
        <w:overflowPunct/>
        <w:topLinePunct w:val="0"/>
        <w:bidi w:val="0"/>
        <w:spacing w:line="360" w:lineRule="auto"/>
        <w:ind w:left="0" w:leftChars="0" w:right="0" w:firstLine="482" w:firstLineChars="200"/>
        <w:jc w:val="left"/>
        <w:rPr>
          <w:rFonts w:hint="eastAsia"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七</w:t>
      </w:r>
      <w:r>
        <w:rPr>
          <w:rFonts w:hint="eastAsia" w:ascii="宋体" w:hAnsi="宋体" w:eastAsia="宋体" w:cs="宋体"/>
          <w:b/>
          <w:bCs/>
          <w:color w:val="000000"/>
          <w:sz w:val="24"/>
          <w:szCs w:val="24"/>
          <w:highlight w:val="none"/>
          <w:lang w:val="en-US" w:eastAsia="zh-CN"/>
        </w:rPr>
        <w:t>、替补候选人的设定与使用</w:t>
      </w:r>
    </w:p>
    <w:p w14:paraId="42747468">
      <w:pPr>
        <w:pStyle w:val="196"/>
        <w:pageBreakBefore w:val="0"/>
        <w:kinsoku/>
        <w:wordWrap/>
        <w:overflowPunct/>
        <w:topLinePunct w:val="0"/>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b/>
          <w:bCs/>
          <w:color w:val="000000"/>
          <w:sz w:val="24"/>
          <w:szCs w:val="24"/>
          <w:highlight w:val="none"/>
          <w:lang w:val="en-US" w:eastAsia="zh-CN"/>
        </w:rPr>
        <w:t>如果中标供应商不能按照招标文件要求及投标文件的承诺签订中标合同，或经核定中标供应商的投标文件与事实不符，从而影响公平、公正及影响中标合同执行时，采购人有权取消该其中标供应商的中标资格，确定排名在中标供应商之后第一位的投标供应商为中标供应商或依法重新招标。</w:t>
      </w:r>
    </w:p>
    <w:p w14:paraId="52B5C736">
      <w:pPr>
        <w:keepNext w:val="0"/>
        <w:keepLines w:val="0"/>
        <w:pageBreakBefore w:val="0"/>
        <w:widowControl w:val="0"/>
        <w:kinsoku/>
        <w:wordWrap/>
        <w:overflowPunct/>
        <w:topLinePunct w:val="0"/>
        <w:bidi w:val="0"/>
        <w:adjustRightInd w:val="0"/>
        <w:spacing w:line="360" w:lineRule="auto"/>
        <w:ind w:left="0" w:right="0" w:firstLine="0"/>
        <w:jc w:val="lef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2.★如果所有中标候选人均无法签订合同，采购人将依法重新招标或更改采购形式，对受影响的响应供应商不承担任何责任</w:t>
      </w:r>
      <w:r>
        <w:rPr>
          <w:rFonts w:hint="eastAsia" w:ascii="宋体" w:hAnsi="宋体" w:eastAsia="宋体" w:cs="宋体"/>
          <w:color w:val="000000"/>
          <w:sz w:val="21"/>
          <w:szCs w:val="21"/>
          <w:highlight w:val="none"/>
          <w:lang w:val="en-US" w:eastAsia="zh-CN"/>
        </w:rPr>
        <w:t>。</w:t>
      </w:r>
    </w:p>
    <w:p w14:paraId="1355287B">
      <w:pPr>
        <w:autoSpaceDE w:val="0"/>
        <w:autoSpaceDN w:val="0"/>
        <w:rPr>
          <w:rFonts w:hint="eastAsia" w:ascii="宋体" w:hAnsi="宋体" w:eastAsia="宋体" w:cs="宋体"/>
          <w:bCs/>
          <w:highlight w:val="none"/>
        </w:rPr>
      </w:pPr>
    </w:p>
    <w:p w14:paraId="05A950AE">
      <w:pPr>
        <w:rPr>
          <w:rFonts w:hint="eastAsia" w:ascii="宋体" w:hAnsi="宋体" w:eastAsia="宋体" w:cs="宋体"/>
          <w:highlight w:val="none"/>
        </w:rPr>
      </w:pPr>
    </w:p>
    <w:p w14:paraId="4506603E">
      <w:pPr>
        <w:autoSpaceDE w:val="0"/>
        <w:autoSpaceDN w:val="0"/>
        <w:adjustRightInd w:val="0"/>
        <w:spacing w:line="400" w:lineRule="exact"/>
        <w:jc w:val="left"/>
        <w:rPr>
          <w:rFonts w:hint="eastAsia" w:ascii="宋体" w:hAnsi="宋体" w:eastAsia="宋体" w:cs="宋体"/>
          <w:b/>
          <w:bCs/>
          <w:kern w:val="0"/>
          <w:sz w:val="28"/>
          <w:szCs w:val="28"/>
          <w:highlight w:val="none"/>
        </w:rPr>
      </w:pPr>
      <w:r>
        <w:rPr>
          <w:rFonts w:hint="eastAsia" w:ascii="宋体" w:hAnsi="宋体" w:eastAsia="宋体" w:cs="宋体"/>
          <w:b/>
          <w:sz w:val="36"/>
          <w:szCs w:val="36"/>
          <w:highlight w:val="none"/>
        </w:rPr>
        <w:br w:type="page"/>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Start w:id="250" w:name="_Toc20987"/>
    </w:p>
    <w:bookmarkEnd w:id="250"/>
    <w:p w14:paraId="1662B284">
      <w:pPr>
        <w:pageBreakBefore w:val="0"/>
        <w:widowControl w:val="0"/>
        <w:numPr>
          <w:ilvl w:val="0"/>
          <w:numId w:val="0"/>
        </w:numPr>
        <w:kinsoku/>
        <w:wordWrap/>
        <w:overflowPunct/>
        <w:topLinePunct w:val="0"/>
        <w:autoSpaceDE/>
        <w:autoSpaceDN/>
        <w:bidi w:val="0"/>
        <w:spacing w:line="440" w:lineRule="exact"/>
        <w:ind w:right="62" w:rightChars="0"/>
        <w:jc w:val="center"/>
        <w:textAlignment w:val="auto"/>
        <w:outlineLvl w:val="0"/>
        <w:rPr>
          <w:rFonts w:hint="eastAsia" w:ascii="宋体" w:hAnsi="宋体" w:eastAsia="宋体" w:cs="宋体"/>
          <w:b/>
          <w:kern w:val="2"/>
          <w:sz w:val="28"/>
          <w:szCs w:val="28"/>
          <w:highlight w:val="none"/>
          <w:lang w:val="en-US" w:eastAsia="zh-CN" w:bidi="ar-SA"/>
        </w:rPr>
      </w:pPr>
      <w:bookmarkStart w:id="251" w:name="_Toc2874"/>
      <w:r>
        <w:rPr>
          <w:rFonts w:hint="eastAsia" w:ascii="宋体" w:hAnsi="宋体" w:eastAsia="宋体" w:cs="宋体"/>
          <w:b/>
          <w:kern w:val="2"/>
          <w:sz w:val="28"/>
          <w:szCs w:val="28"/>
          <w:highlight w:val="none"/>
          <w:lang w:val="en-US" w:eastAsia="zh-CN" w:bidi="ar-SA"/>
        </w:rPr>
        <w:t xml:space="preserve">第六章  </w:t>
      </w:r>
      <w:bookmarkEnd w:id="251"/>
      <w:r>
        <w:rPr>
          <w:rFonts w:hint="eastAsia" w:ascii="宋体" w:hAnsi="宋体" w:eastAsia="宋体" w:cs="宋体"/>
          <w:b/>
          <w:kern w:val="2"/>
          <w:sz w:val="28"/>
          <w:szCs w:val="28"/>
          <w:highlight w:val="none"/>
          <w:lang w:val="en-US" w:eastAsia="zh-CN" w:bidi="ar-SA"/>
        </w:rPr>
        <w:t>拟签订的合同文本</w:t>
      </w:r>
    </w:p>
    <w:p w14:paraId="41B20FC3">
      <w:pPr>
        <w:tabs>
          <w:tab w:val="left" w:pos="720"/>
        </w:tabs>
        <w:spacing w:line="360" w:lineRule="auto"/>
        <w:jc w:val="center"/>
        <w:rPr>
          <w:rFonts w:hint="eastAsia" w:ascii="宋体" w:hAnsi="宋体" w:eastAsia="宋体" w:cs="宋体"/>
          <w:b/>
          <w:color w:val="000000"/>
          <w:sz w:val="24"/>
          <w:szCs w:val="24"/>
          <w:highlight w:val="none"/>
        </w:rPr>
      </w:pPr>
      <w:bookmarkStart w:id="252" w:name="_Toc11035"/>
      <w:bookmarkStart w:id="253" w:name="_Toc9510643"/>
      <w:bookmarkStart w:id="254" w:name="_Toc25342"/>
      <w:bookmarkStart w:id="255" w:name="_Toc19415"/>
      <w:bookmarkStart w:id="256" w:name="_Toc6125"/>
      <w:r>
        <w:rPr>
          <w:rFonts w:hint="eastAsia" w:ascii="宋体" w:hAnsi="宋体" w:eastAsia="宋体" w:cs="宋体"/>
          <w:b/>
          <w:color w:val="000000"/>
          <w:sz w:val="24"/>
          <w:szCs w:val="24"/>
          <w:highlight w:val="none"/>
        </w:rPr>
        <w:t>合同通用条款</w:t>
      </w:r>
    </w:p>
    <w:p w14:paraId="52FD785F">
      <w:pPr>
        <w:spacing w:line="48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注：本合同条款仅供参考之用，最终以甲乙双方共同拟定并协商一致的为准。</w:t>
      </w:r>
    </w:p>
    <w:p w14:paraId="086962B8">
      <w:pPr>
        <w:pStyle w:val="13"/>
        <w:spacing w:after="0"/>
        <w:jc w:val="center"/>
        <w:rPr>
          <w:rFonts w:ascii="宋体" w:hAnsi="宋体" w:cs="宋体"/>
          <w:b/>
          <w:bCs/>
          <w:spacing w:val="-20"/>
          <w:kern w:val="44"/>
          <w:sz w:val="48"/>
          <w:szCs w:val="48"/>
        </w:rPr>
      </w:pPr>
      <w:bookmarkStart w:id="257" w:name="_Toc3995"/>
    </w:p>
    <w:p w14:paraId="3C75B0D0">
      <w:pPr>
        <w:pStyle w:val="13"/>
        <w:spacing w:after="0"/>
        <w:jc w:val="center"/>
        <w:rPr>
          <w:rFonts w:ascii="宋体" w:hAnsi="宋体" w:cs="宋体"/>
          <w:b/>
          <w:bCs/>
          <w:spacing w:val="-20"/>
          <w:kern w:val="44"/>
          <w:sz w:val="48"/>
          <w:szCs w:val="48"/>
        </w:rPr>
      </w:pPr>
    </w:p>
    <w:p w14:paraId="32513AF4">
      <w:pPr>
        <w:pStyle w:val="13"/>
        <w:spacing w:after="0"/>
        <w:jc w:val="center"/>
        <w:rPr>
          <w:rFonts w:ascii="宋体" w:hAnsi="宋体" w:cs="宋体"/>
          <w:b/>
          <w:bCs/>
          <w:spacing w:val="-20"/>
          <w:kern w:val="44"/>
          <w:sz w:val="48"/>
          <w:szCs w:val="48"/>
        </w:rPr>
      </w:pPr>
    </w:p>
    <w:p w14:paraId="3CA75C99">
      <w:pPr>
        <w:pStyle w:val="13"/>
        <w:spacing w:after="0"/>
        <w:jc w:val="center"/>
        <w:rPr>
          <w:rFonts w:ascii="宋体" w:hAnsi="宋体" w:cs="宋体"/>
          <w:b/>
          <w:bCs/>
          <w:spacing w:val="-20"/>
          <w:kern w:val="44"/>
          <w:sz w:val="48"/>
          <w:szCs w:val="48"/>
        </w:rPr>
      </w:pPr>
    </w:p>
    <w:p w14:paraId="6466F35D">
      <w:pPr>
        <w:pStyle w:val="13"/>
        <w:spacing w:after="0"/>
        <w:jc w:val="center"/>
        <w:rPr>
          <w:rFonts w:ascii="宋体" w:hAnsi="宋体" w:cs="宋体"/>
          <w:b/>
          <w:bCs/>
          <w:spacing w:val="-20"/>
          <w:kern w:val="44"/>
          <w:sz w:val="48"/>
          <w:szCs w:val="48"/>
        </w:rPr>
      </w:pPr>
    </w:p>
    <w:p w14:paraId="7CF7573D">
      <w:pPr>
        <w:pStyle w:val="13"/>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76775E75">
      <w:pPr>
        <w:pStyle w:val="13"/>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6550091B">
      <w:pPr>
        <w:rPr>
          <w:rFonts w:ascii="宋体" w:hAnsi="宋体" w:cs="宋体"/>
          <w:b/>
          <w:bCs/>
          <w:spacing w:val="-20"/>
          <w:kern w:val="44"/>
          <w:sz w:val="40"/>
          <w:szCs w:val="40"/>
        </w:rPr>
      </w:pPr>
    </w:p>
    <w:p w14:paraId="35AF545A">
      <w:pPr>
        <w:rPr>
          <w:rFonts w:ascii="宋体" w:hAnsi="宋体" w:cs="宋体"/>
          <w:b/>
          <w:bCs/>
          <w:spacing w:val="-20"/>
          <w:kern w:val="44"/>
          <w:sz w:val="40"/>
          <w:szCs w:val="40"/>
        </w:rPr>
      </w:pPr>
    </w:p>
    <w:p w14:paraId="2DC1D5AA">
      <w:pPr>
        <w:rPr>
          <w:rFonts w:ascii="宋体" w:hAnsi="宋体" w:cs="宋体"/>
          <w:b/>
          <w:bCs/>
          <w:spacing w:val="-20"/>
          <w:kern w:val="44"/>
          <w:sz w:val="40"/>
          <w:szCs w:val="40"/>
        </w:rPr>
      </w:pPr>
    </w:p>
    <w:p w14:paraId="5C9BBBEE">
      <w:pPr>
        <w:spacing w:line="360" w:lineRule="auto"/>
        <w:ind w:left="58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E3F3BC9">
      <w:pPr>
        <w:spacing w:line="360" w:lineRule="auto"/>
        <w:ind w:left="580" w:leftChars="200"/>
        <w:rPr>
          <w:sz w:val="32"/>
          <w:szCs w:val="32"/>
          <w:u w:val="single"/>
        </w:rPr>
      </w:pPr>
      <w:r>
        <w:rPr>
          <w:rFonts w:hint="eastAsia"/>
          <w:sz w:val="32"/>
          <w:szCs w:val="32"/>
        </w:rPr>
        <w:t>合同编号：</w:t>
      </w:r>
      <w:r>
        <w:rPr>
          <w:rFonts w:hint="eastAsia"/>
          <w:sz w:val="32"/>
          <w:szCs w:val="32"/>
          <w:u w:val="single"/>
        </w:rPr>
        <w:t xml:space="preserve">                             </w:t>
      </w:r>
    </w:p>
    <w:p w14:paraId="6999A0EB">
      <w:pPr>
        <w:spacing w:line="360" w:lineRule="auto"/>
        <w:ind w:left="580" w:leftChars="200"/>
        <w:rPr>
          <w:sz w:val="32"/>
          <w:szCs w:val="32"/>
        </w:rPr>
      </w:pPr>
      <w:r>
        <w:rPr>
          <w:rFonts w:hint="eastAsia"/>
          <w:sz w:val="32"/>
          <w:szCs w:val="32"/>
        </w:rPr>
        <w:t>甲    方：</w:t>
      </w:r>
      <w:r>
        <w:rPr>
          <w:rFonts w:hint="eastAsia"/>
          <w:sz w:val="32"/>
          <w:szCs w:val="32"/>
          <w:u w:val="single"/>
        </w:rPr>
        <w:t xml:space="preserve">                             </w:t>
      </w:r>
    </w:p>
    <w:p w14:paraId="33634B4A">
      <w:pPr>
        <w:spacing w:line="360" w:lineRule="auto"/>
        <w:ind w:left="580" w:leftChars="200"/>
        <w:rPr>
          <w:sz w:val="32"/>
          <w:szCs w:val="32"/>
          <w:u w:val="single"/>
        </w:rPr>
      </w:pPr>
      <w:r>
        <w:rPr>
          <w:rFonts w:hint="eastAsia"/>
          <w:sz w:val="32"/>
          <w:szCs w:val="32"/>
        </w:rPr>
        <w:t>乙    方：</w:t>
      </w:r>
      <w:r>
        <w:rPr>
          <w:rFonts w:hint="eastAsia"/>
          <w:sz w:val="32"/>
          <w:szCs w:val="32"/>
          <w:u w:val="single"/>
        </w:rPr>
        <w:t xml:space="preserve">                             </w:t>
      </w:r>
    </w:p>
    <w:p w14:paraId="6E7355A8">
      <w:pPr>
        <w:spacing w:line="360" w:lineRule="auto"/>
        <w:ind w:left="58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91930E5"/>
    <w:p w14:paraId="7E77DB9C">
      <w:pPr>
        <w:rPr>
          <w:rFonts w:eastAsia="黑体"/>
          <w:sz w:val="44"/>
          <w:szCs w:val="44"/>
        </w:rPr>
      </w:pPr>
      <w:r>
        <w:rPr>
          <w:rFonts w:eastAsia="黑体"/>
          <w:sz w:val="44"/>
          <w:szCs w:val="44"/>
        </w:rPr>
        <w:br w:type="page"/>
      </w:r>
    </w:p>
    <w:p w14:paraId="140AAF9F">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3E5E46C3">
      <w:pPr>
        <w:ind w:firstLine="640" w:firstLineChars="200"/>
        <w:rPr>
          <w:rFonts w:hint="eastAsia" w:ascii="仿宋_GB2312" w:hAnsi="仿宋_GB2312" w:eastAsia="仿宋_GB2312" w:cs="仿宋_GB2312"/>
          <w:sz w:val="32"/>
          <w:szCs w:val="32"/>
          <w:lang w:val="en-US" w:eastAsia="zh-CN"/>
        </w:rPr>
      </w:pPr>
    </w:p>
    <w:p w14:paraId="7C47A50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4E364DE3">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0DAA7C05">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w:t>
      </w:r>
      <w:r>
        <w:rPr>
          <w:rFonts w:hint="eastAsia" w:ascii="仿宋_GB2312" w:hAnsi="仿宋_GB2312" w:eastAsia="仿宋_GB2312" w:cs="仿宋_GB2312"/>
          <w:sz w:val="32"/>
          <w:szCs w:val="32"/>
          <w:highlight w:val="none"/>
          <w:lang w:val="en-US" w:eastAsia="zh-CN"/>
        </w:rPr>
        <w:t>况添加信息项。</w:t>
      </w:r>
    </w:p>
    <w:p w14:paraId="4EC035F3">
      <w:pPr>
        <w:ind w:firstLine="880" w:firstLineChars="200"/>
        <w:jc w:val="both"/>
        <w:rPr>
          <w:rFonts w:eastAsia="黑体"/>
          <w:sz w:val="44"/>
          <w:szCs w:val="44"/>
          <w:highlight w:val="none"/>
        </w:rPr>
        <w:sectPr>
          <w:headerReference r:id="rId15" w:type="default"/>
          <w:footerReference r:id="rId1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257"/>
    <w:p w14:paraId="417A7D0B">
      <w:pPr>
        <w:pStyle w:val="6"/>
        <w:adjustRightInd w:val="0"/>
        <w:snapToGrid w:val="0"/>
        <w:spacing w:beforeLines="0" w:line="400" w:lineRule="exact"/>
        <w:jc w:val="center"/>
        <w:rPr>
          <w:rFonts w:hint="eastAsia" w:ascii="黑体" w:hAnsi="黑体" w:eastAsia="黑体"/>
          <w:sz w:val="28"/>
          <w:szCs w:val="28"/>
          <w:highlight w:val="none"/>
        </w:rPr>
      </w:pPr>
      <w:bookmarkStart w:id="258" w:name="_Toc22209"/>
    </w:p>
    <w:p w14:paraId="2A116DFC">
      <w:pPr>
        <w:pStyle w:val="6"/>
        <w:adjustRightInd w:val="0"/>
        <w:snapToGrid w:val="0"/>
        <w:spacing w:beforeLines="0" w:line="400" w:lineRule="exact"/>
        <w:jc w:val="center"/>
        <w:rPr>
          <w:rFonts w:hint="eastAsia" w:ascii="黑体" w:hAnsi="华文中宋" w:eastAsia="黑体"/>
          <w:b w:val="0"/>
          <w:bCs w:val="0"/>
          <w:sz w:val="28"/>
          <w:szCs w:val="28"/>
          <w:highlight w:val="none"/>
        </w:rPr>
      </w:pPr>
      <w:r>
        <w:rPr>
          <w:rFonts w:hint="eastAsia" w:ascii="黑体" w:hAnsi="黑体" w:eastAsia="黑体"/>
          <w:b w:val="0"/>
          <w:bCs w:val="0"/>
          <w:sz w:val="28"/>
          <w:szCs w:val="28"/>
          <w:highlight w:val="none"/>
        </w:rPr>
        <w:t xml:space="preserve">第一节 </w:t>
      </w:r>
      <w:r>
        <w:rPr>
          <w:rFonts w:hint="eastAsia" w:ascii="黑体" w:hAnsi="华文中宋" w:eastAsia="黑体"/>
          <w:b w:val="0"/>
          <w:bCs w:val="0"/>
          <w:sz w:val="28"/>
          <w:szCs w:val="28"/>
          <w:highlight w:val="none"/>
        </w:rPr>
        <w:t>政府采购合同协议书</w:t>
      </w:r>
      <w:bookmarkEnd w:id="258"/>
    </w:p>
    <w:p w14:paraId="5C18FEED">
      <w:pPr>
        <w:pStyle w:val="6"/>
        <w:adjustRightInd w:val="0"/>
        <w:snapToGrid w:val="0"/>
        <w:spacing w:beforeLines="0" w:line="400" w:lineRule="exact"/>
        <w:jc w:val="center"/>
        <w:rPr>
          <w:rFonts w:hint="eastAsia" w:ascii="黑体" w:hAnsi="华文中宋" w:eastAsia="黑体"/>
          <w:b w:val="0"/>
          <w:bCs w:val="0"/>
          <w:sz w:val="28"/>
          <w:szCs w:val="28"/>
          <w:highlight w:val="none"/>
        </w:rPr>
      </w:pPr>
    </w:p>
    <w:p w14:paraId="32CB1C80">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甲方（全称）：</w:t>
      </w:r>
      <w:r>
        <w:rPr>
          <w:rFonts w:hint="eastAsia" w:ascii="宋体" w:hAnsi="宋体"/>
          <w:szCs w:val="21"/>
          <w:highlight w:val="none"/>
          <w:u w:val="single"/>
        </w:rPr>
        <w:t xml:space="preserve">                        </w:t>
      </w:r>
      <w:r>
        <w:rPr>
          <w:rFonts w:hint="eastAsia" w:ascii="宋体" w:hAnsi="宋体"/>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或采购</w:t>
      </w:r>
      <w:r>
        <w:rPr>
          <w:rFonts w:hint="eastAsia" w:ascii="宋体" w:hAnsi="宋体"/>
          <w:szCs w:val="21"/>
          <w:highlight w:val="none"/>
          <w:lang w:val="en-US" w:eastAsia="zh-CN"/>
        </w:rPr>
        <w:tab/>
      </w:r>
      <w:r>
        <w:rPr>
          <w:rFonts w:hint="eastAsia" w:ascii="宋体" w:hAnsi="宋体"/>
          <w:szCs w:val="21"/>
          <w:highlight w:val="none"/>
          <w:lang w:val="en-US" w:eastAsia="zh-CN"/>
        </w:rPr>
        <w:t xml:space="preserve">                                   </w:t>
      </w:r>
      <w:r>
        <w:rPr>
          <w:rFonts w:hint="eastAsia" w:ascii="宋体" w:hAnsi="宋体"/>
          <w:szCs w:val="21"/>
          <w:highlight w:val="none"/>
        </w:rPr>
        <w:t>文件约定的合同甲方）</w:t>
      </w:r>
    </w:p>
    <w:p w14:paraId="7BD41D25">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乙方</w:t>
      </w:r>
      <w:r>
        <w:rPr>
          <w:rFonts w:hint="eastAsia" w:ascii="宋体" w:hAnsi="宋体"/>
          <w:szCs w:val="21"/>
          <w:highlight w:val="none"/>
          <w:lang w:val="en-US" w:eastAsia="zh-CN"/>
        </w:rPr>
        <w:t>1</w:t>
      </w:r>
      <w:r>
        <w:rPr>
          <w:rFonts w:hint="eastAsia" w:ascii="宋体" w:hAnsi="宋体"/>
          <w:szCs w:val="21"/>
          <w:highlight w:val="none"/>
        </w:rPr>
        <w:t>（全称）：</w:t>
      </w:r>
      <w:r>
        <w:rPr>
          <w:rFonts w:hint="eastAsia" w:ascii="宋体" w:hAnsi="宋体"/>
          <w:szCs w:val="21"/>
          <w:highlight w:val="none"/>
          <w:u w:val="single"/>
        </w:rPr>
        <w:t xml:space="preserve">                       </w:t>
      </w:r>
      <w:r>
        <w:rPr>
          <w:rFonts w:hint="eastAsia" w:ascii="宋体" w:hAnsi="宋体"/>
          <w:szCs w:val="21"/>
          <w:highlight w:val="none"/>
        </w:rPr>
        <w:t>（供应商）</w:t>
      </w:r>
    </w:p>
    <w:p w14:paraId="27C2F525">
      <w:pPr>
        <w:adjustRightInd w:val="0"/>
        <w:snapToGrid w:val="0"/>
        <w:spacing w:before="0" w:beforeLines="0" w:line="400" w:lineRule="exact"/>
        <w:rPr>
          <w:rFonts w:hint="eastAsia" w:ascii="宋体" w:hAnsi="宋体"/>
          <w:szCs w:val="21"/>
          <w:highlight w:val="none"/>
        </w:rPr>
      </w:pPr>
      <w:r>
        <w:rPr>
          <w:rFonts w:hint="eastAsia" w:ascii="宋体" w:hAnsi="宋体"/>
          <w:szCs w:val="21"/>
          <w:highlight w:val="none"/>
        </w:rPr>
        <w:t>乙方2（全称）：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462DA32A">
      <w:pPr>
        <w:adjustRightInd w:val="0"/>
        <w:snapToGrid w:val="0"/>
        <w:spacing w:before="0" w:beforeLines="0" w:line="400" w:lineRule="exact"/>
        <w:rPr>
          <w:rFonts w:hint="eastAsia" w:ascii="宋体" w:hAnsi="宋体"/>
          <w:szCs w:val="21"/>
          <w:highlight w:val="none"/>
        </w:rPr>
      </w:pPr>
      <w:r>
        <w:rPr>
          <w:rFonts w:hint="eastAsia"/>
          <w:highlight w:val="none"/>
          <w:lang w:eastAsia="zh-CN"/>
        </w:rPr>
        <w:t>乙方</w:t>
      </w:r>
      <w:r>
        <w:rPr>
          <w:rFonts w:hint="eastAsia" w:ascii="宋体" w:hAnsi="宋体"/>
          <w:szCs w:val="21"/>
          <w:highlight w:val="none"/>
          <w:lang w:val="en-US" w:eastAsia="zh-CN"/>
        </w:rPr>
        <w:t>3</w:t>
      </w:r>
      <w:r>
        <w:rPr>
          <w:rFonts w:hint="eastAsia"/>
          <w:highlight w:val="none"/>
          <w:lang w:val="en-US" w:eastAsia="zh-CN"/>
        </w:rPr>
        <w:t>（全称）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33AE460C">
      <w:pPr>
        <w:spacing w:beforeLines="0" w:line="400" w:lineRule="exact"/>
        <w:rPr>
          <w:rFonts w:hint="default" w:eastAsia="宋体"/>
          <w:highlight w:val="none"/>
          <w:lang w:val="en-US" w:eastAsia="zh-CN"/>
        </w:rPr>
      </w:pPr>
    </w:p>
    <w:p w14:paraId="19ADE2E9">
      <w:pPr>
        <w:pStyle w:val="41"/>
        <w:adjustRightInd w:val="0"/>
        <w:snapToGrid w:val="0"/>
        <w:spacing w:before="0" w:beforeLines="0" w:after="0" w:line="400" w:lineRule="exact"/>
        <w:ind w:left="0" w:leftChars="0" w:firstLine="420" w:firstLineChars="200"/>
        <w:rPr>
          <w:rFonts w:ascii="宋体" w:hAnsi="宋体"/>
          <w:szCs w:val="21"/>
          <w:highlight w:val="none"/>
        </w:rPr>
      </w:pPr>
      <w:r>
        <w:rPr>
          <w:rFonts w:hint="eastAsia" w:ascii="宋体" w:hAnsi="宋体"/>
          <w:szCs w:val="21"/>
          <w:highlight w:val="none"/>
        </w:rPr>
        <w:t>依据《中华人民共和国民法典</w:t>
      </w:r>
      <w:r>
        <w:rPr>
          <w:rFonts w:hint="eastAsia" w:ascii="宋体" w:hAnsi="宋体"/>
          <w:szCs w:val="21"/>
          <w:highlight w:val="none"/>
          <w:lang w:eastAsia="zh-CN"/>
        </w:rPr>
        <w:t>》《</w:t>
      </w:r>
      <w:r>
        <w:rPr>
          <w:rFonts w:hint="eastAsia" w:ascii="宋体" w:hAnsi="宋体"/>
          <w:szCs w:val="21"/>
          <w:highlight w:val="none"/>
        </w:rPr>
        <w:t>中华人民共和国政府采购法》等有关的法律法规，以及</w:t>
      </w:r>
      <w:r>
        <w:rPr>
          <w:rFonts w:hint="eastAsia" w:ascii="宋体" w:hAnsi="宋体"/>
          <w:i w:val="0"/>
          <w:iCs w:val="0"/>
          <w:szCs w:val="21"/>
          <w:highlight w:val="none"/>
          <w:u w:val="none"/>
          <w:lang w:eastAsia="zh-CN"/>
        </w:rPr>
        <w:t>本采购项目</w:t>
      </w:r>
      <w:r>
        <w:rPr>
          <w:rFonts w:hint="eastAsia" w:ascii="宋体" w:hAnsi="宋体"/>
          <w:szCs w:val="21"/>
          <w:highlight w:val="none"/>
        </w:rPr>
        <w:t>的</w:t>
      </w:r>
      <w:r>
        <w:rPr>
          <w:rFonts w:hint="eastAsia" w:ascii="宋体" w:hAnsi="宋体"/>
          <w:szCs w:val="21"/>
          <w:highlight w:val="none"/>
          <w:lang w:eastAsia="zh-CN"/>
        </w:rPr>
        <w:t>招标</w:t>
      </w:r>
      <w:r>
        <w:rPr>
          <w:rFonts w:hint="eastAsia" w:ascii="宋体" w:hAnsi="宋体"/>
          <w:szCs w:val="21"/>
          <w:highlight w:val="none"/>
          <w:lang w:val="en-US" w:eastAsia="zh-CN"/>
        </w:rPr>
        <w:t>/谈判</w:t>
      </w:r>
      <w:r>
        <w:rPr>
          <w:rFonts w:hint="eastAsia" w:ascii="宋体" w:hAnsi="宋体"/>
          <w:szCs w:val="21"/>
          <w:highlight w:val="none"/>
          <w:lang w:eastAsia="zh-CN"/>
        </w:rPr>
        <w:t>文件等</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 xml:space="preserve">乙方的《投标（响应）文件》及《中标（成交）通知书》，甲乙双方同意签订本合同。具体情况及要求如下：     </w:t>
      </w:r>
    </w:p>
    <w:p w14:paraId="2AE6977D">
      <w:pPr>
        <w:numPr>
          <w:ilvl w:val="0"/>
          <w:numId w:val="15"/>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项目信息</w:t>
      </w:r>
    </w:p>
    <w:p w14:paraId="6FA793EF">
      <w:pPr>
        <w:pStyle w:val="41"/>
        <w:numPr>
          <w:ilvl w:val="0"/>
          <w:numId w:val="16"/>
        </w:numPr>
        <w:adjustRightInd w:val="0"/>
        <w:snapToGrid w:val="0"/>
        <w:spacing w:before="0" w:beforeLines="0" w:after="0" w:line="400" w:lineRule="exact"/>
        <w:ind w:left="0" w:leftChars="0" w:firstLine="420" w:firstLineChars="200"/>
        <w:rPr>
          <w:rFonts w:ascii="宋体" w:hAnsi="宋体"/>
          <w:szCs w:val="21"/>
          <w:highlight w:val="none"/>
          <w:u w:val="single"/>
        </w:rPr>
      </w:pPr>
      <w:r>
        <w:rPr>
          <w:rFonts w:hint="eastAsia" w:ascii="宋体" w:hAnsi="宋体"/>
          <w:szCs w:val="21"/>
          <w:highlight w:val="none"/>
        </w:rPr>
        <w:t>采购项目名称：</w:t>
      </w:r>
      <w:r>
        <w:rPr>
          <w:rFonts w:ascii="宋体" w:hAnsi="宋体"/>
          <w:szCs w:val="21"/>
          <w:highlight w:val="none"/>
          <w:u w:val="single"/>
        </w:rPr>
        <w:t xml:space="preserve">                                          </w:t>
      </w:r>
    </w:p>
    <w:p w14:paraId="53973725">
      <w:pPr>
        <w:pStyle w:val="41"/>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highlight w:val="none"/>
          <w:u w:val="none"/>
          <w:lang w:val="en-US" w:eastAsia="zh-CN"/>
        </w:rPr>
      </w:pPr>
      <w:r>
        <w:rPr>
          <w:rFonts w:hint="eastAsia" w:ascii="宋体" w:hAnsi="宋体"/>
          <w:szCs w:val="21"/>
          <w:highlight w:val="none"/>
          <w:u w:val="none"/>
          <w:lang w:val="en-US" w:eastAsia="zh-CN"/>
        </w:rPr>
        <w:t xml:space="preserve">         采购项目编号：</w:t>
      </w:r>
      <w:r>
        <w:rPr>
          <w:rFonts w:ascii="宋体" w:hAnsi="宋体"/>
          <w:szCs w:val="21"/>
          <w:highlight w:val="none"/>
          <w:u w:val="single"/>
        </w:rPr>
        <w:t xml:space="preserve">                                          </w:t>
      </w:r>
    </w:p>
    <w:p w14:paraId="6D11C501">
      <w:pPr>
        <w:pStyle w:val="41"/>
        <w:adjustRightInd w:val="0"/>
        <w:snapToGrid w:val="0"/>
        <w:spacing w:before="0" w:beforeLines="0" w:after="0" w:line="400" w:lineRule="exact"/>
        <w:ind w:left="0" w:leftChars="0" w:firstLine="420" w:firstLineChars="200"/>
        <w:rPr>
          <w:rFonts w:ascii="宋体" w:hAnsi="宋体"/>
          <w:szCs w:val="21"/>
          <w:highlight w:val="none"/>
        </w:rPr>
      </w:pPr>
      <w:r>
        <w:rPr>
          <w:rFonts w:hint="eastAsia" w:ascii="宋体" w:hAnsi="宋体"/>
          <w:szCs w:val="21"/>
          <w:highlight w:val="none"/>
        </w:rPr>
        <w:t>（2）采购计划编号：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4DBF8E63">
      <w:pPr>
        <w:adjustRightInd w:val="0"/>
        <w:snapToGrid w:val="0"/>
        <w:spacing w:before="0" w:beforeLines="0" w:line="400" w:lineRule="exact"/>
        <w:ind w:firstLine="420" w:firstLineChars="200"/>
        <w:rPr>
          <w:rFonts w:hint="eastAsia" w:ascii="宋体" w:hAnsi="宋体"/>
          <w:szCs w:val="21"/>
          <w:highlight w:val="none"/>
        </w:rPr>
      </w:pPr>
      <w:r>
        <w:rPr>
          <w:rFonts w:hint="eastAsia" w:ascii="宋体" w:hAnsi="宋体"/>
          <w:szCs w:val="21"/>
          <w:highlight w:val="none"/>
        </w:rPr>
        <w:t>（3）项目内容：</w:t>
      </w:r>
    </w:p>
    <w:p w14:paraId="23F8CCCE">
      <w:pPr>
        <w:adjustRightInd w:val="0"/>
        <w:snapToGrid w:val="0"/>
        <w:spacing w:before="0" w:beforeLines="0" w:line="40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 xml:space="preserve">     </w:t>
      </w:r>
      <w:r>
        <w:rPr>
          <w:rFonts w:hint="eastAsia" w:ascii="宋体" w:hAnsi="宋体"/>
          <w:szCs w:val="21"/>
          <w:highlight w:val="none"/>
          <w:lang w:eastAsia="zh-CN"/>
        </w:rPr>
        <w:t>采购标的及数量</w:t>
      </w:r>
      <w:r>
        <w:rPr>
          <w:rFonts w:hint="eastAsia" w:ascii="宋体" w:hAnsi="宋体"/>
          <w:szCs w:val="21"/>
          <w:highlight w:val="none"/>
          <w:lang w:val="en-US" w:eastAsia="zh-CN"/>
        </w:rPr>
        <w:t>（台/套</w:t>
      </w:r>
      <w:r>
        <w:rPr>
          <w:rFonts w:hint="default" w:ascii="宋体" w:hAnsi="宋体"/>
          <w:szCs w:val="21"/>
          <w:highlight w:val="none"/>
          <w:lang w:val="en" w:eastAsia="zh-CN"/>
        </w:rPr>
        <w:t>/</w:t>
      </w:r>
      <w:r>
        <w:rPr>
          <w:rFonts w:hint="eastAsia" w:ascii="宋体" w:hAnsi="宋体"/>
          <w:szCs w:val="21"/>
          <w:highlight w:val="none"/>
          <w:lang w:val="en" w:eastAsia="zh-CN"/>
        </w:rPr>
        <w:t>个</w:t>
      </w:r>
      <w:r>
        <w:rPr>
          <w:rFonts w:hint="default" w:ascii="宋体" w:hAnsi="宋体"/>
          <w:szCs w:val="21"/>
          <w:highlight w:val="none"/>
          <w:lang w:val="en" w:eastAsia="zh-CN"/>
        </w:rPr>
        <w:t>/</w:t>
      </w:r>
      <w:r>
        <w:rPr>
          <w:rFonts w:hint="eastAsia" w:ascii="宋体" w:hAnsi="宋体"/>
          <w:szCs w:val="21"/>
          <w:highlight w:val="none"/>
          <w:lang w:val="en" w:eastAsia="zh-CN"/>
        </w:rPr>
        <w:t>架</w:t>
      </w:r>
      <w:r>
        <w:rPr>
          <w:rFonts w:hint="default" w:ascii="宋体" w:hAnsi="宋体"/>
          <w:szCs w:val="21"/>
          <w:highlight w:val="none"/>
          <w:lang w:val="en" w:eastAsia="zh-CN"/>
        </w:rPr>
        <w:t>/</w:t>
      </w:r>
      <w:r>
        <w:rPr>
          <w:rFonts w:hint="eastAsia" w:ascii="宋体" w:hAnsi="宋体"/>
          <w:szCs w:val="21"/>
          <w:highlight w:val="none"/>
          <w:lang w:val="en" w:eastAsia="zh-CN"/>
        </w:rPr>
        <w:t>组等</w:t>
      </w:r>
      <w:r>
        <w:rPr>
          <w:rFonts w:hint="eastAsia" w:ascii="宋体" w:hAnsi="宋体"/>
          <w:szCs w:val="21"/>
          <w:highlight w:val="none"/>
          <w:lang w:val="en-US" w:eastAsia="zh-CN"/>
        </w:rPr>
        <w:t>）</w:t>
      </w:r>
      <w:r>
        <w:rPr>
          <w:rFonts w:hint="eastAsia" w:ascii="宋体" w:hAnsi="宋体"/>
          <w:szCs w:val="21"/>
          <w:highlight w:val="none"/>
          <w:lang w:eastAsia="zh-CN"/>
        </w:rPr>
        <w:t>：</w:t>
      </w:r>
      <w:r>
        <w:rPr>
          <w:rFonts w:hint="eastAsia" w:ascii="宋体" w:hAnsi="宋体"/>
          <w:szCs w:val="21"/>
          <w:highlight w:val="none"/>
          <w:u w:val="single"/>
          <w:lang w:val="en-US" w:eastAsia="zh-CN"/>
        </w:rPr>
        <w:t xml:space="preserve">                       </w:t>
      </w:r>
      <w:r>
        <w:rPr>
          <w:rFonts w:hint="eastAsia" w:ascii="宋体" w:hAnsi="宋体"/>
          <w:szCs w:val="21"/>
          <w:highlight w:val="none"/>
          <w:u w:val="non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 xml:space="preserve"> </w:t>
      </w:r>
    </w:p>
    <w:p w14:paraId="49185DB6">
      <w:pPr>
        <w:numPr>
          <w:ilvl w:val="-1"/>
          <w:numId w:val="0"/>
        </w:numPr>
        <w:adjustRightInd w:val="0"/>
        <w:snapToGrid w:val="0"/>
        <w:spacing w:before="0" w:beforeLines="0" w:line="400" w:lineRule="exact"/>
        <w:ind w:firstLine="420" w:firstLineChars="200"/>
        <w:rPr>
          <w:rFonts w:hint="default" w:ascii="宋体" w:hAnsi="宋体" w:cs="宋体"/>
          <w:szCs w:val="21"/>
          <w:highlight w:val="none"/>
          <w:lang w:val="en" w:eastAsia="zh-CN"/>
        </w:rPr>
      </w:pPr>
      <w:r>
        <w:rPr>
          <w:rFonts w:hint="eastAsia" w:ascii="宋体" w:hAnsi="宋体"/>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none"/>
          <w:lang w:val="en" w:eastAsia="zh-CN"/>
        </w:rPr>
        <w:t xml:space="preserve">     </w:t>
      </w:r>
      <w:r>
        <w:rPr>
          <w:rFonts w:hint="eastAsia" w:ascii="宋体" w:hAnsi="宋体" w:cs="宋体"/>
          <w:szCs w:val="21"/>
          <w:highlight w:val="none"/>
          <w:lang w:val="en-US" w:eastAsia="zh-CN"/>
        </w:rPr>
        <w:t>规格型号：</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p>
    <w:p w14:paraId="3EE475EE">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66123E0E">
      <w:pPr>
        <w:numPr>
          <w:ilvl w:val="-1"/>
          <w:numId w:val="0"/>
        </w:numPr>
        <w:adjustRightInd w:val="0"/>
        <w:snapToGrid w:val="0"/>
        <w:spacing w:before="0" w:beforeLines="0" w:line="400" w:lineRule="exact"/>
        <w:ind w:firstLine="945" w:firstLineChars="450"/>
        <w:rPr>
          <w:rFonts w:hint="eastAsia" w:ascii="宋体" w:hAnsi="宋体" w:cs="宋体"/>
          <w:szCs w:val="21"/>
          <w:highlight w:val="none"/>
          <w:lang w:val="en-US" w:eastAsia="zh-CN"/>
        </w:rPr>
      </w:pPr>
      <w:r>
        <w:rPr>
          <w:rFonts w:hint="eastAsia" w:ascii="汉仪书宋二S" w:hAnsi="汉仪书宋二S" w:eastAsia="汉仪书宋二S" w:cs="汉仪书宋二S"/>
          <w:szCs w:val="21"/>
          <w:highlight w:val="none"/>
          <w:lang w:val="en-US" w:eastAsia="zh-CN"/>
        </w:rPr>
        <w:t>①</w:t>
      </w:r>
      <w:r>
        <w:rPr>
          <w:rFonts w:hint="eastAsia" w:ascii="宋体" w:hAnsi="宋体" w:cs="宋体"/>
          <w:szCs w:val="21"/>
          <w:highlight w:val="none"/>
          <w:lang w:val="en-US" w:eastAsia="zh-CN"/>
        </w:rPr>
        <w:t>涉及信息类产品，请填写该产品关键部件的品牌、型号：</w:t>
      </w:r>
    </w:p>
    <w:p w14:paraId="24975C71">
      <w:pPr>
        <w:numPr>
          <w:ilvl w:val="-1"/>
          <w:numId w:val="0"/>
        </w:numPr>
        <w:adjustRightInd w:val="0"/>
        <w:snapToGrid w:val="0"/>
        <w:spacing w:before="0" w:beforeLines="0" w:line="400" w:lineRule="exact"/>
        <w:ind w:firstLine="420" w:firstLineChars="200"/>
        <w:rPr>
          <w:rFonts w:hint="eastAsia" w:ascii="宋体" w:hAnsi="宋体" w:cs="宋体"/>
          <w:kern w:val="0"/>
          <w:szCs w:val="21"/>
          <w:highlight w:val="none"/>
          <w:u w:val="single"/>
          <w:lang w:val="en-US" w:eastAsia="zh-CN"/>
        </w:rPr>
      </w:pPr>
      <w:r>
        <w:rPr>
          <w:rFonts w:hint="eastAsia" w:ascii="宋体" w:hAnsi="宋体" w:cs="宋体"/>
          <w:szCs w:val="21"/>
          <w:highlight w:val="none"/>
          <w:lang w:val="en-US" w:eastAsia="zh-CN"/>
        </w:rPr>
        <w:t xml:space="preserve">     标的名称：</w:t>
      </w:r>
      <w:r>
        <w:rPr>
          <w:rFonts w:hint="eastAsia" w:ascii="宋体" w:hAnsi="宋体" w:cs="宋体"/>
          <w:kern w:val="0"/>
          <w:szCs w:val="21"/>
          <w:highlight w:val="none"/>
          <w:u w:val="single"/>
          <w:lang w:val="en-US" w:eastAsia="zh-CN"/>
        </w:rPr>
        <w:t xml:space="preserve">      </w:t>
      </w:r>
      <w:r>
        <w:rPr>
          <w:rFonts w:hint="default" w:ascii="宋体" w:hAnsi="宋体" w:cs="宋体"/>
          <w:kern w:val="0"/>
          <w:szCs w:val="21"/>
          <w:highlight w:val="none"/>
          <w:u w:val="single"/>
          <w:lang w:val="en" w:eastAsia="zh-CN"/>
        </w:rPr>
        <w:t xml:space="preserve">               </w:t>
      </w:r>
      <w:r>
        <w:rPr>
          <w:rFonts w:hint="eastAsia" w:ascii="宋体" w:hAnsi="宋体" w:cs="宋体"/>
          <w:kern w:val="0"/>
          <w:szCs w:val="21"/>
          <w:highlight w:val="none"/>
          <w:u w:val="single"/>
          <w:lang w:val="en-US" w:eastAsia="zh-CN"/>
        </w:rPr>
        <w:t xml:space="preserve">    </w:t>
      </w:r>
    </w:p>
    <w:p w14:paraId="41DC73FB">
      <w:pPr>
        <w:numPr>
          <w:ilvl w:val="-1"/>
          <w:numId w:val="0"/>
        </w:numPr>
        <w:adjustRightInd w:val="0"/>
        <w:snapToGrid w:val="0"/>
        <w:spacing w:before="0" w:beforeLines="0"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关键部件：</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 xml:space="preserve"> </w:t>
      </w:r>
      <w:r>
        <w:rPr>
          <w:rFonts w:hint="eastAsia" w:ascii="宋体" w:hAnsi="宋体" w:cs="宋体"/>
          <w:szCs w:val="21"/>
          <w:highlight w:val="none"/>
          <w:lang w:val="en-US" w:eastAsia="zh-CN"/>
        </w:rPr>
        <w:t>型号：</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p>
    <w:p w14:paraId="02686D0B">
      <w:pPr>
        <w:pStyle w:val="85"/>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kern w:val="2"/>
          <w:sz w:val="21"/>
          <w:szCs w:val="21"/>
          <w:highlight w:val="none"/>
          <w:lang w:val="en-US" w:eastAsia="zh-CN"/>
        </w:rPr>
        <w:t>关键部件</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14:paraId="62AF3BD9">
      <w:pPr>
        <w:pStyle w:val="85"/>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关键部件：</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p>
    <w:p w14:paraId="1E1E40E2">
      <w:pPr>
        <w:pStyle w:val="85"/>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0E2994A">
      <w:pPr>
        <w:pStyle w:val="85"/>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汉仪书宋二S" w:hAnsi="汉仪书宋二S" w:eastAsia="汉仪书宋二S" w:cs="汉仪书宋二S"/>
          <w:sz w:val="21"/>
          <w:szCs w:val="21"/>
          <w:highlight w:val="none"/>
          <w:lang w:val="en-US" w:eastAsia="zh-CN"/>
        </w:rPr>
        <w:t>②</w:t>
      </w:r>
      <w:r>
        <w:rPr>
          <w:rFonts w:hint="eastAsia" w:ascii="宋体" w:hAnsi="宋体" w:eastAsia="宋体" w:cs="宋体"/>
          <w:sz w:val="21"/>
          <w:szCs w:val="21"/>
          <w:highlight w:val="none"/>
          <w:lang w:val="en-US" w:eastAsia="zh-CN"/>
        </w:rPr>
        <w:t>涉及车辆采购，请填写是否属于新能源汽车：</w:t>
      </w:r>
    </w:p>
    <w:p w14:paraId="11D03496">
      <w:pPr>
        <w:pStyle w:val="85"/>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rPr>
        <w:t>是</w:t>
      </w:r>
      <w:r>
        <w:rPr>
          <w:rFonts w:hint="eastAsia" w:asciiTheme="minorEastAsia" w:hAnsiTheme="minorEastAsia" w:eastAsiaTheme="minorEastAsia" w:cstheme="minorEastAsia"/>
          <w:iCs w:val="0"/>
          <w:sz w:val="21"/>
          <w:szCs w:val="21"/>
          <w:highlight w:val="none"/>
          <w:lang w:eastAsia="zh-CN"/>
        </w:rPr>
        <w:t>，《政府采购品目分类目录》底级品目名称</w:t>
      </w:r>
      <w:r>
        <w:rPr>
          <w:rFonts w:hint="eastAsia" w:asciiTheme="minorEastAsia" w:hAnsiTheme="minorEastAsia" w:eastAsiaTheme="minorEastAsia" w:cstheme="minorEastAsia"/>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 数量：</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 金额：</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iCs w:val="0"/>
          <w:sz w:val="21"/>
          <w:szCs w:val="21"/>
          <w:highlight w:val="none"/>
          <w:lang w:val="en-US" w:eastAsia="zh-CN"/>
        </w:rPr>
        <w:t xml:space="preserve"> </w:t>
      </w:r>
    </w:p>
    <w:p w14:paraId="6978EBEF">
      <w:pPr>
        <w:pStyle w:val="85"/>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否</w:t>
      </w:r>
    </w:p>
    <w:p w14:paraId="348E5C90">
      <w:pPr>
        <w:pStyle w:val="85"/>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highlight w:val="none"/>
          <w:lang w:val="en-US" w:eastAsia="zh-CN"/>
        </w:rPr>
      </w:pPr>
      <w:r>
        <w:rPr>
          <w:rFonts w:hint="eastAsia" w:asciiTheme="minorEastAsia" w:hAnsiTheme="minorEastAsia" w:eastAsiaTheme="minorEastAsia" w:cstheme="minorEastAsia"/>
          <w:iCs w:val="0"/>
          <w:sz w:val="21"/>
          <w:szCs w:val="21"/>
          <w:highlight w:val="none"/>
          <w:lang w:val="en-US" w:eastAsia="zh-CN"/>
        </w:rPr>
        <w:t xml:space="preserve">    （</w:t>
      </w:r>
      <w:r>
        <w:rPr>
          <w:rFonts w:hint="default" w:asciiTheme="minorEastAsia" w:hAnsiTheme="minorEastAsia" w:eastAsiaTheme="minorEastAsia" w:cstheme="minorEastAsia"/>
          <w:iCs w:val="0"/>
          <w:sz w:val="21"/>
          <w:szCs w:val="21"/>
          <w:highlight w:val="none"/>
          <w:lang w:val="en" w:eastAsia="zh-CN"/>
        </w:rPr>
        <w:t>4</w:t>
      </w:r>
      <w:r>
        <w:rPr>
          <w:rFonts w:hint="eastAsia" w:asciiTheme="minorEastAsia" w:hAnsiTheme="minorEastAsia" w:eastAsiaTheme="minorEastAsia" w:cstheme="minorEastAsia"/>
          <w:iCs w:val="0"/>
          <w:sz w:val="21"/>
          <w:szCs w:val="21"/>
          <w:highlight w:val="none"/>
          <w:lang w:val="en-US" w:eastAsia="zh-CN"/>
        </w:rPr>
        <w:t>）政府采购组织形式：</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政府集中采购</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val="en-US" w:eastAsia="zh-CN"/>
        </w:rPr>
        <w:t xml:space="preserve">部门集中采购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val="en-US" w:eastAsia="zh-CN"/>
        </w:rPr>
        <w:t>分散采购</w:t>
      </w:r>
    </w:p>
    <w:p w14:paraId="135FDD6B">
      <w:pPr>
        <w:pStyle w:val="85"/>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w:t>
      </w:r>
      <w:r>
        <w:rPr>
          <w:rFonts w:hint="default" w:asciiTheme="minorEastAsia" w:hAnsiTheme="minorEastAsia" w:eastAsiaTheme="minorEastAsia" w:cstheme="minorEastAsia"/>
          <w:iCs w:val="0"/>
          <w:sz w:val="21"/>
          <w:szCs w:val="21"/>
          <w:highlight w:val="none"/>
          <w:lang w:val="en" w:eastAsia="zh-CN"/>
        </w:rPr>
        <w:t>5</w:t>
      </w:r>
      <w:r>
        <w:rPr>
          <w:rFonts w:hint="eastAsia" w:asciiTheme="minorEastAsia" w:hAnsiTheme="minorEastAsia" w:eastAsiaTheme="minorEastAsia" w:cstheme="minorEastAsia"/>
          <w:iCs w:val="0"/>
          <w:sz w:val="21"/>
          <w:szCs w:val="21"/>
          <w:highlight w:val="none"/>
          <w:lang w:val="en-US" w:eastAsia="zh-CN"/>
        </w:rPr>
        <w:t>）政府采购方式：</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公开招标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邀请招标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竞争性谈判</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竞争性磋商</w:t>
      </w:r>
    </w:p>
    <w:p w14:paraId="283707B1">
      <w:pPr>
        <w:pStyle w:val="85"/>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single"/>
          <w:lang w:val="en-US" w:eastAsia="zh-CN"/>
        </w:rPr>
      </w:pPr>
      <w:r>
        <w:rPr>
          <w:rFonts w:hint="eastAsia" w:ascii="宋体" w:hAnsi="宋体" w:cs="宋体"/>
          <w:szCs w:val="21"/>
          <w:highlight w:val="none"/>
          <w:u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询价</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单一来源</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框架协议</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其他：</w:t>
      </w:r>
      <w:r>
        <w:rPr>
          <w:rFonts w:hint="eastAsia" w:ascii="宋体" w:hAnsi="宋体" w:eastAsia="宋体" w:cs="宋体"/>
          <w:iCs w:val="0"/>
          <w:sz w:val="21"/>
          <w:szCs w:val="21"/>
          <w:highlight w:val="none"/>
          <w:u w:val="single"/>
          <w:lang w:val="en-US" w:eastAsia="zh-CN"/>
        </w:rPr>
        <w:t xml:space="preserve">          </w:t>
      </w:r>
    </w:p>
    <w:p w14:paraId="3F082E51">
      <w:pPr>
        <w:pStyle w:val="85"/>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highlight w:val="none"/>
          <w:u w:val="none"/>
          <w:lang w:val="en-US" w:eastAsia="zh-CN"/>
        </w:rPr>
      </w:pPr>
      <w:r>
        <w:rPr>
          <w:rFonts w:hint="eastAsia" w:ascii="宋体" w:hAnsi="宋体" w:eastAsia="宋体" w:cs="宋体"/>
          <w:iCs w:val="0"/>
          <w:sz w:val="21"/>
          <w:szCs w:val="21"/>
          <w:highlight w:val="none"/>
          <w:u w:val="none"/>
          <w:lang w:val="en-US" w:eastAsia="zh-CN"/>
        </w:rPr>
        <w:t>（注：在框架协议采购的第二阶段，可选择使用该合同文本）</w:t>
      </w:r>
    </w:p>
    <w:p w14:paraId="68D2858A">
      <w:pPr>
        <w:pStyle w:val="85"/>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highlight w:val="none"/>
          <w:lang w:val="en-US" w:eastAsia="zh-CN" w:bidi="ar-SA"/>
        </w:rPr>
      </w:pPr>
      <w:r>
        <w:rPr>
          <w:rFonts w:hint="eastAsia" w:ascii="宋体" w:hAnsi="宋体"/>
          <w:szCs w:val="21"/>
          <w:highlight w:val="none"/>
          <w:lang w:val="en-US" w:eastAsia="zh-CN"/>
        </w:rPr>
        <w:t xml:space="preserve"> （</w:t>
      </w:r>
      <w:r>
        <w:rPr>
          <w:rFonts w:hint="default" w:ascii="宋体" w:hAnsi="宋体"/>
          <w:szCs w:val="21"/>
          <w:highlight w:val="none"/>
          <w:lang w:val="en" w:eastAsia="zh-CN"/>
        </w:rPr>
        <w:t>6</w:t>
      </w:r>
      <w:r>
        <w:rPr>
          <w:rFonts w:hint="eastAsia" w:ascii="宋体" w:hAnsi="宋体"/>
          <w:szCs w:val="21"/>
          <w:highlight w:val="none"/>
          <w:lang w:val="en-US" w:eastAsia="zh-CN"/>
        </w:rPr>
        <w:t>）</w:t>
      </w:r>
      <w:r>
        <w:rPr>
          <w:rFonts w:hint="eastAsia" w:ascii="宋体" w:hAnsi="宋体" w:eastAsia="宋体" w:cs="Times New Roman"/>
          <w:w w:val="100"/>
          <w:kern w:val="2"/>
          <w:sz w:val="21"/>
          <w:szCs w:val="21"/>
          <w:highlight w:val="none"/>
          <w:lang w:val="en-US" w:eastAsia="zh-CN" w:bidi="ar-SA"/>
        </w:rPr>
        <w:t>中标（成交）采购标的制造商是否为中小企业：</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 xml:space="preserve">是      </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否</w:t>
      </w:r>
    </w:p>
    <w:p w14:paraId="1EDE4D23">
      <w:pPr>
        <w:numPr>
          <w:ilvl w:val="-1"/>
          <w:numId w:val="0"/>
        </w:numPr>
        <w:adjustRightInd w:val="0"/>
        <w:snapToGrid w:val="0"/>
        <w:spacing w:before="0" w:beforeLines="0" w:line="400" w:lineRule="exact"/>
        <w:ind w:left="0" w:leftChars="0" w:firstLine="0" w:firstLineChars="0"/>
        <w:rPr>
          <w:rFonts w:hint="eastAsia" w:ascii="宋体" w:hAnsi="宋体"/>
          <w:iCs/>
          <w:szCs w:val="21"/>
          <w:highlight w:val="none"/>
        </w:rPr>
      </w:pPr>
      <w:r>
        <w:rPr>
          <w:rFonts w:hint="eastAsia" w:ascii="宋体" w:hAnsi="宋体"/>
          <w:w w:val="100"/>
          <w:szCs w:val="21"/>
          <w:highlight w:val="none"/>
          <w:lang w:val="en-US" w:eastAsia="zh-CN"/>
        </w:rPr>
        <w:t xml:space="preserve">         本合同</w:t>
      </w:r>
      <w:r>
        <w:rPr>
          <w:rFonts w:hint="eastAsia" w:ascii="宋体" w:hAnsi="宋体"/>
          <w:w w:val="100"/>
          <w:szCs w:val="21"/>
          <w:highlight w:val="none"/>
        </w:rPr>
        <w:t>是否</w:t>
      </w:r>
      <w:r>
        <w:rPr>
          <w:rFonts w:hint="eastAsia" w:ascii="宋体" w:hAnsi="宋体"/>
          <w:w w:val="100"/>
          <w:szCs w:val="21"/>
          <w:highlight w:val="none"/>
          <w:lang w:eastAsia="zh-CN"/>
        </w:rPr>
        <w:t>为专门面向</w:t>
      </w:r>
      <w:r>
        <w:rPr>
          <w:rFonts w:hint="eastAsia" w:ascii="宋体" w:hAnsi="宋体"/>
          <w:w w:val="100"/>
          <w:szCs w:val="21"/>
          <w:highlight w:val="none"/>
        </w:rPr>
        <w:t>中小企业</w:t>
      </w:r>
      <w:r>
        <w:rPr>
          <w:rFonts w:hint="eastAsia" w:ascii="宋体" w:hAnsi="宋体"/>
          <w:w w:val="100"/>
          <w:szCs w:val="21"/>
          <w:highlight w:val="none"/>
          <w:lang w:eastAsia="zh-CN"/>
        </w:rPr>
        <w:t>的采</w:t>
      </w:r>
      <w:r>
        <w:rPr>
          <w:rFonts w:hint="eastAsia" w:ascii="宋体" w:hAnsi="宋体"/>
          <w:w w:val="100"/>
          <w:szCs w:val="21"/>
          <w:highlight w:val="none"/>
          <w:shd w:val="clear"/>
          <w:lang w:eastAsia="zh-CN"/>
        </w:rPr>
        <w:t>购</w:t>
      </w:r>
      <w:r>
        <w:rPr>
          <w:rFonts w:hint="eastAsia" w:ascii="宋体" w:hAnsi="宋体"/>
          <w:w w:val="100"/>
          <w:szCs w:val="21"/>
          <w:highlight w:val="none"/>
          <w:shd w:val="clear"/>
        </w:rPr>
        <w:t>合同</w:t>
      </w:r>
      <w:r>
        <w:rPr>
          <w:rFonts w:hint="eastAsia" w:ascii="宋体" w:hAnsi="宋体"/>
          <w:w w:val="100"/>
          <w:szCs w:val="21"/>
          <w:highlight w:val="none"/>
          <w:shd w:val="clear"/>
          <w:lang w:eastAsia="zh-CN"/>
        </w:rPr>
        <w:t>（中小企业预留合同）</w:t>
      </w:r>
      <w:r>
        <w:rPr>
          <w:rFonts w:hint="eastAsia" w:ascii="宋体" w:hAnsi="宋体"/>
          <w:szCs w:val="21"/>
          <w:highlight w:val="none"/>
          <w:shd w:val="clear"/>
        </w:rPr>
        <w:t>：</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lang w:val="en-US" w:eastAsia="zh-CN"/>
        </w:rPr>
        <w:t xml:space="preserve">  </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否</w:t>
      </w:r>
    </w:p>
    <w:p w14:paraId="63D5CFD0">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若本项目不专门面向中小企业采购，是否给予小微企业评审优惠：</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393B8058">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中标（成交）采购标的制造商是否为残疾人福利性单位：</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52282175">
      <w:pPr>
        <w:numPr>
          <w:ilvl w:val="0"/>
          <w:numId w:val="0"/>
        </w:numPr>
        <w:snapToGrid w:val="0"/>
        <w:spacing w:beforeLines="0" w:line="400" w:lineRule="exact"/>
        <w:ind w:firstLine="0" w:firstLineChars="0"/>
        <w:rPr>
          <w:rFonts w:hint="default"/>
          <w:highlight w:val="none"/>
          <w:lang w:val="en-US" w:eastAsia="zh-CN"/>
        </w:rPr>
      </w:pPr>
      <w:r>
        <w:rPr>
          <w:rFonts w:hint="eastAsia"/>
          <w:highlight w:val="none"/>
          <w:lang w:val="en-US" w:eastAsia="zh-CN"/>
        </w:rPr>
        <w:t xml:space="preserve">         中标（成交）采购标的制造商是否为监狱企业：</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3A4D44CE">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default" w:ascii="宋体" w:hAnsi="宋体"/>
          <w:szCs w:val="21"/>
          <w:highlight w:val="none"/>
          <w:lang w:val="en" w:eastAsia="zh-CN"/>
        </w:rPr>
        <w:t>7</w:t>
      </w:r>
      <w:r>
        <w:rPr>
          <w:rFonts w:hint="eastAsia" w:ascii="宋体" w:hAnsi="宋体"/>
          <w:szCs w:val="21"/>
          <w:highlight w:val="none"/>
        </w:rPr>
        <w:t>）合同是否分包：</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115920C3">
      <w:pPr>
        <w:adjustRightInd w:val="0"/>
        <w:snapToGrid w:val="0"/>
        <w:spacing w:before="0" w:beforeLines="0" w:line="400" w:lineRule="exact"/>
        <w:ind w:firstLine="840" w:firstLineChars="40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分包主要内容：</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779A233A">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highlight w:val="none"/>
          <w:u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7661E58F">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157AF8F3">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highlight w:val="none"/>
        </w:rPr>
        <w:t>类型</w:t>
      </w:r>
      <w:r>
        <w:rPr>
          <w:rFonts w:hint="eastAsia" w:ascii="宋体" w:hAnsi="宋体"/>
          <w:szCs w:val="21"/>
          <w:highlight w:val="none"/>
          <w:lang w:eastAsia="zh-CN"/>
        </w:rPr>
        <w:t>（如果供应商和制造商不同，只填写制造商类型）</w:t>
      </w:r>
      <w:r>
        <w:rPr>
          <w:rFonts w:hint="eastAsia" w:ascii="宋体" w:hAnsi="宋体"/>
          <w:szCs w:val="21"/>
          <w:highlight w:val="none"/>
        </w:rPr>
        <w:t>：</w:t>
      </w:r>
    </w:p>
    <w:p w14:paraId="24CAF3E6">
      <w:pPr>
        <w:adjustRightInd w:val="0"/>
        <w:snapToGrid w:val="0"/>
        <w:spacing w:beforeLines="0" w:line="400" w:lineRule="exact"/>
        <w:ind w:firstLine="840" w:firstLineChars="40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大型企业  </w:t>
      </w:r>
      <w:r>
        <w:rPr>
          <w:rFonts w:hint="eastAsia" w:ascii="宋体" w:hAnsi="宋体"/>
          <w:iCs/>
          <w:szCs w:val="21"/>
          <w:highlight w:val="none"/>
        </w:rPr>
        <w:sym w:font="Wingdings" w:char="00A8"/>
      </w:r>
      <w:r>
        <w:rPr>
          <w:rFonts w:hint="eastAsia" w:ascii="宋体" w:hAnsi="宋体"/>
          <w:iCs/>
          <w:szCs w:val="21"/>
          <w:highlight w:val="none"/>
        </w:rPr>
        <w:t xml:space="preserve">中型企业  </w:t>
      </w:r>
      <w:r>
        <w:rPr>
          <w:rFonts w:hint="eastAsia" w:ascii="宋体" w:hAnsi="宋体"/>
          <w:iCs/>
          <w:szCs w:val="21"/>
          <w:highlight w:val="none"/>
        </w:rPr>
        <w:sym w:font="Wingdings" w:char="00A8"/>
      </w:r>
      <w:r>
        <w:rPr>
          <w:rFonts w:hint="eastAsia" w:ascii="宋体" w:hAnsi="宋体"/>
          <w:iCs/>
          <w:szCs w:val="21"/>
          <w:highlight w:val="none"/>
        </w:rPr>
        <w:t>小微型企业</w:t>
      </w:r>
      <w:r>
        <w:rPr>
          <w:rFonts w:hint="eastAsia" w:ascii="宋体" w:hAnsi="宋体"/>
          <w:iCs/>
          <w:szCs w:val="21"/>
          <w:highlight w:val="none"/>
          <w:lang w:val="en-US" w:eastAsia="zh-CN"/>
        </w:rPr>
        <w:t xml:space="preserve">  </w:t>
      </w:r>
    </w:p>
    <w:p w14:paraId="51B18C8D">
      <w:pPr>
        <w:adjustRightInd w:val="0"/>
        <w:snapToGrid w:val="0"/>
        <w:spacing w:beforeLines="0" w:line="400" w:lineRule="exact"/>
        <w:ind w:firstLine="840" w:firstLineChars="400"/>
        <w:rPr>
          <w:rFonts w:hint="default" w:eastAsia="华文楷体"/>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残疾人福利性单位</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监狱</w:t>
      </w:r>
      <w:r>
        <w:rPr>
          <w:rFonts w:hint="eastAsia" w:ascii="宋体" w:hAnsi="宋体"/>
          <w:iCs/>
          <w:szCs w:val="21"/>
          <w:highlight w:val="none"/>
        </w:rPr>
        <w:t>企业</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p>
    <w:p w14:paraId="265FCC01">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2B741E6E">
      <w:pPr>
        <w:pStyle w:val="85"/>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30DB7978">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default" w:ascii="宋体" w:hAnsi="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14:paraId="5E219DA4">
      <w:pPr>
        <w:numPr>
          <w:ilvl w:val="-1"/>
          <w:numId w:val="0"/>
        </w:numPr>
        <w:adjustRightInd w:val="0"/>
        <w:snapToGrid w:val="0"/>
        <w:spacing w:before="0" w:beforeLines="0" w:line="400" w:lineRule="exact"/>
        <w:ind w:firstLine="840" w:firstLineChars="400"/>
        <w:rPr>
          <w:rFonts w:hint="eastAsia" w:ascii="宋体" w:hAnsi="宋体" w:eastAsia="宋体" w:cs="宋体"/>
          <w:szCs w:val="21"/>
          <w:highlight w:val="none"/>
          <w:u w:val="single"/>
          <w:lang w:val="en-US" w:eastAsia="zh-CN"/>
        </w:rPr>
      </w:pPr>
      <w:r>
        <w:rPr>
          <w:rFonts w:hint="eastAsia" w:ascii="宋体" w:hAnsi="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w:t>
      </w:r>
      <w:r>
        <w:rPr>
          <w:rFonts w:hint="eastAsia" w:ascii="宋体" w:hAnsi="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金额：</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p>
    <w:p w14:paraId="54A46318">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rPr>
      </w:pPr>
      <w:r>
        <w:rPr>
          <w:rFonts w:hint="eastAsia" w:ascii="宋体" w:hAnsi="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iCs w:val="0"/>
          <w:szCs w:val="21"/>
          <w:highlight w:val="none"/>
        </w:rPr>
        <w:t xml:space="preserve">      </w:t>
      </w:r>
    </w:p>
    <w:p w14:paraId="4D881530">
      <w:pPr>
        <w:adjustRightInd w:val="0"/>
        <w:snapToGrid w:val="0"/>
        <w:spacing w:before="0" w:beforeLines="0" w:line="400" w:lineRule="exact"/>
        <w:ind w:firstLine="840" w:firstLineChars="400"/>
        <w:rPr>
          <w:rFonts w:hint="eastAsia" w:ascii="宋体" w:hAnsi="宋体"/>
          <w:szCs w:val="21"/>
          <w:highlight w:val="none"/>
          <w:u w:val="none"/>
          <w:lang w:val="en-US" w:eastAsia="zh-CN"/>
        </w:rPr>
      </w:pPr>
      <w:r>
        <w:rPr>
          <w:rFonts w:hint="eastAsia" w:ascii="宋体" w:hAnsi="宋体"/>
          <w:iCs w:val="0"/>
          <w:szCs w:val="21"/>
          <w:highlight w:val="none"/>
          <w:lang w:val="en-US" w:eastAsia="zh-CN"/>
        </w:rPr>
        <w:t xml:space="preserve"> </w:t>
      </w:r>
      <w:r>
        <w:rPr>
          <w:rFonts w:hint="eastAsia" w:ascii="宋体" w:hAnsi="宋体"/>
          <w:iCs w:val="0"/>
          <w:szCs w:val="21"/>
          <w:highlight w:val="none"/>
        </w:rPr>
        <w:sym w:font="Wingdings" w:char="00A8"/>
      </w:r>
      <w:r>
        <w:rPr>
          <w:rFonts w:hint="eastAsia" w:ascii="宋体" w:hAnsi="宋体" w:eastAsia="宋体"/>
          <w:iCs w:val="0"/>
          <w:szCs w:val="21"/>
          <w:highlight w:val="none"/>
          <w:lang w:eastAsia="zh-CN"/>
        </w:rPr>
        <w:t>否</w:t>
      </w:r>
    </w:p>
    <w:p w14:paraId="3C4B7F6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（1</w:t>
      </w:r>
      <w:r>
        <w:rPr>
          <w:rFonts w:hint="default" w:ascii="宋体" w:hAnsi="宋体"/>
          <w:b w:val="0"/>
          <w:bCs w:val="0"/>
          <w:sz w:val="21"/>
          <w:szCs w:val="21"/>
          <w:highlight w:val="none"/>
          <w:u w:val="none"/>
          <w:lang w:val="en" w:eastAsia="zh-CN"/>
        </w:rPr>
        <w:t>0</w:t>
      </w:r>
      <w:r>
        <w:rPr>
          <w:rFonts w:hint="eastAsia" w:ascii="宋体" w:hAnsi="宋体"/>
          <w:b w:val="0"/>
          <w:bCs w:val="0"/>
          <w:sz w:val="21"/>
          <w:szCs w:val="21"/>
          <w:highlight w:val="none"/>
          <w:u w:val="none"/>
          <w:lang w:val="en-US" w:eastAsia="zh-CN"/>
        </w:rPr>
        <w:t>）</w:t>
      </w:r>
      <w:r>
        <w:rPr>
          <w:rFonts w:hint="eastAsia" w:ascii="宋体" w:hAnsi="宋体" w:eastAsia="宋体"/>
          <w:b w:val="0"/>
          <w:bCs w:val="0"/>
          <w:sz w:val="21"/>
          <w:szCs w:val="21"/>
          <w:highlight w:val="none"/>
          <w:u w:val="none"/>
          <w:lang w:val="en-US" w:eastAsia="zh-CN"/>
        </w:rPr>
        <w:t>是否涉及节能产品：</w:t>
      </w:r>
    </w:p>
    <w:p w14:paraId="04967C8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《节能产品政府采购品目清单》的底级品目名称：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5D44AE2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45A1BB5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highlight w:val="none"/>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0841F281">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b w:val="0"/>
          <w:bCs w:val="0"/>
          <w:sz w:val="21"/>
          <w:szCs w:val="21"/>
          <w:highlight w:val="none"/>
          <w:u w:val="none"/>
          <w:lang w:val="en-US" w:eastAsia="zh-CN"/>
        </w:rPr>
        <w:t>是否涉及</w:t>
      </w:r>
      <w:r>
        <w:rPr>
          <w:rFonts w:hint="eastAsia" w:ascii="宋体" w:hAnsi="宋体"/>
          <w:b w:val="0"/>
          <w:bCs w:val="0"/>
          <w:sz w:val="21"/>
          <w:szCs w:val="21"/>
          <w:highlight w:val="none"/>
          <w:u w:val="none"/>
          <w:lang w:val="en-US" w:eastAsia="zh-CN"/>
        </w:rPr>
        <w:t>环境标志</w:t>
      </w:r>
      <w:r>
        <w:rPr>
          <w:rFonts w:hint="eastAsia" w:ascii="宋体" w:hAnsi="宋体" w:eastAsia="宋体"/>
          <w:b w:val="0"/>
          <w:bCs w:val="0"/>
          <w:sz w:val="21"/>
          <w:szCs w:val="21"/>
          <w:highlight w:val="none"/>
          <w:u w:val="none"/>
          <w:lang w:val="en-US" w:eastAsia="zh-CN"/>
        </w:rPr>
        <w:t>产品：</w:t>
      </w:r>
    </w:p>
    <w:p w14:paraId="742F6726">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highlight w:val="none"/>
          <w:lang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《环境标志产品政府采购品目清单》的底级品目名称：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793D5F41">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2199C522">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5DA6FC70">
      <w:pPr>
        <w:pStyle w:val="85"/>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cs="Times New Roman"/>
          <w:b w:val="0"/>
          <w:bCs w:val="0"/>
          <w:kern w:val="2"/>
          <w:sz w:val="21"/>
          <w:szCs w:val="21"/>
          <w:highlight w:val="none"/>
          <w:u w:val="none"/>
          <w:lang w:val="en-US" w:eastAsia="zh-CN"/>
        </w:rPr>
        <w:t>是否涉及绿色产品：</w:t>
      </w:r>
      <w:r>
        <w:rPr>
          <w:rFonts w:hint="eastAsia" w:ascii="宋体" w:hAnsi="宋体" w:eastAsia="宋体" w:cs="Times New Roman"/>
          <w:iCs w:val="0"/>
          <w:kern w:val="2"/>
          <w:sz w:val="21"/>
          <w:szCs w:val="21"/>
          <w:highlight w:val="none"/>
          <w:u w:val="none"/>
          <w:lang w:val="en-US" w:eastAsia="zh-CN"/>
        </w:rPr>
        <w:t xml:space="preserve"> </w:t>
      </w:r>
    </w:p>
    <w:p w14:paraId="536380E1">
      <w:pPr>
        <w:pStyle w:val="85"/>
        <w:spacing w:beforeLines="0"/>
        <w:ind w:firstLine="420" w:firstLineChars="0"/>
        <w:rPr>
          <w:rFonts w:hint="eastAsia" w:ascii="宋体" w:hAnsi="宋体" w:eastAsia="宋体"/>
          <w:szCs w:val="21"/>
          <w:highlight w:val="none"/>
          <w:u w:val="singl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是</w:t>
      </w:r>
      <w:r>
        <w:rPr>
          <w:rFonts w:hint="eastAsia" w:ascii="宋体" w:hAnsi="宋体" w:eastAsia="宋体" w:cs="Times New Roman"/>
          <w:iCs w:val="0"/>
          <w:kern w:val="2"/>
          <w:sz w:val="21"/>
          <w:szCs w:val="21"/>
          <w:highlight w:val="none"/>
          <w:u w:val="none"/>
          <w:lang w:eastAsia="zh-CN"/>
        </w:rPr>
        <w:t>，绿色产品政府采购相关政策确定的底级品目名称：</w:t>
      </w:r>
      <w:r>
        <w:rPr>
          <w:rFonts w:hint="eastAsia" w:ascii="宋体" w:hAnsi="宋体" w:eastAsia="宋体"/>
          <w:szCs w:val="21"/>
          <w:highlight w:val="none"/>
          <w:u w:val="single"/>
          <w:lang w:val="en-US" w:eastAsia="zh-CN"/>
        </w:rPr>
        <w:t xml:space="preserve">         </w:t>
      </w:r>
    </w:p>
    <w:p w14:paraId="610151F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23413573">
      <w:pPr>
        <w:pStyle w:val="85"/>
        <w:spacing w:beforeLines="0"/>
        <w:ind w:firstLine="420" w:firstLineChars="0"/>
        <w:rPr>
          <w:rFonts w:hint="eastAsia" w:ascii="宋体" w:hAnsi="宋体"/>
          <w:b w:val="0"/>
          <w:bCs w:val="0"/>
          <w:sz w:val="21"/>
          <w:szCs w:val="21"/>
          <w:highlight w:val="none"/>
          <w:u w:val="non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否</w:t>
      </w:r>
    </w:p>
    <w:p w14:paraId="0620907C">
      <w:pPr>
        <w:numPr>
          <w:ilvl w:val="-1"/>
          <w:numId w:val="0"/>
        </w:numPr>
        <w:adjustRightInd w:val="0"/>
        <w:snapToGrid w:val="0"/>
        <w:spacing w:before="0" w:beforeLines="0" w:line="400" w:lineRule="exact"/>
        <w:ind w:firstLine="0" w:firstLineChars="0"/>
        <w:rPr>
          <w:rFonts w:hint="eastAsia" w:ascii="宋体" w:hAnsi="宋体" w:eastAsia="宋体"/>
          <w:szCs w:val="21"/>
          <w:highlight w:val="none"/>
          <w:lang w:val="en-US" w:eastAsia="zh-CN"/>
        </w:rPr>
      </w:pPr>
      <w:r>
        <w:rPr>
          <w:rFonts w:hint="eastAsia" w:ascii="宋体" w:hAnsi="宋体"/>
          <w:szCs w:val="21"/>
          <w:highlight w:val="none"/>
          <w:lang w:val="en-US" w:eastAsia="zh-CN"/>
        </w:rPr>
        <w:t xml:space="preserve">    （1</w:t>
      </w:r>
      <w:r>
        <w:rPr>
          <w:rFonts w:hint="default" w:ascii="宋体" w:hAnsi="宋体"/>
          <w:szCs w:val="21"/>
          <w:highlight w:val="none"/>
          <w:lang w:val="en" w:eastAsia="zh-CN"/>
        </w:rPr>
        <w:t>1</w:t>
      </w:r>
      <w:r>
        <w:rPr>
          <w:rFonts w:hint="eastAsia" w:ascii="宋体" w:hAnsi="宋体"/>
          <w:szCs w:val="21"/>
          <w:highlight w:val="none"/>
          <w:lang w:val="en-US" w:eastAsia="zh-CN"/>
        </w:rPr>
        <w:t>）</w:t>
      </w:r>
      <w:r>
        <w:rPr>
          <w:rFonts w:hint="eastAsia" w:ascii="宋体" w:hAnsi="宋体" w:eastAsia="宋体"/>
          <w:szCs w:val="21"/>
          <w:highlight w:val="none"/>
          <w:lang w:val="en-US" w:eastAsia="zh-CN"/>
        </w:rPr>
        <w:t>涉及商品包装和快递包装的，是否参考</w:t>
      </w:r>
      <w:r>
        <w:rPr>
          <w:rFonts w:hint="eastAsia" w:ascii="宋体" w:hAnsi="宋体"/>
          <w:szCs w:val="21"/>
          <w:highlight w:val="none"/>
        </w:rPr>
        <w:t>《商品包装政府采购需求标准（试行）</w:t>
      </w:r>
      <w:r>
        <w:rPr>
          <w:rFonts w:hint="eastAsia" w:ascii="宋体" w:hAnsi="宋体"/>
          <w:szCs w:val="21"/>
          <w:highlight w:val="none"/>
          <w:lang w:eastAsia="zh-CN"/>
        </w:rPr>
        <w:t>》《</w:t>
      </w:r>
      <w:r>
        <w:rPr>
          <w:rFonts w:hint="eastAsia" w:ascii="宋体" w:hAnsi="宋体"/>
          <w:szCs w:val="21"/>
          <w:highlight w:val="none"/>
        </w:rPr>
        <w:t>快递包装政府采购需求标准（试行）》</w:t>
      </w:r>
      <w:r>
        <w:rPr>
          <w:rFonts w:hint="eastAsia" w:ascii="宋体" w:hAnsi="宋体" w:eastAsia="宋体"/>
          <w:szCs w:val="21"/>
          <w:highlight w:val="none"/>
          <w:lang w:eastAsia="zh-CN"/>
        </w:rPr>
        <w:t>明确产品及相关快递服务的具体包装要求：</w:t>
      </w:r>
    </w:p>
    <w:p w14:paraId="69C7950E">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lang w:val="en-US" w:eastAsia="zh-CN"/>
        </w:rPr>
      </w:pPr>
      <w:r>
        <w:rPr>
          <w:rFonts w:hint="eastAsia" w:ascii="宋体" w:hAnsi="宋体" w:eastAsia="宋体"/>
          <w:iCs w:val="0"/>
          <w:szCs w:val="21"/>
          <w:highlight w:val="none"/>
        </w:rPr>
        <w:sym w:font="Wingdings" w:char="00A8"/>
      </w:r>
      <w:r>
        <w:rPr>
          <w:rFonts w:hint="eastAsia" w:ascii="宋体" w:hAnsi="宋体" w:eastAsia="宋体"/>
          <w:iCs w:val="0"/>
          <w:szCs w:val="21"/>
          <w:highlight w:val="none"/>
        </w:rPr>
        <w:t xml:space="preserve">是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r>
        <w:rPr>
          <w:rFonts w:hint="eastAsia" w:ascii="宋体" w:hAnsi="宋体" w:eastAsia="宋体"/>
          <w:iCs w:val="0"/>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lang w:eastAsia="zh-CN"/>
        </w:rPr>
        <w:t>不涉及</w:t>
      </w:r>
    </w:p>
    <w:p w14:paraId="78250A61">
      <w:pPr>
        <w:numPr>
          <w:ilvl w:val="0"/>
          <w:numId w:val="15"/>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4C4522F2">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（1）合同金额小写：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5F64D803">
      <w:pPr>
        <w:adjustRightInd w:val="0"/>
        <w:snapToGrid w:val="0"/>
        <w:spacing w:before="0" w:beforeLines="0" w:line="400" w:lineRule="exact"/>
        <w:ind w:left="0" w:firstLine="0" w:firstLineChars="0"/>
        <w:rPr>
          <w:rFonts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4D5E98ED">
      <w:pPr>
        <w:adjustRightInd w:val="0"/>
        <w:snapToGrid w:val="0"/>
        <w:spacing w:before="0" w:beforeLines="0" w:line="400" w:lineRule="exact"/>
        <w:ind w:firstLine="0" w:firstLineChars="0"/>
        <w:rPr>
          <w:rFonts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分包金额</w:t>
      </w:r>
      <w:r>
        <w:rPr>
          <w:rFonts w:hint="eastAsia" w:ascii="宋体" w:hAnsi="宋体"/>
          <w:szCs w:val="21"/>
          <w:highlight w:val="none"/>
          <w:lang w:eastAsia="zh-CN"/>
        </w:rPr>
        <w:t>（如有）</w:t>
      </w:r>
      <w:r>
        <w:rPr>
          <w:rFonts w:hint="eastAsia" w:ascii="宋体" w:hAnsi="宋体"/>
          <w:szCs w:val="21"/>
          <w:highlight w:val="none"/>
        </w:rPr>
        <w:t>小写：</w:t>
      </w:r>
      <w:r>
        <w:rPr>
          <w:rFonts w:hint="eastAsia" w:ascii="宋体" w:hAnsi="宋体"/>
          <w:szCs w:val="21"/>
          <w:highlight w:val="none"/>
          <w:u w:val="single"/>
        </w:rPr>
        <w:t xml:space="preserve">                   </w:t>
      </w:r>
    </w:p>
    <w:p w14:paraId="1BB09358">
      <w:pPr>
        <w:adjustRightInd w:val="0"/>
        <w:snapToGrid w:val="0"/>
        <w:spacing w:before="0" w:beforeLines="0" w:line="400" w:lineRule="exact"/>
        <w:ind w:firstLine="0" w:firstLineChars="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629F00C6">
      <w:pPr>
        <w:adjustRightInd w:val="0"/>
        <w:snapToGrid w:val="0"/>
        <w:spacing w:before="0" w:beforeLines="0" w:line="400" w:lineRule="exact"/>
        <w:ind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 xml:space="preserve">    （注：固定单价合同应填写单价和最高限价）</w:t>
      </w:r>
    </w:p>
    <w:p w14:paraId="151088F1">
      <w:pPr>
        <w:numPr>
          <w:ilvl w:val="-1"/>
          <w:numId w:val="0"/>
        </w:numPr>
        <w:adjustRightInd w:val="0"/>
        <w:snapToGrid w:val="0"/>
        <w:spacing w:before="0" w:beforeLines="0" w:line="400" w:lineRule="exact"/>
        <w:ind w:firstLine="0" w:firstLineChars="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r>
        <w:rPr>
          <w:rFonts w:hint="eastAsia" w:ascii="宋体" w:hAnsi="宋体"/>
          <w:szCs w:val="21"/>
          <w:highlight w:val="none"/>
        </w:rPr>
        <w:t>合同定价方式</w:t>
      </w:r>
      <w:r>
        <w:rPr>
          <w:rFonts w:hint="eastAsia" w:ascii="宋体" w:hAnsi="宋体"/>
          <w:szCs w:val="21"/>
          <w:highlight w:val="none"/>
          <w:lang w:eastAsia="zh-CN"/>
        </w:rPr>
        <w:t>（采用组合定价方式的，可以勾选多项）</w:t>
      </w:r>
      <w:r>
        <w:rPr>
          <w:rFonts w:hint="eastAsia" w:ascii="宋体" w:hAnsi="宋体"/>
          <w:szCs w:val="21"/>
          <w:highlight w:val="none"/>
        </w:rPr>
        <w:t>：</w:t>
      </w:r>
    </w:p>
    <w:p w14:paraId="38331F06">
      <w:pPr>
        <w:adjustRightInd w:val="0"/>
        <w:snapToGrid w:val="0"/>
        <w:spacing w:before="0" w:beforeLines="0" w:line="400" w:lineRule="exact"/>
        <w:ind w:firstLine="420" w:firstLineChars="200"/>
        <w:rPr>
          <w:rFonts w:hint="eastAsia" w:ascii="宋体" w:hAnsi="宋体" w:eastAsia="宋体"/>
          <w:szCs w:val="21"/>
          <w:highlight w:val="none"/>
          <w:lang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固定总价 </w:t>
      </w:r>
      <w:r>
        <w:rPr>
          <w:rFonts w:hint="eastAsia" w:ascii="宋体" w:hAnsi="宋体"/>
          <w:iCs/>
          <w:szCs w:val="21"/>
          <w:highlight w:val="none"/>
        </w:rPr>
        <w:sym w:font="Wingdings" w:char="00A8"/>
      </w:r>
      <w:r>
        <w:rPr>
          <w:rFonts w:hint="eastAsia" w:ascii="宋体" w:hAnsi="宋体"/>
          <w:iCs/>
          <w:szCs w:val="21"/>
          <w:highlight w:val="none"/>
        </w:rPr>
        <w:t>固定单价</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固定费率</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成本补偿 </w:t>
      </w:r>
      <w:r>
        <w:rPr>
          <w:rFonts w:hint="eastAsia" w:ascii="宋体" w:hAnsi="宋体"/>
          <w:iCs/>
          <w:szCs w:val="21"/>
          <w:highlight w:val="none"/>
        </w:rPr>
        <w:sym w:font="Wingdings" w:char="00A8"/>
      </w:r>
      <w:r>
        <w:rPr>
          <w:rFonts w:hint="eastAsia" w:ascii="宋体" w:hAnsi="宋体"/>
          <w:iCs/>
          <w:szCs w:val="21"/>
          <w:highlight w:val="none"/>
        </w:rPr>
        <w:t>绩效激励</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r>
        <w:rPr>
          <w:rFonts w:hint="eastAsia" w:ascii="宋体" w:hAnsi="宋体"/>
          <w:szCs w:val="21"/>
          <w:highlight w:val="none"/>
          <w:u w:val="single"/>
        </w:rPr>
        <w:t xml:space="preserve">       </w:t>
      </w:r>
    </w:p>
    <w:p w14:paraId="57A81458">
      <w:pPr>
        <w:pStyle w:val="134"/>
        <w:spacing w:beforeLines="0" w:line="400" w:lineRule="exact"/>
        <w:rPr>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）付款方式（按项目实际勾选填写）：</w:t>
      </w:r>
    </w:p>
    <w:p w14:paraId="17951BE2">
      <w:pPr>
        <w:adjustRightInd w:val="0"/>
        <w:snapToGrid w:val="0"/>
        <w:spacing w:before="0" w:beforeLines="0" w:line="40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全额付款：</w:t>
      </w:r>
      <w:r>
        <w:rPr>
          <w:rFonts w:hint="eastAsia" w:ascii="宋体" w:hAnsi="宋体"/>
          <w:szCs w:val="21"/>
          <w:highlight w:val="none"/>
          <w:u w:val="single"/>
        </w:rPr>
        <w:t xml:space="preserve">     （应</w:t>
      </w:r>
      <w:r>
        <w:rPr>
          <w:rFonts w:hint="eastAsia" w:ascii="宋体" w:hAnsi="宋体"/>
          <w:szCs w:val="21"/>
          <w:highlight w:val="none"/>
          <w:u w:val="single"/>
          <w:lang w:eastAsia="zh-CN"/>
        </w:rPr>
        <w:t>明确</w:t>
      </w:r>
      <w:r>
        <w:rPr>
          <w:rFonts w:hint="eastAsia" w:ascii="宋体" w:hAnsi="宋体"/>
          <w:szCs w:val="21"/>
          <w:highlight w:val="none"/>
          <w:u w:val="single"/>
        </w:rPr>
        <w:t>一次性支付合同款项</w:t>
      </w:r>
      <w:r>
        <w:rPr>
          <w:rFonts w:hint="eastAsia" w:ascii="宋体" w:hAnsi="宋体"/>
          <w:szCs w:val="21"/>
          <w:highlight w:val="none"/>
          <w:u w:val="single"/>
          <w:lang w:eastAsia="zh-CN"/>
        </w:rPr>
        <w:t>的条件</w:t>
      </w:r>
      <w:r>
        <w:rPr>
          <w:rFonts w:hint="eastAsia" w:ascii="宋体" w:hAnsi="宋体"/>
          <w:szCs w:val="21"/>
          <w:highlight w:val="none"/>
          <w:u w:val="single"/>
        </w:rPr>
        <w:t xml:space="preserve">）                    </w:t>
      </w:r>
    </w:p>
    <w:p w14:paraId="2FD7A906">
      <w:pPr>
        <w:snapToGrid w:val="0"/>
        <w:spacing w:beforeLines="0" w:line="400" w:lineRule="exact"/>
        <w:ind w:firstLine="630" w:firstLineChars="300"/>
        <w:rPr>
          <w:highlight w:val="none"/>
        </w:rPr>
      </w:pPr>
      <w:r>
        <w:rPr>
          <w:rFonts w:hint="eastAsia" w:ascii="宋体" w:hAnsi="宋体"/>
          <w:szCs w:val="21"/>
          <w:highlight w:val="none"/>
        </w:rPr>
        <w:sym w:font="Wingdings" w:char="00A8"/>
      </w:r>
      <w:r>
        <w:rPr>
          <w:rFonts w:hint="eastAsia" w:ascii="宋体" w:hAnsi="宋体"/>
          <w:szCs w:val="21"/>
          <w:highlight w:val="none"/>
        </w:rPr>
        <w:t>分期付款：</w:t>
      </w:r>
      <w:r>
        <w:rPr>
          <w:rFonts w:hint="eastAsia" w:ascii="宋体" w:hAnsi="宋体"/>
          <w:szCs w:val="21"/>
          <w:highlight w:val="none"/>
          <w:u w:val="single"/>
        </w:rPr>
        <w:t xml:space="preserve">  （应明确分期支付合同款项的各期比例和支付条件</w:t>
      </w:r>
      <w:r>
        <w:rPr>
          <w:rFonts w:hint="eastAsia" w:ascii="宋体" w:hAnsi="宋体"/>
          <w:szCs w:val="21"/>
          <w:highlight w:val="none"/>
          <w:u w:val="single"/>
          <w:lang w:eastAsia="zh-CN"/>
        </w:rPr>
        <w:t>，各期支付条件应与分期履约验收情况挂钩</w:t>
      </w:r>
      <w:r>
        <w:rPr>
          <w:rFonts w:hint="eastAsia" w:ascii="宋体" w:hAnsi="宋体"/>
          <w:szCs w:val="21"/>
          <w:highlight w:val="none"/>
          <w:u w:val="single"/>
        </w:rPr>
        <w:t xml:space="preserve">） </w:t>
      </w:r>
      <w:r>
        <w:rPr>
          <w:rFonts w:hint="eastAsia" w:ascii="宋体" w:hAnsi="宋体"/>
          <w:szCs w:val="21"/>
          <w:highlight w:val="none"/>
          <w:u w:val="none"/>
          <w:lang w:eastAsia="zh-CN"/>
        </w:rPr>
        <w:t>，</w:t>
      </w:r>
      <w:r>
        <w:rPr>
          <w:rFonts w:hint="eastAsia" w:ascii="宋体" w:hAnsi="宋体"/>
          <w:szCs w:val="21"/>
          <w:highlight w:val="none"/>
          <w:lang w:eastAsia="zh-CN"/>
        </w:rPr>
        <w:t>其中涉及预付款的</w:t>
      </w:r>
      <w:r>
        <w:rPr>
          <w:rFonts w:hint="eastAsia" w:ascii="宋体" w:hAnsi="宋体"/>
          <w:szCs w:val="21"/>
          <w:highlight w:val="none"/>
        </w:rPr>
        <w:t>：</w:t>
      </w:r>
      <w:r>
        <w:rPr>
          <w:rFonts w:hint="eastAsia" w:ascii="宋体" w:hAnsi="宋体"/>
          <w:szCs w:val="21"/>
          <w:highlight w:val="none"/>
          <w:u w:val="single"/>
        </w:rPr>
        <w:t xml:space="preserve"> （应明确预付款的支付比例和支付条件） </w:t>
      </w:r>
    </w:p>
    <w:p w14:paraId="5AA6E353">
      <w:pPr>
        <w:adjustRightInd w:val="0"/>
        <w:snapToGrid w:val="0"/>
        <w:spacing w:before="0" w:beforeLines="0" w:line="40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成本补偿：</w:t>
      </w:r>
      <w:r>
        <w:rPr>
          <w:rFonts w:hint="eastAsia" w:ascii="宋体" w:hAnsi="宋体"/>
          <w:szCs w:val="21"/>
          <w:highlight w:val="none"/>
          <w:u w:val="single"/>
        </w:rPr>
        <w:t xml:space="preserve">      （应明确按照成本补偿方式的支付方式和支付条件）   </w:t>
      </w:r>
    </w:p>
    <w:p w14:paraId="6CF627BA">
      <w:pPr>
        <w:adjustRightInd w:val="0"/>
        <w:snapToGrid w:val="0"/>
        <w:spacing w:before="0" w:beforeLines="0" w:line="400" w:lineRule="exact"/>
        <w:ind w:firstLine="630" w:firstLineChars="300"/>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绩效激励：</w:t>
      </w:r>
      <w:r>
        <w:rPr>
          <w:rFonts w:hint="eastAsia" w:ascii="宋体" w:hAnsi="宋体"/>
          <w:szCs w:val="21"/>
          <w:highlight w:val="none"/>
          <w:u w:val="single"/>
        </w:rPr>
        <w:t xml:space="preserve">      （应明确按照绩效激励方式的支付方式和支付条件）   </w:t>
      </w:r>
    </w:p>
    <w:p w14:paraId="73EB2979">
      <w:pPr>
        <w:numPr>
          <w:ilvl w:val="0"/>
          <w:numId w:val="15"/>
        </w:numPr>
        <w:adjustRightInd w:val="0"/>
        <w:snapToGrid w:val="0"/>
        <w:spacing w:before="0" w:beforeLines="0" w:line="400" w:lineRule="exact"/>
        <w:ind w:firstLine="422" w:firstLineChars="200"/>
        <w:rPr>
          <w:rFonts w:ascii="宋体" w:hAnsi="宋体"/>
          <w:b/>
          <w:bCs w:val="0"/>
          <w:szCs w:val="21"/>
          <w:highlight w:val="none"/>
          <w:u w:val="single"/>
        </w:rPr>
      </w:pPr>
      <w:r>
        <w:rPr>
          <w:rFonts w:hint="eastAsia" w:ascii="宋体" w:hAnsi="宋体"/>
          <w:b/>
          <w:bCs w:val="0"/>
          <w:szCs w:val="21"/>
          <w:highlight w:val="none"/>
        </w:rPr>
        <w:t>合同履行</w:t>
      </w:r>
    </w:p>
    <w:p w14:paraId="415D15DE">
      <w:pPr>
        <w:adjustRightInd w:val="0"/>
        <w:snapToGrid w:val="0"/>
        <w:spacing w:before="0" w:beforeLines="0" w:line="400" w:lineRule="exact"/>
        <w:ind w:firstLine="420" w:firstLineChars="200"/>
        <w:rPr>
          <w:rFonts w:hint="eastAsia"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25C2D202">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lang w:eastAsia="zh-CN"/>
        </w:rPr>
        <w:t>履约</w:t>
      </w:r>
      <w:r>
        <w:rPr>
          <w:rFonts w:hint="eastAsia" w:ascii="宋体" w:hAnsi="宋体" w:cs="宋体"/>
          <w:szCs w:val="21"/>
          <w:highlight w:val="none"/>
        </w:rPr>
        <w:t>地点</w:t>
      </w:r>
      <w:r>
        <w:rPr>
          <w:rFonts w:hint="eastAsia" w:ascii="宋体" w:hAnsi="宋体" w:cs="宋体"/>
          <w:b w:val="0"/>
          <w:bCs/>
          <w:szCs w:val="21"/>
          <w:highlight w:val="none"/>
        </w:rPr>
        <w:t>：</w:t>
      </w:r>
      <w:r>
        <w:rPr>
          <w:rFonts w:hint="eastAsia" w:ascii="宋体" w:hAnsi="宋体" w:cs="宋体"/>
          <w:szCs w:val="21"/>
          <w:highlight w:val="none"/>
          <w:u w:val="single"/>
        </w:rPr>
        <w:t xml:space="preserve">                             </w:t>
      </w:r>
    </w:p>
    <w:p w14:paraId="694A563B">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14:paraId="521699A2">
      <w:pPr>
        <w:pStyle w:val="85"/>
        <w:spacing w:beforeLines="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w:t>
      </w:r>
      <w:r>
        <w:rPr>
          <w:rFonts w:hint="eastAsia" w:ascii="宋体" w:hAnsi="宋体" w:eastAsia="宋体" w:cs="宋体"/>
          <w:sz w:val="21"/>
          <w:highlight w:val="none"/>
          <w:lang w:val="en-US" w:eastAsia="zh-CN"/>
        </w:rPr>
        <w:t xml:space="preserve">  收取履约保证金形式：</w:t>
      </w:r>
      <w:r>
        <w:rPr>
          <w:rFonts w:hint="eastAsia" w:ascii="宋体" w:hAnsi="宋体" w:eastAsia="宋体" w:cs="宋体"/>
          <w:bCs/>
          <w:sz w:val="21"/>
          <w:szCs w:val="21"/>
          <w:highlight w:val="none"/>
          <w:u w:val="single"/>
        </w:rPr>
        <w:t xml:space="preserve">                            </w:t>
      </w:r>
    </w:p>
    <w:p w14:paraId="0D976417">
      <w:pPr>
        <w:pStyle w:val="85"/>
        <w:spacing w:beforeLines="0"/>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 xml:space="preserve">    收取履约保证金金额：</w:t>
      </w:r>
      <w:r>
        <w:rPr>
          <w:rFonts w:hint="eastAsia" w:ascii="宋体" w:hAnsi="宋体" w:eastAsia="宋体" w:cs="宋体"/>
          <w:bCs/>
          <w:sz w:val="21"/>
          <w:szCs w:val="21"/>
          <w:highlight w:val="none"/>
          <w:u w:val="single"/>
        </w:rPr>
        <w:t xml:space="preserve">                            </w:t>
      </w:r>
    </w:p>
    <w:p w14:paraId="4D98A8B5">
      <w:pPr>
        <w:snapToGrid w:val="0"/>
        <w:spacing w:beforeLines="0" w:line="400" w:lineRule="exact"/>
        <w:ind w:firstLine="420" w:firstLineChars="20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履约担保期限</w:t>
      </w:r>
      <w:r>
        <w:rPr>
          <w:rFonts w:hint="eastAsia" w:ascii="宋体" w:hAnsi="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14:paraId="5E384A13">
      <w:pPr>
        <w:adjustRightInd w:val="0"/>
        <w:snapToGrid w:val="0"/>
        <w:spacing w:before="0" w:beforeLines="0"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（4）分期履行要求：</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rPr>
        <w:t xml:space="preserve"> </w:t>
      </w:r>
    </w:p>
    <w:p w14:paraId="51FBBBEB">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bCs/>
          <w:szCs w:val="21"/>
          <w:highlight w:val="none"/>
        </w:rPr>
        <w:t>（5）</w:t>
      </w:r>
      <w:r>
        <w:rPr>
          <w:rFonts w:hint="eastAsia" w:ascii="宋体" w:hAnsi="宋体" w:cs="宋体"/>
          <w:bCs/>
          <w:szCs w:val="21"/>
          <w:highlight w:val="none"/>
          <w:lang w:eastAsia="zh-CN"/>
        </w:rPr>
        <w:t>风险处置措施和替代方案</w:t>
      </w:r>
      <w:r>
        <w:rPr>
          <w:rFonts w:hint="eastAsia" w:ascii="宋体" w:hAnsi="宋体" w:cs="宋体"/>
          <w:bCs/>
          <w:szCs w:val="21"/>
          <w:highlight w:val="none"/>
        </w:rPr>
        <w:t>：</w:t>
      </w:r>
      <w:r>
        <w:rPr>
          <w:rFonts w:hint="eastAsia" w:ascii="宋体" w:hAnsi="宋体" w:cs="宋体"/>
          <w:color w:val="0000FF"/>
          <w:szCs w:val="21"/>
          <w:highlight w:val="none"/>
          <w:u w:val="single"/>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szCs w:val="21"/>
          <w:highlight w:val="none"/>
          <w:u w:val="single"/>
        </w:rPr>
        <w:t xml:space="preserve">                                                </w:t>
      </w:r>
    </w:p>
    <w:p w14:paraId="1613F7D7">
      <w:pPr>
        <w:numPr>
          <w:ilvl w:val="0"/>
          <w:numId w:val="15"/>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合同验收</w:t>
      </w:r>
    </w:p>
    <w:p w14:paraId="730E48AF">
      <w:pPr>
        <w:numPr>
          <w:ilvl w:val="0"/>
          <w:numId w:val="17"/>
        </w:num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bCs/>
          <w:szCs w:val="21"/>
          <w:highlight w:val="none"/>
        </w:rPr>
        <w:t>委托第三方组织</w:t>
      </w:r>
    </w:p>
    <w:p w14:paraId="75EC7080">
      <w:pPr>
        <w:numPr>
          <w:ilvl w:val="0"/>
          <w:numId w:val="0"/>
        </w:numPr>
        <w:adjustRightInd w:val="0"/>
        <w:snapToGrid w:val="0"/>
        <w:spacing w:before="0" w:beforeLines="0" w:line="400" w:lineRule="exact"/>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验收主体：</w:t>
      </w:r>
      <w:r>
        <w:rPr>
          <w:rFonts w:hint="eastAsia" w:ascii="宋体" w:hAnsi="宋体"/>
          <w:bCs/>
          <w:szCs w:val="21"/>
          <w:highlight w:val="none"/>
          <w:u w:val="single"/>
        </w:rPr>
        <w:t xml:space="preserve">                  </w:t>
      </w:r>
    </w:p>
    <w:p w14:paraId="4866D20B">
      <w:pPr>
        <w:adjustRightInd w:val="0"/>
        <w:snapToGrid w:val="0"/>
        <w:spacing w:before="0" w:beforeLines="0" w:line="400" w:lineRule="exact"/>
        <w:ind w:firstLine="0" w:firstLineChars="0"/>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是否邀请本项目的其他供应商</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6A861258">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是否邀请专家</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2A5A12DD">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是否邀请服务对象</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67E7FB51">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是否邀请第三方检测机构</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027F06C8">
      <w:pPr>
        <w:adjustRightInd w:val="0"/>
        <w:snapToGrid w:val="0"/>
        <w:spacing w:before="0" w:beforeLines="0" w:line="400" w:lineRule="exact"/>
        <w:ind w:firstLine="840" w:firstLineChars="400"/>
        <w:rPr>
          <w:rFonts w:hint="eastAsia" w:ascii="宋体" w:hAnsi="宋体"/>
          <w:bCs/>
          <w:szCs w:val="21"/>
          <w:highlight w:val="none"/>
        </w:rPr>
      </w:pPr>
      <w:r>
        <w:rPr>
          <w:rFonts w:hint="eastAsia" w:ascii="宋体" w:hAnsi="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bCs/>
          <w:szCs w:val="21"/>
          <w:highlight w:val="none"/>
        </w:rPr>
        <w:t>是</w:t>
      </w:r>
      <w:r>
        <w:rPr>
          <w:rFonts w:hint="eastAsia" w:ascii="宋体" w:hAnsi="宋体"/>
          <w:bCs/>
          <w:szCs w:val="21"/>
          <w:highlight w:val="none"/>
          <w:lang w:eastAsia="zh-CN"/>
        </w:rPr>
        <w:t>，抽查比例：</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5379AEE9">
      <w:pPr>
        <w:adjustRightInd w:val="0"/>
        <w:snapToGrid w:val="0"/>
        <w:spacing w:before="0" w:beforeLines="0" w:line="400" w:lineRule="exact"/>
        <w:ind w:firstLine="840" w:firstLineChars="400"/>
        <w:rPr>
          <w:rFonts w:hint="eastAsia" w:ascii="宋体" w:hAnsi="宋体" w:eastAsia="宋体"/>
          <w:bCs/>
          <w:szCs w:val="21"/>
          <w:highlight w:val="none"/>
          <w:u w:val="single"/>
          <w:lang w:eastAsia="zh-CN"/>
        </w:rPr>
      </w:pPr>
      <w:r>
        <w:rPr>
          <w:rFonts w:hint="eastAsia" w:ascii="宋体" w:hAnsi="宋体" w:eastAsia="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eastAsia="宋体"/>
          <w:bCs/>
          <w:szCs w:val="21"/>
          <w:highlight w:val="none"/>
          <w:lang w:eastAsia="zh-CN"/>
        </w:rPr>
        <w:t>，</w:t>
      </w:r>
      <w:r>
        <w:rPr>
          <w:rFonts w:hint="eastAsia" w:ascii="宋体" w:hAnsi="宋体" w:eastAsia="宋体"/>
          <w:bCs/>
          <w:szCs w:val="21"/>
          <w:highlight w:val="none"/>
          <w:u w:val="single"/>
          <w:lang w:eastAsia="zh-CN"/>
        </w:rPr>
        <w:t>（应明确对被破坏的检测产品的处理方式）</w:t>
      </w:r>
    </w:p>
    <w:p w14:paraId="73464D00">
      <w:pPr>
        <w:adjustRightInd w:val="0"/>
        <w:snapToGrid w:val="0"/>
        <w:spacing w:before="0" w:beforeLines="0" w:line="400" w:lineRule="exact"/>
        <w:ind w:firstLine="840" w:firstLineChars="40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14:paraId="7FCFA344">
      <w:pPr>
        <w:adjustRightInd w:val="0"/>
        <w:snapToGrid w:val="0"/>
        <w:spacing w:before="0" w:beforeLines="0" w:line="400" w:lineRule="exact"/>
        <w:ind w:firstLine="840" w:firstLineChars="400"/>
        <w:rPr>
          <w:rFonts w:hint="eastAsia" w:ascii="宋体" w:hAnsi="宋体"/>
          <w:bCs/>
          <w:szCs w:val="21"/>
          <w:highlight w:val="none"/>
          <w:u w:val="single"/>
        </w:rPr>
      </w:pPr>
      <w:r>
        <w:rPr>
          <w:rFonts w:hint="eastAsia" w:ascii="宋体" w:hAnsi="宋体"/>
          <w:bCs/>
          <w:szCs w:val="21"/>
          <w:highlight w:val="none"/>
        </w:rPr>
        <w:t>验收组织的其他事项：</w:t>
      </w:r>
      <w:r>
        <w:rPr>
          <w:rFonts w:hint="eastAsia" w:ascii="宋体" w:hAnsi="宋体"/>
          <w:bCs/>
          <w:szCs w:val="21"/>
          <w:highlight w:val="none"/>
          <w:u w:val="single"/>
        </w:rPr>
        <w:t xml:space="preserve">                </w:t>
      </w:r>
    </w:p>
    <w:p w14:paraId="79B74AD4">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（2）履约验收时间：</w:t>
      </w:r>
      <w:r>
        <w:rPr>
          <w:rFonts w:hint="eastAsia" w:ascii="宋体" w:hAnsi="宋体"/>
          <w:bCs/>
          <w:szCs w:val="21"/>
          <w:highlight w:val="none"/>
          <w:u w:val="single"/>
        </w:rPr>
        <w:t>（计划于何时验收/供应商提出验收申请之日起   日内组织验收）</w:t>
      </w:r>
      <w:r>
        <w:rPr>
          <w:rFonts w:hint="eastAsia" w:ascii="宋体" w:hAnsi="宋体"/>
          <w:bCs/>
          <w:szCs w:val="21"/>
          <w:highlight w:val="none"/>
          <w:u w:val="single"/>
          <w:lang w:val="en-US" w:eastAsia="zh-CN"/>
        </w:rPr>
        <w:t xml:space="preserve"> </w:t>
      </w:r>
    </w:p>
    <w:p w14:paraId="2474172B">
      <w:p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一次性验收         </w:t>
      </w:r>
    </w:p>
    <w:p w14:paraId="13E41492">
      <w:pPr>
        <w:adjustRightInd w:val="0"/>
        <w:snapToGrid w:val="0"/>
        <w:spacing w:before="0" w:beforeLines="0" w:line="400" w:lineRule="exact"/>
        <w:ind w:firstLine="0" w:firstLineChars="0"/>
        <w:rPr>
          <w:rFonts w:hint="eastAsia" w:ascii="宋体" w:hAnsi="宋体" w:eastAsia="宋体"/>
          <w:bCs/>
          <w:szCs w:val="21"/>
          <w:highlight w:val="none"/>
          <w:lang w:val="en-US" w:eastAsia="zh-CN"/>
        </w:rPr>
      </w:pPr>
      <w:r>
        <w:rPr>
          <w:rFonts w:hint="eastAsia" w:ascii="宋体" w:hAnsi="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分期/分项验收</w:t>
      </w:r>
      <w:r>
        <w:rPr>
          <w:rFonts w:hint="eastAsia" w:ascii="宋体" w:hAnsi="宋体"/>
          <w:bCs/>
          <w:szCs w:val="21"/>
          <w:highlight w:val="non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（应明确分期</w:t>
      </w:r>
      <w:r>
        <w:rPr>
          <w:rFonts w:hint="default" w:ascii="宋体" w:hAnsi="宋体"/>
          <w:bCs/>
          <w:szCs w:val="21"/>
          <w:highlight w:val="none"/>
          <w:u w:val="single"/>
          <w:lang w:val="en" w:eastAsia="zh-CN"/>
        </w:rPr>
        <w:t>/</w:t>
      </w:r>
      <w:r>
        <w:rPr>
          <w:rFonts w:hint="eastAsia" w:ascii="宋体" w:hAnsi="宋体"/>
          <w:bCs/>
          <w:szCs w:val="21"/>
          <w:highlight w:val="none"/>
          <w:u w:val="single"/>
          <w:lang w:val="en" w:eastAsia="zh-CN"/>
        </w:rPr>
        <w:t>分项验收的工作安排</w:t>
      </w:r>
      <w:r>
        <w:rPr>
          <w:rFonts w:hint="eastAsia" w:ascii="宋体" w:hAnsi="宋体"/>
          <w:bCs/>
          <w:szCs w:val="21"/>
          <w:highlight w:val="none"/>
          <w:u w:val="singl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p>
    <w:p w14:paraId="66F0B794">
      <w:pPr>
        <w:adjustRightInd w:val="0"/>
        <w:snapToGrid w:val="0"/>
        <w:spacing w:before="0" w:beforeLines="0" w:line="400" w:lineRule="exact"/>
        <w:ind w:firstLine="420" w:firstLineChars="200"/>
        <w:rPr>
          <w:rFonts w:ascii="宋体" w:hAnsi="宋体"/>
          <w:bCs/>
          <w:szCs w:val="21"/>
          <w:highlight w:val="none"/>
        </w:rPr>
      </w:pPr>
      <w:r>
        <w:rPr>
          <w:rFonts w:hint="eastAsia" w:ascii="宋体" w:hAnsi="宋体"/>
          <w:bCs/>
          <w:szCs w:val="21"/>
          <w:highlight w:val="none"/>
        </w:rPr>
        <w:t>（4）履约验收程序：</w:t>
      </w:r>
      <w:r>
        <w:rPr>
          <w:rFonts w:hint="eastAsia" w:ascii="宋体" w:hAnsi="宋体"/>
          <w:bCs/>
          <w:szCs w:val="21"/>
          <w:highlight w:val="none"/>
          <w:u w:val="single"/>
        </w:rPr>
        <w:t xml:space="preserve">                                         </w:t>
      </w:r>
    </w:p>
    <w:p w14:paraId="4676E2CC">
      <w:pPr>
        <w:adjustRightInd w:val="0"/>
        <w:snapToGrid w:val="0"/>
        <w:spacing w:before="0" w:beforeLines="0" w:line="400" w:lineRule="exact"/>
        <w:ind w:firstLine="420" w:firstLineChars="200"/>
        <w:rPr>
          <w:rFonts w:ascii="宋体" w:hAnsi="宋体"/>
          <w:bCs/>
          <w:szCs w:val="21"/>
          <w:highlight w:val="none"/>
          <w:u w:val="single"/>
        </w:rPr>
      </w:pPr>
      <w:r>
        <w:rPr>
          <w:rFonts w:hint="eastAsia" w:ascii="宋体" w:hAnsi="宋体"/>
          <w:bCs/>
          <w:szCs w:val="21"/>
          <w:highlight w:val="none"/>
        </w:rPr>
        <w:t>（5）履约验收的内容：</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szCs w:val="21"/>
          <w:highlight w:val="none"/>
          <w:u w:val="single"/>
        </w:rPr>
        <w:t xml:space="preserve">                                      </w:t>
      </w:r>
    </w:p>
    <w:p w14:paraId="1092C17F">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（6）履约验收标准：</w:t>
      </w:r>
      <w:r>
        <w:rPr>
          <w:rFonts w:hint="eastAsia" w:ascii="宋体" w:hAnsi="宋体"/>
          <w:bCs/>
          <w:szCs w:val="21"/>
          <w:highlight w:val="none"/>
          <w:u w:val="single"/>
        </w:rPr>
        <w:t xml:space="preserve">                                         </w:t>
      </w:r>
    </w:p>
    <w:p w14:paraId="43D34822">
      <w:pPr>
        <w:pStyle w:val="85"/>
        <w:spacing w:beforeLines="0"/>
        <w:rPr>
          <w:rFonts w:hint="eastAsia" w:ascii="宋体" w:hAnsi="宋体" w:eastAsia="宋体" w:cs="宋体"/>
          <w:sz w:val="21"/>
          <w:highlight w:val="none"/>
          <w:lang w:eastAsia="zh-CN"/>
        </w:rPr>
      </w:pP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lang w:val="en-US" w:eastAsia="zh-CN"/>
        </w:rPr>
        <w:t>7</w:t>
      </w:r>
      <w:r>
        <w:rPr>
          <w:rFonts w:hint="eastAsia" w:ascii="宋体" w:hAnsi="宋体" w:eastAsia="宋体" w:cs="宋体"/>
          <w:bCs/>
          <w:sz w:val="21"/>
          <w:szCs w:val="21"/>
          <w:highlight w:val="none"/>
          <w:u w:val="none"/>
          <w:lang w:eastAsia="zh-CN"/>
        </w:rPr>
        <w:t>）是否以采购活动中供应商提供的样品作为参考：</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4C5C3776">
      <w:pPr>
        <w:adjustRightInd w:val="0"/>
        <w:snapToGrid w:val="0"/>
        <w:spacing w:before="0" w:beforeLines="0" w:line="400" w:lineRule="exact"/>
        <w:ind w:firstLine="420" w:firstLineChars="200"/>
        <w:rPr>
          <w:rFonts w:hint="eastAsia"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w:t>
      </w:r>
      <w:r>
        <w:rPr>
          <w:rFonts w:hint="eastAsia" w:ascii="宋体" w:hAnsi="宋体" w:cs="宋体"/>
          <w:bCs/>
          <w:i w:val="0"/>
          <w:iCs w:val="0"/>
          <w:szCs w:val="21"/>
          <w:highlight w:val="none"/>
          <w:u w:val="single"/>
        </w:rPr>
        <w:t>（产权过户登记等）</w:t>
      </w:r>
      <w:r>
        <w:rPr>
          <w:rFonts w:hint="eastAsia" w:ascii="宋体" w:hAnsi="宋体" w:cs="宋体"/>
          <w:bCs/>
          <w:szCs w:val="21"/>
          <w:highlight w:val="none"/>
          <w:u w:val="single"/>
        </w:rPr>
        <w:t xml:space="preserve">          </w:t>
      </w:r>
    </w:p>
    <w:p w14:paraId="158D9777">
      <w:pPr>
        <w:numPr>
          <w:ilvl w:val="0"/>
          <w:numId w:val="15"/>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组成合同的文件</w:t>
      </w:r>
    </w:p>
    <w:p w14:paraId="3456A7CF">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本协议书与下列文件一起构成合同文件，如下述文件之间有任何抵触、矛盾或歧义，应按以下顺序解释：</w:t>
      </w:r>
    </w:p>
    <w:p w14:paraId="149CAF9D">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54132D5C">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）政府采购合同专用条款</w:t>
      </w:r>
    </w:p>
    <w:p w14:paraId="37ACA373">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）政府采购合同通用条款</w:t>
      </w:r>
    </w:p>
    <w:p w14:paraId="7AD5D3D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138E7E23">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）投标（响应）文件</w:t>
      </w:r>
    </w:p>
    <w:p w14:paraId="2C93B71F">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（6）采购文件</w:t>
      </w:r>
    </w:p>
    <w:p w14:paraId="4C690F07">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（7）有关技术文件，图纸</w:t>
      </w:r>
    </w:p>
    <w:p w14:paraId="23B53BA4">
      <w:pPr>
        <w:pStyle w:val="85"/>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92D6E81">
      <w:pPr>
        <w:numPr>
          <w:ilvl w:val="0"/>
          <w:numId w:val="15"/>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合同生效</w:t>
      </w:r>
    </w:p>
    <w:p w14:paraId="0AA6369D">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本合同自</w:t>
      </w:r>
      <w:r>
        <w:rPr>
          <w:rFonts w:hint="eastAsia" w:ascii="宋体" w:hAnsi="宋体"/>
          <w:szCs w:val="21"/>
          <w:highlight w:val="none"/>
          <w:u w:val="single"/>
        </w:rPr>
        <w:t xml:space="preserve">                             </w:t>
      </w:r>
      <w:r>
        <w:rPr>
          <w:rFonts w:hint="eastAsia" w:ascii="宋体" w:hAnsi="宋体"/>
          <w:szCs w:val="21"/>
          <w:highlight w:val="none"/>
        </w:rPr>
        <w:t>生效。</w:t>
      </w:r>
    </w:p>
    <w:p w14:paraId="4B2E35D6">
      <w:pPr>
        <w:numPr>
          <w:ilvl w:val="0"/>
          <w:numId w:val="15"/>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合同份数</w:t>
      </w:r>
    </w:p>
    <w:p w14:paraId="571C8289">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甲方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乙方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份，均具有同等法律效力。</w:t>
      </w:r>
    </w:p>
    <w:p w14:paraId="1F68ADC2">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04CA7E6D">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合同订立地点：</w:t>
      </w:r>
      <w:r>
        <w:rPr>
          <w:rFonts w:hint="eastAsia" w:ascii="宋体" w:hAnsi="宋体"/>
          <w:szCs w:val="21"/>
          <w:highlight w:val="none"/>
          <w:u w:val="single"/>
        </w:rPr>
        <w:t xml:space="preserve">                           </w:t>
      </w:r>
    </w:p>
    <w:p w14:paraId="1E7F5B30">
      <w:pPr>
        <w:adjustRightInd w:val="0"/>
        <w:snapToGrid w:val="0"/>
        <w:spacing w:before="0" w:beforeLines="0" w:line="400" w:lineRule="exact"/>
        <w:ind w:firstLine="420" w:firstLineChars="200"/>
        <w:rPr>
          <w:highlight w:val="none"/>
        </w:rPr>
      </w:pPr>
      <w:r>
        <w:rPr>
          <w:rFonts w:hint="eastAsia" w:ascii="宋体" w:hAnsi="宋体"/>
          <w:szCs w:val="21"/>
          <w:highlight w:val="none"/>
        </w:rPr>
        <w:t>附件：具体标</w:t>
      </w:r>
      <w:r>
        <w:rPr>
          <w:rFonts w:hint="eastAsia" w:ascii="宋体" w:hAnsi="宋体"/>
          <w:szCs w:val="21"/>
          <w:highlight w:val="none"/>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highlight w:val="none"/>
        </w:rPr>
        <w:t>、联合协议、分包</w:t>
      </w:r>
      <w:r>
        <w:rPr>
          <w:rFonts w:hint="eastAsia" w:ascii="宋体" w:hAnsi="宋体"/>
          <w:szCs w:val="21"/>
          <w:highlight w:val="none"/>
          <w:lang w:eastAsia="zh-CN"/>
        </w:rPr>
        <w:t>意向</w:t>
      </w:r>
      <w:r>
        <w:rPr>
          <w:rFonts w:hint="eastAsia" w:ascii="宋体" w:hAnsi="宋体"/>
          <w:szCs w:val="21"/>
          <w:highlight w:val="none"/>
        </w:rPr>
        <w:t>协议等。</w:t>
      </w:r>
    </w:p>
    <w:p w14:paraId="46369964">
      <w:pPr>
        <w:pStyle w:val="134"/>
        <w:spacing w:beforeLines="0" w:line="400" w:lineRule="exact"/>
        <w:rPr>
          <w:highlight w:val="none"/>
        </w:rPr>
      </w:pPr>
    </w:p>
    <w:p w14:paraId="4676E84F">
      <w:pPr>
        <w:pStyle w:val="6"/>
        <w:spacing w:beforeLines="0" w:line="400" w:lineRule="exact"/>
        <w:rPr>
          <w:rFonts w:hint="eastAsia" w:ascii="宋体" w:hAnsi="宋体" w:cs="Times New Roman"/>
          <w:b w:val="0"/>
          <w:bCs w:val="0"/>
          <w:sz w:val="21"/>
          <w:szCs w:val="21"/>
          <w:highlight w:val="none"/>
          <w:lang w:val="en-US" w:eastAsia="zh-CN"/>
        </w:rPr>
      </w:pPr>
      <w:r>
        <w:rPr>
          <w:rFonts w:hint="default"/>
          <w:highlight w:val="none"/>
          <w:lang w:val="en"/>
        </w:rPr>
        <w:t xml:space="preserve">   </w:t>
      </w:r>
    </w:p>
    <w:p w14:paraId="19086970">
      <w:pPr>
        <w:rPr>
          <w:rFonts w:hint="eastAsia"/>
          <w:highlight w:val="none"/>
        </w:rPr>
      </w:pPr>
      <w:r>
        <w:rPr>
          <w:rFonts w:hint="eastAsia"/>
          <w:highlight w:val="none"/>
        </w:rPr>
        <w:br w:type="page"/>
      </w:r>
    </w:p>
    <w:p w14:paraId="503A519E">
      <w:pPr>
        <w:pStyle w:val="134"/>
        <w:rPr>
          <w:rFonts w:hint="eastAsia"/>
          <w:highlight w:val="none"/>
        </w:rPr>
      </w:pPr>
    </w:p>
    <w:tbl>
      <w:tblPr>
        <w:tblStyle w:val="7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6AFF54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2562" w:type="pct"/>
            <w:gridSpan w:val="2"/>
            <w:tcBorders>
              <w:bottom w:val="single" w:color="auto" w:sz="2" w:space="0"/>
              <w:right w:val="single" w:color="auto" w:sz="2" w:space="0"/>
            </w:tcBorders>
            <w:vAlign w:val="center"/>
          </w:tcPr>
          <w:p w14:paraId="1654B30D">
            <w:pPr>
              <w:adjustRightInd w:val="0"/>
              <w:snapToGrid w:val="0"/>
              <w:spacing w:line="300" w:lineRule="exact"/>
              <w:jc w:val="center"/>
              <w:rPr>
                <w:highlight w:val="none"/>
              </w:rPr>
            </w:pPr>
            <w:r>
              <w:rPr>
                <w:szCs w:val="21"/>
                <w:highlight w:val="none"/>
              </w:rPr>
              <w:t>甲方</w:t>
            </w:r>
            <w:r>
              <w:rPr>
                <w:rFonts w:hint="eastAsia"/>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w:t>
            </w:r>
            <w:r>
              <w:rPr>
                <w:rFonts w:hint="eastAsia"/>
                <w:szCs w:val="21"/>
                <w:highlight w:val="none"/>
              </w:rPr>
              <w:t>采购文件约定的合同甲方）</w:t>
            </w:r>
          </w:p>
        </w:tc>
        <w:tc>
          <w:tcPr>
            <w:tcW w:w="2437" w:type="pct"/>
            <w:gridSpan w:val="2"/>
            <w:tcBorders>
              <w:left w:val="single" w:color="auto" w:sz="2" w:space="0"/>
              <w:bottom w:val="single" w:color="auto" w:sz="2" w:space="0"/>
            </w:tcBorders>
            <w:vAlign w:val="center"/>
          </w:tcPr>
          <w:p w14:paraId="5D460F62">
            <w:pPr>
              <w:adjustRightInd w:val="0"/>
              <w:snapToGrid w:val="0"/>
              <w:spacing w:line="300" w:lineRule="exact"/>
              <w:jc w:val="center"/>
              <w:rPr>
                <w:highlight w:val="none"/>
              </w:rPr>
            </w:pPr>
            <w:r>
              <w:rPr>
                <w:szCs w:val="21"/>
                <w:highlight w:val="none"/>
              </w:rPr>
              <w:t>乙方</w:t>
            </w:r>
            <w:r>
              <w:rPr>
                <w:rFonts w:hint="eastAsia"/>
                <w:szCs w:val="21"/>
                <w:highlight w:val="none"/>
              </w:rPr>
              <w:t>（供应商）</w:t>
            </w:r>
          </w:p>
        </w:tc>
      </w:tr>
      <w:tr w14:paraId="561D55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7D48A21">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5E8D3FFC">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F70DDE0">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1259" w:type="pct"/>
            <w:tcBorders>
              <w:top w:val="single" w:color="auto" w:sz="2" w:space="0"/>
              <w:left w:val="single" w:color="auto" w:sz="2" w:space="0"/>
              <w:bottom w:val="single" w:color="auto" w:sz="2" w:space="0"/>
            </w:tcBorders>
            <w:vAlign w:val="center"/>
          </w:tcPr>
          <w:p w14:paraId="2800D229">
            <w:pPr>
              <w:adjustRightInd w:val="0"/>
              <w:snapToGrid w:val="0"/>
              <w:spacing w:line="300" w:lineRule="exact"/>
              <w:jc w:val="center"/>
              <w:rPr>
                <w:spacing w:val="20"/>
                <w:szCs w:val="21"/>
                <w:highlight w:val="none"/>
              </w:rPr>
            </w:pPr>
          </w:p>
        </w:tc>
      </w:tr>
      <w:tr w14:paraId="340A4D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DCAB1C3">
            <w:pPr>
              <w:adjustRightInd w:val="0"/>
              <w:snapToGrid w:val="0"/>
              <w:spacing w:line="300" w:lineRule="exact"/>
              <w:jc w:val="center"/>
              <w:rPr>
                <w:szCs w:val="21"/>
                <w:highlight w:val="none"/>
              </w:rPr>
            </w:pPr>
            <w:r>
              <w:rPr>
                <w:szCs w:val="21"/>
                <w:highlight w:val="none"/>
              </w:rPr>
              <w:t>法定代表人</w:t>
            </w:r>
          </w:p>
          <w:p w14:paraId="0410788E">
            <w:pPr>
              <w:adjustRightInd w:val="0"/>
              <w:snapToGrid w:val="0"/>
              <w:spacing w:line="300" w:lineRule="exact"/>
              <w:ind w:firstLine="100" w:firstLineChars="48"/>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21032627">
            <w:pPr>
              <w:adjustRightInd w:val="0"/>
              <w:snapToGrid w:val="0"/>
              <w:spacing w:line="300" w:lineRule="exact"/>
              <w:jc w:val="center"/>
              <w:rPr>
                <w:szCs w:val="21"/>
                <w:highlight w:val="none"/>
              </w:rPr>
            </w:pPr>
          </w:p>
        </w:tc>
        <w:tc>
          <w:tcPr>
            <w:tcW w:w="1178" w:type="pct"/>
            <w:tcBorders>
              <w:top w:val="single" w:color="auto" w:sz="2" w:space="0"/>
              <w:left w:val="single" w:color="auto" w:sz="2" w:space="0"/>
              <w:right w:val="single" w:color="auto" w:sz="2" w:space="0"/>
            </w:tcBorders>
            <w:vAlign w:val="center"/>
          </w:tcPr>
          <w:p w14:paraId="30606D45">
            <w:pPr>
              <w:adjustRightInd w:val="0"/>
              <w:snapToGrid w:val="0"/>
              <w:spacing w:line="300" w:lineRule="exact"/>
              <w:jc w:val="center"/>
              <w:rPr>
                <w:szCs w:val="21"/>
                <w:highlight w:val="none"/>
              </w:rPr>
            </w:pPr>
            <w:r>
              <w:rPr>
                <w:szCs w:val="21"/>
                <w:highlight w:val="none"/>
              </w:rPr>
              <w:t>法定代表人</w:t>
            </w:r>
          </w:p>
          <w:p w14:paraId="1EE02868">
            <w:pPr>
              <w:adjustRightInd w:val="0"/>
              <w:snapToGrid w:val="0"/>
              <w:spacing w:line="300" w:lineRule="exact"/>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1259" w:type="pct"/>
            <w:tcBorders>
              <w:top w:val="single" w:color="auto" w:sz="2" w:space="0"/>
              <w:left w:val="single" w:color="auto" w:sz="2" w:space="0"/>
              <w:bottom w:val="single" w:color="auto" w:sz="2" w:space="0"/>
            </w:tcBorders>
            <w:vAlign w:val="center"/>
          </w:tcPr>
          <w:p w14:paraId="19878395">
            <w:pPr>
              <w:adjustRightInd w:val="0"/>
              <w:snapToGrid w:val="0"/>
              <w:spacing w:line="300" w:lineRule="exact"/>
              <w:jc w:val="center"/>
              <w:rPr>
                <w:szCs w:val="21"/>
                <w:highlight w:val="none"/>
              </w:rPr>
            </w:pPr>
          </w:p>
        </w:tc>
      </w:tr>
      <w:tr w14:paraId="3AFE23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99E77F9">
            <w:pPr>
              <w:adjustRightInd w:val="0"/>
              <w:snapToGrid w:val="0"/>
              <w:spacing w:line="300" w:lineRule="exact"/>
              <w:jc w:val="center"/>
              <w:rPr>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75C587D8">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43ED792">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4EB5EFFD">
            <w:pPr>
              <w:adjustRightInd w:val="0"/>
              <w:snapToGrid w:val="0"/>
              <w:spacing w:line="300" w:lineRule="exact"/>
              <w:jc w:val="center"/>
              <w:rPr>
                <w:spacing w:val="20"/>
                <w:szCs w:val="21"/>
                <w:highlight w:val="none"/>
              </w:rPr>
            </w:pPr>
          </w:p>
        </w:tc>
      </w:tr>
      <w:tr w14:paraId="3CD858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FA49514">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2FD2200">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5870829">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64B55643">
            <w:pPr>
              <w:adjustRightInd w:val="0"/>
              <w:snapToGrid w:val="0"/>
              <w:spacing w:line="300" w:lineRule="exact"/>
              <w:jc w:val="center"/>
              <w:rPr>
                <w:spacing w:val="20"/>
                <w:szCs w:val="21"/>
                <w:highlight w:val="none"/>
              </w:rPr>
            </w:pPr>
          </w:p>
        </w:tc>
      </w:tr>
      <w:tr w14:paraId="6D4700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02D06B1">
            <w:pPr>
              <w:adjustRightInd w:val="0"/>
              <w:snapToGrid w:val="0"/>
              <w:spacing w:line="300" w:lineRule="exact"/>
              <w:jc w:val="center"/>
              <w:rPr>
                <w:szCs w:val="21"/>
                <w:highlight w:val="none"/>
              </w:rPr>
            </w:pPr>
            <w:r>
              <w:rPr>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82E5743">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4C22A6D">
            <w:pPr>
              <w:adjustRightInd w:val="0"/>
              <w:snapToGrid w:val="0"/>
              <w:spacing w:line="300" w:lineRule="exact"/>
              <w:jc w:val="center"/>
              <w:rPr>
                <w:szCs w:val="21"/>
                <w:highlight w:val="none"/>
              </w:rPr>
            </w:pPr>
            <w:r>
              <w:rPr>
                <w:szCs w:val="21"/>
                <w:highlight w:val="none"/>
              </w:rPr>
              <w:t>联 系 人</w:t>
            </w:r>
          </w:p>
        </w:tc>
        <w:tc>
          <w:tcPr>
            <w:tcW w:w="1259" w:type="pct"/>
            <w:tcBorders>
              <w:top w:val="single" w:color="auto" w:sz="2" w:space="0"/>
              <w:left w:val="single" w:color="auto" w:sz="2" w:space="0"/>
              <w:bottom w:val="single" w:color="auto" w:sz="2" w:space="0"/>
            </w:tcBorders>
            <w:vAlign w:val="center"/>
          </w:tcPr>
          <w:p w14:paraId="3BD2A080">
            <w:pPr>
              <w:adjustRightInd w:val="0"/>
              <w:snapToGrid w:val="0"/>
              <w:spacing w:line="300" w:lineRule="exact"/>
              <w:jc w:val="center"/>
              <w:rPr>
                <w:spacing w:val="20"/>
                <w:szCs w:val="21"/>
                <w:highlight w:val="none"/>
              </w:rPr>
            </w:pPr>
          </w:p>
        </w:tc>
      </w:tr>
      <w:tr w14:paraId="2DA29C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13F5642">
            <w:pPr>
              <w:adjustRightInd w:val="0"/>
              <w:snapToGrid w:val="0"/>
              <w:spacing w:line="300" w:lineRule="exact"/>
              <w:jc w:val="center"/>
              <w:rPr>
                <w:szCs w:val="21"/>
                <w:highlight w:val="none"/>
              </w:rPr>
            </w:pPr>
            <w:r>
              <w:rPr>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DFC7C8F">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C957416">
            <w:pPr>
              <w:adjustRightInd w:val="0"/>
              <w:snapToGrid w:val="0"/>
              <w:spacing w:line="300" w:lineRule="exact"/>
              <w:jc w:val="center"/>
              <w:rPr>
                <w:szCs w:val="21"/>
                <w:highlight w:val="none"/>
              </w:rPr>
            </w:pPr>
            <w:r>
              <w:rPr>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6CE06410">
            <w:pPr>
              <w:adjustRightInd w:val="0"/>
              <w:snapToGrid w:val="0"/>
              <w:spacing w:line="300" w:lineRule="exact"/>
              <w:jc w:val="center"/>
              <w:rPr>
                <w:spacing w:val="20"/>
                <w:szCs w:val="21"/>
                <w:highlight w:val="none"/>
              </w:rPr>
            </w:pPr>
          </w:p>
        </w:tc>
      </w:tr>
      <w:tr w14:paraId="37AD0D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6A67477">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8B8DEFD">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006792C">
            <w:pPr>
              <w:adjustRightInd w:val="0"/>
              <w:snapToGrid w:val="0"/>
              <w:spacing w:line="300" w:lineRule="exact"/>
              <w:jc w:val="center"/>
              <w:rPr>
                <w:szCs w:val="21"/>
                <w:highlight w:val="none"/>
              </w:rPr>
            </w:pPr>
            <w:r>
              <w:rPr>
                <w:rFonts w:hint="eastAsia"/>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26271446">
            <w:pPr>
              <w:adjustRightInd w:val="0"/>
              <w:snapToGrid w:val="0"/>
              <w:spacing w:line="300" w:lineRule="exact"/>
              <w:jc w:val="center"/>
              <w:rPr>
                <w:spacing w:val="20"/>
                <w:szCs w:val="21"/>
                <w:highlight w:val="none"/>
              </w:rPr>
            </w:pPr>
          </w:p>
        </w:tc>
      </w:tr>
      <w:tr w14:paraId="168927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2EFB911">
            <w:pPr>
              <w:adjustRightInd w:val="0"/>
              <w:snapToGrid w:val="0"/>
              <w:spacing w:line="300" w:lineRule="exact"/>
              <w:jc w:val="center"/>
              <w:rPr>
                <w:szCs w:val="21"/>
                <w:highlight w:val="none"/>
              </w:rPr>
            </w:pPr>
            <w:r>
              <w:rPr>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6AC9EDA">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AF97F35">
            <w:pPr>
              <w:adjustRightInd w:val="0"/>
              <w:snapToGrid w:val="0"/>
              <w:spacing w:line="300" w:lineRule="exact"/>
              <w:jc w:val="center"/>
              <w:rPr>
                <w:szCs w:val="21"/>
                <w:highlight w:val="none"/>
              </w:rPr>
            </w:pPr>
            <w:r>
              <w:rPr>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0FEE0D78">
            <w:pPr>
              <w:adjustRightInd w:val="0"/>
              <w:snapToGrid w:val="0"/>
              <w:spacing w:line="300" w:lineRule="exact"/>
              <w:jc w:val="center"/>
              <w:rPr>
                <w:spacing w:val="20"/>
                <w:szCs w:val="21"/>
                <w:highlight w:val="none"/>
              </w:rPr>
            </w:pPr>
          </w:p>
        </w:tc>
      </w:tr>
      <w:tr w14:paraId="07F4AF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959D476">
            <w:pPr>
              <w:adjustRightInd w:val="0"/>
              <w:snapToGrid w:val="0"/>
              <w:spacing w:line="300" w:lineRule="exact"/>
              <w:jc w:val="center"/>
              <w:rPr>
                <w:szCs w:val="21"/>
                <w:highlight w:val="none"/>
              </w:rPr>
            </w:pPr>
            <w:r>
              <w:rPr>
                <w:rFonts w:hint="eastAsia"/>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6F4BCCC">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D1DC8B8">
            <w:pPr>
              <w:adjustRightInd w:val="0"/>
              <w:snapToGrid w:val="0"/>
              <w:spacing w:line="300" w:lineRule="exact"/>
              <w:jc w:val="center"/>
              <w:rPr>
                <w:szCs w:val="21"/>
                <w:highlight w:val="none"/>
              </w:rPr>
            </w:pPr>
            <w:r>
              <w:rPr>
                <w:rFonts w:hint="eastAsia"/>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29126F37">
            <w:pPr>
              <w:adjustRightInd w:val="0"/>
              <w:snapToGrid w:val="0"/>
              <w:spacing w:line="300" w:lineRule="exact"/>
              <w:jc w:val="center"/>
              <w:rPr>
                <w:spacing w:val="20"/>
                <w:szCs w:val="21"/>
                <w:highlight w:val="none"/>
              </w:rPr>
            </w:pPr>
          </w:p>
        </w:tc>
      </w:tr>
      <w:tr w14:paraId="2B497D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51FEF40">
            <w:pPr>
              <w:adjustRightInd w:val="0"/>
              <w:snapToGrid w:val="0"/>
              <w:spacing w:line="300" w:lineRule="exact"/>
              <w:jc w:val="center"/>
              <w:rPr>
                <w:szCs w:val="21"/>
                <w:highlight w:val="none"/>
              </w:rPr>
            </w:pPr>
            <w:r>
              <w:rPr>
                <w:rFonts w:hint="eastAsia"/>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3C0F999">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B67419B">
            <w:pPr>
              <w:adjustRightInd w:val="0"/>
              <w:snapToGrid w:val="0"/>
              <w:spacing w:line="300" w:lineRule="exact"/>
              <w:jc w:val="center"/>
              <w:rPr>
                <w:szCs w:val="21"/>
                <w:highlight w:val="none"/>
              </w:rPr>
            </w:pPr>
            <w:r>
              <w:rPr>
                <w:rFonts w:hint="eastAsia"/>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1B0A670C">
            <w:pPr>
              <w:adjustRightInd w:val="0"/>
              <w:snapToGrid w:val="0"/>
              <w:spacing w:line="300" w:lineRule="exact"/>
              <w:jc w:val="center"/>
              <w:rPr>
                <w:spacing w:val="20"/>
                <w:szCs w:val="21"/>
                <w:highlight w:val="none"/>
              </w:rPr>
            </w:pPr>
          </w:p>
        </w:tc>
      </w:tr>
      <w:tr w14:paraId="414345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28740E0">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20A7DC5">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A46D36A">
            <w:pPr>
              <w:adjustRightInd w:val="0"/>
              <w:snapToGrid w:val="0"/>
              <w:spacing w:line="300" w:lineRule="exact"/>
              <w:jc w:val="center"/>
              <w:rPr>
                <w:szCs w:val="21"/>
                <w:highlight w:val="none"/>
              </w:rPr>
            </w:pPr>
            <w:r>
              <w:rPr>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370D5F25">
            <w:pPr>
              <w:adjustRightInd w:val="0"/>
              <w:snapToGrid w:val="0"/>
              <w:spacing w:line="300" w:lineRule="exact"/>
              <w:jc w:val="center"/>
              <w:rPr>
                <w:spacing w:val="20"/>
                <w:szCs w:val="21"/>
                <w:highlight w:val="none"/>
              </w:rPr>
            </w:pPr>
          </w:p>
        </w:tc>
      </w:tr>
      <w:tr w14:paraId="4A2B97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82D1E44">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1805AC4">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81AB619">
            <w:pPr>
              <w:adjustRightInd w:val="0"/>
              <w:snapToGrid w:val="0"/>
              <w:spacing w:line="300" w:lineRule="exact"/>
              <w:jc w:val="center"/>
              <w:rPr>
                <w:szCs w:val="21"/>
                <w:highlight w:val="none"/>
              </w:rPr>
            </w:pPr>
            <w:r>
              <w:rPr>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46DD7AB2">
            <w:pPr>
              <w:adjustRightInd w:val="0"/>
              <w:snapToGrid w:val="0"/>
              <w:spacing w:line="300" w:lineRule="exact"/>
              <w:jc w:val="center"/>
              <w:rPr>
                <w:spacing w:val="20"/>
                <w:szCs w:val="21"/>
                <w:highlight w:val="none"/>
              </w:rPr>
            </w:pPr>
          </w:p>
        </w:tc>
      </w:tr>
      <w:tr w14:paraId="345999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707D68">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2255BBA">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610C06F">
            <w:pPr>
              <w:adjustRightInd w:val="0"/>
              <w:snapToGrid w:val="0"/>
              <w:spacing w:line="300" w:lineRule="exact"/>
              <w:jc w:val="center"/>
              <w:rPr>
                <w:szCs w:val="21"/>
                <w:highlight w:val="none"/>
              </w:rPr>
            </w:pPr>
            <w:r>
              <w:rPr>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4505C744">
            <w:pPr>
              <w:adjustRightInd w:val="0"/>
              <w:snapToGrid w:val="0"/>
              <w:spacing w:line="300" w:lineRule="exact"/>
              <w:jc w:val="center"/>
              <w:rPr>
                <w:spacing w:val="20"/>
                <w:szCs w:val="21"/>
                <w:highlight w:val="none"/>
              </w:rPr>
            </w:pPr>
          </w:p>
        </w:tc>
      </w:tr>
      <w:tr w14:paraId="4E9665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586" w:hRule="atLeast"/>
        </w:trPr>
        <w:tc>
          <w:tcPr>
            <w:tcW w:w="5000" w:type="pct"/>
            <w:gridSpan w:val="4"/>
            <w:tcBorders>
              <w:top w:val="single" w:color="auto" w:sz="2" w:space="0"/>
            </w:tcBorders>
            <w:vAlign w:val="center"/>
          </w:tcPr>
          <w:p w14:paraId="3284D5C7">
            <w:pPr>
              <w:pStyle w:val="41"/>
              <w:adjustRightInd w:val="0"/>
              <w:snapToGrid w:val="0"/>
              <w:spacing w:before="156" w:beforeLines="50" w:after="0" w:line="360" w:lineRule="auto"/>
              <w:ind w:left="105" w:leftChars="0"/>
              <w:jc w:val="left"/>
              <w:rPr>
                <w:spacing w:val="20"/>
                <w:szCs w:val="21"/>
                <w:highlight w:val="none"/>
              </w:rPr>
            </w:pPr>
            <w:r>
              <w:rPr>
                <w:rFonts w:hint="eastAsia" w:ascii="宋体" w:hAnsi="宋体"/>
                <w:szCs w:val="21"/>
                <w:highlight w:val="none"/>
              </w:rPr>
              <w:t>注：涉及联合体或其他合同主体的信息应按上表格式加列。</w:t>
            </w:r>
          </w:p>
        </w:tc>
      </w:tr>
    </w:tbl>
    <w:p w14:paraId="7554299B">
      <w:pPr>
        <w:pStyle w:val="6"/>
        <w:adjustRightInd w:val="0"/>
        <w:snapToGrid w:val="0"/>
        <w:spacing w:before="156" w:beforeLines="50"/>
        <w:jc w:val="center"/>
        <w:rPr>
          <w:rFonts w:ascii="黑体" w:hAnsi="黑体" w:eastAsia="黑体"/>
          <w:sz w:val="28"/>
          <w:szCs w:val="28"/>
          <w:highlight w:val="none"/>
        </w:rPr>
      </w:pPr>
      <w:r>
        <w:rPr>
          <w:rFonts w:ascii="宋体" w:hAnsi="宋体"/>
          <w:sz w:val="21"/>
          <w:szCs w:val="21"/>
          <w:highlight w:val="none"/>
          <w:u w:val="single"/>
        </w:rPr>
        <w:br w:type="page"/>
      </w:r>
      <w:bookmarkStart w:id="259" w:name="_Toc27624"/>
      <w:r>
        <w:rPr>
          <w:rFonts w:hint="eastAsia" w:ascii="黑体" w:hAnsi="黑体" w:eastAsia="黑体"/>
          <w:b w:val="0"/>
          <w:bCs w:val="0"/>
          <w:sz w:val="28"/>
          <w:szCs w:val="28"/>
          <w:highlight w:val="none"/>
        </w:rPr>
        <w:t>第二节 政府采购合同通用条款</w:t>
      </w:r>
      <w:bookmarkEnd w:id="259"/>
    </w:p>
    <w:p w14:paraId="24E90A3E">
      <w:pPr>
        <w:tabs>
          <w:tab w:val="left" w:pos="8820"/>
          <w:tab w:val="left" w:pos="9345"/>
          <w:tab w:val="left" w:pos="9765"/>
        </w:tabs>
        <w:adjustRightInd w:val="0"/>
        <w:snapToGrid w:val="0"/>
        <w:spacing w:before="0" w:line="400" w:lineRule="exact"/>
        <w:jc w:val="left"/>
        <w:rPr>
          <w:rFonts w:ascii="宋体" w:hAnsi="宋体"/>
          <w:b/>
          <w:bCs/>
          <w:sz w:val="24"/>
          <w:highlight w:val="none"/>
        </w:rPr>
      </w:pPr>
      <w:r>
        <w:rPr>
          <w:rFonts w:hint="eastAsia" w:ascii="宋体" w:hAnsi="宋体"/>
          <w:b/>
          <w:sz w:val="24"/>
          <w:highlight w:val="none"/>
        </w:rPr>
        <w:t>1.</w:t>
      </w:r>
      <w:r>
        <w:rPr>
          <w:rFonts w:hint="eastAsia" w:ascii="宋体" w:hAnsi="宋体"/>
          <w:b/>
          <w:sz w:val="24"/>
          <w:highlight w:val="none"/>
          <w:lang w:val="en-US" w:eastAsia="zh-CN"/>
        </w:rPr>
        <w:t xml:space="preserve"> </w:t>
      </w:r>
      <w:r>
        <w:rPr>
          <w:rFonts w:hint="eastAsia" w:ascii="宋体" w:hAnsi="宋体"/>
          <w:b/>
          <w:bCs/>
          <w:sz w:val="24"/>
          <w:highlight w:val="none"/>
        </w:rPr>
        <w:t>定义</w:t>
      </w:r>
    </w:p>
    <w:p w14:paraId="63B53B5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231457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951BE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4A867E3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highlight w:val="none"/>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19794E4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DD0EA17">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highlight w:val="none"/>
          <w14:textFill>
            <w14:solidFill>
              <w14:schemeClr w14:val="tx1"/>
            </w14:solidFill>
          </w14:textFill>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szCs w:val="21"/>
          <w:highlight w:val="none"/>
        </w:rPr>
        <w:t>政府采购合同专用条款</w:t>
      </w:r>
      <w:r>
        <w:rPr>
          <w:rFonts w:hint="eastAsia" w:ascii="宋体" w:hAnsi="宋体"/>
          <w:szCs w:val="21"/>
          <w:highlight w:val="none"/>
          <w:lang w:eastAsia="zh-CN"/>
        </w:rPr>
        <w:t>，</w:t>
      </w:r>
      <w:r>
        <w:rPr>
          <w:rFonts w:hint="eastAsia" w:ascii="宋体" w:hAnsi="宋体"/>
          <w:szCs w:val="21"/>
          <w:highlight w:val="none"/>
        </w:rPr>
        <w:t>政府采购合同通用条款</w:t>
      </w:r>
      <w:r>
        <w:rPr>
          <w:rFonts w:hint="eastAsia" w:ascii="宋体" w:hAnsi="宋体"/>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szCs w:val="21"/>
          <w:highlight w:val="none"/>
        </w:rPr>
        <w:t>投标（响应）文件</w:t>
      </w:r>
      <w:r>
        <w:rPr>
          <w:rFonts w:hint="eastAsia" w:ascii="宋体" w:hAnsi="宋体"/>
          <w:szCs w:val="21"/>
          <w:highlight w:val="none"/>
          <w:lang w:eastAsia="zh-CN"/>
        </w:rPr>
        <w:t>，</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有关技术文件</w:t>
      </w:r>
      <w:r>
        <w:rPr>
          <w:rFonts w:hint="eastAsia" w:ascii="宋体" w:hAnsi="宋体"/>
          <w:szCs w:val="21"/>
          <w:highlight w:val="none"/>
          <w:lang w:eastAsia="zh-CN"/>
        </w:rPr>
        <w:t>和</w:t>
      </w:r>
      <w:r>
        <w:rPr>
          <w:rFonts w:hint="eastAsia" w:ascii="宋体" w:hAnsi="宋体"/>
          <w:szCs w:val="21"/>
          <w:highlight w:val="none"/>
        </w:rPr>
        <w:t>图纸</w:t>
      </w:r>
      <w:r>
        <w:rPr>
          <w:rFonts w:hint="eastAsia" w:ascii="宋体" w:hAnsi="宋体"/>
          <w:szCs w:val="21"/>
          <w:highlight w:val="none"/>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2E143AE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2C429584">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078C7FAA">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15925F23">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1B25E131">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highlight w:val="none"/>
        </w:rPr>
        <w:t>“联合体”系指</w:t>
      </w:r>
      <w:r>
        <w:rPr>
          <w:rFonts w:hint="eastAsia" w:ascii="宋体" w:hAnsi="宋体"/>
          <w:szCs w:val="21"/>
          <w:highlight w:val="none"/>
          <w:lang w:eastAsia="zh-CN"/>
        </w:rPr>
        <w:t>由</w:t>
      </w:r>
      <w:r>
        <w:rPr>
          <w:rFonts w:hint="eastAsia" w:ascii="宋体" w:hAnsi="宋体"/>
          <w:szCs w:val="21"/>
          <w:highlight w:val="none"/>
        </w:rPr>
        <w:t>两个以上的自然人、法人或者</w:t>
      </w:r>
      <w:r>
        <w:rPr>
          <w:rFonts w:hint="eastAsia" w:ascii="宋体" w:hAnsi="宋体"/>
          <w:szCs w:val="21"/>
          <w:highlight w:val="none"/>
          <w:lang w:val="en-US" w:eastAsia="zh-CN"/>
        </w:rPr>
        <w:t>非法人</w:t>
      </w:r>
      <w:r>
        <w:rPr>
          <w:rFonts w:hint="eastAsia" w:ascii="宋体" w:hAnsi="宋体"/>
          <w:szCs w:val="21"/>
          <w:highlight w:val="none"/>
        </w:rPr>
        <w:t>组织组成，</w:t>
      </w:r>
      <w:r>
        <w:rPr>
          <w:rFonts w:hint="eastAsia" w:ascii="宋体" w:hAnsi="宋体"/>
          <w:szCs w:val="21"/>
          <w:highlight w:val="none"/>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D7353C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371806C8">
      <w:pPr>
        <w:numPr>
          <w:ilvl w:val="0"/>
          <w:numId w:val="18"/>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26C34F0">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4C18A971">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1583B12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highlight w:val="none"/>
        </w:rPr>
        <w:t>乙方应当在约定的时间、地点</w:t>
      </w:r>
      <w:r>
        <w:rPr>
          <w:rFonts w:hint="eastAsia" w:ascii="宋体" w:hAnsi="宋体" w:cs="宋体"/>
          <w:szCs w:val="21"/>
          <w:highlight w:val="none"/>
          <w:lang w:eastAsia="zh-CN"/>
        </w:rPr>
        <w:t>，按照约定</w:t>
      </w:r>
      <w:r>
        <w:rPr>
          <w:rFonts w:hint="eastAsia" w:ascii="宋体" w:hAnsi="宋体" w:eastAsia="宋体" w:cs="宋体"/>
          <w:szCs w:val="21"/>
          <w:highlight w:val="none"/>
        </w:rPr>
        <w:t>方式履行合同。</w:t>
      </w:r>
    </w:p>
    <w:p w14:paraId="26B15AF6">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5A00212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9DA4C3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69F19F73">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0C7EC093">
      <w:pPr>
        <w:snapToGrid w:val="0"/>
        <w:spacing w:line="400" w:lineRule="exact"/>
        <w:ind w:firstLine="420" w:firstLineChars="200"/>
        <w:rPr>
          <w:rFonts w:hint="eastAsia" w:eastAsia="华文楷体"/>
          <w:highlight w:val="none"/>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5705F7F7">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4658E15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38EE214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1DCFDDD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2805A6B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2C220FE1">
      <w:pPr>
        <w:pStyle w:val="1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4989F7E8">
      <w:pPr>
        <w:pStyle w:val="1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732F6C26">
      <w:pPr>
        <w:numPr>
          <w:ilvl w:val="0"/>
          <w:numId w:val="19"/>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3FFC43E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6D1643E0">
      <w:pPr>
        <w:autoSpaceDE w:val="0"/>
        <w:autoSpaceDN w:val="0"/>
        <w:adjustRightInd w:val="0"/>
        <w:snapToGrid w:val="0"/>
        <w:spacing w:before="0" w:line="400" w:lineRule="exact"/>
        <w:ind w:firstLine="420" w:firstLineChars="200"/>
        <w:jc w:val="left"/>
        <w:rPr>
          <w:highlight w:val="none"/>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0AD553AE">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3E48F00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548BFC72">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20348650">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31E23F5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05C4B8DC">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highlight w:val="none"/>
        </w:rPr>
        <w:t>乙方在运输到达之前</w:t>
      </w:r>
      <w:r>
        <w:rPr>
          <w:rFonts w:hint="eastAsia" w:ascii="宋体" w:hAnsi="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cs="宋体"/>
          <w:color w:val="000000"/>
          <w:szCs w:val="21"/>
          <w:highlight w:val="none"/>
          <w:lang w:eastAsia="zh-CN"/>
        </w:rPr>
        <w:t>，甲方配合乙方做好货物的接收工作。</w:t>
      </w:r>
    </w:p>
    <w:p w14:paraId="7610376D">
      <w:pPr>
        <w:pStyle w:val="85"/>
        <w:rPr>
          <w:rFonts w:hint="default" w:eastAsia="华文楷体"/>
          <w:sz w:val="21"/>
          <w:highlight w:val="none"/>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53F561A8">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0F6F2B63">
      <w:pPr>
        <w:pStyle w:val="48"/>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D8DCBF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22E34DA">
      <w:pPr>
        <w:pStyle w:val="48"/>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54EF52A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7458798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2A154C0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2DAAC4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0667D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996666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12CC31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4D6F19B2">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09DE0BB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143FEA4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348901F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highlight w:val="none"/>
        </w:rPr>
        <w:t>乙方保证在交付的货物上不存在抵押权等担保物权。</w:t>
      </w:r>
    </w:p>
    <w:p w14:paraId="15D0595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021B192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536972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60"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260"/>
      <w:r>
        <w:rPr>
          <w:rFonts w:hint="eastAsia" w:ascii="宋体" w:hAnsi="宋体"/>
          <w:color w:val="auto"/>
          <w:szCs w:val="21"/>
          <w:highlight w:val="none"/>
        </w:rPr>
        <w:t>。</w:t>
      </w:r>
    </w:p>
    <w:p w14:paraId="7CF4F4E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179067C5">
      <w:pPr>
        <w:autoSpaceDE w:val="0"/>
        <w:autoSpaceDN w:val="0"/>
        <w:adjustRightInd w:val="0"/>
        <w:snapToGrid w:val="0"/>
        <w:spacing w:before="0" w:line="400" w:lineRule="exact"/>
        <w:ind w:firstLine="420" w:firstLineChars="200"/>
        <w:jc w:val="left"/>
        <w:rPr>
          <w:rFonts w:hint="eastAsia" w:ascii="宋体" w:hAnsi="宋体" w:eastAsia="宋体" w:cs="宋体"/>
          <w:szCs w:val="15"/>
          <w:highlight w:val="none"/>
        </w:rPr>
      </w:pPr>
      <w:r>
        <w:rPr>
          <w:rFonts w:hint="eastAsia" w:ascii="宋体" w:hAnsi="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14:paraId="47DA3E3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370BCD5E">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C4B5789">
      <w:pPr>
        <w:pStyle w:val="6"/>
        <w:spacing w:line="400" w:lineRule="exact"/>
        <w:ind w:firstLine="420" w:firstLineChars="200"/>
        <w:jc w:val="left"/>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42B135C6">
      <w:pPr>
        <w:pStyle w:val="1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6F5618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14:paraId="32030F19">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9A07AA6">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71E125D9">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01E4D2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43E3981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D2CBDE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20462A8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0A3DF07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highlight w:val="none"/>
          <w:lang w:eastAsia="zh-CN"/>
        </w:rPr>
        <w:t>；</w:t>
      </w:r>
    </w:p>
    <w:p w14:paraId="2F55D147">
      <w:pPr>
        <w:pStyle w:val="85"/>
        <w:rPr>
          <w:rFonts w:hint="eastAsia" w:ascii="宋体" w:hAnsi="宋体" w:eastAsia="宋体" w:cs="宋体"/>
          <w:sz w:val="21"/>
          <w:szCs w:val="21"/>
          <w:highlight w:val="none"/>
        </w:rPr>
      </w:pPr>
      <w:r>
        <w:rPr>
          <w:rFonts w:hint="eastAsia" w:ascii="宋体" w:hAnsi="宋体" w:eastAsia="宋体" w:cs="宋体"/>
          <w:sz w:val="21"/>
          <w:szCs w:val="21"/>
          <w:highlight w:val="none"/>
        </w:rPr>
        <w:t>（5）依照法律、行政法规的规定或者按照</w:t>
      </w:r>
      <w:r>
        <w:rPr>
          <w:rFonts w:hint="eastAsia" w:ascii="宋体" w:hAnsi="宋体" w:eastAsia="宋体" w:cs="宋体"/>
          <w:b/>
          <w:bCs/>
          <w:sz w:val="21"/>
          <w:szCs w:val="21"/>
          <w:highlight w:val="none"/>
        </w:rPr>
        <w:t>【政府采购合同专用条款】</w:t>
      </w:r>
      <w:r>
        <w:rPr>
          <w:rFonts w:hint="eastAsia" w:ascii="宋体" w:hAnsi="宋体" w:eastAsia="宋体" w:cs="宋体"/>
          <w:sz w:val="21"/>
          <w:szCs w:val="21"/>
          <w:highlight w:val="none"/>
        </w:rPr>
        <w:t>约定，货物在有效使用年限届满后应予回收的，乙方负有自行或者委托第三人对货物予以回收的义务；</w:t>
      </w:r>
    </w:p>
    <w:p w14:paraId="019F53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BA088F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231528C7">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D7B3C8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273403B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7D844750">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04B845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221E0562">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0D05F8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473F862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CA93AC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1BA8DCDC">
      <w:pPr>
        <w:numPr>
          <w:ilvl w:val="0"/>
          <w:numId w:val="2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73B535CF">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6E54A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03985A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317DC4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4C4967F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0591AD78">
      <w:pPr>
        <w:pStyle w:val="85"/>
        <w:jc w:val="both"/>
        <w:rPr>
          <w:sz w:val="21"/>
          <w:highlight w:val="none"/>
        </w:rPr>
      </w:pPr>
      <w:r>
        <w:rPr>
          <w:rFonts w:hint="eastAsia" w:ascii="宋体" w:hAnsi="宋体" w:eastAsia="宋体" w:cs="宋体"/>
          <w:sz w:val="21"/>
          <w:highlight w:val="none"/>
        </w:rPr>
        <w:t>（3）乙方分立、合并或者变更住所的，应当及时以书面形式告知甲方。乙方没有</w:t>
      </w:r>
      <w:r>
        <w:rPr>
          <w:rFonts w:hint="eastAsia" w:ascii="宋体" w:hAnsi="宋体" w:eastAsia="宋体" w:cs="宋体"/>
          <w:sz w:val="21"/>
          <w:highlight w:val="none"/>
          <w:lang w:eastAsia="zh-CN"/>
        </w:rPr>
        <w:t>及时告知</w:t>
      </w:r>
      <w:r>
        <w:rPr>
          <w:rFonts w:hint="eastAsia" w:ascii="宋体" w:hAnsi="宋体" w:eastAsia="宋体" w:cs="宋体"/>
          <w:sz w:val="21"/>
          <w:highlight w:val="none"/>
        </w:rPr>
        <w:t>甲方，致使</w:t>
      </w:r>
      <w:r>
        <w:rPr>
          <w:rFonts w:hint="eastAsia" w:ascii="宋体" w:hAnsi="宋体" w:eastAsia="宋体" w:cs="宋体"/>
          <w:sz w:val="21"/>
          <w:highlight w:val="none"/>
          <w:lang w:eastAsia="zh-CN"/>
        </w:rPr>
        <w:t>合同</w:t>
      </w:r>
      <w:r>
        <w:rPr>
          <w:rFonts w:hint="eastAsia" w:ascii="宋体" w:hAnsi="宋体" w:eastAsia="宋体" w:cs="宋体"/>
          <w:sz w:val="21"/>
          <w:highlight w:val="none"/>
        </w:rPr>
        <w:t>履行发生困难的，甲方可以中止合同履行并要求乙方承担由此给甲方造成的损失。</w:t>
      </w:r>
    </w:p>
    <w:p w14:paraId="41DB8091">
      <w:pPr>
        <w:snapToGrid w:val="0"/>
        <w:spacing w:line="400" w:lineRule="exact"/>
        <w:ind w:firstLine="420" w:firstLineChars="200"/>
        <w:jc w:val="left"/>
        <w:rPr>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6712CD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7EE60E7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1E0A689">
      <w:pPr>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cs="宋体"/>
          <w:szCs w:val="21"/>
          <w:highlight w:val="none"/>
          <w:lang w:val="en-US" w:eastAsia="zh-CN"/>
        </w:rPr>
        <w:t>任</w:t>
      </w:r>
      <w:r>
        <w:rPr>
          <w:rFonts w:hint="eastAsia" w:ascii="宋体" w:hAnsi="宋体"/>
          <w:color w:val="auto"/>
          <w:szCs w:val="21"/>
          <w:highlight w:val="none"/>
        </w:rPr>
        <w:t>。</w:t>
      </w:r>
    </w:p>
    <w:p w14:paraId="6B5F600C">
      <w:pPr>
        <w:pStyle w:val="85"/>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1A8B216D">
      <w:pPr>
        <w:pStyle w:val="85"/>
        <w:jc w:val="both"/>
        <w:rPr>
          <w:sz w:val="21"/>
          <w:highlight w:val="none"/>
        </w:rPr>
      </w:pPr>
      <w:r>
        <w:rPr>
          <w:rFonts w:hint="eastAsia" w:ascii="宋体" w:hAnsi="宋体" w:eastAsia="宋体" w:cs="宋体"/>
          <w:sz w:val="21"/>
          <w:highlight w:val="none"/>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highlight w:val="none"/>
        </w:rPr>
        <w:t>中止</w:t>
      </w:r>
      <w:r>
        <w:rPr>
          <w:rFonts w:hint="eastAsia" w:ascii="宋体" w:hAnsi="宋体" w:eastAsia="宋体" w:cs="宋体"/>
          <w:sz w:val="21"/>
          <w:highlight w:val="none"/>
          <w:lang w:eastAsia="zh-CN"/>
        </w:rPr>
        <w:t>或者终止</w:t>
      </w:r>
      <w:r>
        <w:rPr>
          <w:rFonts w:hint="eastAsia" w:ascii="宋体" w:hAnsi="宋体" w:eastAsia="宋体" w:cs="宋体"/>
          <w:sz w:val="21"/>
          <w:highlight w:val="none"/>
        </w:rPr>
        <w:t>合同。有过错的一方应当承担赔偿责任，双方都有过错的，各自承担相应的责任。</w:t>
      </w:r>
    </w:p>
    <w:p w14:paraId="077CB66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05C061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4376D0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36EE876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93A09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118D01E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0EC29D7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4B63808F">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74526A9">
      <w:pPr>
        <w:pStyle w:val="85"/>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.1 因本合同及合同有关事项发生的争议，由</w:t>
      </w:r>
      <w:r>
        <w:rPr>
          <w:rFonts w:hint="eastAsia" w:ascii="宋体" w:hAnsi="宋体" w:eastAsia="宋体" w:cs="宋体"/>
          <w:sz w:val="21"/>
          <w:highlight w:val="none"/>
          <w:lang w:eastAsia="zh-CN"/>
        </w:rPr>
        <w:t>甲乙双</w:t>
      </w:r>
      <w:r>
        <w:rPr>
          <w:rFonts w:hint="eastAsia" w:ascii="宋体" w:hAnsi="宋体" w:eastAsia="宋体" w:cs="宋体"/>
          <w:sz w:val="21"/>
          <w:highlight w:val="none"/>
        </w:rPr>
        <w:t>方友好协商解决。协商不成时，可以</w:t>
      </w:r>
      <w:r>
        <w:rPr>
          <w:rFonts w:hint="eastAsia" w:ascii="宋体" w:hAnsi="宋体" w:eastAsia="宋体" w:cs="宋体"/>
          <w:sz w:val="21"/>
          <w:highlight w:val="none"/>
          <w:lang w:eastAsia="zh-CN"/>
        </w:rPr>
        <w:t>向有关组织申请</w:t>
      </w:r>
      <w:r>
        <w:rPr>
          <w:rFonts w:hint="eastAsia" w:ascii="宋体" w:hAnsi="宋体" w:eastAsia="宋体" w:cs="宋体"/>
          <w:sz w:val="21"/>
          <w:highlight w:val="none"/>
        </w:rPr>
        <w:t>调解。合同一方或</w:t>
      </w:r>
      <w:r>
        <w:rPr>
          <w:rFonts w:hint="eastAsia" w:ascii="宋体" w:hAnsi="宋体" w:eastAsia="宋体" w:cs="宋体"/>
          <w:sz w:val="21"/>
          <w:highlight w:val="none"/>
          <w:lang w:eastAsia="zh-CN"/>
        </w:rPr>
        <w:t>双</w:t>
      </w:r>
      <w:r>
        <w:rPr>
          <w:rFonts w:hint="eastAsia" w:ascii="宋体" w:hAnsi="宋体" w:eastAsia="宋体" w:cs="宋体"/>
          <w:sz w:val="21"/>
          <w:highlight w:val="none"/>
        </w:rPr>
        <w:t>方不愿调解或调解不成的，可以通过仲裁或诉讼的方式解决争议。</w:t>
      </w:r>
    </w:p>
    <w:p w14:paraId="0339DD75">
      <w:pPr>
        <w:pStyle w:val="85"/>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73D160F5">
      <w:pPr>
        <w:pStyle w:val="85"/>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.3 如</w:t>
      </w:r>
      <w:r>
        <w:rPr>
          <w:rFonts w:hint="eastAsia" w:ascii="宋体" w:hAnsi="宋体" w:eastAsia="宋体" w:cs="宋体"/>
          <w:sz w:val="21"/>
          <w:highlight w:val="none"/>
          <w:lang w:eastAsia="zh-CN"/>
        </w:rPr>
        <w:t>甲乙双方</w:t>
      </w:r>
      <w:r>
        <w:rPr>
          <w:rFonts w:hint="eastAsia" w:ascii="宋体" w:hAnsi="宋体" w:eastAsia="宋体" w:cs="宋体"/>
          <w:sz w:val="21"/>
          <w:highlight w:val="none"/>
        </w:rPr>
        <w:t>有争议的事项不影响合同其他部分的履行，在争议解决期间，合同其他部分应</w:t>
      </w:r>
      <w:r>
        <w:rPr>
          <w:rFonts w:hint="eastAsia" w:ascii="宋体" w:hAnsi="宋体" w:eastAsia="宋体" w:cs="宋体"/>
          <w:sz w:val="21"/>
          <w:highlight w:val="none"/>
          <w:lang w:eastAsia="zh-CN"/>
        </w:rPr>
        <w:t>当</w:t>
      </w:r>
      <w:r>
        <w:rPr>
          <w:rFonts w:hint="eastAsia" w:ascii="宋体" w:hAnsi="宋体" w:eastAsia="宋体" w:cs="宋体"/>
          <w:sz w:val="21"/>
          <w:highlight w:val="none"/>
        </w:rPr>
        <w:t>继续履行。</w:t>
      </w:r>
    </w:p>
    <w:p w14:paraId="03F52093">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3B71E9E">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highlight w:val="none"/>
          <w:lang w:val="en-GB"/>
        </w:rPr>
        <w:t>本合同应当按照规定执行政府采购政策。</w:t>
      </w:r>
    </w:p>
    <w:p w14:paraId="1471C45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highlight w:val="none"/>
          <w:lang w:eastAsia="zh-CN"/>
        </w:rPr>
        <w:t>甲乙双方</w:t>
      </w:r>
      <w:r>
        <w:rPr>
          <w:rFonts w:hint="eastAsia" w:ascii="宋体" w:hAnsi="宋体" w:eastAsia="宋体" w:cs="宋体"/>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FFD06A8">
      <w:pPr>
        <w:pStyle w:val="13"/>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657E11F">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69C3535C">
      <w:pPr>
        <w:pStyle w:val="85"/>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.1 本合同的订立、生效、解释、履行及与本合同有关的争议解决，均适用法律、行政法规。</w:t>
      </w:r>
    </w:p>
    <w:p w14:paraId="254977BA">
      <w:pPr>
        <w:pStyle w:val="85"/>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.2 本合同条款与法律、行政法规的强制性规定不一致的，双方当事人应按照法律、行政法规的强制性规定修改本合同的相关条款。</w:t>
      </w:r>
    </w:p>
    <w:p w14:paraId="6C5036BD">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1EC44F53">
      <w:pPr>
        <w:pStyle w:val="85"/>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.1</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本合同任何一方向对方发出的通知、信件、数据电文等，应当发送至本合同第一部分《政府采购合同协议书》所约定的通讯地址、联系人、联系电话或电子邮箱。</w:t>
      </w:r>
    </w:p>
    <w:p w14:paraId="17AE006A">
      <w:pPr>
        <w:pStyle w:val="85"/>
        <w:ind w:firstLine="0" w:firstLineChars="0"/>
        <w:jc w:val="both"/>
        <w:rPr>
          <w:sz w:val="21"/>
          <w:highlight w:val="none"/>
        </w:rPr>
      </w:pP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一方当事人变更名称、</w:t>
      </w:r>
      <w:r>
        <w:rPr>
          <w:rFonts w:hint="eastAsia" w:ascii="宋体" w:hAnsi="宋体" w:eastAsia="宋体" w:cs="宋体"/>
          <w:sz w:val="21"/>
          <w:highlight w:val="none"/>
          <w:lang w:eastAsia="zh-CN"/>
        </w:rPr>
        <w:t>住所</w:t>
      </w:r>
      <w:r>
        <w:rPr>
          <w:rFonts w:hint="eastAsia" w:ascii="宋体" w:hAnsi="宋体" w:eastAsia="宋体" w:cs="宋体"/>
          <w:sz w:val="21"/>
          <w:highlight w:val="none"/>
        </w:rPr>
        <w:t>、联系人、联系电话或电子邮箱</w:t>
      </w:r>
      <w:r>
        <w:rPr>
          <w:rFonts w:hint="eastAsia" w:ascii="宋体" w:hAnsi="宋体" w:eastAsia="宋体" w:cs="宋体"/>
          <w:sz w:val="21"/>
          <w:highlight w:val="none"/>
          <w:lang w:eastAsia="zh-CN"/>
        </w:rPr>
        <w:t>等信息</w:t>
      </w:r>
      <w:r>
        <w:rPr>
          <w:rFonts w:hint="eastAsia" w:ascii="宋体" w:hAnsi="宋体" w:eastAsia="宋体" w:cs="宋体"/>
          <w:sz w:val="21"/>
          <w:highlight w:val="none"/>
        </w:rPr>
        <w:t>的，应当在变更后3日内及时书面通知对方，对方实际收到变更通知前的送达仍为有效送达。</w:t>
      </w:r>
    </w:p>
    <w:p w14:paraId="42545F3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195D2C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730F2869">
      <w:pPr>
        <w:numPr>
          <w:ilvl w:val="0"/>
          <w:numId w:val="2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5C82AD7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C89ED02">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261" w:name="_Toc20313"/>
    </w:p>
    <w:p w14:paraId="4FDBDEE5">
      <w:pPr>
        <w:adjustRightInd w:val="0"/>
        <w:snapToGrid w:val="0"/>
        <w:jc w:val="center"/>
        <w:rPr>
          <w:rFonts w:hint="eastAsia" w:ascii="黑体" w:hAnsi="华文中宋" w:eastAsia="黑体"/>
          <w:b w:val="0"/>
          <w:bCs w:val="0"/>
          <w:sz w:val="28"/>
          <w:szCs w:val="28"/>
          <w:highlight w:val="none"/>
        </w:rPr>
      </w:pPr>
      <w:r>
        <w:rPr>
          <w:rFonts w:hint="eastAsia" w:ascii="黑体" w:hAnsi="华文中宋" w:eastAsia="黑体"/>
          <w:b w:val="0"/>
          <w:bCs w:val="0"/>
          <w:sz w:val="28"/>
          <w:szCs w:val="28"/>
          <w:highlight w:val="none"/>
        </w:rPr>
        <w:br w:type="page"/>
      </w:r>
    </w:p>
    <w:p w14:paraId="7A4C0A6F">
      <w:pPr>
        <w:pStyle w:val="6"/>
        <w:adjustRightInd w:val="0"/>
        <w:snapToGrid w:val="0"/>
        <w:jc w:val="center"/>
        <w:rPr>
          <w:rFonts w:ascii="黑体" w:hAnsi="华文中宋" w:eastAsia="黑体"/>
          <w:b w:val="0"/>
          <w:bCs w:val="0"/>
          <w:sz w:val="28"/>
          <w:szCs w:val="28"/>
          <w:highlight w:val="none"/>
        </w:rPr>
      </w:pPr>
      <w:r>
        <w:rPr>
          <w:rFonts w:hint="eastAsia" w:ascii="黑体" w:hAnsi="华文中宋" w:eastAsia="黑体"/>
          <w:b w:val="0"/>
          <w:bCs w:val="0"/>
          <w:sz w:val="28"/>
          <w:szCs w:val="28"/>
          <w:highlight w:val="none"/>
        </w:rPr>
        <w:t>第三节 政府采购合同专用条款</w:t>
      </w:r>
      <w:bookmarkEnd w:id="261"/>
    </w:p>
    <w:tbl>
      <w:tblPr>
        <w:tblStyle w:val="7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78A8F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0858DC">
            <w:pPr>
              <w:adjustRightInd w:val="0"/>
              <w:snapToGrid w:val="0"/>
              <w:jc w:val="center"/>
              <w:rPr>
                <w:rFonts w:ascii="宋体" w:hAnsi="宋体"/>
                <w:szCs w:val="21"/>
                <w:highlight w:val="none"/>
              </w:rPr>
            </w:pPr>
            <w:r>
              <w:rPr>
                <w:rFonts w:hint="eastAsia" w:ascii="宋体" w:hAnsi="宋体"/>
                <w:szCs w:val="21"/>
                <w:highlight w:val="none"/>
              </w:rPr>
              <w:t>第二节</w:t>
            </w:r>
          </w:p>
          <w:p w14:paraId="7FE36D52">
            <w:pPr>
              <w:adjustRightInd w:val="0"/>
              <w:snapToGrid w:val="0"/>
              <w:jc w:val="center"/>
              <w:rPr>
                <w:rFonts w:ascii="宋体" w:hAnsi="宋体"/>
                <w:szCs w:val="21"/>
                <w:highlight w:val="none"/>
              </w:rPr>
            </w:pPr>
            <w:r>
              <w:rPr>
                <w:rFonts w:hint="eastAsia" w:ascii="宋体" w:hAnsi="宋体"/>
                <w:szCs w:val="21"/>
                <w:highlight w:val="none"/>
              </w:rPr>
              <w:t>第1.2（</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2717781F">
            <w:pPr>
              <w:adjustRightInd w:val="0"/>
              <w:snapToGrid w:val="0"/>
              <w:jc w:val="left"/>
              <w:rPr>
                <w:rFonts w:ascii="宋体" w:hAnsi="宋体"/>
                <w:szCs w:val="21"/>
                <w:highlight w:val="none"/>
              </w:rPr>
            </w:pPr>
            <w:r>
              <w:rPr>
                <w:rFonts w:hint="eastAsia" w:ascii="宋体" w:hAnsi="宋体"/>
                <w:szCs w:val="21"/>
                <w:highlight w:val="none"/>
                <w:lang w:eastAsia="zh-CN"/>
              </w:rPr>
              <w:t>联合体具体要求</w:t>
            </w:r>
          </w:p>
        </w:tc>
        <w:tc>
          <w:tcPr>
            <w:tcW w:w="5170" w:type="dxa"/>
            <w:vAlign w:val="center"/>
          </w:tcPr>
          <w:p w14:paraId="2B2B229D">
            <w:pPr>
              <w:adjustRightInd w:val="0"/>
              <w:snapToGrid w:val="0"/>
              <w:jc w:val="left"/>
              <w:rPr>
                <w:rFonts w:ascii="宋体" w:hAnsi="宋体"/>
                <w:szCs w:val="21"/>
                <w:highlight w:val="none"/>
              </w:rPr>
            </w:pPr>
          </w:p>
        </w:tc>
      </w:tr>
      <w:tr w14:paraId="7BFAB6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AE9F9E3">
            <w:pPr>
              <w:adjustRightInd w:val="0"/>
              <w:snapToGrid w:val="0"/>
              <w:jc w:val="center"/>
              <w:rPr>
                <w:rFonts w:ascii="宋体" w:hAnsi="宋体"/>
                <w:szCs w:val="21"/>
                <w:highlight w:val="none"/>
              </w:rPr>
            </w:pPr>
            <w:r>
              <w:rPr>
                <w:rFonts w:hint="eastAsia" w:ascii="宋体" w:hAnsi="宋体"/>
                <w:szCs w:val="21"/>
                <w:highlight w:val="none"/>
              </w:rPr>
              <w:t>第二节</w:t>
            </w:r>
          </w:p>
          <w:p w14:paraId="01942B63">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第1.2（</w:t>
            </w:r>
            <w:r>
              <w:rPr>
                <w:rFonts w:hint="eastAsia" w:ascii="宋体" w:hAnsi="宋体"/>
                <w:szCs w:val="21"/>
                <w:highlight w:val="none"/>
                <w:lang w:val="en-US" w:eastAsia="zh-CN"/>
              </w:rPr>
              <w:t>7</w:t>
            </w:r>
            <w:r>
              <w:rPr>
                <w:rFonts w:hint="eastAsia" w:ascii="宋体" w:hAnsi="宋体"/>
                <w:szCs w:val="21"/>
                <w:highlight w:val="none"/>
              </w:rPr>
              <w:t>）项</w:t>
            </w:r>
          </w:p>
        </w:tc>
        <w:tc>
          <w:tcPr>
            <w:tcW w:w="1742" w:type="dxa"/>
            <w:vAlign w:val="center"/>
          </w:tcPr>
          <w:p w14:paraId="24717B1A">
            <w:pPr>
              <w:adjustRightInd w:val="0"/>
              <w:snapToGrid w:val="0"/>
              <w:jc w:val="left"/>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其他术语解释</w:t>
            </w:r>
          </w:p>
        </w:tc>
        <w:tc>
          <w:tcPr>
            <w:tcW w:w="5170" w:type="dxa"/>
            <w:vAlign w:val="center"/>
          </w:tcPr>
          <w:p w14:paraId="6DE14C3E">
            <w:pPr>
              <w:adjustRightInd w:val="0"/>
              <w:snapToGrid w:val="0"/>
              <w:jc w:val="left"/>
              <w:rPr>
                <w:rFonts w:ascii="宋体" w:hAnsi="宋体" w:eastAsia="宋体" w:cs="Times New Roman"/>
                <w:kern w:val="2"/>
                <w:sz w:val="21"/>
                <w:szCs w:val="21"/>
                <w:highlight w:val="none"/>
                <w:lang w:val="en-US" w:eastAsia="zh-CN" w:bidi="ar-SA"/>
              </w:rPr>
            </w:pPr>
          </w:p>
        </w:tc>
      </w:tr>
      <w:tr w14:paraId="047E6A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C31C1D">
            <w:pPr>
              <w:adjustRightInd w:val="0"/>
              <w:snapToGrid w:val="0"/>
              <w:jc w:val="center"/>
              <w:rPr>
                <w:rFonts w:ascii="宋体" w:hAnsi="宋体"/>
                <w:szCs w:val="21"/>
                <w:highlight w:val="none"/>
              </w:rPr>
            </w:pPr>
            <w:r>
              <w:rPr>
                <w:rFonts w:hint="eastAsia" w:ascii="宋体" w:hAnsi="宋体"/>
                <w:szCs w:val="21"/>
                <w:highlight w:val="none"/>
              </w:rPr>
              <w:t>第二节</w:t>
            </w:r>
          </w:p>
          <w:p w14:paraId="20F5F43F">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4.4款</w:t>
            </w:r>
          </w:p>
        </w:tc>
        <w:tc>
          <w:tcPr>
            <w:tcW w:w="1742" w:type="dxa"/>
            <w:vAlign w:val="center"/>
          </w:tcPr>
          <w:p w14:paraId="71848F33">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履约验收中甲方提出异议或作出说明的期限</w:t>
            </w:r>
          </w:p>
        </w:tc>
        <w:tc>
          <w:tcPr>
            <w:tcW w:w="5170" w:type="dxa"/>
            <w:vAlign w:val="center"/>
          </w:tcPr>
          <w:p w14:paraId="7D9EA412">
            <w:pPr>
              <w:adjustRightInd w:val="0"/>
              <w:snapToGrid w:val="0"/>
              <w:jc w:val="left"/>
              <w:rPr>
                <w:rFonts w:ascii="宋体" w:hAnsi="宋体" w:eastAsia="宋体" w:cs="Times New Roman"/>
                <w:kern w:val="2"/>
                <w:sz w:val="21"/>
                <w:szCs w:val="21"/>
                <w:highlight w:val="none"/>
                <w:lang w:val="en-US" w:eastAsia="zh-CN" w:bidi="ar-SA"/>
              </w:rPr>
            </w:pPr>
          </w:p>
        </w:tc>
      </w:tr>
      <w:tr w14:paraId="21988E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3DF134">
            <w:pPr>
              <w:adjustRightInd w:val="0"/>
              <w:snapToGrid w:val="0"/>
              <w:jc w:val="center"/>
              <w:rPr>
                <w:rFonts w:ascii="宋体" w:hAnsi="宋体"/>
                <w:szCs w:val="21"/>
                <w:highlight w:val="none"/>
              </w:rPr>
            </w:pPr>
            <w:r>
              <w:rPr>
                <w:rFonts w:hint="eastAsia" w:ascii="宋体" w:hAnsi="宋体"/>
                <w:szCs w:val="21"/>
                <w:highlight w:val="none"/>
              </w:rPr>
              <w:t>第二节</w:t>
            </w:r>
          </w:p>
          <w:p w14:paraId="39AB69CE">
            <w:pPr>
              <w:adjustRightInd w:val="0"/>
              <w:snapToGrid w:val="0"/>
              <w:jc w:val="center"/>
              <w:rPr>
                <w:rFonts w:hint="eastAsia" w:ascii="宋体" w:hAnsi="宋体"/>
                <w:szCs w:val="21"/>
                <w:highlight w:val="none"/>
              </w:rPr>
            </w:pPr>
            <w:r>
              <w:rPr>
                <w:rFonts w:hint="eastAsia" w:ascii="宋体" w:hAnsi="宋体"/>
                <w:szCs w:val="21"/>
                <w:highlight w:val="none"/>
                <w:lang w:eastAsia="zh-CN"/>
              </w:rPr>
              <w:t>第</w:t>
            </w:r>
            <w:r>
              <w:rPr>
                <w:rFonts w:hint="eastAsia" w:ascii="宋体" w:hAnsi="宋体"/>
                <w:szCs w:val="21"/>
                <w:highlight w:val="none"/>
                <w:lang w:val="en-US" w:eastAsia="zh-CN"/>
              </w:rPr>
              <w:t>4.6款</w:t>
            </w:r>
          </w:p>
        </w:tc>
        <w:tc>
          <w:tcPr>
            <w:tcW w:w="1742" w:type="dxa"/>
            <w:vAlign w:val="center"/>
          </w:tcPr>
          <w:p w14:paraId="3410867C">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约定甲方承担的其他义务和责任</w:t>
            </w:r>
          </w:p>
        </w:tc>
        <w:tc>
          <w:tcPr>
            <w:tcW w:w="5170" w:type="dxa"/>
            <w:vAlign w:val="center"/>
          </w:tcPr>
          <w:p w14:paraId="49EA27E5">
            <w:pPr>
              <w:adjustRightInd w:val="0"/>
              <w:snapToGrid w:val="0"/>
              <w:jc w:val="left"/>
              <w:rPr>
                <w:rFonts w:ascii="宋体" w:hAnsi="宋体" w:eastAsia="宋体" w:cs="Times New Roman"/>
                <w:kern w:val="2"/>
                <w:sz w:val="21"/>
                <w:szCs w:val="21"/>
                <w:highlight w:val="none"/>
                <w:lang w:val="en-US" w:eastAsia="zh-CN" w:bidi="ar-SA"/>
              </w:rPr>
            </w:pPr>
          </w:p>
        </w:tc>
      </w:tr>
      <w:tr w14:paraId="415FB6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58CC08EC">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7C64FBE8">
            <w:pPr>
              <w:snapToGrid w:val="0"/>
              <w:jc w:val="center"/>
              <w:rPr>
                <w:rFonts w:hint="default"/>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5.4款</w:t>
            </w:r>
          </w:p>
        </w:tc>
        <w:tc>
          <w:tcPr>
            <w:tcW w:w="1742" w:type="dxa"/>
            <w:vAlign w:val="center"/>
          </w:tcPr>
          <w:p w14:paraId="02399289">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约定乙方承担的其他义务和责任</w:t>
            </w:r>
          </w:p>
        </w:tc>
        <w:tc>
          <w:tcPr>
            <w:tcW w:w="5170" w:type="dxa"/>
            <w:vAlign w:val="center"/>
          </w:tcPr>
          <w:p w14:paraId="597B9B5D">
            <w:pPr>
              <w:adjustRightInd w:val="0"/>
              <w:snapToGrid w:val="0"/>
              <w:jc w:val="left"/>
              <w:rPr>
                <w:rFonts w:ascii="宋体" w:hAnsi="宋体" w:eastAsia="宋体" w:cs="Times New Roman"/>
                <w:kern w:val="2"/>
                <w:sz w:val="21"/>
                <w:szCs w:val="21"/>
                <w:highlight w:val="none"/>
                <w:lang w:val="en-US" w:eastAsia="zh-CN" w:bidi="ar-SA"/>
              </w:rPr>
            </w:pPr>
          </w:p>
        </w:tc>
      </w:tr>
      <w:tr w14:paraId="1F024D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9FD45F">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24ADDE47">
            <w:pPr>
              <w:snapToGrid w:val="0"/>
              <w:jc w:val="center"/>
              <w:rPr>
                <w:rFonts w:hint="eastAsia" w:ascii="宋体" w:hAnsi="宋体"/>
                <w:szCs w:val="21"/>
                <w:highlight w:val="none"/>
                <w:lang w:eastAsia="zh-CN"/>
              </w:rPr>
            </w:pPr>
            <w:r>
              <w:rPr>
                <w:rFonts w:hint="eastAsia" w:ascii="宋体" w:hAnsi="宋体"/>
                <w:szCs w:val="21"/>
                <w:highlight w:val="none"/>
                <w:lang w:eastAsia="zh-CN"/>
              </w:rPr>
              <w:t>第</w:t>
            </w:r>
            <w:r>
              <w:rPr>
                <w:rFonts w:hint="eastAsia" w:ascii="宋体" w:hAnsi="宋体"/>
                <w:szCs w:val="21"/>
                <w:highlight w:val="none"/>
                <w:lang w:val="en-US" w:eastAsia="zh-CN"/>
              </w:rPr>
              <w:t>6.1款</w:t>
            </w:r>
          </w:p>
        </w:tc>
        <w:tc>
          <w:tcPr>
            <w:tcW w:w="1742" w:type="dxa"/>
            <w:vAlign w:val="center"/>
          </w:tcPr>
          <w:p w14:paraId="1572FBC2">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履行合同义务的顺序</w:t>
            </w:r>
          </w:p>
        </w:tc>
        <w:tc>
          <w:tcPr>
            <w:tcW w:w="5170" w:type="dxa"/>
            <w:vAlign w:val="center"/>
          </w:tcPr>
          <w:p w14:paraId="57D1D691">
            <w:pPr>
              <w:adjustRightInd w:val="0"/>
              <w:snapToGrid w:val="0"/>
              <w:jc w:val="left"/>
              <w:rPr>
                <w:rFonts w:ascii="宋体" w:hAnsi="宋体" w:eastAsia="宋体" w:cs="Times New Roman"/>
                <w:kern w:val="2"/>
                <w:sz w:val="21"/>
                <w:szCs w:val="21"/>
                <w:highlight w:val="none"/>
                <w:lang w:val="en-US" w:eastAsia="zh-CN" w:bidi="ar-SA"/>
              </w:rPr>
            </w:pPr>
          </w:p>
        </w:tc>
      </w:tr>
      <w:tr w14:paraId="6928C5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C6893A3">
            <w:pPr>
              <w:adjustRightInd w:val="0"/>
              <w:snapToGrid w:val="0"/>
              <w:jc w:val="center"/>
              <w:rPr>
                <w:rFonts w:ascii="宋体" w:hAnsi="宋体"/>
                <w:szCs w:val="21"/>
                <w:highlight w:val="none"/>
              </w:rPr>
            </w:pPr>
            <w:r>
              <w:rPr>
                <w:rFonts w:hint="eastAsia" w:ascii="宋体" w:hAnsi="宋体"/>
                <w:szCs w:val="21"/>
                <w:highlight w:val="none"/>
              </w:rPr>
              <w:t>第二节</w:t>
            </w:r>
          </w:p>
          <w:p w14:paraId="7B36EF1F">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.1</w:t>
            </w:r>
            <w:r>
              <w:rPr>
                <w:rFonts w:hint="eastAsia" w:ascii="宋体" w:hAnsi="宋体"/>
                <w:szCs w:val="21"/>
                <w:highlight w:val="none"/>
                <w:lang w:val="en-US" w:eastAsia="zh-CN"/>
              </w:rPr>
              <w:t>款</w:t>
            </w:r>
          </w:p>
        </w:tc>
        <w:tc>
          <w:tcPr>
            <w:tcW w:w="1742" w:type="dxa"/>
            <w:vAlign w:val="center"/>
          </w:tcPr>
          <w:p w14:paraId="3106771E">
            <w:pPr>
              <w:adjustRightInd w:val="0"/>
              <w:snapToGrid w:val="0"/>
              <w:jc w:val="left"/>
              <w:rPr>
                <w:rFonts w:ascii="宋体" w:hAnsi="宋体"/>
                <w:szCs w:val="21"/>
                <w:highlight w:val="none"/>
              </w:rPr>
            </w:pPr>
            <w:r>
              <w:rPr>
                <w:rFonts w:hint="eastAsia" w:ascii="宋体" w:hAnsi="宋体"/>
                <w:szCs w:val="21"/>
                <w:highlight w:val="none"/>
              </w:rPr>
              <w:t>包装</w:t>
            </w:r>
            <w:r>
              <w:rPr>
                <w:rFonts w:hint="eastAsia" w:ascii="宋体" w:hAnsi="宋体"/>
                <w:szCs w:val="21"/>
                <w:highlight w:val="none"/>
                <w:lang w:eastAsia="zh-CN"/>
              </w:rPr>
              <w:t>特殊要求</w:t>
            </w:r>
          </w:p>
        </w:tc>
        <w:tc>
          <w:tcPr>
            <w:tcW w:w="5170" w:type="dxa"/>
            <w:vAlign w:val="center"/>
          </w:tcPr>
          <w:p w14:paraId="7A909B56">
            <w:pPr>
              <w:rPr>
                <w:highlight w:val="none"/>
              </w:rPr>
            </w:pPr>
          </w:p>
        </w:tc>
      </w:tr>
      <w:tr w14:paraId="0F4090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C751F17">
            <w:pPr>
              <w:adjustRightInd w:val="0"/>
              <w:snapToGrid w:val="0"/>
              <w:jc w:val="center"/>
              <w:rPr>
                <w:rFonts w:hint="eastAsia" w:ascii="宋体" w:hAnsi="宋体"/>
                <w:szCs w:val="21"/>
                <w:highlight w:val="none"/>
              </w:rPr>
            </w:pPr>
          </w:p>
        </w:tc>
        <w:tc>
          <w:tcPr>
            <w:tcW w:w="1742" w:type="dxa"/>
            <w:vAlign w:val="center"/>
          </w:tcPr>
          <w:p w14:paraId="4B56C882">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指定现场</w:t>
            </w:r>
          </w:p>
        </w:tc>
        <w:tc>
          <w:tcPr>
            <w:tcW w:w="5170" w:type="dxa"/>
            <w:vAlign w:val="center"/>
          </w:tcPr>
          <w:p w14:paraId="1217B3E3">
            <w:pPr>
              <w:rPr>
                <w:rFonts w:hint="eastAsia"/>
                <w:highlight w:val="none"/>
              </w:rPr>
            </w:pPr>
          </w:p>
        </w:tc>
      </w:tr>
      <w:tr w14:paraId="7C4B03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980E43C">
            <w:pPr>
              <w:adjustRightInd w:val="0"/>
              <w:snapToGrid w:val="0"/>
              <w:jc w:val="center"/>
              <w:rPr>
                <w:rFonts w:ascii="宋体" w:hAnsi="宋体"/>
                <w:szCs w:val="21"/>
                <w:highlight w:val="none"/>
              </w:rPr>
            </w:pPr>
            <w:r>
              <w:rPr>
                <w:rFonts w:hint="eastAsia" w:ascii="宋体" w:hAnsi="宋体"/>
                <w:szCs w:val="21"/>
                <w:highlight w:val="none"/>
              </w:rPr>
              <w:t>第二节</w:t>
            </w:r>
          </w:p>
          <w:p w14:paraId="5752CCC5">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vAlign w:val="center"/>
          </w:tcPr>
          <w:p w14:paraId="05240352">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运输特殊要求</w:t>
            </w:r>
          </w:p>
        </w:tc>
        <w:tc>
          <w:tcPr>
            <w:tcW w:w="5170" w:type="dxa"/>
            <w:vAlign w:val="center"/>
          </w:tcPr>
          <w:p w14:paraId="17AAA806">
            <w:pPr>
              <w:rPr>
                <w:rFonts w:hint="eastAsia"/>
                <w:highlight w:val="none"/>
              </w:rPr>
            </w:pPr>
          </w:p>
        </w:tc>
      </w:tr>
      <w:tr w14:paraId="0E39D2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8F23DD3">
            <w:pPr>
              <w:adjustRightInd w:val="0"/>
              <w:snapToGrid w:val="0"/>
              <w:jc w:val="center"/>
              <w:rPr>
                <w:rFonts w:ascii="宋体" w:hAnsi="宋体"/>
                <w:szCs w:val="21"/>
                <w:highlight w:val="none"/>
              </w:rPr>
            </w:pPr>
            <w:r>
              <w:rPr>
                <w:rFonts w:hint="eastAsia" w:ascii="宋体" w:hAnsi="宋体"/>
                <w:szCs w:val="21"/>
                <w:highlight w:val="none"/>
              </w:rPr>
              <w:t>第二节</w:t>
            </w:r>
          </w:p>
          <w:p w14:paraId="3B125DCB">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.3</w:t>
            </w:r>
            <w:r>
              <w:rPr>
                <w:rFonts w:hint="eastAsia" w:ascii="宋体" w:hAnsi="宋体"/>
                <w:szCs w:val="21"/>
                <w:highlight w:val="none"/>
                <w:lang w:val="en-US" w:eastAsia="zh-CN"/>
              </w:rPr>
              <w:t>款</w:t>
            </w:r>
          </w:p>
        </w:tc>
        <w:tc>
          <w:tcPr>
            <w:tcW w:w="1742" w:type="dxa"/>
            <w:vAlign w:val="center"/>
          </w:tcPr>
          <w:p w14:paraId="02BA6CAA">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保险要求</w:t>
            </w:r>
          </w:p>
        </w:tc>
        <w:tc>
          <w:tcPr>
            <w:tcW w:w="5170" w:type="dxa"/>
            <w:vAlign w:val="center"/>
          </w:tcPr>
          <w:p w14:paraId="4CD0D76F">
            <w:pPr>
              <w:rPr>
                <w:rFonts w:hint="eastAsia"/>
                <w:highlight w:val="none"/>
              </w:rPr>
            </w:pPr>
          </w:p>
        </w:tc>
      </w:tr>
      <w:tr w14:paraId="4EDB97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FD5981">
            <w:pPr>
              <w:adjustRightInd w:val="0"/>
              <w:snapToGrid w:val="0"/>
              <w:jc w:val="center"/>
              <w:rPr>
                <w:rFonts w:ascii="宋体" w:hAnsi="宋体"/>
                <w:szCs w:val="21"/>
                <w:highlight w:val="none"/>
              </w:rPr>
            </w:pPr>
            <w:r>
              <w:rPr>
                <w:rFonts w:hint="eastAsia" w:ascii="宋体" w:hAnsi="宋体"/>
                <w:szCs w:val="21"/>
                <w:highlight w:val="none"/>
              </w:rPr>
              <w:t>第二节</w:t>
            </w:r>
          </w:p>
          <w:p w14:paraId="09778B7E">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.2（1）项</w:t>
            </w:r>
          </w:p>
        </w:tc>
        <w:tc>
          <w:tcPr>
            <w:tcW w:w="1742" w:type="dxa"/>
            <w:vAlign w:val="center"/>
          </w:tcPr>
          <w:p w14:paraId="57A64B00">
            <w:pPr>
              <w:adjustRightInd w:val="0"/>
              <w:snapToGrid w:val="0"/>
              <w:jc w:val="left"/>
              <w:rPr>
                <w:rFonts w:ascii="宋体" w:hAnsi="宋体"/>
                <w:szCs w:val="21"/>
                <w:highlight w:val="none"/>
              </w:rPr>
            </w:pPr>
            <w:r>
              <w:rPr>
                <w:rFonts w:hint="eastAsia" w:ascii="宋体" w:hAnsi="宋体"/>
                <w:szCs w:val="21"/>
                <w:highlight w:val="none"/>
              </w:rPr>
              <w:t>质量保证期</w:t>
            </w:r>
          </w:p>
        </w:tc>
        <w:tc>
          <w:tcPr>
            <w:tcW w:w="5170" w:type="dxa"/>
            <w:vAlign w:val="center"/>
          </w:tcPr>
          <w:p w14:paraId="0A18E493">
            <w:pPr>
              <w:autoSpaceDE w:val="0"/>
              <w:autoSpaceDN w:val="0"/>
              <w:adjustRightInd w:val="0"/>
              <w:snapToGrid w:val="0"/>
              <w:ind w:firstLine="420" w:firstLineChars="200"/>
              <w:jc w:val="left"/>
              <w:rPr>
                <w:rFonts w:ascii="宋体" w:hAnsi="宋体"/>
                <w:szCs w:val="21"/>
                <w:highlight w:val="none"/>
              </w:rPr>
            </w:pPr>
          </w:p>
        </w:tc>
      </w:tr>
      <w:tr w14:paraId="0132B7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637E93">
            <w:pPr>
              <w:adjustRightInd w:val="0"/>
              <w:snapToGrid w:val="0"/>
              <w:jc w:val="center"/>
              <w:rPr>
                <w:rFonts w:ascii="宋体" w:hAnsi="宋体"/>
                <w:szCs w:val="21"/>
                <w:highlight w:val="none"/>
              </w:rPr>
            </w:pPr>
            <w:r>
              <w:rPr>
                <w:rFonts w:hint="eastAsia" w:ascii="宋体" w:hAnsi="宋体"/>
                <w:szCs w:val="21"/>
                <w:highlight w:val="none"/>
              </w:rPr>
              <w:t>第二节</w:t>
            </w:r>
          </w:p>
          <w:p w14:paraId="5BD57430">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.2（3）项</w:t>
            </w:r>
          </w:p>
        </w:tc>
        <w:tc>
          <w:tcPr>
            <w:tcW w:w="1742" w:type="dxa"/>
            <w:vAlign w:val="center"/>
          </w:tcPr>
          <w:p w14:paraId="553F589C">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货物质量缺陷</w:t>
            </w:r>
          </w:p>
          <w:p w14:paraId="6EB09DB7">
            <w:pPr>
              <w:adjustRightInd w:val="0"/>
              <w:snapToGrid w:val="0"/>
              <w:jc w:val="left"/>
              <w:rPr>
                <w:rFonts w:ascii="宋体" w:hAnsi="宋体"/>
                <w:szCs w:val="21"/>
                <w:highlight w:val="none"/>
              </w:rPr>
            </w:pPr>
            <w:r>
              <w:rPr>
                <w:rFonts w:hint="eastAsia" w:ascii="宋体" w:hAnsi="宋体"/>
                <w:szCs w:val="21"/>
                <w:highlight w:val="none"/>
              </w:rPr>
              <w:t>响应时间</w:t>
            </w:r>
          </w:p>
        </w:tc>
        <w:tc>
          <w:tcPr>
            <w:tcW w:w="5170" w:type="dxa"/>
            <w:vAlign w:val="center"/>
          </w:tcPr>
          <w:p w14:paraId="191EA26F">
            <w:pPr>
              <w:adjustRightInd w:val="0"/>
              <w:snapToGrid w:val="0"/>
              <w:jc w:val="left"/>
              <w:rPr>
                <w:rFonts w:ascii="宋体" w:hAnsi="宋体"/>
                <w:szCs w:val="21"/>
                <w:highlight w:val="none"/>
              </w:rPr>
            </w:pPr>
          </w:p>
        </w:tc>
      </w:tr>
      <w:tr w14:paraId="3EAA3C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41715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第二节</w:t>
            </w:r>
          </w:p>
          <w:p w14:paraId="180E0B80">
            <w:pPr>
              <w:pStyle w:val="85"/>
              <w:ind w:firstLine="0" w:firstLineChars="0"/>
              <w:jc w:val="center"/>
              <w:rPr>
                <w:rFonts w:hint="default"/>
                <w:highlight w:val="none"/>
                <w:lang w:val="en-US" w:eastAsia="zh-CN"/>
              </w:rPr>
            </w:pPr>
            <w:r>
              <w:rPr>
                <w:rFonts w:hint="eastAsia" w:ascii="宋体" w:hAnsi="宋体" w:eastAsia="宋体" w:cs="宋体"/>
                <w:szCs w:val="21"/>
                <w:highlight w:val="none"/>
                <w:lang w:val="en-US" w:eastAsia="zh-CN"/>
              </w:rPr>
              <w:t>第11.1款</w:t>
            </w:r>
          </w:p>
        </w:tc>
        <w:tc>
          <w:tcPr>
            <w:tcW w:w="1742" w:type="dxa"/>
            <w:vAlign w:val="center"/>
          </w:tcPr>
          <w:p w14:paraId="21258A76">
            <w:pPr>
              <w:adjustRightInd w:val="0"/>
              <w:snapToGrid w:val="0"/>
              <w:jc w:val="both"/>
              <w:rPr>
                <w:rFonts w:hint="default" w:ascii="宋体" w:hAnsi="宋体" w:eastAsia="宋体"/>
                <w:szCs w:val="21"/>
                <w:highlight w:val="none"/>
                <w:lang w:val="en-US" w:eastAsia="zh-CN"/>
              </w:rPr>
            </w:pPr>
            <w:r>
              <w:rPr>
                <w:rFonts w:hint="eastAsia" w:ascii="宋体" w:hAnsi="宋体"/>
                <w:szCs w:val="21"/>
                <w:highlight w:val="none"/>
                <w:lang w:val="en-US" w:eastAsia="zh-CN"/>
              </w:rPr>
              <w:t>其他应当保密的信息</w:t>
            </w:r>
          </w:p>
        </w:tc>
        <w:tc>
          <w:tcPr>
            <w:tcW w:w="5170" w:type="dxa"/>
            <w:vAlign w:val="center"/>
          </w:tcPr>
          <w:p w14:paraId="616BA77F">
            <w:pPr>
              <w:adjustRightInd w:val="0"/>
              <w:snapToGrid w:val="0"/>
              <w:jc w:val="left"/>
              <w:rPr>
                <w:rFonts w:ascii="宋体" w:hAnsi="宋体"/>
                <w:szCs w:val="21"/>
                <w:highlight w:val="none"/>
              </w:rPr>
            </w:pPr>
          </w:p>
        </w:tc>
      </w:tr>
      <w:tr w14:paraId="01935D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D2916FF">
            <w:pPr>
              <w:adjustRightInd w:val="0"/>
              <w:snapToGrid w:val="0"/>
              <w:jc w:val="center"/>
              <w:rPr>
                <w:rFonts w:ascii="宋体" w:hAnsi="宋体"/>
                <w:szCs w:val="21"/>
                <w:highlight w:val="none"/>
              </w:rPr>
            </w:pPr>
            <w:r>
              <w:rPr>
                <w:rFonts w:hint="eastAsia" w:ascii="宋体" w:hAnsi="宋体"/>
                <w:szCs w:val="21"/>
                <w:highlight w:val="none"/>
              </w:rPr>
              <w:t>第二节</w:t>
            </w:r>
          </w:p>
          <w:p w14:paraId="1223FBB7">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2</w:t>
            </w:r>
            <w:r>
              <w:rPr>
                <w:rFonts w:hint="eastAsia" w:ascii="宋体" w:hAnsi="宋体"/>
                <w:szCs w:val="21"/>
                <w:highlight w:val="none"/>
              </w:rPr>
              <w:t>.2款</w:t>
            </w:r>
          </w:p>
        </w:tc>
        <w:tc>
          <w:tcPr>
            <w:tcW w:w="1742" w:type="dxa"/>
            <w:vAlign w:val="center"/>
          </w:tcPr>
          <w:p w14:paraId="5D1571DF">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rPr>
              <w:t>合同价款支付</w:t>
            </w:r>
            <w:r>
              <w:rPr>
                <w:rFonts w:hint="eastAsia" w:ascii="宋体" w:hAnsi="宋体"/>
                <w:szCs w:val="21"/>
                <w:highlight w:val="none"/>
                <w:lang w:eastAsia="zh-CN"/>
              </w:rPr>
              <w:t>时间</w:t>
            </w:r>
          </w:p>
        </w:tc>
        <w:tc>
          <w:tcPr>
            <w:tcW w:w="5170" w:type="dxa"/>
            <w:vAlign w:val="center"/>
          </w:tcPr>
          <w:p w14:paraId="6725039E">
            <w:pPr>
              <w:adjustRightInd w:val="0"/>
              <w:snapToGrid w:val="0"/>
              <w:jc w:val="left"/>
              <w:rPr>
                <w:rFonts w:ascii="宋体" w:hAnsi="宋体"/>
                <w:szCs w:val="21"/>
                <w:highlight w:val="none"/>
              </w:rPr>
            </w:pPr>
          </w:p>
        </w:tc>
      </w:tr>
      <w:tr w14:paraId="17A7D0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980F713">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3AE7830C">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13.2</w:t>
            </w:r>
            <w:r>
              <w:rPr>
                <w:rFonts w:hint="eastAsia" w:ascii="宋体" w:hAnsi="宋体"/>
                <w:szCs w:val="21"/>
                <w:highlight w:val="none"/>
              </w:rPr>
              <w:t>款</w:t>
            </w:r>
          </w:p>
        </w:tc>
        <w:tc>
          <w:tcPr>
            <w:tcW w:w="1742" w:type="dxa"/>
            <w:vAlign w:val="center"/>
          </w:tcPr>
          <w:p w14:paraId="19F3D554">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履约保证金不予退还的情形</w:t>
            </w:r>
          </w:p>
        </w:tc>
        <w:tc>
          <w:tcPr>
            <w:tcW w:w="5170" w:type="dxa"/>
            <w:vAlign w:val="center"/>
          </w:tcPr>
          <w:p w14:paraId="4B87F802">
            <w:pPr>
              <w:adjustRightInd w:val="0"/>
              <w:snapToGrid w:val="0"/>
              <w:jc w:val="left"/>
              <w:rPr>
                <w:rFonts w:ascii="宋体" w:hAnsi="宋体"/>
                <w:szCs w:val="21"/>
                <w:highlight w:val="none"/>
              </w:rPr>
            </w:pPr>
          </w:p>
        </w:tc>
      </w:tr>
      <w:tr w14:paraId="512EDC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D1E0F41">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5E37D66F">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13.3</w:t>
            </w:r>
            <w:r>
              <w:rPr>
                <w:rFonts w:hint="eastAsia" w:ascii="宋体" w:hAnsi="宋体"/>
                <w:szCs w:val="21"/>
                <w:highlight w:val="none"/>
              </w:rPr>
              <w:t>款</w:t>
            </w:r>
          </w:p>
        </w:tc>
        <w:tc>
          <w:tcPr>
            <w:tcW w:w="1742" w:type="dxa"/>
            <w:vAlign w:val="center"/>
          </w:tcPr>
          <w:p w14:paraId="0C006E4B">
            <w:pPr>
              <w:adjustRightInd w:val="0"/>
              <w:snapToGrid w:val="0"/>
              <w:jc w:val="left"/>
              <w:rPr>
                <w:rFonts w:ascii="宋体" w:hAnsi="宋体"/>
                <w:szCs w:val="21"/>
                <w:highlight w:val="none"/>
              </w:rPr>
            </w:pPr>
            <w:r>
              <w:rPr>
                <w:rFonts w:hint="eastAsia" w:ascii="宋体" w:hAnsi="宋体"/>
                <w:szCs w:val="21"/>
                <w:highlight w:val="none"/>
              </w:rPr>
              <w:t>履约保证金退还时间及</w:t>
            </w:r>
            <w:r>
              <w:rPr>
                <w:rFonts w:hint="eastAsia" w:ascii="宋体" w:hAnsi="宋体"/>
                <w:szCs w:val="21"/>
                <w:highlight w:val="none"/>
                <w:lang w:eastAsia="zh-CN"/>
              </w:rPr>
              <w:t>逾期退还的</w:t>
            </w:r>
            <w:r>
              <w:rPr>
                <w:rFonts w:hint="eastAsia" w:ascii="宋体" w:hAnsi="宋体"/>
                <w:szCs w:val="21"/>
                <w:highlight w:val="none"/>
              </w:rPr>
              <w:t>违约金</w:t>
            </w:r>
          </w:p>
        </w:tc>
        <w:tc>
          <w:tcPr>
            <w:tcW w:w="5170" w:type="dxa"/>
            <w:vAlign w:val="center"/>
          </w:tcPr>
          <w:p w14:paraId="0001AD25">
            <w:pPr>
              <w:adjustRightInd w:val="0"/>
              <w:snapToGrid w:val="0"/>
              <w:jc w:val="left"/>
              <w:rPr>
                <w:rFonts w:ascii="宋体" w:hAnsi="宋体"/>
                <w:szCs w:val="21"/>
                <w:highlight w:val="none"/>
              </w:rPr>
            </w:pPr>
          </w:p>
        </w:tc>
      </w:tr>
      <w:tr w14:paraId="7D7BE6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C749452">
            <w:pPr>
              <w:adjustRightInd w:val="0"/>
              <w:snapToGrid w:val="0"/>
              <w:jc w:val="center"/>
              <w:rPr>
                <w:rFonts w:ascii="宋体" w:hAnsi="宋体"/>
                <w:szCs w:val="21"/>
                <w:highlight w:val="none"/>
              </w:rPr>
            </w:pPr>
            <w:r>
              <w:rPr>
                <w:rFonts w:hint="eastAsia" w:ascii="宋体" w:hAnsi="宋体"/>
                <w:szCs w:val="21"/>
                <w:highlight w:val="none"/>
              </w:rPr>
              <w:t>第二节</w:t>
            </w:r>
          </w:p>
          <w:p w14:paraId="6C6C67F8">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）项</w:t>
            </w:r>
          </w:p>
        </w:tc>
        <w:tc>
          <w:tcPr>
            <w:tcW w:w="1742" w:type="dxa"/>
            <w:vAlign w:val="center"/>
          </w:tcPr>
          <w:p w14:paraId="677CDECA">
            <w:pPr>
              <w:adjustRightInd w:val="0"/>
              <w:snapToGrid w:val="0"/>
              <w:jc w:val="left"/>
              <w:rPr>
                <w:rFonts w:hint="eastAsia" w:ascii="宋体" w:hAnsi="宋体"/>
                <w:szCs w:val="21"/>
                <w:highlight w:val="none"/>
                <w:lang w:val="en-US" w:eastAsia="zh-CN"/>
              </w:rPr>
            </w:pPr>
            <w:r>
              <w:rPr>
                <w:rFonts w:hint="eastAsia" w:ascii="宋体" w:hAnsi="宋体"/>
                <w:szCs w:val="21"/>
                <w:highlight w:val="none"/>
                <w:lang w:val="en-US" w:eastAsia="zh-CN"/>
              </w:rPr>
              <w:t>运行监督、维修期限</w:t>
            </w:r>
          </w:p>
        </w:tc>
        <w:tc>
          <w:tcPr>
            <w:tcW w:w="5170" w:type="dxa"/>
            <w:vAlign w:val="center"/>
          </w:tcPr>
          <w:p w14:paraId="3B5B14CF">
            <w:pPr>
              <w:adjustRightInd w:val="0"/>
              <w:snapToGrid w:val="0"/>
              <w:jc w:val="left"/>
              <w:rPr>
                <w:rFonts w:ascii="宋体" w:hAnsi="宋体"/>
                <w:szCs w:val="21"/>
                <w:highlight w:val="none"/>
              </w:rPr>
            </w:pPr>
          </w:p>
        </w:tc>
      </w:tr>
      <w:tr w14:paraId="2A6AEA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EF99E78">
            <w:pPr>
              <w:adjustRightInd w:val="0"/>
              <w:snapToGrid w:val="0"/>
              <w:jc w:val="center"/>
              <w:rPr>
                <w:rFonts w:ascii="宋体" w:hAnsi="宋体"/>
                <w:szCs w:val="21"/>
                <w:highlight w:val="none"/>
              </w:rPr>
            </w:pPr>
            <w:r>
              <w:rPr>
                <w:rFonts w:hint="eastAsia" w:ascii="宋体" w:hAnsi="宋体"/>
                <w:szCs w:val="21"/>
                <w:highlight w:val="none"/>
              </w:rPr>
              <w:t>第二节</w:t>
            </w:r>
          </w:p>
          <w:p w14:paraId="0B02E3D1">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）项</w:t>
            </w:r>
          </w:p>
        </w:tc>
        <w:tc>
          <w:tcPr>
            <w:tcW w:w="1742" w:type="dxa"/>
            <w:vAlign w:val="center"/>
          </w:tcPr>
          <w:p w14:paraId="0D6D21F2">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货物回收的约定</w:t>
            </w:r>
          </w:p>
        </w:tc>
        <w:tc>
          <w:tcPr>
            <w:tcW w:w="5170" w:type="dxa"/>
            <w:vAlign w:val="center"/>
          </w:tcPr>
          <w:p w14:paraId="60E5521B">
            <w:pPr>
              <w:adjustRightInd w:val="0"/>
              <w:snapToGrid w:val="0"/>
              <w:jc w:val="left"/>
              <w:rPr>
                <w:rFonts w:ascii="宋体" w:hAnsi="宋体"/>
                <w:szCs w:val="21"/>
                <w:highlight w:val="none"/>
              </w:rPr>
            </w:pPr>
          </w:p>
        </w:tc>
      </w:tr>
      <w:tr w14:paraId="0402CF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C144BE">
            <w:pPr>
              <w:adjustRightInd w:val="0"/>
              <w:snapToGrid w:val="0"/>
              <w:jc w:val="center"/>
              <w:rPr>
                <w:rFonts w:ascii="宋体" w:hAnsi="宋体"/>
                <w:szCs w:val="21"/>
                <w:highlight w:val="none"/>
              </w:rPr>
            </w:pPr>
            <w:r>
              <w:rPr>
                <w:rFonts w:hint="eastAsia" w:ascii="宋体" w:hAnsi="宋体"/>
                <w:szCs w:val="21"/>
                <w:highlight w:val="none"/>
              </w:rPr>
              <w:t>第二节</w:t>
            </w:r>
          </w:p>
          <w:p w14:paraId="22907C5C">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43F6F2B7">
            <w:pPr>
              <w:adjustRightInd w:val="0"/>
              <w:snapToGrid w:val="0"/>
              <w:jc w:val="left"/>
              <w:rPr>
                <w:rFonts w:ascii="宋体" w:hAnsi="宋体"/>
                <w:szCs w:val="21"/>
                <w:highlight w:val="none"/>
              </w:rPr>
            </w:pPr>
            <w:r>
              <w:rPr>
                <w:rFonts w:hint="eastAsia" w:ascii="宋体" w:hAnsi="宋体"/>
                <w:szCs w:val="21"/>
                <w:highlight w:val="none"/>
              </w:rPr>
              <w:t>乙方提供的其他服务</w:t>
            </w:r>
          </w:p>
        </w:tc>
        <w:tc>
          <w:tcPr>
            <w:tcW w:w="5170" w:type="dxa"/>
            <w:vAlign w:val="center"/>
          </w:tcPr>
          <w:p w14:paraId="18F8EB5A">
            <w:pPr>
              <w:adjustRightInd w:val="0"/>
              <w:snapToGrid w:val="0"/>
              <w:jc w:val="left"/>
              <w:rPr>
                <w:rFonts w:ascii="宋体" w:hAnsi="宋体"/>
                <w:szCs w:val="21"/>
                <w:highlight w:val="none"/>
              </w:rPr>
            </w:pPr>
          </w:p>
        </w:tc>
      </w:tr>
      <w:tr w14:paraId="6513FF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8E6E36">
            <w:pPr>
              <w:adjustRightInd w:val="0"/>
              <w:snapToGrid w:val="0"/>
              <w:jc w:val="center"/>
              <w:rPr>
                <w:rFonts w:ascii="宋体" w:hAnsi="宋体"/>
                <w:szCs w:val="21"/>
                <w:highlight w:val="none"/>
              </w:rPr>
            </w:pPr>
            <w:r>
              <w:rPr>
                <w:rFonts w:hint="eastAsia" w:ascii="宋体" w:hAnsi="宋体"/>
                <w:szCs w:val="21"/>
                <w:highlight w:val="none"/>
              </w:rPr>
              <w:t>第二节</w:t>
            </w:r>
          </w:p>
          <w:p w14:paraId="6670717E">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1款</w:t>
            </w:r>
          </w:p>
        </w:tc>
        <w:tc>
          <w:tcPr>
            <w:tcW w:w="1742" w:type="dxa"/>
            <w:vAlign w:val="center"/>
          </w:tcPr>
          <w:p w14:paraId="0E4FBFF7">
            <w:pPr>
              <w:adjustRightInd w:val="0"/>
              <w:snapToGrid w:val="0"/>
              <w:jc w:val="left"/>
              <w:rPr>
                <w:rFonts w:hint="eastAsia" w:ascii="宋体" w:hAnsi="宋体"/>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32022235">
            <w:pPr>
              <w:adjustRightInd w:val="0"/>
              <w:snapToGrid w:val="0"/>
              <w:jc w:val="left"/>
              <w:rPr>
                <w:rFonts w:ascii="宋体" w:hAnsi="宋体"/>
                <w:szCs w:val="21"/>
                <w:highlight w:val="none"/>
              </w:rPr>
            </w:pPr>
          </w:p>
        </w:tc>
      </w:tr>
      <w:tr w14:paraId="0D557C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7D054A">
            <w:pPr>
              <w:adjustRightInd w:val="0"/>
              <w:snapToGrid w:val="0"/>
              <w:jc w:val="center"/>
              <w:rPr>
                <w:rFonts w:ascii="宋体" w:hAnsi="宋体"/>
                <w:szCs w:val="21"/>
                <w:highlight w:val="none"/>
              </w:rPr>
            </w:pPr>
            <w:r>
              <w:rPr>
                <w:rFonts w:hint="eastAsia" w:ascii="宋体" w:hAnsi="宋体"/>
                <w:szCs w:val="21"/>
                <w:highlight w:val="none"/>
              </w:rPr>
              <w:t>第二节</w:t>
            </w:r>
          </w:p>
          <w:p w14:paraId="68BB6B26">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.2（2）项</w:t>
            </w:r>
          </w:p>
        </w:tc>
        <w:tc>
          <w:tcPr>
            <w:tcW w:w="1742" w:type="dxa"/>
            <w:vAlign w:val="center"/>
          </w:tcPr>
          <w:p w14:paraId="2EC1FD51">
            <w:pPr>
              <w:adjustRightInd w:val="0"/>
              <w:snapToGrid w:val="0"/>
              <w:jc w:val="left"/>
              <w:rPr>
                <w:rFonts w:ascii="宋体" w:hAnsi="宋体"/>
                <w:szCs w:val="21"/>
                <w:highlight w:val="none"/>
              </w:rPr>
            </w:pPr>
            <w:r>
              <w:rPr>
                <w:rFonts w:hint="eastAsia" w:ascii="宋体" w:hAnsi="宋体"/>
                <w:szCs w:val="21"/>
                <w:highlight w:val="none"/>
              </w:rPr>
              <w:t>迟延交货赔偿费</w:t>
            </w:r>
          </w:p>
        </w:tc>
        <w:tc>
          <w:tcPr>
            <w:tcW w:w="5170" w:type="dxa"/>
            <w:vAlign w:val="center"/>
          </w:tcPr>
          <w:p w14:paraId="27D763BB">
            <w:pPr>
              <w:adjustRightInd w:val="0"/>
              <w:snapToGrid w:val="0"/>
              <w:jc w:val="left"/>
              <w:rPr>
                <w:rFonts w:ascii="宋体" w:hAnsi="宋体"/>
                <w:szCs w:val="21"/>
                <w:highlight w:val="none"/>
                <w:u w:val="single"/>
              </w:rPr>
            </w:pPr>
          </w:p>
        </w:tc>
      </w:tr>
      <w:tr w14:paraId="255974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368EE0">
            <w:pPr>
              <w:adjustRightInd w:val="0"/>
              <w:snapToGrid w:val="0"/>
              <w:jc w:val="center"/>
              <w:rPr>
                <w:rFonts w:ascii="宋体" w:hAnsi="宋体"/>
                <w:szCs w:val="21"/>
                <w:highlight w:val="none"/>
              </w:rPr>
            </w:pPr>
            <w:r>
              <w:rPr>
                <w:rFonts w:hint="eastAsia" w:ascii="宋体" w:hAnsi="宋体"/>
                <w:szCs w:val="21"/>
                <w:highlight w:val="none"/>
              </w:rPr>
              <w:t>第二节</w:t>
            </w:r>
          </w:p>
          <w:p w14:paraId="45A239F0">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3款</w:t>
            </w:r>
          </w:p>
        </w:tc>
        <w:tc>
          <w:tcPr>
            <w:tcW w:w="1742" w:type="dxa"/>
            <w:vAlign w:val="center"/>
          </w:tcPr>
          <w:p w14:paraId="0D35AE07">
            <w:pPr>
              <w:adjustRightInd w:val="0"/>
              <w:snapToGrid w:val="0"/>
              <w:jc w:val="left"/>
              <w:rPr>
                <w:rFonts w:hint="eastAsia" w:ascii="宋体" w:hAnsi="宋体"/>
                <w:szCs w:val="21"/>
                <w:highlight w:val="none"/>
              </w:rPr>
            </w:pPr>
            <w:r>
              <w:rPr>
                <w:rFonts w:hint="eastAsia" w:ascii="宋体" w:hAnsi="宋体"/>
                <w:szCs w:val="21"/>
                <w:highlight w:val="none"/>
              </w:rPr>
              <w:t>逾期付款利息</w:t>
            </w:r>
          </w:p>
        </w:tc>
        <w:tc>
          <w:tcPr>
            <w:tcW w:w="5170" w:type="dxa"/>
            <w:vAlign w:val="center"/>
          </w:tcPr>
          <w:p w14:paraId="44B32818">
            <w:pPr>
              <w:adjustRightInd w:val="0"/>
              <w:snapToGrid w:val="0"/>
              <w:jc w:val="left"/>
              <w:rPr>
                <w:rFonts w:ascii="宋体" w:hAnsi="宋体"/>
                <w:szCs w:val="21"/>
                <w:highlight w:val="none"/>
                <w:u w:val="single"/>
              </w:rPr>
            </w:pPr>
          </w:p>
        </w:tc>
      </w:tr>
      <w:tr w14:paraId="7191D8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075EED1">
            <w:pPr>
              <w:adjustRightInd w:val="0"/>
              <w:snapToGrid w:val="0"/>
              <w:jc w:val="center"/>
              <w:rPr>
                <w:rFonts w:ascii="宋体" w:hAnsi="宋体"/>
                <w:szCs w:val="21"/>
                <w:highlight w:val="none"/>
              </w:rPr>
            </w:pPr>
            <w:r>
              <w:rPr>
                <w:rFonts w:hint="eastAsia" w:ascii="宋体" w:hAnsi="宋体"/>
                <w:szCs w:val="21"/>
                <w:highlight w:val="none"/>
              </w:rPr>
              <w:t>第二节</w:t>
            </w:r>
          </w:p>
          <w:p w14:paraId="06E7528E">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.4</w:t>
            </w:r>
            <w:r>
              <w:rPr>
                <w:rFonts w:hint="eastAsia" w:ascii="宋体" w:hAnsi="宋体"/>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71D9AF99">
            <w:pPr>
              <w:adjustRightInd w:val="0"/>
              <w:snapToGrid w:val="0"/>
              <w:jc w:val="left"/>
              <w:rPr>
                <w:rFonts w:ascii="宋体" w:hAnsi="宋体"/>
                <w:szCs w:val="21"/>
                <w:highlight w:val="none"/>
              </w:rPr>
            </w:pPr>
            <w:r>
              <w:rPr>
                <w:rFonts w:hint="eastAsia" w:ascii="宋体" w:hAnsi="宋体"/>
                <w:szCs w:val="21"/>
                <w:highlight w:val="none"/>
              </w:rPr>
              <w:t>其他违约责任</w:t>
            </w:r>
          </w:p>
        </w:tc>
        <w:tc>
          <w:tcPr>
            <w:tcW w:w="5170" w:type="dxa"/>
            <w:tcBorders>
              <w:left w:val="single" w:color="auto" w:sz="2" w:space="0"/>
              <w:bottom w:val="single" w:color="auto" w:sz="2" w:space="0"/>
            </w:tcBorders>
            <w:vAlign w:val="center"/>
          </w:tcPr>
          <w:p w14:paraId="5B424D3D">
            <w:pPr>
              <w:adjustRightInd w:val="0"/>
              <w:snapToGrid w:val="0"/>
              <w:jc w:val="left"/>
              <w:rPr>
                <w:rFonts w:ascii="宋体" w:hAnsi="宋体"/>
                <w:szCs w:val="21"/>
                <w:highlight w:val="none"/>
                <w:u w:val="single"/>
              </w:rPr>
            </w:pPr>
          </w:p>
        </w:tc>
      </w:tr>
      <w:tr w14:paraId="37FDF0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637D5C8">
            <w:pPr>
              <w:adjustRightInd w:val="0"/>
              <w:snapToGrid w:val="0"/>
              <w:jc w:val="center"/>
              <w:rPr>
                <w:rFonts w:ascii="宋体" w:hAnsi="宋体"/>
                <w:szCs w:val="21"/>
                <w:highlight w:val="none"/>
              </w:rPr>
            </w:pPr>
            <w:r>
              <w:rPr>
                <w:rFonts w:hint="eastAsia" w:ascii="宋体" w:hAnsi="宋体"/>
                <w:szCs w:val="21"/>
                <w:highlight w:val="none"/>
              </w:rPr>
              <w:t>第二节</w:t>
            </w:r>
          </w:p>
          <w:p w14:paraId="465A699B">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19</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6BE25A4D">
            <w:pPr>
              <w:adjustRightInd w:val="0"/>
              <w:snapToGrid w:val="0"/>
              <w:jc w:val="left"/>
              <w:rPr>
                <w:rFonts w:ascii="宋体" w:hAnsi="宋体"/>
                <w:szCs w:val="21"/>
                <w:highlight w:val="none"/>
              </w:rPr>
            </w:pPr>
            <w:r>
              <w:rPr>
                <w:rFonts w:hint="eastAsia" w:ascii="宋体" w:hAnsi="宋体"/>
                <w:szCs w:val="21"/>
                <w:highlight w:val="none"/>
                <w:lang w:val="en-US" w:eastAsia="zh-CN"/>
              </w:rPr>
              <w:t>解决争议的方法</w:t>
            </w:r>
          </w:p>
        </w:tc>
        <w:tc>
          <w:tcPr>
            <w:tcW w:w="5170" w:type="dxa"/>
            <w:tcBorders>
              <w:top w:val="single" w:color="auto" w:sz="2" w:space="0"/>
              <w:left w:val="single" w:color="auto" w:sz="2" w:space="0"/>
            </w:tcBorders>
            <w:vAlign w:val="center"/>
          </w:tcPr>
          <w:p w14:paraId="11C46146">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14:paraId="74420838">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14:paraId="4E6FBC71">
            <w:pPr>
              <w:adjustRightInd w:val="0"/>
              <w:snapToGrid w:val="0"/>
              <w:ind w:firstLine="0" w:firstLineChars="0"/>
              <w:jc w:val="left"/>
              <w:rPr>
                <w:rFonts w:ascii="宋体" w:hAnsi="宋体"/>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14:paraId="09BE8F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919F0D6">
            <w:pPr>
              <w:adjustRightInd w:val="0"/>
              <w:snapToGrid w:val="0"/>
              <w:jc w:val="center"/>
              <w:rPr>
                <w:rFonts w:ascii="宋体" w:hAnsi="宋体"/>
                <w:szCs w:val="21"/>
                <w:highlight w:val="none"/>
              </w:rPr>
            </w:pPr>
            <w:r>
              <w:rPr>
                <w:rFonts w:hint="eastAsia" w:ascii="宋体" w:hAnsi="宋体"/>
                <w:szCs w:val="21"/>
                <w:highlight w:val="none"/>
              </w:rPr>
              <w:t>第二节</w:t>
            </w:r>
          </w:p>
          <w:p w14:paraId="608F172C">
            <w:pPr>
              <w:adjustRightInd w:val="0"/>
              <w:snapToGrid w:val="0"/>
              <w:jc w:val="center"/>
              <w:rPr>
                <w:rFonts w:ascii="宋体" w:hAnsi="宋体"/>
                <w:szCs w:val="21"/>
                <w:highlight w:val="none"/>
              </w:rPr>
            </w:pPr>
            <w:r>
              <w:rPr>
                <w:rFonts w:hint="eastAsia" w:ascii="宋体" w:hAnsi="宋体"/>
                <w:szCs w:val="21"/>
                <w:highlight w:val="none"/>
              </w:rPr>
              <w:t>第2</w:t>
            </w:r>
            <w:r>
              <w:rPr>
                <w:rFonts w:hint="eastAsia" w:ascii="宋体" w:hAnsi="宋体"/>
                <w:szCs w:val="21"/>
                <w:highlight w:val="none"/>
                <w:lang w:val="en-US" w:eastAsia="zh-CN"/>
              </w:rPr>
              <w:t>3.1</w:t>
            </w:r>
            <w:r>
              <w:rPr>
                <w:rFonts w:hint="eastAsia" w:ascii="宋体" w:hAnsi="宋体"/>
                <w:szCs w:val="21"/>
                <w:highlight w:val="none"/>
                <w:lang w:eastAsia="zh-CN"/>
              </w:rPr>
              <w:t>款</w:t>
            </w:r>
          </w:p>
        </w:tc>
        <w:tc>
          <w:tcPr>
            <w:tcW w:w="1742" w:type="dxa"/>
            <w:vAlign w:val="center"/>
          </w:tcPr>
          <w:p w14:paraId="772DF530">
            <w:pPr>
              <w:adjustRightInd w:val="0"/>
              <w:snapToGrid w:val="0"/>
              <w:jc w:val="left"/>
              <w:rPr>
                <w:rFonts w:ascii="宋体" w:hAnsi="宋体"/>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553DA665">
            <w:pPr>
              <w:adjustRightInd w:val="0"/>
              <w:snapToGrid w:val="0"/>
              <w:jc w:val="left"/>
              <w:rPr>
                <w:rFonts w:hint="default" w:ascii="宋体" w:hAnsi="宋体" w:eastAsia="宋体"/>
                <w:szCs w:val="21"/>
                <w:highlight w:val="none"/>
                <w:lang w:val="en-US" w:eastAsia="zh-CN"/>
              </w:rPr>
            </w:pPr>
          </w:p>
        </w:tc>
      </w:tr>
    </w:tbl>
    <w:p w14:paraId="781713F0">
      <w:pPr>
        <w:rPr>
          <w:highlight w:val="none"/>
        </w:rPr>
      </w:pPr>
    </w:p>
    <w:p w14:paraId="21CCBC9A">
      <w:pPr>
        <w:rPr>
          <w:highlight w:val="none"/>
        </w:rPr>
      </w:pPr>
    </w:p>
    <w:p w14:paraId="6F750A42">
      <w:pPr>
        <w:pStyle w:val="7"/>
        <w:spacing w:line="360" w:lineRule="auto"/>
        <w:rPr>
          <w:rFonts w:hint="eastAsia" w:ascii="宋体" w:hAnsi="宋体" w:eastAsia="宋体" w:cs="宋体"/>
          <w:color w:val="000000"/>
          <w:sz w:val="24"/>
          <w:szCs w:val="24"/>
          <w:highlight w:val="none"/>
          <w:lang w:val="en-US" w:eastAsia="zh-CN" w:bidi="ar-SA"/>
        </w:rPr>
        <w:sectPr>
          <w:headerReference r:id="rId17" w:type="default"/>
          <w:footerReference r:id="rId18" w:type="default"/>
          <w:pgSz w:w="11906" w:h="16838"/>
          <w:pgMar w:top="1191" w:right="1418" w:bottom="1191" w:left="1418" w:header="737" w:footer="737" w:gutter="0"/>
          <w:pgNumType w:fmt="decimal"/>
          <w:cols w:space="720" w:num="1"/>
          <w:docGrid w:linePitch="312" w:charSpace="0"/>
        </w:sectPr>
      </w:pPr>
    </w:p>
    <w:p w14:paraId="43E37EF2">
      <w:pPr>
        <w:spacing w:line="360" w:lineRule="auto"/>
        <w:ind w:firstLine="562" w:firstLineChars="200"/>
        <w:jc w:val="center"/>
        <w:outlineLvl w:val="0"/>
        <w:rPr>
          <w:rFonts w:hint="eastAsia" w:ascii="宋体" w:hAnsi="宋体" w:eastAsia="宋体" w:cs="宋体"/>
          <w:b/>
          <w:sz w:val="36"/>
          <w:szCs w:val="36"/>
          <w:highlight w:val="none"/>
        </w:rPr>
      </w:pPr>
      <w:r>
        <w:rPr>
          <w:rFonts w:hint="eastAsia" w:ascii="宋体" w:hAnsi="宋体" w:eastAsia="宋体" w:cs="宋体"/>
          <w:b/>
          <w:kern w:val="2"/>
          <w:sz w:val="28"/>
          <w:szCs w:val="28"/>
          <w:highlight w:val="none"/>
          <w:lang w:val="en-US" w:eastAsia="zh-CN" w:bidi="ar-SA"/>
        </w:rPr>
        <w:t>第六章　投标文件格式</w:t>
      </w:r>
      <w:bookmarkEnd w:id="252"/>
      <w:bookmarkEnd w:id="253"/>
      <w:bookmarkEnd w:id="254"/>
      <w:bookmarkEnd w:id="255"/>
      <w:bookmarkEnd w:id="256"/>
    </w:p>
    <w:p w14:paraId="14D6D515">
      <w:pPr>
        <w:adjustRightInd w:val="0"/>
        <w:spacing w:line="360" w:lineRule="auto"/>
        <w:rPr>
          <w:rFonts w:hint="eastAsia" w:ascii="宋体" w:hAnsi="宋体" w:eastAsia="宋体" w:cs="宋体"/>
          <w:szCs w:val="24"/>
          <w:highlight w:val="none"/>
        </w:rPr>
      </w:pPr>
    </w:p>
    <w:p w14:paraId="415EF134">
      <w:pPr>
        <w:spacing w:line="560" w:lineRule="exact"/>
        <w:ind w:firstLine="420" w:firstLineChars="200"/>
        <w:outlineLvl w:val="1"/>
        <w:rPr>
          <w:rFonts w:hint="eastAsia" w:ascii="宋体" w:hAnsi="宋体" w:eastAsia="宋体" w:cs="宋体"/>
          <w:kern w:val="2"/>
          <w:sz w:val="21"/>
          <w:szCs w:val="24"/>
          <w:highlight w:val="none"/>
          <w:lang w:val="en-US" w:eastAsia="zh-CN" w:bidi="ar-SA"/>
        </w:rPr>
      </w:pPr>
      <w:bookmarkStart w:id="262" w:name="_Toc23594"/>
      <w:r>
        <w:rPr>
          <w:rFonts w:hint="eastAsia" w:ascii="宋体" w:hAnsi="宋体" w:eastAsia="宋体" w:cs="宋体"/>
          <w:kern w:val="2"/>
          <w:sz w:val="21"/>
          <w:szCs w:val="24"/>
          <w:highlight w:val="none"/>
          <w:lang w:val="en-US" w:eastAsia="zh-CN" w:bidi="ar-SA"/>
        </w:rPr>
        <w:t>一、投标人提交投标文件须知：</w:t>
      </w:r>
      <w:bookmarkEnd w:id="262"/>
    </w:p>
    <w:p w14:paraId="1886D380">
      <w:pPr>
        <w:spacing w:line="56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1、投标人应严格按照以下顺序填写和提交下述规定的全部格式文件以及其他有关资料，混乱的编排导致投标文件被误读或评标小组查找不到有效文件是投标人的风险。</w:t>
      </w:r>
    </w:p>
    <w:p w14:paraId="6D0971F4">
      <w:pPr>
        <w:spacing w:line="560" w:lineRule="exact"/>
        <w:ind w:firstLine="420" w:firstLineChars="200"/>
        <w:outlineLvl w:val="2"/>
        <w:rPr>
          <w:rFonts w:hint="eastAsia" w:ascii="宋体" w:hAnsi="宋体" w:eastAsia="宋体" w:cs="宋体"/>
          <w:kern w:val="2"/>
          <w:sz w:val="21"/>
          <w:szCs w:val="24"/>
          <w:highlight w:val="none"/>
          <w:lang w:val="en-US" w:eastAsia="zh-CN" w:bidi="ar-SA"/>
        </w:rPr>
      </w:pPr>
      <w:bookmarkStart w:id="263" w:name="_Toc23205"/>
      <w:r>
        <w:rPr>
          <w:rFonts w:hint="eastAsia" w:ascii="宋体" w:hAnsi="宋体" w:eastAsia="宋体" w:cs="宋体"/>
          <w:kern w:val="2"/>
          <w:sz w:val="21"/>
          <w:szCs w:val="24"/>
          <w:highlight w:val="none"/>
          <w:lang w:val="en-US" w:eastAsia="zh-CN" w:bidi="ar-SA"/>
        </w:rPr>
        <w:t>2、所附表格中要求回答的全部问题和/或信息都必须正面回答。</w:t>
      </w:r>
      <w:bookmarkEnd w:id="263"/>
    </w:p>
    <w:p w14:paraId="17324F2D">
      <w:pPr>
        <w:spacing w:line="56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3、本声明书的签字人应保证全部声明和问题的回答是真实的和准确的。</w:t>
      </w:r>
    </w:p>
    <w:p w14:paraId="332B6EC5">
      <w:pPr>
        <w:spacing w:line="56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4、评标委员会将应用投标人提交的资料根据自己的判断和考虑决定投标人履行合同的合格性及能力。</w:t>
      </w:r>
    </w:p>
    <w:p w14:paraId="4E2E1F32">
      <w:pPr>
        <w:spacing w:line="560" w:lineRule="exact"/>
        <w:ind w:firstLine="420" w:firstLineChars="200"/>
        <w:outlineLvl w:val="2"/>
        <w:rPr>
          <w:rFonts w:hint="eastAsia" w:ascii="宋体" w:hAnsi="宋体" w:eastAsia="宋体" w:cs="宋体"/>
          <w:kern w:val="2"/>
          <w:sz w:val="21"/>
          <w:szCs w:val="24"/>
          <w:highlight w:val="none"/>
          <w:lang w:val="en-US" w:eastAsia="zh-CN" w:bidi="ar-SA"/>
        </w:rPr>
      </w:pPr>
      <w:bookmarkStart w:id="264" w:name="_Toc8067"/>
      <w:r>
        <w:rPr>
          <w:rFonts w:hint="eastAsia" w:ascii="宋体" w:hAnsi="宋体" w:eastAsia="宋体" w:cs="宋体"/>
          <w:kern w:val="2"/>
          <w:sz w:val="21"/>
          <w:szCs w:val="24"/>
          <w:highlight w:val="none"/>
          <w:lang w:val="en-US" w:eastAsia="zh-CN" w:bidi="ar-SA"/>
        </w:rPr>
        <w:t>5、投标人提交的材料将在一定期限内被保密保存，但不退还。</w:t>
      </w:r>
      <w:bookmarkEnd w:id="264"/>
    </w:p>
    <w:p w14:paraId="27E68BF8">
      <w:pPr>
        <w:spacing w:line="56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6、全部文件应按投标人须知中规定的语言和份数提交。投标文件组成漏项或未按规定的格式编制，内容不全或内容字迹模糊辨认不清的情况，将有可能被评标小组认定为投标无效。</w:t>
      </w:r>
    </w:p>
    <w:p w14:paraId="0A7B5A11">
      <w:pPr>
        <w:adjustRightInd w:val="0"/>
        <w:snapToGrid w:val="0"/>
        <w:spacing w:before="50" w:after="50"/>
        <w:rPr>
          <w:rFonts w:hint="eastAsia" w:ascii="宋体" w:hAnsi="宋体" w:eastAsia="宋体" w:cs="宋体"/>
          <w:sz w:val="32"/>
          <w:highlight w:val="none"/>
        </w:rPr>
      </w:pPr>
    </w:p>
    <w:p w14:paraId="368D4EAC">
      <w:pPr>
        <w:spacing w:line="360" w:lineRule="auto"/>
        <w:jc w:val="center"/>
        <w:outlineLvl w:val="9"/>
        <w:rPr>
          <w:rFonts w:hint="eastAsia" w:ascii="宋体" w:hAnsi="宋体" w:eastAsia="宋体" w:cs="宋体"/>
          <w:sz w:val="32"/>
          <w:highlight w:val="none"/>
        </w:rPr>
      </w:pPr>
      <w:r>
        <w:rPr>
          <w:rFonts w:hint="eastAsia" w:ascii="宋体" w:hAnsi="宋体" w:eastAsia="宋体" w:cs="宋体"/>
          <w:sz w:val="32"/>
          <w:highlight w:val="none"/>
        </w:rPr>
        <w:br w:type="page"/>
      </w:r>
      <w:bookmarkStart w:id="265" w:name="_Toc2253"/>
    </w:p>
    <w:p w14:paraId="2E83E905">
      <w:pPr>
        <w:spacing w:line="360" w:lineRule="auto"/>
        <w:jc w:val="center"/>
        <w:outlineLvl w:val="1"/>
        <w:rPr>
          <w:rFonts w:hint="eastAsia" w:ascii="宋体" w:hAnsi="宋体" w:eastAsia="宋体" w:cs="宋体"/>
          <w:sz w:val="48"/>
          <w:szCs w:val="48"/>
          <w:highlight w:val="none"/>
        </w:rPr>
      </w:pPr>
      <w:bookmarkStart w:id="266" w:name="_Toc17130"/>
      <w:bookmarkStart w:id="267" w:name="_Toc23960"/>
      <w:r>
        <w:rPr>
          <w:rFonts w:hint="eastAsia" w:ascii="宋体" w:hAnsi="宋体" w:cs="宋体"/>
          <w:sz w:val="48"/>
          <w:szCs w:val="48"/>
          <w:highlight w:val="none"/>
          <w:lang w:eastAsia="zh-CN"/>
        </w:rPr>
        <w:t>（</w:t>
      </w:r>
      <w:r>
        <w:rPr>
          <w:rFonts w:hint="eastAsia" w:ascii="宋体" w:hAnsi="宋体" w:eastAsia="宋体" w:cs="宋体"/>
          <w:sz w:val="48"/>
          <w:szCs w:val="48"/>
          <w:highlight w:val="none"/>
        </w:rPr>
        <w:t>项目</w:t>
      </w:r>
      <w:r>
        <w:rPr>
          <w:rFonts w:hint="eastAsia" w:ascii="宋体" w:hAnsi="宋体" w:eastAsia="宋体" w:cs="宋体"/>
          <w:sz w:val="48"/>
          <w:szCs w:val="48"/>
          <w:highlight w:val="none"/>
          <w:lang w:eastAsia="zh-CN"/>
        </w:rPr>
        <w:t>、标段</w:t>
      </w:r>
      <w:r>
        <w:rPr>
          <w:rFonts w:hint="eastAsia" w:ascii="宋体" w:hAnsi="宋体" w:eastAsia="宋体" w:cs="宋体"/>
          <w:sz w:val="48"/>
          <w:szCs w:val="48"/>
          <w:highlight w:val="none"/>
        </w:rPr>
        <w:t>名称</w:t>
      </w:r>
      <w:r>
        <w:rPr>
          <w:rFonts w:hint="eastAsia" w:ascii="宋体" w:hAnsi="宋体" w:cs="宋体"/>
          <w:sz w:val="48"/>
          <w:szCs w:val="48"/>
          <w:highlight w:val="none"/>
          <w:lang w:eastAsia="zh-CN"/>
        </w:rPr>
        <w:t>）</w:t>
      </w:r>
      <w:r>
        <w:rPr>
          <w:rFonts w:hint="eastAsia" w:ascii="宋体" w:hAnsi="宋体" w:eastAsia="宋体" w:cs="宋体"/>
          <w:sz w:val="48"/>
          <w:szCs w:val="48"/>
          <w:highlight w:val="none"/>
        </w:rPr>
        <w:t>项目</w:t>
      </w:r>
      <w:bookmarkEnd w:id="265"/>
      <w:bookmarkEnd w:id="266"/>
      <w:bookmarkEnd w:id="267"/>
    </w:p>
    <w:p w14:paraId="68A5EB74">
      <w:pPr>
        <w:spacing w:line="360" w:lineRule="auto"/>
        <w:jc w:val="center"/>
        <w:outlineLvl w:val="9"/>
        <w:rPr>
          <w:rFonts w:hint="eastAsia" w:ascii="宋体" w:hAnsi="宋体" w:eastAsia="宋体" w:cs="宋体"/>
          <w:sz w:val="32"/>
          <w:highlight w:val="none"/>
        </w:rPr>
      </w:pPr>
    </w:p>
    <w:p w14:paraId="06818769">
      <w:pPr>
        <w:spacing w:line="360" w:lineRule="auto"/>
        <w:jc w:val="center"/>
        <w:outlineLvl w:val="9"/>
        <w:rPr>
          <w:rFonts w:hint="eastAsia" w:ascii="宋体" w:hAnsi="宋体" w:eastAsia="宋体" w:cs="宋体"/>
          <w:sz w:val="32"/>
          <w:highlight w:val="none"/>
        </w:rPr>
      </w:pPr>
      <w:bookmarkStart w:id="268" w:name="_Toc24951"/>
      <w:r>
        <w:rPr>
          <w:rFonts w:hint="eastAsia" w:ascii="宋体" w:hAnsi="宋体" w:eastAsia="宋体" w:cs="宋体"/>
          <w:sz w:val="32"/>
          <w:highlight w:val="none"/>
        </w:rPr>
        <w:t>项目编号：</w:t>
      </w:r>
      <w:bookmarkEnd w:id="268"/>
    </w:p>
    <w:p w14:paraId="702D2DB4">
      <w:pPr>
        <w:spacing w:line="560" w:lineRule="exact"/>
        <w:ind w:firstLine="883" w:firstLineChars="200"/>
        <w:jc w:val="center"/>
        <w:rPr>
          <w:rFonts w:hint="eastAsia" w:ascii="宋体" w:hAnsi="宋体" w:eastAsia="宋体" w:cs="宋体"/>
          <w:b/>
          <w:bCs/>
          <w:kern w:val="2"/>
          <w:sz w:val="44"/>
          <w:szCs w:val="52"/>
          <w:highlight w:val="none"/>
          <w:lang w:val="en-US" w:eastAsia="zh-CN" w:bidi="ar-SA"/>
        </w:rPr>
      </w:pPr>
    </w:p>
    <w:p w14:paraId="3BB16DEE">
      <w:pPr>
        <w:spacing w:line="360" w:lineRule="auto"/>
        <w:jc w:val="center"/>
        <w:outlineLvl w:val="9"/>
        <w:rPr>
          <w:rFonts w:hint="eastAsia" w:ascii="宋体" w:hAnsi="宋体" w:eastAsia="宋体" w:cs="宋体"/>
          <w:sz w:val="96"/>
          <w:szCs w:val="96"/>
          <w:highlight w:val="none"/>
          <w:lang w:val="en-US" w:eastAsia="zh-CN"/>
        </w:rPr>
      </w:pPr>
      <w:r>
        <w:rPr>
          <w:rFonts w:hint="eastAsia" w:ascii="宋体" w:hAnsi="宋体" w:eastAsia="宋体" w:cs="宋体"/>
          <w:sz w:val="96"/>
          <w:szCs w:val="96"/>
          <w:highlight w:val="none"/>
          <w:lang w:val="en-US" w:eastAsia="zh-CN"/>
        </w:rPr>
        <w:t>投</w:t>
      </w:r>
    </w:p>
    <w:p w14:paraId="688E7AD6">
      <w:pPr>
        <w:spacing w:line="360" w:lineRule="auto"/>
        <w:jc w:val="center"/>
        <w:outlineLvl w:val="9"/>
        <w:rPr>
          <w:rFonts w:hint="eastAsia" w:ascii="宋体" w:hAnsi="宋体" w:eastAsia="宋体" w:cs="宋体"/>
          <w:sz w:val="96"/>
          <w:szCs w:val="96"/>
          <w:highlight w:val="none"/>
          <w:lang w:val="en-US" w:eastAsia="zh-CN"/>
        </w:rPr>
      </w:pPr>
      <w:r>
        <w:rPr>
          <w:rFonts w:hint="eastAsia" w:ascii="宋体" w:hAnsi="宋体" w:eastAsia="宋体" w:cs="宋体"/>
          <w:sz w:val="96"/>
          <w:szCs w:val="96"/>
          <w:highlight w:val="none"/>
          <w:lang w:val="en-US" w:eastAsia="zh-CN"/>
        </w:rPr>
        <w:t>标</w:t>
      </w:r>
    </w:p>
    <w:p w14:paraId="5F219485">
      <w:pPr>
        <w:spacing w:line="360" w:lineRule="auto"/>
        <w:jc w:val="center"/>
        <w:outlineLvl w:val="9"/>
        <w:rPr>
          <w:rFonts w:hint="eastAsia" w:ascii="宋体" w:hAnsi="宋体" w:eastAsia="宋体" w:cs="宋体"/>
          <w:sz w:val="96"/>
          <w:szCs w:val="96"/>
          <w:highlight w:val="none"/>
          <w:lang w:val="en-US" w:eastAsia="zh-CN"/>
        </w:rPr>
      </w:pPr>
      <w:r>
        <w:rPr>
          <w:rFonts w:hint="eastAsia" w:ascii="宋体" w:hAnsi="宋体" w:eastAsia="宋体" w:cs="宋体"/>
          <w:sz w:val="96"/>
          <w:szCs w:val="96"/>
          <w:highlight w:val="none"/>
          <w:lang w:val="en-US" w:eastAsia="zh-CN"/>
        </w:rPr>
        <w:t>文</w:t>
      </w:r>
    </w:p>
    <w:p w14:paraId="6912917E">
      <w:pPr>
        <w:spacing w:line="360" w:lineRule="auto"/>
        <w:jc w:val="center"/>
        <w:outlineLvl w:val="9"/>
        <w:rPr>
          <w:rFonts w:hint="eastAsia" w:ascii="宋体" w:hAnsi="宋体" w:eastAsia="宋体" w:cs="宋体"/>
          <w:sz w:val="96"/>
          <w:szCs w:val="96"/>
          <w:highlight w:val="none"/>
          <w:lang w:val="en-US" w:eastAsia="zh-CN"/>
        </w:rPr>
      </w:pPr>
      <w:r>
        <w:rPr>
          <w:rFonts w:hint="eastAsia" w:ascii="宋体" w:hAnsi="宋体" w:eastAsia="宋体" w:cs="宋体"/>
          <w:sz w:val="96"/>
          <w:szCs w:val="96"/>
          <w:highlight w:val="none"/>
          <w:lang w:val="en-US" w:eastAsia="zh-CN"/>
        </w:rPr>
        <w:t>件</w:t>
      </w:r>
    </w:p>
    <w:p w14:paraId="310E5899">
      <w:pPr>
        <w:spacing w:line="560" w:lineRule="exact"/>
        <w:ind w:firstLine="560" w:firstLineChars="200"/>
        <w:rPr>
          <w:rFonts w:hint="eastAsia" w:ascii="宋体" w:hAnsi="宋体" w:eastAsia="宋体" w:cs="宋体"/>
          <w:kern w:val="2"/>
          <w:sz w:val="28"/>
          <w:szCs w:val="36"/>
          <w:highlight w:val="none"/>
          <w:lang w:val="en-US" w:eastAsia="zh-CN" w:bidi="ar-SA"/>
        </w:rPr>
      </w:pPr>
    </w:p>
    <w:p w14:paraId="278785C1">
      <w:pPr>
        <w:spacing w:line="560" w:lineRule="exact"/>
        <w:ind w:firstLine="560" w:firstLineChars="200"/>
        <w:rPr>
          <w:rFonts w:hint="eastAsia" w:ascii="宋体" w:hAnsi="宋体" w:eastAsia="宋体" w:cs="宋体"/>
          <w:kern w:val="2"/>
          <w:sz w:val="28"/>
          <w:szCs w:val="36"/>
          <w:highlight w:val="none"/>
          <w:lang w:val="en-US" w:eastAsia="zh-CN" w:bidi="ar-SA"/>
        </w:rPr>
      </w:pPr>
    </w:p>
    <w:p w14:paraId="0B2A299E">
      <w:pPr>
        <w:spacing w:line="560" w:lineRule="exact"/>
        <w:ind w:firstLine="560" w:firstLineChars="200"/>
        <w:rPr>
          <w:rFonts w:hint="eastAsia" w:ascii="宋体" w:hAnsi="宋体" w:eastAsia="宋体" w:cs="宋体"/>
          <w:kern w:val="2"/>
          <w:sz w:val="28"/>
          <w:szCs w:val="36"/>
          <w:highlight w:val="none"/>
          <w:lang w:val="en-US" w:eastAsia="zh-CN" w:bidi="ar-SA"/>
        </w:rPr>
      </w:pPr>
      <w:r>
        <w:rPr>
          <w:rFonts w:hint="eastAsia" w:ascii="宋体" w:hAnsi="宋体" w:eastAsia="宋体" w:cs="宋体"/>
          <w:kern w:val="2"/>
          <w:sz w:val="28"/>
          <w:szCs w:val="36"/>
          <w:highlight w:val="none"/>
          <w:lang w:val="en-US" w:eastAsia="zh-CN" w:bidi="ar-SA"/>
        </w:rPr>
        <w:t>投标单位名称：</w:t>
      </w:r>
      <w:r>
        <w:rPr>
          <w:rFonts w:hint="eastAsia" w:ascii="宋体" w:hAnsi="宋体" w:eastAsia="宋体" w:cs="宋体"/>
          <w:kern w:val="2"/>
          <w:sz w:val="28"/>
          <w:szCs w:val="36"/>
          <w:highlight w:val="none"/>
          <w:u w:val="single"/>
          <w:lang w:val="en-US" w:eastAsia="zh-CN" w:bidi="ar-SA"/>
        </w:rPr>
        <w:t xml:space="preserve">                                  </w:t>
      </w:r>
      <w:r>
        <w:rPr>
          <w:rFonts w:hint="eastAsia" w:ascii="宋体" w:hAnsi="宋体" w:eastAsia="宋体" w:cs="宋体"/>
          <w:kern w:val="2"/>
          <w:sz w:val="28"/>
          <w:szCs w:val="36"/>
          <w:highlight w:val="none"/>
          <w:lang w:val="en-US" w:eastAsia="zh-CN" w:bidi="ar-SA"/>
        </w:rPr>
        <w:t>（加盖单位公章）</w:t>
      </w:r>
    </w:p>
    <w:p w14:paraId="14CC3781">
      <w:pPr>
        <w:spacing w:line="560" w:lineRule="exact"/>
        <w:ind w:firstLine="560" w:firstLineChars="200"/>
        <w:rPr>
          <w:rFonts w:hint="eastAsia" w:ascii="宋体" w:hAnsi="宋体" w:eastAsia="宋体" w:cs="宋体"/>
          <w:kern w:val="2"/>
          <w:sz w:val="28"/>
          <w:szCs w:val="36"/>
          <w:highlight w:val="none"/>
          <w:lang w:val="en-US" w:eastAsia="zh-CN" w:bidi="ar-SA"/>
        </w:rPr>
      </w:pPr>
      <w:r>
        <w:rPr>
          <w:rFonts w:hint="eastAsia" w:ascii="宋体" w:hAnsi="宋体" w:eastAsia="宋体" w:cs="宋体"/>
          <w:kern w:val="2"/>
          <w:sz w:val="28"/>
          <w:szCs w:val="36"/>
          <w:highlight w:val="none"/>
          <w:lang w:val="en-US" w:eastAsia="zh-CN" w:bidi="ar-SA"/>
        </w:rPr>
        <w:t>投标单位地址：</w:t>
      </w:r>
      <w:r>
        <w:rPr>
          <w:rFonts w:hint="eastAsia" w:ascii="宋体" w:hAnsi="宋体" w:eastAsia="宋体" w:cs="宋体"/>
          <w:kern w:val="2"/>
          <w:sz w:val="28"/>
          <w:szCs w:val="36"/>
          <w:highlight w:val="none"/>
          <w:u w:val="single"/>
          <w:lang w:val="en-US" w:eastAsia="zh-CN" w:bidi="ar-SA"/>
        </w:rPr>
        <w:t xml:space="preserve">                                  </w:t>
      </w:r>
    </w:p>
    <w:p w14:paraId="7AA6674B">
      <w:pPr>
        <w:spacing w:line="560" w:lineRule="exact"/>
        <w:ind w:firstLine="560" w:firstLineChars="200"/>
        <w:rPr>
          <w:rFonts w:hint="eastAsia" w:ascii="宋体" w:hAnsi="宋体" w:eastAsia="宋体" w:cs="宋体"/>
          <w:kern w:val="2"/>
          <w:sz w:val="28"/>
          <w:szCs w:val="36"/>
          <w:highlight w:val="none"/>
          <w:lang w:val="en-US" w:eastAsia="zh-CN" w:bidi="ar-SA"/>
        </w:rPr>
      </w:pPr>
      <w:r>
        <w:rPr>
          <w:rFonts w:hint="eastAsia" w:ascii="宋体" w:hAnsi="宋体" w:eastAsia="宋体" w:cs="宋体"/>
          <w:kern w:val="2"/>
          <w:sz w:val="28"/>
          <w:szCs w:val="36"/>
          <w:highlight w:val="none"/>
          <w:lang w:val="en-US" w:eastAsia="zh-CN" w:bidi="ar-SA"/>
        </w:rPr>
        <w:t>法人或法人授权代表（签字或盖章）：</w:t>
      </w:r>
      <w:r>
        <w:rPr>
          <w:rFonts w:hint="eastAsia" w:ascii="宋体" w:hAnsi="宋体" w:eastAsia="宋体" w:cs="宋体"/>
          <w:kern w:val="2"/>
          <w:sz w:val="28"/>
          <w:szCs w:val="36"/>
          <w:highlight w:val="none"/>
          <w:u w:val="single"/>
          <w:lang w:val="en-US" w:eastAsia="zh-CN" w:bidi="ar-SA"/>
        </w:rPr>
        <w:t xml:space="preserve">                        </w:t>
      </w:r>
    </w:p>
    <w:p w14:paraId="4DC31E74">
      <w:pPr>
        <w:spacing w:line="560" w:lineRule="exact"/>
        <w:ind w:firstLine="560" w:firstLineChars="200"/>
        <w:rPr>
          <w:rFonts w:hint="eastAsia" w:ascii="宋体" w:hAnsi="宋体" w:eastAsia="宋体" w:cs="宋体"/>
          <w:kern w:val="2"/>
          <w:sz w:val="28"/>
          <w:szCs w:val="36"/>
          <w:highlight w:val="none"/>
          <w:lang w:val="en-US" w:eastAsia="zh-CN" w:bidi="ar-SA"/>
        </w:rPr>
      </w:pPr>
      <w:r>
        <w:rPr>
          <w:rFonts w:hint="eastAsia" w:ascii="宋体" w:hAnsi="宋体" w:eastAsia="宋体" w:cs="宋体"/>
          <w:kern w:val="2"/>
          <w:sz w:val="28"/>
          <w:szCs w:val="36"/>
          <w:highlight w:val="none"/>
          <w:lang w:val="en-US" w:eastAsia="zh-CN" w:bidi="ar-SA"/>
        </w:rPr>
        <w:t>投标单位联系电话：</w:t>
      </w:r>
      <w:r>
        <w:rPr>
          <w:rFonts w:hint="eastAsia" w:ascii="宋体" w:hAnsi="宋体" w:eastAsia="宋体" w:cs="宋体"/>
          <w:kern w:val="2"/>
          <w:sz w:val="28"/>
          <w:szCs w:val="36"/>
          <w:highlight w:val="none"/>
          <w:u w:val="single"/>
          <w:lang w:val="en-US" w:eastAsia="zh-CN" w:bidi="ar-SA"/>
        </w:rPr>
        <w:t xml:space="preserve">                              </w:t>
      </w:r>
    </w:p>
    <w:p w14:paraId="58898AA6">
      <w:pPr>
        <w:spacing w:line="560" w:lineRule="exact"/>
        <w:ind w:firstLine="420" w:firstLineChars="200"/>
        <w:rPr>
          <w:rFonts w:hint="eastAsia" w:ascii="宋体" w:hAnsi="宋体" w:eastAsia="宋体" w:cs="宋体"/>
          <w:kern w:val="2"/>
          <w:sz w:val="21"/>
          <w:szCs w:val="24"/>
          <w:highlight w:val="none"/>
          <w:lang w:val="en-US" w:eastAsia="zh-CN" w:bidi="ar-SA"/>
        </w:rPr>
      </w:pPr>
    </w:p>
    <w:p w14:paraId="76998161">
      <w:pPr>
        <w:spacing w:line="560" w:lineRule="exact"/>
        <w:ind w:firstLine="560" w:firstLineChars="200"/>
        <w:jc w:val="center"/>
        <w:rPr>
          <w:rFonts w:hint="eastAsia" w:ascii="宋体" w:hAnsi="宋体" w:eastAsia="宋体" w:cs="宋体"/>
          <w:kern w:val="2"/>
          <w:sz w:val="28"/>
          <w:szCs w:val="36"/>
          <w:highlight w:val="none"/>
          <w:lang w:val="en-US" w:eastAsia="zh-CN" w:bidi="ar-SA"/>
        </w:rPr>
      </w:pPr>
      <w:bookmarkStart w:id="269" w:name="_Toc1683"/>
    </w:p>
    <w:p w14:paraId="4C6FC32D">
      <w:pPr>
        <w:spacing w:line="560" w:lineRule="exact"/>
        <w:ind w:firstLine="560" w:firstLineChars="200"/>
        <w:jc w:val="center"/>
        <w:rPr>
          <w:rFonts w:hint="eastAsia" w:ascii="宋体" w:hAnsi="宋体" w:eastAsia="宋体" w:cs="宋体"/>
          <w:kern w:val="2"/>
          <w:sz w:val="28"/>
          <w:szCs w:val="36"/>
          <w:highlight w:val="none"/>
          <w:lang w:val="en-US" w:eastAsia="zh-CN" w:bidi="ar-SA"/>
        </w:rPr>
      </w:pPr>
      <w:r>
        <w:rPr>
          <w:rFonts w:hint="eastAsia" w:ascii="宋体" w:hAnsi="宋体" w:eastAsia="宋体" w:cs="宋体"/>
          <w:kern w:val="2"/>
          <w:sz w:val="28"/>
          <w:szCs w:val="36"/>
          <w:highlight w:val="none"/>
          <w:u w:val="single"/>
          <w:lang w:val="en-US" w:eastAsia="zh-CN" w:bidi="ar-SA"/>
        </w:rPr>
        <w:t xml:space="preserve">    </w:t>
      </w:r>
      <w:r>
        <w:rPr>
          <w:rFonts w:hint="eastAsia" w:ascii="宋体" w:hAnsi="宋体" w:eastAsia="宋体" w:cs="宋体"/>
          <w:kern w:val="2"/>
          <w:sz w:val="28"/>
          <w:szCs w:val="36"/>
          <w:highlight w:val="none"/>
          <w:lang w:val="en-US" w:eastAsia="zh-CN" w:bidi="ar-SA"/>
        </w:rPr>
        <w:t>年</w:t>
      </w:r>
      <w:r>
        <w:rPr>
          <w:rFonts w:hint="eastAsia" w:ascii="宋体" w:hAnsi="宋体" w:eastAsia="宋体" w:cs="宋体"/>
          <w:kern w:val="2"/>
          <w:sz w:val="28"/>
          <w:szCs w:val="36"/>
          <w:highlight w:val="none"/>
          <w:u w:val="single"/>
          <w:lang w:val="en-US" w:eastAsia="zh-CN" w:bidi="ar-SA"/>
        </w:rPr>
        <w:t xml:space="preserve">   </w:t>
      </w:r>
      <w:r>
        <w:rPr>
          <w:rFonts w:hint="eastAsia" w:ascii="宋体" w:hAnsi="宋体" w:eastAsia="宋体" w:cs="宋体"/>
          <w:kern w:val="2"/>
          <w:sz w:val="28"/>
          <w:szCs w:val="36"/>
          <w:highlight w:val="none"/>
          <w:lang w:val="en-US" w:eastAsia="zh-CN" w:bidi="ar-SA"/>
        </w:rPr>
        <w:t>月</w:t>
      </w:r>
      <w:r>
        <w:rPr>
          <w:rFonts w:hint="eastAsia" w:ascii="宋体" w:hAnsi="宋体" w:eastAsia="宋体" w:cs="宋体"/>
          <w:kern w:val="2"/>
          <w:sz w:val="28"/>
          <w:szCs w:val="36"/>
          <w:highlight w:val="none"/>
          <w:u w:val="single"/>
          <w:lang w:val="en-US" w:eastAsia="zh-CN" w:bidi="ar-SA"/>
        </w:rPr>
        <w:t xml:space="preserve">   </w:t>
      </w:r>
      <w:r>
        <w:rPr>
          <w:rFonts w:hint="eastAsia" w:ascii="宋体" w:hAnsi="宋体" w:eastAsia="宋体" w:cs="宋体"/>
          <w:kern w:val="2"/>
          <w:sz w:val="28"/>
          <w:szCs w:val="36"/>
          <w:highlight w:val="none"/>
          <w:lang w:val="en-US" w:eastAsia="zh-CN" w:bidi="ar-SA"/>
        </w:rPr>
        <w:t>日</w:t>
      </w:r>
      <w:bookmarkEnd w:id="269"/>
    </w:p>
    <w:p w14:paraId="7C95130E">
      <w:pPr>
        <w:adjustRightInd w:val="0"/>
        <w:snapToGrid w:val="0"/>
        <w:jc w:val="center"/>
        <w:outlineLvl w:val="9"/>
        <w:rPr>
          <w:rFonts w:hint="eastAsia" w:ascii="宋体" w:hAnsi="宋体" w:eastAsia="宋体" w:cs="宋体"/>
          <w:b/>
          <w:sz w:val="44"/>
          <w:szCs w:val="44"/>
          <w:highlight w:val="none"/>
        </w:rPr>
      </w:pPr>
    </w:p>
    <w:p w14:paraId="1AE2A5A9">
      <w:pPr>
        <w:widowControl/>
        <w:spacing w:line="240" w:lineRule="auto"/>
        <w:jc w:val="center"/>
        <w:outlineLvl w:val="9"/>
        <w:rPr>
          <w:rFonts w:hint="eastAsia" w:ascii="宋体" w:hAnsi="宋体" w:eastAsia="宋体" w:cs="宋体"/>
          <w:b/>
          <w:sz w:val="24"/>
          <w:szCs w:val="24"/>
          <w:highlight w:val="none"/>
        </w:rPr>
      </w:pPr>
      <w:r>
        <w:rPr>
          <w:rFonts w:hint="eastAsia" w:ascii="宋体" w:hAnsi="宋体" w:eastAsia="宋体" w:cs="宋体"/>
          <w:b/>
          <w:sz w:val="44"/>
          <w:szCs w:val="44"/>
          <w:highlight w:val="none"/>
        </w:rPr>
        <w:br w:type="page"/>
      </w:r>
    </w:p>
    <w:p w14:paraId="1DCFEF4A">
      <w:pPr>
        <w:jc w:val="center"/>
        <w:rPr>
          <w:rFonts w:hint="eastAsia" w:ascii="宋体" w:hAnsi="宋体" w:eastAsia="宋体" w:cs="宋体"/>
          <w:b/>
          <w:bCs/>
          <w:color w:val="000000"/>
          <w:sz w:val="32"/>
          <w:szCs w:val="44"/>
          <w:highlight w:val="none"/>
          <w:lang w:val="en-US" w:eastAsia="zh-CN"/>
        </w:rPr>
      </w:pPr>
      <w:r>
        <w:rPr>
          <w:rFonts w:hint="eastAsia" w:ascii="宋体" w:hAnsi="宋体" w:eastAsia="宋体" w:cs="宋体"/>
          <w:b/>
          <w:bCs/>
          <w:color w:val="000000"/>
          <w:sz w:val="32"/>
          <w:szCs w:val="44"/>
          <w:highlight w:val="none"/>
          <w:lang w:val="en-US" w:eastAsia="zh-CN"/>
        </w:rPr>
        <w:t>目录</w:t>
      </w:r>
    </w:p>
    <w:p w14:paraId="0FB81834">
      <w:pPr>
        <w:spacing w:line="300" w:lineRule="auto"/>
        <w:rPr>
          <w:rFonts w:hint="eastAsia" w:ascii="宋体" w:hAnsi="宋体" w:eastAsia="宋体" w:cs="宋体"/>
          <w:b/>
          <w:bCs/>
          <w:highlight w:val="none"/>
        </w:rPr>
      </w:pPr>
      <w:r>
        <w:rPr>
          <w:rFonts w:hint="eastAsia" w:ascii="宋体" w:hAnsi="宋体" w:eastAsia="宋体" w:cs="宋体"/>
          <w:b/>
          <w:bCs/>
          <w:highlight w:val="none"/>
        </w:rPr>
        <w:t>报价部分：</w:t>
      </w:r>
    </w:p>
    <w:p w14:paraId="10632F00">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1、投标函；</w:t>
      </w:r>
    </w:p>
    <w:p w14:paraId="72B3CB37">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2、开标一览表；</w:t>
      </w:r>
    </w:p>
    <w:p w14:paraId="46720D51">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3、投标报价明细表</w:t>
      </w:r>
    </w:p>
    <w:p w14:paraId="47F44D34">
      <w:pPr>
        <w:spacing w:line="300" w:lineRule="auto"/>
        <w:rPr>
          <w:rFonts w:hint="eastAsia" w:ascii="宋体" w:hAnsi="宋体" w:eastAsia="宋体" w:cs="宋体"/>
          <w:b/>
          <w:bCs/>
          <w:highlight w:val="none"/>
        </w:rPr>
      </w:pPr>
      <w:r>
        <w:rPr>
          <w:rFonts w:hint="eastAsia" w:ascii="宋体" w:hAnsi="宋体" w:eastAsia="宋体" w:cs="宋体"/>
          <w:b/>
          <w:bCs/>
          <w:highlight w:val="none"/>
        </w:rPr>
        <w:t>商务部分：</w:t>
      </w:r>
    </w:p>
    <w:p w14:paraId="4F890619">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投标单位简介，并附投标人资质证件等；</w:t>
      </w:r>
    </w:p>
    <w:p w14:paraId="7431E292">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出具法人营业执照函（格式见附件）；</w:t>
      </w:r>
    </w:p>
    <w:p w14:paraId="6011E879">
      <w:pPr>
        <w:spacing w:line="300" w:lineRule="auto"/>
        <w:outlineLvl w:val="2"/>
        <w:rPr>
          <w:rFonts w:hint="eastAsia" w:ascii="宋体" w:hAnsi="宋体" w:eastAsia="宋体" w:cs="宋体"/>
          <w:highlight w:val="none"/>
          <w:lang w:val="en-US" w:eastAsia="zh-CN"/>
        </w:rPr>
      </w:pPr>
      <w:r>
        <w:rPr>
          <w:rFonts w:hint="eastAsia" w:ascii="宋体" w:hAnsi="宋体" w:eastAsia="宋体" w:cs="宋体"/>
          <w:highlight w:val="none"/>
          <w:lang w:val="en-US" w:eastAsia="zh-CN"/>
        </w:rPr>
        <w:t>6、联合体协议书（如是）</w:t>
      </w:r>
    </w:p>
    <w:p w14:paraId="578E0E39">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7、</w:t>
      </w:r>
      <w:r>
        <w:rPr>
          <w:rFonts w:hint="eastAsia" w:ascii="宋体" w:hAnsi="宋体" w:eastAsia="宋体" w:cs="宋体"/>
          <w:highlight w:val="none"/>
        </w:rPr>
        <w:t>法定代表人证明书及身份证</w:t>
      </w:r>
      <w:r>
        <w:rPr>
          <w:rFonts w:hint="eastAsia" w:ascii="宋体" w:hAnsi="宋体" w:eastAsia="宋体" w:cs="宋体"/>
          <w:highlight w:val="none"/>
          <w:lang w:val="en-US" w:eastAsia="zh-CN"/>
        </w:rPr>
        <w:t>复印</w:t>
      </w:r>
      <w:r>
        <w:rPr>
          <w:rFonts w:hint="eastAsia" w:ascii="宋体" w:hAnsi="宋体" w:eastAsia="宋体" w:cs="宋体"/>
          <w:highlight w:val="none"/>
        </w:rPr>
        <w:t>件；</w:t>
      </w:r>
    </w:p>
    <w:p w14:paraId="072400AA">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8、</w:t>
      </w:r>
      <w:r>
        <w:rPr>
          <w:rFonts w:hint="eastAsia" w:ascii="宋体" w:hAnsi="宋体" w:eastAsia="宋体" w:cs="宋体"/>
          <w:highlight w:val="none"/>
        </w:rPr>
        <w:t>法人代表授权委托书及身份证</w:t>
      </w:r>
      <w:r>
        <w:rPr>
          <w:rFonts w:hint="eastAsia" w:ascii="宋体" w:hAnsi="宋体" w:eastAsia="宋体" w:cs="宋体"/>
          <w:highlight w:val="none"/>
          <w:lang w:val="en-US" w:eastAsia="zh-CN"/>
        </w:rPr>
        <w:t>复印件</w:t>
      </w:r>
      <w:r>
        <w:rPr>
          <w:rFonts w:hint="eastAsia" w:ascii="宋体" w:hAnsi="宋体" w:eastAsia="宋体" w:cs="宋体"/>
          <w:highlight w:val="none"/>
        </w:rPr>
        <w:t>；</w:t>
      </w:r>
    </w:p>
    <w:p w14:paraId="26A540FA">
      <w:pPr>
        <w:spacing w:line="300" w:lineRule="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9、投标人资格声明函（格式自拟）； </w:t>
      </w:r>
    </w:p>
    <w:p w14:paraId="43B50BBC">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10、近三年内（本项目投标截止期前）未被“信用中国”（www.creditchina.gov.cn）、中国政府采购网（www.ccgp.gov.cn）列入失信被执行人、重大税收违法案件当事人名单、政府采购严重违法失信行为记录名单</w:t>
      </w:r>
      <w:r>
        <w:rPr>
          <w:rFonts w:hint="eastAsia" w:ascii="宋体" w:hAnsi="宋体" w:eastAsia="宋体" w:cs="宋体"/>
          <w:highlight w:val="none"/>
        </w:rPr>
        <w:t>；</w:t>
      </w:r>
    </w:p>
    <w:p w14:paraId="7790CE60">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11、投标单位的依法缴纳税收和社会保障资金的良好记录；具有良好的商业信誉和健全的财务会计制度（需提供202</w:t>
      </w:r>
      <w:r>
        <w:rPr>
          <w:rFonts w:hint="eastAsia" w:ascii="宋体" w:hAnsi="宋体" w:cs="宋体"/>
          <w:highlight w:val="none"/>
          <w:lang w:val="en-US" w:eastAsia="zh-CN"/>
        </w:rPr>
        <w:t>3</w:t>
      </w:r>
      <w:r>
        <w:rPr>
          <w:rFonts w:hint="eastAsia" w:ascii="宋体" w:hAnsi="宋体" w:eastAsia="宋体" w:cs="宋体"/>
          <w:highlight w:val="none"/>
          <w:lang w:val="en-US" w:eastAsia="zh-CN"/>
        </w:rPr>
        <w:t>年度财务审计报告）；</w:t>
      </w:r>
    </w:p>
    <w:p w14:paraId="2935C076">
      <w:pPr>
        <w:spacing w:line="300" w:lineRule="auto"/>
        <w:outlineLvl w:val="2"/>
        <w:rPr>
          <w:rFonts w:hint="eastAsia" w:ascii="宋体" w:hAnsi="宋体" w:eastAsia="宋体" w:cs="宋体"/>
          <w:highlight w:val="none"/>
          <w:lang w:val="en-US" w:eastAsia="zh-CN"/>
        </w:rPr>
      </w:pPr>
      <w:bookmarkStart w:id="270" w:name="_Toc16907"/>
      <w:r>
        <w:rPr>
          <w:rFonts w:hint="eastAsia" w:ascii="宋体" w:hAnsi="宋体" w:eastAsia="宋体" w:cs="宋体"/>
          <w:highlight w:val="none"/>
          <w:lang w:val="en-US" w:eastAsia="zh-CN"/>
        </w:rPr>
        <w:t>12、投标保证金打款凭证；</w:t>
      </w:r>
      <w:bookmarkEnd w:id="270"/>
    </w:p>
    <w:p w14:paraId="0EEC7F53">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13、采购需求条款响应一览表；</w:t>
      </w:r>
      <w:r>
        <w:rPr>
          <w:rFonts w:hint="eastAsia" w:ascii="宋体" w:hAnsi="宋体" w:eastAsia="宋体" w:cs="宋体"/>
          <w:color w:val="FF0000"/>
          <w:highlight w:val="none"/>
        </w:rPr>
        <w:t xml:space="preserve"> </w:t>
      </w:r>
      <w:r>
        <w:rPr>
          <w:rFonts w:hint="eastAsia" w:ascii="宋体" w:hAnsi="宋体" w:eastAsia="宋体" w:cs="宋体"/>
          <w:highlight w:val="none"/>
        </w:rPr>
        <w:t xml:space="preserve"> </w:t>
      </w:r>
    </w:p>
    <w:p w14:paraId="00C75EAE">
      <w:pPr>
        <w:spacing w:line="300" w:lineRule="auto"/>
        <w:rPr>
          <w:rFonts w:hint="eastAsia" w:ascii="宋体" w:hAnsi="宋体" w:eastAsia="宋体" w:cs="宋体"/>
          <w:highlight w:val="none"/>
          <w:lang w:eastAsia="zh-CN"/>
        </w:rPr>
      </w:pPr>
      <w:r>
        <w:rPr>
          <w:rFonts w:hint="eastAsia" w:ascii="宋体" w:hAnsi="宋体" w:eastAsia="宋体" w:cs="宋体"/>
          <w:highlight w:val="none"/>
          <w:lang w:val="en-US" w:eastAsia="zh-CN"/>
        </w:rPr>
        <w:t>14、</w:t>
      </w:r>
      <w:r>
        <w:rPr>
          <w:rFonts w:hint="eastAsia" w:ascii="宋体" w:hAnsi="宋体" w:eastAsia="宋体" w:cs="宋体"/>
          <w:highlight w:val="none"/>
          <w:lang w:eastAsia="zh-CN"/>
        </w:rPr>
        <w:t>投标人</w:t>
      </w:r>
      <w:r>
        <w:rPr>
          <w:rFonts w:hint="eastAsia" w:ascii="宋体" w:hAnsi="宋体" w:eastAsia="宋体" w:cs="宋体"/>
          <w:highlight w:val="none"/>
        </w:rPr>
        <w:t>反商业贿赂承诺书（格式见附件）；</w:t>
      </w:r>
    </w:p>
    <w:p w14:paraId="0ABED5B8">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15、无围标、串标等违法违规行为承诺书</w:t>
      </w:r>
      <w:r>
        <w:rPr>
          <w:rFonts w:hint="eastAsia" w:ascii="宋体" w:hAnsi="宋体" w:eastAsia="宋体" w:cs="宋体"/>
          <w:highlight w:val="none"/>
        </w:rPr>
        <w:t>（格式见附件）；</w:t>
      </w:r>
    </w:p>
    <w:p w14:paraId="1841B796">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16、中小企业声明函</w:t>
      </w:r>
      <w:r>
        <w:rPr>
          <w:rFonts w:hint="eastAsia" w:ascii="宋体" w:hAnsi="宋体" w:eastAsia="宋体" w:cs="宋体"/>
          <w:highlight w:val="none"/>
        </w:rPr>
        <w:t>；</w:t>
      </w:r>
    </w:p>
    <w:p w14:paraId="6884487D">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17、</w:t>
      </w:r>
      <w:r>
        <w:rPr>
          <w:rFonts w:hint="eastAsia" w:ascii="宋体" w:hAnsi="宋体" w:eastAsia="宋体" w:cs="宋体"/>
          <w:highlight w:val="none"/>
        </w:rPr>
        <w:t>投标人认为有必要提供的声明及文件资料。</w:t>
      </w:r>
    </w:p>
    <w:p w14:paraId="46CEE90F">
      <w:pPr>
        <w:spacing w:line="300" w:lineRule="auto"/>
        <w:rPr>
          <w:rFonts w:hint="eastAsia" w:ascii="宋体" w:hAnsi="宋体" w:eastAsia="宋体" w:cs="宋体"/>
          <w:b/>
          <w:bCs/>
          <w:highlight w:val="none"/>
        </w:rPr>
      </w:pPr>
      <w:r>
        <w:rPr>
          <w:rFonts w:hint="eastAsia" w:ascii="宋体" w:hAnsi="宋体" w:eastAsia="宋体" w:cs="宋体"/>
          <w:b/>
          <w:bCs/>
          <w:highlight w:val="none"/>
        </w:rPr>
        <w:t>技术部分：</w:t>
      </w:r>
    </w:p>
    <w:p w14:paraId="551977F3">
      <w:pPr>
        <w:spacing w:line="300" w:lineRule="auto"/>
        <w:rPr>
          <w:rFonts w:hint="eastAsia" w:ascii="宋体" w:hAnsi="宋体" w:eastAsia="宋体" w:cs="宋体"/>
          <w:highlight w:val="none"/>
        </w:rPr>
      </w:pPr>
      <w:r>
        <w:rPr>
          <w:rFonts w:hint="eastAsia" w:ascii="宋体" w:hAnsi="宋体" w:eastAsia="宋体" w:cs="宋体"/>
          <w:highlight w:val="none"/>
          <w:lang w:val="en-US" w:eastAsia="zh-CN"/>
        </w:rPr>
        <w:t>18、</w:t>
      </w:r>
      <w:r>
        <w:rPr>
          <w:rFonts w:hint="eastAsia" w:ascii="宋体" w:hAnsi="宋体" w:eastAsia="宋体" w:cs="宋体"/>
          <w:highlight w:val="none"/>
        </w:rPr>
        <w:t>对本次</w:t>
      </w:r>
      <w:r>
        <w:rPr>
          <w:rFonts w:hint="eastAsia" w:ascii="宋体" w:hAnsi="宋体" w:eastAsia="宋体" w:cs="宋体"/>
          <w:highlight w:val="none"/>
          <w:lang w:val="en-US" w:eastAsia="zh-CN"/>
        </w:rPr>
        <w:t>投标项目的技术方案</w:t>
      </w:r>
      <w:r>
        <w:rPr>
          <w:rFonts w:hint="eastAsia" w:ascii="宋体" w:hAnsi="宋体" w:cs="宋体"/>
          <w:highlight w:val="none"/>
          <w:lang w:val="en-US" w:eastAsia="zh-CN"/>
        </w:rPr>
        <w:t>（</w:t>
      </w:r>
      <w:r>
        <w:rPr>
          <w:rFonts w:hint="eastAsia" w:ascii="宋体" w:hAnsi="宋体" w:eastAsia="宋体" w:cs="宋体"/>
          <w:highlight w:val="none"/>
        </w:rPr>
        <w:t>投标人视需要自行编写</w:t>
      </w:r>
      <w:r>
        <w:rPr>
          <w:rFonts w:hint="eastAsia" w:ascii="宋体" w:hAnsi="宋体" w:cs="宋体"/>
          <w:highlight w:val="none"/>
          <w:lang w:eastAsia="zh-CN"/>
        </w:rPr>
        <w:t>）</w:t>
      </w:r>
      <w:r>
        <w:rPr>
          <w:rFonts w:hint="eastAsia" w:ascii="宋体" w:hAnsi="宋体" w:eastAsia="宋体" w:cs="宋体"/>
          <w:highlight w:val="none"/>
        </w:rPr>
        <w:t>；</w:t>
      </w:r>
    </w:p>
    <w:p w14:paraId="4E07728A">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19、服务承诺书</w:t>
      </w:r>
    </w:p>
    <w:p w14:paraId="7F4DF5A4">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w:t>
      </w:r>
      <w:r>
        <w:rPr>
          <w:rFonts w:hint="eastAsia" w:ascii="宋体" w:hAnsi="宋体" w:eastAsia="宋体" w:cs="宋体"/>
          <w:highlight w:val="none"/>
          <w:lang w:eastAsia="zh-CN"/>
        </w:rPr>
        <w:t>其他有利于投标人的资料（如有）</w:t>
      </w:r>
    </w:p>
    <w:p w14:paraId="08BB3FA5">
      <w:pPr>
        <w:spacing w:line="30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注：1、投标文件必须制作有目录和页码</w:t>
      </w:r>
    </w:p>
    <w:p w14:paraId="4C041722">
      <w:pPr>
        <w:spacing w:line="300" w:lineRule="auto"/>
        <w:outlineLvl w:val="2"/>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w:t>
      </w:r>
      <w:bookmarkStart w:id="271" w:name="_Toc26933"/>
      <w:r>
        <w:rPr>
          <w:rFonts w:hint="eastAsia" w:ascii="宋体" w:hAnsi="宋体" w:eastAsia="宋体" w:cs="宋体"/>
          <w:highlight w:val="none"/>
          <w:lang w:val="en-US" w:eastAsia="zh-CN"/>
        </w:rPr>
        <w:t>2、只接受A4纸张大小的投标文件</w:t>
      </w:r>
      <w:bookmarkEnd w:id="271"/>
    </w:p>
    <w:p w14:paraId="58E5D808">
      <w:pPr>
        <w:spacing w:line="300" w:lineRule="auto"/>
        <w:rPr>
          <w:rFonts w:hint="eastAsia" w:ascii="宋体" w:hAnsi="宋体" w:eastAsia="宋体" w:cs="宋体"/>
          <w:color w:val="000000"/>
          <w:sz w:val="24"/>
          <w:szCs w:val="24"/>
          <w:highlight w:val="none"/>
          <w:lang w:eastAsia="zh-CN"/>
        </w:rPr>
        <w:sectPr>
          <w:pgSz w:w="11905" w:h="16838"/>
          <w:pgMar w:top="1304" w:right="964" w:bottom="1020" w:left="1191" w:header="567" w:footer="454" w:gutter="0"/>
          <w:pgNumType w:fmt="decimal"/>
          <w:cols w:space="720" w:num="1"/>
          <w:rtlGutter w:val="0"/>
          <w:docGrid w:type="lines" w:linePitch="317" w:charSpace="0"/>
        </w:sectPr>
      </w:pPr>
      <w:r>
        <w:rPr>
          <w:rFonts w:hint="eastAsia" w:ascii="宋体" w:hAnsi="宋体" w:eastAsia="宋体" w:cs="宋体"/>
          <w:highlight w:val="none"/>
          <w:lang w:val="en-US" w:eastAsia="zh-CN"/>
        </w:rPr>
        <w:t xml:space="preserve">投标文件严格按要求制作   </w:t>
      </w:r>
    </w:p>
    <w:p w14:paraId="087F705C">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3771A828">
      <w:pPr>
        <w:pStyle w:val="20"/>
        <w:rPr>
          <w:rFonts w:hint="eastAsia" w:ascii="宋体" w:hAnsi="宋体" w:eastAsia="宋体" w:cs="宋体"/>
          <w:highlight w:val="none"/>
          <w:lang w:val="en-US" w:eastAsia="zh-CN"/>
        </w:rPr>
      </w:pPr>
    </w:p>
    <w:p w14:paraId="71EC89B3">
      <w:pPr>
        <w:rPr>
          <w:rFonts w:hint="eastAsia"/>
          <w:highlight w:val="none"/>
          <w:lang w:val="en-US" w:eastAsia="zh-CN"/>
        </w:rPr>
      </w:pPr>
    </w:p>
    <w:p w14:paraId="69441CD4">
      <w:pPr>
        <w:rPr>
          <w:rFonts w:hint="eastAsia"/>
          <w:highlight w:val="none"/>
          <w:lang w:val="en-US" w:eastAsia="zh-CN"/>
        </w:rPr>
      </w:pPr>
    </w:p>
    <w:p w14:paraId="5CC37059">
      <w:pPr>
        <w:rPr>
          <w:rFonts w:hint="eastAsia"/>
          <w:highlight w:val="none"/>
          <w:lang w:val="en-US" w:eastAsia="zh-CN"/>
        </w:rPr>
      </w:pPr>
    </w:p>
    <w:p w14:paraId="30B67A0D">
      <w:pPr>
        <w:numPr>
          <w:ilvl w:val="0"/>
          <w:numId w:val="0"/>
        </w:numPr>
        <w:spacing w:line="440" w:lineRule="exact"/>
        <w:jc w:val="both"/>
        <w:rPr>
          <w:rFonts w:hint="eastAsia" w:ascii="宋体" w:hAnsi="宋体" w:eastAsia="宋体" w:cs="宋体"/>
          <w:b/>
          <w:color w:val="000000"/>
          <w:sz w:val="28"/>
          <w:szCs w:val="24"/>
          <w:highlight w:val="none"/>
          <w:lang w:val="en-US" w:eastAsia="zh-CN"/>
        </w:rPr>
      </w:pPr>
      <w:r>
        <w:rPr>
          <w:rFonts w:hint="eastAsia" w:ascii="宋体" w:hAnsi="宋体" w:eastAsia="宋体" w:cs="宋体"/>
          <w:b/>
          <w:color w:val="000000"/>
          <w:sz w:val="28"/>
          <w:szCs w:val="24"/>
          <w:highlight w:val="none"/>
          <w:lang w:val="en-US" w:eastAsia="zh-CN"/>
        </w:rPr>
        <w:t>附件一</w:t>
      </w:r>
    </w:p>
    <w:p w14:paraId="72775445">
      <w:pPr>
        <w:numPr>
          <w:ilvl w:val="0"/>
          <w:numId w:val="0"/>
        </w:numPr>
        <w:spacing w:line="440" w:lineRule="exact"/>
        <w:jc w:val="center"/>
        <w:rPr>
          <w:rFonts w:hint="eastAsia" w:ascii="宋体" w:hAnsi="宋体" w:eastAsia="宋体" w:cs="宋体"/>
          <w:b/>
          <w:color w:val="000000"/>
          <w:sz w:val="32"/>
          <w:szCs w:val="28"/>
          <w:highlight w:val="none"/>
          <w:lang w:eastAsia="zh-CN"/>
        </w:rPr>
      </w:pPr>
      <w:r>
        <w:rPr>
          <w:rFonts w:hint="eastAsia" w:ascii="宋体" w:hAnsi="宋体" w:eastAsia="宋体" w:cs="宋体"/>
          <w:b/>
          <w:color w:val="000000"/>
          <w:sz w:val="32"/>
          <w:szCs w:val="28"/>
          <w:highlight w:val="none"/>
        </w:rPr>
        <w:t>投标</w:t>
      </w:r>
      <w:r>
        <w:rPr>
          <w:rFonts w:hint="eastAsia" w:ascii="宋体" w:hAnsi="宋体" w:eastAsia="宋体" w:cs="宋体"/>
          <w:b/>
          <w:color w:val="000000"/>
          <w:sz w:val="32"/>
          <w:szCs w:val="28"/>
          <w:highlight w:val="none"/>
          <w:lang w:eastAsia="zh-CN"/>
        </w:rPr>
        <w:t>函</w:t>
      </w:r>
    </w:p>
    <w:p w14:paraId="1DFC2C19">
      <w:pPr>
        <w:pStyle w:val="179"/>
        <w:numPr>
          <w:ilvl w:val="0"/>
          <w:numId w:val="0"/>
        </w:numPr>
        <w:rPr>
          <w:rFonts w:hint="eastAsia" w:ascii="宋体" w:hAnsi="宋体" w:eastAsia="宋体" w:cs="宋体"/>
          <w:highlight w:val="none"/>
        </w:rPr>
      </w:pPr>
    </w:p>
    <w:p w14:paraId="371036AC">
      <w:pPr>
        <w:adjustRightInd w:val="0"/>
        <w:snapToGrid w:val="0"/>
        <w:spacing w:line="360" w:lineRule="auto"/>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招标人：</w:t>
      </w:r>
      <w:r>
        <w:rPr>
          <w:rFonts w:hint="eastAsia" w:ascii="宋体" w:hAnsi="宋体" w:eastAsia="宋体" w:cs="宋体"/>
          <w:color w:val="000000"/>
          <w:sz w:val="21"/>
          <w:szCs w:val="22"/>
          <w:highlight w:val="none"/>
          <w:u w:val="single"/>
        </w:rPr>
        <w:t xml:space="preserve">             </w:t>
      </w:r>
      <w:r>
        <w:rPr>
          <w:rFonts w:hint="eastAsia" w:ascii="宋体" w:hAnsi="宋体" w:eastAsia="宋体" w:cs="宋体"/>
          <w:color w:val="000000"/>
          <w:sz w:val="21"/>
          <w:szCs w:val="22"/>
          <w:highlight w:val="none"/>
        </w:rPr>
        <w:t>：</w:t>
      </w:r>
    </w:p>
    <w:p w14:paraId="70AF244B">
      <w:pPr>
        <w:adjustRightInd w:val="0"/>
        <w:snapToGrid w:val="0"/>
        <w:spacing w:line="360" w:lineRule="auto"/>
        <w:ind w:firstLine="420" w:firstLineChars="200"/>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  我们收到你们的</w:t>
      </w:r>
      <w:r>
        <w:rPr>
          <w:rFonts w:hint="eastAsia" w:ascii="宋体" w:hAnsi="宋体" w:eastAsia="宋体" w:cs="宋体"/>
          <w:color w:val="000000"/>
          <w:sz w:val="21"/>
          <w:szCs w:val="22"/>
          <w:highlight w:val="none"/>
          <w:u w:val="single"/>
        </w:rPr>
        <w:t xml:space="preserve">     （项目名称）     （项目编号：  号）</w:t>
      </w:r>
      <w:r>
        <w:rPr>
          <w:rFonts w:hint="eastAsia" w:ascii="宋体" w:hAnsi="宋体" w:eastAsia="宋体" w:cs="宋体"/>
          <w:color w:val="000000"/>
          <w:sz w:val="21"/>
          <w:szCs w:val="22"/>
          <w:highlight w:val="none"/>
          <w:lang w:eastAsia="zh-CN"/>
        </w:rPr>
        <w:t>招标</w:t>
      </w:r>
      <w:r>
        <w:rPr>
          <w:rFonts w:hint="eastAsia" w:ascii="宋体" w:hAnsi="宋体" w:eastAsia="宋体" w:cs="宋体"/>
          <w:color w:val="000000"/>
          <w:sz w:val="21"/>
          <w:szCs w:val="22"/>
          <w:highlight w:val="none"/>
        </w:rPr>
        <w:t>文件，经认真研究，我们决定参加本次</w:t>
      </w:r>
      <w:r>
        <w:rPr>
          <w:rFonts w:hint="eastAsia" w:ascii="宋体" w:hAnsi="宋体" w:eastAsia="宋体" w:cs="宋体"/>
          <w:color w:val="000000"/>
          <w:sz w:val="21"/>
          <w:szCs w:val="22"/>
          <w:highlight w:val="none"/>
          <w:lang w:eastAsia="zh-CN"/>
        </w:rPr>
        <w:t>招标</w:t>
      </w:r>
      <w:r>
        <w:rPr>
          <w:rFonts w:hint="eastAsia" w:ascii="宋体" w:hAnsi="宋体" w:eastAsia="宋体" w:cs="宋体"/>
          <w:color w:val="000000"/>
          <w:sz w:val="21"/>
          <w:szCs w:val="22"/>
          <w:highlight w:val="none"/>
        </w:rPr>
        <w:t>活动。</w:t>
      </w:r>
    </w:p>
    <w:p w14:paraId="0EBB4027">
      <w:pPr>
        <w:numPr>
          <w:ilvl w:val="0"/>
          <w:numId w:val="22"/>
        </w:numPr>
        <w:adjustRightInd w:val="0"/>
        <w:snapToGrid w:val="0"/>
        <w:spacing w:line="360" w:lineRule="auto"/>
        <w:ind w:firstLine="420" w:firstLineChars="200"/>
        <w:outlineLvl w:val="2"/>
        <w:rPr>
          <w:rFonts w:hint="eastAsia" w:ascii="宋体" w:hAnsi="宋体" w:eastAsia="宋体" w:cs="宋体"/>
          <w:color w:val="000000"/>
          <w:sz w:val="21"/>
          <w:szCs w:val="22"/>
          <w:highlight w:val="none"/>
        </w:rPr>
      </w:pPr>
      <w:bookmarkStart w:id="272" w:name="_Toc15514"/>
      <w:r>
        <w:rPr>
          <w:rFonts w:hint="eastAsia" w:ascii="宋体" w:hAnsi="宋体" w:eastAsia="宋体" w:cs="宋体"/>
          <w:color w:val="000000"/>
          <w:sz w:val="21"/>
          <w:szCs w:val="22"/>
          <w:highlight w:val="none"/>
        </w:rPr>
        <w:t>按照</w:t>
      </w:r>
      <w:r>
        <w:rPr>
          <w:rFonts w:hint="eastAsia" w:ascii="宋体" w:hAnsi="宋体" w:eastAsia="宋体" w:cs="宋体"/>
          <w:color w:val="000000"/>
          <w:sz w:val="21"/>
          <w:szCs w:val="22"/>
          <w:highlight w:val="none"/>
          <w:lang w:eastAsia="zh-CN"/>
        </w:rPr>
        <w:t>招标文件</w:t>
      </w:r>
      <w:r>
        <w:rPr>
          <w:rFonts w:hint="eastAsia" w:ascii="宋体" w:hAnsi="宋体" w:eastAsia="宋体" w:cs="宋体"/>
          <w:color w:val="000000"/>
          <w:sz w:val="21"/>
          <w:szCs w:val="22"/>
          <w:highlight w:val="none"/>
        </w:rPr>
        <w:t>中的一切要求，提供招标的相关服务。</w:t>
      </w:r>
      <w:bookmarkEnd w:id="272"/>
    </w:p>
    <w:p w14:paraId="73D1DAD7">
      <w:pPr>
        <w:numPr>
          <w:ilvl w:val="0"/>
          <w:numId w:val="0"/>
        </w:numPr>
        <w:adjustRightInd w:val="0"/>
        <w:snapToGrid w:val="0"/>
        <w:spacing w:line="360" w:lineRule="auto"/>
        <w:rPr>
          <w:rFonts w:hint="eastAsia" w:ascii="宋体" w:hAnsi="宋体" w:eastAsia="宋体" w:cs="宋体"/>
          <w:b/>
          <w:bCs/>
          <w:sz w:val="21"/>
          <w:szCs w:val="22"/>
          <w:highlight w:val="none"/>
        </w:rPr>
      </w:pPr>
      <w:r>
        <w:rPr>
          <w:rFonts w:hint="eastAsia" w:ascii="宋体" w:hAnsi="宋体" w:eastAsia="宋体" w:cs="宋体"/>
          <w:b/>
          <w:bCs/>
          <w:color w:val="000000"/>
          <w:sz w:val="21"/>
          <w:szCs w:val="22"/>
          <w:highlight w:val="none"/>
          <w:lang w:val="en-US" w:eastAsia="zh-CN"/>
        </w:rPr>
        <w:t>小写：</w:t>
      </w:r>
      <w:r>
        <w:rPr>
          <w:rFonts w:hint="eastAsia" w:ascii="宋体" w:hAnsi="宋体" w:eastAsia="宋体" w:cs="宋体"/>
          <w:b/>
          <w:bCs/>
          <w:sz w:val="21"/>
          <w:szCs w:val="22"/>
          <w:highlight w:val="none"/>
          <w:u w:val="single"/>
        </w:rPr>
        <w:t xml:space="preserve">        </w:t>
      </w:r>
      <w:r>
        <w:rPr>
          <w:rFonts w:hint="eastAsia" w:ascii="宋体" w:hAnsi="宋体" w:eastAsia="宋体" w:cs="宋体"/>
          <w:b/>
          <w:bCs/>
          <w:sz w:val="21"/>
          <w:szCs w:val="22"/>
          <w:highlight w:val="none"/>
          <w:u w:val="single"/>
          <w:lang w:val="en-US" w:eastAsia="zh-CN"/>
        </w:rPr>
        <w:t xml:space="preserve">         </w:t>
      </w:r>
      <w:r>
        <w:rPr>
          <w:rFonts w:hint="eastAsia" w:ascii="宋体" w:hAnsi="宋体" w:eastAsia="宋体" w:cs="宋体"/>
          <w:b/>
          <w:bCs/>
          <w:sz w:val="21"/>
          <w:szCs w:val="22"/>
          <w:highlight w:val="none"/>
          <w:u w:val="single"/>
        </w:rPr>
        <w:t xml:space="preserve">    </w:t>
      </w:r>
      <w:r>
        <w:rPr>
          <w:rFonts w:hint="eastAsia" w:ascii="宋体" w:hAnsi="宋体" w:eastAsia="宋体" w:cs="宋体"/>
          <w:b/>
          <w:bCs/>
          <w:sz w:val="21"/>
          <w:szCs w:val="22"/>
          <w:highlight w:val="none"/>
        </w:rPr>
        <w:t>元</w:t>
      </w:r>
    </w:p>
    <w:p w14:paraId="48A98CDA">
      <w:pPr>
        <w:adjustRightInd w:val="0"/>
        <w:snapToGrid w:val="0"/>
        <w:spacing w:line="360" w:lineRule="auto"/>
        <w:rPr>
          <w:rFonts w:hint="eastAsia" w:ascii="宋体" w:hAnsi="宋体" w:eastAsia="宋体" w:cs="宋体"/>
          <w:b/>
          <w:bCs/>
          <w:sz w:val="21"/>
          <w:szCs w:val="22"/>
          <w:highlight w:val="none"/>
        </w:rPr>
      </w:pPr>
      <w:r>
        <w:rPr>
          <w:rFonts w:hint="eastAsia" w:ascii="宋体" w:hAnsi="宋体" w:eastAsia="宋体" w:cs="宋体"/>
          <w:b/>
          <w:bCs/>
          <w:sz w:val="21"/>
          <w:szCs w:val="22"/>
          <w:highlight w:val="none"/>
        </w:rPr>
        <w:t>大写：</w:t>
      </w:r>
      <w:r>
        <w:rPr>
          <w:rFonts w:hint="eastAsia" w:ascii="宋体" w:hAnsi="宋体" w:eastAsia="宋体" w:cs="宋体"/>
          <w:b/>
          <w:bCs/>
          <w:sz w:val="21"/>
          <w:szCs w:val="22"/>
          <w:highlight w:val="none"/>
          <w:u w:val="single"/>
        </w:rPr>
        <w:t xml:space="preserve">                </w:t>
      </w:r>
      <w:r>
        <w:rPr>
          <w:rFonts w:hint="eastAsia" w:ascii="宋体" w:hAnsi="宋体" w:eastAsia="宋体" w:cs="宋体"/>
          <w:b/>
          <w:bCs/>
          <w:sz w:val="21"/>
          <w:szCs w:val="22"/>
          <w:highlight w:val="none"/>
          <w:u w:val="single"/>
          <w:lang w:val="en-US" w:eastAsia="zh-CN"/>
        </w:rPr>
        <w:t xml:space="preserve">  </w:t>
      </w:r>
      <w:r>
        <w:rPr>
          <w:rFonts w:hint="eastAsia" w:ascii="宋体" w:hAnsi="宋体" w:eastAsia="宋体" w:cs="宋体"/>
          <w:b/>
          <w:bCs/>
          <w:sz w:val="21"/>
          <w:szCs w:val="22"/>
          <w:highlight w:val="none"/>
          <w:u w:val="single"/>
        </w:rPr>
        <w:t xml:space="preserve">   </w:t>
      </w:r>
      <w:r>
        <w:rPr>
          <w:rFonts w:hint="eastAsia" w:ascii="宋体" w:hAnsi="宋体" w:eastAsia="宋体" w:cs="宋体"/>
          <w:b/>
          <w:bCs/>
          <w:sz w:val="21"/>
          <w:szCs w:val="22"/>
          <w:highlight w:val="none"/>
        </w:rPr>
        <w:t xml:space="preserve"> 。</w:t>
      </w:r>
    </w:p>
    <w:p w14:paraId="50C7F33F">
      <w:pPr>
        <w:adjustRightInd w:val="0"/>
        <w:snapToGrid w:val="0"/>
        <w:spacing w:line="360" w:lineRule="auto"/>
        <w:ind w:firstLine="420" w:firstLineChars="200"/>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2、如果我们的投标文件被接受，我们将履行</w:t>
      </w:r>
      <w:r>
        <w:rPr>
          <w:rFonts w:hint="eastAsia" w:ascii="宋体" w:hAnsi="宋体" w:eastAsia="宋体" w:cs="宋体"/>
          <w:color w:val="000000"/>
          <w:sz w:val="21"/>
          <w:szCs w:val="22"/>
          <w:highlight w:val="none"/>
          <w:lang w:eastAsia="zh-CN"/>
        </w:rPr>
        <w:t>招标文件</w:t>
      </w:r>
      <w:r>
        <w:rPr>
          <w:rFonts w:hint="eastAsia" w:ascii="宋体" w:hAnsi="宋体" w:eastAsia="宋体" w:cs="宋体"/>
          <w:color w:val="000000"/>
          <w:sz w:val="21"/>
          <w:szCs w:val="22"/>
          <w:highlight w:val="none"/>
        </w:rPr>
        <w:t>中规定的每一项义务和要求，按期、按质、按量完成</w:t>
      </w:r>
      <w:r>
        <w:rPr>
          <w:rFonts w:hint="eastAsia" w:ascii="宋体" w:hAnsi="宋体" w:eastAsia="宋体" w:cs="宋体"/>
          <w:color w:val="000000"/>
          <w:sz w:val="21"/>
          <w:szCs w:val="22"/>
          <w:highlight w:val="none"/>
          <w:lang w:val="en-US" w:eastAsia="zh-CN"/>
        </w:rPr>
        <w:t>本次服务</w:t>
      </w:r>
      <w:r>
        <w:rPr>
          <w:rFonts w:hint="eastAsia" w:ascii="宋体" w:hAnsi="宋体" w:eastAsia="宋体" w:cs="宋体"/>
          <w:color w:val="000000"/>
          <w:sz w:val="21"/>
          <w:szCs w:val="22"/>
          <w:highlight w:val="none"/>
        </w:rPr>
        <w:t>。</w:t>
      </w:r>
    </w:p>
    <w:p w14:paraId="395BE6C3">
      <w:pPr>
        <w:adjustRightInd w:val="0"/>
        <w:snapToGrid w:val="0"/>
        <w:spacing w:line="360" w:lineRule="auto"/>
        <w:ind w:firstLine="420" w:firstLineChars="200"/>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3、我们同意按</w:t>
      </w:r>
      <w:r>
        <w:rPr>
          <w:rFonts w:hint="eastAsia" w:ascii="宋体" w:hAnsi="宋体" w:eastAsia="宋体" w:cs="宋体"/>
          <w:color w:val="000000"/>
          <w:sz w:val="21"/>
          <w:szCs w:val="22"/>
          <w:highlight w:val="none"/>
          <w:lang w:eastAsia="zh-CN"/>
        </w:rPr>
        <w:t>招标</w:t>
      </w:r>
      <w:r>
        <w:rPr>
          <w:rFonts w:hint="eastAsia" w:ascii="宋体" w:hAnsi="宋体" w:eastAsia="宋体" w:cs="宋体"/>
          <w:color w:val="000000"/>
          <w:sz w:val="21"/>
          <w:szCs w:val="22"/>
          <w:highlight w:val="none"/>
        </w:rPr>
        <w:t>文件的规定，本投标文件的有效期为开标后</w:t>
      </w:r>
      <w:r>
        <w:rPr>
          <w:rFonts w:hint="eastAsia" w:ascii="宋体" w:hAnsi="宋体" w:eastAsia="宋体" w:cs="宋体"/>
          <w:color w:val="000000"/>
          <w:sz w:val="21"/>
          <w:szCs w:val="22"/>
          <w:highlight w:val="none"/>
          <w:u w:val="single"/>
          <w:lang w:val="en-US" w:eastAsia="zh-CN"/>
        </w:rPr>
        <w:t xml:space="preserve"> </w:t>
      </w:r>
      <w:r>
        <w:rPr>
          <w:rFonts w:hint="eastAsia" w:ascii="宋体" w:hAnsi="宋体" w:eastAsia="宋体" w:cs="宋体"/>
          <w:color w:val="000000"/>
          <w:sz w:val="21"/>
          <w:szCs w:val="22"/>
          <w:highlight w:val="none"/>
        </w:rPr>
        <w:t>天。</w:t>
      </w:r>
    </w:p>
    <w:p w14:paraId="7FFE1CC8">
      <w:pPr>
        <w:adjustRightInd w:val="0"/>
        <w:snapToGrid w:val="0"/>
        <w:spacing w:line="360" w:lineRule="auto"/>
        <w:ind w:firstLine="420" w:firstLineChars="200"/>
        <w:outlineLvl w:val="2"/>
        <w:rPr>
          <w:rFonts w:hint="eastAsia" w:ascii="宋体" w:hAnsi="宋体" w:eastAsia="宋体" w:cs="宋体"/>
          <w:color w:val="000000"/>
          <w:sz w:val="21"/>
          <w:szCs w:val="22"/>
          <w:highlight w:val="none"/>
        </w:rPr>
      </w:pPr>
      <w:bookmarkStart w:id="273" w:name="_Toc29996"/>
      <w:r>
        <w:rPr>
          <w:rFonts w:hint="eastAsia" w:ascii="宋体" w:hAnsi="宋体" w:eastAsia="宋体" w:cs="宋体"/>
          <w:color w:val="000000"/>
          <w:sz w:val="21"/>
          <w:szCs w:val="22"/>
          <w:highlight w:val="none"/>
        </w:rPr>
        <w:t>4、我们愿意提供招标人在</w:t>
      </w:r>
      <w:r>
        <w:rPr>
          <w:rFonts w:hint="eastAsia" w:ascii="宋体" w:hAnsi="宋体" w:eastAsia="宋体" w:cs="宋体"/>
          <w:color w:val="000000"/>
          <w:sz w:val="21"/>
          <w:szCs w:val="22"/>
          <w:highlight w:val="none"/>
          <w:lang w:eastAsia="zh-CN"/>
        </w:rPr>
        <w:t>招标</w:t>
      </w:r>
      <w:r>
        <w:rPr>
          <w:rFonts w:hint="eastAsia" w:ascii="宋体" w:hAnsi="宋体" w:eastAsia="宋体" w:cs="宋体"/>
          <w:color w:val="000000"/>
          <w:sz w:val="21"/>
          <w:szCs w:val="22"/>
          <w:highlight w:val="none"/>
        </w:rPr>
        <w:t>文件中要求的所有资料。</w:t>
      </w:r>
      <w:bookmarkEnd w:id="273"/>
    </w:p>
    <w:p w14:paraId="02C47B1E">
      <w:pPr>
        <w:adjustRightInd w:val="0"/>
        <w:snapToGrid w:val="0"/>
        <w:spacing w:line="360" w:lineRule="auto"/>
        <w:ind w:firstLine="420" w:firstLineChars="200"/>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5、我们认为你们有选择或拒绝任何投标者中标的权力。我们理解，最低报价不是中标的唯一条件。</w:t>
      </w:r>
    </w:p>
    <w:p w14:paraId="7B20F84E">
      <w:pPr>
        <w:adjustRightInd w:val="0"/>
        <w:snapToGrid w:val="0"/>
        <w:spacing w:line="360" w:lineRule="auto"/>
        <w:ind w:firstLine="420" w:firstLineChars="200"/>
        <w:outlineLvl w:val="2"/>
        <w:rPr>
          <w:rFonts w:hint="eastAsia" w:ascii="宋体" w:hAnsi="宋体" w:eastAsia="宋体" w:cs="宋体"/>
          <w:color w:val="000000"/>
          <w:sz w:val="21"/>
          <w:szCs w:val="22"/>
          <w:highlight w:val="none"/>
        </w:rPr>
      </w:pPr>
      <w:bookmarkStart w:id="274" w:name="_Toc19169"/>
      <w:r>
        <w:rPr>
          <w:rFonts w:hint="eastAsia" w:ascii="宋体" w:hAnsi="宋体" w:eastAsia="宋体" w:cs="宋体"/>
          <w:color w:val="000000"/>
          <w:sz w:val="21"/>
          <w:szCs w:val="22"/>
          <w:highlight w:val="none"/>
        </w:rPr>
        <w:t>6、我们愿按合同法履行自己的全部责任。</w:t>
      </w:r>
      <w:bookmarkEnd w:id="274"/>
    </w:p>
    <w:p w14:paraId="4D96691D">
      <w:pPr>
        <w:adjustRightInd w:val="0"/>
        <w:snapToGrid w:val="0"/>
        <w:spacing w:line="360" w:lineRule="auto"/>
        <w:ind w:firstLine="420" w:firstLineChars="200"/>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7、我们愿意遵守国家有关规定和</w:t>
      </w:r>
      <w:r>
        <w:rPr>
          <w:rFonts w:hint="eastAsia" w:ascii="宋体" w:hAnsi="宋体" w:eastAsia="宋体" w:cs="宋体"/>
          <w:color w:val="000000"/>
          <w:sz w:val="21"/>
          <w:szCs w:val="22"/>
          <w:highlight w:val="none"/>
          <w:lang w:eastAsia="zh-CN"/>
        </w:rPr>
        <w:t>招标</w:t>
      </w:r>
      <w:r>
        <w:rPr>
          <w:rFonts w:hint="eastAsia" w:ascii="宋体" w:hAnsi="宋体" w:eastAsia="宋体" w:cs="宋体"/>
          <w:color w:val="000000"/>
          <w:sz w:val="21"/>
          <w:szCs w:val="22"/>
          <w:highlight w:val="none"/>
        </w:rPr>
        <w:t>文件中规定的收费标准，承付中标服务费。</w:t>
      </w:r>
    </w:p>
    <w:p w14:paraId="626E0D9C">
      <w:pPr>
        <w:adjustRightInd w:val="0"/>
        <w:snapToGrid w:val="0"/>
        <w:spacing w:line="360" w:lineRule="auto"/>
        <w:ind w:firstLine="420" w:firstLineChars="200"/>
        <w:outlineLvl w:val="2"/>
        <w:rPr>
          <w:rFonts w:hint="eastAsia" w:ascii="宋体" w:hAnsi="宋体" w:eastAsia="宋体" w:cs="宋体"/>
          <w:color w:val="000000"/>
          <w:sz w:val="21"/>
          <w:szCs w:val="22"/>
          <w:highlight w:val="none"/>
        </w:rPr>
      </w:pPr>
      <w:bookmarkStart w:id="275" w:name="_Toc17525"/>
      <w:r>
        <w:rPr>
          <w:rFonts w:hint="eastAsia" w:ascii="宋体" w:hAnsi="宋体" w:eastAsia="宋体" w:cs="宋体"/>
          <w:color w:val="000000"/>
          <w:sz w:val="21"/>
          <w:szCs w:val="22"/>
          <w:highlight w:val="none"/>
        </w:rPr>
        <w:t>8、该项投标在开标后的全过程中保持有效，不作任何更改和变动。</w:t>
      </w:r>
      <w:bookmarkEnd w:id="275"/>
    </w:p>
    <w:p w14:paraId="371DF242">
      <w:pPr>
        <w:adjustRightInd w:val="0"/>
        <w:snapToGrid w:val="0"/>
        <w:spacing w:line="360" w:lineRule="auto"/>
        <w:ind w:firstLine="420" w:firstLineChars="200"/>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9、我们同意按</w:t>
      </w:r>
      <w:r>
        <w:rPr>
          <w:rFonts w:hint="eastAsia" w:ascii="宋体" w:hAnsi="宋体" w:eastAsia="宋体" w:cs="宋体"/>
          <w:color w:val="000000"/>
          <w:sz w:val="21"/>
          <w:szCs w:val="22"/>
          <w:highlight w:val="none"/>
          <w:lang w:eastAsia="zh-CN"/>
        </w:rPr>
        <w:t>招标</w:t>
      </w:r>
      <w:r>
        <w:rPr>
          <w:rFonts w:hint="eastAsia" w:ascii="宋体" w:hAnsi="宋体" w:eastAsia="宋体" w:cs="宋体"/>
          <w:color w:val="000000"/>
          <w:sz w:val="21"/>
          <w:szCs w:val="22"/>
          <w:highlight w:val="none"/>
        </w:rPr>
        <w:t>文件规定，交纳</w:t>
      </w:r>
      <w:r>
        <w:rPr>
          <w:rFonts w:hint="eastAsia" w:ascii="宋体" w:hAnsi="宋体" w:eastAsia="宋体" w:cs="宋体"/>
          <w:color w:val="000000"/>
          <w:sz w:val="21"/>
          <w:szCs w:val="22"/>
          <w:highlight w:val="none"/>
          <w:u w:val="single"/>
        </w:rPr>
        <w:t xml:space="preserve">            </w:t>
      </w:r>
      <w:r>
        <w:rPr>
          <w:rFonts w:hint="eastAsia" w:ascii="宋体" w:hAnsi="宋体" w:eastAsia="宋体" w:cs="宋体"/>
          <w:color w:val="000000"/>
          <w:sz w:val="21"/>
          <w:szCs w:val="22"/>
          <w:highlight w:val="none"/>
        </w:rPr>
        <w:t>元的投标保证金。</w:t>
      </w:r>
    </w:p>
    <w:p w14:paraId="0133E2E1">
      <w:pPr>
        <w:adjustRightInd w:val="0"/>
        <w:snapToGrid w:val="0"/>
        <w:spacing w:line="360" w:lineRule="auto"/>
        <w:ind w:firstLine="420" w:firstLineChars="200"/>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10、其它说明。</w:t>
      </w:r>
    </w:p>
    <w:p w14:paraId="58085ACC">
      <w:pPr>
        <w:adjustRightInd w:val="0"/>
        <w:snapToGrid w:val="0"/>
        <w:spacing w:line="360" w:lineRule="auto"/>
        <w:ind w:firstLine="420" w:firstLineChars="200"/>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11、所有有关本标书的函电，请按下列地址联系：</w:t>
      </w:r>
    </w:p>
    <w:p w14:paraId="27BC63DD">
      <w:pPr>
        <w:adjustRightInd w:val="0"/>
        <w:snapToGrid w:val="0"/>
        <w:spacing w:line="360" w:lineRule="auto"/>
        <w:ind w:firstLine="420" w:firstLineChars="200"/>
        <w:rPr>
          <w:rFonts w:hint="eastAsia" w:ascii="宋体" w:hAnsi="宋体" w:eastAsia="宋体" w:cs="宋体"/>
          <w:color w:val="000000"/>
          <w:sz w:val="21"/>
          <w:szCs w:val="22"/>
          <w:highlight w:val="none"/>
          <w:u w:val="single"/>
        </w:rPr>
      </w:pPr>
      <w:r>
        <w:rPr>
          <w:rFonts w:hint="eastAsia" w:ascii="宋体" w:hAnsi="宋体" w:eastAsia="宋体" w:cs="宋体"/>
          <w:color w:val="000000"/>
          <w:sz w:val="21"/>
          <w:szCs w:val="22"/>
          <w:highlight w:val="none"/>
        </w:rPr>
        <w:t>投标单位：</w:t>
      </w:r>
      <w:r>
        <w:rPr>
          <w:rFonts w:hint="eastAsia" w:ascii="宋体" w:hAnsi="宋体" w:eastAsia="宋体" w:cs="宋体"/>
          <w:color w:val="000000"/>
          <w:sz w:val="21"/>
          <w:szCs w:val="22"/>
          <w:highlight w:val="none"/>
          <w:u w:val="none"/>
        </w:rPr>
        <w:t>（</w:t>
      </w:r>
      <w:r>
        <w:rPr>
          <w:rFonts w:hint="eastAsia" w:ascii="宋体" w:hAnsi="宋体" w:eastAsia="宋体" w:cs="宋体"/>
          <w:color w:val="000000"/>
          <w:sz w:val="21"/>
          <w:szCs w:val="22"/>
          <w:highlight w:val="none"/>
          <w:u w:val="none"/>
          <w:lang w:eastAsia="zh-CN"/>
        </w:rPr>
        <w:t>盖章</w:t>
      </w:r>
      <w:r>
        <w:rPr>
          <w:rFonts w:hint="eastAsia" w:ascii="宋体" w:hAnsi="宋体" w:eastAsia="宋体" w:cs="宋体"/>
          <w:color w:val="000000"/>
          <w:sz w:val="21"/>
          <w:szCs w:val="22"/>
          <w:highlight w:val="none"/>
          <w:u w:val="none"/>
        </w:rPr>
        <w:t>）</w:t>
      </w:r>
      <w:r>
        <w:rPr>
          <w:rFonts w:hint="eastAsia" w:ascii="宋体" w:hAnsi="宋体" w:eastAsia="宋体" w:cs="宋体"/>
          <w:color w:val="000000"/>
          <w:sz w:val="21"/>
          <w:szCs w:val="22"/>
          <w:highlight w:val="none"/>
          <w:u w:val="single"/>
          <w:lang w:val="en-US" w:eastAsia="zh-CN"/>
        </w:rPr>
        <w:t xml:space="preserve">                                        </w:t>
      </w:r>
      <w:r>
        <w:rPr>
          <w:rFonts w:hint="eastAsia" w:ascii="宋体" w:hAnsi="宋体" w:eastAsia="宋体" w:cs="宋体"/>
          <w:color w:val="000000"/>
          <w:sz w:val="21"/>
          <w:szCs w:val="22"/>
          <w:highlight w:val="none"/>
        </w:rPr>
        <w:t xml:space="preserve"> </w:t>
      </w:r>
    </w:p>
    <w:p w14:paraId="133F8757">
      <w:pPr>
        <w:adjustRightInd w:val="0"/>
        <w:snapToGrid w:val="0"/>
        <w:spacing w:line="360" w:lineRule="auto"/>
        <w:ind w:firstLine="420" w:firstLineChars="200"/>
        <w:rPr>
          <w:rFonts w:hint="eastAsia" w:ascii="宋体" w:hAnsi="宋体" w:eastAsia="宋体" w:cs="宋体"/>
          <w:color w:val="000000"/>
          <w:sz w:val="21"/>
          <w:szCs w:val="22"/>
          <w:highlight w:val="none"/>
          <w:u w:val="single"/>
        </w:rPr>
      </w:pPr>
      <w:r>
        <w:rPr>
          <w:rFonts w:hint="eastAsia" w:ascii="宋体" w:hAnsi="宋体" w:eastAsia="宋体" w:cs="宋体"/>
          <w:color w:val="000000"/>
          <w:sz w:val="21"/>
          <w:szCs w:val="22"/>
          <w:highlight w:val="none"/>
        </w:rPr>
        <w:t>法定代表人（签字</w:t>
      </w:r>
      <w:r>
        <w:rPr>
          <w:rFonts w:hint="eastAsia" w:ascii="宋体" w:hAnsi="宋体" w:eastAsia="宋体" w:cs="宋体"/>
          <w:color w:val="000000"/>
          <w:sz w:val="21"/>
          <w:szCs w:val="22"/>
          <w:highlight w:val="none"/>
          <w:lang w:val="en-US" w:eastAsia="zh-CN"/>
        </w:rPr>
        <w:t>或</w:t>
      </w:r>
      <w:r>
        <w:rPr>
          <w:rFonts w:hint="eastAsia" w:ascii="宋体" w:hAnsi="宋体" w:eastAsia="宋体" w:cs="宋体"/>
          <w:color w:val="000000"/>
          <w:sz w:val="21"/>
          <w:szCs w:val="22"/>
          <w:highlight w:val="none"/>
        </w:rPr>
        <w:t>盖章）：</w:t>
      </w:r>
      <w:r>
        <w:rPr>
          <w:rFonts w:hint="eastAsia" w:ascii="宋体" w:hAnsi="宋体" w:eastAsia="宋体" w:cs="宋体"/>
          <w:color w:val="000000"/>
          <w:sz w:val="21"/>
          <w:szCs w:val="22"/>
          <w:highlight w:val="none"/>
          <w:u w:val="single"/>
          <w:lang w:val="en-US" w:eastAsia="zh-CN"/>
        </w:rPr>
        <w:t xml:space="preserve">                                 </w:t>
      </w:r>
    </w:p>
    <w:p w14:paraId="58DD80CA">
      <w:pPr>
        <w:adjustRightInd w:val="0"/>
        <w:snapToGrid w:val="0"/>
        <w:spacing w:line="360" w:lineRule="auto"/>
        <w:ind w:firstLine="420" w:firstLineChars="200"/>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地址：</w:t>
      </w:r>
      <w:r>
        <w:rPr>
          <w:rFonts w:hint="eastAsia" w:ascii="宋体" w:hAnsi="宋体" w:eastAsia="宋体" w:cs="宋体"/>
          <w:color w:val="000000"/>
          <w:sz w:val="21"/>
          <w:szCs w:val="22"/>
          <w:highlight w:val="none"/>
          <w:u w:val="single"/>
          <w:lang w:val="en-US" w:eastAsia="zh-CN"/>
        </w:rPr>
        <w:t xml:space="preserve">                                        </w:t>
      </w:r>
      <w:r>
        <w:rPr>
          <w:rFonts w:hint="eastAsia" w:ascii="宋体" w:hAnsi="宋体" w:eastAsia="宋体" w:cs="宋体"/>
          <w:color w:val="000000"/>
          <w:sz w:val="21"/>
          <w:szCs w:val="22"/>
          <w:highlight w:val="none"/>
        </w:rPr>
        <w:t xml:space="preserve"> </w:t>
      </w:r>
    </w:p>
    <w:p w14:paraId="77A15CE5">
      <w:pPr>
        <w:adjustRightInd w:val="0"/>
        <w:snapToGrid w:val="0"/>
        <w:spacing w:line="360" w:lineRule="auto"/>
        <w:ind w:firstLine="420" w:firstLineChars="200"/>
        <w:rPr>
          <w:rFonts w:hint="eastAsia" w:ascii="宋体" w:hAnsi="宋体" w:eastAsia="宋体" w:cs="宋体"/>
          <w:b/>
          <w:bCs/>
          <w:sz w:val="18"/>
          <w:szCs w:val="21"/>
          <w:highlight w:val="none"/>
        </w:rPr>
      </w:pPr>
      <w:r>
        <w:rPr>
          <w:rFonts w:hint="eastAsia" w:ascii="宋体" w:hAnsi="宋体" w:eastAsia="宋体" w:cs="宋体"/>
          <w:color w:val="000000"/>
          <w:sz w:val="21"/>
          <w:szCs w:val="22"/>
          <w:highlight w:val="none"/>
        </w:rPr>
        <w:t>联系人：</w:t>
      </w:r>
      <w:r>
        <w:rPr>
          <w:rFonts w:hint="eastAsia" w:ascii="宋体" w:hAnsi="宋体" w:eastAsia="宋体" w:cs="宋体"/>
          <w:color w:val="000000"/>
          <w:sz w:val="21"/>
          <w:szCs w:val="22"/>
          <w:highlight w:val="none"/>
          <w:u w:val="single"/>
          <w:lang w:val="en-US" w:eastAsia="zh-CN"/>
        </w:rPr>
        <w:t xml:space="preserve">                                        </w:t>
      </w:r>
      <w:r>
        <w:rPr>
          <w:rFonts w:hint="eastAsia" w:ascii="宋体" w:hAnsi="宋体" w:eastAsia="宋体" w:cs="宋体"/>
          <w:color w:val="000000"/>
          <w:sz w:val="21"/>
          <w:szCs w:val="22"/>
          <w:highlight w:val="none"/>
        </w:rPr>
        <w:t xml:space="preserve"> </w:t>
      </w:r>
    </w:p>
    <w:p w14:paraId="06984DBC">
      <w:pPr>
        <w:adjustRightInd w:val="0"/>
        <w:snapToGrid w:val="0"/>
        <w:spacing w:line="360" w:lineRule="auto"/>
        <w:ind w:firstLine="420" w:firstLineChars="200"/>
        <w:rPr>
          <w:rFonts w:hint="eastAsia" w:ascii="宋体" w:hAnsi="宋体" w:eastAsia="宋体" w:cs="宋体"/>
          <w:b/>
          <w:bCs/>
          <w:color w:val="000000"/>
          <w:sz w:val="21"/>
          <w:szCs w:val="22"/>
          <w:highlight w:val="none"/>
        </w:rPr>
      </w:pPr>
      <w:r>
        <w:rPr>
          <w:rFonts w:hint="eastAsia" w:ascii="宋体" w:hAnsi="宋体" w:eastAsia="宋体" w:cs="宋体"/>
          <w:color w:val="000000"/>
          <w:sz w:val="21"/>
          <w:szCs w:val="22"/>
          <w:highlight w:val="none"/>
        </w:rPr>
        <w:t>电话：</w:t>
      </w:r>
      <w:r>
        <w:rPr>
          <w:rFonts w:hint="eastAsia" w:ascii="宋体" w:hAnsi="宋体" w:eastAsia="宋体" w:cs="宋体"/>
          <w:color w:val="000000"/>
          <w:sz w:val="21"/>
          <w:szCs w:val="22"/>
          <w:highlight w:val="none"/>
          <w:u w:val="single"/>
          <w:lang w:val="en-US" w:eastAsia="zh-CN"/>
        </w:rPr>
        <w:t xml:space="preserve">                                        </w:t>
      </w:r>
      <w:r>
        <w:rPr>
          <w:rFonts w:hint="eastAsia" w:ascii="宋体" w:hAnsi="宋体" w:eastAsia="宋体" w:cs="宋体"/>
          <w:color w:val="000000"/>
          <w:sz w:val="21"/>
          <w:szCs w:val="22"/>
          <w:highlight w:val="none"/>
        </w:rPr>
        <w:t xml:space="preserve"> </w:t>
      </w:r>
    </w:p>
    <w:p w14:paraId="10728AFF">
      <w:pPr>
        <w:adjustRightInd w:val="0"/>
        <w:snapToGrid w:val="0"/>
        <w:spacing w:line="360" w:lineRule="auto"/>
        <w:ind w:firstLine="420" w:firstLineChars="200"/>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传真：</w:t>
      </w:r>
      <w:r>
        <w:rPr>
          <w:rFonts w:hint="eastAsia" w:ascii="宋体" w:hAnsi="宋体" w:eastAsia="宋体" w:cs="宋体"/>
          <w:color w:val="000000"/>
          <w:sz w:val="21"/>
          <w:szCs w:val="22"/>
          <w:highlight w:val="none"/>
          <w:u w:val="single"/>
          <w:lang w:val="en-US" w:eastAsia="zh-CN"/>
        </w:rPr>
        <w:t xml:space="preserve">                                        </w:t>
      </w:r>
      <w:r>
        <w:rPr>
          <w:rFonts w:hint="eastAsia" w:ascii="宋体" w:hAnsi="宋体" w:eastAsia="宋体" w:cs="宋体"/>
          <w:color w:val="000000"/>
          <w:sz w:val="21"/>
          <w:szCs w:val="22"/>
          <w:highlight w:val="none"/>
        </w:rPr>
        <w:t xml:space="preserve"> </w:t>
      </w:r>
    </w:p>
    <w:p w14:paraId="383D09C4">
      <w:pPr>
        <w:adjustRightInd w:val="0"/>
        <w:snapToGrid w:val="0"/>
        <w:spacing w:line="360" w:lineRule="auto"/>
        <w:ind w:firstLine="420" w:firstLineChars="200"/>
        <w:rPr>
          <w:rFonts w:hint="eastAsia" w:ascii="宋体" w:hAnsi="宋体" w:eastAsia="宋体" w:cs="宋体"/>
          <w:color w:val="000000"/>
          <w:sz w:val="21"/>
          <w:szCs w:val="22"/>
          <w:highlight w:val="none"/>
          <w:lang w:val="en-US" w:eastAsia="zh-CN"/>
        </w:rPr>
      </w:pPr>
      <w:r>
        <w:rPr>
          <w:rFonts w:hint="eastAsia" w:ascii="宋体" w:hAnsi="宋体" w:eastAsia="宋体" w:cs="宋体"/>
          <w:color w:val="000000"/>
          <w:sz w:val="21"/>
          <w:szCs w:val="22"/>
          <w:highlight w:val="none"/>
        </w:rPr>
        <w:t>邮政编码：</w:t>
      </w:r>
      <w:r>
        <w:rPr>
          <w:rFonts w:hint="eastAsia" w:ascii="宋体" w:hAnsi="宋体" w:eastAsia="宋体" w:cs="宋体"/>
          <w:color w:val="000000"/>
          <w:sz w:val="21"/>
          <w:szCs w:val="22"/>
          <w:highlight w:val="none"/>
          <w:u w:val="single"/>
          <w:lang w:val="en-US" w:eastAsia="zh-CN"/>
        </w:rPr>
        <w:t xml:space="preserve">                                        </w:t>
      </w:r>
      <w:r>
        <w:rPr>
          <w:rFonts w:hint="eastAsia" w:ascii="宋体" w:hAnsi="宋体" w:eastAsia="宋体" w:cs="宋体"/>
          <w:color w:val="000000"/>
          <w:sz w:val="21"/>
          <w:szCs w:val="22"/>
          <w:highlight w:val="none"/>
        </w:rPr>
        <w:t xml:space="preserve"> </w:t>
      </w:r>
    </w:p>
    <w:p w14:paraId="31AFC37B">
      <w:pPr>
        <w:adjustRightInd w:val="0"/>
        <w:snapToGrid w:val="0"/>
        <w:spacing w:line="360" w:lineRule="auto"/>
        <w:jc w:val="righ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lang w:val="en-US" w:eastAsia="zh-CN"/>
        </w:rPr>
        <w:t>日期：</w:t>
      </w:r>
      <w:r>
        <w:rPr>
          <w:rFonts w:hint="eastAsia" w:ascii="宋体" w:hAnsi="宋体" w:eastAsia="宋体" w:cs="宋体"/>
          <w:color w:val="000000"/>
          <w:sz w:val="21"/>
          <w:szCs w:val="22"/>
          <w:highlight w:val="none"/>
        </w:rPr>
        <w:t xml:space="preserve"> </w:t>
      </w:r>
      <w:r>
        <w:rPr>
          <w:rFonts w:hint="eastAsia" w:ascii="宋体" w:hAnsi="宋体" w:eastAsia="宋体" w:cs="宋体"/>
          <w:color w:val="000000"/>
          <w:sz w:val="21"/>
          <w:szCs w:val="22"/>
          <w:highlight w:val="none"/>
          <w:u w:val="single"/>
        </w:rPr>
        <w:t xml:space="preserve">  </w:t>
      </w:r>
      <w:r>
        <w:rPr>
          <w:rFonts w:hint="eastAsia" w:ascii="宋体" w:hAnsi="宋体" w:eastAsia="宋体" w:cs="宋体"/>
          <w:color w:val="000000"/>
          <w:sz w:val="21"/>
          <w:szCs w:val="22"/>
          <w:highlight w:val="none"/>
          <w:u w:val="single"/>
          <w:lang w:val="en-US" w:eastAsia="zh-CN"/>
        </w:rPr>
        <w:t xml:space="preserve">   </w:t>
      </w:r>
      <w:r>
        <w:rPr>
          <w:rFonts w:hint="eastAsia" w:ascii="宋体" w:hAnsi="宋体" w:eastAsia="宋体" w:cs="宋体"/>
          <w:color w:val="000000"/>
          <w:sz w:val="21"/>
          <w:szCs w:val="22"/>
          <w:highlight w:val="none"/>
        </w:rPr>
        <w:t>年</w:t>
      </w:r>
      <w:r>
        <w:rPr>
          <w:rFonts w:hint="eastAsia" w:ascii="宋体" w:hAnsi="宋体" w:eastAsia="宋体" w:cs="宋体"/>
          <w:color w:val="000000"/>
          <w:sz w:val="21"/>
          <w:szCs w:val="22"/>
          <w:highlight w:val="none"/>
          <w:u w:val="single"/>
        </w:rPr>
        <w:t xml:space="preserve">  </w:t>
      </w:r>
      <w:r>
        <w:rPr>
          <w:rFonts w:hint="eastAsia" w:ascii="宋体" w:hAnsi="宋体" w:eastAsia="宋体" w:cs="宋体"/>
          <w:color w:val="000000"/>
          <w:sz w:val="21"/>
          <w:szCs w:val="22"/>
          <w:highlight w:val="none"/>
          <w:u w:val="single"/>
          <w:lang w:val="en-US" w:eastAsia="zh-CN"/>
        </w:rPr>
        <w:t xml:space="preserve">   </w:t>
      </w:r>
      <w:r>
        <w:rPr>
          <w:rFonts w:hint="eastAsia" w:ascii="宋体" w:hAnsi="宋体" w:eastAsia="宋体" w:cs="宋体"/>
          <w:color w:val="000000"/>
          <w:sz w:val="21"/>
          <w:szCs w:val="22"/>
          <w:highlight w:val="none"/>
        </w:rPr>
        <w:t>月</w:t>
      </w:r>
      <w:r>
        <w:rPr>
          <w:rFonts w:hint="eastAsia" w:ascii="宋体" w:hAnsi="宋体" w:eastAsia="宋体" w:cs="宋体"/>
          <w:color w:val="000000"/>
          <w:sz w:val="21"/>
          <w:szCs w:val="22"/>
          <w:highlight w:val="none"/>
          <w:u w:val="single"/>
        </w:rPr>
        <w:t xml:space="preserve">  </w:t>
      </w:r>
      <w:r>
        <w:rPr>
          <w:rFonts w:hint="eastAsia" w:ascii="宋体" w:hAnsi="宋体" w:eastAsia="宋体" w:cs="宋体"/>
          <w:color w:val="000000"/>
          <w:sz w:val="21"/>
          <w:szCs w:val="22"/>
          <w:highlight w:val="none"/>
          <w:u w:val="single"/>
          <w:lang w:val="en-US" w:eastAsia="zh-CN"/>
        </w:rPr>
        <w:t xml:space="preserve">   </w:t>
      </w:r>
      <w:r>
        <w:rPr>
          <w:rFonts w:hint="eastAsia" w:ascii="宋体" w:hAnsi="宋体" w:eastAsia="宋体" w:cs="宋体"/>
          <w:color w:val="000000"/>
          <w:sz w:val="21"/>
          <w:szCs w:val="22"/>
          <w:highlight w:val="none"/>
        </w:rPr>
        <w:t>日</w:t>
      </w:r>
    </w:p>
    <w:p w14:paraId="3EC6B684">
      <w:pPr>
        <w:pStyle w:val="23"/>
        <w:overflowPunct w:val="0"/>
        <w:snapToGrid w:val="0"/>
        <w:spacing w:line="360" w:lineRule="auto"/>
        <w:ind w:firstLine="0"/>
        <w:rPr>
          <w:rFonts w:hint="eastAsia" w:ascii="宋体" w:hAnsi="宋体" w:eastAsia="宋体" w:cs="宋体"/>
          <w:color w:val="000000"/>
          <w:sz w:val="21"/>
          <w:szCs w:val="21"/>
          <w:highlight w:val="none"/>
          <w:lang w:eastAsia="zh-CN"/>
        </w:rPr>
        <w:sectPr>
          <w:type w:val="continuous"/>
          <w:pgSz w:w="11905" w:h="16838"/>
          <w:pgMar w:top="1304" w:right="964" w:bottom="1020" w:left="1191" w:header="567" w:footer="454" w:gutter="0"/>
          <w:pgNumType w:fmt="decimal"/>
          <w:cols w:space="720" w:num="1"/>
          <w:rtlGutter w:val="0"/>
          <w:docGrid w:type="lines" w:linePitch="317" w:charSpace="0"/>
        </w:sectPr>
      </w:pPr>
    </w:p>
    <w:p w14:paraId="3856A5FE">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08AF7EE7">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6A6F4EB0">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55592DE0">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17B6DD2A">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5FE484D2">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7B855E31">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46B83E0C">
      <w:pPr>
        <w:numPr>
          <w:ilvl w:val="0"/>
          <w:numId w:val="0"/>
        </w:numPr>
        <w:spacing w:line="440" w:lineRule="exact"/>
        <w:jc w:val="both"/>
        <w:rPr>
          <w:rFonts w:hint="eastAsia" w:ascii="宋体" w:hAnsi="宋体" w:eastAsia="宋体" w:cs="宋体"/>
          <w:b/>
          <w:color w:val="000000"/>
          <w:sz w:val="28"/>
          <w:szCs w:val="24"/>
          <w:highlight w:val="none"/>
          <w:lang w:val="en-US" w:eastAsia="zh-CN"/>
        </w:rPr>
      </w:pPr>
      <w:r>
        <w:rPr>
          <w:rFonts w:hint="eastAsia" w:ascii="宋体" w:hAnsi="宋体" w:eastAsia="宋体" w:cs="宋体"/>
          <w:b/>
          <w:color w:val="000000"/>
          <w:sz w:val="28"/>
          <w:szCs w:val="24"/>
          <w:highlight w:val="none"/>
          <w:lang w:val="en-US" w:eastAsia="zh-CN"/>
        </w:rPr>
        <w:t>附件二</w:t>
      </w:r>
    </w:p>
    <w:p w14:paraId="01E38196">
      <w:pPr>
        <w:numPr>
          <w:ilvl w:val="0"/>
          <w:numId w:val="0"/>
        </w:numPr>
        <w:spacing w:line="440" w:lineRule="exact"/>
        <w:jc w:val="center"/>
        <w:rPr>
          <w:rFonts w:hint="eastAsia" w:ascii="宋体" w:hAnsi="宋体" w:eastAsia="宋体" w:cs="宋体"/>
          <w:b/>
          <w:color w:val="000000"/>
          <w:sz w:val="32"/>
          <w:szCs w:val="28"/>
          <w:highlight w:val="none"/>
        </w:rPr>
      </w:pPr>
      <w:r>
        <w:rPr>
          <w:rFonts w:hint="eastAsia" w:ascii="宋体" w:hAnsi="宋体" w:eastAsia="宋体" w:cs="宋体"/>
          <w:b/>
          <w:color w:val="000000"/>
          <w:sz w:val="32"/>
          <w:szCs w:val="28"/>
          <w:highlight w:val="none"/>
        </w:rPr>
        <w:t>开标一览表</w:t>
      </w:r>
    </w:p>
    <w:p w14:paraId="2BB8516E">
      <w:pPr>
        <w:pStyle w:val="95"/>
        <w:rPr>
          <w:rFonts w:hint="eastAsia" w:ascii="宋体" w:hAnsi="宋体" w:eastAsia="宋体" w:cs="宋体"/>
          <w:highlight w:val="none"/>
        </w:rPr>
      </w:pPr>
    </w:p>
    <w:p w14:paraId="7560122F">
      <w:pPr>
        <w:pStyle w:val="95"/>
        <w:rPr>
          <w:rFonts w:hint="eastAsia" w:ascii="宋体" w:hAnsi="宋体" w:eastAsia="宋体" w:cs="宋体"/>
          <w:highlight w:val="none"/>
        </w:rPr>
      </w:pPr>
    </w:p>
    <w:p w14:paraId="5823D71C">
      <w:pPr>
        <w:spacing w:line="370" w:lineRule="auto"/>
        <w:rPr>
          <w:rFonts w:hint="eastAsia" w:ascii="宋体" w:hAnsi="宋体" w:eastAsia="宋体" w:cs="宋体"/>
          <w:sz w:val="21"/>
          <w:highlight w:val="none"/>
          <w:u w:val="single"/>
          <w:lang w:val="en-US" w:eastAsia="zh-CN"/>
        </w:rPr>
      </w:pPr>
      <w:r>
        <w:rPr>
          <w:rFonts w:hint="eastAsia" w:ascii="宋体" w:hAnsi="宋体" w:eastAsia="宋体" w:cs="宋体"/>
          <w:sz w:val="21"/>
          <w:highlight w:val="none"/>
          <w:lang w:val="en-US" w:eastAsia="zh-CN"/>
        </w:rPr>
        <w:t>项目名称：</w:t>
      </w:r>
      <w:r>
        <w:rPr>
          <w:rFonts w:hint="eastAsia" w:ascii="宋体" w:hAnsi="宋体" w:eastAsia="宋体" w:cs="宋体"/>
          <w:sz w:val="21"/>
          <w:highlight w:val="none"/>
          <w:u w:val="single"/>
          <w:lang w:val="en-US" w:eastAsia="zh-CN"/>
        </w:rPr>
        <w:t xml:space="preserve">                                               </w:t>
      </w:r>
    </w:p>
    <w:p w14:paraId="0117A993">
      <w:pPr>
        <w:spacing w:before="227" w:line="185" w:lineRule="auto"/>
        <w:ind w:firstLine="617"/>
        <w:rPr>
          <w:rFonts w:hint="eastAsia" w:ascii="宋体" w:hAnsi="宋体" w:eastAsia="宋体" w:cs="宋体"/>
          <w:spacing w:val="1"/>
          <w:sz w:val="24"/>
          <w:szCs w:val="24"/>
          <w:highlight w:val="none"/>
          <w:u w:val="single" w:color="auto"/>
        </w:rPr>
      </w:pPr>
      <w:r>
        <w:rPr>
          <w:rFonts w:hint="eastAsia" w:ascii="宋体" w:hAnsi="宋体" w:eastAsia="宋体" w:cs="宋体"/>
          <w:color w:val="000000"/>
          <w:sz w:val="21"/>
          <w:szCs w:val="22"/>
          <w:highlight w:val="none"/>
        </w:rPr>
        <w:t>项目编号：</w:t>
      </w:r>
      <w:r>
        <w:rPr>
          <w:rFonts w:hint="eastAsia" w:ascii="宋体" w:hAnsi="宋体" w:eastAsia="宋体" w:cs="宋体"/>
          <w:spacing w:val="1"/>
          <w:sz w:val="24"/>
          <w:szCs w:val="24"/>
          <w:highlight w:val="none"/>
          <w:u w:val="single" w:color="auto"/>
        </w:rPr>
        <w:t xml:space="preserve">                                          </w:t>
      </w:r>
    </w:p>
    <w:p w14:paraId="3714229A">
      <w:pPr>
        <w:pStyle w:val="23"/>
        <w:rPr>
          <w:rFonts w:hint="eastAsia" w:ascii="宋体" w:hAnsi="宋体" w:eastAsia="宋体" w:cs="宋体"/>
          <w:highlight w:val="none"/>
        </w:rPr>
      </w:pPr>
    </w:p>
    <w:tbl>
      <w:tblPr>
        <w:tblStyle w:val="76"/>
        <w:tblW w:w="9155" w:type="dxa"/>
        <w:tblInd w:w="-61" w:type="dxa"/>
        <w:tblLayout w:type="fixed"/>
        <w:tblCellMar>
          <w:top w:w="0" w:type="dxa"/>
          <w:left w:w="0" w:type="dxa"/>
          <w:bottom w:w="0" w:type="dxa"/>
          <w:right w:w="0" w:type="dxa"/>
        </w:tblCellMar>
      </w:tblPr>
      <w:tblGrid>
        <w:gridCol w:w="1420"/>
        <w:gridCol w:w="2340"/>
        <w:gridCol w:w="1805"/>
        <w:gridCol w:w="1445"/>
        <w:gridCol w:w="1016"/>
        <w:gridCol w:w="1129"/>
      </w:tblGrid>
      <w:tr w14:paraId="4D9F1A56">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vAlign w:val="center"/>
          </w:tcPr>
          <w:p w14:paraId="06A6186D">
            <w:pPr>
              <w:tabs>
                <w:tab w:val="left" w:pos="5580"/>
              </w:tabs>
              <w:spacing w:line="240" w:lineRule="atLeast"/>
              <w:ind w:right="-199"/>
              <w:jc w:val="center"/>
              <w:rPr>
                <w:rFonts w:hint="eastAsia" w:ascii="宋体" w:hAnsi="宋体" w:eastAsia="宋体" w:cs="宋体"/>
                <w:sz w:val="24"/>
                <w:highlight w:val="none"/>
              </w:rPr>
            </w:pPr>
            <w:r>
              <w:rPr>
                <w:rFonts w:hint="eastAsia" w:ascii="宋体" w:hAnsi="宋体" w:eastAsia="宋体" w:cs="宋体"/>
                <w:sz w:val="24"/>
                <w:highlight w:val="none"/>
              </w:rPr>
              <w:t>标项名称</w:t>
            </w:r>
          </w:p>
        </w:tc>
        <w:tc>
          <w:tcPr>
            <w:tcW w:w="2340" w:type="dxa"/>
            <w:tcBorders>
              <w:top w:val="single" w:color="auto" w:sz="4" w:space="0"/>
              <w:left w:val="single" w:color="auto" w:sz="8" w:space="0"/>
              <w:bottom w:val="single" w:color="auto" w:sz="8" w:space="0"/>
              <w:right w:val="single" w:color="auto" w:sz="4" w:space="0"/>
            </w:tcBorders>
            <w:vAlign w:val="center"/>
          </w:tcPr>
          <w:p w14:paraId="609D62A5">
            <w:pPr>
              <w:tabs>
                <w:tab w:val="left" w:pos="5580"/>
              </w:tabs>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投标总价</w:t>
            </w:r>
          </w:p>
        </w:tc>
        <w:tc>
          <w:tcPr>
            <w:tcW w:w="1805" w:type="dxa"/>
            <w:tcBorders>
              <w:top w:val="single" w:color="auto" w:sz="8" w:space="0"/>
              <w:left w:val="nil"/>
              <w:bottom w:val="single" w:color="auto" w:sz="8" w:space="0"/>
              <w:right w:val="single" w:color="auto" w:sz="4" w:space="0"/>
            </w:tcBorders>
            <w:vAlign w:val="center"/>
          </w:tcPr>
          <w:p w14:paraId="7DE32114">
            <w:pPr>
              <w:tabs>
                <w:tab w:val="left" w:pos="5580"/>
              </w:tabs>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投标保证金</w:t>
            </w:r>
          </w:p>
        </w:tc>
        <w:tc>
          <w:tcPr>
            <w:tcW w:w="1445" w:type="dxa"/>
            <w:tcBorders>
              <w:top w:val="single" w:color="auto" w:sz="8" w:space="0"/>
              <w:left w:val="nil"/>
              <w:bottom w:val="single" w:color="auto" w:sz="8" w:space="0"/>
              <w:right w:val="single" w:color="auto" w:sz="4" w:space="0"/>
            </w:tcBorders>
            <w:vAlign w:val="center"/>
          </w:tcPr>
          <w:p w14:paraId="5242ECBB">
            <w:pPr>
              <w:tabs>
                <w:tab w:val="left" w:pos="5580"/>
              </w:tabs>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履约期限</w:t>
            </w:r>
          </w:p>
        </w:tc>
        <w:tc>
          <w:tcPr>
            <w:tcW w:w="1016" w:type="dxa"/>
            <w:tcBorders>
              <w:top w:val="single" w:color="auto" w:sz="8" w:space="0"/>
              <w:left w:val="nil"/>
              <w:bottom w:val="single" w:color="auto" w:sz="8" w:space="0"/>
              <w:right w:val="single" w:color="auto" w:sz="4" w:space="0"/>
            </w:tcBorders>
            <w:vAlign w:val="center"/>
          </w:tcPr>
          <w:p w14:paraId="386429D5">
            <w:pPr>
              <w:tabs>
                <w:tab w:val="left" w:pos="5580"/>
              </w:tabs>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履约地点</w:t>
            </w:r>
          </w:p>
        </w:tc>
        <w:tc>
          <w:tcPr>
            <w:tcW w:w="1129" w:type="dxa"/>
            <w:tcBorders>
              <w:top w:val="single" w:color="auto" w:sz="8" w:space="0"/>
              <w:left w:val="single" w:color="auto" w:sz="4" w:space="0"/>
              <w:bottom w:val="single" w:color="auto" w:sz="8" w:space="0"/>
              <w:right w:val="single" w:color="auto" w:sz="8" w:space="0"/>
            </w:tcBorders>
            <w:vAlign w:val="center"/>
          </w:tcPr>
          <w:p w14:paraId="5C0A51A5">
            <w:pPr>
              <w:tabs>
                <w:tab w:val="left" w:pos="5580"/>
              </w:tabs>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14:paraId="52E5C93F">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vAlign w:val="center"/>
          </w:tcPr>
          <w:p w14:paraId="300AE780">
            <w:pPr>
              <w:tabs>
                <w:tab w:val="left" w:pos="5580"/>
              </w:tabs>
              <w:spacing w:line="240" w:lineRule="atLeast"/>
              <w:ind w:left="660" w:leftChars="257" w:hanging="540"/>
              <w:jc w:val="center"/>
              <w:rPr>
                <w:rFonts w:hint="eastAsia" w:ascii="宋体" w:hAnsi="宋体" w:eastAsia="宋体" w:cs="宋体"/>
                <w:sz w:val="24"/>
                <w:highlight w:val="none"/>
              </w:rPr>
            </w:pPr>
          </w:p>
        </w:tc>
        <w:tc>
          <w:tcPr>
            <w:tcW w:w="2340" w:type="dxa"/>
            <w:tcBorders>
              <w:top w:val="single" w:color="auto" w:sz="8" w:space="0"/>
              <w:left w:val="single" w:color="auto" w:sz="8" w:space="0"/>
              <w:bottom w:val="single" w:color="auto" w:sz="4" w:space="0"/>
              <w:right w:val="single" w:color="auto" w:sz="4" w:space="0"/>
            </w:tcBorders>
            <w:vAlign w:val="center"/>
          </w:tcPr>
          <w:p w14:paraId="4E88BAE7">
            <w:pPr>
              <w:tabs>
                <w:tab w:val="left" w:pos="5580"/>
              </w:tabs>
              <w:spacing w:line="240" w:lineRule="atLeast"/>
              <w:jc w:val="left"/>
              <w:rPr>
                <w:rFonts w:hint="eastAsia" w:ascii="宋体" w:hAnsi="宋体" w:eastAsia="宋体" w:cs="宋体"/>
                <w:sz w:val="24"/>
                <w:highlight w:val="none"/>
              </w:rPr>
            </w:pPr>
            <w:r>
              <w:rPr>
                <w:rFonts w:hint="eastAsia" w:ascii="宋体" w:hAnsi="宋体" w:eastAsia="宋体" w:cs="宋体"/>
                <w:sz w:val="24"/>
                <w:highlight w:val="none"/>
              </w:rPr>
              <w:t>大写：</w:t>
            </w:r>
          </w:p>
          <w:p w14:paraId="71B03773">
            <w:pPr>
              <w:tabs>
                <w:tab w:val="left" w:pos="5580"/>
              </w:tabs>
              <w:spacing w:line="240" w:lineRule="atLeast"/>
              <w:jc w:val="left"/>
              <w:rPr>
                <w:rFonts w:hint="eastAsia" w:ascii="宋体" w:hAnsi="宋体" w:eastAsia="宋体" w:cs="宋体"/>
                <w:sz w:val="24"/>
                <w:highlight w:val="none"/>
              </w:rPr>
            </w:pPr>
            <w:r>
              <w:rPr>
                <w:rFonts w:hint="eastAsia" w:ascii="宋体" w:hAnsi="宋体" w:eastAsia="宋体" w:cs="宋体"/>
                <w:sz w:val="24"/>
                <w:highlight w:val="none"/>
              </w:rPr>
              <w:t>小写：</w:t>
            </w:r>
          </w:p>
        </w:tc>
        <w:tc>
          <w:tcPr>
            <w:tcW w:w="1805" w:type="dxa"/>
            <w:tcBorders>
              <w:top w:val="single" w:color="auto" w:sz="8" w:space="0"/>
              <w:left w:val="nil"/>
              <w:bottom w:val="single" w:color="auto" w:sz="4" w:space="0"/>
              <w:right w:val="single" w:color="auto" w:sz="4" w:space="0"/>
            </w:tcBorders>
            <w:vAlign w:val="center"/>
          </w:tcPr>
          <w:p w14:paraId="47933672">
            <w:pPr>
              <w:tabs>
                <w:tab w:val="left" w:pos="5580"/>
              </w:tabs>
              <w:spacing w:line="240" w:lineRule="atLeast"/>
              <w:ind w:left="660" w:leftChars="257" w:hanging="540"/>
              <w:jc w:val="center"/>
              <w:rPr>
                <w:rFonts w:hint="eastAsia" w:ascii="宋体" w:hAnsi="宋体" w:eastAsia="宋体" w:cs="宋体"/>
                <w:sz w:val="24"/>
                <w:highlight w:val="none"/>
              </w:rPr>
            </w:pPr>
          </w:p>
        </w:tc>
        <w:tc>
          <w:tcPr>
            <w:tcW w:w="1445" w:type="dxa"/>
            <w:tcBorders>
              <w:top w:val="single" w:color="auto" w:sz="8" w:space="0"/>
              <w:left w:val="nil"/>
              <w:bottom w:val="single" w:color="auto" w:sz="4" w:space="0"/>
              <w:right w:val="single" w:color="auto" w:sz="4" w:space="0"/>
            </w:tcBorders>
            <w:vAlign w:val="center"/>
          </w:tcPr>
          <w:p w14:paraId="553DB3DE">
            <w:pPr>
              <w:tabs>
                <w:tab w:val="left" w:pos="5580"/>
              </w:tabs>
              <w:spacing w:line="240" w:lineRule="atLeast"/>
              <w:ind w:left="660" w:leftChars="257" w:hanging="540"/>
              <w:jc w:val="center"/>
              <w:rPr>
                <w:rFonts w:hint="eastAsia" w:ascii="宋体" w:hAnsi="宋体" w:eastAsia="宋体" w:cs="宋体"/>
                <w:sz w:val="24"/>
                <w:highlight w:val="none"/>
              </w:rPr>
            </w:pPr>
          </w:p>
        </w:tc>
        <w:tc>
          <w:tcPr>
            <w:tcW w:w="1016" w:type="dxa"/>
            <w:tcBorders>
              <w:top w:val="single" w:color="auto" w:sz="8" w:space="0"/>
              <w:left w:val="nil"/>
              <w:bottom w:val="single" w:color="auto" w:sz="4" w:space="0"/>
              <w:right w:val="single" w:color="auto" w:sz="4" w:space="0"/>
            </w:tcBorders>
            <w:vAlign w:val="center"/>
          </w:tcPr>
          <w:p w14:paraId="62A36F5B">
            <w:pPr>
              <w:tabs>
                <w:tab w:val="left" w:pos="5580"/>
              </w:tabs>
              <w:spacing w:line="240" w:lineRule="atLeast"/>
              <w:ind w:left="660" w:leftChars="257" w:hanging="540"/>
              <w:jc w:val="center"/>
              <w:rPr>
                <w:rFonts w:hint="eastAsia" w:ascii="宋体" w:hAnsi="宋体" w:eastAsia="宋体" w:cs="宋体"/>
                <w:sz w:val="24"/>
                <w:highlight w:val="none"/>
              </w:rPr>
            </w:pPr>
          </w:p>
        </w:tc>
        <w:tc>
          <w:tcPr>
            <w:tcW w:w="1129" w:type="dxa"/>
            <w:tcBorders>
              <w:top w:val="single" w:color="auto" w:sz="8" w:space="0"/>
              <w:left w:val="single" w:color="auto" w:sz="4" w:space="0"/>
              <w:bottom w:val="single" w:color="auto" w:sz="4" w:space="0"/>
              <w:right w:val="single" w:color="auto" w:sz="8" w:space="0"/>
            </w:tcBorders>
            <w:vAlign w:val="center"/>
          </w:tcPr>
          <w:p w14:paraId="596C5A6B">
            <w:pPr>
              <w:tabs>
                <w:tab w:val="left" w:pos="5580"/>
              </w:tabs>
              <w:spacing w:line="240" w:lineRule="atLeast"/>
              <w:ind w:left="660" w:leftChars="257" w:hanging="540"/>
              <w:jc w:val="center"/>
              <w:rPr>
                <w:rFonts w:hint="eastAsia" w:ascii="宋体" w:hAnsi="宋体" w:eastAsia="宋体" w:cs="宋体"/>
                <w:sz w:val="24"/>
                <w:highlight w:val="none"/>
              </w:rPr>
            </w:pPr>
          </w:p>
        </w:tc>
      </w:tr>
    </w:tbl>
    <w:p w14:paraId="24945C7B">
      <w:pPr>
        <w:pStyle w:val="23"/>
        <w:rPr>
          <w:rFonts w:hint="eastAsia" w:ascii="宋体" w:hAnsi="宋体" w:eastAsia="宋体" w:cs="宋体"/>
          <w:highlight w:val="none"/>
        </w:rPr>
      </w:pPr>
    </w:p>
    <w:p w14:paraId="3FAF9E8F">
      <w:pPr>
        <w:spacing w:line="100" w:lineRule="exact"/>
        <w:rPr>
          <w:rFonts w:hint="eastAsia" w:ascii="宋体" w:hAnsi="宋体" w:eastAsia="宋体" w:cs="宋体"/>
          <w:highlight w:val="none"/>
        </w:rPr>
      </w:pPr>
    </w:p>
    <w:p w14:paraId="5E470985">
      <w:pPr>
        <w:adjustRightInd w:val="0"/>
        <w:snapToGrid w:val="0"/>
        <w:spacing w:line="360" w:lineRule="auto"/>
        <w:ind w:firstLine="420" w:firstLineChars="200"/>
        <w:rPr>
          <w:rFonts w:hint="eastAsia" w:ascii="宋体" w:hAnsi="宋体" w:eastAsia="宋体" w:cs="宋体"/>
          <w:color w:val="000000"/>
          <w:sz w:val="21"/>
          <w:szCs w:val="22"/>
          <w:highlight w:val="none"/>
        </w:rPr>
      </w:pPr>
    </w:p>
    <w:p w14:paraId="5BE0F98F">
      <w:pPr>
        <w:adjustRightInd w:val="0"/>
        <w:snapToGrid w:val="0"/>
        <w:spacing w:line="360" w:lineRule="auto"/>
        <w:ind w:firstLine="420" w:firstLineChars="200"/>
        <w:rPr>
          <w:rFonts w:hint="eastAsia" w:ascii="宋体" w:hAnsi="宋体" w:eastAsia="宋体" w:cs="宋体"/>
          <w:color w:val="000000"/>
          <w:sz w:val="21"/>
          <w:szCs w:val="22"/>
          <w:highlight w:val="none"/>
        </w:rPr>
      </w:pPr>
    </w:p>
    <w:p w14:paraId="03E46623">
      <w:pPr>
        <w:adjustRightInd w:val="0"/>
        <w:snapToGrid w:val="0"/>
        <w:spacing w:line="360" w:lineRule="auto"/>
        <w:ind w:firstLine="420" w:firstLineChars="200"/>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投标人名称（</w:t>
      </w:r>
      <w:r>
        <w:rPr>
          <w:rFonts w:hint="eastAsia" w:ascii="宋体" w:hAnsi="宋体" w:eastAsia="宋体" w:cs="宋体"/>
          <w:color w:val="000000"/>
          <w:sz w:val="21"/>
          <w:szCs w:val="22"/>
          <w:highlight w:val="none"/>
          <w:lang w:eastAsia="zh-CN"/>
        </w:rPr>
        <w:t>盖章</w:t>
      </w:r>
      <w:r>
        <w:rPr>
          <w:rFonts w:hint="eastAsia" w:ascii="宋体" w:hAnsi="宋体" w:eastAsia="宋体" w:cs="宋体"/>
          <w:color w:val="000000"/>
          <w:sz w:val="21"/>
          <w:szCs w:val="22"/>
          <w:highlight w:val="none"/>
        </w:rPr>
        <w:t xml:space="preserve">）： </w:t>
      </w:r>
      <w:r>
        <w:rPr>
          <w:rFonts w:hint="eastAsia" w:ascii="宋体" w:hAnsi="宋体" w:eastAsia="宋体" w:cs="宋体"/>
          <w:color w:val="000000"/>
          <w:sz w:val="21"/>
          <w:szCs w:val="22"/>
          <w:highlight w:val="none"/>
          <w:u w:val="single"/>
          <w:lang w:val="en-US" w:eastAsia="zh-CN"/>
        </w:rPr>
        <w:t xml:space="preserve">                                        </w:t>
      </w:r>
      <w:r>
        <w:rPr>
          <w:rFonts w:hint="eastAsia" w:ascii="宋体" w:hAnsi="宋体" w:eastAsia="宋体" w:cs="宋体"/>
          <w:color w:val="000000"/>
          <w:sz w:val="21"/>
          <w:szCs w:val="22"/>
          <w:highlight w:val="none"/>
        </w:rPr>
        <w:t xml:space="preserve">                        </w:t>
      </w:r>
    </w:p>
    <w:p w14:paraId="63238E58">
      <w:pPr>
        <w:adjustRightInd w:val="0"/>
        <w:snapToGrid w:val="0"/>
        <w:spacing w:line="360" w:lineRule="auto"/>
        <w:ind w:firstLine="420" w:firstLineChars="200"/>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法定代表人（</w:t>
      </w:r>
      <w:r>
        <w:rPr>
          <w:rFonts w:hint="eastAsia" w:ascii="宋体" w:hAnsi="宋体" w:eastAsia="宋体" w:cs="宋体"/>
          <w:color w:val="000000"/>
          <w:sz w:val="21"/>
          <w:szCs w:val="22"/>
          <w:highlight w:val="none"/>
          <w:lang w:eastAsia="zh-CN"/>
        </w:rPr>
        <w:t>签字或盖章</w:t>
      </w:r>
      <w:r>
        <w:rPr>
          <w:rFonts w:hint="eastAsia" w:ascii="宋体" w:hAnsi="宋体" w:eastAsia="宋体" w:cs="宋体"/>
          <w:color w:val="000000"/>
          <w:sz w:val="21"/>
          <w:szCs w:val="22"/>
          <w:highlight w:val="none"/>
        </w:rPr>
        <w:t>）：</w:t>
      </w:r>
      <w:r>
        <w:rPr>
          <w:rFonts w:hint="eastAsia" w:ascii="宋体" w:hAnsi="宋体" w:eastAsia="宋体" w:cs="宋体"/>
          <w:color w:val="000000"/>
          <w:sz w:val="21"/>
          <w:szCs w:val="22"/>
          <w:highlight w:val="none"/>
          <w:u w:val="single"/>
          <w:lang w:val="en-US" w:eastAsia="zh-CN"/>
        </w:rPr>
        <w:t xml:space="preserve">                                        </w:t>
      </w:r>
      <w:r>
        <w:rPr>
          <w:rFonts w:hint="eastAsia" w:ascii="宋体" w:hAnsi="宋体" w:eastAsia="宋体" w:cs="宋体"/>
          <w:color w:val="000000"/>
          <w:sz w:val="21"/>
          <w:szCs w:val="22"/>
          <w:highlight w:val="none"/>
        </w:rPr>
        <w:t xml:space="preserve">                    </w:t>
      </w:r>
    </w:p>
    <w:p w14:paraId="3849BDF6">
      <w:pPr>
        <w:adjustRightInd w:val="0"/>
        <w:snapToGrid w:val="0"/>
        <w:spacing w:line="360" w:lineRule="auto"/>
        <w:ind w:firstLine="420" w:firstLineChars="200"/>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日期：   </w:t>
      </w:r>
      <w:r>
        <w:rPr>
          <w:rFonts w:hint="eastAsia" w:ascii="宋体" w:hAnsi="宋体" w:eastAsia="宋体" w:cs="宋体"/>
          <w:color w:val="000000"/>
          <w:sz w:val="21"/>
          <w:szCs w:val="22"/>
          <w:highlight w:val="none"/>
          <w:u w:val="single"/>
        </w:rPr>
        <w:t xml:space="preserve">  </w:t>
      </w:r>
      <w:r>
        <w:rPr>
          <w:rFonts w:hint="eastAsia" w:ascii="宋体" w:hAnsi="宋体" w:eastAsia="宋体" w:cs="宋体"/>
          <w:color w:val="000000"/>
          <w:sz w:val="21"/>
          <w:szCs w:val="22"/>
          <w:highlight w:val="none"/>
          <w:u w:val="single"/>
          <w:lang w:val="en-US" w:eastAsia="zh-CN"/>
        </w:rPr>
        <w:t xml:space="preserve">   </w:t>
      </w:r>
      <w:r>
        <w:rPr>
          <w:rFonts w:hint="eastAsia" w:ascii="宋体" w:hAnsi="宋体" w:eastAsia="宋体" w:cs="宋体"/>
          <w:color w:val="000000"/>
          <w:sz w:val="21"/>
          <w:szCs w:val="22"/>
          <w:highlight w:val="none"/>
        </w:rPr>
        <w:t>年</w:t>
      </w:r>
      <w:r>
        <w:rPr>
          <w:rFonts w:hint="eastAsia" w:ascii="宋体" w:hAnsi="宋体" w:eastAsia="宋体" w:cs="宋体"/>
          <w:color w:val="000000"/>
          <w:sz w:val="21"/>
          <w:szCs w:val="22"/>
          <w:highlight w:val="none"/>
          <w:u w:val="single"/>
        </w:rPr>
        <w:t xml:space="preserve">  </w:t>
      </w:r>
      <w:r>
        <w:rPr>
          <w:rFonts w:hint="eastAsia" w:ascii="宋体" w:hAnsi="宋体" w:eastAsia="宋体" w:cs="宋体"/>
          <w:color w:val="000000"/>
          <w:sz w:val="21"/>
          <w:szCs w:val="22"/>
          <w:highlight w:val="none"/>
          <w:u w:val="single"/>
          <w:lang w:val="en-US" w:eastAsia="zh-CN"/>
        </w:rPr>
        <w:t xml:space="preserve">   </w:t>
      </w:r>
      <w:r>
        <w:rPr>
          <w:rFonts w:hint="eastAsia" w:ascii="宋体" w:hAnsi="宋体" w:eastAsia="宋体" w:cs="宋体"/>
          <w:color w:val="000000"/>
          <w:sz w:val="21"/>
          <w:szCs w:val="22"/>
          <w:highlight w:val="none"/>
        </w:rPr>
        <w:t>月</w:t>
      </w:r>
      <w:r>
        <w:rPr>
          <w:rFonts w:hint="eastAsia" w:ascii="宋体" w:hAnsi="宋体" w:eastAsia="宋体" w:cs="宋体"/>
          <w:color w:val="000000"/>
          <w:sz w:val="21"/>
          <w:szCs w:val="22"/>
          <w:highlight w:val="none"/>
          <w:u w:val="single"/>
        </w:rPr>
        <w:t xml:space="preserve">  </w:t>
      </w:r>
      <w:r>
        <w:rPr>
          <w:rFonts w:hint="eastAsia" w:ascii="宋体" w:hAnsi="宋体" w:eastAsia="宋体" w:cs="宋体"/>
          <w:color w:val="000000"/>
          <w:sz w:val="21"/>
          <w:szCs w:val="22"/>
          <w:highlight w:val="none"/>
          <w:u w:val="single"/>
          <w:lang w:val="en-US" w:eastAsia="zh-CN"/>
        </w:rPr>
        <w:t xml:space="preserve">   </w:t>
      </w:r>
      <w:r>
        <w:rPr>
          <w:rFonts w:hint="eastAsia" w:ascii="宋体" w:hAnsi="宋体" w:eastAsia="宋体" w:cs="宋体"/>
          <w:color w:val="000000"/>
          <w:sz w:val="21"/>
          <w:szCs w:val="22"/>
          <w:highlight w:val="none"/>
        </w:rPr>
        <w:t>日</w:t>
      </w:r>
    </w:p>
    <w:p w14:paraId="54070740">
      <w:pPr>
        <w:adjustRightInd w:val="0"/>
        <w:snapToGrid w:val="0"/>
        <w:spacing w:line="360" w:lineRule="auto"/>
        <w:ind w:firstLine="420" w:firstLineChars="200"/>
        <w:rPr>
          <w:rFonts w:hint="eastAsia" w:ascii="宋体" w:hAnsi="宋体" w:eastAsia="宋体" w:cs="宋体"/>
          <w:color w:val="000000"/>
          <w:sz w:val="21"/>
          <w:szCs w:val="22"/>
          <w:highlight w:val="none"/>
        </w:rPr>
      </w:pPr>
    </w:p>
    <w:p w14:paraId="44731A11">
      <w:pPr>
        <w:adjustRightInd w:val="0"/>
        <w:snapToGrid w:val="0"/>
        <w:spacing w:line="360" w:lineRule="auto"/>
        <w:ind w:firstLine="420" w:firstLineChars="200"/>
        <w:rPr>
          <w:rFonts w:hint="eastAsia" w:ascii="宋体" w:hAnsi="宋体" w:eastAsia="宋体" w:cs="宋体"/>
          <w:color w:val="000000"/>
          <w:sz w:val="21"/>
          <w:szCs w:val="22"/>
          <w:highlight w:val="none"/>
        </w:rPr>
      </w:pPr>
    </w:p>
    <w:p w14:paraId="321F9BA2">
      <w:pPr>
        <w:adjustRightInd w:val="0"/>
        <w:snapToGrid w:val="0"/>
        <w:spacing w:line="360" w:lineRule="auto"/>
        <w:ind w:firstLine="420" w:firstLineChars="200"/>
        <w:rPr>
          <w:rFonts w:hint="eastAsia" w:ascii="宋体" w:hAnsi="宋体" w:eastAsia="宋体" w:cs="宋体"/>
          <w:color w:val="000000"/>
          <w:sz w:val="21"/>
          <w:szCs w:val="22"/>
          <w:highlight w:val="none"/>
          <w:lang w:val="en-US" w:eastAsia="zh-CN"/>
        </w:rPr>
      </w:pPr>
      <w:r>
        <w:rPr>
          <w:rFonts w:hint="eastAsia" w:ascii="宋体" w:hAnsi="宋体" w:eastAsia="宋体" w:cs="宋体"/>
          <w:color w:val="000000"/>
          <w:sz w:val="21"/>
          <w:szCs w:val="22"/>
          <w:highlight w:val="none"/>
        </w:rPr>
        <w:t xml:space="preserve">注： </w:t>
      </w:r>
      <w:r>
        <w:rPr>
          <w:rFonts w:hint="eastAsia" w:ascii="宋体" w:hAnsi="宋体" w:eastAsia="宋体" w:cs="宋体"/>
          <w:color w:val="000000"/>
          <w:sz w:val="21"/>
          <w:szCs w:val="22"/>
          <w:highlight w:val="none"/>
          <w:lang w:val="en-US" w:eastAsia="zh-CN"/>
        </w:rPr>
        <w:t>1、单项报价不得超过各品类单项最高限价，总价不得超过本项目最高限价，否则做无效报价处理。</w:t>
      </w:r>
    </w:p>
    <w:p w14:paraId="4F0D2FB7">
      <w:pPr>
        <w:adjustRightInd w:val="0"/>
        <w:snapToGrid w:val="0"/>
        <w:spacing w:line="360" w:lineRule="auto"/>
        <w:ind w:firstLine="420" w:firstLineChars="200"/>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lang w:val="en-US" w:eastAsia="zh-CN"/>
        </w:rPr>
        <w:t>2</w:t>
      </w:r>
      <w:r>
        <w:rPr>
          <w:rFonts w:hint="eastAsia" w:ascii="宋体" w:hAnsi="宋体" w:eastAsia="宋体" w:cs="宋体"/>
          <w:color w:val="000000"/>
          <w:sz w:val="21"/>
          <w:szCs w:val="22"/>
          <w:highlight w:val="none"/>
        </w:rPr>
        <w:t>、任何有选择或有条件的投标总价或表中某一包填写多个报价，均将导致投标被拒绝；</w:t>
      </w:r>
    </w:p>
    <w:p w14:paraId="1BE7E9FF">
      <w:pPr>
        <w:adjustRightInd w:val="0"/>
        <w:snapToGrid w:val="0"/>
        <w:spacing w:line="360" w:lineRule="auto"/>
        <w:ind w:firstLine="420" w:firstLineChars="200"/>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lang w:val="en-US" w:eastAsia="zh-CN"/>
        </w:rPr>
        <w:t>3</w:t>
      </w:r>
      <w:r>
        <w:rPr>
          <w:rFonts w:hint="eastAsia" w:ascii="宋体" w:hAnsi="宋体" w:eastAsia="宋体" w:cs="宋体"/>
          <w:color w:val="000000"/>
          <w:sz w:val="21"/>
          <w:szCs w:val="22"/>
          <w:highlight w:val="none"/>
        </w:rPr>
        <w:t>、投标报价包含完成服务成果的一切费用、售后维护费用、税费等</w:t>
      </w:r>
    </w:p>
    <w:p w14:paraId="501BB2C8">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color w:val="000000"/>
          <w:sz w:val="21"/>
          <w:szCs w:val="22"/>
          <w:highlight w:val="none"/>
          <w:lang w:val="en-US" w:eastAsia="zh-CN"/>
        </w:rPr>
        <w:t>4</w:t>
      </w:r>
      <w:r>
        <w:rPr>
          <w:rFonts w:hint="eastAsia" w:ascii="宋体" w:hAnsi="宋体" w:eastAsia="宋体" w:cs="宋体"/>
          <w:color w:val="000000"/>
          <w:sz w:val="21"/>
          <w:szCs w:val="22"/>
          <w:highlight w:val="none"/>
        </w:rPr>
        <w:t>、报价为含税金额，税票为增值税专用发票。</w:t>
      </w:r>
    </w:p>
    <w:p w14:paraId="71D9C1D6">
      <w:pPr>
        <w:spacing w:line="360" w:lineRule="auto"/>
        <w:ind w:left="210" w:leftChars="100" w:firstLine="315" w:firstLineChars="150"/>
        <w:rPr>
          <w:rFonts w:hint="eastAsia" w:ascii="宋体" w:hAnsi="宋体" w:eastAsia="宋体" w:cs="宋体"/>
          <w:color w:val="auto"/>
          <w:sz w:val="24"/>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、大写标注：壹、贰、叁、肆、伍、陆、柒、捌、玖、拾、佰、仟、万、亿。</w:t>
      </w:r>
    </w:p>
    <w:p w14:paraId="64E6E66E">
      <w:pPr>
        <w:pStyle w:val="95"/>
        <w:rPr>
          <w:rFonts w:hint="eastAsia" w:ascii="宋体" w:hAnsi="宋体" w:eastAsia="宋体" w:cs="宋体"/>
          <w:highlight w:val="none"/>
          <w:lang w:eastAsia="zh-CN"/>
        </w:rPr>
        <w:sectPr>
          <w:footerReference r:id="rId19" w:type="default"/>
          <w:type w:val="continuous"/>
          <w:pgSz w:w="11905" w:h="16838"/>
          <w:pgMar w:top="1304" w:right="964" w:bottom="1020" w:left="1191" w:header="567" w:footer="454" w:gutter="0"/>
          <w:pgNumType w:fmt="decimal"/>
          <w:cols w:space="720" w:num="1"/>
          <w:rtlGutter w:val="0"/>
          <w:docGrid w:type="lines" w:linePitch="317" w:charSpace="0"/>
        </w:sectPr>
      </w:pPr>
    </w:p>
    <w:p w14:paraId="3C0AEC0B">
      <w:pPr>
        <w:numPr>
          <w:ilvl w:val="0"/>
          <w:numId w:val="0"/>
        </w:numPr>
        <w:spacing w:line="440" w:lineRule="exact"/>
        <w:jc w:val="left"/>
        <w:rPr>
          <w:rFonts w:hint="eastAsia" w:ascii="宋体" w:hAnsi="宋体" w:eastAsia="宋体" w:cs="宋体"/>
          <w:b/>
          <w:color w:val="000000"/>
          <w:sz w:val="28"/>
          <w:szCs w:val="24"/>
          <w:highlight w:val="none"/>
          <w:lang w:val="en-US" w:eastAsia="zh-CN"/>
        </w:rPr>
      </w:pPr>
    </w:p>
    <w:p w14:paraId="7E79B5E7">
      <w:pPr>
        <w:numPr>
          <w:ilvl w:val="0"/>
          <w:numId w:val="0"/>
        </w:numPr>
        <w:spacing w:line="440" w:lineRule="exact"/>
        <w:jc w:val="left"/>
        <w:rPr>
          <w:rFonts w:hint="eastAsia" w:ascii="宋体" w:hAnsi="宋体" w:eastAsia="宋体" w:cs="宋体"/>
          <w:b/>
          <w:color w:val="000000"/>
          <w:sz w:val="28"/>
          <w:szCs w:val="24"/>
          <w:highlight w:val="none"/>
          <w:lang w:val="en-US" w:eastAsia="zh-CN"/>
        </w:rPr>
      </w:pPr>
    </w:p>
    <w:p w14:paraId="2EC5BF4F">
      <w:pPr>
        <w:numPr>
          <w:ilvl w:val="0"/>
          <w:numId w:val="0"/>
        </w:numPr>
        <w:spacing w:line="440" w:lineRule="exact"/>
        <w:jc w:val="left"/>
        <w:rPr>
          <w:rFonts w:hint="eastAsia" w:ascii="宋体" w:hAnsi="宋体" w:eastAsia="宋体" w:cs="宋体"/>
          <w:b/>
          <w:color w:val="000000"/>
          <w:sz w:val="28"/>
          <w:szCs w:val="24"/>
          <w:highlight w:val="none"/>
          <w:lang w:val="en-US" w:eastAsia="zh-CN"/>
        </w:rPr>
      </w:pPr>
      <w:r>
        <w:rPr>
          <w:rFonts w:hint="eastAsia" w:ascii="宋体" w:hAnsi="宋体" w:eastAsia="宋体" w:cs="宋体"/>
          <w:b/>
          <w:color w:val="000000"/>
          <w:sz w:val="28"/>
          <w:szCs w:val="24"/>
          <w:highlight w:val="none"/>
          <w:lang w:val="en-US" w:eastAsia="zh-CN"/>
        </w:rPr>
        <w:br w:type="page"/>
      </w:r>
    </w:p>
    <w:p w14:paraId="4D2448FE">
      <w:pPr>
        <w:numPr>
          <w:ilvl w:val="0"/>
          <w:numId w:val="0"/>
        </w:numPr>
        <w:spacing w:line="440" w:lineRule="exact"/>
        <w:jc w:val="left"/>
        <w:rPr>
          <w:rFonts w:hint="eastAsia" w:ascii="宋体" w:hAnsi="宋体" w:eastAsia="宋体" w:cs="宋体"/>
          <w:b/>
          <w:color w:val="000000"/>
          <w:sz w:val="28"/>
          <w:szCs w:val="24"/>
          <w:highlight w:val="none"/>
          <w:lang w:val="en-US" w:eastAsia="zh-CN"/>
        </w:rPr>
      </w:pPr>
      <w:r>
        <w:rPr>
          <w:rFonts w:hint="eastAsia" w:ascii="宋体" w:hAnsi="宋体" w:eastAsia="宋体" w:cs="宋体"/>
          <w:b/>
          <w:color w:val="000000"/>
          <w:sz w:val="28"/>
          <w:szCs w:val="24"/>
          <w:highlight w:val="none"/>
          <w:lang w:val="en-US" w:eastAsia="zh-CN"/>
        </w:rPr>
        <w:t>附件三</w:t>
      </w:r>
    </w:p>
    <w:p w14:paraId="7F163FE0">
      <w:pPr>
        <w:numPr>
          <w:ilvl w:val="0"/>
          <w:numId w:val="0"/>
        </w:numPr>
        <w:spacing w:line="440" w:lineRule="exact"/>
        <w:jc w:val="center"/>
        <w:rPr>
          <w:rFonts w:hint="eastAsia" w:ascii="宋体" w:hAnsi="宋体" w:eastAsia="宋体" w:cs="宋体"/>
          <w:b/>
          <w:color w:val="000000"/>
          <w:sz w:val="32"/>
          <w:szCs w:val="28"/>
          <w:highlight w:val="none"/>
          <w:lang w:val="en-US" w:eastAsia="zh-CN"/>
        </w:rPr>
      </w:pPr>
      <w:r>
        <w:rPr>
          <w:rFonts w:hint="eastAsia" w:ascii="宋体" w:hAnsi="宋体" w:eastAsia="宋体" w:cs="宋体"/>
          <w:b/>
          <w:color w:val="000000"/>
          <w:sz w:val="32"/>
          <w:szCs w:val="28"/>
          <w:highlight w:val="none"/>
          <w:lang w:val="en-US" w:eastAsia="zh-CN"/>
        </w:rPr>
        <w:t>投标报价明细表</w:t>
      </w:r>
    </w:p>
    <w:p w14:paraId="43AFF2D1">
      <w:pPr>
        <w:spacing w:line="370" w:lineRule="auto"/>
        <w:jc w:val="center"/>
        <w:rPr>
          <w:rFonts w:hint="eastAsia" w:ascii="宋体" w:hAnsi="宋体" w:eastAsia="宋体" w:cs="宋体"/>
          <w:sz w:val="21"/>
          <w:highlight w:val="none"/>
          <w:lang w:val="en-US" w:eastAsia="zh-CN"/>
        </w:rPr>
      </w:pPr>
    </w:p>
    <w:p w14:paraId="57C7D243">
      <w:pPr>
        <w:spacing w:line="370" w:lineRule="auto"/>
        <w:jc w:val="left"/>
        <w:rPr>
          <w:rFonts w:hint="eastAsia" w:ascii="宋体" w:hAnsi="宋体" w:eastAsia="宋体" w:cs="宋体"/>
          <w:spacing w:val="-2"/>
          <w:sz w:val="21"/>
          <w:szCs w:val="21"/>
          <w:highlight w:val="none"/>
          <w:u w:val="single"/>
          <w:lang w:val="en-US"/>
        </w:rPr>
      </w:pPr>
      <w:r>
        <w:rPr>
          <w:rFonts w:hint="eastAsia" w:ascii="宋体" w:hAnsi="宋体" w:eastAsia="宋体" w:cs="宋体"/>
          <w:sz w:val="21"/>
          <w:highlight w:val="none"/>
          <w:lang w:val="en-US" w:eastAsia="zh-CN"/>
        </w:rPr>
        <w:t>项目名称：</w:t>
      </w:r>
      <w:r>
        <w:rPr>
          <w:rFonts w:hint="eastAsia" w:ascii="宋体" w:hAnsi="宋体" w:eastAsia="宋体" w:cs="宋体"/>
          <w:sz w:val="21"/>
          <w:highlight w:val="none"/>
          <w:u w:val="single"/>
          <w:lang w:val="en-US" w:eastAsia="zh-CN"/>
        </w:rPr>
        <w:t xml:space="preserve">                          </w:t>
      </w:r>
    </w:p>
    <w:p w14:paraId="49ACD614">
      <w:pPr>
        <w:spacing w:before="150" w:line="185" w:lineRule="auto"/>
        <w:ind w:firstLine="605"/>
        <w:jc w:val="left"/>
        <w:rPr>
          <w:rFonts w:hint="eastAsia" w:ascii="宋体" w:hAnsi="宋体" w:eastAsia="宋体" w:cs="宋体"/>
          <w:spacing w:val="2"/>
          <w:sz w:val="24"/>
          <w:szCs w:val="24"/>
          <w:highlight w:val="none"/>
          <w:u w:val="single" w:color="auto"/>
        </w:rPr>
      </w:pPr>
      <w:r>
        <w:rPr>
          <w:rFonts w:hint="eastAsia" w:ascii="宋体" w:hAnsi="宋体" w:eastAsia="宋体" w:cs="宋体"/>
          <w:spacing w:val="-2"/>
          <w:sz w:val="21"/>
          <w:szCs w:val="21"/>
          <w:highlight w:val="none"/>
        </w:rPr>
        <w:t>项目编号：</w:t>
      </w:r>
      <w:r>
        <w:rPr>
          <w:rFonts w:hint="eastAsia" w:ascii="宋体" w:hAnsi="宋体" w:eastAsia="宋体" w:cs="宋体"/>
          <w:sz w:val="21"/>
          <w:highlight w:val="none"/>
          <w:u w:val="single"/>
          <w:lang w:val="en-US" w:eastAsia="zh-CN"/>
        </w:rPr>
        <w:t xml:space="preserve">                          </w:t>
      </w:r>
    </w:p>
    <w:p w14:paraId="28930CC5">
      <w:pPr>
        <w:spacing w:line="234" w:lineRule="exact"/>
        <w:jc w:val="left"/>
        <w:rPr>
          <w:rFonts w:hint="eastAsia" w:ascii="宋体" w:hAnsi="宋体" w:eastAsia="宋体" w:cs="宋体"/>
          <w:highlight w:val="none"/>
        </w:rPr>
      </w:pPr>
    </w:p>
    <w:tbl>
      <w:tblPr>
        <w:tblStyle w:val="180"/>
        <w:tblW w:w="93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972"/>
        <w:gridCol w:w="1755"/>
        <w:gridCol w:w="886"/>
        <w:gridCol w:w="886"/>
        <w:gridCol w:w="928"/>
        <w:gridCol w:w="1051"/>
        <w:gridCol w:w="1069"/>
        <w:gridCol w:w="1069"/>
      </w:tblGrid>
      <w:tr w14:paraId="3BC66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jc w:val="center"/>
        </w:trPr>
        <w:tc>
          <w:tcPr>
            <w:tcW w:w="770" w:type="dxa"/>
            <w:noWrap w:val="0"/>
            <w:vAlign w:val="center"/>
          </w:tcPr>
          <w:p w14:paraId="38D22E48">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序号</w:t>
            </w:r>
          </w:p>
        </w:tc>
        <w:tc>
          <w:tcPr>
            <w:tcW w:w="972" w:type="dxa"/>
            <w:noWrap w:val="0"/>
            <w:vAlign w:val="center"/>
          </w:tcPr>
          <w:p w14:paraId="614928EA">
            <w:pPr>
              <w:snapToGrid w:val="0"/>
              <w:spacing w:line="400" w:lineRule="exact"/>
              <w:ind w:left="105" w:leftChars="0" w:right="62" w:rightChars="0" w:hanging="105" w:hangingChars="5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标的名称</w:t>
            </w:r>
          </w:p>
        </w:tc>
        <w:tc>
          <w:tcPr>
            <w:tcW w:w="1755" w:type="dxa"/>
            <w:noWrap w:val="0"/>
            <w:vAlign w:val="center"/>
          </w:tcPr>
          <w:p w14:paraId="27AA1956">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规格要求</w:t>
            </w:r>
          </w:p>
        </w:tc>
        <w:tc>
          <w:tcPr>
            <w:tcW w:w="886" w:type="dxa"/>
            <w:noWrap w:val="0"/>
            <w:vAlign w:val="center"/>
          </w:tcPr>
          <w:p w14:paraId="36439DC6">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数量</w:t>
            </w:r>
          </w:p>
        </w:tc>
        <w:tc>
          <w:tcPr>
            <w:tcW w:w="886" w:type="dxa"/>
            <w:noWrap w:val="0"/>
            <w:vAlign w:val="center"/>
          </w:tcPr>
          <w:p w14:paraId="41D316AB">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单位</w:t>
            </w:r>
          </w:p>
        </w:tc>
        <w:tc>
          <w:tcPr>
            <w:tcW w:w="928" w:type="dxa"/>
            <w:noWrap w:val="0"/>
            <w:vAlign w:val="center"/>
          </w:tcPr>
          <w:p w14:paraId="6B832505">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单价（元）</w:t>
            </w:r>
          </w:p>
        </w:tc>
        <w:tc>
          <w:tcPr>
            <w:tcW w:w="1051" w:type="dxa"/>
            <w:noWrap w:val="0"/>
            <w:vAlign w:val="center"/>
          </w:tcPr>
          <w:p w14:paraId="4E795ECB">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总价（元）</w:t>
            </w:r>
          </w:p>
        </w:tc>
        <w:tc>
          <w:tcPr>
            <w:tcW w:w="1069" w:type="dxa"/>
            <w:noWrap w:val="0"/>
            <w:vAlign w:val="center"/>
          </w:tcPr>
          <w:p w14:paraId="56B0877C">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服务商/制造商</w:t>
            </w:r>
          </w:p>
        </w:tc>
        <w:tc>
          <w:tcPr>
            <w:tcW w:w="1069" w:type="dxa"/>
            <w:noWrap w:val="0"/>
            <w:vAlign w:val="center"/>
          </w:tcPr>
          <w:p w14:paraId="6F273203">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产地</w:t>
            </w:r>
          </w:p>
        </w:tc>
      </w:tr>
      <w:tr w14:paraId="18E48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770" w:type="dxa"/>
            <w:noWrap w:val="0"/>
            <w:vAlign w:val="top"/>
          </w:tcPr>
          <w:p w14:paraId="2BDE7EFE">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972" w:type="dxa"/>
            <w:noWrap w:val="0"/>
            <w:vAlign w:val="top"/>
          </w:tcPr>
          <w:p w14:paraId="6FCD7C8B">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1755" w:type="dxa"/>
            <w:noWrap w:val="0"/>
            <w:vAlign w:val="top"/>
          </w:tcPr>
          <w:p w14:paraId="08224B48">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886" w:type="dxa"/>
            <w:noWrap w:val="0"/>
            <w:vAlign w:val="top"/>
          </w:tcPr>
          <w:p w14:paraId="01ACCF1F">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886" w:type="dxa"/>
            <w:noWrap w:val="0"/>
            <w:vAlign w:val="top"/>
          </w:tcPr>
          <w:p w14:paraId="06722806">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928" w:type="dxa"/>
            <w:noWrap w:val="0"/>
            <w:vAlign w:val="top"/>
          </w:tcPr>
          <w:p w14:paraId="5F6C50C3">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1051" w:type="dxa"/>
            <w:noWrap w:val="0"/>
            <w:vAlign w:val="top"/>
          </w:tcPr>
          <w:p w14:paraId="50753929">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1069" w:type="dxa"/>
            <w:noWrap w:val="0"/>
            <w:vAlign w:val="top"/>
          </w:tcPr>
          <w:p w14:paraId="230160EB">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1069" w:type="dxa"/>
            <w:noWrap w:val="0"/>
            <w:vAlign w:val="top"/>
          </w:tcPr>
          <w:p w14:paraId="2780B5E2">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r>
      <w:tr w14:paraId="43C64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770" w:type="dxa"/>
            <w:noWrap w:val="0"/>
            <w:vAlign w:val="top"/>
          </w:tcPr>
          <w:p w14:paraId="46EB40C0">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972" w:type="dxa"/>
            <w:noWrap w:val="0"/>
            <w:vAlign w:val="top"/>
          </w:tcPr>
          <w:p w14:paraId="108B23C7">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1755" w:type="dxa"/>
            <w:noWrap w:val="0"/>
            <w:vAlign w:val="top"/>
          </w:tcPr>
          <w:p w14:paraId="11E4AEDA">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886" w:type="dxa"/>
            <w:noWrap w:val="0"/>
            <w:vAlign w:val="top"/>
          </w:tcPr>
          <w:p w14:paraId="33A9694D">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886" w:type="dxa"/>
            <w:noWrap w:val="0"/>
            <w:vAlign w:val="top"/>
          </w:tcPr>
          <w:p w14:paraId="677B5D4B">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928" w:type="dxa"/>
            <w:noWrap w:val="0"/>
            <w:vAlign w:val="top"/>
          </w:tcPr>
          <w:p w14:paraId="45B40F1B">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1051" w:type="dxa"/>
            <w:noWrap w:val="0"/>
            <w:vAlign w:val="top"/>
          </w:tcPr>
          <w:p w14:paraId="4BA5905E">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1069" w:type="dxa"/>
            <w:noWrap w:val="0"/>
            <w:vAlign w:val="top"/>
          </w:tcPr>
          <w:p w14:paraId="04A7A149">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1069" w:type="dxa"/>
            <w:noWrap w:val="0"/>
            <w:vAlign w:val="top"/>
          </w:tcPr>
          <w:p w14:paraId="2C1CD964">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r>
      <w:tr w14:paraId="7582B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770" w:type="dxa"/>
            <w:noWrap w:val="0"/>
            <w:vAlign w:val="top"/>
          </w:tcPr>
          <w:p w14:paraId="5341217D">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972" w:type="dxa"/>
            <w:noWrap w:val="0"/>
            <w:vAlign w:val="top"/>
          </w:tcPr>
          <w:p w14:paraId="29311169">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1755" w:type="dxa"/>
            <w:noWrap w:val="0"/>
            <w:vAlign w:val="top"/>
          </w:tcPr>
          <w:p w14:paraId="7611C803">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886" w:type="dxa"/>
            <w:noWrap w:val="0"/>
            <w:vAlign w:val="top"/>
          </w:tcPr>
          <w:p w14:paraId="7B178DD5">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886" w:type="dxa"/>
            <w:noWrap w:val="0"/>
            <w:vAlign w:val="top"/>
          </w:tcPr>
          <w:p w14:paraId="1726C2CF">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928" w:type="dxa"/>
            <w:noWrap w:val="0"/>
            <w:vAlign w:val="top"/>
          </w:tcPr>
          <w:p w14:paraId="2AE3CB80">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1051" w:type="dxa"/>
            <w:noWrap w:val="0"/>
            <w:vAlign w:val="top"/>
          </w:tcPr>
          <w:p w14:paraId="087D273F">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1069" w:type="dxa"/>
            <w:noWrap w:val="0"/>
            <w:vAlign w:val="top"/>
          </w:tcPr>
          <w:p w14:paraId="64697E71">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1069" w:type="dxa"/>
            <w:noWrap w:val="0"/>
            <w:vAlign w:val="top"/>
          </w:tcPr>
          <w:p w14:paraId="1AB6EA7A">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r>
      <w:tr w14:paraId="338D3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770" w:type="dxa"/>
            <w:noWrap w:val="0"/>
            <w:vAlign w:val="top"/>
          </w:tcPr>
          <w:p w14:paraId="0823EBBD">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972" w:type="dxa"/>
            <w:noWrap w:val="0"/>
            <w:vAlign w:val="top"/>
          </w:tcPr>
          <w:p w14:paraId="2B3AA091">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1755" w:type="dxa"/>
            <w:noWrap w:val="0"/>
            <w:vAlign w:val="top"/>
          </w:tcPr>
          <w:p w14:paraId="70187933">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886" w:type="dxa"/>
            <w:noWrap w:val="0"/>
            <w:vAlign w:val="top"/>
          </w:tcPr>
          <w:p w14:paraId="194CF75C">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886" w:type="dxa"/>
            <w:noWrap w:val="0"/>
            <w:vAlign w:val="top"/>
          </w:tcPr>
          <w:p w14:paraId="6E47DCF0">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928" w:type="dxa"/>
            <w:noWrap w:val="0"/>
            <w:vAlign w:val="top"/>
          </w:tcPr>
          <w:p w14:paraId="7873CECB">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1051" w:type="dxa"/>
            <w:noWrap w:val="0"/>
            <w:vAlign w:val="top"/>
          </w:tcPr>
          <w:p w14:paraId="50960ACE">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1069" w:type="dxa"/>
            <w:noWrap w:val="0"/>
            <w:vAlign w:val="top"/>
          </w:tcPr>
          <w:p w14:paraId="1CA8754F">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1069" w:type="dxa"/>
            <w:noWrap w:val="0"/>
            <w:vAlign w:val="top"/>
          </w:tcPr>
          <w:p w14:paraId="30BD5C46">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r>
      <w:tr w14:paraId="55CC5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770" w:type="dxa"/>
            <w:noWrap w:val="0"/>
            <w:vAlign w:val="top"/>
          </w:tcPr>
          <w:p w14:paraId="171DD2AA">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972" w:type="dxa"/>
            <w:noWrap w:val="0"/>
            <w:vAlign w:val="top"/>
          </w:tcPr>
          <w:p w14:paraId="2CF15C85">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1755" w:type="dxa"/>
            <w:noWrap w:val="0"/>
            <w:vAlign w:val="top"/>
          </w:tcPr>
          <w:p w14:paraId="52B1A197">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886" w:type="dxa"/>
            <w:noWrap w:val="0"/>
            <w:vAlign w:val="top"/>
          </w:tcPr>
          <w:p w14:paraId="27E93482">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886" w:type="dxa"/>
            <w:noWrap w:val="0"/>
            <w:vAlign w:val="top"/>
          </w:tcPr>
          <w:p w14:paraId="709FB962">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928" w:type="dxa"/>
            <w:noWrap w:val="0"/>
            <w:vAlign w:val="top"/>
          </w:tcPr>
          <w:p w14:paraId="5BEE689B">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1051" w:type="dxa"/>
            <w:noWrap w:val="0"/>
            <w:vAlign w:val="top"/>
          </w:tcPr>
          <w:p w14:paraId="4676C30E">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1069" w:type="dxa"/>
            <w:noWrap w:val="0"/>
            <w:vAlign w:val="top"/>
          </w:tcPr>
          <w:p w14:paraId="4426DCEC">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c>
          <w:tcPr>
            <w:tcW w:w="1069" w:type="dxa"/>
            <w:noWrap w:val="0"/>
            <w:vAlign w:val="top"/>
          </w:tcPr>
          <w:p w14:paraId="0FEF96AC">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tc>
      </w:tr>
      <w:tr w14:paraId="26D6E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jc w:val="center"/>
        </w:trPr>
        <w:tc>
          <w:tcPr>
            <w:tcW w:w="1742" w:type="dxa"/>
            <w:gridSpan w:val="2"/>
            <w:noWrap w:val="0"/>
            <w:vAlign w:val="top"/>
          </w:tcPr>
          <w:p w14:paraId="27C4318E">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p w14:paraId="743830A4">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p w14:paraId="19447B38">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p w14:paraId="2664C944">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p w14:paraId="35E67AE1">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投标总价</w:t>
            </w:r>
          </w:p>
        </w:tc>
        <w:tc>
          <w:tcPr>
            <w:tcW w:w="7644" w:type="dxa"/>
            <w:gridSpan w:val="7"/>
            <w:noWrap w:val="0"/>
            <w:vAlign w:val="top"/>
          </w:tcPr>
          <w:p w14:paraId="11A03D65">
            <w:pPr>
              <w:snapToGrid w:val="0"/>
              <w:spacing w:line="400" w:lineRule="exact"/>
              <w:ind w:left="105" w:leftChars="0" w:right="62" w:rightChars="0" w:hanging="105" w:hangingChars="50"/>
              <w:jc w:val="center"/>
              <w:rPr>
                <w:rFonts w:hint="eastAsia" w:ascii="宋体" w:hAnsi="宋体" w:eastAsia="宋体" w:cs="宋体"/>
                <w:color w:val="auto"/>
                <w:szCs w:val="21"/>
                <w:highlight w:val="none"/>
                <w:lang w:val="en-US" w:eastAsia="zh-CN"/>
              </w:rPr>
            </w:pPr>
          </w:p>
          <w:p w14:paraId="398C76CD">
            <w:pPr>
              <w:snapToGrid w:val="0"/>
              <w:spacing w:line="400" w:lineRule="exact"/>
              <w:ind w:left="105" w:leftChars="0" w:right="62" w:rightChars="0" w:hanging="105" w:hangingChars="5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21FFF31E">
            <w:pPr>
              <w:snapToGrid w:val="0"/>
              <w:spacing w:line="400" w:lineRule="exact"/>
              <w:ind w:left="105" w:leftChars="0" w:right="62" w:rightChars="0" w:hanging="105" w:hangingChars="50"/>
              <w:jc w:val="left"/>
              <w:rPr>
                <w:rFonts w:hint="eastAsia" w:ascii="宋体" w:hAnsi="宋体" w:eastAsia="宋体" w:cs="宋体"/>
                <w:color w:val="auto"/>
                <w:szCs w:val="21"/>
                <w:highlight w:val="none"/>
                <w:lang w:val="en-US" w:eastAsia="zh-CN"/>
              </w:rPr>
            </w:pPr>
          </w:p>
          <w:p w14:paraId="3BCEAF13">
            <w:pPr>
              <w:snapToGrid w:val="0"/>
              <w:spacing w:line="400" w:lineRule="exact"/>
              <w:ind w:left="105" w:leftChars="0" w:right="62" w:rightChars="0" w:hanging="105" w:hangingChars="50"/>
              <w:jc w:val="left"/>
              <w:rPr>
                <w:rFonts w:hint="eastAsia" w:ascii="宋体" w:hAnsi="宋体" w:eastAsia="宋体" w:cs="宋体"/>
                <w:color w:val="auto"/>
                <w:szCs w:val="21"/>
                <w:highlight w:val="none"/>
                <w:lang w:val="en-US" w:eastAsia="zh-CN"/>
              </w:rPr>
            </w:pPr>
          </w:p>
          <w:p w14:paraId="2DAD7571">
            <w:pPr>
              <w:snapToGrid w:val="0"/>
              <w:spacing w:line="400" w:lineRule="exact"/>
              <w:ind w:left="105" w:leftChars="0" w:right="62" w:rightChars="0" w:hanging="105" w:hangingChars="5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元</w:t>
            </w:r>
          </w:p>
          <w:p w14:paraId="72F6DC86">
            <w:pPr>
              <w:snapToGrid w:val="0"/>
              <w:spacing w:line="400" w:lineRule="exact"/>
              <w:ind w:left="105" w:leftChars="0" w:right="62" w:rightChars="0" w:hanging="105" w:hangingChars="50"/>
              <w:jc w:val="left"/>
              <w:rPr>
                <w:rFonts w:hint="eastAsia" w:ascii="宋体" w:hAnsi="宋体" w:eastAsia="宋体" w:cs="宋体"/>
                <w:color w:val="auto"/>
                <w:szCs w:val="21"/>
                <w:highlight w:val="none"/>
                <w:lang w:val="en-US" w:eastAsia="zh-CN"/>
              </w:rPr>
            </w:pPr>
          </w:p>
          <w:p w14:paraId="18F2786D">
            <w:pPr>
              <w:snapToGrid w:val="0"/>
              <w:spacing w:line="400" w:lineRule="exact"/>
              <w:ind w:left="105" w:leftChars="0" w:right="62" w:rightChars="0" w:hanging="105" w:hangingChars="50"/>
              <w:jc w:val="righ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年     月     日</w:t>
            </w:r>
          </w:p>
        </w:tc>
      </w:tr>
      <w:tr w14:paraId="6D88F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9386" w:type="dxa"/>
            <w:gridSpan w:val="9"/>
            <w:noWrap w:val="0"/>
            <w:vAlign w:val="top"/>
          </w:tcPr>
          <w:p w14:paraId="2FCB0110">
            <w:pPr>
              <w:snapToGrid w:val="0"/>
              <w:spacing w:line="400" w:lineRule="exact"/>
              <w:ind w:left="105" w:leftChars="0" w:right="62" w:rightChars="0" w:hanging="105" w:hangingChars="5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tc>
      </w:tr>
    </w:tbl>
    <w:p w14:paraId="0B9F6EF6">
      <w:pPr>
        <w:spacing w:line="245" w:lineRule="auto"/>
        <w:jc w:val="left"/>
        <w:rPr>
          <w:rFonts w:hint="eastAsia" w:ascii="宋体" w:hAnsi="宋体" w:eastAsia="宋体" w:cs="宋体"/>
          <w:sz w:val="21"/>
          <w:highlight w:val="none"/>
        </w:rPr>
      </w:pPr>
    </w:p>
    <w:p w14:paraId="21E20A6A">
      <w:pPr>
        <w:spacing w:line="245" w:lineRule="auto"/>
        <w:jc w:val="left"/>
        <w:rPr>
          <w:rFonts w:hint="eastAsia" w:ascii="宋体" w:hAnsi="宋体" w:eastAsia="宋体" w:cs="宋体"/>
          <w:sz w:val="21"/>
          <w:highlight w:val="none"/>
        </w:rPr>
      </w:pPr>
    </w:p>
    <w:p w14:paraId="32828110">
      <w:pPr>
        <w:spacing w:before="78" w:line="468" w:lineRule="exact"/>
        <w:ind w:left="195" w:leftChars="93" w:firstLine="276" w:firstLineChars="150"/>
        <w:jc w:val="left"/>
        <w:rPr>
          <w:rFonts w:hint="eastAsia" w:ascii="宋体" w:hAnsi="宋体" w:eastAsia="宋体" w:cs="宋体"/>
          <w:sz w:val="21"/>
          <w:szCs w:val="21"/>
          <w:highlight w:val="none"/>
        </w:rPr>
      </w:pPr>
      <w:r>
        <w:rPr>
          <w:rFonts w:hint="eastAsia" w:ascii="宋体" w:hAnsi="宋体" w:eastAsia="宋体" w:cs="宋体"/>
          <w:spacing w:val="-13"/>
          <w:position w:val="16"/>
          <w:sz w:val="21"/>
          <w:szCs w:val="21"/>
          <w:highlight w:val="none"/>
        </w:rPr>
        <w:t>投标人名称（</w:t>
      </w:r>
      <w:r>
        <w:rPr>
          <w:rFonts w:hint="eastAsia" w:ascii="宋体" w:hAnsi="宋体" w:eastAsia="宋体" w:cs="宋体"/>
          <w:spacing w:val="-13"/>
          <w:position w:val="16"/>
          <w:sz w:val="21"/>
          <w:szCs w:val="21"/>
          <w:highlight w:val="none"/>
          <w:lang w:eastAsia="zh-CN"/>
        </w:rPr>
        <w:t>盖章</w:t>
      </w:r>
      <w:r>
        <w:rPr>
          <w:rFonts w:hint="eastAsia" w:ascii="宋体" w:hAnsi="宋体" w:eastAsia="宋体" w:cs="宋体"/>
          <w:spacing w:val="-84"/>
          <w:position w:val="16"/>
          <w:sz w:val="21"/>
          <w:szCs w:val="21"/>
          <w:highlight w:val="none"/>
        </w:rPr>
        <w:t>）：</w:t>
      </w:r>
    </w:p>
    <w:p w14:paraId="6DC8A162">
      <w:pPr>
        <w:spacing w:before="1" w:line="204" w:lineRule="auto"/>
        <w:ind w:left="195" w:leftChars="93" w:firstLine="276" w:firstLineChars="150"/>
        <w:jc w:val="left"/>
        <w:rPr>
          <w:rFonts w:hint="eastAsia" w:ascii="宋体" w:hAnsi="宋体" w:eastAsia="宋体" w:cs="宋体"/>
          <w:sz w:val="21"/>
          <w:szCs w:val="21"/>
          <w:highlight w:val="none"/>
        </w:rPr>
      </w:pPr>
      <w:r>
        <w:rPr>
          <w:rFonts w:hint="eastAsia" w:ascii="宋体" w:hAnsi="宋体" w:eastAsia="宋体" w:cs="宋体"/>
          <w:spacing w:val="-13"/>
          <w:sz w:val="21"/>
          <w:szCs w:val="21"/>
          <w:highlight w:val="none"/>
        </w:rPr>
        <w:t>法定代表人（</w:t>
      </w:r>
      <w:r>
        <w:rPr>
          <w:rFonts w:hint="eastAsia" w:ascii="宋体" w:hAnsi="宋体" w:eastAsia="宋体" w:cs="宋体"/>
          <w:spacing w:val="-13"/>
          <w:sz w:val="21"/>
          <w:szCs w:val="21"/>
          <w:highlight w:val="none"/>
          <w:lang w:eastAsia="zh-CN"/>
        </w:rPr>
        <w:t>签字或盖章</w:t>
      </w:r>
      <w:r>
        <w:rPr>
          <w:rFonts w:hint="eastAsia" w:ascii="宋体" w:hAnsi="宋体" w:eastAsia="宋体" w:cs="宋体"/>
          <w:spacing w:val="-84"/>
          <w:sz w:val="21"/>
          <w:szCs w:val="21"/>
          <w:highlight w:val="none"/>
        </w:rPr>
        <w:t>）：</w:t>
      </w:r>
    </w:p>
    <w:p w14:paraId="45A92AB5">
      <w:pPr>
        <w:adjustRightInd w:val="0"/>
        <w:snapToGrid w:val="0"/>
        <w:spacing w:line="360" w:lineRule="auto"/>
        <w:ind w:left="210" w:leftChars="100" w:firstLine="315" w:firstLineChars="150"/>
        <w:jc w:val="left"/>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 xml:space="preserve">日期：   </w:t>
      </w:r>
      <w:r>
        <w:rPr>
          <w:rFonts w:hint="eastAsia" w:ascii="宋体" w:hAnsi="宋体" w:eastAsia="宋体" w:cs="宋体"/>
          <w:color w:val="000000"/>
          <w:sz w:val="21"/>
          <w:szCs w:val="22"/>
          <w:highlight w:val="none"/>
          <w:u w:val="single"/>
        </w:rPr>
        <w:t xml:space="preserve">  </w:t>
      </w:r>
      <w:r>
        <w:rPr>
          <w:rFonts w:hint="eastAsia" w:ascii="宋体" w:hAnsi="宋体" w:eastAsia="宋体" w:cs="宋体"/>
          <w:color w:val="000000"/>
          <w:sz w:val="21"/>
          <w:szCs w:val="22"/>
          <w:highlight w:val="none"/>
          <w:u w:val="single"/>
          <w:lang w:val="en-US" w:eastAsia="zh-CN"/>
        </w:rPr>
        <w:t xml:space="preserve">   </w:t>
      </w:r>
      <w:r>
        <w:rPr>
          <w:rFonts w:hint="eastAsia" w:ascii="宋体" w:hAnsi="宋体" w:eastAsia="宋体" w:cs="宋体"/>
          <w:color w:val="000000"/>
          <w:sz w:val="21"/>
          <w:szCs w:val="22"/>
          <w:highlight w:val="none"/>
        </w:rPr>
        <w:t>年</w:t>
      </w:r>
      <w:r>
        <w:rPr>
          <w:rFonts w:hint="eastAsia" w:ascii="宋体" w:hAnsi="宋体" w:eastAsia="宋体" w:cs="宋体"/>
          <w:color w:val="000000"/>
          <w:sz w:val="21"/>
          <w:szCs w:val="22"/>
          <w:highlight w:val="none"/>
          <w:u w:val="single"/>
        </w:rPr>
        <w:t xml:space="preserve">  </w:t>
      </w:r>
      <w:r>
        <w:rPr>
          <w:rFonts w:hint="eastAsia" w:ascii="宋体" w:hAnsi="宋体" w:eastAsia="宋体" w:cs="宋体"/>
          <w:color w:val="000000"/>
          <w:sz w:val="21"/>
          <w:szCs w:val="22"/>
          <w:highlight w:val="none"/>
          <w:u w:val="single"/>
          <w:lang w:val="en-US" w:eastAsia="zh-CN"/>
        </w:rPr>
        <w:t xml:space="preserve">   </w:t>
      </w:r>
      <w:r>
        <w:rPr>
          <w:rFonts w:hint="eastAsia" w:ascii="宋体" w:hAnsi="宋体" w:eastAsia="宋体" w:cs="宋体"/>
          <w:color w:val="000000"/>
          <w:sz w:val="21"/>
          <w:szCs w:val="22"/>
          <w:highlight w:val="none"/>
        </w:rPr>
        <w:t>月</w:t>
      </w:r>
      <w:r>
        <w:rPr>
          <w:rFonts w:hint="eastAsia" w:ascii="宋体" w:hAnsi="宋体" w:eastAsia="宋体" w:cs="宋体"/>
          <w:color w:val="000000"/>
          <w:sz w:val="21"/>
          <w:szCs w:val="22"/>
          <w:highlight w:val="none"/>
          <w:u w:val="single"/>
        </w:rPr>
        <w:t xml:space="preserve">  </w:t>
      </w:r>
      <w:r>
        <w:rPr>
          <w:rFonts w:hint="eastAsia" w:ascii="宋体" w:hAnsi="宋体" w:eastAsia="宋体" w:cs="宋体"/>
          <w:color w:val="000000"/>
          <w:sz w:val="21"/>
          <w:szCs w:val="22"/>
          <w:highlight w:val="none"/>
          <w:u w:val="single"/>
          <w:lang w:val="en-US" w:eastAsia="zh-CN"/>
        </w:rPr>
        <w:t xml:space="preserve">   </w:t>
      </w:r>
      <w:r>
        <w:rPr>
          <w:rFonts w:hint="eastAsia" w:ascii="宋体" w:hAnsi="宋体" w:eastAsia="宋体" w:cs="宋体"/>
          <w:color w:val="000000"/>
          <w:sz w:val="21"/>
          <w:szCs w:val="22"/>
          <w:highlight w:val="none"/>
        </w:rPr>
        <w:t>日</w:t>
      </w:r>
    </w:p>
    <w:p w14:paraId="44C3A5CD">
      <w:pPr>
        <w:spacing w:before="79" w:line="185" w:lineRule="auto"/>
        <w:ind w:left="1075" w:leftChars="114" w:hanging="836" w:hangingChars="440"/>
        <w:jc w:val="left"/>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注：</w:t>
      </w:r>
      <w:r>
        <w:rPr>
          <w:rFonts w:hint="eastAsia" w:ascii="宋体" w:hAnsi="宋体" w:eastAsia="宋体" w:cs="宋体"/>
          <w:spacing w:val="-10"/>
          <w:sz w:val="21"/>
          <w:szCs w:val="21"/>
          <w:highlight w:val="none"/>
          <w:lang w:val="en-US" w:eastAsia="zh-CN"/>
        </w:rPr>
        <w:t xml:space="preserve"> </w:t>
      </w:r>
      <w:r>
        <w:rPr>
          <w:rFonts w:hint="eastAsia" w:ascii="宋体" w:hAnsi="宋体" w:eastAsia="宋体" w:cs="宋体"/>
          <w:spacing w:val="-10"/>
          <w:sz w:val="21"/>
          <w:szCs w:val="21"/>
          <w:highlight w:val="none"/>
        </w:rPr>
        <w:t>1</w:t>
      </w:r>
      <w:r>
        <w:rPr>
          <w:rFonts w:hint="eastAsia" w:ascii="宋体" w:hAnsi="宋体" w:eastAsia="宋体" w:cs="宋体"/>
          <w:spacing w:val="-34"/>
          <w:sz w:val="21"/>
          <w:szCs w:val="21"/>
          <w:highlight w:val="none"/>
        </w:rPr>
        <w:t xml:space="preserve"> </w:t>
      </w:r>
      <w:r>
        <w:rPr>
          <w:rFonts w:hint="eastAsia" w:ascii="宋体" w:hAnsi="宋体" w:eastAsia="宋体" w:cs="宋体"/>
          <w:spacing w:val="-10"/>
          <w:sz w:val="21"/>
          <w:szCs w:val="21"/>
          <w:highlight w:val="none"/>
        </w:rPr>
        <w:t>、投标人必须填写报价明细表</w:t>
      </w:r>
      <w:r>
        <w:rPr>
          <w:rFonts w:hint="eastAsia" w:ascii="宋体" w:hAnsi="宋体" w:eastAsia="宋体" w:cs="宋体"/>
          <w:spacing w:val="-10"/>
          <w:sz w:val="21"/>
          <w:szCs w:val="21"/>
          <w:highlight w:val="none"/>
          <w:lang w:eastAsia="zh-CN"/>
        </w:rPr>
        <w:t>且</w:t>
      </w:r>
      <w:r>
        <w:rPr>
          <w:rFonts w:hint="eastAsia" w:ascii="宋体" w:hAnsi="宋体" w:eastAsia="宋体" w:cs="宋体"/>
          <w:spacing w:val="-10"/>
          <w:sz w:val="21"/>
          <w:szCs w:val="21"/>
          <w:highlight w:val="none"/>
          <w:lang w:val="en-US" w:eastAsia="zh-CN"/>
        </w:rPr>
        <w:t>明细表中需包含服务需求表中所有内容，</w:t>
      </w:r>
      <w:r>
        <w:rPr>
          <w:rFonts w:hint="eastAsia" w:ascii="宋体" w:hAnsi="宋体" w:eastAsia="宋体" w:cs="宋体"/>
          <w:spacing w:val="-10"/>
          <w:sz w:val="21"/>
          <w:szCs w:val="21"/>
          <w:highlight w:val="none"/>
        </w:rPr>
        <w:t>否则将导致投标被拒绝。</w:t>
      </w:r>
    </w:p>
    <w:p w14:paraId="3B898B82">
      <w:pPr>
        <w:spacing w:before="228" w:line="185" w:lineRule="auto"/>
        <w:ind w:firstLine="564" w:firstLineChars="300"/>
        <w:jc w:val="left"/>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2、报价分析表中的“投标总价”应等于“开标一览表”中的“投标总价”。</w:t>
      </w:r>
    </w:p>
    <w:p w14:paraId="0180D128">
      <w:pPr>
        <w:spacing w:before="227" w:line="185" w:lineRule="auto"/>
        <w:ind w:firstLine="612" w:firstLineChars="300"/>
        <w:jc w:val="left"/>
        <w:outlineLvl w:val="2"/>
        <w:rPr>
          <w:rFonts w:hint="eastAsia" w:ascii="宋体" w:hAnsi="宋体" w:eastAsia="宋体" w:cs="宋体"/>
          <w:sz w:val="21"/>
          <w:szCs w:val="21"/>
          <w:highlight w:val="none"/>
          <w:lang w:eastAsia="zh-CN"/>
        </w:rPr>
        <w:sectPr>
          <w:footerReference r:id="rId20" w:type="default"/>
          <w:type w:val="continuous"/>
          <w:pgSz w:w="11905" w:h="16838"/>
          <w:pgMar w:top="1304" w:right="964" w:bottom="1020" w:left="1191" w:header="567" w:footer="454" w:gutter="0"/>
          <w:pgNumType w:fmt="decimal"/>
          <w:cols w:space="720" w:num="1"/>
          <w:rtlGutter w:val="0"/>
          <w:docGrid w:type="lines" w:linePitch="317" w:charSpace="0"/>
        </w:sectPr>
      </w:pPr>
      <w:bookmarkStart w:id="276" w:name="_Toc15566"/>
      <w:r>
        <w:rPr>
          <w:rFonts w:hint="eastAsia" w:ascii="宋体" w:hAnsi="宋体" w:eastAsia="宋体" w:cs="宋体"/>
          <w:spacing w:val="-3"/>
          <w:sz w:val="21"/>
          <w:szCs w:val="21"/>
          <w:highlight w:val="none"/>
        </w:rPr>
        <w:t>3、报价项目填报不下的，可自行扩</w:t>
      </w:r>
      <w:r>
        <w:rPr>
          <w:rFonts w:hint="eastAsia" w:ascii="宋体" w:hAnsi="宋体" w:eastAsia="宋体" w:cs="宋体"/>
          <w:spacing w:val="-3"/>
          <w:sz w:val="21"/>
          <w:szCs w:val="21"/>
          <w:highlight w:val="none"/>
          <w:lang w:val="en-US" w:eastAsia="zh-CN"/>
        </w:rPr>
        <w:t>展</w:t>
      </w:r>
      <w:bookmarkEnd w:id="276"/>
    </w:p>
    <w:p w14:paraId="1AB277EF">
      <w:pPr>
        <w:numPr>
          <w:ilvl w:val="0"/>
          <w:numId w:val="0"/>
        </w:numPr>
        <w:spacing w:line="440" w:lineRule="exact"/>
        <w:jc w:val="both"/>
        <w:outlineLvl w:val="1"/>
        <w:rPr>
          <w:rFonts w:hint="eastAsia" w:ascii="宋体" w:hAnsi="宋体" w:eastAsia="宋体" w:cs="宋体"/>
          <w:b/>
          <w:color w:val="000000"/>
          <w:sz w:val="28"/>
          <w:szCs w:val="24"/>
          <w:highlight w:val="none"/>
          <w:lang w:val="en-US" w:eastAsia="zh-CN"/>
        </w:rPr>
      </w:pPr>
      <w:bookmarkStart w:id="277" w:name="_Toc23314"/>
      <w:bookmarkStart w:id="278" w:name="_Toc8739"/>
    </w:p>
    <w:p w14:paraId="4BF9DD35">
      <w:pPr>
        <w:numPr>
          <w:ilvl w:val="0"/>
          <w:numId w:val="0"/>
        </w:numPr>
        <w:spacing w:line="440" w:lineRule="exact"/>
        <w:jc w:val="both"/>
        <w:outlineLvl w:val="1"/>
        <w:rPr>
          <w:rFonts w:hint="eastAsia" w:ascii="宋体" w:hAnsi="宋体" w:eastAsia="宋体" w:cs="宋体"/>
          <w:b/>
          <w:color w:val="000000"/>
          <w:sz w:val="28"/>
          <w:szCs w:val="24"/>
          <w:highlight w:val="none"/>
          <w:lang w:val="en-US" w:eastAsia="zh-CN"/>
        </w:rPr>
      </w:pPr>
    </w:p>
    <w:p w14:paraId="42645851">
      <w:pPr>
        <w:numPr>
          <w:ilvl w:val="0"/>
          <w:numId w:val="0"/>
        </w:numPr>
        <w:spacing w:line="440" w:lineRule="exact"/>
        <w:jc w:val="both"/>
        <w:outlineLvl w:val="1"/>
        <w:rPr>
          <w:rFonts w:hint="eastAsia" w:ascii="宋体" w:hAnsi="宋体" w:eastAsia="宋体" w:cs="宋体"/>
          <w:b/>
          <w:color w:val="000000"/>
          <w:sz w:val="28"/>
          <w:szCs w:val="24"/>
          <w:highlight w:val="none"/>
          <w:lang w:val="en-US" w:eastAsia="zh-CN"/>
        </w:rPr>
      </w:pPr>
    </w:p>
    <w:p w14:paraId="22BBA36F">
      <w:pPr>
        <w:numPr>
          <w:ilvl w:val="0"/>
          <w:numId w:val="0"/>
        </w:numPr>
        <w:spacing w:line="440" w:lineRule="exact"/>
        <w:jc w:val="both"/>
        <w:outlineLvl w:val="1"/>
        <w:rPr>
          <w:rFonts w:hint="eastAsia" w:ascii="宋体" w:hAnsi="宋体" w:eastAsia="宋体" w:cs="宋体"/>
          <w:b/>
          <w:color w:val="000000"/>
          <w:sz w:val="28"/>
          <w:szCs w:val="24"/>
          <w:highlight w:val="none"/>
          <w:lang w:val="en-US" w:eastAsia="zh-CN"/>
        </w:rPr>
      </w:pPr>
      <w:r>
        <w:rPr>
          <w:rFonts w:hint="eastAsia" w:ascii="宋体" w:hAnsi="宋体" w:eastAsia="宋体" w:cs="宋体"/>
          <w:b/>
          <w:color w:val="000000"/>
          <w:sz w:val="28"/>
          <w:szCs w:val="24"/>
          <w:highlight w:val="none"/>
          <w:lang w:val="en-US" w:eastAsia="zh-CN"/>
        </w:rPr>
        <w:t>附件</w:t>
      </w:r>
      <w:bookmarkEnd w:id="277"/>
      <w:bookmarkEnd w:id="278"/>
      <w:r>
        <w:rPr>
          <w:rFonts w:hint="eastAsia" w:ascii="宋体" w:hAnsi="宋体" w:eastAsia="宋体" w:cs="宋体"/>
          <w:b/>
          <w:color w:val="000000"/>
          <w:sz w:val="28"/>
          <w:szCs w:val="24"/>
          <w:highlight w:val="none"/>
          <w:lang w:val="en-US" w:eastAsia="zh-CN"/>
        </w:rPr>
        <w:t>四</w:t>
      </w:r>
    </w:p>
    <w:p w14:paraId="348B9C61">
      <w:pPr>
        <w:jc w:val="center"/>
        <w:rPr>
          <w:rFonts w:hint="eastAsia" w:ascii="宋体" w:hAnsi="宋体" w:eastAsia="宋体" w:cs="宋体"/>
          <w:b/>
          <w:color w:val="000000"/>
          <w:sz w:val="32"/>
          <w:szCs w:val="28"/>
          <w:highlight w:val="none"/>
        </w:rPr>
      </w:pPr>
      <w:r>
        <w:rPr>
          <w:rFonts w:hint="eastAsia" w:ascii="宋体" w:hAnsi="宋体" w:eastAsia="宋体" w:cs="宋体"/>
          <w:b/>
          <w:color w:val="000000"/>
          <w:sz w:val="32"/>
          <w:szCs w:val="28"/>
          <w:highlight w:val="none"/>
        </w:rPr>
        <w:t>投标单位简介</w:t>
      </w:r>
    </w:p>
    <w:p w14:paraId="6E427CD2">
      <w:pP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 xml:space="preserve">    </w:t>
      </w:r>
    </w:p>
    <w:p w14:paraId="7195F066">
      <w:pPr>
        <w:ind w:firstLine="482" w:firstLineChars="20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投标人自行编制</w:t>
      </w:r>
    </w:p>
    <w:p w14:paraId="1A98F588">
      <w:pPr>
        <w:ind w:firstLine="482" w:firstLineChars="200"/>
        <w:rPr>
          <w:rFonts w:hint="eastAsia" w:ascii="宋体" w:hAnsi="宋体" w:eastAsia="宋体" w:cs="宋体"/>
          <w:b/>
          <w:color w:val="000000"/>
          <w:sz w:val="24"/>
          <w:szCs w:val="24"/>
          <w:highlight w:val="none"/>
        </w:rPr>
      </w:pPr>
    </w:p>
    <w:p w14:paraId="7B16DD41">
      <w:pPr>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后附：投标人单位相关资质证件</w:t>
      </w:r>
    </w:p>
    <w:p w14:paraId="0E157A08">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235399AB">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1CAE5F13">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7503FFFD">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48632D6F">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6B076F4F">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25AD926D">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2057C300">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4C638B35">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661255E8">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13F7ABDD">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3DC5C930">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320286CF">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081D1581">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013970E8">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5BD5A88D">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0A2AEB0F">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6D7A5A9C">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1664FFA9">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1CB80989">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4D9C29AE">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46133E0B">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296ECEB0">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6571C219">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3C9BA8B4">
      <w:pPr>
        <w:pStyle w:val="41"/>
        <w:spacing w:line="240" w:lineRule="auto"/>
        <w:ind w:left="0" w:leftChars="0" w:firstLine="0" w:firstLineChars="0"/>
        <w:jc w:val="both"/>
        <w:rPr>
          <w:rFonts w:hint="eastAsia" w:ascii="宋体" w:hAnsi="宋体" w:eastAsia="宋体" w:cs="宋体"/>
          <w:b/>
          <w:color w:val="000000"/>
          <w:sz w:val="28"/>
          <w:szCs w:val="24"/>
          <w:highlight w:val="none"/>
          <w:lang w:val="en-US" w:eastAsia="zh-CN"/>
        </w:rPr>
      </w:pPr>
    </w:p>
    <w:p w14:paraId="5F6B9922">
      <w:pPr>
        <w:pStyle w:val="41"/>
        <w:spacing w:line="240" w:lineRule="auto"/>
        <w:ind w:left="0" w:leftChars="0" w:firstLine="0" w:firstLineChars="0"/>
        <w:jc w:val="both"/>
        <w:rPr>
          <w:rFonts w:hint="eastAsia" w:ascii="宋体" w:hAnsi="宋体" w:eastAsia="宋体" w:cs="宋体"/>
          <w:b/>
          <w:color w:val="000000"/>
          <w:sz w:val="32"/>
          <w:szCs w:val="28"/>
          <w:highlight w:val="none"/>
          <w:lang w:val="en-US" w:eastAsia="zh-CN"/>
        </w:rPr>
      </w:pPr>
      <w:r>
        <w:rPr>
          <w:rFonts w:hint="eastAsia" w:ascii="宋体" w:hAnsi="宋体" w:eastAsia="宋体" w:cs="宋体"/>
          <w:b/>
          <w:color w:val="000000"/>
          <w:sz w:val="28"/>
          <w:szCs w:val="24"/>
          <w:highlight w:val="none"/>
          <w:lang w:val="en-US" w:eastAsia="zh-CN"/>
        </w:rPr>
        <w:t>附件五</w:t>
      </w:r>
    </w:p>
    <w:p w14:paraId="4664424C">
      <w:pPr>
        <w:pStyle w:val="41"/>
        <w:spacing w:line="240" w:lineRule="auto"/>
        <w:ind w:left="0" w:leftChars="0" w:firstLine="0" w:firstLineChars="0"/>
        <w:jc w:val="center"/>
        <w:rPr>
          <w:rFonts w:hint="eastAsia" w:ascii="宋体" w:hAnsi="宋体" w:eastAsia="宋体" w:cs="宋体"/>
          <w:b/>
          <w:color w:val="000000"/>
          <w:sz w:val="32"/>
          <w:szCs w:val="28"/>
          <w:highlight w:val="none"/>
          <w:lang w:eastAsia="zh-CN"/>
        </w:rPr>
      </w:pPr>
      <w:r>
        <w:rPr>
          <w:rFonts w:hint="eastAsia" w:ascii="宋体" w:hAnsi="宋体" w:eastAsia="宋体" w:cs="宋体"/>
          <w:b/>
          <w:color w:val="000000"/>
          <w:sz w:val="32"/>
          <w:szCs w:val="28"/>
          <w:highlight w:val="none"/>
        </w:rPr>
        <w:t>出具法人营业执照函</w:t>
      </w:r>
    </w:p>
    <w:p w14:paraId="0D0101CD">
      <w:pPr>
        <w:rPr>
          <w:rFonts w:hint="eastAsia" w:ascii="宋体" w:hAnsi="宋体" w:eastAsia="宋体" w:cs="宋体"/>
          <w:color w:val="000000"/>
          <w:sz w:val="28"/>
          <w:szCs w:val="28"/>
          <w:highlight w:val="none"/>
        </w:rPr>
      </w:pPr>
    </w:p>
    <w:p w14:paraId="4541D8F1">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F891821">
      <w:pPr>
        <w:rPr>
          <w:rFonts w:hint="eastAsia" w:ascii="宋体" w:hAnsi="宋体" w:eastAsia="宋体" w:cs="宋体"/>
          <w:color w:val="000000"/>
          <w:sz w:val="21"/>
          <w:szCs w:val="21"/>
          <w:highlight w:val="none"/>
        </w:rPr>
      </w:pPr>
    </w:p>
    <w:p w14:paraId="515FF07A">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现附上由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（签发机关名称）签发的我方法人营业执照复印件，该执照已经年检，真实有效。</w:t>
      </w:r>
    </w:p>
    <w:p w14:paraId="469F5B44">
      <w:pPr>
        <w:ind w:firstLine="852"/>
        <w:rPr>
          <w:rFonts w:hint="eastAsia" w:ascii="宋体" w:hAnsi="宋体" w:eastAsia="宋体" w:cs="宋体"/>
          <w:color w:val="000000"/>
          <w:sz w:val="21"/>
          <w:szCs w:val="21"/>
          <w:highlight w:val="none"/>
        </w:rPr>
      </w:pPr>
    </w:p>
    <w:p w14:paraId="75AB4E6B">
      <w:pPr>
        <w:ind w:firstLine="852"/>
        <w:rPr>
          <w:rFonts w:hint="eastAsia" w:ascii="宋体" w:hAnsi="宋体" w:eastAsia="宋体" w:cs="宋体"/>
          <w:color w:val="000000"/>
          <w:sz w:val="21"/>
          <w:szCs w:val="21"/>
          <w:highlight w:val="none"/>
        </w:rPr>
      </w:pPr>
    </w:p>
    <w:p w14:paraId="7164F0B7">
      <w:pPr>
        <w:ind w:firstLine="852"/>
        <w:rPr>
          <w:rFonts w:hint="eastAsia" w:ascii="宋体" w:hAnsi="宋体" w:eastAsia="宋体" w:cs="宋体"/>
          <w:color w:val="000000"/>
          <w:sz w:val="21"/>
          <w:szCs w:val="21"/>
          <w:highlight w:val="none"/>
        </w:rPr>
      </w:pPr>
    </w:p>
    <w:p w14:paraId="4F8AF692">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投标单位名称</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盖章</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14:paraId="7EC5B84E">
      <w:pPr>
        <w:rPr>
          <w:rFonts w:hint="eastAsia" w:ascii="宋体" w:hAnsi="宋体" w:eastAsia="宋体" w:cs="宋体"/>
          <w:color w:val="000000"/>
          <w:sz w:val="21"/>
          <w:szCs w:val="21"/>
          <w:highlight w:val="none"/>
        </w:rPr>
      </w:pPr>
    </w:p>
    <w:p w14:paraId="790159A3">
      <w:pPr>
        <w:rPr>
          <w:rFonts w:hint="eastAsia" w:ascii="宋体" w:hAnsi="宋体" w:eastAsia="宋体" w:cs="宋体"/>
          <w:color w:val="000000"/>
          <w:sz w:val="21"/>
          <w:szCs w:val="21"/>
          <w:highlight w:val="none"/>
        </w:rPr>
      </w:pPr>
    </w:p>
    <w:p w14:paraId="71B24FEB">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签字或</w:t>
      </w:r>
      <w:r>
        <w:rPr>
          <w:rFonts w:hint="eastAsia" w:ascii="宋体" w:hAnsi="宋体" w:eastAsia="宋体" w:cs="宋体"/>
          <w:color w:val="000000"/>
          <w:sz w:val="21"/>
          <w:szCs w:val="21"/>
          <w:highlight w:val="none"/>
        </w:rPr>
        <w:t>盖章）</w:t>
      </w:r>
      <w:r>
        <w:rPr>
          <w:rFonts w:hint="eastAsia" w:ascii="宋体" w:hAnsi="宋体" w:eastAsia="宋体" w:cs="宋体"/>
          <w:color w:val="000000"/>
          <w:sz w:val="21"/>
          <w:szCs w:val="21"/>
          <w:highlight w:val="none"/>
          <w:u w:val="single"/>
        </w:rPr>
        <w:t xml:space="preserve">                </w:t>
      </w:r>
    </w:p>
    <w:p w14:paraId="60B48DBF">
      <w:pPr>
        <w:rPr>
          <w:rFonts w:hint="eastAsia" w:ascii="宋体" w:hAnsi="宋体" w:eastAsia="宋体" w:cs="宋体"/>
          <w:color w:val="000000"/>
          <w:sz w:val="21"/>
          <w:szCs w:val="21"/>
          <w:highlight w:val="none"/>
        </w:rPr>
      </w:pPr>
    </w:p>
    <w:p w14:paraId="5A7EEE6D">
      <w:pPr>
        <w:rPr>
          <w:rFonts w:hint="eastAsia" w:ascii="宋体" w:hAnsi="宋体" w:eastAsia="宋体" w:cs="宋体"/>
          <w:color w:val="000000"/>
          <w:sz w:val="21"/>
          <w:szCs w:val="21"/>
          <w:highlight w:val="none"/>
        </w:rPr>
      </w:pPr>
    </w:p>
    <w:p w14:paraId="168A53AE">
      <w:pPr>
        <w:ind w:firstLine="2879" w:firstLineChars="1371"/>
        <w:jc w:val="right"/>
        <w:rPr>
          <w:rFonts w:hint="eastAsia" w:ascii="宋体" w:hAnsi="宋体" w:eastAsia="宋体" w:cs="宋体"/>
          <w:highlight w:val="none"/>
        </w:rPr>
      </w:pPr>
      <w:r>
        <w:rPr>
          <w:rFonts w:hint="eastAsia" w:ascii="宋体" w:hAnsi="宋体" w:eastAsia="宋体" w:cs="宋体"/>
          <w:color w:val="000000"/>
          <w:sz w:val="21"/>
          <w:szCs w:val="21"/>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7DF47B7F">
      <w:pPr>
        <w:jc w:val="right"/>
        <w:rPr>
          <w:rFonts w:hint="eastAsia" w:ascii="宋体" w:hAnsi="宋体" w:eastAsia="宋体" w:cs="宋体"/>
          <w:color w:val="000000"/>
          <w:sz w:val="21"/>
          <w:szCs w:val="21"/>
          <w:highlight w:val="none"/>
        </w:rPr>
      </w:pPr>
    </w:p>
    <w:p w14:paraId="7B2862B4">
      <w:pPr>
        <w:rPr>
          <w:rFonts w:hint="eastAsia" w:ascii="宋体" w:hAnsi="宋体" w:eastAsia="宋体" w:cs="宋体"/>
          <w:color w:val="000000"/>
          <w:sz w:val="21"/>
          <w:szCs w:val="21"/>
          <w:highlight w:val="none"/>
        </w:rPr>
      </w:pPr>
    </w:p>
    <w:p w14:paraId="1A7D0105">
      <w:pPr>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后附：投标单位三合一营业执照复印件</w:t>
      </w:r>
    </w:p>
    <w:p w14:paraId="339647DD">
      <w:pPr>
        <w:pStyle w:val="23"/>
        <w:overflowPunct w:val="0"/>
        <w:snapToGrid w:val="0"/>
        <w:spacing w:line="360" w:lineRule="auto"/>
        <w:ind w:firstLine="0"/>
        <w:rPr>
          <w:rFonts w:hint="eastAsia" w:ascii="宋体" w:hAnsi="宋体" w:eastAsia="宋体" w:cs="宋体"/>
          <w:color w:val="000000"/>
          <w:sz w:val="21"/>
          <w:szCs w:val="21"/>
          <w:highlight w:val="none"/>
          <w:lang w:eastAsia="zh-CN"/>
        </w:rPr>
      </w:pPr>
    </w:p>
    <w:p w14:paraId="286B7EEC">
      <w:pPr>
        <w:rPr>
          <w:rFonts w:hint="eastAsia" w:ascii="宋体" w:hAnsi="宋体" w:eastAsia="宋体" w:cs="宋体"/>
          <w:color w:val="000000"/>
          <w:sz w:val="24"/>
          <w:szCs w:val="24"/>
          <w:highlight w:val="none"/>
          <w:lang w:eastAsia="zh-CN"/>
        </w:rPr>
      </w:pPr>
    </w:p>
    <w:p w14:paraId="0445EEA1">
      <w:pPr>
        <w:pStyle w:val="7"/>
        <w:outlineLvl w:val="9"/>
        <w:rPr>
          <w:rFonts w:hint="eastAsia" w:ascii="宋体" w:hAnsi="宋体" w:eastAsia="宋体" w:cs="宋体"/>
          <w:color w:val="000000"/>
          <w:sz w:val="24"/>
          <w:szCs w:val="24"/>
          <w:highlight w:val="none"/>
          <w:lang w:eastAsia="zh-CN"/>
        </w:rPr>
      </w:pPr>
    </w:p>
    <w:p w14:paraId="55ED82FF">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07EE0291">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3CE9FC28">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1B538FC8">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01698726">
      <w:pPr>
        <w:numPr>
          <w:ilvl w:val="0"/>
          <w:numId w:val="0"/>
        </w:numPr>
        <w:spacing w:line="440" w:lineRule="exact"/>
        <w:jc w:val="both"/>
        <w:rPr>
          <w:rFonts w:hint="eastAsia" w:ascii="宋体" w:hAnsi="宋体" w:eastAsia="宋体" w:cs="宋体"/>
          <w:b/>
          <w:color w:val="000000"/>
          <w:sz w:val="28"/>
          <w:szCs w:val="24"/>
          <w:highlight w:val="none"/>
          <w:lang w:val="en-US" w:eastAsia="zh-CN"/>
        </w:rPr>
      </w:pPr>
    </w:p>
    <w:p w14:paraId="4C20D250">
      <w:pPr>
        <w:numPr>
          <w:ilvl w:val="0"/>
          <w:numId w:val="0"/>
        </w:numPr>
        <w:spacing w:line="440" w:lineRule="exact"/>
        <w:jc w:val="both"/>
        <w:rPr>
          <w:rFonts w:hint="eastAsia" w:ascii="宋体" w:hAnsi="宋体" w:eastAsia="宋体" w:cs="宋体"/>
          <w:b/>
          <w:color w:val="000000"/>
          <w:sz w:val="28"/>
          <w:szCs w:val="24"/>
          <w:highlight w:val="none"/>
          <w:lang w:val="en-US" w:eastAsia="zh-CN"/>
        </w:rPr>
      </w:pPr>
      <w:r>
        <w:rPr>
          <w:rFonts w:hint="eastAsia" w:ascii="宋体" w:hAnsi="宋体" w:eastAsia="宋体" w:cs="宋体"/>
          <w:b/>
          <w:color w:val="000000"/>
          <w:sz w:val="28"/>
          <w:szCs w:val="24"/>
          <w:highlight w:val="none"/>
          <w:lang w:val="en-US" w:eastAsia="zh-CN"/>
        </w:rPr>
        <w:t>附件六</w:t>
      </w:r>
    </w:p>
    <w:p w14:paraId="0D021105">
      <w:pPr>
        <w:jc w:val="center"/>
        <w:rPr>
          <w:rFonts w:hint="eastAsia" w:ascii="宋体" w:hAnsi="宋体" w:eastAsia="宋体" w:cs="宋体"/>
          <w:sz w:val="28"/>
          <w:highlight w:val="none"/>
        </w:rPr>
      </w:pPr>
    </w:p>
    <w:p w14:paraId="03BC216D">
      <w:pPr>
        <w:jc w:val="center"/>
        <w:outlineLvl w:val="2"/>
        <w:rPr>
          <w:rFonts w:hint="eastAsia" w:ascii="宋体" w:hAnsi="宋体" w:eastAsia="宋体" w:cs="宋体"/>
          <w:b/>
          <w:sz w:val="32"/>
          <w:szCs w:val="32"/>
          <w:highlight w:val="none"/>
          <w:lang w:eastAsia="zh-CN"/>
        </w:rPr>
      </w:pPr>
      <w:bookmarkStart w:id="279" w:name="_Toc1239"/>
      <w:bookmarkStart w:id="280" w:name="_Toc25844"/>
      <w:r>
        <w:rPr>
          <w:rFonts w:hint="eastAsia" w:ascii="宋体" w:hAnsi="宋体" w:eastAsia="宋体" w:cs="宋体"/>
          <w:b/>
          <w:sz w:val="32"/>
          <w:szCs w:val="32"/>
          <w:highlight w:val="none"/>
        </w:rPr>
        <w:t>联合体协议书</w:t>
      </w:r>
      <w:bookmarkEnd w:id="279"/>
      <w:bookmarkEnd w:id="280"/>
      <w:r>
        <w:rPr>
          <w:rFonts w:hint="eastAsia" w:ascii="宋体" w:hAnsi="宋体" w:eastAsia="宋体" w:cs="宋体"/>
          <w:b/>
          <w:sz w:val="32"/>
          <w:szCs w:val="32"/>
          <w:highlight w:val="none"/>
          <w:lang w:eastAsia="zh-CN"/>
        </w:rPr>
        <w:t>（</w:t>
      </w:r>
      <w:r>
        <w:rPr>
          <w:rFonts w:hint="eastAsia" w:ascii="宋体" w:hAnsi="宋体" w:eastAsia="宋体" w:cs="宋体"/>
          <w:b/>
          <w:sz w:val="32"/>
          <w:szCs w:val="32"/>
          <w:highlight w:val="none"/>
          <w:lang w:val="en-US" w:eastAsia="zh-CN"/>
        </w:rPr>
        <w:t>如是</w:t>
      </w:r>
      <w:r>
        <w:rPr>
          <w:rFonts w:hint="eastAsia" w:ascii="宋体" w:hAnsi="宋体" w:eastAsia="宋体" w:cs="宋体"/>
          <w:b/>
          <w:sz w:val="32"/>
          <w:szCs w:val="32"/>
          <w:highlight w:val="none"/>
          <w:lang w:eastAsia="zh-CN"/>
        </w:rPr>
        <w:t>）</w:t>
      </w:r>
    </w:p>
    <w:p w14:paraId="0D9B8D94">
      <w:pPr>
        <w:jc w:val="center"/>
        <w:rPr>
          <w:rFonts w:hint="eastAsia" w:ascii="宋体" w:hAnsi="宋体" w:eastAsia="宋体" w:cs="宋体"/>
          <w:sz w:val="30"/>
          <w:szCs w:val="30"/>
          <w:highlight w:val="none"/>
        </w:rPr>
      </w:pPr>
    </w:p>
    <w:p w14:paraId="15748B95">
      <w:pPr>
        <w:topLinePunct/>
        <w:spacing w:line="440" w:lineRule="exact"/>
        <w:ind w:left="210" w:leftChars="100" w:firstLine="210" w:firstLineChars="10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（所有成员单位名称）自愿组成联合体，共同参加</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（项目名称）投标。现就联合体投标事宜订立如下协议。</w:t>
      </w:r>
    </w:p>
    <w:p w14:paraId="79D383DE">
      <w:pPr>
        <w:topLinePunct/>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（某成员单位名称）为牵头人。</w:t>
      </w:r>
    </w:p>
    <w:p w14:paraId="7C84BEBD">
      <w:pPr>
        <w:topLinePunct/>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73B81F6">
      <w:pPr>
        <w:topLinePunct/>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3、联合体将严格按照招标文件的各项要求，递交投标文件，履行合同，并对外承担连带责任。</w:t>
      </w:r>
    </w:p>
    <w:p w14:paraId="720D5B4B">
      <w:pPr>
        <w:topLinePunct/>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4、联合体各成员单位内部的职责分工如下：</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74AAD52B">
      <w:pPr>
        <w:topLinePunct/>
        <w:spacing w:line="440" w:lineRule="exact"/>
        <w:ind w:firstLine="420" w:firstLineChars="200"/>
        <w:outlineLvl w:val="2"/>
        <w:rPr>
          <w:rFonts w:hint="eastAsia" w:ascii="宋体" w:hAnsi="宋体" w:eastAsia="宋体" w:cs="宋体"/>
          <w:szCs w:val="21"/>
          <w:highlight w:val="none"/>
        </w:rPr>
      </w:pPr>
      <w:bookmarkStart w:id="281" w:name="_Toc14243"/>
      <w:r>
        <w:rPr>
          <w:rFonts w:hint="eastAsia" w:ascii="宋体" w:hAnsi="宋体" w:eastAsia="宋体" w:cs="宋体"/>
          <w:szCs w:val="21"/>
          <w:highlight w:val="none"/>
        </w:rPr>
        <w:t>5、本协议书自签署之日起生效，合同履行完毕后自动失效。</w:t>
      </w:r>
      <w:bookmarkEnd w:id="281"/>
      <w:r>
        <w:rPr>
          <w:rFonts w:hint="eastAsia" w:ascii="宋体" w:hAnsi="宋体" w:eastAsia="宋体" w:cs="宋体"/>
          <w:szCs w:val="21"/>
          <w:highlight w:val="none"/>
        </w:rPr>
        <w:t xml:space="preserve"> </w:t>
      </w:r>
    </w:p>
    <w:p w14:paraId="60632746">
      <w:pPr>
        <w:topLinePunct/>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6、本协议书一式</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份，联合体成员和招标人各执</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w:t>
      </w:r>
    </w:p>
    <w:p w14:paraId="762249D4">
      <w:pPr>
        <w:topLinePunct/>
        <w:spacing w:line="440" w:lineRule="exact"/>
        <w:rPr>
          <w:rFonts w:hint="eastAsia" w:ascii="宋体" w:hAnsi="宋体" w:eastAsia="宋体" w:cs="宋体"/>
          <w:szCs w:val="21"/>
          <w:highlight w:val="none"/>
        </w:rPr>
      </w:pPr>
    </w:p>
    <w:p w14:paraId="3DB2BE0D">
      <w:pPr>
        <w:topLinePunct/>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注：本协议书由委托代理人签字的，应附法定代表人签字的授权委托书。</w:t>
      </w:r>
    </w:p>
    <w:p w14:paraId="6A06E2A8">
      <w:pPr>
        <w:topLinePunct/>
        <w:spacing w:line="440" w:lineRule="exact"/>
        <w:rPr>
          <w:rFonts w:hint="eastAsia" w:ascii="宋体" w:hAnsi="宋体" w:eastAsia="宋体" w:cs="宋体"/>
          <w:szCs w:val="21"/>
          <w:highlight w:val="none"/>
        </w:rPr>
      </w:pPr>
    </w:p>
    <w:p w14:paraId="5ED27C79">
      <w:pPr>
        <w:topLinePunct/>
        <w:spacing w:line="440" w:lineRule="exact"/>
        <w:rPr>
          <w:rFonts w:hint="eastAsia" w:ascii="宋体" w:hAnsi="宋体" w:eastAsia="宋体" w:cs="宋体"/>
          <w:szCs w:val="21"/>
          <w:highlight w:val="none"/>
        </w:rPr>
      </w:pPr>
      <w:r>
        <w:rPr>
          <w:rFonts w:hint="eastAsia" w:ascii="宋体" w:hAnsi="宋体" w:eastAsia="宋体" w:cs="宋体"/>
          <w:szCs w:val="21"/>
          <w:highlight w:val="none"/>
        </w:rPr>
        <w:t>牵头人名称：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（盖章）</w:t>
      </w:r>
    </w:p>
    <w:p w14:paraId="12B2ED49">
      <w:pPr>
        <w:topLinePunct/>
        <w:spacing w:line="440" w:lineRule="exact"/>
        <w:rPr>
          <w:rFonts w:hint="eastAsia" w:ascii="宋体" w:hAnsi="宋体" w:eastAsia="宋体" w:cs="宋体"/>
          <w:szCs w:val="21"/>
          <w:highlight w:val="none"/>
        </w:rPr>
      </w:pPr>
      <w:r>
        <w:rPr>
          <w:rFonts w:hint="eastAsia" w:ascii="宋体" w:hAnsi="宋体" w:eastAsia="宋体" w:cs="宋体"/>
          <w:szCs w:val="21"/>
          <w:highlight w:val="none"/>
        </w:rPr>
        <w:t>法定代表人或其委托代理人：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eastAsia="宋体" w:cs="宋体"/>
          <w:szCs w:val="21"/>
          <w:highlight w:val="none"/>
          <w:lang w:val="en-US" w:eastAsia="zh-CN"/>
        </w:rPr>
        <w:t>或盖章</w:t>
      </w:r>
      <w:r>
        <w:rPr>
          <w:rFonts w:hint="eastAsia" w:ascii="宋体" w:hAnsi="宋体" w:eastAsia="宋体" w:cs="宋体"/>
          <w:szCs w:val="21"/>
          <w:highlight w:val="none"/>
        </w:rPr>
        <w:t>）</w:t>
      </w:r>
    </w:p>
    <w:p w14:paraId="60748A99">
      <w:pPr>
        <w:topLinePunct/>
        <w:spacing w:line="440" w:lineRule="exact"/>
        <w:rPr>
          <w:rFonts w:hint="eastAsia" w:ascii="宋体" w:hAnsi="宋体" w:eastAsia="宋体" w:cs="宋体"/>
          <w:szCs w:val="21"/>
          <w:highlight w:val="none"/>
        </w:rPr>
      </w:pPr>
    </w:p>
    <w:p w14:paraId="02BB9662">
      <w:pPr>
        <w:topLinePunct/>
        <w:spacing w:line="440" w:lineRule="exact"/>
        <w:rPr>
          <w:rFonts w:hint="eastAsia" w:ascii="宋体" w:hAnsi="宋体" w:eastAsia="宋体" w:cs="宋体"/>
          <w:szCs w:val="21"/>
          <w:highlight w:val="none"/>
        </w:rPr>
      </w:pPr>
      <w:r>
        <w:rPr>
          <w:rFonts w:hint="eastAsia" w:ascii="宋体" w:hAnsi="宋体" w:eastAsia="宋体" w:cs="宋体"/>
          <w:szCs w:val="21"/>
          <w:highlight w:val="none"/>
        </w:rPr>
        <w:t>成员一名称：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（盖章）</w:t>
      </w:r>
    </w:p>
    <w:p w14:paraId="078B9923">
      <w:pPr>
        <w:topLinePunct/>
        <w:spacing w:line="440" w:lineRule="exact"/>
        <w:rPr>
          <w:rFonts w:hint="eastAsia" w:ascii="宋体" w:hAnsi="宋体" w:eastAsia="宋体" w:cs="宋体"/>
          <w:szCs w:val="21"/>
          <w:highlight w:val="none"/>
        </w:rPr>
      </w:pPr>
      <w:r>
        <w:rPr>
          <w:rFonts w:hint="eastAsia" w:ascii="宋体" w:hAnsi="宋体" w:eastAsia="宋体" w:cs="宋体"/>
          <w:szCs w:val="21"/>
          <w:highlight w:val="none"/>
        </w:rPr>
        <w:t>法定代表人或其委托代理人：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eastAsia="宋体" w:cs="宋体"/>
          <w:szCs w:val="21"/>
          <w:highlight w:val="none"/>
          <w:lang w:val="en-US" w:eastAsia="zh-CN"/>
        </w:rPr>
        <w:t>或盖章</w:t>
      </w:r>
      <w:r>
        <w:rPr>
          <w:rFonts w:hint="eastAsia" w:ascii="宋体" w:hAnsi="宋体" w:eastAsia="宋体" w:cs="宋体"/>
          <w:szCs w:val="21"/>
          <w:highlight w:val="none"/>
        </w:rPr>
        <w:t>）</w:t>
      </w:r>
    </w:p>
    <w:p w14:paraId="6B61C587">
      <w:pPr>
        <w:topLinePunct/>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53CB31E7">
      <w:pPr>
        <w:topLinePunct/>
        <w:spacing w:line="440" w:lineRule="exact"/>
        <w:rPr>
          <w:rFonts w:hint="eastAsia" w:ascii="宋体" w:hAnsi="宋体" w:eastAsia="宋体" w:cs="宋体"/>
          <w:szCs w:val="21"/>
          <w:highlight w:val="none"/>
        </w:rPr>
      </w:pPr>
      <w:r>
        <w:rPr>
          <w:rFonts w:hint="eastAsia" w:ascii="宋体" w:hAnsi="宋体" w:eastAsia="宋体" w:cs="宋体"/>
          <w:szCs w:val="21"/>
          <w:highlight w:val="none"/>
        </w:rPr>
        <w:t>成员二名称：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（盖章）</w:t>
      </w:r>
    </w:p>
    <w:p w14:paraId="2E6D9472">
      <w:pPr>
        <w:topLinePunct/>
        <w:spacing w:line="440" w:lineRule="exact"/>
        <w:rPr>
          <w:rFonts w:hint="eastAsia" w:ascii="宋体" w:hAnsi="宋体" w:eastAsia="宋体" w:cs="宋体"/>
          <w:szCs w:val="21"/>
          <w:highlight w:val="none"/>
        </w:rPr>
      </w:pPr>
      <w:r>
        <w:rPr>
          <w:rFonts w:hint="eastAsia" w:ascii="宋体" w:hAnsi="宋体" w:eastAsia="宋体" w:cs="宋体"/>
          <w:szCs w:val="21"/>
          <w:highlight w:val="none"/>
        </w:rPr>
        <w:t>法定代表人或其委托代理人：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eastAsia="宋体" w:cs="宋体"/>
          <w:szCs w:val="21"/>
          <w:highlight w:val="none"/>
          <w:lang w:val="en-US" w:eastAsia="zh-CN"/>
        </w:rPr>
        <w:t>或盖章</w:t>
      </w:r>
      <w:r>
        <w:rPr>
          <w:rFonts w:hint="eastAsia" w:ascii="宋体" w:hAnsi="宋体" w:eastAsia="宋体" w:cs="宋体"/>
          <w:szCs w:val="21"/>
          <w:highlight w:val="none"/>
        </w:rPr>
        <w:t>）</w:t>
      </w:r>
    </w:p>
    <w:p w14:paraId="0A7944E2">
      <w:pPr>
        <w:topLinePunct/>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282D68E3">
      <w:pPr>
        <w:topLinePunct/>
        <w:spacing w:line="440" w:lineRule="exact"/>
        <w:rPr>
          <w:rFonts w:hint="eastAsia" w:ascii="宋体" w:hAnsi="宋体" w:eastAsia="宋体" w:cs="宋体"/>
          <w:szCs w:val="21"/>
          <w:highlight w:val="none"/>
        </w:rPr>
      </w:pPr>
    </w:p>
    <w:p w14:paraId="788659FD">
      <w:pPr>
        <w:ind w:firstLine="2879" w:firstLineChars="1371"/>
        <w:jc w:val="right"/>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63D22A24">
      <w:pPr>
        <w:jc w:val="left"/>
        <w:rPr>
          <w:rFonts w:hint="eastAsia" w:ascii="宋体" w:hAnsi="宋体" w:eastAsia="宋体" w:cs="宋体"/>
          <w:b/>
          <w:color w:val="000000"/>
          <w:sz w:val="28"/>
          <w:szCs w:val="24"/>
          <w:highlight w:val="none"/>
          <w:lang w:val="en-US" w:eastAsia="zh-CN"/>
        </w:rPr>
      </w:pPr>
      <w:r>
        <w:rPr>
          <w:rFonts w:hint="eastAsia" w:ascii="宋体" w:hAnsi="宋体" w:eastAsia="宋体" w:cs="宋体"/>
          <w:sz w:val="24"/>
          <w:szCs w:val="18"/>
          <w:highlight w:val="none"/>
        </w:rPr>
        <w:br w:type="page"/>
      </w:r>
    </w:p>
    <w:p w14:paraId="59764CEF">
      <w:pPr>
        <w:rPr>
          <w:rFonts w:hint="eastAsia" w:ascii="宋体" w:hAnsi="宋体" w:eastAsia="宋体" w:cs="宋体"/>
          <w:highlight w:val="none"/>
          <w:lang w:eastAsia="zh-CN"/>
        </w:rPr>
        <w:sectPr>
          <w:type w:val="continuous"/>
          <w:pgSz w:w="11905" w:h="16838"/>
          <w:pgMar w:top="1304" w:right="964" w:bottom="1020" w:left="1191" w:header="567" w:footer="454" w:gutter="0"/>
          <w:pgNumType w:fmt="decimal"/>
          <w:cols w:space="720" w:num="1"/>
          <w:rtlGutter w:val="0"/>
          <w:docGrid w:type="lines" w:linePitch="317" w:charSpace="0"/>
        </w:sectPr>
      </w:pPr>
    </w:p>
    <w:p w14:paraId="5A69893C">
      <w:pPr>
        <w:pStyle w:val="41"/>
        <w:spacing w:line="240" w:lineRule="auto"/>
        <w:ind w:left="0" w:leftChars="0" w:firstLine="0" w:firstLineChars="0"/>
        <w:jc w:val="both"/>
        <w:outlineLvl w:val="2"/>
        <w:rPr>
          <w:rFonts w:hint="eastAsia" w:ascii="宋体" w:hAnsi="宋体" w:eastAsia="宋体" w:cs="宋体"/>
          <w:b/>
          <w:color w:val="000000"/>
          <w:sz w:val="28"/>
          <w:szCs w:val="24"/>
          <w:highlight w:val="none"/>
          <w:lang w:val="en-US" w:eastAsia="zh-CN"/>
        </w:rPr>
      </w:pPr>
      <w:bookmarkStart w:id="282" w:name="_Toc1542"/>
      <w:r>
        <w:rPr>
          <w:rFonts w:hint="eastAsia" w:ascii="宋体" w:hAnsi="宋体" w:eastAsia="宋体" w:cs="宋体"/>
          <w:b/>
          <w:color w:val="000000"/>
          <w:sz w:val="28"/>
          <w:szCs w:val="24"/>
          <w:highlight w:val="none"/>
          <w:lang w:val="en-US" w:eastAsia="zh-CN"/>
        </w:rPr>
        <w:t>附件</w:t>
      </w:r>
      <w:bookmarkEnd w:id="282"/>
      <w:r>
        <w:rPr>
          <w:rFonts w:hint="eastAsia" w:ascii="宋体" w:hAnsi="宋体" w:eastAsia="宋体" w:cs="宋体"/>
          <w:b/>
          <w:color w:val="000000"/>
          <w:sz w:val="28"/>
          <w:szCs w:val="24"/>
          <w:highlight w:val="none"/>
          <w:lang w:val="en-US" w:eastAsia="zh-CN"/>
        </w:rPr>
        <w:t>七</w:t>
      </w:r>
    </w:p>
    <w:p w14:paraId="31E5360D">
      <w:pPr>
        <w:pStyle w:val="41"/>
        <w:spacing w:line="240" w:lineRule="auto"/>
        <w:ind w:left="0" w:leftChars="0" w:firstLine="0" w:firstLineChars="0"/>
        <w:jc w:val="center"/>
        <w:rPr>
          <w:rFonts w:hint="eastAsia" w:ascii="宋体" w:hAnsi="宋体" w:eastAsia="宋体" w:cs="宋体"/>
          <w:b/>
          <w:color w:val="000000"/>
          <w:szCs w:val="28"/>
          <w:highlight w:val="none"/>
          <w:lang w:val="en-US" w:eastAsia="zh-CN"/>
        </w:rPr>
      </w:pPr>
      <w:r>
        <w:rPr>
          <w:rFonts w:hint="eastAsia" w:ascii="宋体" w:hAnsi="宋体" w:eastAsia="宋体" w:cs="宋体"/>
          <w:b/>
          <w:color w:val="000000"/>
          <w:sz w:val="32"/>
          <w:szCs w:val="28"/>
          <w:highlight w:val="none"/>
        </w:rPr>
        <w:t>法定代表人身份证</w:t>
      </w:r>
      <w:r>
        <w:rPr>
          <w:rFonts w:hint="eastAsia" w:ascii="宋体" w:hAnsi="宋体" w:eastAsia="宋体" w:cs="宋体"/>
          <w:b/>
          <w:color w:val="000000"/>
          <w:sz w:val="32"/>
          <w:szCs w:val="28"/>
          <w:highlight w:val="none"/>
          <w:lang w:val="en-US" w:eastAsia="zh-CN"/>
        </w:rPr>
        <w:t>明</w:t>
      </w:r>
    </w:p>
    <w:p w14:paraId="2901ED11">
      <w:pPr>
        <w:autoSpaceDE w:val="0"/>
        <w:autoSpaceDN w:val="0"/>
        <w:adjustRightInd w:val="0"/>
        <w:ind w:left="120" w:hanging="120"/>
        <w:rPr>
          <w:rFonts w:hint="eastAsia" w:ascii="宋体" w:hAnsi="宋体" w:eastAsia="宋体" w:cs="宋体"/>
          <w:sz w:val="24"/>
          <w:highlight w:val="none"/>
          <w:lang w:val="zh-CN"/>
        </w:rPr>
      </w:pPr>
    </w:p>
    <w:p w14:paraId="689D4A0C">
      <w:pPr>
        <w:spacing w:line="460" w:lineRule="exact"/>
        <w:ind w:left="120" w:hanging="120"/>
        <w:rPr>
          <w:rFonts w:hint="eastAsia" w:ascii="宋体" w:hAnsi="宋体" w:eastAsia="宋体" w:cs="宋体"/>
          <w:sz w:val="24"/>
          <w:highlight w:val="none"/>
          <w:u w:val="singl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p>
    <w:p w14:paraId="155FCA12">
      <w:pPr>
        <w:spacing w:line="460" w:lineRule="exact"/>
        <w:ind w:left="120" w:hanging="120"/>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14:paraId="0331F1AE">
      <w:pPr>
        <w:spacing w:line="460" w:lineRule="exact"/>
        <w:ind w:left="120" w:hanging="120"/>
        <w:rPr>
          <w:rFonts w:hint="eastAsia" w:ascii="宋体" w:hAnsi="宋体" w:eastAsia="宋体" w:cs="宋体"/>
          <w:sz w:val="24"/>
          <w:highlight w:val="none"/>
        </w:rPr>
      </w:pPr>
      <w:r>
        <w:rPr>
          <w:rFonts w:hint="eastAsia" w:ascii="宋体" w:hAnsi="宋体" w:eastAsia="宋体" w:cs="宋体"/>
          <w:sz w:val="24"/>
          <w:highlight w:val="none"/>
        </w:rPr>
        <w:t>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职务：</w:t>
      </w:r>
      <w:r>
        <w:rPr>
          <w:rFonts w:hint="eastAsia" w:ascii="宋体" w:hAnsi="宋体" w:eastAsia="宋体" w:cs="宋体"/>
          <w:sz w:val="24"/>
          <w:highlight w:val="none"/>
          <w:u w:val="single"/>
        </w:rPr>
        <w:t xml:space="preserve">             </w:t>
      </w:r>
    </w:p>
    <w:p w14:paraId="7D3157EC">
      <w:pPr>
        <w:spacing w:line="460" w:lineRule="exact"/>
        <w:ind w:left="120" w:hanging="120"/>
        <w:rPr>
          <w:rFonts w:hint="eastAsia" w:ascii="宋体" w:hAnsi="宋体" w:eastAsia="宋体" w:cs="宋体"/>
          <w:sz w:val="24"/>
          <w:highlight w:val="none"/>
        </w:rPr>
      </w:pPr>
      <w:r>
        <w:rPr>
          <w:rFonts w:hint="eastAsia" w:ascii="宋体" w:hAnsi="宋体" w:eastAsia="宋体" w:cs="宋体"/>
          <w:sz w:val="24"/>
          <w:highlight w:val="none"/>
        </w:rPr>
        <w:t xml:space="preserve">系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14:paraId="06CFBE51">
      <w:pPr>
        <w:spacing w:line="460" w:lineRule="exact"/>
        <w:ind w:left="120" w:hanging="120"/>
        <w:rPr>
          <w:rFonts w:hint="eastAsia" w:ascii="宋体" w:hAnsi="宋体" w:eastAsia="宋体" w:cs="宋体"/>
          <w:sz w:val="24"/>
          <w:highlight w:val="none"/>
        </w:rPr>
      </w:pPr>
    </w:p>
    <w:p w14:paraId="1F97880D">
      <w:pPr>
        <w:autoSpaceDE w:val="0"/>
        <w:autoSpaceDN w:val="0"/>
        <w:adjustRightInd w:val="0"/>
        <w:spacing w:line="320" w:lineRule="exact"/>
        <w:ind w:left="0" w:leftChars="0" w:firstLine="0" w:firstLineChars="0"/>
        <w:rPr>
          <w:rFonts w:hint="eastAsia" w:ascii="宋体" w:hAnsi="宋体" w:eastAsia="宋体" w:cs="宋体"/>
          <w:sz w:val="24"/>
          <w:highlight w:val="none"/>
          <w:lang w:val="zh-CN"/>
        </w:rPr>
      </w:pPr>
    </w:p>
    <w:p w14:paraId="2FCDC42E">
      <w:pPr>
        <w:autoSpaceDE w:val="0"/>
        <w:autoSpaceDN w:val="0"/>
        <w:adjustRightInd w:val="0"/>
        <w:spacing w:line="320" w:lineRule="exact"/>
        <w:ind w:left="120" w:hanging="120"/>
        <w:rPr>
          <w:rFonts w:hint="eastAsia" w:ascii="宋体" w:hAnsi="宋体" w:eastAsia="宋体" w:cs="宋体"/>
          <w:sz w:val="24"/>
          <w:highlight w:val="none"/>
          <w:lang w:val="zh-CN"/>
        </w:rPr>
      </w:pPr>
    </w:p>
    <w:p w14:paraId="1C2DDCED">
      <w:pPr>
        <w:autoSpaceDE w:val="0"/>
        <w:autoSpaceDN w:val="0"/>
        <w:adjustRightInd w:val="0"/>
        <w:spacing w:line="320" w:lineRule="exact"/>
        <w:ind w:left="120" w:hanging="120"/>
        <w:rPr>
          <w:rFonts w:hint="eastAsia" w:ascii="宋体" w:hAnsi="宋体" w:eastAsia="宋体" w:cs="宋体"/>
          <w:sz w:val="24"/>
          <w:highlight w:val="none"/>
          <w:lang w:val="zh-CN"/>
        </w:rPr>
      </w:pPr>
    </w:p>
    <w:p w14:paraId="600D1B93">
      <w:pPr>
        <w:autoSpaceDE w:val="0"/>
        <w:autoSpaceDN w:val="0"/>
        <w:adjustRightInd w:val="0"/>
        <w:spacing w:line="320" w:lineRule="exact"/>
        <w:ind w:left="120" w:hanging="120"/>
        <w:rPr>
          <w:rFonts w:hint="eastAsia" w:ascii="宋体" w:hAnsi="宋体" w:eastAsia="宋体" w:cs="宋体"/>
          <w:sz w:val="24"/>
          <w:highlight w:val="none"/>
          <w:lang w:val="zh-CN"/>
        </w:rPr>
      </w:pPr>
      <w:r>
        <w:rPr>
          <w:rFonts w:hint="eastAsia" w:ascii="宋体" w:hAnsi="宋体" w:eastAsia="宋体" w:cs="宋体"/>
          <w:bCs/>
          <w:sz w:val="24"/>
          <w:highlight w:val="none"/>
        </w:rPr>
        <mc:AlternateContent>
          <mc:Choice Requires="wps">
            <w:drawing>
              <wp:anchor distT="0" distB="0" distL="114300" distR="114300" simplePos="0" relativeHeight="251664384" behindDoc="0" locked="0" layoutInCell="1" allowOverlap="1">
                <wp:simplePos x="0" y="0"/>
                <wp:positionH relativeFrom="column">
                  <wp:posOffset>2790825</wp:posOffset>
                </wp:positionH>
                <wp:positionV relativeFrom="paragraph">
                  <wp:posOffset>145415</wp:posOffset>
                </wp:positionV>
                <wp:extent cx="2472690" cy="1263650"/>
                <wp:effectExtent l="4445" t="4445" r="18415" b="8255"/>
                <wp:wrapNone/>
                <wp:docPr id="24" name="文本框 24"/>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674155B8">
                            <w:pPr>
                              <w:ind w:left="140" w:hanging="140"/>
                              <w:jc w:val="center"/>
                              <w:rPr>
                                <w:sz w:val="28"/>
                                <w:szCs w:val="28"/>
                              </w:rPr>
                            </w:pPr>
                            <w:r>
                              <w:rPr>
                                <w:rFonts w:hint="eastAsia"/>
                                <w:sz w:val="28"/>
                                <w:szCs w:val="28"/>
                              </w:rPr>
                              <w:t>法人身份证复印件背面</w:t>
                            </w:r>
                          </w:p>
                        </w:txbxContent>
                      </wps:txbx>
                      <wps:bodyPr vert="horz" wrap="square" anchor="t" anchorCtr="0" upright="1"/>
                    </wps:wsp>
                  </a:graphicData>
                </a:graphic>
              </wp:anchor>
            </w:drawing>
          </mc:Choice>
          <mc:Fallback>
            <w:pict>
              <v:shape id="_x0000_s1026" o:spid="_x0000_s1026" o:spt="202" type="#_x0000_t202" style="position:absolute;left:0pt;margin-left:219.75pt;margin-top:11.45pt;height:99.5pt;width:194.7pt;z-index:251664384;mso-width-relative:page;mso-height-relative:page;" fillcolor="#FFFFFF" filled="t" stroked="t" coordsize="21600,21600" o:gfxdata="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ByrmjZAAAACgEAAA8AAAAAAAAAAQAgAAAAIgAAAGRycy9kb3ducmV2&#10;LnhtbFBLAQIUABQAAAAIAIdO4kBasME0NAIAAHoEAAAOAAAAAAAAAAEAIAAAACgBAABkcnMvZTJv&#10;RG9jLnhtbFBLBQYAAAAABgAGAFkBAADOBQAAAAA=&#10;">
                <v:fill on="t" focussize="0,0"/>
                <v:stroke color="#000000" joinstyle="miter" dashstyle="1 1" endcap="round"/>
                <v:imagedata o:title=""/>
                <o:lock v:ext="edit" aspectratio="f"/>
                <v:textbox>
                  <w:txbxContent>
                    <w:p w14:paraId="674155B8">
                      <w:pPr>
                        <w:ind w:left="140" w:hanging="140"/>
                        <w:jc w:val="center"/>
                        <w:rPr>
                          <w:sz w:val="28"/>
                          <w:szCs w:val="28"/>
                        </w:rPr>
                      </w:pPr>
                      <w:r>
                        <w:rPr>
                          <w:rFonts w:hint="eastAsia"/>
                          <w:sz w:val="28"/>
                          <w:szCs w:val="28"/>
                        </w:rPr>
                        <w:t>法人身份证复印件背面</w:t>
                      </w:r>
                    </w:p>
                  </w:txbxContent>
                </v:textbox>
              </v:shape>
            </w:pict>
          </mc:Fallback>
        </mc:AlternateContent>
      </w:r>
      <w:r>
        <w:rPr>
          <w:rFonts w:hint="eastAsia" w:ascii="宋体" w:hAnsi="宋体" w:eastAsia="宋体" w:cs="宋体"/>
          <w:bCs/>
          <w:sz w:val="24"/>
          <w:highlight w:val="none"/>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156210</wp:posOffset>
                </wp:positionV>
                <wp:extent cx="2472690" cy="1263650"/>
                <wp:effectExtent l="4445" t="4445" r="18415" b="8255"/>
                <wp:wrapNone/>
                <wp:docPr id="25" name="文本框 2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2D08B1B4">
                            <w:pPr>
                              <w:ind w:left="140" w:hanging="140"/>
                              <w:jc w:val="center"/>
                              <w:rPr>
                                <w:sz w:val="28"/>
                                <w:szCs w:val="28"/>
                              </w:rPr>
                            </w:pPr>
                            <w:r>
                              <w:rPr>
                                <w:rFonts w:hint="eastAsia"/>
                                <w:sz w:val="28"/>
                                <w:szCs w:val="28"/>
                              </w:rPr>
                              <w:t>法人身份证复印件正面</w:t>
                            </w:r>
                          </w:p>
                        </w:txbxContent>
                      </wps:txbx>
                      <wps:bodyPr vert="horz" wrap="square" anchor="t" anchorCtr="0" upright="1"/>
                    </wps:wsp>
                  </a:graphicData>
                </a:graphic>
              </wp:anchor>
            </w:drawing>
          </mc:Choice>
          <mc:Fallback>
            <w:pict>
              <v:shape id="_x0000_s1026" o:spid="_x0000_s1026" o:spt="202" type="#_x0000_t202" style="position:absolute;left:0pt;margin-left:-3.75pt;margin-top:12.3pt;height:99.5pt;width:194.7pt;z-index:251663360;mso-width-relative:page;mso-height-relative:page;" fillcolor="#FFFFFF" filled="t" stroked="t" coordsize="21600,21600" o:gfxdata="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qR5xdoAAAAJAQAADwAAAAAAAAABACAAAAAiAAAAZHJzL2Rvd25yZXYu&#10;eG1sUEsBAhQAFAAAAAgAh07iQIhGdooyAgAAegQAAA4AAAAAAAAAAQAgAAAAKQEAAGRycy9lMm9E&#10;b2MueG1sUEsFBgAAAAAGAAYAWQEAAM0FAAAAAA==&#10;">
                <v:fill on="t" focussize="0,0"/>
                <v:stroke color="#000000" joinstyle="miter" dashstyle="1 1" endcap="round"/>
                <v:imagedata o:title=""/>
                <o:lock v:ext="edit" aspectratio="f"/>
                <v:textbox>
                  <w:txbxContent>
                    <w:p w14:paraId="2D08B1B4">
                      <w:pPr>
                        <w:ind w:left="140" w:hanging="140"/>
                        <w:jc w:val="center"/>
                        <w:rPr>
                          <w:sz w:val="28"/>
                          <w:szCs w:val="28"/>
                        </w:rPr>
                      </w:pPr>
                      <w:r>
                        <w:rPr>
                          <w:rFonts w:hint="eastAsia"/>
                          <w:sz w:val="28"/>
                          <w:szCs w:val="28"/>
                        </w:rPr>
                        <w:t>法人身份证复印件正面</w:t>
                      </w:r>
                    </w:p>
                  </w:txbxContent>
                </v:textbox>
              </v:shape>
            </w:pict>
          </mc:Fallback>
        </mc:AlternateContent>
      </w:r>
    </w:p>
    <w:p w14:paraId="27B8655D">
      <w:pPr>
        <w:autoSpaceDE w:val="0"/>
        <w:autoSpaceDN w:val="0"/>
        <w:adjustRightInd w:val="0"/>
        <w:spacing w:line="320" w:lineRule="exact"/>
        <w:ind w:left="120" w:hanging="120"/>
        <w:rPr>
          <w:rFonts w:hint="eastAsia" w:ascii="宋体" w:hAnsi="宋体" w:eastAsia="宋体" w:cs="宋体"/>
          <w:sz w:val="24"/>
          <w:highlight w:val="none"/>
          <w:lang w:val="zh-CN"/>
        </w:rPr>
      </w:pPr>
    </w:p>
    <w:p w14:paraId="359A1F5D">
      <w:pPr>
        <w:autoSpaceDE w:val="0"/>
        <w:autoSpaceDN w:val="0"/>
        <w:adjustRightInd w:val="0"/>
        <w:spacing w:line="320" w:lineRule="exact"/>
        <w:ind w:left="120" w:hanging="120"/>
        <w:rPr>
          <w:rFonts w:hint="eastAsia" w:ascii="宋体" w:hAnsi="宋体" w:eastAsia="宋体" w:cs="宋体"/>
          <w:sz w:val="24"/>
          <w:highlight w:val="none"/>
          <w:lang w:val="zh-CN"/>
        </w:rPr>
      </w:pPr>
    </w:p>
    <w:p w14:paraId="523F53D0">
      <w:pPr>
        <w:autoSpaceDE w:val="0"/>
        <w:autoSpaceDN w:val="0"/>
        <w:adjustRightInd w:val="0"/>
        <w:spacing w:line="320" w:lineRule="exact"/>
        <w:ind w:left="120" w:hanging="120"/>
        <w:rPr>
          <w:rFonts w:hint="eastAsia" w:ascii="宋体" w:hAnsi="宋体" w:eastAsia="宋体" w:cs="宋体"/>
          <w:sz w:val="24"/>
          <w:highlight w:val="none"/>
          <w:lang w:val="zh-CN"/>
        </w:rPr>
      </w:pPr>
    </w:p>
    <w:p w14:paraId="3E7443B5">
      <w:pPr>
        <w:autoSpaceDE w:val="0"/>
        <w:autoSpaceDN w:val="0"/>
        <w:adjustRightInd w:val="0"/>
        <w:spacing w:line="320" w:lineRule="exact"/>
        <w:ind w:left="120" w:hanging="120"/>
        <w:rPr>
          <w:rFonts w:hint="eastAsia" w:ascii="宋体" w:hAnsi="宋体" w:eastAsia="宋体" w:cs="宋体"/>
          <w:sz w:val="24"/>
          <w:highlight w:val="none"/>
          <w:lang w:val="zh-CN"/>
        </w:rPr>
      </w:pPr>
    </w:p>
    <w:p w14:paraId="3333C034">
      <w:pPr>
        <w:autoSpaceDE w:val="0"/>
        <w:autoSpaceDN w:val="0"/>
        <w:adjustRightInd w:val="0"/>
        <w:spacing w:line="320" w:lineRule="exact"/>
        <w:ind w:left="120" w:hanging="120"/>
        <w:rPr>
          <w:rFonts w:hint="eastAsia" w:ascii="宋体" w:hAnsi="宋体" w:eastAsia="宋体" w:cs="宋体"/>
          <w:sz w:val="24"/>
          <w:highlight w:val="none"/>
          <w:lang w:val="zh-CN"/>
        </w:rPr>
      </w:pPr>
    </w:p>
    <w:p w14:paraId="6821BAA0">
      <w:pPr>
        <w:autoSpaceDE w:val="0"/>
        <w:autoSpaceDN w:val="0"/>
        <w:adjustRightInd w:val="0"/>
        <w:spacing w:line="320" w:lineRule="exact"/>
        <w:ind w:left="120" w:hanging="120"/>
        <w:rPr>
          <w:rFonts w:hint="eastAsia" w:ascii="宋体" w:hAnsi="宋体" w:eastAsia="宋体" w:cs="宋体"/>
          <w:sz w:val="24"/>
          <w:highlight w:val="none"/>
          <w:lang w:val="zh-CN"/>
        </w:rPr>
      </w:pPr>
    </w:p>
    <w:p w14:paraId="7D444B27">
      <w:pPr>
        <w:autoSpaceDE w:val="0"/>
        <w:autoSpaceDN w:val="0"/>
        <w:adjustRightInd w:val="0"/>
        <w:spacing w:line="320" w:lineRule="exact"/>
        <w:ind w:left="120" w:hanging="120"/>
        <w:rPr>
          <w:rFonts w:hint="eastAsia" w:ascii="宋体" w:hAnsi="宋体" w:eastAsia="宋体" w:cs="宋体"/>
          <w:sz w:val="24"/>
          <w:highlight w:val="none"/>
          <w:lang w:val="zh-CN"/>
        </w:rPr>
      </w:pPr>
    </w:p>
    <w:p w14:paraId="4A9244DF">
      <w:pPr>
        <w:autoSpaceDE w:val="0"/>
        <w:autoSpaceDN w:val="0"/>
        <w:adjustRightInd w:val="0"/>
        <w:spacing w:line="320" w:lineRule="exact"/>
        <w:ind w:left="0" w:leftChars="0" w:firstLine="0" w:firstLineChars="0"/>
        <w:rPr>
          <w:rFonts w:hint="eastAsia" w:ascii="宋体" w:hAnsi="宋体" w:eastAsia="宋体" w:cs="宋体"/>
          <w:sz w:val="24"/>
          <w:highlight w:val="none"/>
          <w:lang w:val="zh-CN"/>
        </w:rPr>
      </w:pPr>
    </w:p>
    <w:p w14:paraId="029D2F54">
      <w:pPr>
        <w:autoSpaceDE w:val="0"/>
        <w:autoSpaceDN w:val="0"/>
        <w:adjustRightInd w:val="0"/>
        <w:spacing w:line="320" w:lineRule="exact"/>
        <w:ind w:left="120" w:hanging="120"/>
        <w:rPr>
          <w:rFonts w:hint="eastAsia" w:ascii="宋体" w:hAnsi="宋体" w:eastAsia="宋体" w:cs="宋体"/>
          <w:sz w:val="24"/>
          <w:highlight w:val="none"/>
          <w:lang w:val="zh-CN"/>
        </w:rPr>
      </w:pPr>
    </w:p>
    <w:p w14:paraId="42A0CEC8">
      <w:pPr>
        <w:autoSpaceDE w:val="0"/>
        <w:autoSpaceDN w:val="0"/>
        <w:adjustRightInd w:val="0"/>
        <w:spacing w:line="320" w:lineRule="exact"/>
        <w:ind w:left="120" w:hanging="120"/>
        <w:rPr>
          <w:rFonts w:hint="eastAsia" w:ascii="宋体" w:hAnsi="宋体" w:eastAsia="宋体" w:cs="宋体"/>
          <w:sz w:val="24"/>
          <w:highlight w:val="none"/>
          <w:lang w:val="zh-CN"/>
        </w:rPr>
      </w:pPr>
    </w:p>
    <w:p w14:paraId="755E7DC6">
      <w:pPr>
        <w:pStyle w:val="6"/>
        <w:outlineLvl w:val="9"/>
        <w:rPr>
          <w:rFonts w:hint="eastAsia" w:ascii="宋体" w:hAnsi="宋体" w:eastAsia="宋体" w:cs="宋体"/>
          <w:sz w:val="24"/>
          <w:highlight w:val="none"/>
          <w:lang w:val="zh-CN"/>
        </w:rPr>
      </w:pPr>
    </w:p>
    <w:p w14:paraId="20D4C7A0">
      <w:pPr>
        <w:rPr>
          <w:rFonts w:hint="eastAsia" w:ascii="宋体" w:hAnsi="宋体" w:eastAsia="宋体" w:cs="宋体"/>
          <w:highlight w:val="none"/>
          <w:lang w:val="zh-CN"/>
        </w:rPr>
      </w:pPr>
    </w:p>
    <w:p w14:paraId="2585ABC7">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投标单位名称：公章）</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14:paraId="6ABEABB1">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签字或</w:t>
      </w:r>
      <w:r>
        <w:rPr>
          <w:rFonts w:hint="eastAsia" w:ascii="宋体" w:hAnsi="宋体" w:eastAsia="宋体" w:cs="宋体"/>
          <w:color w:val="000000"/>
          <w:sz w:val="21"/>
          <w:szCs w:val="21"/>
          <w:highlight w:val="none"/>
        </w:rPr>
        <w:t>盖章）</w:t>
      </w:r>
      <w:r>
        <w:rPr>
          <w:rFonts w:hint="eastAsia" w:ascii="宋体" w:hAnsi="宋体" w:eastAsia="宋体" w:cs="宋体"/>
          <w:color w:val="000000"/>
          <w:sz w:val="21"/>
          <w:szCs w:val="21"/>
          <w:highlight w:val="none"/>
          <w:u w:val="single"/>
        </w:rPr>
        <w:t xml:space="preserve">                </w:t>
      </w:r>
    </w:p>
    <w:p w14:paraId="45E022FB">
      <w:pPr>
        <w:pStyle w:val="95"/>
        <w:rPr>
          <w:rFonts w:hint="eastAsia" w:ascii="宋体" w:hAnsi="宋体" w:eastAsia="宋体" w:cs="宋体"/>
          <w:highlight w:val="none"/>
        </w:rPr>
      </w:pPr>
    </w:p>
    <w:p w14:paraId="225921F7">
      <w:pPr>
        <w:autoSpaceDE w:val="0"/>
        <w:autoSpaceDN w:val="0"/>
        <w:adjustRightInd w:val="0"/>
        <w:spacing w:line="320" w:lineRule="exact"/>
        <w:ind w:left="120" w:hanging="120"/>
        <w:rPr>
          <w:rFonts w:hint="eastAsia" w:ascii="宋体" w:hAnsi="宋体" w:eastAsia="宋体" w:cs="宋体"/>
          <w:b/>
          <w:bCs/>
          <w:sz w:val="24"/>
          <w:highlight w:val="none"/>
          <w:lang w:val="zh-CN"/>
        </w:rPr>
      </w:pPr>
    </w:p>
    <w:p w14:paraId="36DC2D52">
      <w:pPr>
        <w:autoSpaceDE w:val="0"/>
        <w:autoSpaceDN w:val="0"/>
        <w:adjustRightInd w:val="0"/>
        <w:spacing w:line="320" w:lineRule="exact"/>
        <w:ind w:left="120" w:hanging="120"/>
        <w:jc w:val="center"/>
        <w:outlineLvl w:val="9"/>
        <w:rPr>
          <w:rFonts w:hint="eastAsia" w:ascii="宋体" w:hAnsi="宋体" w:eastAsia="宋体" w:cs="宋体"/>
          <w:sz w:val="24"/>
          <w:highlight w:val="none"/>
          <w:lang w:val="zh-CN"/>
        </w:rPr>
      </w:pPr>
    </w:p>
    <w:p w14:paraId="34BA39AF">
      <w:pPr>
        <w:autoSpaceDE w:val="0"/>
        <w:autoSpaceDN w:val="0"/>
        <w:adjustRightInd w:val="0"/>
        <w:spacing w:line="320" w:lineRule="exact"/>
        <w:ind w:left="120" w:hanging="120"/>
        <w:jc w:val="center"/>
        <w:outlineLvl w:val="9"/>
        <w:rPr>
          <w:rFonts w:hint="eastAsia" w:ascii="宋体" w:hAnsi="宋体" w:eastAsia="宋体" w:cs="宋体"/>
          <w:sz w:val="24"/>
          <w:highlight w:val="none"/>
          <w:lang w:val="zh-CN"/>
        </w:rPr>
      </w:pPr>
    </w:p>
    <w:p w14:paraId="4C7C4B9A">
      <w:pPr>
        <w:autoSpaceDE w:val="0"/>
        <w:autoSpaceDN w:val="0"/>
        <w:adjustRightInd w:val="0"/>
        <w:spacing w:line="320" w:lineRule="exact"/>
        <w:ind w:left="120" w:hanging="120"/>
        <w:jc w:val="center"/>
        <w:outlineLvl w:val="9"/>
        <w:rPr>
          <w:rFonts w:hint="eastAsia" w:ascii="宋体" w:hAnsi="宋体" w:eastAsia="宋体" w:cs="宋体"/>
          <w:sz w:val="24"/>
          <w:highlight w:val="none"/>
          <w:lang w:val="zh-CN"/>
        </w:rPr>
      </w:pPr>
    </w:p>
    <w:p w14:paraId="2BF25728">
      <w:pPr>
        <w:autoSpaceDE w:val="0"/>
        <w:autoSpaceDN w:val="0"/>
        <w:adjustRightInd w:val="0"/>
        <w:spacing w:line="320" w:lineRule="exact"/>
        <w:ind w:left="120" w:hanging="120"/>
        <w:jc w:val="right"/>
        <w:outlineLvl w:val="0"/>
        <w:rPr>
          <w:rFonts w:hint="eastAsia" w:ascii="宋体" w:hAnsi="宋体" w:eastAsia="宋体" w:cs="宋体"/>
          <w:sz w:val="24"/>
          <w:highlight w:val="none"/>
          <w:lang w:val="zh-CN"/>
        </w:rPr>
      </w:pPr>
      <w:bookmarkStart w:id="283" w:name="_Toc18606"/>
      <w:bookmarkStart w:id="284" w:name="_Toc7513"/>
      <w:bookmarkStart w:id="285" w:name="_Toc9354"/>
      <w:r>
        <w:rPr>
          <w:rFonts w:hint="eastAsia" w:ascii="宋体" w:hAnsi="宋体" w:eastAsia="宋体" w:cs="宋体"/>
          <w:sz w:val="24"/>
          <w:highlight w:val="none"/>
          <w:lang w:val="zh-CN"/>
        </w:rPr>
        <w:t>日期：</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bookmarkEnd w:id="283"/>
      <w:bookmarkEnd w:id="284"/>
      <w:bookmarkEnd w:id="285"/>
    </w:p>
    <w:p w14:paraId="54B8241E">
      <w:pPr>
        <w:pStyle w:val="23"/>
        <w:overflowPunct w:val="0"/>
        <w:snapToGrid w:val="0"/>
        <w:spacing w:line="360" w:lineRule="auto"/>
        <w:ind w:firstLine="0"/>
        <w:rPr>
          <w:rFonts w:hint="eastAsia" w:ascii="宋体" w:hAnsi="宋体" w:eastAsia="宋体" w:cs="宋体"/>
          <w:color w:val="000000"/>
          <w:sz w:val="24"/>
          <w:szCs w:val="24"/>
          <w:highlight w:val="none"/>
          <w:lang w:eastAsia="zh-CN"/>
        </w:rPr>
        <w:sectPr>
          <w:type w:val="continuous"/>
          <w:pgSz w:w="11905" w:h="16838"/>
          <w:pgMar w:top="1304" w:right="964" w:bottom="1020" w:left="1191" w:header="567" w:footer="454" w:gutter="0"/>
          <w:pgNumType w:fmt="decimal"/>
          <w:cols w:space="720" w:num="1"/>
          <w:rtlGutter w:val="0"/>
          <w:docGrid w:type="lines" w:linePitch="317" w:charSpace="0"/>
        </w:sectPr>
      </w:pPr>
    </w:p>
    <w:p w14:paraId="2E6B8361">
      <w:pPr>
        <w:rPr>
          <w:rFonts w:hint="eastAsia" w:ascii="宋体" w:hAnsi="宋体" w:eastAsia="宋体" w:cs="宋体"/>
          <w:b/>
          <w:color w:val="000000"/>
          <w:sz w:val="28"/>
          <w:szCs w:val="24"/>
          <w:highlight w:val="none"/>
          <w:lang w:val="en-US" w:eastAsia="zh-CN"/>
        </w:rPr>
      </w:pPr>
      <w:r>
        <w:rPr>
          <w:rFonts w:hint="eastAsia" w:ascii="宋体" w:hAnsi="宋体" w:eastAsia="宋体" w:cs="宋体"/>
          <w:b/>
          <w:color w:val="000000"/>
          <w:sz w:val="28"/>
          <w:szCs w:val="24"/>
          <w:highlight w:val="none"/>
          <w:lang w:val="en-US" w:eastAsia="zh-CN"/>
        </w:rPr>
        <w:br w:type="page"/>
      </w:r>
    </w:p>
    <w:p w14:paraId="1EED0D80">
      <w:pPr>
        <w:pStyle w:val="41"/>
        <w:spacing w:line="240" w:lineRule="auto"/>
        <w:ind w:left="0" w:leftChars="0" w:firstLine="0" w:firstLineChars="0"/>
        <w:jc w:val="both"/>
        <w:rPr>
          <w:rFonts w:hint="eastAsia" w:ascii="宋体" w:hAnsi="宋体" w:eastAsia="宋体" w:cs="宋体"/>
          <w:b/>
          <w:color w:val="000000"/>
          <w:sz w:val="28"/>
          <w:szCs w:val="24"/>
          <w:highlight w:val="none"/>
          <w:lang w:val="en-US" w:eastAsia="zh-CN"/>
        </w:rPr>
      </w:pPr>
      <w:r>
        <w:rPr>
          <w:rFonts w:hint="eastAsia" w:ascii="宋体" w:hAnsi="宋体" w:eastAsia="宋体" w:cs="宋体"/>
          <w:b/>
          <w:color w:val="000000"/>
          <w:sz w:val="28"/>
          <w:szCs w:val="24"/>
          <w:highlight w:val="none"/>
          <w:lang w:val="en-US" w:eastAsia="zh-CN"/>
        </w:rPr>
        <w:t>附件八</w:t>
      </w:r>
    </w:p>
    <w:p w14:paraId="69D2A26B">
      <w:pPr>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32"/>
          <w:szCs w:val="28"/>
          <w:highlight w:val="none"/>
        </w:rPr>
        <w:t>法定代表人授权委托书</w:t>
      </w:r>
    </w:p>
    <w:p w14:paraId="07930EE3">
      <w:pPr>
        <w:pStyle w:val="48"/>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本授权委托书声明：注册于</w:t>
      </w:r>
      <w:r>
        <w:rPr>
          <w:rFonts w:hint="eastAsia" w:ascii="宋体" w:hAnsi="宋体" w:eastAsia="宋体" w:cs="宋体"/>
          <w:color w:val="000000"/>
          <w:sz w:val="24"/>
          <w:szCs w:val="24"/>
          <w:highlight w:val="none"/>
          <w:u w:val="single"/>
        </w:rPr>
        <w:t xml:space="preserve"> （投标人地址）  </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u w:val="single"/>
        </w:rPr>
        <w:t xml:space="preserve">  （单位名称）    </w:t>
      </w:r>
      <w:r>
        <w:rPr>
          <w:rFonts w:hint="eastAsia" w:ascii="宋体" w:hAnsi="宋体" w:eastAsia="宋体" w:cs="宋体"/>
          <w:color w:val="000000"/>
          <w:sz w:val="24"/>
          <w:szCs w:val="24"/>
          <w:highlight w:val="none"/>
        </w:rPr>
        <w:t>在下面签名的</w:t>
      </w:r>
      <w:r>
        <w:rPr>
          <w:rFonts w:hint="eastAsia" w:ascii="宋体" w:hAnsi="宋体" w:eastAsia="宋体" w:cs="宋体"/>
          <w:color w:val="000000"/>
          <w:sz w:val="24"/>
          <w:szCs w:val="24"/>
          <w:highlight w:val="none"/>
          <w:u w:val="single"/>
        </w:rPr>
        <w:t>（法定代表人姓名、职务）</w:t>
      </w:r>
      <w:r>
        <w:rPr>
          <w:rFonts w:hint="eastAsia" w:ascii="宋体" w:hAnsi="宋体" w:eastAsia="宋体" w:cs="宋体"/>
          <w:color w:val="000000"/>
          <w:sz w:val="24"/>
          <w:szCs w:val="24"/>
          <w:highlight w:val="none"/>
        </w:rPr>
        <w:t>在此授权</w:t>
      </w:r>
      <w:r>
        <w:rPr>
          <w:rFonts w:hint="eastAsia" w:ascii="宋体" w:hAnsi="宋体" w:eastAsia="宋体" w:cs="宋体"/>
          <w:color w:val="000000"/>
          <w:sz w:val="24"/>
          <w:szCs w:val="24"/>
          <w:highlight w:val="none"/>
          <w:u w:val="single"/>
        </w:rPr>
        <w:t>（被授权人姓名、职务）</w:t>
      </w:r>
      <w:r>
        <w:rPr>
          <w:rFonts w:hint="eastAsia" w:ascii="宋体" w:hAnsi="宋体" w:eastAsia="宋体" w:cs="宋体"/>
          <w:color w:val="000000"/>
          <w:sz w:val="24"/>
          <w:szCs w:val="24"/>
          <w:highlight w:val="none"/>
        </w:rPr>
        <w:t>作为我公司的合法代理人，就</w:t>
      </w:r>
      <w:r>
        <w:rPr>
          <w:rFonts w:hint="eastAsia" w:ascii="宋体" w:hAnsi="宋体" w:eastAsia="宋体" w:cs="宋体"/>
          <w:color w:val="000000"/>
          <w:sz w:val="24"/>
          <w:szCs w:val="24"/>
          <w:highlight w:val="none"/>
          <w:u w:val="single"/>
        </w:rPr>
        <w:t>（项目名称、项目编号</w:t>
      </w:r>
      <w:r>
        <w:rPr>
          <w:rFonts w:hint="eastAsia" w:ascii="宋体" w:hAnsi="宋体" w:eastAsia="宋体" w:cs="宋体"/>
          <w:color w:val="000000"/>
          <w:sz w:val="24"/>
          <w:szCs w:val="24"/>
          <w:highlight w:val="none"/>
        </w:rPr>
        <w:t>）的招投标活动，</w:t>
      </w:r>
      <w:r>
        <w:rPr>
          <w:rFonts w:hint="eastAsia" w:ascii="宋体" w:hAnsi="宋体" w:eastAsia="宋体" w:cs="宋体"/>
          <w:color w:val="000000"/>
          <w:sz w:val="24"/>
          <w:szCs w:val="24"/>
          <w:highlight w:val="none"/>
          <w:lang w:eastAsia="zh-CN"/>
        </w:rPr>
        <w:t>设计</w:t>
      </w:r>
      <w:r>
        <w:rPr>
          <w:rFonts w:hint="eastAsia" w:ascii="宋体" w:hAnsi="宋体" w:eastAsia="宋体" w:cs="宋体"/>
          <w:color w:val="000000"/>
          <w:sz w:val="24"/>
          <w:szCs w:val="24"/>
          <w:highlight w:val="none"/>
        </w:rPr>
        <w:t>合同的签订、执行、完成和售后服务，作为投标人代表以我方的名义处理一切与之有关的事务。</w:t>
      </w:r>
    </w:p>
    <w:p w14:paraId="0140D7D6">
      <w:pPr>
        <w:pStyle w:val="48"/>
        <w:spacing w:line="360" w:lineRule="auto"/>
        <w:ind w:firstLine="480" w:firstLineChars="200"/>
        <w:rPr>
          <w:rFonts w:hint="eastAsia" w:ascii="宋体" w:hAnsi="宋体" w:eastAsia="宋体" w:cs="宋体"/>
          <w:color w:val="000000"/>
          <w:sz w:val="24"/>
          <w:szCs w:val="24"/>
          <w:highlight w:val="none"/>
        </w:rPr>
      </w:pPr>
    </w:p>
    <w:p w14:paraId="1F81DE80">
      <w:pPr>
        <w:pStyle w:val="48"/>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被授权人</w:t>
      </w:r>
      <w:r>
        <w:rPr>
          <w:rFonts w:hint="eastAsia" w:ascii="宋体" w:hAnsi="宋体" w:eastAsia="宋体" w:cs="宋体"/>
          <w:color w:val="000000"/>
          <w:sz w:val="24"/>
          <w:szCs w:val="24"/>
          <w:highlight w:val="none"/>
          <w:u w:val="single"/>
        </w:rPr>
        <w:t>（投标人授权代表）</w:t>
      </w:r>
      <w:r>
        <w:rPr>
          <w:rFonts w:hint="eastAsia" w:ascii="宋体" w:hAnsi="宋体" w:eastAsia="宋体" w:cs="宋体"/>
          <w:color w:val="000000"/>
          <w:sz w:val="24"/>
          <w:szCs w:val="24"/>
          <w:highlight w:val="none"/>
        </w:rPr>
        <w:t>无转委托权限。</w:t>
      </w:r>
    </w:p>
    <w:p w14:paraId="04D6B2C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本授权书自法定代表人签字</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rPr>
        <w:t>日</w:t>
      </w:r>
      <w:r>
        <w:rPr>
          <w:rFonts w:hint="eastAsia" w:ascii="宋体" w:hAnsi="宋体" w:cs="宋体"/>
          <w:color w:val="000000"/>
          <w:sz w:val="24"/>
          <w:highlight w:val="none"/>
          <w:lang w:val="en-US" w:eastAsia="zh-CN"/>
        </w:rPr>
        <w:t>内有</w:t>
      </w:r>
      <w:r>
        <w:rPr>
          <w:rFonts w:hint="eastAsia" w:ascii="宋体" w:hAnsi="宋体" w:eastAsia="宋体" w:cs="宋体"/>
          <w:color w:val="000000"/>
          <w:sz w:val="24"/>
          <w:highlight w:val="none"/>
        </w:rPr>
        <w:t>效，特此声明。</w:t>
      </w:r>
    </w:p>
    <w:p w14:paraId="0BF3378C">
      <w:pPr>
        <w:rPr>
          <w:rFonts w:hint="eastAsia" w:ascii="宋体" w:hAnsi="宋体" w:eastAsia="宋体" w:cs="宋体"/>
          <w:color w:val="auto"/>
          <w:sz w:val="24"/>
          <w:szCs w:val="24"/>
          <w:highlight w:val="none"/>
        </w:rPr>
      </w:pPr>
    </w:p>
    <w:p w14:paraId="1886791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需附：法定代表人、被授权人身份证复印件。</w:t>
      </w:r>
    </w:p>
    <w:p w14:paraId="14AEA736">
      <w:pPr>
        <w:pStyle w:val="13"/>
        <w:rPr>
          <w:rFonts w:hint="eastAsia" w:ascii="宋体" w:hAnsi="宋体" w:eastAsia="宋体" w:cs="宋体"/>
          <w:highlight w:val="none"/>
        </w:rPr>
      </w:pPr>
    </w:p>
    <w:p w14:paraId="7E4F13A5">
      <w:pPr>
        <w:rPr>
          <w:rFonts w:hint="eastAsia" w:ascii="宋体" w:hAnsi="宋体" w:eastAsia="宋体" w:cs="宋体"/>
          <w:color w:val="FF0000"/>
          <w:sz w:val="28"/>
          <w:szCs w:val="28"/>
          <w:highlight w:val="none"/>
        </w:rPr>
      </w:pPr>
      <w:r>
        <w:rPr>
          <w:rFonts w:hint="eastAsia" w:ascii="宋体" w:hAnsi="宋体" w:eastAsia="宋体" w:cs="宋体"/>
          <w:color w:val="FF0000"/>
          <w:sz w:val="28"/>
          <w:highlight w:val="none"/>
        </w:rPr>
        <mc:AlternateContent>
          <mc:Choice Requires="wps">
            <w:drawing>
              <wp:anchor distT="0" distB="0" distL="114300" distR="114300" simplePos="0" relativeHeight="251660288" behindDoc="0" locked="0" layoutInCell="1" allowOverlap="1">
                <wp:simplePos x="0" y="0"/>
                <wp:positionH relativeFrom="column">
                  <wp:posOffset>2816225</wp:posOffset>
                </wp:positionH>
                <wp:positionV relativeFrom="paragraph">
                  <wp:posOffset>62230</wp:posOffset>
                </wp:positionV>
                <wp:extent cx="1991360" cy="1219835"/>
                <wp:effectExtent l="7620" t="7620" r="20320" b="10795"/>
                <wp:wrapNone/>
                <wp:docPr id="3" name="文本框 3"/>
                <wp:cNvGraphicFramePr/>
                <a:graphic xmlns:a="http://schemas.openxmlformats.org/drawingml/2006/main">
                  <a:graphicData uri="http://schemas.microsoft.com/office/word/2010/wordprocessingShape">
                    <wps:wsp>
                      <wps:cNvSpPr txBox="1"/>
                      <wps:spPr>
                        <a:xfrm>
                          <a:off x="0" y="0"/>
                          <a:ext cx="1991360" cy="1219835"/>
                        </a:xfrm>
                        <a:prstGeom prst="rect">
                          <a:avLst/>
                        </a:prstGeom>
                        <a:noFill/>
                        <a:ln w="15875" cap="flat" cmpd="sng">
                          <a:solidFill>
                            <a:srgbClr val="000000"/>
                          </a:solidFill>
                          <a:prstDash val="solid"/>
                          <a:miter/>
                          <a:headEnd type="none" w="med" len="med"/>
                          <a:tailEnd type="none" w="med" len="med"/>
                        </a:ln>
                        <a:effectLst/>
                      </wps:spPr>
                      <wps:txbx>
                        <w:txbxContent>
                          <w:p w14:paraId="5FAA54CD">
                            <w:pPr>
                              <w:rPr>
                                <w:rFonts w:hint="eastAsia"/>
                              </w:rPr>
                            </w:pPr>
                            <w:r>
                              <w:rPr>
                                <w:rFonts w:hint="eastAsia"/>
                              </w:rPr>
                              <w:t>被授权人身份证复印件正面</w:t>
                            </w:r>
                          </w:p>
                        </w:txbxContent>
                      </wps:txbx>
                      <wps:bodyPr vert="horz" wrap="square" anchor="t" anchorCtr="0" upright="1"/>
                    </wps:wsp>
                  </a:graphicData>
                </a:graphic>
              </wp:anchor>
            </w:drawing>
          </mc:Choice>
          <mc:Fallback>
            <w:pict>
              <v:shape id="_x0000_s1026" o:spid="_x0000_s1026" o:spt="202" type="#_x0000_t202" style="position:absolute;left:0pt;margin-left:221.75pt;margin-top:4.9pt;height:96.05pt;width:156.8pt;z-index:251660288;mso-width-relative:page;mso-height-relative:page;" filled="f" stroked="t" coordsize="21600,21600" o:gfxdata="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SkcHdYAAAAJAQAADwAAAAAAAAABACAAAAAiAAAAZHJzL2Rvd25yZXYueG1sUEsBAhQAFAAA&#10;AAgAh07iQFZgQzUqAgAAUAQAAA4AAAAAAAAAAQAgAAAAJQEAAGRycy9lMm9Eb2MueG1sUEsFBgAA&#10;AAAGAAYAWQEAAMEFAAAAAA==&#10;">
                <v:fill on="f" focussize="0,0"/>
                <v:stroke weight="1.25pt" color="#000000" joinstyle="miter"/>
                <v:imagedata o:title=""/>
                <o:lock v:ext="edit" aspectratio="f"/>
                <v:textbox>
                  <w:txbxContent>
                    <w:p w14:paraId="5FAA54CD">
                      <w:pPr>
                        <w:rPr>
                          <w:rFonts w:hint="eastAsia"/>
                        </w:rPr>
                      </w:pPr>
                      <w:r>
                        <w:rPr>
                          <w:rFonts w:hint="eastAsia"/>
                        </w:rPr>
                        <w:t>被授权人身份证复印件正面</w:t>
                      </w:r>
                    </w:p>
                  </w:txbxContent>
                </v:textbox>
              </v:shape>
            </w:pict>
          </mc:Fallback>
        </mc:AlternateContent>
      </w:r>
      <w:r>
        <w:rPr>
          <w:rFonts w:hint="eastAsia" w:ascii="宋体" w:hAnsi="宋体" w:eastAsia="宋体" w:cs="宋体"/>
          <w:color w:val="FF0000"/>
          <w:sz w:val="28"/>
          <w:highlight w:val="none"/>
        </w:rPr>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ragraph">
                  <wp:posOffset>62230</wp:posOffset>
                </wp:positionV>
                <wp:extent cx="2023745" cy="1219835"/>
                <wp:effectExtent l="7620" t="7620" r="26035" b="10795"/>
                <wp:wrapNone/>
                <wp:docPr id="19" name="文本框 19"/>
                <wp:cNvGraphicFramePr/>
                <a:graphic xmlns:a="http://schemas.openxmlformats.org/drawingml/2006/main">
                  <a:graphicData uri="http://schemas.microsoft.com/office/word/2010/wordprocessingShape">
                    <wps:wsp>
                      <wps:cNvSpPr txBox="1"/>
                      <wps:spPr>
                        <a:xfrm>
                          <a:off x="0" y="0"/>
                          <a:ext cx="2023745" cy="1219835"/>
                        </a:xfrm>
                        <a:prstGeom prst="rect">
                          <a:avLst/>
                        </a:prstGeom>
                        <a:noFill/>
                        <a:ln w="15875" cap="flat" cmpd="sng">
                          <a:solidFill>
                            <a:srgbClr val="000000"/>
                          </a:solidFill>
                          <a:prstDash val="solid"/>
                          <a:miter/>
                          <a:headEnd type="none" w="med" len="med"/>
                          <a:tailEnd type="none" w="med" len="med"/>
                        </a:ln>
                        <a:effectLst/>
                      </wps:spPr>
                      <wps:txbx>
                        <w:txbxContent>
                          <w:p w14:paraId="3E64636F">
                            <w:pPr>
                              <w:rPr>
                                <w:rFonts w:hint="eastAsia"/>
                              </w:rPr>
                            </w:pPr>
                            <w:r>
                              <w:rPr>
                                <w:rFonts w:hint="eastAsia"/>
                              </w:rPr>
                              <w:t>法定代表人身份证复印件正面</w:t>
                            </w:r>
                          </w:p>
                        </w:txbxContent>
                      </wps:txbx>
                      <wps:bodyPr vert="horz" wrap="square" anchor="t" anchorCtr="0" upright="1"/>
                    </wps:wsp>
                  </a:graphicData>
                </a:graphic>
              </wp:anchor>
            </w:drawing>
          </mc:Choice>
          <mc:Fallback>
            <w:pict>
              <v:shape id="_x0000_s1026" o:spid="_x0000_s1026" o:spt="202" type="#_x0000_t202" style="position:absolute;left:0pt;margin-left:7.55pt;margin-top:4.9pt;height:96.05pt;width:159.35pt;z-index:251659264;mso-width-relative:page;mso-height-relative:page;" filled="f" stroked="t" coordsize="21600,21600" o:gfxdata="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HU36i1AAAAAgBAAAPAAAAAAAAAAEAIAAAACIAAABkcnMvZG93bnJldi54bWxQSwECFAAUAAAA&#10;CACHTuJAZ1/47isCAABSBAAADgAAAAAAAAABACAAAAAjAQAAZHJzL2Uyb0RvYy54bWxQSwUGAAAA&#10;AAYABgBZAQAAwAUAAAAA&#10;">
                <v:fill on="f" focussize="0,0"/>
                <v:stroke weight="1.25pt" color="#000000" joinstyle="miter"/>
                <v:imagedata o:title=""/>
                <o:lock v:ext="edit" aspectratio="f"/>
                <v:textbox>
                  <w:txbxContent>
                    <w:p w14:paraId="3E64636F">
                      <w:pPr>
                        <w:rPr>
                          <w:rFonts w:hint="eastAsia"/>
                        </w:rPr>
                      </w:pPr>
                      <w:r>
                        <w:rPr>
                          <w:rFonts w:hint="eastAsia"/>
                        </w:rPr>
                        <w:t>法定代表人身份证复印件正面</w:t>
                      </w:r>
                    </w:p>
                  </w:txbxContent>
                </v:textbox>
              </v:shape>
            </w:pict>
          </mc:Fallback>
        </mc:AlternateContent>
      </w:r>
    </w:p>
    <w:p w14:paraId="25338472">
      <w:pPr>
        <w:rPr>
          <w:rFonts w:hint="eastAsia" w:ascii="宋体" w:hAnsi="宋体" w:eastAsia="宋体" w:cs="宋体"/>
          <w:color w:val="FF0000"/>
          <w:sz w:val="28"/>
          <w:szCs w:val="28"/>
          <w:highlight w:val="none"/>
        </w:rPr>
      </w:pPr>
    </w:p>
    <w:p w14:paraId="0A426BE0">
      <w:pPr>
        <w:rPr>
          <w:rFonts w:hint="eastAsia" w:ascii="宋体" w:hAnsi="宋体" w:eastAsia="宋体" w:cs="宋体"/>
          <w:color w:val="FF0000"/>
          <w:sz w:val="28"/>
          <w:szCs w:val="28"/>
          <w:highlight w:val="none"/>
        </w:rPr>
      </w:pPr>
    </w:p>
    <w:p w14:paraId="0859E674">
      <w:pPr>
        <w:rPr>
          <w:rFonts w:hint="eastAsia" w:ascii="宋体" w:hAnsi="宋体" w:eastAsia="宋体" w:cs="宋体"/>
          <w:color w:val="FF0000"/>
          <w:sz w:val="28"/>
          <w:szCs w:val="28"/>
          <w:highlight w:val="none"/>
        </w:rPr>
      </w:pPr>
      <w:r>
        <w:rPr>
          <w:rFonts w:hint="eastAsia" w:ascii="宋体" w:hAnsi="宋体" w:eastAsia="宋体" w:cs="宋体"/>
          <w:color w:val="FF0000"/>
          <w:sz w:val="28"/>
          <w:highlight w:val="none"/>
        </w:rPr>
        <mc:AlternateContent>
          <mc:Choice Requires="wps">
            <w:drawing>
              <wp:anchor distT="0" distB="0" distL="114300" distR="114300" simplePos="0" relativeHeight="251662336" behindDoc="0" locked="0" layoutInCell="1" allowOverlap="1">
                <wp:simplePos x="0" y="0"/>
                <wp:positionH relativeFrom="column">
                  <wp:posOffset>2816225</wp:posOffset>
                </wp:positionH>
                <wp:positionV relativeFrom="paragraph">
                  <wp:posOffset>154940</wp:posOffset>
                </wp:positionV>
                <wp:extent cx="1990725" cy="1219835"/>
                <wp:effectExtent l="7620" t="7620" r="20955" b="10795"/>
                <wp:wrapNone/>
                <wp:docPr id="20" name="文本框 20"/>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a:effectLst/>
                      </wps:spPr>
                      <wps:txbx>
                        <w:txbxContent>
                          <w:p w14:paraId="7F82B2B3">
                            <w:pPr>
                              <w:rPr>
                                <w:rFonts w:hint="eastAsia"/>
                              </w:rPr>
                            </w:pPr>
                            <w:r>
                              <w:rPr>
                                <w:rFonts w:hint="eastAsia"/>
                              </w:rPr>
                              <w:t>被授权人身份证复印件背面</w:t>
                            </w:r>
                          </w:p>
                        </w:txbxContent>
                      </wps:txbx>
                      <wps:bodyPr vert="horz" wrap="square" anchor="t" anchorCtr="0" upright="1"/>
                    </wps:wsp>
                  </a:graphicData>
                </a:graphic>
              </wp:anchor>
            </w:drawing>
          </mc:Choice>
          <mc:Fallback>
            <w:pict>
              <v:shape id="_x0000_s1026" o:spid="_x0000_s1026" o:spt="202" type="#_x0000_t202" style="position:absolute;left:0pt;margin-left:221.75pt;margin-top:12.2pt;height:96.05pt;width:156.75pt;z-index:251662336;mso-width-relative:page;mso-height-relative:page;" filled="f" stroked="t" coordsize="21600,21600" o:gfxdata="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ldyPdYAAAAKAQAADwAAAAAAAAABACAAAAAiAAAAZHJzL2Rvd25yZXYueG1sUEsBAhQAFAAA&#10;AAgAh07iQJWNtRwqAgAAUgQAAA4AAAAAAAAAAQAgAAAAJQEAAGRycy9lMm9Eb2MueG1sUEsFBgAA&#10;AAAGAAYAWQEAAMEFAAAAAA==&#10;">
                <v:fill on="f" focussize="0,0"/>
                <v:stroke weight="1.25pt" color="#000000" joinstyle="miter"/>
                <v:imagedata o:title=""/>
                <o:lock v:ext="edit" aspectratio="f"/>
                <v:textbox>
                  <w:txbxContent>
                    <w:p w14:paraId="7F82B2B3">
                      <w:pPr>
                        <w:rPr>
                          <w:rFonts w:hint="eastAsia"/>
                        </w:rPr>
                      </w:pPr>
                      <w:r>
                        <w:rPr>
                          <w:rFonts w:hint="eastAsia"/>
                        </w:rPr>
                        <w:t>被授权人身份证复印件背面</w:t>
                      </w:r>
                    </w:p>
                  </w:txbxContent>
                </v:textbox>
              </v:shape>
            </w:pict>
          </mc:Fallback>
        </mc:AlternateContent>
      </w:r>
      <w:r>
        <w:rPr>
          <w:rFonts w:hint="eastAsia" w:ascii="宋体" w:hAnsi="宋体" w:eastAsia="宋体" w:cs="宋体"/>
          <w:color w:val="FF0000"/>
          <w:sz w:val="28"/>
          <w:highlight w:val="none"/>
        </w:rPr>
        <mc:AlternateContent>
          <mc:Choice Requires="wps">
            <w:drawing>
              <wp:anchor distT="0" distB="0" distL="114300" distR="114300" simplePos="0" relativeHeight="251661312" behindDoc="0" locked="0" layoutInCell="1" allowOverlap="1">
                <wp:simplePos x="0" y="0"/>
                <wp:positionH relativeFrom="column">
                  <wp:posOffset>95885</wp:posOffset>
                </wp:positionH>
                <wp:positionV relativeFrom="paragraph">
                  <wp:posOffset>154940</wp:posOffset>
                </wp:positionV>
                <wp:extent cx="1990725" cy="1219835"/>
                <wp:effectExtent l="7620" t="7620" r="20955" b="10795"/>
                <wp:wrapNone/>
                <wp:docPr id="21" name="文本框 21"/>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a:effectLst/>
                      </wps:spPr>
                      <wps:txbx>
                        <w:txbxContent>
                          <w:p w14:paraId="4300BC2B">
                            <w:pPr>
                              <w:rPr>
                                <w:rFonts w:hint="eastAsia"/>
                              </w:rPr>
                            </w:pPr>
                            <w:r>
                              <w:rPr>
                                <w:rFonts w:hint="eastAsia"/>
                              </w:rPr>
                              <w:t>法定代表人身份证复印件背面</w:t>
                            </w:r>
                          </w:p>
                        </w:txbxContent>
                      </wps:txbx>
                      <wps:bodyPr vert="horz" wrap="square" anchor="t" anchorCtr="0" upright="1"/>
                    </wps:wsp>
                  </a:graphicData>
                </a:graphic>
              </wp:anchor>
            </w:drawing>
          </mc:Choice>
          <mc:Fallback>
            <w:pict>
              <v:shape id="_x0000_s1026" o:spid="_x0000_s1026" o:spt="202" type="#_x0000_t202" style="position:absolute;left:0pt;margin-left:7.55pt;margin-top:12.2pt;height:96.05pt;width:156.75pt;z-index:251661312;mso-width-relative:page;mso-height-relative:page;" filled="f" stroked="t" coordsize="21600,21600" o:gfxdata="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ewhYdUAAAAJAQAADwAAAAAAAAABACAAAAAiAAAAZHJzL2Rvd25yZXYueG1sUEsBAhQAFAAA&#10;AAgAh07iQHLcNMQrAgAAUgQAAA4AAAAAAAAAAQAgAAAAJAEAAGRycy9lMm9Eb2MueG1sUEsFBgAA&#10;AAAGAAYAWQEAAMEFAAAAAA==&#10;">
                <v:fill on="f" focussize="0,0"/>
                <v:stroke weight="1.25pt" color="#000000" joinstyle="miter"/>
                <v:imagedata o:title=""/>
                <o:lock v:ext="edit" aspectratio="f"/>
                <v:textbox>
                  <w:txbxContent>
                    <w:p w14:paraId="4300BC2B">
                      <w:pPr>
                        <w:rPr>
                          <w:rFonts w:hint="eastAsia"/>
                        </w:rPr>
                      </w:pPr>
                      <w:r>
                        <w:rPr>
                          <w:rFonts w:hint="eastAsia"/>
                        </w:rPr>
                        <w:t>法定代表人身份证复印件背面</w:t>
                      </w:r>
                    </w:p>
                  </w:txbxContent>
                </v:textbox>
              </v:shape>
            </w:pict>
          </mc:Fallback>
        </mc:AlternateContent>
      </w:r>
    </w:p>
    <w:p w14:paraId="14372A3C">
      <w:pPr>
        <w:rPr>
          <w:rFonts w:hint="eastAsia" w:ascii="宋体" w:hAnsi="宋体" w:eastAsia="宋体" w:cs="宋体"/>
          <w:color w:val="FF0000"/>
          <w:sz w:val="28"/>
          <w:szCs w:val="28"/>
          <w:highlight w:val="none"/>
        </w:rPr>
      </w:pPr>
    </w:p>
    <w:p w14:paraId="74DBAF3A">
      <w:pPr>
        <w:jc w:val="center"/>
        <w:rPr>
          <w:rFonts w:hint="eastAsia" w:ascii="宋体" w:hAnsi="宋体" w:eastAsia="宋体" w:cs="宋体"/>
          <w:b/>
          <w:color w:val="FF0000"/>
          <w:sz w:val="28"/>
          <w:szCs w:val="28"/>
          <w:highlight w:val="none"/>
        </w:rPr>
      </w:pPr>
    </w:p>
    <w:p w14:paraId="49BED53B">
      <w:pPr>
        <w:jc w:val="center"/>
        <w:rPr>
          <w:rFonts w:hint="eastAsia" w:ascii="宋体" w:hAnsi="宋体" w:eastAsia="宋体" w:cs="宋体"/>
          <w:b/>
          <w:color w:val="FF0000"/>
          <w:sz w:val="28"/>
          <w:szCs w:val="28"/>
          <w:highlight w:val="none"/>
        </w:rPr>
      </w:pPr>
    </w:p>
    <w:p w14:paraId="1DC4E35C">
      <w:pPr>
        <w:spacing w:line="360" w:lineRule="auto"/>
        <w:rPr>
          <w:rFonts w:hint="eastAsia" w:ascii="宋体" w:hAnsi="宋体" w:eastAsia="宋体" w:cs="宋体"/>
          <w:color w:val="auto"/>
          <w:sz w:val="24"/>
          <w:szCs w:val="28"/>
          <w:highlight w:val="none"/>
        </w:rPr>
      </w:pPr>
    </w:p>
    <w:p w14:paraId="357D0C57">
      <w:pPr>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投标单位名称：（</w:t>
      </w:r>
      <w:r>
        <w:rPr>
          <w:rFonts w:hint="eastAsia" w:ascii="宋体" w:hAnsi="宋体" w:eastAsia="宋体" w:cs="宋体"/>
          <w:color w:val="auto"/>
          <w:sz w:val="24"/>
          <w:szCs w:val="28"/>
          <w:highlight w:val="none"/>
          <w:lang w:eastAsia="zh-CN"/>
        </w:rPr>
        <w:t>盖章</w:t>
      </w:r>
      <w:r>
        <w:rPr>
          <w:rFonts w:hint="eastAsia" w:ascii="宋体" w:hAnsi="宋体" w:eastAsia="宋体" w:cs="宋体"/>
          <w:color w:val="auto"/>
          <w:sz w:val="24"/>
          <w:szCs w:val="28"/>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14:paraId="5C64F425">
      <w:pPr>
        <w:spacing w:line="360" w:lineRule="auto"/>
        <w:rPr>
          <w:rFonts w:hint="eastAsia" w:ascii="宋体" w:hAnsi="宋体" w:eastAsia="宋体" w:cs="宋体"/>
          <w:color w:val="auto"/>
          <w:sz w:val="24"/>
          <w:szCs w:val="28"/>
          <w:highlight w:val="none"/>
        </w:rPr>
      </w:pPr>
    </w:p>
    <w:p w14:paraId="18F5A4EC">
      <w:pPr>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授权代表人</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（签字</w:t>
      </w:r>
      <w:r>
        <w:rPr>
          <w:rFonts w:hint="eastAsia" w:ascii="宋体" w:hAnsi="宋体" w:eastAsia="宋体" w:cs="宋体"/>
          <w:color w:val="auto"/>
          <w:sz w:val="24"/>
          <w:szCs w:val="28"/>
          <w:highlight w:val="none"/>
          <w:lang w:val="en-US" w:eastAsia="zh-CN"/>
        </w:rPr>
        <w:t>或</w:t>
      </w:r>
      <w:r>
        <w:rPr>
          <w:rFonts w:hint="eastAsia" w:ascii="宋体" w:hAnsi="宋体" w:eastAsia="宋体" w:cs="宋体"/>
          <w:color w:val="auto"/>
          <w:sz w:val="24"/>
          <w:szCs w:val="28"/>
          <w:highlight w:val="none"/>
        </w:rPr>
        <w:t>盖章）</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14:paraId="442A603E">
      <w:pPr>
        <w:spacing w:line="360" w:lineRule="auto"/>
        <w:jc w:val="righ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7B36BE11">
      <w:pPr>
        <w:rPr>
          <w:rFonts w:hint="eastAsia" w:ascii="宋体" w:hAnsi="宋体" w:eastAsia="宋体" w:cs="宋体"/>
          <w:highlight w:val="none"/>
          <w:lang w:val="en-US" w:eastAsia="zh-CN"/>
        </w:rPr>
      </w:pPr>
    </w:p>
    <w:p w14:paraId="0CD86210">
      <w:pPr>
        <w:pStyle w:val="41"/>
        <w:spacing w:line="240" w:lineRule="auto"/>
        <w:ind w:left="0" w:leftChars="0" w:firstLine="0" w:firstLineChars="0"/>
        <w:jc w:val="both"/>
        <w:rPr>
          <w:rFonts w:hint="eastAsia" w:ascii="宋体" w:hAnsi="宋体" w:eastAsia="宋体" w:cs="宋体"/>
          <w:b w:val="0"/>
          <w:bCs/>
          <w:color w:val="auto"/>
          <w:kern w:val="2"/>
          <w:sz w:val="21"/>
          <w:szCs w:val="20"/>
          <w:highlight w:val="none"/>
          <w:lang w:val="en-US" w:eastAsia="zh-CN" w:bidi="ar-SA"/>
        </w:rPr>
      </w:pPr>
      <w:r>
        <w:rPr>
          <w:rFonts w:hint="eastAsia" w:ascii="宋体" w:hAnsi="宋体" w:eastAsia="宋体" w:cs="宋体"/>
          <w:b w:val="0"/>
          <w:bCs/>
          <w:color w:val="auto"/>
          <w:kern w:val="2"/>
          <w:sz w:val="21"/>
          <w:szCs w:val="20"/>
          <w:highlight w:val="none"/>
          <w:lang w:val="en-US" w:eastAsia="zh-CN" w:bidi="ar-SA"/>
        </w:rPr>
        <w:t>法定代表人参加的需提供法定代表人证明书，委托代理人参加的需提供法定代表人授权委托书</w:t>
      </w:r>
    </w:p>
    <w:p w14:paraId="6B72D367">
      <w:pPr>
        <w:pStyle w:val="41"/>
        <w:spacing w:line="240" w:lineRule="auto"/>
        <w:ind w:left="0" w:leftChars="0" w:firstLine="0" w:firstLineChars="0"/>
        <w:jc w:val="both"/>
        <w:rPr>
          <w:rFonts w:hint="eastAsia" w:ascii="宋体" w:hAnsi="宋体" w:eastAsia="宋体" w:cs="宋体"/>
          <w:b w:val="0"/>
          <w:bCs/>
          <w:color w:val="auto"/>
          <w:kern w:val="2"/>
          <w:sz w:val="21"/>
          <w:szCs w:val="20"/>
          <w:highlight w:val="none"/>
          <w:lang w:val="en-US" w:eastAsia="zh-CN" w:bidi="ar-SA"/>
        </w:rPr>
      </w:pPr>
    </w:p>
    <w:p w14:paraId="3B9AAFD6">
      <w:pPr>
        <w:pStyle w:val="41"/>
        <w:spacing w:line="240" w:lineRule="auto"/>
        <w:ind w:left="0" w:leftChars="0" w:firstLine="0" w:firstLineChars="0"/>
        <w:jc w:val="both"/>
        <w:rPr>
          <w:rFonts w:hint="eastAsia" w:ascii="宋体" w:hAnsi="宋体" w:eastAsia="宋体" w:cs="宋体"/>
          <w:b/>
          <w:color w:val="000000"/>
          <w:sz w:val="28"/>
          <w:szCs w:val="24"/>
          <w:highlight w:val="none"/>
          <w:lang w:val="en-US" w:eastAsia="zh-CN"/>
        </w:rPr>
      </w:pPr>
      <w:r>
        <w:rPr>
          <w:rFonts w:hint="eastAsia" w:ascii="宋体" w:hAnsi="宋体" w:eastAsia="宋体" w:cs="宋体"/>
          <w:b/>
          <w:color w:val="000000"/>
          <w:sz w:val="28"/>
          <w:szCs w:val="24"/>
          <w:highlight w:val="none"/>
          <w:lang w:val="en-US" w:eastAsia="zh-CN"/>
        </w:rPr>
        <w:t>附件九</w:t>
      </w:r>
    </w:p>
    <w:p w14:paraId="1EF69194">
      <w:pPr>
        <w:pStyle w:val="41"/>
        <w:spacing w:line="240" w:lineRule="auto"/>
        <w:ind w:left="0" w:leftChars="0" w:firstLine="0" w:firstLineChars="0"/>
        <w:jc w:val="center"/>
        <w:rPr>
          <w:rFonts w:hint="eastAsia" w:ascii="宋体" w:hAnsi="宋体" w:eastAsia="宋体" w:cs="宋体"/>
          <w:b/>
          <w:bCs w:val="0"/>
          <w:color w:val="000000"/>
          <w:sz w:val="28"/>
          <w:szCs w:val="24"/>
          <w:highlight w:val="none"/>
          <w:lang w:val="en-US" w:eastAsia="zh-CN"/>
        </w:rPr>
      </w:pPr>
      <w:r>
        <w:rPr>
          <w:rFonts w:hint="eastAsia" w:ascii="宋体" w:hAnsi="宋体" w:eastAsia="宋体" w:cs="宋体"/>
          <w:b/>
          <w:bCs w:val="0"/>
          <w:color w:val="000000"/>
          <w:sz w:val="28"/>
          <w:szCs w:val="24"/>
          <w:highlight w:val="none"/>
          <w:lang w:val="en-US" w:eastAsia="zh-CN"/>
        </w:rPr>
        <w:t>投标人资格声明函（格式自拟）</w:t>
      </w:r>
    </w:p>
    <w:p w14:paraId="7A75D29B">
      <w:pPr>
        <w:pStyle w:val="41"/>
        <w:spacing w:line="240" w:lineRule="auto"/>
        <w:ind w:left="0" w:leftChars="0" w:firstLine="480" w:firstLineChars="200"/>
        <w:jc w:val="both"/>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我公司</w:t>
      </w:r>
      <w:r>
        <w:rPr>
          <w:rFonts w:hint="eastAsia" w:ascii="宋体" w:hAnsi="宋体" w:eastAsia="宋体" w:cs="宋体"/>
          <w:b w:val="0"/>
          <w:bCs/>
          <w:color w:val="000000"/>
          <w:sz w:val="24"/>
          <w:szCs w:val="24"/>
          <w:highlight w:val="none"/>
          <w:u w:val="single"/>
          <w:lang w:val="en-US" w:eastAsia="zh-CN"/>
        </w:rPr>
        <w:t xml:space="preserve"> （供应商全称） </w:t>
      </w:r>
      <w:r>
        <w:rPr>
          <w:rFonts w:hint="eastAsia" w:ascii="宋体" w:hAnsi="宋体" w:eastAsia="宋体" w:cs="宋体"/>
          <w:b w:val="0"/>
          <w:bCs/>
          <w:color w:val="000000"/>
          <w:sz w:val="24"/>
          <w:szCs w:val="24"/>
          <w:highlight w:val="none"/>
          <w:lang w:val="en-US" w:eastAsia="zh-CN"/>
        </w:rPr>
        <w:t>收到</w:t>
      </w:r>
      <w:r>
        <w:rPr>
          <w:rFonts w:hint="eastAsia" w:ascii="宋体" w:hAnsi="宋体" w:eastAsia="宋体" w:cs="宋体"/>
          <w:b w:val="0"/>
          <w:bCs/>
          <w:color w:val="000000"/>
          <w:sz w:val="24"/>
          <w:szCs w:val="24"/>
          <w:highlight w:val="none"/>
          <w:u w:val="single"/>
          <w:lang w:val="en-US" w:eastAsia="zh-CN"/>
        </w:rPr>
        <w:t xml:space="preserve">                 </w:t>
      </w:r>
      <w:r>
        <w:rPr>
          <w:rFonts w:hint="eastAsia" w:ascii="宋体" w:hAnsi="宋体" w:eastAsia="宋体" w:cs="宋体"/>
          <w:b w:val="0"/>
          <w:bCs/>
          <w:color w:val="000000"/>
          <w:sz w:val="24"/>
          <w:szCs w:val="24"/>
          <w:highlight w:val="none"/>
          <w:lang w:val="en-US" w:eastAsia="zh-CN"/>
        </w:rPr>
        <w:t>项目（项目编号：</w:t>
      </w:r>
      <w:r>
        <w:rPr>
          <w:rFonts w:hint="eastAsia" w:ascii="宋体" w:hAnsi="宋体" w:eastAsia="宋体" w:cs="宋体"/>
          <w:b w:val="0"/>
          <w:bCs/>
          <w:color w:val="000000"/>
          <w:sz w:val="24"/>
          <w:szCs w:val="24"/>
          <w:highlight w:val="none"/>
          <w:u w:val="single"/>
          <w:lang w:val="en-US" w:eastAsia="zh-CN"/>
        </w:rPr>
        <w:t xml:space="preserve">      </w:t>
      </w:r>
      <w:r>
        <w:rPr>
          <w:rFonts w:hint="eastAsia" w:ascii="宋体" w:hAnsi="宋体" w:eastAsia="宋体" w:cs="宋体"/>
          <w:b w:val="0"/>
          <w:bCs/>
          <w:color w:val="000000"/>
          <w:sz w:val="24"/>
          <w:szCs w:val="24"/>
          <w:highlight w:val="none"/>
          <w:lang w:val="en-US" w:eastAsia="zh-CN"/>
        </w:rPr>
        <w:t>、标段号：</w:t>
      </w:r>
      <w:r>
        <w:rPr>
          <w:rFonts w:hint="eastAsia" w:ascii="宋体" w:hAnsi="宋体" w:eastAsia="宋体" w:cs="宋体"/>
          <w:b w:val="0"/>
          <w:bCs/>
          <w:color w:val="000000"/>
          <w:sz w:val="24"/>
          <w:szCs w:val="24"/>
          <w:highlight w:val="none"/>
          <w:u w:val="single"/>
          <w:lang w:val="en-US" w:eastAsia="zh-CN"/>
        </w:rPr>
        <w:t xml:space="preserve">        </w:t>
      </w:r>
      <w:r>
        <w:rPr>
          <w:rFonts w:hint="eastAsia" w:ascii="宋体" w:hAnsi="宋体" w:eastAsia="宋体" w:cs="宋体"/>
          <w:b w:val="0"/>
          <w:bCs/>
          <w:color w:val="000000"/>
          <w:sz w:val="24"/>
          <w:szCs w:val="24"/>
          <w:highlight w:val="none"/>
          <w:lang w:val="en-US" w:eastAsia="zh-CN"/>
        </w:rPr>
        <w:t>、标段名称：</w:t>
      </w:r>
      <w:r>
        <w:rPr>
          <w:rFonts w:hint="eastAsia" w:ascii="宋体" w:hAnsi="宋体" w:eastAsia="宋体" w:cs="宋体"/>
          <w:b w:val="0"/>
          <w:bCs/>
          <w:color w:val="000000"/>
          <w:sz w:val="24"/>
          <w:szCs w:val="24"/>
          <w:highlight w:val="none"/>
          <w:u w:val="single"/>
          <w:lang w:val="en-US" w:eastAsia="zh-CN"/>
        </w:rPr>
        <w:t xml:space="preserve">                 </w:t>
      </w:r>
      <w:r>
        <w:rPr>
          <w:rFonts w:hint="eastAsia" w:ascii="宋体" w:hAnsi="宋体" w:eastAsia="宋体" w:cs="宋体"/>
          <w:b w:val="0"/>
          <w:bCs/>
          <w:color w:val="000000"/>
          <w:sz w:val="24"/>
          <w:szCs w:val="24"/>
          <w:highlight w:val="none"/>
          <w:lang w:val="en-US" w:eastAsia="zh-CN"/>
        </w:rPr>
        <w:t xml:space="preserve"> ）的招标文件后，在完全理解该项目采购技术要求和商务条款的基础上，决定参加此次投标活动。我方保证具备履行合同所必需的服务和专业技术能力，并承诺如下：</w:t>
      </w:r>
    </w:p>
    <w:p w14:paraId="36A51D6B">
      <w:pPr>
        <w:topLinePunct/>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1、具有独立承担民事责任的能力；</w:t>
      </w:r>
    </w:p>
    <w:p w14:paraId="4D874AD4">
      <w:pPr>
        <w:topLinePunct/>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2、具有良好的商业信誉和健全的财务会计制度；</w:t>
      </w:r>
    </w:p>
    <w:p w14:paraId="65EF204A">
      <w:pPr>
        <w:topLinePunct/>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3、具有履行合同所必需的货物和专业技术能力；</w:t>
      </w:r>
    </w:p>
    <w:p w14:paraId="6FE94832">
      <w:pPr>
        <w:topLinePunct/>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4、有依法缴纳税收和社会保障资金的良好记录；</w:t>
      </w:r>
    </w:p>
    <w:p w14:paraId="2B472A10">
      <w:pPr>
        <w:topLinePunct/>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5、参加政府采购活动前三年内，在经营活动中没有重大违法记录；</w:t>
      </w:r>
    </w:p>
    <w:p w14:paraId="68F23CF8">
      <w:pPr>
        <w:topLinePunct/>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6、法律、行政法规规定的其他条件；</w:t>
      </w:r>
    </w:p>
    <w:p w14:paraId="3B23B703">
      <w:pPr>
        <w:topLinePunct/>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7、具备承担和实施本次采购内容相关的经营许可或相关代理授权。</w:t>
      </w:r>
    </w:p>
    <w:p w14:paraId="69F1CBA9">
      <w:pPr>
        <w:topLinePunct/>
        <w:spacing w:line="44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单位负责人为同一人或者存在直接控股、管理关系的不同供应商，不得同时参加本采购项目（或采购包）投标（响应）。为本项目提供整体设计、规范编制或者项目管理、监理、检测等服务的供应商，不得再参与本项目投标（响应）。</w:t>
      </w:r>
    </w:p>
    <w:p w14:paraId="30A16014">
      <w:pPr>
        <w:pStyle w:val="41"/>
        <w:spacing w:line="240" w:lineRule="auto"/>
        <w:ind w:left="0" w:leftChars="0" w:firstLine="480" w:firstLineChars="200"/>
        <w:jc w:val="both"/>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供应商名称（电子公章）：</w:t>
      </w:r>
    </w:p>
    <w:p w14:paraId="1017120F">
      <w:pPr>
        <w:pStyle w:val="41"/>
        <w:spacing w:line="240" w:lineRule="auto"/>
        <w:ind w:left="0" w:leftChars="0" w:firstLine="480" w:firstLineChars="200"/>
        <w:jc w:val="both"/>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法定代表人或其授权代表（签字）：</w:t>
      </w:r>
    </w:p>
    <w:p w14:paraId="04FB1F84">
      <w:pPr>
        <w:pStyle w:val="41"/>
        <w:spacing w:line="240" w:lineRule="auto"/>
        <w:ind w:left="0" w:leftChars="0" w:firstLine="480" w:firstLineChars="200"/>
        <w:jc w:val="both"/>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日期：   年   月    日</w:t>
      </w:r>
    </w:p>
    <w:p w14:paraId="1CF0D592">
      <w:pPr>
        <w:pStyle w:val="23"/>
        <w:numPr>
          <w:ilvl w:val="0"/>
          <w:numId w:val="0"/>
        </w:numPr>
        <w:overflowPunct w:val="0"/>
        <w:snapToGrid w:val="0"/>
        <w:spacing w:line="360" w:lineRule="auto"/>
        <w:jc w:val="both"/>
        <w:rPr>
          <w:rFonts w:hint="eastAsia" w:ascii="宋体" w:hAnsi="宋体" w:eastAsia="宋体" w:cs="宋体"/>
          <w:b w:val="0"/>
          <w:bCs/>
          <w:color w:val="auto"/>
          <w:kern w:val="2"/>
          <w:sz w:val="21"/>
          <w:szCs w:val="20"/>
          <w:highlight w:val="none"/>
          <w:lang w:val="en-US" w:eastAsia="zh-CN" w:bidi="ar-SA"/>
        </w:rPr>
      </w:pPr>
    </w:p>
    <w:p w14:paraId="79D04BBC">
      <w:pPr>
        <w:rPr>
          <w:rFonts w:hint="eastAsia" w:ascii="宋体" w:hAnsi="宋体" w:eastAsia="宋体" w:cs="宋体"/>
          <w:b w:val="0"/>
          <w:bCs/>
          <w:color w:val="auto"/>
          <w:kern w:val="2"/>
          <w:sz w:val="21"/>
          <w:szCs w:val="20"/>
          <w:highlight w:val="none"/>
          <w:lang w:val="en-US" w:eastAsia="zh-CN" w:bidi="ar-SA"/>
        </w:rPr>
      </w:pPr>
    </w:p>
    <w:p w14:paraId="0466CC8A">
      <w:pPr>
        <w:pStyle w:val="20"/>
        <w:rPr>
          <w:rFonts w:hint="eastAsia" w:ascii="宋体" w:hAnsi="宋体" w:eastAsia="宋体" w:cs="宋体"/>
          <w:b w:val="0"/>
          <w:bCs/>
          <w:color w:val="auto"/>
          <w:kern w:val="2"/>
          <w:sz w:val="21"/>
          <w:szCs w:val="20"/>
          <w:highlight w:val="none"/>
          <w:lang w:val="en-US" w:eastAsia="zh-CN" w:bidi="ar-SA"/>
        </w:rPr>
      </w:pPr>
    </w:p>
    <w:p w14:paraId="578B41DF">
      <w:pPr>
        <w:pStyle w:val="23"/>
        <w:numPr>
          <w:ilvl w:val="0"/>
          <w:numId w:val="0"/>
        </w:numPr>
        <w:overflowPunct w:val="0"/>
        <w:snapToGrid w:val="0"/>
        <w:spacing w:line="360" w:lineRule="auto"/>
        <w:jc w:val="both"/>
        <w:rPr>
          <w:rFonts w:hint="eastAsia" w:ascii="宋体" w:hAnsi="宋体" w:eastAsia="宋体" w:cs="宋体"/>
          <w:b/>
          <w:bCs w:val="0"/>
          <w:color w:val="auto"/>
          <w:kern w:val="2"/>
          <w:sz w:val="32"/>
          <w:szCs w:val="28"/>
          <w:highlight w:val="none"/>
          <w:lang w:val="en-US" w:eastAsia="zh-CN" w:bidi="ar-SA"/>
        </w:rPr>
      </w:pPr>
    </w:p>
    <w:p w14:paraId="6486EC50">
      <w:pPr>
        <w:pStyle w:val="23"/>
        <w:numPr>
          <w:ilvl w:val="0"/>
          <w:numId w:val="0"/>
        </w:numPr>
        <w:overflowPunct w:val="0"/>
        <w:snapToGrid w:val="0"/>
        <w:spacing w:line="360" w:lineRule="auto"/>
        <w:jc w:val="both"/>
        <w:rPr>
          <w:rFonts w:hint="eastAsia" w:ascii="宋体" w:hAnsi="宋体" w:eastAsia="宋体" w:cs="宋体"/>
          <w:b/>
          <w:bCs w:val="0"/>
          <w:color w:val="auto"/>
          <w:kern w:val="2"/>
          <w:sz w:val="32"/>
          <w:szCs w:val="28"/>
          <w:highlight w:val="none"/>
          <w:lang w:val="en-US" w:eastAsia="zh-CN" w:bidi="ar-SA"/>
        </w:rPr>
      </w:pPr>
    </w:p>
    <w:p w14:paraId="39411073">
      <w:pPr>
        <w:pStyle w:val="23"/>
        <w:numPr>
          <w:ilvl w:val="0"/>
          <w:numId w:val="0"/>
        </w:numPr>
        <w:overflowPunct w:val="0"/>
        <w:snapToGrid w:val="0"/>
        <w:spacing w:line="360" w:lineRule="auto"/>
        <w:jc w:val="both"/>
        <w:rPr>
          <w:rFonts w:hint="eastAsia" w:ascii="宋体" w:hAnsi="宋体" w:eastAsia="宋体" w:cs="宋体"/>
          <w:b/>
          <w:bCs w:val="0"/>
          <w:color w:val="auto"/>
          <w:kern w:val="2"/>
          <w:sz w:val="32"/>
          <w:szCs w:val="28"/>
          <w:highlight w:val="none"/>
          <w:lang w:val="en-US" w:eastAsia="zh-CN" w:bidi="ar-SA"/>
        </w:rPr>
      </w:pPr>
    </w:p>
    <w:p w14:paraId="21944EE2">
      <w:pPr>
        <w:pStyle w:val="24"/>
        <w:rPr>
          <w:rFonts w:hint="eastAsia" w:ascii="宋体" w:hAnsi="宋体" w:eastAsia="宋体" w:cs="宋体"/>
          <w:b/>
          <w:bCs w:val="0"/>
          <w:color w:val="auto"/>
          <w:kern w:val="2"/>
          <w:sz w:val="32"/>
          <w:szCs w:val="28"/>
          <w:highlight w:val="none"/>
          <w:lang w:val="en-US" w:eastAsia="zh-CN" w:bidi="ar-SA"/>
        </w:rPr>
      </w:pPr>
    </w:p>
    <w:p w14:paraId="2D315340">
      <w:pPr>
        <w:pStyle w:val="24"/>
        <w:rPr>
          <w:rFonts w:hint="eastAsia" w:ascii="宋体" w:hAnsi="宋体" w:eastAsia="宋体" w:cs="宋体"/>
          <w:b/>
          <w:bCs w:val="0"/>
          <w:color w:val="auto"/>
          <w:kern w:val="2"/>
          <w:sz w:val="32"/>
          <w:szCs w:val="28"/>
          <w:highlight w:val="none"/>
          <w:lang w:val="en-US" w:eastAsia="zh-CN" w:bidi="ar-SA"/>
        </w:rPr>
      </w:pPr>
    </w:p>
    <w:p w14:paraId="12DDC37C">
      <w:pPr>
        <w:pStyle w:val="24"/>
        <w:rPr>
          <w:rFonts w:hint="eastAsia" w:ascii="宋体" w:hAnsi="宋体" w:eastAsia="宋体" w:cs="宋体"/>
          <w:b/>
          <w:bCs w:val="0"/>
          <w:color w:val="auto"/>
          <w:kern w:val="2"/>
          <w:sz w:val="32"/>
          <w:szCs w:val="28"/>
          <w:highlight w:val="none"/>
          <w:lang w:val="en-US" w:eastAsia="zh-CN" w:bidi="ar-SA"/>
        </w:rPr>
      </w:pPr>
    </w:p>
    <w:p w14:paraId="47629CF3">
      <w:pPr>
        <w:rPr>
          <w:rFonts w:hint="eastAsia" w:ascii="宋体" w:hAnsi="宋体" w:eastAsia="宋体" w:cs="宋体"/>
          <w:highlight w:val="none"/>
          <w:lang w:val="en-US" w:eastAsia="zh-CN"/>
        </w:rPr>
      </w:pPr>
    </w:p>
    <w:p w14:paraId="6D80376D">
      <w:pPr>
        <w:pStyle w:val="23"/>
        <w:numPr>
          <w:ilvl w:val="0"/>
          <w:numId w:val="0"/>
        </w:numPr>
        <w:overflowPunct w:val="0"/>
        <w:snapToGrid w:val="0"/>
        <w:spacing w:line="360" w:lineRule="auto"/>
        <w:jc w:val="both"/>
        <w:rPr>
          <w:rFonts w:hint="eastAsia" w:ascii="宋体" w:hAnsi="宋体" w:eastAsia="宋体" w:cs="宋体"/>
          <w:b/>
          <w:bCs w:val="0"/>
          <w:color w:val="auto"/>
          <w:kern w:val="2"/>
          <w:sz w:val="32"/>
          <w:szCs w:val="28"/>
          <w:highlight w:val="none"/>
          <w:lang w:val="en-US" w:eastAsia="zh-CN" w:bidi="ar-SA"/>
        </w:rPr>
      </w:pPr>
      <w:r>
        <w:rPr>
          <w:rFonts w:hint="eastAsia" w:ascii="宋体" w:hAnsi="宋体" w:eastAsia="宋体" w:cs="宋体"/>
          <w:b/>
          <w:color w:val="000000"/>
          <w:kern w:val="2"/>
          <w:sz w:val="28"/>
          <w:szCs w:val="24"/>
          <w:highlight w:val="none"/>
          <w:lang w:val="en-US" w:eastAsia="zh-CN" w:bidi="ar-SA"/>
        </w:rPr>
        <w:t>附件十</w:t>
      </w:r>
    </w:p>
    <w:p w14:paraId="39FC8DF2">
      <w:pPr>
        <w:pStyle w:val="23"/>
        <w:numPr>
          <w:ilvl w:val="0"/>
          <w:numId w:val="0"/>
        </w:numPr>
        <w:overflowPunct w:val="0"/>
        <w:snapToGrid w:val="0"/>
        <w:spacing w:line="360" w:lineRule="auto"/>
        <w:jc w:val="center"/>
        <w:rPr>
          <w:rFonts w:hint="eastAsia" w:ascii="宋体" w:hAnsi="宋体" w:eastAsia="宋体" w:cs="宋体"/>
          <w:b w:val="0"/>
          <w:bCs/>
          <w:color w:val="auto"/>
          <w:kern w:val="2"/>
          <w:sz w:val="21"/>
          <w:szCs w:val="20"/>
          <w:highlight w:val="none"/>
          <w:lang w:val="en-US" w:eastAsia="zh-CN" w:bidi="ar-SA"/>
        </w:rPr>
      </w:pPr>
    </w:p>
    <w:p w14:paraId="76874026">
      <w:pPr>
        <w:pStyle w:val="23"/>
        <w:numPr>
          <w:ilvl w:val="0"/>
          <w:numId w:val="0"/>
        </w:numPr>
        <w:overflowPunct w:val="0"/>
        <w:snapToGrid w:val="0"/>
        <w:spacing w:line="360" w:lineRule="auto"/>
        <w:jc w:val="center"/>
        <w:rPr>
          <w:rFonts w:hint="eastAsia" w:ascii="宋体" w:hAnsi="宋体" w:eastAsia="宋体" w:cs="宋体"/>
          <w:b w:val="0"/>
          <w:bCs/>
          <w:color w:val="auto"/>
          <w:kern w:val="2"/>
          <w:sz w:val="21"/>
          <w:szCs w:val="20"/>
          <w:highlight w:val="none"/>
          <w:lang w:val="en-US" w:eastAsia="zh-CN" w:bidi="ar-SA"/>
        </w:rPr>
      </w:pPr>
    </w:p>
    <w:p w14:paraId="78749762">
      <w:pPr>
        <w:pStyle w:val="23"/>
        <w:numPr>
          <w:ilvl w:val="0"/>
          <w:numId w:val="0"/>
        </w:numPr>
        <w:overflowPunct w:val="0"/>
        <w:snapToGrid w:val="0"/>
        <w:spacing w:line="360" w:lineRule="auto"/>
        <w:jc w:val="center"/>
        <w:rPr>
          <w:rFonts w:hint="eastAsia" w:ascii="宋体" w:hAnsi="宋体" w:eastAsia="宋体" w:cs="宋体"/>
          <w:b w:val="0"/>
          <w:bCs/>
          <w:color w:val="auto"/>
          <w:kern w:val="2"/>
          <w:sz w:val="21"/>
          <w:szCs w:val="20"/>
          <w:highlight w:val="none"/>
          <w:lang w:val="en-US" w:eastAsia="zh-CN" w:bidi="ar-SA"/>
        </w:rPr>
      </w:pPr>
    </w:p>
    <w:p w14:paraId="6C2EC1BC">
      <w:pPr>
        <w:pStyle w:val="23"/>
        <w:numPr>
          <w:ilvl w:val="0"/>
          <w:numId w:val="0"/>
        </w:numPr>
        <w:overflowPunct w:val="0"/>
        <w:snapToGrid w:val="0"/>
        <w:spacing w:line="360" w:lineRule="auto"/>
        <w:jc w:val="center"/>
        <w:rPr>
          <w:rFonts w:hint="eastAsia" w:ascii="宋体" w:hAnsi="宋体" w:eastAsia="宋体" w:cs="宋体"/>
          <w:b w:val="0"/>
          <w:bCs/>
          <w:color w:val="auto"/>
          <w:kern w:val="2"/>
          <w:sz w:val="21"/>
          <w:szCs w:val="20"/>
          <w:highlight w:val="none"/>
          <w:lang w:val="en-US" w:eastAsia="zh-CN" w:bidi="ar-SA"/>
        </w:rPr>
      </w:pPr>
    </w:p>
    <w:p w14:paraId="33BCD8CA">
      <w:pPr>
        <w:pStyle w:val="23"/>
        <w:numPr>
          <w:ilvl w:val="0"/>
          <w:numId w:val="0"/>
        </w:numPr>
        <w:overflowPunct w:val="0"/>
        <w:snapToGrid w:val="0"/>
        <w:spacing w:line="360" w:lineRule="auto"/>
        <w:jc w:val="center"/>
        <w:rPr>
          <w:rFonts w:hint="eastAsia" w:ascii="宋体" w:hAnsi="宋体" w:eastAsia="宋体" w:cs="宋体"/>
          <w:b w:val="0"/>
          <w:bCs/>
          <w:color w:val="auto"/>
          <w:kern w:val="2"/>
          <w:sz w:val="21"/>
          <w:szCs w:val="20"/>
          <w:highlight w:val="none"/>
          <w:lang w:val="en-US" w:eastAsia="zh-CN" w:bidi="ar-SA"/>
        </w:rPr>
      </w:pPr>
      <w:r>
        <w:rPr>
          <w:rFonts w:hint="eastAsia" w:ascii="宋体" w:hAnsi="宋体" w:eastAsia="宋体" w:cs="宋体"/>
          <w:b w:val="0"/>
          <w:bCs/>
          <w:color w:val="auto"/>
          <w:kern w:val="2"/>
          <w:sz w:val="21"/>
          <w:szCs w:val="20"/>
          <w:highlight w:val="none"/>
          <w:lang w:val="en-US" w:eastAsia="zh-CN" w:bidi="ar-SA"/>
        </w:rPr>
        <w:t>信用中国（www.creditchina.gov.cn）查询结果</w:t>
      </w:r>
    </w:p>
    <w:p w14:paraId="163F6FFE">
      <w:pPr>
        <w:jc w:val="center"/>
        <w:rPr>
          <w:rFonts w:hint="eastAsia" w:ascii="宋体" w:hAnsi="宋体" w:eastAsia="宋体" w:cs="宋体"/>
          <w:b w:val="0"/>
          <w:bCs/>
          <w:color w:val="auto"/>
          <w:kern w:val="2"/>
          <w:sz w:val="21"/>
          <w:szCs w:val="20"/>
          <w:highlight w:val="none"/>
          <w:lang w:val="en-US" w:eastAsia="zh-CN" w:bidi="ar-SA"/>
        </w:rPr>
      </w:pPr>
    </w:p>
    <w:p w14:paraId="297D6A58">
      <w:pPr>
        <w:pStyle w:val="6"/>
        <w:jc w:val="center"/>
        <w:outlineLvl w:val="9"/>
        <w:rPr>
          <w:rFonts w:hint="eastAsia" w:ascii="宋体" w:hAnsi="宋体" w:eastAsia="宋体" w:cs="宋体"/>
          <w:b w:val="0"/>
          <w:bCs/>
          <w:color w:val="auto"/>
          <w:kern w:val="2"/>
          <w:sz w:val="21"/>
          <w:szCs w:val="20"/>
          <w:highlight w:val="none"/>
          <w:lang w:val="en-US" w:eastAsia="zh-CN" w:bidi="ar-SA"/>
        </w:rPr>
      </w:pPr>
    </w:p>
    <w:p w14:paraId="1EF76C1B">
      <w:pPr>
        <w:jc w:val="center"/>
        <w:rPr>
          <w:rFonts w:hint="eastAsia" w:ascii="宋体" w:hAnsi="宋体" w:eastAsia="宋体" w:cs="宋体"/>
          <w:b w:val="0"/>
          <w:bCs/>
          <w:color w:val="auto"/>
          <w:kern w:val="2"/>
          <w:sz w:val="21"/>
          <w:szCs w:val="20"/>
          <w:highlight w:val="none"/>
          <w:lang w:val="en-US" w:eastAsia="zh-CN" w:bidi="ar-SA"/>
        </w:rPr>
      </w:pPr>
    </w:p>
    <w:p w14:paraId="67793717">
      <w:pPr>
        <w:pStyle w:val="23"/>
        <w:numPr>
          <w:ilvl w:val="0"/>
          <w:numId w:val="0"/>
        </w:numPr>
        <w:overflowPunct w:val="0"/>
        <w:snapToGrid w:val="0"/>
        <w:spacing w:line="360" w:lineRule="auto"/>
        <w:ind w:firstLine="2520" w:firstLineChars="1200"/>
        <w:jc w:val="both"/>
        <w:rPr>
          <w:rFonts w:hint="eastAsia" w:ascii="宋体" w:hAnsi="宋体" w:eastAsia="宋体" w:cs="宋体"/>
          <w:b/>
          <w:bCs w:val="0"/>
          <w:color w:val="auto"/>
          <w:kern w:val="2"/>
          <w:sz w:val="32"/>
          <w:szCs w:val="28"/>
          <w:highlight w:val="none"/>
          <w:lang w:val="en-US" w:eastAsia="zh-CN" w:bidi="ar-SA"/>
        </w:rPr>
        <w:sectPr>
          <w:type w:val="continuous"/>
          <w:pgSz w:w="11905" w:h="16838"/>
          <w:pgMar w:top="1304" w:right="964" w:bottom="1020" w:left="1191" w:header="567" w:footer="454" w:gutter="0"/>
          <w:pgNumType w:fmt="decimal"/>
          <w:cols w:space="720" w:num="1"/>
          <w:rtlGutter w:val="0"/>
          <w:docGrid w:type="lines" w:linePitch="317" w:charSpace="0"/>
        </w:sectPr>
      </w:pPr>
      <w:r>
        <w:rPr>
          <w:rFonts w:hint="eastAsia" w:ascii="宋体" w:hAnsi="宋体" w:eastAsia="宋体" w:cs="宋体"/>
          <w:b w:val="0"/>
          <w:bCs/>
          <w:color w:val="auto"/>
          <w:kern w:val="2"/>
          <w:sz w:val="21"/>
          <w:szCs w:val="20"/>
          <w:highlight w:val="none"/>
          <w:lang w:val="en-US" w:eastAsia="zh-CN" w:bidi="ar-SA"/>
        </w:rPr>
        <w:t>中国政府采购网（www.ccgp.gov.cn）查询结果；</w:t>
      </w:r>
    </w:p>
    <w:p w14:paraId="10F5CA03">
      <w:pPr>
        <w:pStyle w:val="23"/>
        <w:numPr>
          <w:ilvl w:val="0"/>
          <w:numId w:val="0"/>
        </w:numPr>
        <w:overflowPunct w:val="0"/>
        <w:snapToGrid w:val="0"/>
        <w:spacing w:line="360" w:lineRule="auto"/>
        <w:jc w:val="both"/>
        <w:rPr>
          <w:rFonts w:hint="eastAsia" w:ascii="宋体" w:hAnsi="宋体" w:eastAsia="宋体" w:cs="宋体"/>
          <w:b/>
          <w:bCs w:val="0"/>
          <w:color w:val="auto"/>
          <w:kern w:val="2"/>
          <w:sz w:val="32"/>
          <w:szCs w:val="28"/>
          <w:highlight w:val="none"/>
          <w:lang w:val="en-US" w:eastAsia="zh-CN" w:bidi="ar-SA"/>
        </w:rPr>
      </w:pPr>
    </w:p>
    <w:p w14:paraId="13068186">
      <w:pPr>
        <w:rPr>
          <w:rFonts w:hint="eastAsia" w:ascii="宋体" w:hAnsi="宋体" w:eastAsia="宋体" w:cs="宋体"/>
          <w:b/>
          <w:color w:val="000000"/>
          <w:kern w:val="2"/>
          <w:sz w:val="28"/>
          <w:szCs w:val="24"/>
          <w:highlight w:val="none"/>
          <w:lang w:val="en-US" w:eastAsia="zh-CN" w:bidi="ar-SA"/>
        </w:rPr>
      </w:pPr>
      <w:r>
        <w:rPr>
          <w:rFonts w:hint="eastAsia" w:ascii="宋体" w:hAnsi="宋体" w:eastAsia="宋体" w:cs="宋体"/>
          <w:b/>
          <w:color w:val="000000"/>
          <w:kern w:val="2"/>
          <w:sz w:val="28"/>
          <w:szCs w:val="24"/>
          <w:highlight w:val="none"/>
          <w:lang w:val="en-US" w:eastAsia="zh-CN" w:bidi="ar-SA"/>
        </w:rPr>
        <w:br w:type="page"/>
      </w:r>
    </w:p>
    <w:p w14:paraId="4993ACBC">
      <w:pPr>
        <w:pStyle w:val="23"/>
        <w:numPr>
          <w:ilvl w:val="0"/>
          <w:numId w:val="0"/>
        </w:numPr>
        <w:overflowPunct w:val="0"/>
        <w:snapToGrid w:val="0"/>
        <w:spacing w:line="360" w:lineRule="auto"/>
        <w:jc w:val="both"/>
        <w:rPr>
          <w:rFonts w:hint="eastAsia" w:ascii="宋体" w:hAnsi="宋体" w:eastAsia="宋体" w:cs="宋体"/>
          <w:b/>
          <w:color w:val="000000"/>
          <w:kern w:val="2"/>
          <w:sz w:val="28"/>
          <w:szCs w:val="24"/>
          <w:highlight w:val="none"/>
          <w:lang w:val="en-US" w:eastAsia="zh-CN" w:bidi="ar-SA"/>
        </w:rPr>
      </w:pPr>
      <w:r>
        <w:rPr>
          <w:rFonts w:hint="eastAsia" w:ascii="宋体" w:hAnsi="宋体" w:eastAsia="宋体" w:cs="宋体"/>
          <w:b/>
          <w:color w:val="000000"/>
          <w:kern w:val="2"/>
          <w:sz w:val="28"/>
          <w:szCs w:val="24"/>
          <w:highlight w:val="none"/>
          <w:lang w:val="en-US" w:eastAsia="zh-CN" w:bidi="ar-SA"/>
        </w:rPr>
        <w:t>附件十一</w:t>
      </w:r>
    </w:p>
    <w:p w14:paraId="747B630C">
      <w:pPr>
        <w:pStyle w:val="23"/>
        <w:numPr>
          <w:ilvl w:val="0"/>
          <w:numId w:val="0"/>
        </w:numPr>
        <w:overflowPunct w:val="0"/>
        <w:snapToGrid w:val="0"/>
        <w:spacing w:line="360" w:lineRule="auto"/>
        <w:jc w:val="both"/>
        <w:rPr>
          <w:rFonts w:hint="eastAsia" w:ascii="宋体" w:hAnsi="宋体" w:eastAsia="宋体" w:cs="宋体"/>
          <w:b/>
          <w:color w:val="000000"/>
          <w:kern w:val="2"/>
          <w:sz w:val="28"/>
          <w:szCs w:val="24"/>
          <w:highlight w:val="none"/>
          <w:lang w:val="en-US" w:eastAsia="zh-CN" w:bidi="ar-SA"/>
        </w:rPr>
      </w:pPr>
    </w:p>
    <w:p w14:paraId="04BEC15A">
      <w:pPr>
        <w:pStyle w:val="23"/>
        <w:numPr>
          <w:ilvl w:val="0"/>
          <w:numId w:val="0"/>
        </w:numPr>
        <w:overflowPunct w:val="0"/>
        <w:snapToGrid w:val="0"/>
        <w:spacing w:line="360" w:lineRule="auto"/>
        <w:jc w:val="both"/>
        <w:rPr>
          <w:rFonts w:hint="eastAsia" w:ascii="宋体" w:hAnsi="宋体" w:eastAsia="宋体" w:cs="宋体"/>
          <w:b/>
          <w:color w:val="000000"/>
          <w:kern w:val="2"/>
          <w:sz w:val="28"/>
          <w:szCs w:val="24"/>
          <w:highlight w:val="none"/>
          <w:lang w:val="en-US" w:eastAsia="zh-CN" w:bidi="ar-SA"/>
        </w:rPr>
      </w:pPr>
    </w:p>
    <w:p w14:paraId="525CD68A">
      <w:pPr>
        <w:pStyle w:val="23"/>
        <w:numPr>
          <w:ilvl w:val="0"/>
          <w:numId w:val="0"/>
        </w:numPr>
        <w:overflowPunct w:val="0"/>
        <w:snapToGrid w:val="0"/>
        <w:spacing w:line="360" w:lineRule="auto"/>
        <w:jc w:val="both"/>
        <w:rPr>
          <w:rFonts w:hint="eastAsia" w:ascii="宋体" w:hAnsi="宋体" w:eastAsia="宋体" w:cs="宋体"/>
          <w:b w:val="0"/>
          <w:bCs/>
          <w:color w:val="auto"/>
          <w:kern w:val="2"/>
          <w:sz w:val="21"/>
          <w:szCs w:val="20"/>
          <w:highlight w:val="none"/>
          <w:lang w:val="en-US" w:eastAsia="zh-CN" w:bidi="ar-SA"/>
        </w:rPr>
      </w:pPr>
      <w:r>
        <w:rPr>
          <w:rFonts w:hint="eastAsia" w:ascii="宋体" w:hAnsi="宋体" w:eastAsia="宋体" w:cs="宋体"/>
          <w:b w:val="0"/>
          <w:bCs/>
          <w:color w:val="auto"/>
          <w:kern w:val="2"/>
          <w:sz w:val="21"/>
          <w:szCs w:val="20"/>
          <w:highlight w:val="none"/>
          <w:lang w:val="en-US" w:eastAsia="zh-CN" w:bidi="ar-SA"/>
        </w:rPr>
        <w:t>投标单位的依法缴纳税收和社会保障资金的良好记录；具有良好的商业信誉和健全的财务会计制度需提</w:t>
      </w:r>
    </w:p>
    <w:p w14:paraId="0B745C38">
      <w:pPr>
        <w:pStyle w:val="23"/>
        <w:numPr>
          <w:ilvl w:val="0"/>
          <w:numId w:val="0"/>
        </w:numPr>
        <w:overflowPunct w:val="0"/>
        <w:snapToGrid w:val="0"/>
        <w:spacing w:line="360" w:lineRule="auto"/>
        <w:jc w:val="both"/>
        <w:rPr>
          <w:rFonts w:hint="eastAsia" w:ascii="宋体" w:hAnsi="宋体" w:eastAsia="宋体" w:cs="宋体"/>
          <w:b w:val="0"/>
          <w:bCs/>
          <w:color w:val="auto"/>
          <w:kern w:val="2"/>
          <w:sz w:val="21"/>
          <w:szCs w:val="20"/>
          <w:highlight w:val="none"/>
          <w:lang w:val="en-US" w:eastAsia="zh-CN" w:bidi="ar-SA"/>
        </w:rPr>
      </w:pPr>
      <w:r>
        <w:rPr>
          <w:rFonts w:hint="eastAsia" w:ascii="宋体" w:hAnsi="宋体" w:eastAsia="宋体" w:cs="宋体"/>
          <w:b w:val="0"/>
          <w:bCs/>
          <w:color w:val="auto"/>
          <w:kern w:val="2"/>
          <w:sz w:val="21"/>
          <w:szCs w:val="20"/>
          <w:highlight w:val="none"/>
          <w:lang w:val="en-US" w:eastAsia="zh-CN" w:bidi="ar-SA"/>
        </w:rPr>
        <w:t>202</w:t>
      </w:r>
      <w:r>
        <w:rPr>
          <w:rFonts w:hint="eastAsia" w:ascii="宋体" w:hAnsi="宋体" w:cs="宋体"/>
          <w:b w:val="0"/>
          <w:bCs/>
          <w:color w:val="auto"/>
          <w:kern w:val="2"/>
          <w:sz w:val="21"/>
          <w:szCs w:val="20"/>
          <w:highlight w:val="none"/>
          <w:lang w:val="en-US" w:eastAsia="zh-CN" w:bidi="ar-SA"/>
        </w:rPr>
        <w:t>3</w:t>
      </w:r>
      <w:r>
        <w:rPr>
          <w:rFonts w:hint="eastAsia" w:ascii="宋体" w:hAnsi="宋体" w:eastAsia="宋体" w:cs="宋体"/>
          <w:b w:val="0"/>
          <w:bCs/>
          <w:color w:val="auto"/>
          <w:kern w:val="2"/>
          <w:sz w:val="21"/>
          <w:szCs w:val="20"/>
          <w:highlight w:val="none"/>
          <w:lang w:val="en-US" w:eastAsia="zh-CN" w:bidi="ar-SA"/>
        </w:rPr>
        <w:t>财务审计报告）</w:t>
      </w:r>
    </w:p>
    <w:p w14:paraId="3487EE2A">
      <w:pPr>
        <w:pStyle w:val="23"/>
        <w:numPr>
          <w:ilvl w:val="0"/>
          <w:numId w:val="0"/>
        </w:numPr>
        <w:overflowPunct w:val="0"/>
        <w:snapToGrid w:val="0"/>
        <w:spacing w:line="360" w:lineRule="auto"/>
        <w:ind w:leftChars="0"/>
        <w:jc w:val="both"/>
        <w:rPr>
          <w:rFonts w:hint="eastAsia" w:ascii="宋体" w:hAnsi="宋体" w:eastAsia="宋体" w:cs="宋体"/>
          <w:b/>
          <w:bCs w:val="0"/>
          <w:color w:val="auto"/>
          <w:kern w:val="2"/>
          <w:sz w:val="32"/>
          <w:szCs w:val="28"/>
          <w:highlight w:val="none"/>
          <w:lang w:val="en-US" w:eastAsia="zh-CN" w:bidi="ar-SA"/>
        </w:rPr>
      </w:pPr>
    </w:p>
    <w:p w14:paraId="30C0290F">
      <w:pPr>
        <w:pStyle w:val="23"/>
        <w:numPr>
          <w:ilvl w:val="0"/>
          <w:numId w:val="0"/>
        </w:numPr>
        <w:overflowPunct w:val="0"/>
        <w:snapToGrid w:val="0"/>
        <w:spacing w:line="360" w:lineRule="auto"/>
        <w:ind w:leftChars="0"/>
        <w:jc w:val="both"/>
        <w:rPr>
          <w:rFonts w:hint="eastAsia" w:ascii="宋体" w:hAnsi="宋体" w:eastAsia="宋体" w:cs="宋体"/>
          <w:b/>
          <w:bCs w:val="0"/>
          <w:color w:val="auto"/>
          <w:kern w:val="2"/>
          <w:sz w:val="32"/>
          <w:szCs w:val="28"/>
          <w:highlight w:val="none"/>
          <w:lang w:val="en-US" w:eastAsia="zh-CN" w:bidi="ar-SA"/>
        </w:rPr>
      </w:pPr>
    </w:p>
    <w:p w14:paraId="6B486D2E">
      <w:pPr>
        <w:pStyle w:val="23"/>
        <w:numPr>
          <w:ilvl w:val="0"/>
          <w:numId w:val="0"/>
        </w:numPr>
        <w:overflowPunct w:val="0"/>
        <w:snapToGrid w:val="0"/>
        <w:spacing w:line="360" w:lineRule="auto"/>
        <w:ind w:leftChars="0"/>
        <w:jc w:val="both"/>
        <w:rPr>
          <w:rFonts w:hint="eastAsia" w:ascii="宋体" w:hAnsi="宋体" w:eastAsia="宋体" w:cs="宋体"/>
          <w:b/>
          <w:bCs w:val="0"/>
          <w:color w:val="auto"/>
          <w:kern w:val="2"/>
          <w:sz w:val="32"/>
          <w:szCs w:val="28"/>
          <w:highlight w:val="none"/>
          <w:lang w:val="en-US" w:eastAsia="zh-CN" w:bidi="ar-SA"/>
        </w:rPr>
      </w:pPr>
    </w:p>
    <w:p w14:paraId="7EAB0E0F">
      <w:pPr>
        <w:pStyle w:val="23"/>
        <w:numPr>
          <w:ilvl w:val="0"/>
          <w:numId w:val="0"/>
        </w:numPr>
        <w:overflowPunct w:val="0"/>
        <w:snapToGrid w:val="0"/>
        <w:spacing w:line="360" w:lineRule="auto"/>
        <w:ind w:leftChars="0"/>
        <w:jc w:val="both"/>
        <w:rPr>
          <w:rFonts w:hint="eastAsia" w:ascii="宋体" w:hAnsi="宋体" w:eastAsia="宋体" w:cs="宋体"/>
          <w:b/>
          <w:bCs w:val="0"/>
          <w:color w:val="auto"/>
          <w:kern w:val="2"/>
          <w:sz w:val="32"/>
          <w:szCs w:val="28"/>
          <w:highlight w:val="none"/>
          <w:lang w:val="en-US" w:eastAsia="zh-CN" w:bidi="ar-SA"/>
        </w:rPr>
      </w:pPr>
    </w:p>
    <w:p w14:paraId="46CB657B">
      <w:pPr>
        <w:pStyle w:val="23"/>
        <w:numPr>
          <w:ilvl w:val="0"/>
          <w:numId w:val="0"/>
        </w:numPr>
        <w:overflowPunct w:val="0"/>
        <w:snapToGrid w:val="0"/>
        <w:spacing w:line="360" w:lineRule="auto"/>
        <w:ind w:leftChars="0"/>
        <w:jc w:val="both"/>
        <w:rPr>
          <w:rFonts w:hint="eastAsia" w:ascii="宋体" w:hAnsi="宋体" w:eastAsia="宋体" w:cs="宋体"/>
          <w:b/>
          <w:bCs w:val="0"/>
          <w:color w:val="auto"/>
          <w:kern w:val="2"/>
          <w:sz w:val="32"/>
          <w:szCs w:val="28"/>
          <w:highlight w:val="none"/>
          <w:lang w:val="en-US" w:eastAsia="zh-CN" w:bidi="ar-SA"/>
        </w:rPr>
      </w:pPr>
    </w:p>
    <w:p w14:paraId="27DB559E">
      <w:pPr>
        <w:pStyle w:val="23"/>
        <w:numPr>
          <w:ilvl w:val="0"/>
          <w:numId w:val="0"/>
        </w:numPr>
        <w:overflowPunct w:val="0"/>
        <w:snapToGrid w:val="0"/>
        <w:spacing w:line="360" w:lineRule="auto"/>
        <w:ind w:leftChars="0"/>
        <w:jc w:val="both"/>
        <w:rPr>
          <w:rFonts w:hint="eastAsia" w:ascii="宋体" w:hAnsi="宋体" w:eastAsia="宋体" w:cs="宋体"/>
          <w:b/>
          <w:bCs w:val="0"/>
          <w:color w:val="auto"/>
          <w:kern w:val="2"/>
          <w:sz w:val="32"/>
          <w:szCs w:val="28"/>
          <w:highlight w:val="none"/>
          <w:lang w:val="en-US" w:eastAsia="zh-CN" w:bidi="ar-SA"/>
        </w:rPr>
      </w:pPr>
    </w:p>
    <w:p w14:paraId="24AC9D0B">
      <w:pPr>
        <w:pStyle w:val="23"/>
        <w:numPr>
          <w:ilvl w:val="0"/>
          <w:numId w:val="0"/>
        </w:numPr>
        <w:overflowPunct w:val="0"/>
        <w:snapToGrid w:val="0"/>
        <w:spacing w:line="360" w:lineRule="auto"/>
        <w:ind w:leftChars="0"/>
        <w:jc w:val="both"/>
        <w:rPr>
          <w:rFonts w:hint="eastAsia" w:ascii="宋体" w:hAnsi="宋体" w:eastAsia="宋体" w:cs="宋体"/>
          <w:b/>
          <w:bCs w:val="0"/>
          <w:color w:val="auto"/>
          <w:kern w:val="2"/>
          <w:sz w:val="32"/>
          <w:szCs w:val="28"/>
          <w:highlight w:val="none"/>
          <w:lang w:val="en-US" w:eastAsia="zh-CN" w:bidi="ar-SA"/>
        </w:rPr>
      </w:pPr>
    </w:p>
    <w:p w14:paraId="3BEBD63F">
      <w:pPr>
        <w:pStyle w:val="23"/>
        <w:numPr>
          <w:ilvl w:val="0"/>
          <w:numId w:val="0"/>
        </w:numPr>
        <w:overflowPunct w:val="0"/>
        <w:snapToGrid w:val="0"/>
        <w:spacing w:line="360" w:lineRule="auto"/>
        <w:ind w:leftChars="0"/>
        <w:jc w:val="both"/>
        <w:rPr>
          <w:rFonts w:hint="eastAsia" w:ascii="宋体" w:hAnsi="宋体" w:eastAsia="宋体" w:cs="宋体"/>
          <w:b/>
          <w:bCs w:val="0"/>
          <w:color w:val="auto"/>
          <w:kern w:val="2"/>
          <w:sz w:val="32"/>
          <w:szCs w:val="28"/>
          <w:highlight w:val="none"/>
          <w:lang w:val="en-US" w:eastAsia="zh-CN" w:bidi="ar-SA"/>
        </w:rPr>
      </w:pPr>
    </w:p>
    <w:p w14:paraId="45ED01A7">
      <w:pPr>
        <w:pStyle w:val="23"/>
        <w:numPr>
          <w:ilvl w:val="0"/>
          <w:numId w:val="0"/>
        </w:numPr>
        <w:overflowPunct w:val="0"/>
        <w:snapToGrid w:val="0"/>
        <w:spacing w:line="360" w:lineRule="auto"/>
        <w:ind w:leftChars="0"/>
        <w:jc w:val="both"/>
        <w:rPr>
          <w:rFonts w:hint="eastAsia" w:ascii="宋体" w:hAnsi="宋体" w:eastAsia="宋体" w:cs="宋体"/>
          <w:b/>
          <w:bCs w:val="0"/>
          <w:color w:val="auto"/>
          <w:kern w:val="2"/>
          <w:sz w:val="32"/>
          <w:szCs w:val="28"/>
          <w:highlight w:val="none"/>
          <w:lang w:val="en-US" w:eastAsia="zh-CN" w:bidi="ar-SA"/>
        </w:rPr>
      </w:pPr>
    </w:p>
    <w:p w14:paraId="1D00D994">
      <w:pPr>
        <w:pStyle w:val="24"/>
        <w:rPr>
          <w:rFonts w:hint="eastAsia"/>
          <w:highlight w:val="none"/>
          <w:lang w:val="en-US" w:eastAsia="zh-CN"/>
        </w:rPr>
      </w:pPr>
    </w:p>
    <w:p w14:paraId="0E6BE5AC">
      <w:pPr>
        <w:pStyle w:val="23"/>
        <w:numPr>
          <w:ilvl w:val="0"/>
          <w:numId w:val="0"/>
        </w:numPr>
        <w:overflowPunct w:val="0"/>
        <w:snapToGrid w:val="0"/>
        <w:spacing w:line="360" w:lineRule="auto"/>
        <w:ind w:leftChars="0"/>
        <w:jc w:val="both"/>
        <w:rPr>
          <w:rFonts w:hint="eastAsia" w:ascii="宋体" w:hAnsi="宋体" w:eastAsia="宋体" w:cs="宋体"/>
          <w:b/>
          <w:bCs w:val="0"/>
          <w:color w:val="auto"/>
          <w:kern w:val="2"/>
          <w:sz w:val="32"/>
          <w:szCs w:val="28"/>
          <w:highlight w:val="none"/>
          <w:lang w:val="en-US" w:eastAsia="zh-CN" w:bidi="ar-SA"/>
        </w:rPr>
      </w:pPr>
    </w:p>
    <w:p w14:paraId="57A7E04C">
      <w:pPr>
        <w:rPr>
          <w:rFonts w:hint="eastAsia" w:ascii="宋体" w:hAnsi="宋体" w:eastAsia="宋体" w:cs="宋体"/>
          <w:b/>
          <w:color w:val="000000"/>
          <w:kern w:val="2"/>
          <w:sz w:val="28"/>
          <w:szCs w:val="24"/>
          <w:highlight w:val="none"/>
          <w:lang w:val="en-US" w:eastAsia="zh-CN" w:bidi="ar-SA"/>
        </w:rPr>
      </w:pPr>
      <w:r>
        <w:rPr>
          <w:rFonts w:hint="eastAsia" w:ascii="宋体" w:hAnsi="宋体" w:eastAsia="宋体" w:cs="宋体"/>
          <w:b/>
          <w:color w:val="000000"/>
          <w:kern w:val="2"/>
          <w:sz w:val="28"/>
          <w:szCs w:val="24"/>
          <w:highlight w:val="none"/>
          <w:lang w:val="en-US" w:eastAsia="zh-CN" w:bidi="ar-SA"/>
        </w:rPr>
        <w:br w:type="page"/>
      </w:r>
    </w:p>
    <w:p w14:paraId="10D116F7">
      <w:pPr>
        <w:pStyle w:val="23"/>
        <w:numPr>
          <w:ilvl w:val="0"/>
          <w:numId w:val="0"/>
        </w:numPr>
        <w:overflowPunct w:val="0"/>
        <w:snapToGrid w:val="0"/>
        <w:spacing w:line="360" w:lineRule="auto"/>
        <w:jc w:val="both"/>
        <w:rPr>
          <w:rFonts w:hint="eastAsia" w:ascii="宋体" w:hAnsi="宋体" w:eastAsia="宋体" w:cs="宋体"/>
          <w:b/>
          <w:color w:val="000000"/>
          <w:kern w:val="2"/>
          <w:sz w:val="28"/>
          <w:szCs w:val="24"/>
          <w:highlight w:val="none"/>
          <w:lang w:val="en-US" w:eastAsia="zh-CN" w:bidi="ar-SA"/>
        </w:rPr>
      </w:pPr>
      <w:r>
        <w:rPr>
          <w:rFonts w:hint="eastAsia" w:ascii="宋体" w:hAnsi="宋体" w:eastAsia="宋体" w:cs="宋体"/>
          <w:b/>
          <w:color w:val="000000"/>
          <w:kern w:val="2"/>
          <w:sz w:val="28"/>
          <w:szCs w:val="24"/>
          <w:highlight w:val="none"/>
          <w:lang w:val="en-US" w:eastAsia="zh-CN" w:bidi="ar-SA"/>
        </w:rPr>
        <w:t>附件十二</w:t>
      </w:r>
    </w:p>
    <w:p w14:paraId="1D0F2351">
      <w:pPr>
        <w:pStyle w:val="23"/>
        <w:numPr>
          <w:ilvl w:val="0"/>
          <w:numId w:val="0"/>
        </w:numPr>
        <w:overflowPunct w:val="0"/>
        <w:snapToGrid w:val="0"/>
        <w:spacing w:line="360" w:lineRule="auto"/>
        <w:jc w:val="center"/>
        <w:rPr>
          <w:rFonts w:hint="eastAsia" w:ascii="宋体" w:hAnsi="宋体" w:eastAsia="宋体" w:cs="宋体"/>
          <w:b w:val="0"/>
          <w:bCs/>
          <w:color w:val="auto"/>
          <w:kern w:val="2"/>
          <w:sz w:val="21"/>
          <w:szCs w:val="20"/>
          <w:highlight w:val="none"/>
          <w:lang w:val="en-US" w:eastAsia="zh-CN" w:bidi="ar-SA"/>
        </w:rPr>
      </w:pPr>
    </w:p>
    <w:p w14:paraId="736444CE">
      <w:pPr>
        <w:pStyle w:val="23"/>
        <w:numPr>
          <w:ilvl w:val="0"/>
          <w:numId w:val="0"/>
        </w:numPr>
        <w:overflowPunct w:val="0"/>
        <w:snapToGrid w:val="0"/>
        <w:spacing w:line="360" w:lineRule="auto"/>
        <w:jc w:val="center"/>
        <w:rPr>
          <w:rFonts w:hint="eastAsia" w:ascii="宋体" w:hAnsi="宋体" w:eastAsia="宋体" w:cs="宋体"/>
          <w:b w:val="0"/>
          <w:bCs/>
          <w:color w:val="auto"/>
          <w:kern w:val="2"/>
          <w:sz w:val="21"/>
          <w:szCs w:val="20"/>
          <w:highlight w:val="none"/>
          <w:lang w:val="en-US" w:eastAsia="zh-CN" w:bidi="ar-SA"/>
        </w:rPr>
      </w:pPr>
    </w:p>
    <w:p w14:paraId="1B2B0D61">
      <w:pPr>
        <w:pStyle w:val="23"/>
        <w:numPr>
          <w:ilvl w:val="0"/>
          <w:numId w:val="0"/>
        </w:numPr>
        <w:overflowPunct w:val="0"/>
        <w:snapToGrid w:val="0"/>
        <w:spacing w:line="360" w:lineRule="auto"/>
        <w:jc w:val="center"/>
        <w:rPr>
          <w:rFonts w:hint="eastAsia" w:ascii="宋体" w:hAnsi="宋体" w:eastAsia="宋体" w:cs="宋体"/>
          <w:b w:val="0"/>
          <w:bCs/>
          <w:color w:val="auto"/>
          <w:kern w:val="2"/>
          <w:sz w:val="21"/>
          <w:szCs w:val="20"/>
          <w:highlight w:val="none"/>
          <w:lang w:val="en-US" w:eastAsia="zh-CN" w:bidi="ar-SA"/>
        </w:rPr>
      </w:pPr>
    </w:p>
    <w:p w14:paraId="420DD079">
      <w:pPr>
        <w:pStyle w:val="23"/>
        <w:numPr>
          <w:ilvl w:val="0"/>
          <w:numId w:val="0"/>
        </w:numPr>
        <w:overflowPunct w:val="0"/>
        <w:snapToGrid w:val="0"/>
        <w:spacing w:line="360" w:lineRule="auto"/>
        <w:jc w:val="center"/>
        <w:rPr>
          <w:rFonts w:hint="eastAsia" w:ascii="宋体" w:hAnsi="宋体" w:eastAsia="宋体" w:cs="宋体"/>
          <w:b w:val="0"/>
          <w:bCs/>
          <w:color w:val="auto"/>
          <w:kern w:val="2"/>
          <w:sz w:val="21"/>
          <w:szCs w:val="20"/>
          <w:highlight w:val="none"/>
          <w:lang w:val="en-US" w:eastAsia="zh-CN" w:bidi="ar-SA"/>
        </w:rPr>
      </w:pPr>
      <w:r>
        <w:rPr>
          <w:rFonts w:hint="eastAsia" w:ascii="宋体" w:hAnsi="宋体" w:eastAsia="宋体" w:cs="宋体"/>
          <w:b w:val="0"/>
          <w:bCs/>
          <w:color w:val="auto"/>
          <w:kern w:val="2"/>
          <w:sz w:val="21"/>
          <w:szCs w:val="20"/>
          <w:highlight w:val="none"/>
          <w:lang w:val="en-US" w:eastAsia="zh-CN" w:bidi="ar-SA"/>
        </w:rPr>
        <w:t>投标保证金回单（以银行到账推送名单情况为</w:t>
      </w:r>
    </w:p>
    <w:p w14:paraId="56B917AC">
      <w:pPr>
        <w:pStyle w:val="23"/>
        <w:numPr>
          <w:ilvl w:val="0"/>
          <w:numId w:val="0"/>
        </w:numPr>
        <w:overflowPunct w:val="0"/>
        <w:snapToGrid w:val="0"/>
        <w:spacing w:line="360" w:lineRule="auto"/>
        <w:jc w:val="center"/>
        <w:rPr>
          <w:rFonts w:hint="eastAsia" w:ascii="宋体" w:hAnsi="宋体" w:eastAsia="宋体" w:cs="宋体"/>
          <w:b/>
          <w:bCs w:val="0"/>
          <w:color w:val="auto"/>
          <w:kern w:val="2"/>
          <w:sz w:val="32"/>
          <w:szCs w:val="28"/>
          <w:highlight w:val="none"/>
          <w:lang w:val="en-US" w:eastAsia="zh-CN" w:bidi="ar-SA"/>
        </w:rPr>
        <w:sectPr>
          <w:type w:val="continuous"/>
          <w:pgSz w:w="11905" w:h="16838"/>
          <w:pgMar w:top="1304" w:right="964" w:bottom="1020" w:left="1191" w:header="567" w:footer="454" w:gutter="0"/>
          <w:pgNumType w:fmt="decimal"/>
          <w:cols w:space="720" w:num="1"/>
          <w:rtlGutter w:val="0"/>
          <w:docGrid w:type="lines" w:linePitch="317" w:charSpace="0"/>
        </w:sectPr>
      </w:pPr>
      <w:r>
        <w:rPr>
          <w:rFonts w:hint="eastAsia" w:ascii="宋体" w:hAnsi="宋体" w:eastAsia="宋体" w:cs="宋体"/>
          <w:b w:val="0"/>
          <w:bCs/>
          <w:color w:val="auto"/>
          <w:kern w:val="2"/>
          <w:sz w:val="21"/>
          <w:szCs w:val="20"/>
          <w:highlight w:val="none"/>
          <w:lang w:val="en-US" w:eastAsia="zh-CN" w:bidi="ar-SA"/>
        </w:rPr>
        <w:t>准）、或电子保函凭证</w:t>
      </w:r>
    </w:p>
    <w:p w14:paraId="0CD8B0E6">
      <w:pPr>
        <w:ind w:left="0" w:leftChars="0" w:firstLine="0" w:firstLineChars="0"/>
        <w:rPr>
          <w:rFonts w:hint="eastAsia" w:ascii="宋体" w:hAnsi="宋体" w:eastAsia="宋体" w:cs="宋体"/>
          <w:b/>
          <w:bCs w:val="0"/>
          <w:color w:val="auto"/>
          <w:kern w:val="2"/>
          <w:sz w:val="28"/>
          <w:szCs w:val="24"/>
          <w:highlight w:val="none"/>
          <w:lang w:val="en-US" w:eastAsia="zh-CN" w:bidi="ar-SA"/>
        </w:rPr>
      </w:pPr>
    </w:p>
    <w:p w14:paraId="16D00D2C">
      <w:pPr>
        <w:ind w:left="0" w:leftChars="0" w:firstLine="0" w:firstLineChars="0"/>
        <w:rPr>
          <w:rFonts w:hint="eastAsia" w:ascii="宋体" w:hAnsi="宋体" w:eastAsia="宋体" w:cs="宋体"/>
          <w:b/>
          <w:bCs w:val="0"/>
          <w:color w:val="auto"/>
          <w:kern w:val="2"/>
          <w:sz w:val="28"/>
          <w:szCs w:val="24"/>
          <w:highlight w:val="none"/>
          <w:lang w:val="en-US" w:eastAsia="zh-CN" w:bidi="ar-SA"/>
        </w:rPr>
      </w:pPr>
    </w:p>
    <w:p w14:paraId="635D9F29">
      <w:pPr>
        <w:rPr>
          <w:rFonts w:hint="eastAsia" w:ascii="宋体" w:hAnsi="宋体" w:eastAsia="宋体" w:cs="宋体"/>
          <w:b/>
          <w:bCs w:val="0"/>
          <w:color w:val="auto"/>
          <w:kern w:val="2"/>
          <w:sz w:val="28"/>
          <w:szCs w:val="24"/>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br w:type="page"/>
      </w:r>
    </w:p>
    <w:p w14:paraId="6ABAFFB1">
      <w:pPr>
        <w:ind w:left="0" w:leftChars="0" w:firstLine="0" w:firstLineChars="0"/>
        <w:rPr>
          <w:rFonts w:hint="eastAsia" w:ascii="宋体" w:hAnsi="宋体" w:eastAsia="宋体" w:cs="宋体"/>
          <w:b/>
          <w:bCs w:val="0"/>
          <w:color w:val="auto"/>
          <w:kern w:val="2"/>
          <w:sz w:val="32"/>
          <w:szCs w:val="28"/>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t>附件十三</w:t>
      </w:r>
    </w:p>
    <w:p w14:paraId="035BA4BD">
      <w:pPr>
        <w:tabs>
          <w:tab w:val="left" w:pos="142"/>
        </w:tabs>
        <w:autoSpaceDE w:val="0"/>
        <w:autoSpaceDN w:val="0"/>
        <w:spacing w:line="360" w:lineRule="auto"/>
        <w:ind w:left="158" w:leftChars="-1" w:firstLine="2"/>
        <w:jc w:val="center"/>
        <w:outlineLvl w:val="3"/>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采购需求条款响应一览表</w:t>
      </w:r>
    </w:p>
    <w:p w14:paraId="4288C3C6">
      <w:pPr>
        <w:pStyle w:val="171"/>
        <w:numPr>
          <w:ilvl w:val="0"/>
          <w:numId w:val="0"/>
        </w:numPr>
        <w:snapToGrid w:val="0"/>
        <w:spacing w:line="360" w:lineRule="auto"/>
        <w:ind w:left="420" w:leftChars="0" w:right="62" w:rightChars="0" w:hanging="420" w:firstLineChars="0"/>
        <w:rPr>
          <w:rFonts w:hint="eastAsia" w:ascii="宋体" w:hAnsi="宋体" w:cs="宋体"/>
          <w:bCs/>
          <w:color w:val="000000"/>
          <w:sz w:val="24"/>
          <w:highlight w:val="none"/>
          <w:lang w:eastAsia="zh-CN"/>
        </w:rPr>
      </w:pPr>
      <w:bookmarkStart w:id="286" w:name="_Toc435515308"/>
      <w:bookmarkStart w:id="287" w:name="_Toc435514868"/>
      <w:r>
        <w:rPr>
          <w:rFonts w:hint="eastAsia" w:ascii="宋体" w:hAnsi="宋体" w:eastAsia="宋体" w:cs="宋体"/>
          <w:bCs/>
          <w:color w:val="000000"/>
          <w:sz w:val="24"/>
          <w:highlight w:val="none"/>
        </w:rPr>
        <w:t>项目名称：</w:t>
      </w:r>
    </w:p>
    <w:p w14:paraId="6CBBDBCC">
      <w:pPr>
        <w:keepNext w:val="0"/>
        <w:keepLines w:val="0"/>
        <w:widowControl/>
        <w:suppressLineNumbers w:val="0"/>
        <w:jc w:val="left"/>
        <w:rPr>
          <w:rFonts w:hint="eastAsia" w:ascii="宋体" w:hAnsi="宋体" w:cs="宋体"/>
          <w:bCs/>
          <w:color w:val="000000"/>
          <w:sz w:val="24"/>
          <w:highlight w:val="none"/>
          <w:lang w:val="en-US" w:eastAsia="zh-CN"/>
        </w:rPr>
      </w:pPr>
      <w:r>
        <w:rPr>
          <w:rFonts w:hint="eastAsia" w:ascii="宋体" w:hAnsi="宋体" w:eastAsia="宋体" w:cs="宋体"/>
          <w:color w:val="000000"/>
          <w:kern w:val="0"/>
          <w:sz w:val="24"/>
          <w:szCs w:val="24"/>
          <w:lang w:val="en-US" w:eastAsia="zh-CN" w:bidi="ar"/>
        </w:rPr>
        <w:t>项目编号：</w:t>
      </w:r>
    </w:p>
    <w:tbl>
      <w:tblPr>
        <w:tblStyle w:val="7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5158"/>
        <w:gridCol w:w="1420"/>
        <w:gridCol w:w="1141"/>
        <w:gridCol w:w="1488"/>
      </w:tblGrid>
      <w:tr w14:paraId="5B5AAE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81" w:type="pct"/>
            <w:tcBorders>
              <w:top w:val="single" w:color="auto" w:sz="12" w:space="0"/>
              <w:bottom w:val="double" w:color="auto" w:sz="4" w:space="0"/>
            </w:tcBorders>
            <w:shd w:val="clear" w:color="auto" w:fill="EEECE1"/>
            <w:noWrap w:val="0"/>
            <w:vAlign w:val="center"/>
          </w:tcPr>
          <w:p w14:paraId="41D9B5D2">
            <w:pPr>
              <w:snapToGrid w:val="0"/>
              <w:spacing w:line="240" w:lineRule="auto"/>
              <w:ind w:left="49" w:leftChars="-34" w:right="-73" w:rightChars="-35"/>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序号</w:t>
            </w:r>
          </w:p>
        </w:tc>
        <w:tc>
          <w:tcPr>
            <w:tcW w:w="2586" w:type="pct"/>
            <w:tcBorders>
              <w:top w:val="single" w:color="auto" w:sz="12" w:space="0"/>
              <w:bottom w:val="double" w:color="auto" w:sz="4" w:space="0"/>
            </w:tcBorders>
            <w:shd w:val="clear" w:color="auto" w:fill="EEECE1"/>
            <w:noWrap w:val="0"/>
            <w:vAlign w:val="center"/>
          </w:tcPr>
          <w:p w14:paraId="3BA1B011">
            <w:pPr>
              <w:snapToGrid w:val="0"/>
              <w:spacing w:line="240" w:lineRule="auto"/>
              <w:ind w:left="49" w:leftChars="-34" w:right="-73" w:rightChars="-35"/>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招标文件条款描述</w:t>
            </w:r>
          </w:p>
        </w:tc>
        <w:tc>
          <w:tcPr>
            <w:tcW w:w="712" w:type="pct"/>
            <w:tcBorders>
              <w:top w:val="single" w:color="auto" w:sz="12" w:space="0"/>
              <w:bottom w:val="double" w:color="auto" w:sz="4" w:space="0"/>
            </w:tcBorders>
            <w:shd w:val="clear" w:color="auto" w:fill="EEECE1"/>
            <w:noWrap w:val="0"/>
            <w:vAlign w:val="center"/>
          </w:tcPr>
          <w:p w14:paraId="5DD31702">
            <w:pPr>
              <w:snapToGrid w:val="0"/>
              <w:spacing w:line="240" w:lineRule="auto"/>
              <w:ind w:left="49" w:leftChars="-34" w:right="-73" w:rightChars="-35"/>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投标人响应描述</w:t>
            </w:r>
          </w:p>
        </w:tc>
        <w:tc>
          <w:tcPr>
            <w:tcW w:w="572" w:type="pct"/>
            <w:tcBorders>
              <w:top w:val="single" w:color="auto" w:sz="12" w:space="0"/>
              <w:bottom w:val="double" w:color="auto" w:sz="4" w:space="0"/>
            </w:tcBorders>
            <w:shd w:val="clear" w:color="auto" w:fill="EEECE1"/>
            <w:noWrap w:val="0"/>
            <w:vAlign w:val="center"/>
          </w:tcPr>
          <w:p w14:paraId="65C6E44F">
            <w:pPr>
              <w:snapToGrid w:val="0"/>
              <w:spacing w:line="240" w:lineRule="auto"/>
              <w:ind w:left="49" w:leftChars="-34" w:right="-73" w:rightChars="-35"/>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偏离情况说明</w:t>
            </w:r>
          </w:p>
        </w:tc>
        <w:tc>
          <w:tcPr>
            <w:tcW w:w="746" w:type="pct"/>
            <w:tcBorders>
              <w:top w:val="single" w:color="auto" w:sz="12" w:space="0"/>
              <w:bottom w:val="double" w:color="auto" w:sz="4" w:space="0"/>
            </w:tcBorders>
            <w:shd w:val="clear" w:color="auto" w:fill="EEECE1"/>
            <w:noWrap w:val="0"/>
            <w:vAlign w:val="center"/>
          </w:tcPr>
          <w:p w14:paraId="79E926B0">
            <w:pPr>
              <w:snapToGrid w:val="0"/>
              <w:spacing w:line="240" w:lineRule="auto"/>
              <w:ind w:left="49" w:leftChars="-34" w:right="-73" w:rightChars="-35"/>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查阅/证明文件指引</w:t>
            </w:r>
          </w:p>
        </w:tc>
      </w:tr>
      <w:tr w14:paraId="6E9C1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81" w:type="pct"/>
            <w:noWrap w:val="0"/>
            <w:vAlign w:val="center"/>
          </w:tcPr>
          <w:p w14:paraId="5B7A1558">
            <w:pPr>
              <w:numPr>
                <w:ilvl w:val="0"/>
                <w:numId w:val="23"/>
              </w:numPr>
              <w:snapToGrid w:val="0"/>
              <w:spacing w:line="240" w:lineRule="auto"/>
              <w:jc w:val="center"/>
              <w:rPr>
                <w:rFonts w:hint="eastAsia" w:ascii="宋体" w:hAnsi="宋体" w:eastAsia="宋体" w:cs="宋体"/>
                <w:color w:val="000000"/>
                <w:sz w:val="24"/>
                <w:highlight w:val="none"/>
              </w:rPr>
            </w:pPr>
          </w:p>
        </w:tc>
        <w:tc>
          <w:tcPr>
            <w:tcW w:w="2586" w:type="pct"/>
            <w:noWrap w:val="0"/>
            <w:vAlign w:val="center"/>
          </w:tcPr>
          <w:p w14:paraId="0BCE588C">
            <w:pPr>
              <w:snapToGrid w:val="0"/>
              <w:spacing w:line="240" w:lineRule="auto"/>
              <w:jc w:val="left"/>
              <w:rPr>
                <w:rFonts w:hint="eastAsia" w:ascii="宋体" w:hAnsi="宋体" w:eastAsia="宋体" w:cs="宋体"/>
                <w:color w:val="000000"/>
                <w:sz w:val="24"/>
                <w:highlight w:val="none"/>
              </w:rPr>
            </w:pPr>
          </w:p>
        </w:tc>
        <w:tc>
          <w:tcPr>
            <w:tcW w:w="712" w:type="pct"/>
            <w:noWrap w:val="0"/>
            <w:vAlign w:val="center"/>
          </w:tcPr>
          <w:p w14:paraId="0FABF8D6">
            <w:pPr>
              <w:snapToGrid w:val="0"/>
              <w:spacing w:line="240" w:lineRule="auto"/>
              <w:jc w:val="center"/>
              <w:rPr>
                <w:rFonts w:hint="eastAsia" w:ascii="宋体" w:hAnsi="宋体" w:eastAsia="宋体" w:cs="宋体"/>
                <w:color w:val="000000"/>
                <w:sz w:val="24"/>
                <w:highlight w:val="none"/>
              </w:rPr>
            </w:pPr>
          </w:p>
        </w:tc>
        <w:tc>
          <w:tcPr>
            <w:tcW w:w="572" w:type="pct"/>
            <w:noWrap w:val="0"/>
            <w:vAlign w:val="center"/>
          </w:tcPr>
          <w:p w14:paraId="5CBC57ED">
            <w:pPr>
              <w:snapToGrid w:val="0"/>
              <w:spacing w:line="240" w:lineRule="auto"/>
              <w:jc w:val="center"/>
              <w:rPr>
                <w:rFonts w:hint="eastAsia" w:ascii="宋体" w:hAnsi="宋体" w:eastAsia="宋体" w:cs="宋体"/>
                <w:color w:val="000000"/>
                <w:sz w:val="24"/>
                <w:highlight w:val="none"/>
              </w:rPr>
            </w:pPr>
          </w:p>
        </w:tc>
        <w:tc>
          <w:tcPr>
            <w:tcW w:w="746" w:type="pct"/>
            <w:noWrap w:val="0"/>
            <w:vAlign w:val="center"/>
          </w:tcPr>
          <w:p w14:paraId="6BD8DE83">
            <w:pPr>
              <w:snapToGrid w:val="0"/>
              <w:spacing w:line="240" w:lineRule="auto"/>
              <w:jc w:val="center"/>
              <w:rPr>
                <w:rFonts w:hint="eastAsia" w:ascii="宋体" w:hAnsi="宋体" w:eastAsia="宋体" w:cs="宋体"/>
                <w:color w:val="000000"/>
                <w:sz w:val="24"/>
                <w:highlight w:val="none"/>
              </w:rPr>
            </w:pPr>
          </w:p>
        </w:tc>
      </w:tr>
      <w:tr w14:paraId="62958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81" w:type="pct"/>
            <w:noWrap w:val="0"/>
            <w:vAlign w:val="center"/>
          </w:tcPr>
          <w:p w14:paraId="6222D989">
            <w:pPr>
              <w:numPr>
                <w:ilvl w:val="0"/>
                <w:numId w:val="23"/>
              </w:numPr>
              <w:snapToGrid w:val="0"/>
              <w:spacing w:line="240" w:lineRule="auto"/>
              <w:jc w:val="center"/>
              <w:rPr>
                <w:rFonts w:hint="eastAsia" w:ascii="宋体" w:hAnsi="宋体" w:eastAsia="宋体" w:cs="宋体"/>
                <w:color w:val="000000"/>
                <w:sz w:val="24"/>
                <w:highlight w:val="none"/>
              </w:rPr>
            </w:pPr>
          </w:p>
        </w:tc>
        <w:tc>
          <w:tcPr>
            <w:tcW w:w="2586" w:type="pct"/>
            <w:noWrap w:val="0"/>
            <w:vAlign w:val="center"/>
          </w:tcPr>
          <w:p w14:paraId="0BF4F139">
            <w:pPr>
              <w:snapToGrid w:val="0"/>
              <w:spacing w:line="240" w:lineRule="auto"/>
              <w:jc w:val="left"/>
              <w:rPr>
                <w:rFonts w:hint="eastAsia" w:ascii="宋体" w:hAnsi="宋体" w:eastAsia="宋体" w:cs="宋体"/>
                <w:color w:val="000000"/>
                <w:sz w:val="24"/>
                <w:highlight w:val="none"/>
              </w:rPr>
            </w:pPr>
          </w:p>
        </w:tc>
        <w:tc>
          <w:tcPr>
            <w:tcW w:w="712" w:type="pct"/>
            <w:noWrap w:val="0"/>
            <w:vAlign w:val="center"/>
          </w:tcPr>
          <w:p w14:paraId="2FB0B40C">
            <w:pPr>
              <w:snapToGrid w:val="0"/>
              <w:spacing w:line="240" w:lineRule="auto"/>
              <w:jc w:val="center"/>
              <w:rPr>
                <w:rFonts w:hint="eastAsia" w:ascii="宋体" w:hAnsi="宋体" w:eastAsia="宋体" w:cs="宋体"/>
                <w:color w:val="000000"/>
                <w:sz w:val="24"/>
                <w:highlight w:val="none"/>
              </w:rPr>
            </w:pPr>
          </w:p>
        </w:tc>
        <w:tc>
          <w:tcPr>
            <w:tcW w:w="572" w:type="pct"/>
            <w:noWrap w:val="0"/>
            <w:vAlign w:val="center"/>
          </w:tcPr>
          <w:p w14:paraId="6D6EDAAF">
            <w:pPr>
              <w:snapToGrid w:val="0"/>
              <w:spacing w:line="240" w:lineRule="auto"/>
              <w:jc w:val="center"/>
              <w:rPr>
                <w:rFonts w:hint="eastAsia" w:ascii="宋体" w:hAnsi="宋体" w:eastAsia="宋体" w:cs="宋体"/>
                <w:color w:val="000000"/>
                <w:sz w:val="24"/>
                <w:highlight w:val="none"/>
              </w:rPr>
            </w:pPr>
          </w:p>
        </w:tc>
        <w:tc>
          <w:tcPr>
            <w:tcW w:w="746" w:type="pct"/>
            <w:noWrap w:val="0"/>
            <w:vAlign w:val="center"/>
          </w:tcPr>
          <w:p w14:paraId="136738E4">
            <w:pPr>
              <w:snapToGrid w:val="0"/>
              <w:spacing w:line="240" w:lineRule="auto"/>
              <w:jc w:val="center"/>
              <w:rPr>
                <w:rFonts w:hint="eastAsia" w:ascii="宋体" w:hAnsi="宋体" w:eastAsia="宋体" w:cs="宋体"/>
                <w:color w:val="000000"/>
                <w:sz w:val="24"/>
                <w:highlight w:val="none"/>
              </w:rPr>
            </w:pPr>
          </w:p>
        </w:tc>
      </w:tr>
      <w:tr w14:paraId="23B275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81" w:type="pct"/>
            <w:noWrap w:val="0"/>
            <w:vAlign w:val="center"/>
          </w:tcPr>
          <w:p w14:paraId="305DCCBB">
            <w:pPr>
              <w:snapToGrid w:val="0"/>
              <w:spacing w:line="240" w:lineRule="auto"/>
              <w:ind w:left="18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2586" w:type="pct"/>
            <w:noWrap w:val="0"/>
            <w:vAlign w:val="center"/>
          </w:tcPr>
          <w:p w14:paraId="6B43F903">
            <w:pPr>
              <w:snapToGrid w:val="0"/>
              <w:spacing w:line="240" w:lineRule="auto"/>
              <w:jc w:val="left"/>
              <w:rPr>
                <w:rFonts w:hint="eastAsia" w:ascii="宋体" w:hAnsi="宋体" w:eastAsia="宋体" w:cs="宋体"/>
                <w:color w:val="000000"/>
                <w:sz w:val="24"/>
                <w:highlight w:val="none"/>
              </w:rPr>
            </w:pPr>
          </w:p>
        </w:tc>
        <w:tc>
          <w:tcPr>
            <w:tcW w:w="712" w:type="pct"/>
            <w:noWrap w:val="0"/>
            <w:vAlign w:val="center"/>
          </w:tcPr>
          <w:p w14:paraId="4973D3A4">
            <w:pPr>
              <w:snapToGrid w:val="0"/>
              <w:spacing w:line="240" w:lineRule="auto"/>
              <w:jc w:val="center"/>
              <w:rPr>
                <w:rFonts w:hint="eastAsia" w:ascii="宋体" w:hAnsi="宋体" w:eastAsia="宋体" w:cs="宋体"/>
                <w:color w:val="000000"/>
                <w:sz w:val="24"/>
                <w:highlight w:val="none"/>
              </w:rPr>
            </w:pPr>
          </w:p>
        </w:tc>
        <w:tc>
          <w:tcPr>
            <w:tcW w:w="572" w:type="pct"/>
            <w:noWrap w:val="0"/>
            <w:vAlign w:val="center"/>
          </w:tcPr>
          <w:p w14:paraId="4DDB05E4">
            <w:pPr>
              <w:snapToGrid w:val="0"/>
              <w:spacing w:line="240" w:lineRule="auto"/>
              <w:jc w:val="center"/>
              <w:rPr>
                <w:rFonts w:hint="eastAsia" w:ascii="宋体" w:hAnsi="宋体" w:eastAsia="宋体" w:cs="宋体"/>
                <w:color w:val="000000"/>
                <w:sz w:val="24"/>
                <w:highlight w:val="none"/>
              </w:rPr>
            </w:pPr>
          </w:p>
        </w:tc>
        <w:tc>
          <w:tcPr>
            <w:tcW w:w="746" w:type="pct"/>
            <w:noWrap w:val="0"/>
            <w:vAlign w:val="center"/>
          </w:tcPr>
          <w:p w14:paraId="50346C62">
            <w:pPr>
              <w:snapToGrid w:val="0"/>
              <w:spacing w:line="240" w:lineRule="auto"/>
              <w:jc w:val="center"/>
              <w:rPr>
                <w:rFonts w:hint="eastAsia" w:ascii="宋体" w:hAnsi="宋体" w:eastAsia="宋体" w:cs="宋体"/>
                <w:color w:val="000000"/>
                <w:sz w:val="24"/>
                <w:highlight w:val="none"/>
              </w:rPr>
            </w:pPr>
          </w:p>
        </w:tc>
      </w:tr>
      <w:tr w14:paraId="68AB5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81" w:type="pct"/>
            <w:noWrap w:val="0"/>
            <w:vAlign w:val="center"/>
          </w:tcPr>
          <w:p w14:paraId="7F032855">
            <w:pPr>
              <w:snapToGrid w:val="0"/>
              <w:spacing w:line="240" w:lineRule="auto"/>
              <w:ind w:left="18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2586" w:type="pct"/>
            <w:noWrap w:val="0"/>
            <w:vAlign w:val="center"/>
          </w:tcPr>
          <w:p w14:paraId="49128EFA">
            <w:pPr>
              <w:snapToGrid w:val="0"/>
              <w:spacing w:line="240" w:lineRule="auto"/>
              <w:jc w:val="left"/>
              <w:rPr>
                <w:rFonts w:hint="eastAsia" w:ascii="宋体" w:hAnsi="宋体" w:eastAsia="宋体" w:cs="宋体"/>
                <w:color w:val="000000"/>
                <w:sz w:val="24"/>
                <w:highlight w:val="none"/>
              </w:rPr>
            </w:pPr>
          </w:p>
        </w:tc>
        <w:tc>
          <w:tcPr>
            <w:tcW w:w="712" w:type="pct"/>
            <w:noWrap w:val="0"/>
            <w:vAlign w:val="center"/>
          </w:tcPr>
          <w:p w14:paraId="1164EB98">
            <w:pPr>
              <w:snapToGrid w:val="0"/>
              <w:spacing w:line="240" w:lineRule="auto"/>
              <w:jc w:val="center"/>
              <w:rPr>
                <w:rFonts w:hint="eastAsia" w:ascii="宋体" w:hAnsi="宋体" w:eastAsia="宋体" w:cs="宋体"/>
                <w:color w:val="000000"/>
                <w:sz w:val="24"/>
                <w:highlight w:val="none"/>
              </w:rPr>
            </w:pPr>
          </w:p>
        </w:tc>
        <w:tc>
          <w:tcPr>
            <w:tcW w:w="572" w:type="pct"/>
            <w:noWrap w:val="0"/>
            <w:vAlign w:val="center"/>
          </w:tcPr>
          <w:p w14:paraId="4C15663B">
            <w:pPr>
              <w:snapToGrid w:val="0"/>
              <w:spacing w:line="240" w:lineRule="auto"/>
              <w:jc w:val="center"/>
              <w:rPr>
                <w:rFonts w:hint="eastAsia" w:ascii="宋体" w:hAnsi="宋体" w:eastAsia="宋体" w:cs="宋体"/>
                <w:color w:val="000000"/>
                <w:sz w:val="24"/>
                <w:highlight w:val="none"/>
              </w:rPr>
            </w:pPr>
          </w:p>
        </w:tc>
        <w:tc>
          <w:tcPr>
            <w:tcW w:w="746" w:type="pct"/>
            <w:noWrap w:val="0"/>
            <w:vAlign w:val="center"/>
          </w:tcPr>
          <w:p w14:paraId="15ABB5E3">
            <w:pPr>
              <w:snapToGrid w:val="0"/>
              <w:spacing w:line="240" w:lineRule="auto"/>
              <w:jc w:val="center"/>
              <w:rPr>
                <w:rFonts w:hint="eastAsia" w:ascii="宋体" w:hAnsi="宋体" w:eastAsia="宋体" w:cs="宋体"/>
                <w:color w:val="000000"/>
                <w:sz w:val="24"/>
                <w:highlight w:val="none"/>
              </w:rPr>
            </w:pPr>
          </w:p>
        </w:tc>
      </w:tr>
      <w:tr w14:paraId="4F938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81" w:type="pct"/>
            <w:noWrap w:val="0"/>
            <w:vAlign w:val="center"/>
          </w:tcPr>
          <w:p w14:paraId="75C1EE05">
            <w:pPr>
              <w:snapToGrid w:val="0"/>
              <w:spacing w:line="240" w:lineRule="auto"/>
              <w:ind w:left="18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w:t>
            </w:r>
          </w:p>
        </w:tc>
        <w:tc>
          <w:tcPr>
            <w:tcW w:w="2586" w:type="pct"/>
            <w:noWrap w:val="0"/>
            <w:vAlign w:val="center"/>
          </w:tcPr>
          <w:p w14:paraId="7CCCEE6E">
            <w:pPr>
              <w:snapToGrid w:val="0"/>
              <w:spacing w:line="240" w:lineRule="auto"/>
              <w:jc w:val="left"/>
              <w:rPr>
                <w:rFonts w:hint="eastAsia" w:ascii="宋体" w:hAnsi="宋体" w:eastAsia="宋体" w:cs="宋体"/>
                <w:color w:val="000000"/>
                <w:sz w:val="24"/>
                <w:highlight w:val="none"/>
              </w:rPr>
            </w:pPr>
          </w:p>
        </w:tc>
        <w:tc>
          <w:tcPr>
            <w:tcW w:w="712" w:type="pct"/>
            <w:noWrap w:val="0"/>
            <w:vAlign w:val="center"/>
          </w:tcPr>
          <w:p w14:paraId="21272F8E">
            <w:pPr>
              <w:snapToGrid w:val="0"/>
              <w:spacing w:line="240" w:lineRule="auto"/>
              <w:jc w:val="center"/>
              <w:rPr>
                <w:rFonts w:hint="eastAsia" w:ascii="宋体" w:hAnsi="宋体" w:eastAsia="宋体" w:cs="宋体"/>
                <w:color w:val="000000"/>
                <w:sz w:val="24"/>
                <w:highlight w:val="none"/>
              </w:rPr>
            </w:pPr>
          </w:p>
        </w:tc>
        <w:tc>
          <w:tcPr>
            <w:tcW w:w="572" w:type="pct"/>
            <w:noWrap w:val="0"/>
            <w:vAlign w:val="center"/>
          </w:tcPr>
          <w:p w14:paraId="0CD1E9FA">
            <w:pPr>
              <w:snapToGrid w:val="0"/>
              <w:spacing w:line="240" w:lineRule="auto"/>
              <w:jc w:val="center"/>
              <w:rPr>
                <w:rFonts w:hint="eastAsia" w:ascii="宋体" w:hAnsi="宋体" w:eastAsia="宋体" w:cs="宋体"/>
                <w:color w:val="000000"/>
                <w:sz w:val="24"/>
                <w:highlight w:val="none"/>
              </w:rPr>
            </w:pPr>
          </w:p>
        </w:tc>
        <w:tc>
          <w:tcPr>
            <w:tcW w:w="746" w:type="pct"/>
            <w:noWrap w:val="0"/>
            <w:vAlign w:val="center"/>
          </w:tcPr>
          <w:p w14:paraId="37459CC1">
            <w:pPr>
              <w:snapToGrid w:val="0"/>
              <w:spacing w:line="240" w:lineRule="auto"/>
              <w:jc w:val="center"/>
              <w:rPr>
                <w:rFonts w:hint="eastAsia" w:ascii="宋体" w:hAnsi="宋体" w:eastAsia="宋体" w:cs="宋体"/>
                <w:color w:val="000000"/>
                <w:sz w:val="24"/>
                <w:highlight w:val="none"/>
              </w:rPr>
            </w:pPr>
          </w:p>
        </w:tc>
      </w:tr>
    </w:tbl>
    <w:p w14:paraId="37EF31B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说明： </w:t>
      </w:r>
    </w:p>
    <w:p w14:paraId="1231072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1.投标人响应描述：投标人按响应货物或服务实际数据填写，否则视为未响应。 </w:t>
      </w:r>
    </w:p>
    <w:p w14:paraId="10B0910B">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2.偏离情况说明：投标人根据投标人实际情况填写“正偏离”“完全响应”或“负偏离”。</w:t>
      </w:r>
    </w:p>
    <w:p w14:paraId="598B16C0">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3.供应商不得完全复制采购需求的技术参数，否则视为负偏离。</w:t>
      </w:r>
    </w:p>
    <w:p w14:paraId="5A5CC552">
      <w:pPr>
        <w:spacing w:line="500" w:lineRule="exact"/>
        <w:ind w:firstLine="124" w:firstLineChars="50"/>
        <w:rPr>
          <w:rFonts w:hint="eastAsia" w:ascii="宋体" w:hAnsi="宋体" w:eastAsia="宋体" w:cs="宋体"/>
          <w:color w:val="000000"/>
          <w:spacing w:val="4"/>
          <w:sz w:val="24"/>
          <w:highlight w:val="none"/>
        </w:rPr>
      </w:pPr>
    </w:p>
    <w:p w14:paraId="4D5C4143">
      <w:pPr>
        <w:spacing w:line="500" w:lineRule="exact"/>
        <w:ind w:firstLine="124" w:firstLineChars="50"/>
        <w:rPr>
          <w:rFonts w:hint="eastAsia" w:ascii="宋体" w:hAnsi="宋体" w:eastAsia="宋体" w:cs="宋体"/>
          <w:color w:val="000000"/>
          <w:spacing w:val="4"/>
          <w:sz w:val="24"/>
          <w:highlight w:val="none"/>
        </w:rPr>
      </w:pPr>
    </w:p>
    <w:p w14:paraId="3BA3A8BA">
      <w:pPr>
        <w:spacing w:line="500" w:lineRule="exact"/>
        <w:ind w:firstLine="124" w:firstLineChars="50"/>
        <w:rPr>
          <w:rFonts w:hint="eastAsia" w:ascii="宋体" w:hAnsi="宋体" w:eastAsia="宋体" w:cs="宋体"/>
          <w:color w:val="000000"/>
          <w:sz w:val="24"/>
          <w:highlight w:val="none"/>
          <w:u w:val="single"/>
        </w:rPr>
      </w:pPr>
      <w:r>
        <w:rPr>
          <w:rFonts w:hint="eastAsia" w:ascii="宋体" w:hAnsi="宋体" w:eastAsia="宋体" w:cs="宋体"/>
          <w:color w:val="000000"/>
          <w:spacing w:val="4"/>
          <w:sz w:val="24"/>
          <w:highlight w:val="none"/>
        </w:rPr>
        <w:t>投标人名称（</w:t>
      </w:r>
      <w:r>
        <w:rPr>
          <w:rFonts w:hint="eastAsia" w:ascii="宋体" w:hAnsi="宋体" w:eastAsia="宋体" w:cs="宋体"/>
          <w:color w:val="000000"/>
          <w:sz w:val="24"/>
          <w:highlight w:val="none"/>
        </w:rPr>
        <w:t>单位盖</w:t>
      </w:r>
      <w:r>
        <w:rPr>
          <w:rFonts w:hint="eastAsia" w:ascii="宋体" w:hAnsi="宋体" w:eastAsia="宋体" w:cs="宋体"/>
          <w:color w:val="000000"/>
          <w:spacing w:val="4"/>
          <w:sz w:val="24"/>
          <w:highlight w:val="none"/>
        </w:rPr>
        <w:t>公章）：</w:t>
      </w:r>
    </w:p>
    <w:p w14:paraId="198775E9">
      <w:pPr>
        <w:spacing w:line="440" w:lineRule="exact"/>
        <w:ind w:firstLine="124" w:firstLineChars="50"/>
        <w:rPr>
          <w:rFonts w:hint="eastAsia" w:ascii="宋体" w:hAnsi="宋体" w:eastAsia="宋体" w:cs="宋体"/>
          <w:color w:val="000000"/>
          <w:spacing w:val="4"/>
          <w:sz w:val="24"/>
          <w:highlight w:val="none"/>
        </w:rPr>
      </w:pPr>
      <w:r>
        <w:rPr>
          <w:rFonts w:hint="eastAsia" w:ascii="宋体" w:hAnsi="宋体" w:eastAsia="宋体" w:cs="宋体"/>
          <w:color w:val="000000"/>
          <w:spacing w:val="4"/>
          <w:sz w:val="24"/>
          <w:highlight w:val="none"/>
        </w:rPr>
        <w:t>日期：</w:t>
      </w:r>
    </w:p>
    <w:bookmarkEnd w:id="286"/>
    <w:bookmarkEnd w:id="287"/>
    <w:p w14:paraId="5312C2BA">
      <w:pPr>
        <w:adjustRightInd w:val="0"/>
        <w:snapToGrid w:val="0"/>
        <w:spacing w:line="360" w:lineRule="auto"/>
        <w:rPr>
          <w:rFonts w:hint="eastAsia" w:ascii="宋体" w:hAnsi="宋体" w:eastAsia="宋体" w:cs="宋体"/>
          <w:color w:val="000000"/>
          <w:sz w:val="24"/>
          <w:szCs w:val="28"/>
          <w:highlight w:val="none"/>
        </w:rPr>
      </w:pPr>
    </w:p>
    <w:p w14:paraId="71D38384">
      <w:pPr>
        <w:pStyle w:val="23"/>
        <w:numPr>
          <w:ilvl w:val="0"/>
          <w:numId w:val="0"/>
        </w:numPr>
        <w:overflowPunct w:val="0"/>
        <w:snapToGrid w:val="0"/>
        <w:spacing w:line="360" w:lineRule="auto"/>
        <w:jc w:val="both"/>
        <w:rPr>
          <w:rFonts w:hint="eastAsia" w:ascii="宋体" w:hAnsi="宋体" w:eastAsia="宋体" w:cs="宋体"/>
          <w:b/>
          <w:bCs w:val="0"/>
          <w:color w:val="auto"/>
          <w:kern w:val="2"/>
          <w:sz w:val="28"/>
          <w:szCs w:val="24"/>
          <w:highlight w:val="none"/>
          <w:lang w:val="en-US" w:eastAsia="zh-CN" w:bidi="ar-SA"/>
        </w:rPr>
      </w:pPr>
    </w:p>
    <w:p w14:paraId="10D574F7">
      <w:pPr>
        <w:pStyle w:val="24"/>
        <w:rPr>
          <w:rFonts w:hint="eastAsia"/>
          <w:highlight w:val="none"/>
          <w:lang w:val="en-US" w:eastAsia="zh-CN"/>
        </w:rPr>
      </w:pPr>
    </w:p>
    <w:p w14:paraId="26257CB8">
      <w:pPr>
        <w:pStyle w:val="23"/>
        <w:numPr>
          <w:ilvl w:val="0"/>
          <w:numId w:val="0"/>
        </w:numPr>
        <w:overflowPunct w:val="0"/>
        <w:snapToGrid w:val="0"/>
        <w:spacing w:line="360" w:lineRule="auto"/>
        <w:jc w:val="both"/>
        <w:rPr>
          <w:rFonts w:hint="eastAsia" w:ascii="宋体" w:hAnsi="宋体" w:eastAsia="宋体" w:cs="宋体"/>
          <w:b/>
          <w:bCs w:val="0"/>
          <w:color w:val="auto"/>
          <w:kern w:val="2"/>
          <w:sz w:val="28"/>
          <w:szCs w:val="24"/>
          <w:highlight w:val="none"/>
          <w:lang w:val="en-US" w:eastAsia="zh-CN" w:bidi="ar-SA"/>
        </w:rPr>
      </w:pPr>
    </w:p>
    <w:p w14:paraId="68EC284C">
      <w:pPr>
        <w:rPr>
          <w:rFonts w:hint="eastAsia" w:ascii="宋体" w:hAnsi="宋体" w:eastAsia="宋体" w:cs="宋体"/>
          <w:b/>
          <w:bCs w:val="0"/>
          <w:color w:val="auto"/>
          <w:kern w:val="2"/>
          <w:sz w:val="28"/>
          <w:szCs w:val="24"/>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br w:type="page"/>
      </w:r>
    </w:p>
    <w:p w14:paraId="163B0C4F">
      <w:pPr>
        <w:pStyle w:val="23"/>
        <w:numPr>
          <w:ilvl w:val="0"/>
          <w:numId w:val="0"/>
        </w:numPr>
        <w:overflowPunct w:val="0"/>
        <w:snapToGrid w:val="0"/>
        <w:spacing w:line="360" w:lineRule="auto"/>
        <w:jc w:val="both"/>
        <w:rPr>
          <w:rFonts w:hint="eastAsia" w:ascii="宋体" w:hAnsi="宋体" w:eastAsia="宋体" w:cs="宋体"/>
          <w:b/>
          <w:bCs w:val="0"/>
          <w:color w:val="auto"/>
          <w:kern w:val="2"/>
          <w:sz w:val="28"/>
          <w:szCs w:val="24"/>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t>附件十四</w:t>
      </w:r>
    </w:p>
    <w:p w14:paraId="23496D32">
      <w:pPr>
        <w:pStyle w:val="23"/>
        <w:numPr>
          <w:ilvl w:val="0"/>
          <w:numId w:val="0"/>
        </w:numPr>
        <w:overflowPunct w:val="0"/>
        <w:snapToGrid w:val="0"/>
        <w:spacing w:line="360" w:lineRule="auto"/>
        <w:jc w:val="center"/>
        <w:rPr>
          <w:rFonts w:hint="eastAsia" w:ascii="宋体" w:hAnsi="宋体" w:eastAsia="宋体" w:cs="宋体"/>
          <w:b/>
          <w:bCs w:val="0"/>
          <w:color w:val="auto"/>
          <w:kern w:val="2"/>
          <w:sz w:val="32"/>
          <w:szCs w:val="28"/>
          <w:highlight w:val="none"/>
          <w:lang w:val="en-US" w:eastAsia="zh-CN" w:bidi="ar-SA"/>
        </w:rPr>
      </w:pPr>
      <w:r>
        <w:rPr>
          <w:rFonts w:hint="eastAsia" w:ascii="宋体" w:hAnsi="宋体" w:eastAsia="宋体" w:cs="宋体"/>
          <w:b/>
          <w:bCs w:val="0"/>
          <w:color w:val="auto"/>
          <w:kern w:val="2"/>
          <w:sz w:val="32"/>
          <w:szCs w:val="28"/>
          <w:highlight w:val="none"/>
          <w:lang w:val="en-US" w:eastAsia="zh-CN" w:bidi="ar-SA"/>
        </w:rPr>
        <w:t>投标人反商业贿赂承诺书</w:t>
      </w:r>
    </w:p>
    <w:p w14:paraId="55A46B26">
      <w:pPr>
        <w:autoSpaceDE w:val="0"/>
        <w:autoSpaceDN w:val="0"/>
        <w:adjustRightInd w:val="0"/>
        <w:spacing w:line="480" w:lineRule="auto"/>
        <w:ind w:firstLine="525" w:firstLineChars="250"/>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highlight w:val="none"/>
          <w:lang w:val="zh-CN"/>
        </w:rPr>
        <w:t>我公司承诺在</w:t>
      </w:r>
      <w:r>
        <w:rPr>
          <w:rFonts w:hint="eastAsia" w:ascii="宋体" w:hAnsi="宋体" w:eastAsia="宋体" w:cs="宋体"/>
          <w:bCs/>
          <w:color w:val="000000"/>
          <w:sz w:val="21"/>
          <w:szCs w:val="21"/>
          <w:highlight w:val="none"/>
          <w:u w:val="single"/>
          <w:lang w:val="zh-CN"/>
        </w:rPr>
        <w:t xml:space="preserve">                             </w:t>
      </w:r>
      <w:r>
        <w:rPr>
          <w:rFonts w:hint="eastAsia" w:ascii="宋体" w:hAnsi="宋体" w:eastAsia="宋体" w:cs="宋体"/>
          <w:color w:val="000000"/>
          <w:kern w:val="0"/>
          <w:sz w:val="21"/>
          <w:szCs w:val="21"/>
          <w:highlight w:val="none"/>
          <w:lang w:val="zh-CN"/>
        </w:rPr>
        <w:t>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w:t>
      </w:r>
      <w:r>
        <w:rPr>
          <w:rFonts w:hint="eastAsia" w:ascii="宋体" w:hAnsi="宋体" w:cs="宋体"/>
          <w:color w:val="000000"/>
          <w:kern w:val="0"/>
          <w:sz w:val="21"/>
          <w:szCs w:val="21"/>
          <w:highlight w:val="none"/>
          <w:lang w:val="zh-CN"/>
        </w:rPr>
        <w:t>》《</w:t>
      </w:r>
      <w:r>
        <w:rPr>
          <w:rFonts w:hint="eastAsia" w:ascii="宋体" w:hAnsi="宋体" w:eastAsia="宋体" w:cs="宋体"/>
          <w:color w:val="000000"/>
          <w:kern w:val="0"/>
          <w:sz w:val="21"/>
          <w:szCs w:val="21"/>
          <w:highlight w:val="none"/>
          <w:lang w:val="zh-CN"/>
        </w:rPr>
        <w:t>反不正当竞争法》的有关规定接受处罚。</w:t>
      </w:r>
    </w:p>
    <w:p w14:paraId="5D9F8102">
      <w:pPr>
        <w:autoSpaceDE w:val="0"/>
        <w:autoSpaceDN w:val="0"/>
        <w:adjustRightInd w:val="0"/>
        <w:spacing w:line="360" w:lineRule="auto"/>
        <w:ind w:firstLine="525" w:firstLineChars="250"/>
        <w:rPr>
          <w:rFonts w:hint="eastAsia" w:ascii="宋体" w:hAnsi="宋体" w:eastAsia="宋体" w:cs="宋体"/>
          <w:bCs/>
          <w:color w:val="000000"/>
          <w:sz w:val="21"/>
          <w:szCs w:val="21"/>
          <w:highlight w:val="none"/>
          <w:lang w:val="zh-CN"/>
        </w:rPr>
      </w:pPr>
      <w:r>
        <w:rPr>
          <w:rFonts w:hint="eastAsia" w:ascii="宋体" w:hAnsi="宋体" w:eastAsia="宋体" w:cs="宋体"/>
          <w:color w:val="000000"/>
          <w:kern w:val="0"/>
          <w:sz w:val="21"/>
          <w:szCs w:val="21"/>
          <w:highlight w:val="none"/>
          <w:lang w:val="zh-CN"/>
        </w:rPr>
        <w:t xml:space="preserve"> </w:t>
      </w:r>
    </w:p>
    <w:p w14:paraId="052015AF">
      <w:pPr>
        <w:spacing w:before="100" w:beforeAutospacing="1" w:after="100" w:afterAutospacing="1"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投标单位：</w:t>
      </w:r>
      <w:r>
        <w:rPr>
          <w:rFonts w:hint="eastAsia" w:ascii="宋体" w:hAnsi="宋体" w:eastAsia="宋体" w:cs="宋体"/>
          <w:color w:val="000000"/>
          <w:sz w:val="21"/>
          <w:szCs w:val="21"/>
          <w:highlight w:val="none"/>
          <w:u w:val="none"/>
        </w:rPr>
        <w:t>（</w:t>
      </w:r>
      <w:r>
        <w:rPr>
          <w:rFonts w:hint="eastAsia" w:ascii="宋体" w:hAnsi="宋体" w:eastAsia="宋体" w:cs="宋体"/>
          <w:color w:val="000000"/>
          <w:sz w:val="21"/>
          <w:szCs w:val="21"/>
          <w:highlight w:val="none"/>
          <w:u w:val="none"/>
          <w:lang w:eastAsia="zh-CN"/>
        </w:rPr>
        <w:t>盖章</w:t>
      </w:r>
      <w:r>
        <w:rPr>
          <w:rFonts w:hint="eastAsia" w:ascii="宋体" w:hAnsi="宋体" w:eastAsia="宋体" w:cs="宋体"/>
          <w:color w:val="000000"/>
          <w:sz w:val="21"/>
          <w:szCs w:val="21"/>
          <w:highlight w:val="none"/>
          <w:u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14:paraId="70C087E2">
      <w:pPr>
        <w:spacing w:before="100" w:beforeAutospacing="1" w:after="100" w:afterAutospacing="1" w:line="360" w:lineRule="auto"/>
        <w:ind w:firstLine="420" w:firstLineChars="200"/>
        <w:rPr>
          <w:rFonts w:hint="eastAsia" w:ascii="宋体" w:hAnsi="宋体" w:eastAsia="宋体" w:cs="宋体"/>
          <w:color w:val="000000"/>
          <w:sz w:val="21"/>
          <w:szCs w:val="21"/>
          <w:highlight w:val="none"/>
          <w:u w:val="single"/>
        </w:rPr>
      </w:pPr>
    </w:p>
    <w:p w14:paraId="1298520D">
      <w:pPr>
        <w:spacing w:line="360" w:lineRule="auto"/>
        <w:ind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法定代表人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（签字</w:t>
      </w:r>
      <w:r>
        <w:rPr>
          <w:rFonts w:hint="eastAsia" w:ascii="宋体" w:hAnsi="宋体" w:eastAsia="宋体" w:cs="宋体"/>
          <w:color w:val="000000"/>
          <w:sz w:val="21"/>
          <w:szCs w:val="21"/>
          <w:highlight w:val="none"/>
          <w:lang w:val="en-US" w:eastAsia="zh-CN"/>
        </w:rPr>
        <w:t>或</w:t>
      </w:r>
      <w:r>
        <w:rPr>
          <w:rFonts w:hint="eastAsia" w:ascii="宋体" w:hAnsi="宋体" w:eastAsia="宋体" w:cs="宋体"/>
          <w:color w:val="000000"/>
          <w:sz w:val="21"/>
          <w:szCs w:val="21"/>
          <w:highlight w:val="none"/>
        </w:rPr>
        <w:t>盖章）</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14:paraId="53845C48">
      <w:pPr>
        <w:spacing w:line="360" w:lineRule="auto"/>
        <w:ind w:firstLine="210" w:firstLineChars="100"/>
        <w:rPr>
          <w:rFonts w:hint="eastAsia" w:ascii="宋体" w:hAnsi="宋体" w:eastAsia="宋体" w:cs="宋体"/>
          <w:color w:val="000000"/>
          <w:sz w:val="21"/>
          <w:szCs w:val="21"/>
          <w:highlight w:val="none"/>
          <w:lang w:val="zh-CN"/>
        </w:rPr>
      </w:pPr>
    </w:p>
    <w:p w14:paraId="780EE6E0">
      <w:pPr>
        <w:spacing w:before="100" w:beforeAutospacing="1" w:after="100" w:afterAutospacing="1" w:line="360" w:lineRule="auto"/>
        <w:ind w:firstLine="465"/>
        <w:rPr>
          <w:rFonts w:hint="eastAsia" w:ascii="宋体" w:hAnsi="宋体" w:eastAsia="宋体" w:cs="宋体"/>
          <w:color w:val="000000"/>
          <w:sz w:val="21"/>
          <w:szCs w:val="21"/>
          <w:highlight w:val="none"/>
          <w:lang w:val="zh-CN"/>
        </w:rPr>
      </w:pPr>
    </w:p>
    <w:p w14:paraId="24D00B61">
      <w:pPr>
        <w:spacing w:before="100" w:beforeAutospacing="1" w:after="100" w:afterAutospacing="1" w:line="360" w:lineRule="auto"/>
        <w:jc w:val="righ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 xml:space="preserve"> </w:t>
      </w:r>
      <w:r>
        <w:rPr>
          <w:rFonts w:hint="eastAsia" w:ascii="宋体" w:hAnsi="宋体" w:eastAsia="宋体" w:cs="宋体"/>
          <w:color w:val="000000"/>
          <w:sz w:val="21"/>
          <w:szCs w:val="21"/>
          <w:highlight w:val="none"/>
        </w:rPr>
        <w:t xml:space="preserve">     日期：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5F47BD0D">
      <w:pPr>
        <w:spacing w:before="100" w:beforeAutospacing="1" w:after="100" w:afterAutospacing="1" w:line="360" w:lineRule="auto"/>
        <w:jc w:val="right"/>
        <w:rPr>
          <w:rFonts w:hint="eastAsia" w:ascii="宋体" w:hAnsi="宋体" w:eastAsia="宋体" w:cs="宋体"/>
          <w:color w:val="000000"/>
          <w:sz w:val="24"/>
          <w:szCs w:val="24"/>
          <w:highlight w:val="none"/>
        </w:rPr>
      </w:pPr>
    </w:p>
    <w:p w14:paraId="0E54E47D">
      <w:pPr>
        <w:pStyle w:val="23"/>
        <w:widowControl w:val="0"/>
        <w:numPr>
          <w:ilvl w:val="0"/>
          <w:numId w:val="0"/>
        </w:numPr>
        <w:overflowPunct w:val="0"/>
        <w:adjustRightInd w:val="0"/>
        <w:snapToGrid w:val="0"/>
        <w:spacing w:line="360" w:lineRule="auto"/>
        <w:jc w:val="center"/>
        <w:rPr>
          <w:rFonts w:hint="eastAsia" w:ascii="宋体" w:hAnsi="宋体" w:eastAsia="宋体" w:cs="宋体"/>
          <w:b/>
          <w:bCs w:val="0"/>
          <w:color w:val="auto"/>
          <w:kern w:val="2"/>
          <w:sz w:val="32"/>
          <w:szCs w:val="28"/>
          <w:highlight w:val="none"/>
          <w:lang w:val="en-US" w:eastAsia="zh-CN" w:bidi="ar-SA"/>
        </w:rPr>
        <w:sectPr>
          <w:type w:val="continuous"/>
          <w:pgSz w:w="11905" w:h="16838"/>
          <w:pgMar w:top="1304" w:right="964" w:bottom="1020" w:left="1191" w:header="567" w:footer="454" w:gutter="0"/>
          <w:pgNumType w:fmt="decimal"/>
          <w:cols w:space="720" w:num="1"/>
          <w:rtlGutter w:val="0"/>
          <w:docGrid w:type="lines" w:linePitch="317" w:charSpace="0"/>
        </w:sectPr>
      </w:pPr>
    </w:p>
    <w:p w14:paraId="1076D503">
      <w:pPr>
        <w:spacing w:line="640" w:lineRule="exact"/>
        <w:jc w:val="both"/>
        <w:rPr>
          <w:rFonts w:hint="eastAsia" w:ascii="宋体" w:hAnsi="宋体" w:eastAsia="宋体" w:cs="宋体"/>
          <w:b/>
          <w:bCs w:val="0"/>
          <w:color w:val="auto"/>
          <w:kern w:val="2"/>
          <w:sz w:val="28"/>
          <w:szCs w:val="24"/>
          <w:highlight w:val="none"/>
          <w:lang w:val="en-US" w:eastAsia="zh-CN" w:bidi="ar-SA"/>
        </w:rPr>
      </w:pPr>
    </w:p>
    <w:p w14:paraId="6EF23C31">
      <w:pPr>
        <w:spacing w:line="640" w:lineRule="exact"/>
        <w:jc w:val="both"/>
        <w:rPr>
          <w:rFonts w:hint="eastAsia" w:ascii="宋体" w:hAnsi="宋体" w:eastAsia="宋体" w:cs="宋体"/>
          <w:b/>
          <w:bCs w:val="0"/>
          <w:color w:val="auto"/>
          <w:kern w:val="2"/>
          <w:sz w:val="28"/>
          <w:szCs w:val="24"/>
          <w:highlight w:val="none"/>
          <w:lang w:val="en-US" w:eastAsia="zh-CN" w:bidi="ar-SA"/>
        </w:rPr>
      </w:pPr>
    </w:p>
    <w:p w14:paraId="266D04EC">
      <w:pPr>
        <w:spacing w:line="640" w:lineRule="exact"/>
        <w:jc w:val="both"/>
        <w:rPr>
          <w:rFonts w:hint="eastAsia" w:ascii="宋体" w:hAnsi="宋体" w:eastAsia="宋体" w:cs="宋体"/>
          <w:b/>
          <w:bCs w:val="0"/>
          <w:color w:val="auto"/>
          <w:kern w:val="2"/>
          <w:sz w:val="28"/>
          <w:szCs w:val="24"/>
          <w:highlight w:val="none"/>
          <w:lang w:val="en-US" w:eastAsia="zh-CN" w:bidi="ar-SA"/>
        </w:rPr>
      </w:pPr>
    </w:p>
    <w:p w14:paraId="198CDF57">
      <w:pPr>
        <w:spacing w:line="640" w:lineRule="exact"/>
        <w:jc w:val="both"/>
        <w:rPr>
          <w:rFonts w:hint="eastAsia" w:ascii="宋体" w:hAnsi="宋体" w:eastAsia="宋体" w:cs="宋体"/>
          <w:b/>
          <w:bCs w:val="0"/>
          <w:color w:val="auto"/>
          <w:kern w:val="2"/>
          <w:sz w:val="28"/>
          <w:szCs w:val="24"/>
          <w:highlight w:val="none"/>
          <w:lang w:val="en-US" w:eastAsia="zh-CN" w:bidi="ar-SA"/>
        </w:rPr>
      </w:pPr>
    </w:p>
    <w:p w14:paraId="097B975B">
      <w:pPr>
        <w:spacing w:line="640" w:lineRule="exact"/>
        <w:jc w:val="both"/>
        <w:rPr>
          <w:rFonts w:hint="eastAsia" w:ascii="宋体" w:hAnsi="宋体" w:eastAsia="宋体" w:cs="宋体"/>
          <w:b/>
          <w:bCs w:val="0"/>
          <w:color w:val="auto"/>
          <w:kern w:val="2"/>
          <w:sz w:val="28"/>
          <w:szCs w:val="24"/>
          <w:highlight w:val="none"/>
          <w:lang w:val="en-US" w:eastAsia="zh-CN" w:bidi="ar-SA"/>
        </w:rPr>
      </w:pPr>
    </w:p>
    <w:p w14:paraId="03386E15">
      <w:pPr>
        <w:spacing w:line="640" w:lineRule="exact"/>
        <w:jc w:val="both"/>
        <w:rPr>
          <w:rFonts w:hint="eastAsia" w:ascii="宋体" w:hAnsi="宋体" w:eastAsia="宋体" w:cs="宋体"/>
          <w:b/>
          <w:bCs w:val="0"/>
          <w:color w:val="auto"/>
          <w:kern w:val="2"/>
          <w:sz w:val="28"/>
          <w:szCs w:val="24"/>
          <w:highlight w:val="none"/>
          <w:lang w:val="en-US" w:eastAsia="zh-CN" w:bidi="ar-SA"/>
        </w:rPr>
      </w:pPr>
    </w:p>
    <w:p w14:paraId="78C5EC13">
      <w:pPr>
        <w:spacing w:line="640" w:lineRule="exact"/>
        <w:jc w:val="both"/>
        <w:rPr>
          <w:rFonts w:hint="eastAsia" w:ascii="宋体" w:hAnsi="宋体" w:eastAsia="宋体" w:cs="宋体"/>
          <w:b/>
          <w:bCs w:val="0"/>
          <w:color w:val="auto"/>
          <w:kern w:val="2"/>
          <w:sz w:val="28"/>
          <w:szCs w:val="24"/>
          <w:highlight w:val="none"/>
          <w:lang w:val="en-US" w:eastAsia="zh-CN" w:bidi="ar-SA"/>
        </w:rPr>
      </w:pPr>
    </w:p>
    <w:p w14:paraId="73F8D741">
      <w:pPr>
        <w:spacing w:line="640" w:lineRule="exact"/>
        <w:jc w:val="both"/>
        <w:rPr>
          <w:rFonts w:hint="eastAsia" w:ascii="宋体" w:hAnsi="宋体" w:eastAsia="宋体" w:cs="宋体"/>
          <w:b/>
          <w:bCs w:val="0"/>
          <w:color w:val="auto"/>
          <w:kern w:val="2"/>
          <w:sz w:val="28"/>
          <w:szCs w:val="24"/>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t>附件十五</w:t>
      </w:r>
    </w:p>
    <w:p w14:paraId="095AFBDF">
      <w:pPr>
        <w:spacing w:line="640" w:lineRule="exact"/>
        <w:ind w:firstLine="569" w:firstLineChars="177"/>
        <w:jc w:val="center"/>
        <w:rPr>
          <w:rFonts w:hint="eastAsia" w:ascii="宋体" w:hAnsi="宋体" w:eastAsia="宋体" w:cs="宋体"/>
          <w:sz w:val="32"/>
          <w:szCs w:val="32"/>
          <w:highlight w:val="none"/>
        </w:rPr>
      </w:pPr>
      <w:r>
        <w:rPr>
          <w:rFonts w:hint="eastAsia" w:ascii="宋体" w:hAnsi="宋体" w:eastAsia="宋体" w:cs="宋体"/>
          <w:b/>
          <w:bCs w:val="0"/>
          <w:color w:val="auto"/>
          <w:kern w:val="2"/>
          <w:sz w:val="32"/>
          <w:szCs w:val="28"/>
          <w:highlight w:val="none"/>
          <w:lang w:val="en-US" w:eastAsia="zh-CN" w:bidi="ar-SA"/>
        </w:rPr>
        <w:t>无围标、串标等违法违规行为承诺书</w:t>
      </w:r>
    </w:p>
    <w:p w14:paraId="0BAB1B2A">
      <w:pPr>
        <w:spacing w:line="640" w:lineRule="exact"/>
        <w:jc w:val="left"/>
        <w:rPr>
          <w:rFonts w:hint="eastAsia" w:ascii="宋体" w:hAnsi="宋体" w:eastAsia="宋体" w:cs="宋体"/>
          <w:sz w:val="24"/>
          <w:szCs w:val="24"/>
          <w:highlight w:val="none"/>
        </w:rPr>
      </w:pPr>
    </w:p>
    <w:p w14:paraId="07AB926B">
      <w:pPr>
        <w:spacing w:line="6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本人作为</w:t>
      </w:r>
      <w:r>
        <w:rPr>
          <w:rFonts w:hint="eastAsia" w:ascii="宋体" w:hAnsi="宋体" w:eastAsia="宋体" w:cs="宋体"/>
          <w:sz w:val="21"/>
          <w:szCs w:val="21"/>
          <w:highlight w:val="none"/>
          <w:u w:val="single"/>
        </w:rPr>
        <w:t xml:space="preserve">（单位名称）                    </w:t>
      </w:r>
      <w:r>
        <w:rPr>
          <w:rFonts w:hint="eastAsia" w:ascii="宋体" w:hAnsi="宋体" w:eastAsia="宋体" w:cs="宋体"/>
          <w:sz w:val="21"/>
          <w:szCs w:val="21"/>
          <w:highlight w:val="none"/>
        </w:rPr>
        <w:t>的法人，清楚知晓我公司本项目投标活动，对以下事项作出承诺：</w:t>
      </w:r>
    </w:p>
    <w:p w14:paraId="34C30CC6">
      <w:pPr>
        <w:spacing w:line="6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一、我单位遵循公开、公平、公正、诚实守信的原则，依法依规参与本项目竞标。</w:t>
      </w:r>
    </w:p>
    <w:p w14:paraId="5095B8FE">
      <w:pPr>
        <w:spacing w:line="640" w:lineRule="exact"/>
        <w:ind w:firstLine="420" w:firstLineChars="200"/>
        <w:outlineLvl w:val="1"/>
        <w:rPr>
          <w:rFonts w:hint="eastAsia" w:ascii="宋体" w:hAnsi="宋体" w:eastAsia="宋体" w:cs="宋体"/>
          <w:sz w:val="21"/>
          <w:szCs w:val="21"/>
          <w:highlight w:val="none"/>
        </w:rPr>
      </w:pPr>
      <w:bookmarkStart w:id="288" w:name="_Toc3592"/>
      <w:r>
        <w:rPr>
          <w:rFonts w:hint="eastAsia" w:ascii="宋体" w:hAnsi="宋体" w:eastAsia="宋体" w:cs="宋体"/>
          <w:sz w:val="21"/>
          <w:szCs w:val="21"/>
          <w:highlight w:val="none"/>
        </w:rPr>
        <w:t>二、我单位在本项目招标投标活动中，未参与围标串标。</w:t>
      </w:r>
      <w:bookmarkEnd w:id="288"/>
    </w:p>
    <w:p w14:paraId="667E862A">
      <w:pPr>
        <w:spacing w:line="640" w:lineRule="exact"/>
        <w:ind w:firstLine="420" w:firstLineChars="200"/>
        <w:rPr>
          <w:rFonts w:hint="eastAsia" w:ascii="宋体" w:hAnsi="宋体" w:eastAsia="宋体" w:cs="宋体"/>
          <w:b/>
          <w:sz w:val="21"/>
          <w:szCs w:val="21"/>
          <w:highlight w:val="none"/>
        </w:rPr>
      </w:pPr>
      <w:r>
        <w:rPr>
          <w:rFonts w:hint="eastAsia" w:ascii="宋体" w:hAnsi="宋体" w:eastAsia="宋体" w:cs="宋体"/>
          <w:sz w:val="21"/>
          <w:szCs w:val="21"/>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7B1D8E06">
      <w:pPr>
        <w:spacing w:line="6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项目编号：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sz w:val="21"/>
          <w:szCs w:val="21"/>
          <w:highlight w:val="none"/>
        </w:rPr>
        <w:t xml:space="preserve"> </w:t>
      </w:r>
    </w:p>
    <w:p w14:paraId="7DA75303">
      <w:pPr>
        <w:spacing w:line="6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项目名称</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sz w:val="21"/>
          <w:szCs w:val="21"/>
          <w:highlight w:val="none"/>
        </w:rPr>
        <w:t xml:space="preserve">    </w:t>
      </w:r>
    </w:p>
    <w:p w14:paraId="1AB9859C">
      <w:pPr>
        <w:spacing w:line="6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单位名称：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14:paraId="6025E379">
      <w:pPr>
        <w:spacing w:line="6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法</w:t>
      </w:r>
      <w:r>
        <w:rPr>
          <w:rFonts w:hint="eastAsia" w:ascii="宋体" w:hAnsi="宋体" w:eastAsia="宋体" w:cs="宋体"/>
          <w:sz w:val="21"/>
          <w:szCs w:val="21"/>
          <w:highlight w:val="none"/>
          <w:lang w:eastAsia="zh-CN"/>
        </w:rPr>
        <w:t>定代表</w:t>
      </w:r>
      <w:r>
        <w:rPr>
          <w:rFonts w:hint="eastAsia" w:ascii="宋体" w:hAnsi="宋体" w:eastAsia="宋体" w:cs="宋体"/>
          <w:sz w:val="21"/>
          <w:szCs w:val="21"/>
          <w:highlight w:val="none"/>
        </w:rPr>
        <w:t>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签字或盖章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14:paraId="462215A0">
      <w:pPr>
        <w:spacing w:line="6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74306CC4">
      <w:pPr>
        <w:spacing w:line="640" w:lineRule="exact"/>
        <w:jc w:val="left"/>
        <w:rPr>
          <w:rFonts w:hint="eastAsia" w:ascii="宋体" w:hAnsi="宋体" w:eastAsia="宋体" w:cs="宋体"/>
          <w:sz w:val="21"/>
          <w:szCs w:val="21"/>
          <w:highlight w:val="none"/>
        </w:rPr>
      </w:pPr>
    </w:p>
    <w:p w14:paraId="209937A9">
      <w:pPr>
        <w:spacing w:line="640" w:lineRule="exact"/>
        <w:ind w:firstLine="3570" w:firstLineChars="17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4C5C298E">
      <w:pPr>
        <w:pStyle w:val="23"/>
        <w:numPr>
          <w:ilvl w:val="0"/>
          <w:numId w:val="0"/>
        </w:numPr>
        <w:overflowPunct w:val="0"/>
        <w:snapToGrid w:val="0"/>
        <w:spacing w:line="360" w:lineRule="auto"/>
        <w:ind w:leftChars="0"/>
        <w:jc w:val="right"/>
        <w:rPr>
          <w:rFonts w:hint="eastAsia" w:ascii="宋体" w:hAnsi="宋体" w:eastAsia="宋体" w:cs="宋体"/>
          <w:b/>
          <w:bCs w:val="0"/>
          <w:color w:val="auto"/>
          <w:kern w:val="2"/>
          <w:sz w:val="21"/>
          <w:szCs w:val="21"/>
          <w:highlight w:val="none"/>
          <w:lang w:val="en-US" w:eastAsia="zh-CN" w:bidi="ar-SA"/>
        </w:rPr>
        <w:sectPr>
          <w:type w:val="continuous"/>
          <w:pgSz w:w="11905" w:h="16838"/>
          <w:pgMar w:top="1304" w:right="964" w:bottom="1020" w:left="1191" w:header="567" w:footer="454" w:gutter="0"/>
          <w:pgNumType w:fmt="decimal"/>
          <w:cols w:space="720" w:num="1"/>
          <w:rtlGutter w:val="0"/>
          <w:docGrid w:type="lines" w:linePitch="317" w:charSpace="0"/>
        </w:sectPr>
      </w:pPr>
      <w:r>
        <w:rPr>
          <w:rFonts w:hint="eastAsia" w:ascii="宋体" w:hAnsi="宋体" w:eastAsia="宋体" w:cs="宋体"/>
          <w:color w:val="000000"/>
          <w:sz w:val="21"/>
          <w:szCs w:val="21"/>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06661D75">
      <w:pPr>
        <w:pStyle w:val="23"/>
        <w:numPr>
          <w:ilvl w:val="0"/>
          <w:numId w:val="0"/>
        </w:numPr>
        <w:overflowPunct w:val="0"/>
        <w:snapToGrid w:val="0"/>
        <w:spacing w:line="360" w:lineRule="auto"/>
        <w:jc w:val="both"/>
        <w:rPr>
          <w:rFonts w:hint="eastAsia" w:ascii="宋体" w:hAnsi="宋体" w:eastAsia="宋体" w:cs="宋体"/>
          <w:b/>
          <w:bCs w:val="0"/>
          <w:color w:val="auto"/>
          <w:kern w:val="2"/>
          <w:sz w:val="28"/>
          <w:szCs w:val="24"/>
          <w:highlight w:val="none"/>
          <w:lang w:val="en-US" w:eastAsia="zh-CN" w:bidi="ar-SA"/>
        </w:rPr>
      </w:pPr>
    </w:p>
    <w:p w14:paraId="5B0930A8">
      <w:pPr>
        <w:pStyle w:val="63"/>
        <w:numPr>
          <w:ilvl w:val="0"/>
          <w:numId w:val="0"/>
        </w:numPr>
        <w:spacing w:before="120" w:line="360" w:lineRule="auto"/>
        <w:jc w:val="both"/>
        <w:rPr>
          <w:rFonts w:hint="eastAsia" w:ascii="宋体" w:hAnsi="宋体" w:eastAsia="宋体" w:cs="宋体"/>
          <w:b/>
          <w:bCs w:val="0"/>
          <w:color w:val="auto"/>
          <w:kern w:val="2"/>
          <w:sz w:val="28"/>
          <w:szCs w:val="24"/>
          <w:highlight w:val="none"/>
          <w:lang w:val="en-US" w:eastAsia="zh-CN" w:bidi="ar-SA"/>
        </w:rPr>
      </w:pPr>
      <w:bookmarkStart w:id="289" w:name="_Toc28072"/>
    </w:p>
    <w:p w14:paraId="067D06D6">
      <w:pPr>
        <w:pStyle w:val="63"/>
        <w:numPr>
          <w:ilvl w:val="0"/>
          <w:numId w:val="0"/>
        </w:numPr>
        <w:spacing w:before="120" w:line="360" w:lineRule="auto"/>
        <w:jc w:val="both"/>
        <w:rPr>
          <w:rFonts w:hint="eastAsia" w:ascii="宋体" w:hAnsi="宋体" w:eastAsia="宋体" w:cs="宋体"/>
          <w:b/>
          <w:bCs w:val="0"/>
          <w:color w:val="auto"/>
          <w:kern w:val="2"/>
          <w:sz w:val="28"/>
          <w:szCs w:val="24"/>
          <w:highlight w:val="none"/>
          <w:lang w:val="en-US" w:eastAsia="zh-CN" w:bidi="ar-SA"/>
        </w:rPr>
      </w:pPr>
    </w:p>
    <w:p w14:paraId="3B8F4EE0">
      <w:pPr>
        <w:pStyle w:val="63"/>
        <w:numPr>
          <w:ilvl w:val="0"/>
          <w:numId w:val="0"/>
        </w:numPr>
        <w:spacing w:before="120" w:line="360" w:lineRule="auto"/>
        <w:jc w:val="both"/>
        <w:rPr>
          <w:rFonts w:hint="eastAsia" w:ascii="宋体" w:hAnsi="宋体" w:eastAsia="宋体" w:cs="宋体"/>
          <w:b/>
          <w:bCs w:val="0"/>
          <w:color w:val="auto"/>
          <w:kern w:val="2"/>
          <w:sz w:val="28"/>
          <w:szCs w:val="24"/>
          <w:highlight w:val="none"/>
          <w:lang w:val="en-US" w:eastAsia="zh-CN" w:bidi="ar-SA"/>
        </w:rPr>
      </w:pPr>
    </w:p>
    <w:p w14:paraId="023329A4">
      <w:pPr>
        <w:pStyle w:val="63"/>
        <w:numPr>
          <w:ilvl w:val="0"/>
          <w:numId w:val="0"/>
        </w:numPr>
        <w:spacing w:before="120" w:line="360" w:lineRule="auto"/>
        <w:jc w:val="both"/>
        <w:rPr>
          <w:rFonts w:hint="eastAsia" w:ascii="宋体" w:hAnsi="宋体" w:eastAsia="宋体" w:cs="宋体"/>
          <w:b/>
          <w:bCs w:val="0"/>
          <w:color w:val="auto"/>
          <w:kern w:val="2"/>
          <w:sz w:val="28"/>
          <w:szCs w:val="24"/>
          <w:highlight w:val="none"/>
          <w:lang w:val="en-US" w:eastAsia="zh-CN" w:bidi="ar-SA"/>
        </w:rPr>
      </w:pPr>
    </w:p>
    <w:p w14:paraId="340267CA">
      <w:pPr>
        <w:pStyle w:val="63"/>
        <w:numPr>
          <w:ilvl w:val="0"/>
          <w:numId w:val="0"/>
        </w:numPr>
        <w:spacing w:before="120" w:line="360" w:lineRule="auto"/>
        <w:jc w:val="both"/>
        <w:rPr>
          <w:rFonts w:hint="eastAsia" w:ascii="宋体" w:hAnsi="宋体" w:eastAsia="宋体" w:cs="宋体"/>
          <w:b/>
          <w:bCs w:val="0"/>
          <w:color w:val="auto"/>
          <w:kern w:val="2"/>
          <w:sz w:val="28"/>
          <w:szCs w:val="24"/>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t>附件十</w:t>
      </w:r>
      <w:bookmarkEnd w:id="289"/>
      <w:r>
        <w:rPr>
          <w:rFonts w:hint="eastAsia" w:ascii="宋体" w:hAnsi="宋体" w:eastAsia="宋体" w:cs="宋体"/>
          <w:b/>
          <w:bCs w:val="0"/>
          <w:color w:val="auto"/>
          <w:kern w:val="2"/>
          <w:sz w:val="28"/>
          <w:szCs w:val="24"/>
          <w:highlight w:val="none"/>
          <w:lang w:val="en-US" w:eastAsia="zh-CN" w:bidi="ar-SA"/>
        </w:rPr>
        <w:t>六</w:t>
      </w:r>
    </w:p>
    <w:p w14:paraId="308C8F52">
      <w:pPr>
        <w:pStyle w:val="63"/>
        <w:numPr>
          <w:ilvl w:val="0"/>
          <w:numId w:val="0"/>
        </w:numPr>
        <w:spacing w:before="120" w:line="360" w:lineRule="auto"/>
        <w:jc w:val="center"/>
        <w:rPr>
          <w:rFonts w:hint="eastAsia" w:ascii="宋体" w:hAnsi="宋体" w:eastAsia="宋体" w:cs="宋体"/>
          <w:b/>
          <w:bCs w:val="0"/>
          <w:color w:val="auto"/>
          <w:kern w:val="2"/>
          <w:sz w:val="32"/>
          <w:szCs w:val="28"/>
          <w:highlight w:val="none"/>
          <w:lang w:val="en-US" w:eastAsia="zh-CN" w:bidi="ar-SA"/>
        </w:rPr>
      </w:pPr>
      <w:r>
        <w:rPr>
          <w:rFonts w:hint="eastAsia" w:ascii="宋体" w:hAnsi="宋体" w:eastAsia="宋体" w:cs="宋体"/>
          <w:b/>
          <w:bCs w:val="0"/>
          <w:color w:val="auto"/>
          <w:kern w:val="2"/>
          <w:sz w:val="32"/>
          <w:szCs w:val="28"/>
          <w:highlight w:val="none"/>
          <w:lang w:val="en-US" w:eastAsia="zh-CN" w:bidi="ar-SA"/>
        </w:rPr>
        <w:t>中小企业声明函、监狱企业、残疾人福利性单位及其他相关的充分的证明材料</w:t>
      </w:r>
    </w:p>
    <w:p w14:paraId="597CC5DD">
      <w:pPr>
        <w:spacing w:before="240" w:beforeLines="100" w:after="240" w:afterLines="100" w:line="360" w:lineRule="auto"/>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中小企业声明函（工程、服务）格式</w:t>
      </w:r>
    </w:p>
    <w:p w14:paraId="24810DFB">
      <w:pPr>
        <w:spacing w:line="360" w:lineRule="auto"/>
        <w:ind w:firstLine="504"/>
        <w:outlineLvl w:val="9"/>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8B8CD9B">
      <w:pPr>
        <w:spacing w:line="360" w:lineRule="auto"/>
        <w:ind w:firstLine="504"/>
        <w:outlineLvl w:val="9"/>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1.</w:t>
      </w:r>
      <w:r>
        <w:rPr>
          <w:rFonts w:hint="eastAsia" w:ascii="宋体" w:hAnsi="宋体" w:eastAsia="宋体" w:cs="宋体"/>
          <w:color w:val="000000" w:themeColor="text1"/>
          <w:spacing w:val="6"/>
          <w:sz w:val="24"/>
          <w:highlight w:val="none"/>
          <w:u w:val="single"/>
          <w14:textFill>
            <w14:solidFill>
              <w14:schemeClr w14:val="tx1"/>
            </w14:solidFill>
          </w14:textFill>
        </w:rPr>
        <w:t>（标的名称）</w:t>
      </w:r>
      <w:r>
        <w:rPr>
          <w:rFonts w:hint="eastAsia" w:ascii="宋体" w:hAnsi="宋体" w:eastAsia="宋体" w:cs="宋体"/>
          <w:color w:val="000000" w:themeColor="text1"/>
          <w:spacing w:val="6"/>
          <w:sz w:val="24"/>
          <w:highlight w:val="none"/>
          <w14:textFill>
            <w14:solidFill>
              <w14:schemeClr w14:val="tx1"/>
            </w14:solidFill>
          </w14:textFill>
        </w:rPr>
        <w:t>，属于</w:t>
      </w:r>
      <w:r>
        <w:rPr>
          <w:rFonts w:hint="eastAsia" w:ascii="宋体" w:hAnsi="宋体" w:eastAsia="宋体" w:cs="宋体"/>
          <w:color w:val="000000" w:themeColor="text1"/>
          <w:spacing w:val="6"/>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pacing w:val="6"/>
          <w:sz w:val="24"/>
          <w:highlight w:val="none"/>
          <w14:textFill>
            <w14:solidFill>
              <w14:schemeClr w14:val="tx1"/>
            </w14:solidFill>
          </w14:textFill>
        </w:rPr>
        <w:t>行业；承建（承接）企业为</w:t>
      </w:r>
      <w:r>
        <w:rPr>
          <w:rFonts w:hint="eastAsia" w:ascii="宋体" w:hAnsi="宋体" w:eastAsia="宋体" w:cs="宋体"/>
          <w:color w:val="000000" w:themeColor="text1"/>
          <w:spacing w:val="6"/>
          <w:sz w:val="24"/>
          <w:highlight w:val="none"/>
          <w:u w:val="single"/>
          <w14:textFill>
            <w14:solidFill>
              <w14:schemeClr w14:val="tx1"/>
            </w14:solidFill>
          </w14:textFill>
        </w:rPr>
        <w:t>（企业名称）</w:t>
      </w:r>
      <w:r>
        <w:rPr>
          <w:rFonts w:hint="eastAsia" w:ascii="宋体" w:hAnsi="宋体" w:eastAsia="宋体" w:cs="宋体"/>
          <w:color w:val="000000" w:themeColor="text1"/>
          <w:spacing w:val="6"/>
          <w:sz w:val="24"/>
          <w:highlight w:val="none"/>
          <w14:textFill>
            <w14:solidFill>
              <w14:schemeClr w14:val="tx1"/>
            </w14:solidFill>
          </w14:textFill>
        </w:rPr>
        <w:t>，从业人员______人，营业收入为______万元，资产总额为______万元，属于（中型企业、小型企业、微型企业）；</w:t>
      </w:r>
    </w:p>
    <w:p w14:paraId="14BDA8B3">
      <w:pPr>
        <w:spacing w:line="360" w:lineRule="auto"/>
        <w:ind w:firstLine="504"/>
        <w:outlineLvl w:val="9"/>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2.</w:t>
      </w:r>
      <w:r>
        <w:rPr>
          <w:rFonts w:hint="eastAsia" w:ascii="宋体" w:hAnsi="宋体" w:eastAsia="宋体" w:cs="宋体"/>
          <w:color w:val="000000" w:themeColor="text1"/>
          <w:spacing w:val="6"/>
          <w:sz w:val="24"/>
          <w:highlight w:val="none"/>
          <w:u w:val="single"/>
          <w14:textFill>
            <w14:solidFill>
              <w14:schemeClr w14:val="tx1"/>
            </w14:solidFill>
          </w14:textFill>
        </w:rPr>
        <w:t>（标的名称）</w:t>
      </w:r>
      <w:r>
        <w:rPr>
          <w:rFonts w:hint="eastAsia" w:ascii="宋体" w:hAnsi="宋体" w:eastAsia="宋体" w:cs="宋体"/>
          <w:color w:val="000000" w:themeColor="text1"/>
          <w:spacing w:val="6"/>
          <w:sz w:val="24"/>
          <w:highlight w:val="none"/>
          <w14:textFill>
            <w14:solidFill>
              <w14:schemeClr w14:val="tx1"/>
            </w14:solidFill>
          </w14:textFill>
        </w:rPr>
        <w:t>，属于</w:t>
      </w:r>
      <w:r>
        <w:rPr>
          <w:rFonts w:hint="eastAsia" w:ascii="宋体" w:hAnsi="宋体" w:eastAsia="宋体" w:cs="宋体"/>
          <w:color w:val="000000" w:themeColor="text1"/>
          <w:spacing w:val="6"/>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pacing w:val="6"/>
          <w:sz w:val="24"/>
          <w:highlight w:val="none"/>
          <w14:textFill>
            <w14:solidFill>
              <w14:schemeClr w14:val="tx1"/>
            </w14:solidFill>
          </w14:textFill>
        </w:rPr>
        <w:t>行业；承建（承接）企业为</w:t>
      </w:r>
      <w:r>
        <w:rPr>
          <w:rFonts w:hint="eastAsia" w:ascii="宋体" w:hAnsi="宋体" w:eastAsia="宋体" w:cs="宋体"/>
          <w:color w:val="000000" w:themeColor="text1"/>
          <w:spacing w:val="6"/>
          <w:sz w:val="24"/>
          <w:highlight w:val="none"/>
          <w:u w:val="single"/>
          <w14:textFill>
            <w14:solidFill>
              <w14:schemeClr w14:val="tx1"/>
            </w14:solidFill>
          </w14:textFill>
        </w:rPr>
        <w:t>（企业名称）</w:t>
      </w:r>
      <w:r>
        <w:rPr>
          <w:rFonts w:hint="eastAsia" w:ascii="宋体" w:hAnsi="宋体" w:eastAsia="宋体" w:cs="宋体"/>
          <w:color w:val="000000" w:themeColor="text1"/>
          <w:spacing w:val="6"/>
          <w:sz w:val="24"/>
          <w:highlight w:val="none"/>
          <w14:textFill>
            <w14:solidFill>
              <w14:schemeClr w14:val="tx1"/>
            </w14:solidFill>
          </w14:textFill>
        </w:rPr>
        <w:t>，从业人员______人，营业收入为______万元，资产总额为______万元，属于</w:t>
      </w:r>
      <w:r>
        <w:rPr>
          <w:rFonts w:hint="eastAsia" w:ascii="宋体" w:hAnsi="宋体" w:eastAsia="宋体" w:cs="宋体"/>
          <w:color w:val="000000" w:themeColor="text1"/>
          <w:spacing w:val="6"/>
          <w:sz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pacing w:val="6"/>
          <w:sz w:val="24"/>
          <w:highlight w:val="none"/>
          <w14:textFill>
            <w14:solidFill>
              <w14:schemeClr w14:val="tx1"/>
            </w14:solidFill>
          </w14:textFill>
        </w:rPr>
        <w:t>；</w:t>
      </w:r>
    </w:p>
    <w:p w14:paraId="4F11A301">
      <w:pPr>
        <w:spacing w:line="360" w:lineRule="auto"/>
        <w:ind w:firstLine="504"/>
        <w:outlineLvl w:val="9"/>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w:t>
      </w:r>
    </w:p>
    <w:p w14:paraId="1AC529F3">
      <w:pPr>
        <w:spacing w:line="360" w:lineRule="auto"/>
        <w:ind w:firstLine="504"/>
        <w:outlineLvl w:val="9"/>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以上企业，不属于大企业的分支机构，不存在控股股东为大企业的情形，也不存在与大企业的负责人为同一人的情形。</w:t>
      </w:r>
    </w:p>
    <w:p w14:paraId="40C9BA5A">
      <w:pPr>
        <w:spacing w:line="360" w:lineRule="auto"/>
        <w:ind w:firstLine="504"/>
        <w:outlineLvl w:val="9"/>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本企业对上述声明内容的真实性负责。如有虚假，将依法承担相应责任。</w:t>
      </w:r>
    </w:p>
    <w:p w14:paraId="1FCEE94B">
      <w:pPr>
        <w:spacing w:line="360" w:lineRule="auto"/>
        <w:ind w:right="360" w:firstLine="480"/>
        <w:jc w:val="right"/>
        <w:outlineLvl w:val="9"/>
        <w:rPr>
          <w:rFonts w:hint="eastAsia" w:ascii="宋体" w:hAnsi="宋体" w:eastAsia="宋体" w:cs="宋体"/>
          <w:color w:val="000000" w:themeColor="text1"/>
          <w:sz w:val="24"/>
          <w:highlight w:val="none"/>
          <w14:textFill>
            <w14:solidFill>
              <w14:schemeClr w14:val="tx1"/>
            </w14:solidFill>
          </w14:textFill>
        </w:rPr>
      </w:pPr>
    </w:p>
    <w:p w14:paraId="3974A2E3">
      <w:pPr>
        <w:spacing w:line="360" w:lineRule="auto"/>
        <w:ind w:right="360" w:firstLine="480"/>
        <w:jc w:val="right"/>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企业名称（盖章）：________</w:t>
      </w:r>
    </w:p>
    <w:p w14:paraId="18AFB673">
      <w:pPr>
        <w:spacing w:line="360" w:lineRule="auto"/>
        <w:ind w:right="360" w:firstLine="480"/>
        <w:jc w:val="right"/>
        <w:outlineLvl w:val="9"/>
        <w:rPr>
          <w:rFonts w:hint="eastAsia" w:ascii="宋体" w:hAnsi="宋体" w:eastAsia="宋体" w:cs="宋体"/>
          <w:color w:val="000000"/>
          <w:sz w:val="24"/>
          <w:highlight w:val="none"/>
        </w:rPr>
      </w:pPr>
      <w:r>
        <w:rPr>
          <w:rFonts w:hint="eastAsia" w:ascii="宋体" w:hAnsi="宋体" w:eastAsia="宋体" w:cs="宋体"/>
          <w:color w:val="000000" w:themeColor="text1"/>
          <w:sz w:val="24"/>
          <w:highlight w:val="none"/>
          <w14:textFill>
            <w14:solidFill>
              <w14:schemeClr w14:val="tx1"/>
            </w14:solidFill>
          </w14:textFill>
        </w:rPr>
        <w:t>日 期：________</w:t>
      </w:r>
    </w:p>
    <w:p w14:paraId="74E09AC3">
      <w:pPr>
        <w:spacing w:line="360" w:lineRule="auto"/>
        <w:ind w:left="0" w:leftChars="0" w:right="360" w:firstLine="0" w:firstLineChars="0"/>
        <w:jc w:val="both"/>
        <w:rPr>
          <w:rFonts w:hint="eastAsia" w:ascii="宋体" w:hAnsi="宋体" w:eastAsia="宋体" w:cs="宋体"/>
          <w:color w:val="000000"/>
          <w:sz w:val="24"/>
          <w:highlight w:val="none"/>
        </w:rPr>
      </w:pPr>
    </w:p>
    <w:p w14:paraId="3E10F18B">
      <w:pPr>
        <w:pStyle w:val="167"/>
        <w:tabs>
          <w:tab w:val="left" w:pos="425"/>
        </w:tabs>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pacing w:val="6"/>
          <w:kern w:val="2"/>
          <w:sz w:val="21"/>
          <w:szCs w:val="21"/>
          <w:highlight w:val="none"/>
          <w:lang w:val="en-US" w:eastAsia="zh-CN" w:bidi="ar-SA"/>
        </w:rPr>
        <w:t>注：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18E5381F">
      <w:pPr>
        <w:widowControl/>
        <w:jc w:val="left"/>
        <w:rPr>
          <w:rFonts w:hint="eastAsia" w:ascii="宋体" w:hAnsi="宋体" w:eastAsia="宋体" w:cs="宋体"/>
          <w:spacing w:val="6"/>
          <w:kern w:val="2"/>
          <w:sz w:val="24"/>
          <w:szCs w:val="24"/>
          <w:highlight w:val="none"/>
          <w:lang w:val="en-US" w:eastAsia="zh-CN" w:bidi="ar-SA"/>
        </w:rPr>
      </w:pPr>
      <w:r>
        <w:rPr>
          <w:rFonts w:hint="eastAsia" w:ascii="宋体" w:hAnsi="宋体" w:eastAsia="宋体" w:cs="宋体"/>
          <w:spacing w:val="6"/>
          <w:kern w:val="2"/>
          <w:sz w:val="21"/>
          <w:szCs w:val="21"/>
          <w:highlight w:val="none"/>
          <w:lang w:val="en-US" w:eastAsia="zh-CN" w:bidi="ar-SA"/>
        </w:rPr>
        <w:t>1从业人员、营业收入、资产总额填报上一年度数据，无上一年度数据的新成立企业可不填报</w:t>
      </w:r>
    </w:p>
    <w:p w14:paraId="48086503">
      <w:pPr>
        <w:snapToGrid w:val="0"/>
        <w:spacing w:line="360" w:lineRule="auto"/>
        <w:ind w:left="0" w:leftChars="0" w:firstLine="0" w:firstLineChars="0"/>
        <w:jc w:val="center"/>
        <w:rPr>
          <w:rStyle w:val="87"/>
          <w:rFonts w:hint="eastAsia" w:ascii="宋体" w:hAnsi="宋体" w:eastAsia="宋体" w:cs="宋体"/>
          <w:bCs w:val="0"/>
          <w:color w:val="auto"/>
          <w:kern w:val="2"/>
          <w:sz w:val="28"/>
          <w:szCs w:val="28"/>
          <w:highlight w:val="none"/>
          <w:lang w:val="en-US" w:eastAsia="zh-CN" w:bidi="ar-SA"/>
        </w:rPr>
      </w:pPr>
    </w:p>
    <w:p w14:paraId="0EBCB461">
      <w:pPr>
        <w:snapToGrid w:val="0"/>
        <w:spacing w:line="360" w:lineRule="auto"/>
        <w:ind w:left="0" w:leftChars="0" w:firstLine="0" w:firstLineChars="0"/>
        <w:jc w:val="center"/>
        <w:rPr>
          <w:rStyle w:val="87"/>
          <w:rFonts w:hint="eastAsia" w:ascii="宋体" w:hAnsi="宋体" w:eastAsia="宋体" w:cs="宋体"/>
          <w:bCs w:val="0"/>
          <w:color w:val="auto"/>
          <w:kern w:val="2"/>
          <w:sz w:val="28"/>
          <w:szCs w:val="28"/>
          <w:highlight w:val="none"/>
          <w:lang w:val="en-US" w:eastAsia="zh-CN" w:bidi="ar-SA"/>
        </w:rPr>
      </w:pPr>
      <w:r>
        <w:rPr>
          <w:rStyle w:val="87"/>
          <w:rFonts w:hint="eastAsia" w:ascii="宋体" w:hAnsi="宋体" w:eastAsia="宋体" w:cs="宋体"/>
          <w:bCs w:val="0"/>
          <w:color w:val="auto"/>
          <w:kern w:val="2"/>
          <w:sz w:val="28"/>
          <w:szCs w:val="28"/>
          <w:highlight w:val="none"/>
          <w:lang w:val="en-US" w:eastAsia="zh-CN" w:bidi="ar-SA"/>
        </w:rPr>
        <w:t>监狱企业声明函</w:t>
      </w:r>
    </w:p>
    <w:p w14:paraId="5CF246CD">
      <w:pPr>
        <w:spacing w:line="480" w:lineRule="auto"/>
        <w:ind w:firstLine="420" w:firstLineChars="200"/>
        <w:outlineLvl w:val="1"/>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【不属于监狱企业的无需填写、递交】</w:t>
      </w:r>
    </w:p>
    <w:p w14:paraId="036375DE">
      <w:pPr>
        <w:widowControl/>
        <w:shd w:val="clear" w:color="auto" w:fill="auto"/>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本单位郑重声明，本单位在参加</w:t>
      </w:r>
      <w:r>
        <w:rPr>
          <w:rFonts w:hint="eastAsia" w:ascii="宋体" w:hAnsi="宋体" w:eastAsia="宋体" w:cs="宋体"/>
          <w:color w:val="auto"/>
          <w:kern w:val="0"/>
          <w:sz w:val="24"/>
          <w:highlight w:val="none"/>
          <w:u w:val="single"/>
        </w:rPr>
        <w:t>（采购人名称）</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u w:val="single"/>
        </w:rPr>
        <w:t>（招标项目名称）</w:t>
      </w:r>
      <w:r>
        <w:rPr>
          <w:rFonts w:hint="eastAsia" w:ascii="宋体" w:hAnsi="宋体" w:eastAsia="宋体" w:cs="宋体"/>
          <w:color w:val="auto"/>
          <w:kern w:val="0"/>
          <w:sz w:val="24"/>
          <w:highlight w:val="none"/>
        </w:rPr>
        <w:t>项目采购活动提供以下监狱企业制造的货物（或监狱企业承担的工程、或监狱企业承接的服务），具体情况如下：（按照实际情况勾选或填空）</w:t>
      </w:r>
    </w:p>
    <w:p w14:paraId="0C796B80">
      <w:pPr>
        <w:widowControl/>
        <w:shd w:val="clear" w:color="auto" w:fill="auto"/>
        <w:adjustRightInd w:val="0"/>
        <w:snapToGrid w:val="0"/>
        <w:spacing w:line="360" w:lineRule="auto"/>
        <w:ind w:firstLine="360" w:firstLineChars="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（制造商名称）</w:t>
      </w:r>
      <w:r>
        <w:rPr>
          <w:rFonts w:hint="eastAsia" w:ascii="宋体" w:hAnsi="宋体" w:eastAsia="宋体" w:cs="宋体"/>
          <w:color w:val="auto"/>
          <w:kern w:val="0"/>
          <w:sz w:val="24"/>
          <w:highlight w:val="none"/>
        </w:rPr>
        <w:t>属于监狱企业，后附省级以上监狱管理局、戒毒管理局（含新疆生产建设兵团）出具的属于监狱企业的证明文件。</w:t>
      </w:r>
    </w:p>
    <w:p w14:paraId="14054A4B">
      <w:pPr>
        <w:widowControl/>
        <w:shd w:val="clear" w:color="auto" w:fill="auto"/>
        <w:adjustRightInd w:val="0"/>
        <w:snapToGri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u w:val="single"/>
        </w:rPr>
        <w:t>（制造商名称）</w:t>
      </w:r>
      <w:r>
        <w:rPr>
          <w:rFonts w:hint="eastAsia" w:ascii="宋体" w:hAnsi="宋体" w:eastAsia="宋体" w:cs="宋体"/>
          <w:color w:val="auto"/>
          <w:kern w:val="0"/>
          <w:sz w:val="24"/>
          <w:highlight w:val="none"/>
        </w:rPr>
        <w:t>属于监狱企业并作为联合体一方，其提供协议合同金额占到共同投标协议合同总金额的比例为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。后附省级以上监狱管理局、戒毒管理局（含新疆生产建设兵团）出具的属于监狱企业的证明文件。</w:t>
      </w:r>
    </w:p>
    <w:p w14:paraId="7FD4AD4E">
      <w:pPr>
        <w:widowControl/>
        <w:shd w:val="clear" w:color="auto" w:fill="auto"/>
        <w:adjustRightInd w:val="0"/>
        <w:snapToGri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u w:val="single"/>
        </w:rPr>
        <w:t>（制造商名称）</w:t>
      </w:r>
      <w:r>
        <w:rPr>
          <w:rFonts w:hint="eastAsia" w:ascii="宋体" w:hAnsi="宋体" w:eastAsia="宋体" w:cs="宋体"/>
          <w:color w:val="auto"/>
          <w:kern w:val="0"/>
          <w:sz w:val="24"/>
          <w:highlight w:val="none"/>
        </w:rPr>
        <w:t>属于监狱企业并作为分包方，其提供协议合同金额占到分包意向协议合同总金额的比例为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。后附省级以上监狱管理局、戒毒管理局（含新疆生产建设兵团）出具的属于监狱企业的证明文件。</w:t>
      </w:r>
    </w:p>
    <w:p w14:paraId="58A85A61">
      <w:pPr>
        <w:widowControl/>
        <w:shd w:val="clear" w:color="auto" w:fill="auto"/>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本单位对上述声明的真实性负责。如有虚假，将依法承担相应责任。</w:t>
      </w:r>
    </w:p>
    <w:p w14:paraId="4DE0B0AA">
      <w:pPr>
        <w:widowControl/>
        <w:shd w:val="clear" w:color="auto" w:fill="auto"/>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424CCB39">
      <w:pPr>
        <w:widowControl/>
        <w:shd w:val="clear" w:color="auto" w:fill="auto"/>
        <w:adjustRightInd w:val="0"/>
        <w:snapToGrid w:val="0"/>
        <w:spacing w:line="360" w:lineRule="auto"/>
        <w:jc w:val="left"/>
        <w:rPr>
          <w:rFonts w:hint="eastAsia" w:ascii="宋体" w:hAnsi="宋体" w:eastAsia="宋体" w:cs="宋体"/>
          <w:color w:val="auto"/>
          <w:kern w:val="0"/>
          <w:sz w:val="24"/>
          <w:highlight w:val="none"/>
        </w:rPr>
      </w:pPr>
    </w:p>
    <w:p w14:paraId="405233A8">
      <w:pPr>
        <w:widowControl/>
        <w:shd w:val="clear" w:color="auto" w:fill="auto"/>
        <w:adjustRightInd w:val="0"/>
        <w:snapToGrid w:val="0"/>
        <w:spacing w:line="360" w:lineRule="auto"/>
        <w:jc w:val="left"/>
        <w:rPr>
          <w:rFonts w:hint="eastAsia" w:ascii="宋体" w:hAnsi="宋体" w:eastAsia="宋体" w:cs="宋体"/>
          <w:color w:val="auto"/>
          <w:kern w:val="0"/>
          <w:sz w:val="24"/>
          <w:highlight w:val="none"/>
        </w:rPr>
      </w:pPr>
    </w:p>
    <w:p w14:paraId="4AE97362">
      <w:pPr>
        <w:shd w:val="clear" w:color="auto" w:fill="auto"/>
        <w:adjustRightInd w:val="0"/>
        <w:snapToGrid w:val="0"/>
        <w:spacing w:line="360" w:lineRule="auto"/>
        <w:ind w:hanging="54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w:t>
      </w:r>
    </w:p>
    <w:p w14:paraId="6EFA8AF1">
      <w:pPr>
        <w:shd w:val="clear" w:color="auto" w:fill="auto"/>
        <w:adjustRightInd w:val="0"/>
        <w:snapToGrid w:val="0"/>
        <w:spacing w:line="360" w:lineRule="auto"/>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单位名称（盖章）：</w:t>
      </w:r>
    </w:p>
    <w:p w14:paraId="32846E00">
      <w:pPr>
        <w:widowControl/>
        <w:shd w:val="clear" w:color="auto" w:fill="auto"/>
        <w:adjustRightInd w:val="0"/>
        <w:snapToGrid w:val="0"/>
        <w:spacing w:line="360" w:lineRule="auto"/>
        <w:ind w:firstLine="5280" w:firstLineChars="2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  期：</w:t>
      </w:r>
    </w:p>
    <w:p w14:paraId="32566F2C">
      <w:pPr>
        <w:snapToGrid w:val="0"/>
        <w:spacing w:line="360" w:lineRule="auto"/>
        <w:ind w:firstLine="480" w:firstLineChars="200"/>
        <w:rPr>
          <w:rFonts w:hint="eastAsia" w:ascii="宋体" w:hAnsi="宋体" w:eastAsia="宋体" w:cs="宋体"/>
          <w:color w:val="auto"/>
          <w:kern w:val="0"/>
          <w:sz w:val="24"/>
          <w:szCs w:val="20"/>
          <w:highlight w:val="none"/>
          <w:lang w:val="en-US" w:eastAsia="zh-CN" w:bidi="ar-SA"/>
        </w:rPr>
      </w:pPr>
    </w:p>
    <w:p w14:paraId="65A293AA">
      <w:pPr>
        <w:snapToGrid w:val="0"/>
        <w:spacing w:line="360" w:lineRule="auto"/>
        <w:ind w:firstLine="480" w:firstLineChars="200"/>
        <w:rPr>
          <w:rFonts w:hint="eastAsia" w:ascii="宋体" w:hAnsi="宋体" w:eastAsia="宋体" w:cs="宋体"/>
          <w:color w:val="auto"/>
          <w:kern w:val="0"/>
          <w:sz w:val="24"/>
          <w:szCs w:val="20"/>
          <w:highlight w:val="none"/>
          <w:lang w:val="en-US" w:eastAsia="zh-CN" w:bidi="ar-SA"/>
        </w:rPr>
      </w:pPr>
    </w:p>
    <w:p w14:paraId="53229F15">
      <w:pPr>
        <w:snapToGrid w:val="0"/>
        <w:spacing w:line="360" w:lineRule="auto"/>
        <w:ind w:firstLine="480" w:firstLineChars="200"/>
        <w:rPr>
          <w:rFonts w:hint="eastAsia" w:ascii="宋体" w:hAnsi="宋体" w:eastAsia="宋体" w:cs="宋体"/>
          <w:color w:val="auto"/>
          <w:kern w:val="0"/>
          <w:sz w:val="24"/>
          <w:szCs w:val="20"/>
          <w:highlight w:val="none"/>
          <w:lang w:val="en-US" w:eastAsia="zh-CN" w:bidi="ar-SA"/>
        </w:rPr>
      </w:pPr>
    </w:p>
    <w:p w14:paraId="491CC7DA">
      <w:pPr>
        <w:snapToGrid w:val="0"/>
        <w:spacing w:line="360" w:lineRule="auto"/>
        <w:ind w:firstLine="480" w:firstLineChars="200"/>
        <w:rPr>
          <w:rFonts w:hint="eastAsia" w:ascii="宋体" w:hAnsi="宋体" w:eastAsia="宋体" w:cs="宋体"/>
          <w:color w:val="auto"/>
          <w:kern w:val="0"/>
          <w:sz w:val="24"/>
          <w:szCs w:val="20"/>
          <w:highlight w:val="none"/>
          <w:lang w:val="en-US" w:eastAsia="zh-CN" w:bidi="ar-SA"/>
        </w:rPr>
      </w:pPr>
    </w:p>
    <w:p w14:paraId="06A1628A">
      <w:pPr>
        <w:pStyle w:val="75"/>
        <w:rPr>
          <w:rFonts w:hint="eastAsia" w:ascii="宋体" w:hAnsi="宋体" w:eastAsia="宋体" w:cs="宋体"/>
          <w:color w:val="auto"/>
          <w:kern w:val="0"/>
          <w:sz w:val="24"/>
          <w:szCs w:val="20"/>
          <w:highlight w:val="none"/>
          <w:lang w:val="en-US" w:eastAsia="zh-CN" w:bidi="ar-SA"/>
        </w:rPr>
      </w:pPr>
    </w:p>
    <w:p w14:paraId="58242FB6">
      <w:pPr>
        <w:rPr>
          <w:rFonts w:hint="eastAsia" w:ascii="宋体" w:hAnsi="宋体" w:eastAsia="宋体" w:cs="宋体"/>
          <w:color w:val="auto"/>
          <w:kern w:val="0"/>
          <w:sz w:val="24"/>
          <w:szCs w:val="20"/>
          <w:highlight w:val="none"/>
          <w:lang w:val="en-US" w:eastAsia="zh-CN" w:bidi="ar-SA"/>
        </w:rPr>
      </w:pPr>
    </w:p>
    <w:p w14:paraId="0159AFE4">
      <w:pPr>
        <w:pStyle w:val="75"/>
        <w:rPr>
          <w:rFonts w:hint="eastAsia" w:ascii="宋体" w:hAnsi="宋体" w:eastAsia="宋体" w:cs="宋体"/>
          <w:color w:val="auto"/>
          <w:kern w:val="0"/>
          <w:sz w:val="24"/>
          <w:szCs w:val="20"/>
          <w:highlight w:val="none"/>
          <w:lang w:val="en-US" w:eastAsia="zh-CN" w:bidi="ar-SA"/>
        </w:rPr>
      </w:pPr>
    </w:p>
    <w:p w14:paraId="0C1611BF">
      <w:pPr>
        <w:rPr>
          <w:rFonts w:hint="eastAsia" w:ascii="宋体" w:hAnsi="宋体" w:eastAsia="宋体" w:cs="宋体"/>
          <w:color w:val="auto"/>
          <w:kern w:val="0"/>
          <w:sz w:val="24"/>
          <w:szCs w:val="20"/>
          <w:highlight w:val="none"/>
          <w:lang w:val="en-US" w:eastAsia="zh-CN" w:bidi="ar-SA"/>
        </w:rPr>
      </w:pPr>
    </w:p>
    <w:p w14:paraId="374526E7">
      <w:pPr>
        <w:pStyle w:val="75"/>
        <w:rPr>
          <w:rFonts w:hint="eastAsia" w:ascii="宋体" w:hAnsi="宋体" w:eastAsia="宋体" w:cs="宋体"/>
          <w:color w:val="auto"/>
          <w:kern w:val="0"/>
          <w:sz w:val="24"/>
          <w:szCs w:val="20"/>
          <w:highlight w:val="none"/>
          <w:lang w:val="en-US" w:eastAsia="zh-CN" w:bidi="ar-SA"/>
        </w:rPr>
      </w:pPr>
    </w:p>
    <w:p w14:paraId="09062F1E">
      <w:pPr>
        <w:snapToGrid w:val="0"/>
        <w:spacing w:line="360" w:lineRule="auto"/>
        <w:ind w:left="0" w:leftChars="0" w:firstLine="0" w:firstLineChars="0"/>
        <w:jc w:val="both"/>
        <w:rPr>
          <w:rFonts w:hint="eastAsia" w:ascii="宋体" w:hAnsi="宋体" w:eastAsia="宋体" w:cs="宋体"/>
          <w:b/>
          <w:color w:val="auto"/>
          <w:spacing w:val="6"/>
          <w:highlight w:val="none"/>
        </w:rPr>
      </w:pPr>
    </w:p>
    <w:p w14:paraId="19239A30">
      <w:pPr>
        <w:snapToGrid w:val="0"/>
        <w:spacing w:line="360" w:lineRule="auto"/>
        <w:jc w:val="center"/>
        <w:rPr>
          <w:rStyle w:val="87"/>
          <w:rFonts w:hint="eastAsia" w:ascii="宋体" w:hAnsi="宋体" w:eastAsia="宋体" w:cs="宋体"/>
          <w:bCs w:val="0"/>
          <w:color w:val="auto"/>
          <w:kern w:val="2"/>
          <w:sz w:val="28"/>
          <w:szCs w:val="28"/>
          <w:highlight w:val="none"/>
          <w:lang w:val="en-US" w:eastAsia="zh-CN" w:bidi="ar-SA"/>
        </w:rPr>
      </w:pPr>
      <w:r>
        <w:rPr>
          <w:rStyle w:val="87"/>
          <w:rFonts w:hint="eastAsia" w:ascii="宋体" w:hAnsi="宋体" w:eastAsia="宋体" w:cs="宋体"/>
          <w:bCs w:val="0"/>
          <w:color w:val="auto"/>
          <w:kern w:val="2"/>
          <w:sz w:val="28"/>
          <w:szCs w:val="28"/>
          <w:highlight w:val="none"/>
          <w:lang w:val="en-US" w:eastAsia="zh-CN" w:bidi="ar-SA"/>
        </w:rPr>
        <w:t>残疾人福利性单位声明函</w:t>
      </w:r>
    </w:p>
    <w:p w14:paraId="2F1F0728">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CB3C7B">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本单位对上述声明的真实性负责。如有虚假，将依法承担相应责任。</w:t>
      </w:r>
    </w:p>
    <w:p w14:paraId="39FD40F8">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color w:val="auto"/>
          <w:kern w:val="0"/>
          <w:sz w:val="24"/>
          <w:highlight w:val="none"/>
          <w:lang w:val="en-US" w:eastAsia="zh-CN"/>
        </w:rPr>
      </w:pPr>
    </w:p>
    <w:p w14:paraId="39ABD5E8">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color w:val="auto"/>
          <w:kern w:val="0"/>
          <w:sz w:val="24"/>
          <w:highlight w:val="none"/>
          <w:lang w:val="en-US" w:eastAsia="zh-CN"/>
        </w:rPr>
      </w:pPr>
    </w:p>
    <w:p w14:paraId="147EDC11">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单位名称（盖章）：</w:t>
      </w:r>
    </w:p>
    <w:p w14:paraId="16BEBE67">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日  期：</w:t>
      </w:r>
    </w:p>
    <w:p w14:paraId="3670D202">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扶持政策说明：</w:t>
      </w:r>
    </w:p>
    <w:p w14:paraId="043A4C75">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根据财政部、工业和信息化部制定的《政府采购促进中小企业发展暂行办法》和转发财政部工业和信息化部关于印发《政府采购促进中小企业发展暂行办法》的通知，对小型或微型企业的投标报价给予10%的扣除，并用扣除后的价格计算价格评分。</w:t>
      </w:r>
    </w:p>
    <w:p w14:paraId="7CED05FF">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2、监狱企业视同小微企业，参加本项目投标的，享受小微企业同等的价格扣除。【注：提供《监狱企业声明函》及其相关的充分的证明材料】。</w:t>
      </w:r>
    </w:p>
    <w:p w14:paraId="5C704164">
      <w:pPr>
        <w:keepNext w:val="0"/>
        <w:keepLines w:val="0"/>
        <w:pageBreakBefore w:val="0"/>
        <w:widowControl/>
        <w:shd w:val="clear" w:color="auto" w:fill="auto"/>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color w:val="auto"/>
          <w:kern w:val="0"/>
          <w:sz w:val="24"/>
          <w:highlight w:val="none"/>
          <w:lang w:val="en-US" w:eastAsia="zh-CN"/>
        </w:rPr>
        <w:sectPr>
          <w:type w:val="continuous"/>
          <w:pgSz w:w="11905" w:h="16838"/>
          <w:pgMar w:top="1304" w:right="964" w:bottom="1020" w:left="1191" w:header="567" w:footer="454" w:gutter="0"/>
          <w:pgNumType w:fmt="decimal"/>
          <w:cols w:space="720" w:num="1"/>
          <w:rtlGutter w:val="0"/>
          <w:docGrid w:type="lines" w:linePitch="317" w:charSpace="0"/>
        </w:sectPr>
      </w:pPr>
      <w:r>
        <w:rPr>
          <w:rFonts w:hint="eastAsia" w:ascii="宋体" w:hAnsi="宋体" w:eastAsia="宋体" w:cs="宋体"/>
          <w:color w:val="auto"/>
          <w:kern w:val="0"/>
          <w:sz w:val="24"/>
          <w:highlight w:val="none"/>
          <w:lang w:val="en-US" w:eastAsia="zh-CN"/>
        </w:rPr>
        <w:t>3、残疾人福利性单位参加投标【提供《残疾人福利性单位声明函》】，视为小型、微型企业，享受小微企业政策扶持。</w:t>
      </w:r>
    </w:p>
    <w:p w14:paraId="32458E2D">
      <w:pPr>
        <w:numPr>
          <w:ilvl w:val="0"/>
          <w:numId w:val="0"/>
        </w:numPr>
        <w:spacing w:line="588" w:lineRule="exact"/>
        <w:jc w:val="center"/>
        <w:rPr>
          <w:rFonts w:hint="eastAsia" w:ascii="宋体" w:hAnsi="宋体" w:eastAsia="宋体" w:cs="宋体"/>
          <w:b/>
          <w:color w:val="auto"/>
          <w:spacing w:val="6"/>
          <w:kern w:val="2"/>
          <w:sz w:val="28"/>
          <w:szCs w:val="28"/>
          <w:highlight w:val="none"/>
          <w:lang w:val="en-US" w:eastAsia="zh-CN" w:bidi="ar-SA"/>
        </w:rPr>
      </w:pPr>
    </w:p>
    <w:p w14:paraId="70A71CA1">
      <w:pPr>
        <w:numPr>
          <w:ilvl w:val="0"/>
          <w:numId w:val="0"/>
        </w:numPr>
        <w:spacing w:line="588" w:lineRule="exact"/>
        <w:jc w:val="center"/>
        <w:rPr>
          <w:rFonts w:hint="eastAsia" w:ascii="宋体" w:hAnsi="宋体" w:eastAsia="宋体" w:cs="宋体"/>
          <w:b/>
          <w:color w:val="auto"/>
          <w:spacing w:val="6"/>
          <w:kern w:val="2"/>
          <w:sz w:val="28"/>
          <w:szCs w:val="28"/>
          <w:highlight w:val="none"/>
          <w:lang w:val="en-US" w:eastAsia="zh-CN" w:bidi="ar-SA"/>
        </w:rPr>
      </w:pPr>
    </w:p>
    <w:p w14:paraId="06F965BE">
      <w:pPr>
        <w:numPr>
          <w:ilvl w:val="0"/>
          <w:numId w:val="0"/>
        </w:numPr>
        <w:spacing w:line="588" w:lineRule="exact"/>
        <w:jc w:val="center"/>
        <w:rPr>
          <w:rFonts w:hint="eastAsia" w:ascii="宋体" w:hAnsi="宋体" w:eastAsia="宋体" w:cs="宋体"/>
          <w:b/>
          <w:color w:val="auto"/>
          <w:spacing w:val="6"/>
          <w:kern w:val="2"/>
          <w:sz w:val="28"/>
          <w:szCs w:val="28"/>
          <w:highlight w:val="none"/>
          <w:lang w:val="en-US" w:eastAsia="zh-CN" w:bidi="ar-SA"/>
        </w:rPr>
      </w:pPr>
    </w:p>
    <w:p w14:paraId="78CF5BAF">
      <w:pPr>
        <w:numPr>
          <w:ilvl w:val="0"/>
          <w:numId w:val="0"/>
        </w:numPr>
        <w:spacing w:line="588" w:lineRule="exact"/>
        <w:jc w:val="center"/>
        <w:rPr>
          <w:rFonts w:hint="eastAsia" w:ascii="宋体" w:hAnsi="宋体" w:eastAsia="宋体" w:cs="宋体"/>
          <w:b/>
          <w:color w:val="auto"/>
          <w:spacing w:val="6"/>
          <w:kern w:val="2"/>
          <w:sz w:val="28"/>
          <w:szCs w:val="28"/>
          <w:highlight w:val="none"/>
          <w:lang w:val="en-US" w:eastAsia="zh-CN" w:bidi="ar-SA"/>
        </w:rPr>
      </w:pPr>
    </w:p>
    <w:p w14:paraId="4C771CCA">
      <w:pPr>
        <w:rPr>
          <w:rFonts w:hint="eastAsia" w:ascii="宋体" w:hAnsi="宋体" w:eastAsia="宋体" w:cs="宋体"/>
          <w:b/>
          <w:color w:val="auto"/>
          <w:spacing w:val="6"/>
          <w:kern w:val="2"/>
          <w:sz w:val="28"/>
          <w:szCs w:val="28"/>
          <w:highlight w:val="none"/>
          <w:lang w:val="en-US" w:eastAsia="zh-CN" w:bidi="ar-SA"/>
        </w:rPr>
      </w:pPr>
      <w:r>
        <w:rPr>
          <w:rFonts w:hint="eastAsia" w:ascii="宋体" w:hAnsi="宋体" w:eastAsia="宋体" w:cs="宋体"/>
          <w:b/>
          <w:color w:val="auto"/>
          <w:spacing w:val="6"/>
          <w:kern w:val="2"/>
          <w:sz w:val="28"/>
          <w:szCs w:val="28"/>
          <w:highlight w:val="none"/>
          <w:lang w:val="en-US" w:eastAsia="zh-CN" w:bidi="ar-SA"/>
        </w:rPr>
        <w:br w:type="page"/>
      </w:r>
    </w:p>
    <w:p w14:paraId="61AE9DD3">
      <w:pPr>
        <w:numPr>
          <w:ilvl w:val="0"/>
          <w:numId w:val="0"/>
        </w:numPr>
        <w:spacing w:line="588" w:lineRule="exact"/>
        <w:jc w:val="center"/>
        <w:rPr>
          <w:rFonts w:hint="eastAsia" w:ascii="宋体" w:hAnsi="宋体" w:eastAsia="宋体" w:cs="宋体"/>
          <w:highlight w:val="none"/>
          <w:lang w:val="en-US" w:eastAsia="zh-CN"/>
        </w:rPr>
      </w:pPr>
      <w:r>
        <w:rPr>
          <w:rFonts w:hint="eastAsia" w:ascii="宋体" w:hAnsi="宋体" w:eastAsia="宋体" w:cs="宋体"/>
          <w:b/>
          <w:color w:val="auto"/>
          <w:spacing w:val="6"/>
          <w:kern w:val="2"/>
          <w:sz w:val="28"/>
          <w:szCs w:val="28"/>
          <w:highlight w:val="none"/>
          <w:lang w:val="en-US" w:eastAsia="zh-CN" w:bidi="ar-SA"/>
        </w:rPr>
        <w:t>节能、环保产品证明（如有）</w:t>
      </w:r>
    </w:p>
    <w:p w14:paraId="009AD8B0">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 </w:t>
      </w:r>
      <w:r>
        <w:rPr>
          <w:rFonts w:hint="eastAsia" w:ascii="宋体" w:hAnsi="宋体" w:eastAsia="宋体" w:cs="宋体"/>
          <w:color w:val="auto"/>
          <w:sz w:val="24"/>
          <w:highlight w:val="none"/>
        </w:rPr>
        <w:t>：</w:t>
      </w:r>
    </w:p>
    <w:p w14:paraId="59866DCD">
      <w:pPr>
        <w:pStyle w:val="13"/>
        <w:rPr>
          <w:rFonts w:hint="eastAsia" w:ascii="宋体" w:hAnsi="宋体" w:eastAsia="宋体" w:cs="宋体"/>
          <w:highlight w:val="none"/>
          <w:lang w:eastAsia="zh-CN"/>
        </w:rPr>
      </w:pPr>
    </w:p>
    <w:p w14:paraId="161C06B3">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现附上</w:t>
      </w:r>
      <w:r>
        <w:rPr>
          <w:rFonts w:hint="eastAsia" w:ascii="宋体" w:hAnsi="宋体" w:eastAsia="宋体" w:cs="宋体"/>
          <w:color w:val="auto"/>
          <w:sz w:val="24"/>
          <w:highlight w:val="none"/>
          <w:u w:val="single"/>
        </w:rPr>
        <w:t>  （节能、环保产品产品目录）    </w:t>
      </w:r>
      <w:r>
        <w:rPr>
          <w:rFonts w:hint="eastAsia" w:ascii="宋体" w:hAnsi="宋体" w:eastAsia="宋体" w:cs="宋体"/>
          <w:color w:val="auto"/>
          <w:sz w:val="24"/>
          <w:highlight w:val="none"/>
        </w:rPr>
        <w:t> 证明文件（可在 网站名称 网站进行查询）复印件，该证件真实有效。</w:t>
      </w:r>
    </w:p>
    <w:p w14:paraId="702EBD96">
      <w:pPr>
        <w:pStyle w:val="13"/>
        <w:rPr>
          <w:rFonts w:hint="eastAsia" w:ascii="宋体" w:hAnsi="宋体" w:eastAsia="宋体" w:cs="宋体"/>
          <w:highlight w:val="none"/>
          <w:lang w:eastAsia="zh-CN"/>
        </w:rPr>
      </w:pPr>
    </w:p>
    <w:p w14:paraId="086481F6">
      <w:pPr>
        <w:pStyle w:val="13"/>
        <w:rPr>
          <w:rFonts w:hint="eastAsia" w:ascii="宋体" w:hAnsi="宋体" w:eastAsia="宋体" w:cs="宋体"/>
          <w:highlight w:val="none"/>
          <w:lang w:eastAsia="zh-CN"/>
        </w:rPr>
      </w:pPr>
    </w:p>
    <w:p w14:paraId="4CB4EE49">
      <w:pPr>
        <w:pStyle w:val="13"/>
        <w:rPr>
          <w:rFonts w:hint="eastAsia" w:ascii="宋体" w:hAnsi="宋体" w:eastAsia="宋体" w:cs="宋体"/>
          <w:highlight w:val="none"/>
          <w:lang w:eastAsia="zh-CN"/>
        </w:rPr>
      </w:pPr>
    </w:p>
    <w:p w14:paraId="5570E0CA">
      <w:pPr>
        <w:pStyle w:val="13"/>
        <w:rPr>
          <w:rFonts w:hint="eastAsia" w:ascii="宋体" w:hAnsi="宋体" w:eastAsia="宋体" w:cs="宋体"/>
          <w:highlight w:val="none"/>
          <w:lang w:eastAsia="zh-CN"/>
        </w:rPr>
      </w:pPr>
    </w:p>
    <w:p w14:paraId="27F234CE">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p>
    <w:p w14:paraId="0CA254B1">
      <w:pPr>
        <w:pStyle w:val="13"/>
        <w:rPr>
          <w:rFonts w:hint="eastAsia" w:ascii="宋体" w:hAnsi="宋体" w:eastAsia="宋体" w:cs="宋体"/>
          <w:highlight w:val="none"/>
          <w:lang w:eastAsia="zh-CN"/>
        </w:rPr>
      </w:pPr>
    </w:p>
    <w:p w14:paraId="504645D9">
      <w:pPr>
        <w:pStyle w:val="13"/>
        <w:rPr>
          <w:rFonts w:hint="eastAsia" w:ascii="宋体" w:hAnsi="宋体" w:eastAsia="宋体" w:cs="宋体"/>
          <w:highlight w:val="none"/>
          <w:lang w:eastAsia="zh-CN"/>
        </w:rPr>
      </w:pPr>
    </w:p>
    <w:p w14:paraId="77C9C4D5">
      <w:pPr>
        <w:pStyle w:val="13"/>
        <w:rPr>
          <w:rFonts w:hint="eastAsia" w:ascii="宋体" w:hAnsi="宋体" w:eastAsia="宋体" w:cs="宋体"/>
          <w:highlight w:val="none"/>
          <w:lang w:eastAsia="zh-CN"/>
        </w:rPr>
      </w:pPr>
    </w:p>
    <w:p w14:paraId="4A666197">
      <w:pPr>
        <w:pStyle w:val="13"/>
        <w:rPr>
          <w:rFonts w:hint="eastAsia" w:ascii="宋体" w:hAnsi="宋体" w:eastAsia="宋体" w:cs="宋体"/>
          <w:highlight w:val="none"/>
          <w:lang w:eastAsia="zh-CN"/>
        </w:rPr>
      </w:pPr>
    </w:p>
    <w:p w14:paraId="232008E3">
      <w:pPr>
        <w:pStyle w:val="13"/>
        <w:rPr>
          <w:rFonts w:hint="eastAsia" w:ascii="宋体" w:hAnsi="宋体" w:eastAsia="宋体" w:cs="宋体"/>
          <w:highlight w:val="none"/>
          <w:lang w:eastAsia="zh-CN"/>
        </w:rPr>
      </w:pPr>
    </w:p>
    <w:p w14:paraId="1B259021">
      <w:pPr>
        <w:pStyle w:val="13"/>
        <w:rPr>
          <w:rFonts w:hint="eastAsia" w:ascii="宋体" w:hAnsi="宋体" w:eastAsia="宋体" w:cs="宋体"/>
          <w:highlight w:val="none"/>
          <w:lang w:eastAsia="zh-CN"/>
        </w:rPr>
      </w:pPr>
    </w:p>
    <w:p w14:paraId="0025CEAA">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投标人（加盖公章）：                         </w:t>
      </w:r>
    </w:p>
    <w:p w14:paraId="4E0B54F2">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w:t>
      </w:r>
    </w:p>
    <w:p w14:paraId="20174D5B">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投标人代表（签字）：                         </w:t>
      </w:r>
    </w:p>
    <w:p w14:paraId="345D8C11">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w:t>
      </w:r>
    </w:p>
    <w:p w14:paraId="2AAE2715">
      <w:pPr>
        <w:rPr>
          <w:rFonts w:hint="eastAsia" w:ascii="宋体" w:hAnsi="宋体" w:eastAsia="宋体" w:cs="宋体"/>
          <w:color w:val="auto"/>
          <w:sz w:val="24"/>
          <w:highlight w:val="none"/>
        </w:rPr>
      </w:pPr>
      <w:r>
        <w:rPr>
          <w:rFonts w:hint="eastAsia" w:ascii="宋体" w:hAnsi="宋体" w:eastAsia="宋体" w:cs="宋体"/>
          <w:color w:val="auto"/>
          <w:sz w:val="24"/>
          <w:highlight w:val="none"/>
        </w:rPr>
        <w:t>                                         日          期：    年   月  日</w:t>
      </w:r>
    </w:p>
    <w:p w14:paraId="6D178C9F">
      <w:pPr>
        <w:pStyle w:val="23"/>
        <w:numPr>
          <w:ilvl w:val="0"/>
          <w:numId w:val="0"/>
        </w:numPr>
        <w:overflowPunct w:val="0"/>
        <w:snapToGrid w:val="0"/>
        <w:spacing w:line="360" w:lineRule="auto"/>
        <w:jc w:val="right"/>
        <w:rPr>
          <w:rFonts w:hint="eastAsia" w:ascii="宋体" w:hAnsi="宋体" w:eastAsia="宋体" w:cs="宋体"/>
          <w:b/>
          <w:bCs w:val="0"/>
          <w:color w:val="auto"/>
          <w:kern w:val="2"/>
          <w:sz w:val="21"/>
          <w:szCs w:val="21"/>
          <w:highlight w:val="none"/>
          <w:lang w:val="en-US" w:eastAsia="zh-CN" w:bidi="ar-SA"/>
        </w:rPr>
        <w:sectPr>
          <w:type w:val="continuous"/>
          <w:pgSz w:w="11905" w:h="16838"/>
          <w:pgMar w:top="1304" w:right="964" w:bottom="1020" w:left="1191" w:header="567" w:footer="454" w:gutter="0"/>
          <w:pgNumType w:fmt="decimal"/>
          <w:cols w:space="720" w:num="1"/>
          <w:rtlGutter w:val="0"/>
          <w:docGrid w:type="lines" w:linePitch="317" w:charSpace="0"/>
        </w:sectPr>
      </w:pPr>
    </w:p>
    <w:p w14:paraId="35B622D8">
      <w:pPr>
        <w:pStyle w:val="185"/>
        <w:shd w:val="clear" w:color="auto" w:fill="auto"/>
        <w:spacing w:line="360" w:lineRule="auto"/>
        <w:jc w:val="both"/>
        <w:outlineLvl w:val="2"/>
        <w:rPr>
          <w:rFonts w:hint="eastAsia" w:ascii="宋体" w:hAnsi="宋体" w:eastAsia="宋体" w:cs="宋体"/>
          <w:b/>
          <w:color w:val="auto"/>
          <w:sz w:val="24"/>
          <w:szCs w:val="24"/>
          <w:highlight w:val="none"/>
        </w:rPr>
      </w:pPr>
      <w:bookmarkStart w:id="290" w:name="_Toc23406"/>
      <w:bookmarkStart w:id="291" w:name="_Toc312"/>
      <w:bookmarkStart w:id="292" w:name="_Toc15028"/>
      <w:bookmarkStart w:id="293" w:name="_Toc115436122"/>
      <w:bookmarkStart w:id="294" w:name="_Toc114589529"/>
    </w:p>
    <w:p w14:paraId="43FC1D00">
      <w:pPr>
        <w:pStyle w:val="185"/>
        <w:shd w:val="clear" w:color="auto" w:fill="auto"/>
        <w:spacing w:line="360" w:lineRule="auto"/>
        <w:jc w:val="both"/>
        <w:outlineLvl w:val="2"/>
        <w:rPr>
          <w:rFonts w:hint="eastAsia" w:ascii="宋体" w:hAnsi="宋体" w:eastAsia="宋体" w:cs="宋体"/>
          <w:b/>
          <w:color w:val="auto"/>
          <w:sz w:val="24"/>
          <w:szCs w:val="24"/>
          <w:highlight w:val="none"/>
        </w:rPr>
      </w:pPr>
    </w:p>
    <w:p w14:paraId="0F80E912">
      <w:pPr>
        <w:pStyle w:val="185"/>
        <w:shd w:val="clear" w:color="auto" w:fill="auto"/>
        <w:spacing w:line="360" w:lineRule="auto"/>
        <w:jc w:val="both"/>
        <w:outlineLvl w:val="2"/>
        <w:rPr>
          <w:rFonts w:hint="eastAsia" w:ascii="宋体" w:hAnsi="宋体" w:eastAsia="宋体" w:cs="宋体"/>
          <w:b/>
          <w:color w:val="auto"/>
          <w:sz w:val="24"/>
          <w:szCs w:val="24"/>
          <w:highlight w:val="none"/>
        </w:rPr>
      </w:pPr>
    </w:p>
    <w:p w14:paraId="0CFD8AED">
      <w:pPr>
        <w:pStyle w:val="185"/>
        <w:shd w:val="clear" w:color="auto" w:fill="auto"/>
        <w:spacing w:line="360" w:lineRule="auto"/>
        <w:jc w:val="both"/>
        <w:outlineLvl w:val="2"/>
        <w:rPr>
          <w:rFonts w:hint="eastAsia" w:ascii="宋体" w:hAnsi="宋体" w:eastAsia="宋体" w:cs="宋体"/>
          <w:b/>
          <w:color w:val="auto"/>
          <w:sz w:val="24"/>
          <w:szCs w:val="24"/>
          <w:highlight w:val="none"/>
        </w:rPr>
      </w:pPr>
    </w:p>
    <w:p w14:paraId="1BBA2414">
      <w:pPr>
        <w:pStyle w:val="185"/>
        <w:shd w:val="clear" w:color="auto" w:fill="auto"/>
        <w:spacing w:line="360" w:lineRule="auto"/>
        <w:jc w:val="both"/>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 虚假应标承担责任声明（统一格式）</w:t>
      </w:r>
      <w:bookmarkEnd w:id="290"/>
      <w:bookmarkEnd w:id="291"/>
      <w:bookmarkEnd w:id="292"/>
      <w:bookmarkEnd w:id="293"/>
      <w:bookmarkEnd w:id="294"/>
    </w:p>
    <w:p w14:paraId="60AB514C">
      <w:pPr>
        <w:pStyle w:val="13"/>
        <w:shd w:val="clear" w:color="auto" w:fill="auto"/>
        <w:tabs>
          <w:tab w:val="left" w:pos="9214"/>
        </w:tabs>
        <w:spacing w:before="2"/>
        <w:ind w:left="0" w:leftChars="0" w:right="-92" w:rightChars="-44" w:firstLine="0" w:firstLineChars="0"/>
        <w:rPr>
          <w:rFonts w:hint="eastAsia" w:ascii="宋体" w:hAnsi="宋体" w:eastAsia="宋体" w:cs="宋体"/>
          <w:b/>
          <w:color w:val="auto"/>
          <w:sz w:val="21"/>
          <w:szCs w:val="21"/>
          <w:highlight w:val="none"/>
        </w:rPr>
      </w:pPr>
    </w:p>
    <w:p w14:paraId="18B507C7">
      <w:pPr>
        <w:shd w:val="clear" w:color="auto" w:fill="auto"/>
        <w:ind w:right="-92" w:rightChars="-44"/>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采购人/采购代理机构</w:t>
      </w:r>
    </w:p>
    <w:p w14:paraId="1836213A">
      <w:pPr>
        <w:pStyle w:val="13"/>
        <w:shd w:val="clear" w:color="auto" w:fill="auto"/>
        <w:tabs>
          <w:tab w:val="left" w:pos="9214"/>
        </w:tabs>
        <w:spacing w:before="9"/>
        <w:ind w:right="-92" w:rightChars="-44"/>
        <w:rPr>
          <w:rFonts w:hint="eastAsia" w:ascii="宋体" w:hAnsi="宋体" w:eastAsia="宋体" w:cs="宋体"/>
          <w:b/>
          <w:color w:val="auto"/>
          <w:highlight w:val="none"/>
        </w:rPr>
      </w:pPr>
    </w:p>
    <w:p w14:paraId="7A2F7844">
      <w:pPr>
        <w:pStyle w:val="13"/>
        <w:shd w:val="clear" w:color="auto" w:fill="auto"/>
        <w:tabs>
          <w:tab w:val="left" w:pos="9214"/>
        </w:tabs>
        <w:spacing w:before="67" w:line="360" w:lineRule="auto"/>
        <w:ind w:right="-92" w:rightChars="-44"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w:t>
      </w:r>
      <w:r>
        <w:rPr>
          <w:rFonts w:hint="eastAsia" w:ascii="宋体" w:hAnsi="宋体" w:eastAsia="宋体" w:cs="宋体"/>
          <w:color w:val="auto"/>
          <w:spacing w:val="-7"/>
          <w:highlight w:val="none"/>
        </w:rPr>
        <w:t>承诺：</w:t>
      </w:r>
      <w:r>
        <w:rPr>
          <w:rFonts w:hint="eastAsia" w:ascii="宋体" w:hAnsi="宋体" w:eastAsia="宋体" w:cs="宋体"/>
          <w:color w:val="auto"/>
          <w:spacing w:val="-3"/>
          <w:highlight w:val="none"/>
        </w:rPr>
        <w:t>所提供的投标文件</w:t>
      </w:r>
      <w:r>
        <w:rPr>
          <w:rFonts w:hint="eastAsia" w:ascii="宋体" w:hAnsi="宋体" w:eastAsia="宋体" w:cs="宋体"/>
          <w:color w:val="auto"/>
          <w:highlight w:val="none"/>
        </w:rPr>
        <w:t>（</w:t>
      </w:r>
      <w:r>
        <w:rPr>
          <w:rFonts w:hint="eastAsia" w:ascii="宋体" w:hAnsi="宋体" w:eastAsia="宋体" w:cs="宋体"/>
          <w:color w:val="auto"/>
          <w:spacing w:val="-5"/>
          <w:highlight w:val="none"/>
        </w:rPr>
        <w:t>包括一切技术资料、技术承诺、商务承诺等</w:t>
      </w:r>
      <w:r>
        <w:rPr>
          <w:rFonts w:hint="eastAsia" w:ascii="宋体" w:hAnsi="宋体" w:eastAsia="宋体" w:cs="宋体"/>
          <w:color w:val="auto"/>
          <w:spacing w:val="-20"/>
          <w:highlight w:val="none"/>
        </w:rPr>
        <w:t>）</w:t>
      </w:r>
      <w:r>
        <w:rPr>
          <w:rFonts w:hint="eastAsia" w:ascii="宋体" w:hAnsi="宋体" w:eastAsia="宋体" w:cs="宋体"/>
          <w:color w:val="auto"/>
          <w:spacing w:val="-12"/>
          <w:highlight w:val="none"/>
        </w:rPr>
        <w:t>均</w:t>
      </w:r>
      <w:r>
        <w:rPr>
          <w:rFonts w:hint="eastAsia" w:ascii="宋体" w:hAnsi="宋体" w:eastAsia="宋体" w:cs="宋体"/>
          <w:color w:val="auto"/>
          <w:spacing w:val="-6"/>
          <w:highlight w:val="none"/>
        </w:rPr>
        <w:t>真实有效，若在项目招标过程中</w:t>
      </w:r>
      <w:r>
        <w:rPr>
          <w:rFonts w:hint="eastAsia" w:ascii="宋体" w:hAnsi="宋体" w:eastAsia="宋体" w:cs="宋体"/>
          <w:color w:val="auto"/>
          <w:highlight w:val="none"/>
        </w:rPr>
        <w:t>（</w:t>
      </w:r>
      <w:r>
        <w:rPr>
          <w:rFonts w:hint="eastAsia" w:ascii="宋体" w:hAnsi="宋体" w:eastAsia="宋体" w:cs="宋体"/>
          <w:color w:val="auto"/>
          <w:spacing w:val="-6"/>
          <w:highlight w:val="none"/>
        </w:rPr>
        <w:t>包括开评审、中标公示过程</w:t>
      </w:r>
      <w:r>
        <w:rPr>
          <w:rFonts w:hint="eastAsia" w:ascii="宋体" w:hAnsi="宋体" w:eastAsia="宋体" w:cs="宋体"/>
          <w:color w:val="auto"/>
          <w:spacing w:val="-20"/>
          <w:highlight w:val="none"/>
        </w:rPr>
        <w:t>）</w:t>
      </w:r>
      <w:r>
        <w:rPr>
          <w:rFonts w:hint="eastAsia" w:ascii="宋体" w:hAnsi="宋体" w:eastAsia="宋体" w:cs="宋体"/>
          <w:color w:val="auto"/>
          <w:spacing w:val="-2"/>
          <w:highlight w:val="none"/>
        </w:rPr>
        <w:t>及履行合同期间</w:t>
      </w:r>
      <w:r>
        <w:rPr>
          <w:rFonts w:hint="eastAsia" w:ascii="宋体" w:hAnsi="宋体" w:eastAsia="宋体" w:cs="宋体"/>
          <w:color w:val="auto"/>
          <w:highlight w:val="none"/>
        </w:rPr>
        <w:t>（包括验收过程</w:t>
      </w:r>
      <w:r>
        <w:rPr>
          <w:rFonts w:hint="eastAsia" w:ascii="宋体" w:hAnsi="宋体" w:eastAsia="宋体" w:cs="宋体"/>
          <w:color w:val="auto"/>
          <w:spacing w:val="-15"/>
          <w:highlight w:val="none"/>
        </w:rPr>
        <w:t>）</w:t>
      </w:r>
      <w:r>
        <w:rPr>
          <w:rFonts w:hint="eastAsia" w:ascii="宋体" w:hAnsi="宋体" w:eastAsia="宋体" w:cs="宋体"/>
          <w:color w:val="auto"/>
          <w:spacing w:val="-2"/>
          <w:highlight w:val="none"/>
        </w:rPr>
        <w:t>发现我公司提供的货物</w:t>
      </w:r>
      <w:r>
        <w:rPr>
          <w:rFonts w:hint="eastAsia" w:ascii="宋体" w:hAnsi="宋体" w:eastAsia="宋体" w:cs="宋体"/>
          <w:color w:val="auto"/>
          <w:highlight w:val="none"/>
        </w:rPr>
        <w:t>（或产品</w:t>
      </w:r>
      <w:r>
        <w:rPr>
          <w:rFonts w:hint="eastAsia" w:ascii="宋体" w:hAnsi="宋体" w:eastAsia="宋体" w:cs="宋体"/>
          <w:color w:val="auto"/>
          <w:spacing w:val="-15"/>
          <w:highlight w:val="none"/>
        </w:rPr>
        <w:t>）</w:t>
      </w:r>
      <w:r>
        <w:rPr>
          <w:rFonts w:hint="eastAsia" w:ascii="宋体" w:hAnsi="宋体" w:eastAsia="宋体" w:cs="宋体"/>
          <w:color w:val="auto"/>
          <w:spacing w:val="-5"/>
          <w:highlight w:val="none"/>
        </w:rPr>
        <w:t>与投标</w:t>
      </w:r>
      <w:r>
        <w:rPr>
          <w:rFonts w:hint="eastAsia" w:ascii="宋体" w:hAnsi="宋体" w:eastAsia="宋体" w:cs="宋体"/>
          <w:color w:val="auto"/>
          <w:highlight w:val="none"/>
        </w:rPr>
        <w:t>文件</w:t>
      </w:r>
      <w:r>
        <w:rPr>
          <w:rFonts w:hint="eastAsia" w:ascii="宋体" w:hAnsi="宋体" w:eastAsia="宋体" w:cs="宋体"/>
          <w:color w:val="auto"/>
          <w:spacing w:val="-6"/>
          <w:highlight w:val="none"/>
        </w:rPr>
        <w:t>不一致，或发现我</w:t>
      </w:r>
      <w:r>
        <w:rPr>
          <w:rFonts w:hint="eastAsia" w:ascii="宋体" w:hAnsi="宋体" w:eastAsia="宋体" w:cs="宋体"/>
          <w:color w:val="auto"/>
          <w:highlight w:val="none"/>
        </w:rPr>
        <w:t>公司提供了不真实的投标文件（虚假材料</w:t>
      </w:r>
      <w:r>
        <w:rPr>
          <w:rFonts w:hint="eastAsia" w:ascii="宋体" w:hAnsi="宋体" w:eastAsia="宋体" w:cs="宋体"/>
          <w:color w:val="auto"/>
          <w:spacing w:val="-120"/>
          <w:highlight w:val="none"/>
        </w:rPr>
        <w:t>）   ）</w:t>
      </w:r>
      <w:r>
        <w:rPr>
          <w:rFonts w:hint="eastAsia" w:ascii="宋体" w:hAnsi="宋体" w:eastAsia="宋体" w:cs="宋体"/>
          <w:color w:val="auto"/>
          <w:highlight w:val="none"/>
        </w:rPr>
        <w:t>），我公司愿意承担一切法律责任并认可采购人或采购代理机构作出的取消中标资格、罚没保证金等决定。</w:t>
      </w:r>
    </w:p>
    <w:p w14:paraId="04E36F6A">
      <w:pPr>
        <w:pStyle w:val="13"/>
        <w:shd w:val="clear" w:color="auto" w:fill="auto"/>
        <w:tabs>
          <w:tab w:val="left" w:pos="9214"/>
        </w:tabs>
        <w:spacing w:line="360" w:lineRule="auto"/>
        <w:ind w:right="-92" w:rightChars="-44"/>
        <w:rPr>
          <w:rFonts w:hint="eastAsia" w:ascii="宋体" w:hAnsi="宋体" w:eastAsia="宋体" w:cs="宋体"/>
          <w:color w:val="auto"/>
          <w:highlight w:val="none"/>
        </w:rPr>
      </w:pPr>
      <w:r>
        <w:rPr>
          <w:rFonts w:hint="eastAsia" w:ascii="宋体" w:hAnsi="宋体" w:eastAsia="宋体" w:cs="宋体"/>
          <w:color w:val="auto"/>
          <w:highlight w:val="none"/>
        </w:rPr>
        <w:t>特此声明。</w:t>
      </w:r>
    </w:p>
    <w:p w14:paraId="1E94078D">
      <w:pPr>
        <w:pStyle w:val="13"/>
        <w:shd w:val="clear" w:color="auto" w:fill="auto"/>
        <w:tabs>
          <w:tab w:val="left" w:pos="9214"/>
        </w:tabs>
        <w:spacing w:line="360" w:lineRule="auto"/>
        <w:ind w:right="-92" w:rightChars="-44"/>
        <w:rPr>
          <w:rFonts w:hint="eastAsia" w:ascii="宋体" w:hAnsi="宋体" w:eastAsia="宋体" w:cs="宋体"/>
          <w:color w:val="auto"/>
          <w:sz w:val="21"/>
          <w:szCs w:val="21"/>
          <w:highlight w:val="none"/>
        </w:rPr>
      </w:pPr>
    </w:p>
    <w:p w14:paraId="35C71FAE">
      <w:pPr>
        <w:pStyle w:val="13"/>
        <w:shd w:val="clear" w:color="auto" w:fill="auto"/>
        <w:tabs>
          <w:tab w:val="left" w:pos="9214"/>
        </w:tabs>
        <w:ind w:right="-92" w:rightChars="-44"/>
        <w:rPr>
          <w:rFonts w:hint="eastAsia" w:ascii="宋体" w:hAnsi="宋体" w:eastAsia="宋体" w:cs="宋体"/>
          <w:color w:val="auto"/>
          <w:sz w:val="21"/>
          <w:szCs w:val="21"/>
          <w:highlight w:val="none"/>
        </w:rPr>
      </w:pPr>
    </w:p>
    <w:p w14:paraId="4DFF8B91">
      <w:pPr>
        <w:pStyle w:val="13"/>
        <w:shd w:val="clear" w:color="auto" w:fill="auto"/>
        <w:tabs>
          <w:tab w:val="left" w:pos="9214"/>
        </w:tabs>
        <w:ind w:right="-92" w:rightChars="-44"/>
        <w:rPr>
          <w:rFonts w:hint="eastAsia" w:ascii="宋体" w:hAnsi="宋体" w:eastAsia="宋体" w:cs="宋体"/>
          <w:color w:val="auto"/>
          <w:sz w:val="21"/>
          <w:szCs w:val="21"/>
          <w:highlight w:val="none"/>
        </w:rPr>
      </w:pPr>
    </w:p>
    <w:p w14:paraId="60CF216C">
      <w:pPr>
        <w:pStyle w:val="13"/>
        <w:shd w:val="clear" w:color="auto" w:fill="auto"/>
        <w:tabs>
          <w:tab w:val="left" w:pos="4736"/>
          <w:tab w:val="left" w:pos="921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投标人名称（盖章）：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14:paraId="33119B67">
      <w:pPr>
        <w:pStyle w:val="13"/>
        <w:shd w:val="clear" w:color="auto" w:fill="auto"/>
        <w:tabs>
          <w:tab w:val="left" w:pos="5521"/>
          <w:tab w:val="left" w:pos="6366"/>
          <w:tab w:val="left" w:pos="9062"/>
          <w:tab w:val="left" w:pos="9214"/>
        </w:tabs>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投标人授权代表</w:t>
      </w:r>
      <w:r>
        <w:rPr>
          <w:rFonts w:hint="eastAsia" w:ascii="宋体" w:hAnsi="宋体" w:cs="宋体"/>
          <w:color w:val="auto"/>
          <w:highlight w:val="none"/>
          <w:lang w:eastAsia="zh-CN"/>
        </w:rPr>
        <w:t>（</w:t>
      </w:r>
      <w:r>
        <w:rPr>
          <w:rFonts w:hint="eastAsia" w:ascii="宋体" w:hAnsi="宋体" w:eastAsia="宋体" w:cs="宋体"/>
          <w:color w:val="auto"/>
          <w:highlight w:val="none"/>
        </w:rPr>
        <w:t>签字或签章</w:t>
      </w:r>
      <w:r>
        <w:rPr>
          <w:rFonts w:hint="eastAsia" w:ascii="宋体" w:hAnsi="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14:paraId="14AF2DE3">
      <w:pPr>
        <w:pStyle w:val="13"/>
        <w:shd w:val="clear" w:color="auto" w:fill="auto"/>
        <w:tabs>
          <w:tab w:val="left" w:pos="5521"/>
          <w:tab w:val="left" w:pos="6366"/>
          <w:tab w:val="left" w:pos="9062"/>
          <w:tab w:val="left" w:pos="921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14:paraId="6BBB73E5">
      <w:pPr>
        <w:pStyle w:val="13"/>
        <w:shd w:val="clear" w:color="auto" w:fill="auto"/>
        <w:tabs>
          <w:tab w:val="left" w:pos="9214"/>
        </w:tabs>
        <w:spacing w:line="360" w:lineRule="auto"/>
        <w:rPr>
          <w:rFonts w:hint="eastAsia" w:ascii="宋体" w:hAnsi="宋体" w:eastAsia="宋体" w:cs="宋体"/>
          <w:color w:val="auto"/>
          <w:highlight w:val="none"/>
        </w:rPr>
      </w:pPr>
    </w:p>
    <w:p w14:paraId="735B70A7">
      <w:pPr>
        <w:pStyle w:val="13"/>
        <w:shd w:val="clear" w:color="auto" w:fill="auto"/>
        <w:tabs>
          <w:tab w:val="left" w:pos="9214"/>
        </w:tabs>
        <w:spacing w:line="360" w:lineRule="auto"/>
        <w:rPr>
          <w:rFonts w:hint="eastAsia" w:ascii="宋体" w:hAnsi="宋体" w:eastAsia="宋体" w:cs="宋体"/>
          <w:color w:val="auto"/>
          <w:highlight w:val="none"/>
        </w:rPr>
      </w:pPr>
    </w:p>
    <w:p w14:paraId="1D88B23B">
      <w:pPr>
        <w:pStyle w:val="13"/>
        <w:shd w:val="clear" w:color="auto" w:fill="auto"/>
        <w:tabs>
          <w:tab w:val="left" w:pos="1560"/>
          <w:tab w:val="left" w:pos="2040"/>
          <w:tab w:val="left" w:pos="9214"/>
        </w:tabs>
        <w:spacing w:before="66"/>
        <w:ind w:right="-92" w:rightChars="-44"/>
        <w:rPr>
          <w:rFonts w:hint="eastAsia" w:ascii="宋体" w:hAnsi="宋体" w:eastAsia="宋体" w:cs="宋体"/>
          <w:color w:val="auto"/>
          <w:sz w:val="21"/>
          <w:szCs w:val="21"/>
          <w:highlight w:val="none"/>
        </w:rPr>
      </w:pPr>
    </w:p>
    <w:p w14:paraId="6C19E950">
      <w:pPr>
        <w:pStyle w:val="185"/>
        <w:shd w:val="clear" w:color="auto" w:fill="auto"/>
        <w:spacing w:line="360" w:lineRule="auto"/>
        <w:ind w:right="-92" w:rightChars="-44"/>
        <w:jc w:val="both"/>
        <w:rPr>
          <w:rFonts w:hint="eastAsia" w:ascii="宋体" w:hAnsi="宋体" w:eastAsia="宋体" w:cs="宋体"/>
          <w:b/>
          <w:color w:val="auto"/>
          <w:sz w:val="24"/>
          <w:szCs w:val="24"/>
          <w:highlight w:val="none"/>
        </w:rPr>
        <w:sectPr>
          <w:type w:val="continuous"/>
          <w:pgSz w:w="11905" w:h="16838"/>
          <w:pgMar w:top="1304" w:right="964" w:bottom="1020" w:left="1191" w:header="567" w:footer="454" w:gutter="0"/>
          <w:cols w:space="720" w:num="1"/>
          <w:rtlGutter w:val="0"/>
          <w:docGrid w:type="lines" w:linePitch="317" w:charSpace="0"/>
        </w:sectPr>
      </w:pPr>
    </w:p>
    <w:p w14:paraId="63999C25">
      <w:pPr>
        <w:pStyle w:val="185"/>
        <w:shd w:val="clear" w:color="auto" w:fill="auto"/>
        <w:spacing w:line="360" w:lineRule="auto"/>
        <w:jc w:val="both"/>
        <w:outlineLvl w:val="1"/>
        <w:rPr>
          <w:rFonts w:hint="eastAsia" w:ascii="宋体" w:hAnsi="宋体" w:eastAsia="宋体" w:cs="宋体"/>
          <w:b/>
          <w:color w:val="auto"/>
          <w:sz w:val="24"/>
          <w:szCs w:val="24"/>
          <w:highlight w:val="none"/>
        </w:rPr>
      </w:pPr>
      <w:bookmarkStart w:id="295" w:name="_Toc480942355"/>
      <w:bookmarkStart w:id="296" w:name="_Toc216582819"/>
      <w:bookmarkStart w:id="297" w:name="_Ref467988543"/>
      <w:bookmarkStart w:id="298" w:name="_Toc520356224"/>
      <w:bookmarkStart w:id="299" w:name="_Toc507399535"/>
      <w:bookmarkStart w:id="300" w:name="_Toc9592"/>
      <w:bookmarkStart w:id="301" w:name="_Toc114589541"/>
      <w:bookmarkStart w:id="302" w:name="_Toc32489"/>
      <w:bookmarkStart w:id="303" w:name="_Toc115436133"/>
      <w:bookmarkStart w:id="304" w:name="_Toc20238"/>
    </w:p>
    <w:p w14:paraId="346EB66C">
      <w:pPr>
        <w:pStyle w:val="185"/>
        <w:shd w:val="clear" w:color="auto" w:fill="auto"/>
        <w:spacing w:line="360" w:lineRule="auto"/>
        <w:jc w:val="both"/>
        <w:outlineLvl w:val="1"/>
        <w:rPr>
          <w:rFonts w:hint="eastAsia" w:ascii="宋体" w:hAnsi="宋体" w:eastAsia="宋体" w:cs="宋体"/>
          <w:b/>
          <w:color w:val="auto"/>
          <w:sz w:val="24"/>
          <w:szCs w:val="24"/>
          <w:highlight w:val="none"/>
        </w:rPr>
      </w:pPr>
    </w:p>
    <w:p w14:paraId="4B5FD536">
      <w:pPr>
        <w:pStyle w:val="185"/>
        <w:shd w:val="clear" w:color="auto" w:fill="auto"/>
        <w:spacing w:line="360" w:lineRule="auto"/>
        <w:jc w:val="both"/>
        <w:outlineLvl w:val="1"/>
        <w:rPr>
          <w:rFonts w:hint="eastAsia" w:ascii="宋体" w:hAnsi="宋体" w:eastAsia="宋体" w:cs="宋体"/>
          <w:b/>
          <w:color w:val="auto"/>
          <w:sz w:val="24"/>
          <w:szCs w:val="24"/>
          <w:highlight w:val="none"/>
        </w:rPr>
      </w:pPr>
    </w:p>
    <w:p w14:paraId="5B92F94E">
      <w:pPr>
        <w:pStyle w:val="185"/>
        <w:shd w:val="clear" w:color="auto" w:fill="auto"/>
        <w:spacing w:line="360" w:lineRule="auto"/>
        <w:jc w:val="both"/>
        <w:outlineLvl w:val="1"/>
        <w:rPr>
          <w:rFonts w:hint="eastAsia" w:ascii="宋体" w:hAnsi="宋体" w:eastAsia="宋体" w:cs="宋体"/>
          <w:b/>
          <w:color w:val="auto"/>
          <w:sz w:val="24"/>
          <w:szCs w:val="24"/>
          <w:highlight w:val="none"/>
        </w:rPr>
      </w:pPr>
    </w:p>
    <w:p w14:paraId="02B578D1">
      <w:pPr>
        <w:pStyle w:val="185"/>
        <w:shd w:val="clear" w:color="auto" w:fill="auto"/>
        <w:spacing w:line="360" w:lineRule="auto"/>
        <w:jc w:val="both"/>
        <w:outlineLvl w:val="1"/>
        <w:rPr>
          <w:rFonts w:hint="eastAsia" w:ascii="宋体" w:hAnsi="宋体" w:eastAsia="宋体" w:cs="宋体"/>
          <w:b/>
          <w:color w:val="auto"/>
          <w:sz w:val="24"/>
          <w:szCs w:val="24"/>
          <w:highlight w:val="none"/>
        </w:rPr>
      </w:pPr>
    </w:p>
    <w:p w14:paraId="0B258FF9">
      <w:pPr>
        <w:pStyle w:val="185"/>
        <w:shd w:val="clear" w:color="auto" w:fill="auto"/>
        <w:spacing w:line="360" w:lineRule="auto"/>
        <w:jc w:val="both"/>
        <w:outlineLvl w:val="1"/>
        <w:rPr>
          <w:rFonts w:hint="eastAsia" w:ascii="宋体" w:hAnsi="宋体" w:eastAsia="宋体" w:cs="宋体"/>
          <w:b/>
          <w:color w:val="auto"/>
          <w:sz w:val="24"/>
          <w:szCs w:val="24"/>
          <w:highlight w:val="none"/>
        </w:rPr>
      </w:pPr>
    </w:p>
    <w:p w14:paraId="0956379C">
      <w:pPr>
        <w:pStyle w:val="185"/>
        <w:shd w:val="clear" w:color="auto" w:fill="auto"/>
        <w:spacing w:line="360" w:lineRule="auto"/>
        <w:jc w:val="both"/>
        <w:outlineLvl w:val="1"/>
        <w:rPr>
          <w:rFonts w:hint="eastAsia" w:ascii="宋体" w:hAnsi="宋体" w:eastAsia="宋体" w:cs="宋体"/>
          <w:b/>
          <w:color w:val="auto"/>
          <w:sz w:val="24"/>
          <w:szCs w:val="24"/>
          <w:highlight w:val="none"/>
        </w:rPr>
      </w:pPr>
    </w:p>
    <w:p w14:paraId="4E15D7CF">
      <w:pPr>
        <w:pStyle w:val="185"/>
        <w:shd w:val="clear" w:color="auto" w:fill="auto"/>
        <w:spacing w:line="360" w:lineRule="auto"/>
        <w:jc w:val="both"/>
        <w:outlineLvl w:val="1"/>
        <w:rPr>
          <w:rFonts w:hint="eastAsia" w:ascii="宋体" w:hAnsi="宋体" w:eastAsia="宋体" w:cs="宋体"/>
          <w:b/>
          <w:color w:val="auto"/>
          <w:sz w:val="24"/>
          <w:szCs w:val="24"/>
          <w:highlight w:val="none"/>
        </w:rPr>
      </w:pPr>
    </w:p>
    <w:p w14:paraId="077E117F">
      <w:pPr>
        <w:pStyle w:val="185"/>
        <w:shd w:val="clear" w:color="auto" w:fill="auto"/>
        <w:spacing w:line="360" w:lineRule="auto"/>
        <w:jc w:val="both"/>
        <w:outlineLvl w:val="1"/>
        <w:rPr>
          <w:rFonts w:hint="eastAsia" w:ascii="宋体" w:hAnsi="宋体" w:eastAsia="宋体" w:cs="宋体"/>
          <w:b/>
          <w:color w:val="auto"/>
          <w:sz w:val="24"/>
          <w:szCs w:val="24"/>
          <w:highlight w:val="none"/>
        </w:rPr>
      </w:pPr>
    </w:p>
    <w:p w14:paraId="224570CA">
      <w:pPr>
        <w:pStyle w:val="185"/>
        <w:shd w:val="clear" w:color="auto" w:fill="auto"/>
        <w:spacing w:line="360" w:lineRule="auto"/>
        <w:jc w:val="both"/>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附件9  关于对本投标文件中资料真实性的承诺</w:t>
      </w:r>
      <w:bookmarkEnd w:id="295"/>
      <w:bookmarkEnd w:id="296"/>
      <w:bookmarkEnd w:id="297"/>
      <w:bookmarkEnd w:id="298"/>
      <w:bookmarkStart w:id="305" w:name="_Hlt520350918"/>
      <w:bookmarkEnd w:id="305"/>
      <w:bookmarkStart w:id="306" w:name="_Hlt520274065"/>
      <w:bookmarkEnd w:id="306"/>
      <w:bookmarkStart w:id="307" w:name="_Hlt520273711"/>
      <w:bookmarkEnd w:id="307"/>
      <w:bookmarkStart w:id="308" w:name="_Hlt520350957"/>
      <w:bookmarkEnd w:id="308"/>
      <w:bookmarkStart w:id="309" w:name="_Hlt520343000"/>
      <w:bookmarkEnd w:id="309"/>
      <w:bookmarkStart w:id="310" w:name="_Hlt520274911"/>
      <w:bookmarkEnd w:id="310"/>
      <w:bookmarkStart w:id="311" w:name="_Hlt520343392"/>
      <w:bookmarkEnd w:id="311"/>
      <w:bookmarkStart w:id="312" w:name="_Hlt520274393"/>
      <w:bookmarkEnd w:id="312"/>
      <w:bookmarkStart w:id="313" w:name="_Hlt520274407"/>
      <w:bookmarkEnd w:id="313"/>
      <w:bookmarkStart w:id="314" w:name="_Hlt520271212"/>
      <w:bookmarkEnd w:id="314"/>
      <w:bookmarkStart w:id="315" w:name="_Hlt520273973"/>
      <w:bookmarkEnd w:id="315"/>
      <w:bookmarkStart w:id="316" w:name="_Toc216582821"/>
      <w:bookmarkStart w:id="317" w:name="_Toc216513801"/>
      <w:r>
        <w:rPr>
          <w:rFonts w:hint="eastAsia" w:ascii="宋体" w:hAnsi="宋体" w:eastAsia="宋体" w:cs="宋体"/>
          <w:b/>
          <w:color w:val="auto"/>
          <w:sz w:val="24"/>
          <w:szCs w:val="24"/>
          <w:highlight w:val="none"/>
        </w:rPr>
        <w:t>书</w:t>
      </w:r>
      <w:bookmarkEnd w:id="299"/>
      <w:bookmarkEnd w:id="300"/>
      <w:bookmarkEnd w:id="301"/>
      <w:bookmarkEnd w:id="302"/>
      <w:bookmarkEnd w:id="303"/>
      <w:bookmarkEnd w:id="304"/>
    </w:p>
    <w:p w14:paraId="2FC52FDB">
      <w:pPr>
        <w:shd w:val="clear" w:color="auto" w:fill="auto"/>
        <w:spacing w:line="240" w:lineRule="atLeast"/>
        <w:ind w:left="660" w:leftChars="257" w:hanging="540"/>
        <w:rPr>
          <w:rFonts w:hint="eastAsia" w:ascii="宋体" w:hAnsi="宋体" w:eastAsia="宋体" w:cs="宋体"/>
          <w:b/>
          <w:color w:val="auto"/>
          <w:sz w:val="24"/>
          <w:highlight w:val="none"/>
        </w:rPr>
      </w:pPr>
    </w:p>
    <w:bookmarkEnd w:id="316"/>
    <w:bookmarkEnd w:id="317"/>
    <w:p w14:paraId="07D66660">
      <w:pPr>
        <w:shd w:val="clear" w:color="auto" w:fill="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关于对本投标文件中资料真实性的承诺</w:t>
      </w:r>
    </w:p>
    <w:p w14:paraId="0DF405F7">
      <w:pPr>
        <w:shd w:val="clear" w:color="auto" w:fill="auto"/>
        <w:rPr>
          <w:rFonts w:hint="eastAsia" w:ascii="宋体" w:hAnsi="宋体" w:eastAsia="宋体" w:cs="宋体"/>
          <w:b/>
          <w:color w:val="auto"/>
          <w:kern w:val="0"/>
          <w:szCs w:val="21"/>
          <w:highlight w:val="none"/>
        </w:rPr>
      </w:pPr>
    </w:p>
    <w:p w14:paraId="5ABADA29">
      <w:pPr>
        <w:shd w:val="clear" w:color="auto" w:fill="auto"/>
        <w:spacing w:line="360" w:lineRule="auto"/>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rPr>
        <w:t>至：</w:t>
      </w:r>
      <w:r>
        <w:rPr>
          <w:rFonts w:hint="eastAsia" w:ascii="宋体" w:hAnsi="宋体" w:eastAsia="宋体" w:cs="宋体"/>
          <w:b/>
          <w:color w:val="auto"/>
          <w:kern w:val="0"/>
          <w:szCs w:val="21"/>
          <w:highlight w:val="none"/>
          <w:u w:val="single"/>
        </w:rPr>
        <w:t xml:space="preserve"> （项目、包段名称）评标委员会  </w:t>
      </w:r>
    </w:p>
    <w:p w14:paraId="10C9F344">
      <w:pPr>
        <w:shd w:val="clear" w:color="auto" w:fill="auto"/>
        <w:spacing w:line="360" w:lineRule="auto"/>
        <w:ind w:firstLine="630" w:firstLineChars="3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根据《中华人民共和国政府采购法</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中华人民共和国政府采购法实施条例》等有关</w:t>
      </w:r>
      <w:r>
        <w:rPr>
          <w:rFonts w:hint="eastAsia" w:ascii="宋体" w:hAnsi="宋体" w:cs="宋体"/>
          <w:color w:val="auto"/>
          <w:kern w:val="0"/>
          <w:szCs w:val="21"/>
          <w:highlight w:val="none"/>
          <w:lang w:eastAsia="zh-CN"/>
        </w:rPr>
        <w:t>法律法规</w:t>
      </w:r>
      <w:r>
        <w:rPr>
          <w:rFonts w:hint="eastAsia" w:ascii="宋体" w:hAnsi="宋体" w:eastAsia="宋体" w:cs="宋体"/>
          <w:color w:val="auto"/>
          <w:kern w:val="0"/>
          <w:szCs w:val="21"/>
          <w:highlight w:val="none"/>
        </w:rPr>
        <w:t>的规定和</w:t>
      </w:r>
      <w:r>
        <w:rPr>
          <w:rFonts w:hint="eastAsia" w:ascii="宋体" w:hAnsi="宋体" w:eastAsia="宋体" w:cs="宋体"/>
          <w:color w:val="auto"/>
          <w:kern w:val="0"/>
          <w:szCs w:val="21"/>
          <w:highlight w:val="none"/>
          <w:u w:val="single"/>
        </w:rPr>
        <w:t>        （项目、包段名称）         </w:t>
      </w:r>
      <w:r>
        <w:rPr>
          <w:rFonts w:hint="eastAsia" w:ascii="宋体" w:hAnsi="宋体" w:eastAsia="宋体" w:cs="宋体"/>
          <w:color w:val="auto"/>
          <w:kern w:val="0"/>
          <w:szCs w:val="21"/>
          <w:highlight w:val="none"/>
        </w:rPr>
        <w:t>的招标文件的要求，我公司在</w:t>
      </w:r>
      <w:r>
        <w:rPr>
          <w:rFonts w:hint="eastAsia" w:ascii="宋体" w:hAnsi="宋体" w:eastAsia="宋体" w:cs="宋体"/>
          <w:color w:val="auto"/>
          <w:kern w:val="0"/>
          <w:szCs w:val="21"/>
          <w:highlight w:val="none"/>
          <w:u w:val="single"/>
        </w:rPr>
        <w:t>   （项目、包段名称）   </w:t>
      </w:r>
      <w:r>
        <w:rPr>
          <w:rFonts w:hint="eastAsia" w:ascii="宋体" w:hAnsi="宋体" w:eastAsia="宋体" w:cs="宋体"/>
          <w:color w:val="auto"/>
          <w:kern w:val="0"/>
          <w:szCs w:val="21"/>
          <w:highlight w:val="none"/>
        </w:rPr>
        <w:t>投标文件中所提供资料真实性作如下承诺：</w:t>
      </w:r>
    </w:p>
    <w:p w14:paraId="58A0957F">
      <w:pPr>
        <w:shd w:val="clear" w:color="auto" w:fill="auto"/>
        <w:spacing w:line="360" w:lineRule="auto"/>
        <w:ind w:firstLine="630" w:firstLineChars="3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我公司将严格按招标文件要求，在编制本投标文件时，对投标文件中所提供的资料全部真实和正确，并对提供的所有资料（资格、业绩、其他材料等）的真实性负责！ </w:t>
      </w:r>
    </w:p>
    <w:p w14:paraId="776B197D">
      <w:pPr>
        <w:shd w:val="clear" w:color="auto" w:fill="auto"/>
        <w:spacing w:line="360" w:lineRule="auto"/>
        <w:ind w:firstLine="630" w:firstLineChars="3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对提供的全部资料中有存在不真实（伪造或租借等虚假资料）情形，将无条件接受任何处罚，自行承担由此引起的一切责任！</w:t>
      </w:r>
    </w:p>
    <w:p w14:paraId="6609DEE5">
      <w:pPr>
        <w:shd w:val="clear" w:color="auto" w:fill="auto"/>
        <w:spacing w:line="360" w:lineRule="auto"/>
        <w:ind w:firstLine="632" w:firstLineChars="300"/>
        <w:rPr>
          <w:rFonts w:hint="eastAsia" w:ascii="宋体" w:hAnsi="宋体" w:eastAsia="宋体" w:cs="宋体"/>
          <w:b/>
          <w:color w:val="auto"/>
          <w:kern w:val="0"/>
          <w:szCs w:val="21"/>
          <w:highlight w:val="none"/>
        </w:rPr>
      </w:pPr>
    </w:p>
    <w:p w14:paraId="191DEEB2">
      <w:pPr>
        <w:shd w:val="clear" w:color="auto" w:fill="auto"/>
        <w:spacing w:line="360" w:lineRule="auto"/>
        <w:ind w:firstLine="632" w:firstLine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特此承诺</w:t>
      </w:r>
    </w:p>
    <w:p w14:paraId="52B8A871">
      <w:pPr>
        <w:shd w:val="clear" w:color="auto" w:fill="auto"/>
        <w:spacing w:line="360" w:lineRule="auto"/>
        <w:ind w:firstLine="632" w:firstLineChars="300"/>
        <w:rPr>
          <w:rFonts w:hint="eastAsia" w:ascii="宋体" w:hAnsi="宋体" w:eastAsia="宋体" w:cs="宋体"/>
          <w:b/>
          <w:color w:val="auto"/>
          <w:kern w:val="0"/>
          <w:szCs w:val="21"/>
          <w:highlight w:val="none"/>
        </w:rPr>
      </w:pPr>
    </w:p>
    <w:p w14:paraId="592056B6">
      <w:pPr>
        <w:shd w:val="clear" w:color="auto" w:fill="auto"/>
        <w:spacing w:line="360" w:lineRule="auto"/>
        <w:ind w:firstLine="3373" w:firstLineChars="16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供应商（全称）：</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rPr>
        <w:t>（盖单位章）</w:t>
      </w:r>
    </w:p>
    <w:p w14:paraId="51ECF4DD">
      <w:pPr>
        <w:shd w:val="clear" w:color="auto" w:fill="auto"/>
        <w:spacing w:line="360" w:lineRule="auto"/>
        <w:ind w:firstLine="3373" w:firstLineChars="16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法定代表人：</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rPr>
        <w:t>（签字）</w:t>
      </w:r>
    </w:p>
    <w:p w14:paraId="7CB1919D">
      <w:pPr>
        <w:shd w:val="clear" w:color="auto" w:fill="auto"/>
        <w:spacing w:line="360" w:lineRule="auto"/>
        <w:ind w:firstLine="3373" w:firstLineChars="16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有效的联系方式：</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rPr>
        <w:t>（手机号）</w:t>
      </w:r>
    </w:p>
    <w:p w14:paraId="1784E182">
      <w:pPr>
        <w:shd w:val="clear" w:color="auto" w:fill="auto"/>
        <w:spacing w:line="360" w:lineRule="auto"/>
        <w:ind w:firstLine="3795" w:firstLineChars="1800"/>
        <w:rPr>
          <w:rFonts w:hint="eastAsia" w:ascii="宋体" w:hAnsi="宋体" w:eastAsia="宋体" w:cs="宋体"/>
          <w:b/>
          <w:color w:val="auto"/>
          <w:kern w:val="0"/>
          <w:szCs w:val="21"/>
          <w:highlight w:val="none"/>
        </w:rPr>
      </w:pPr>
    </w:p>
    <w:p w14:paraId="7E543606">
      <w:pPr>
        <w:shd w:val="clear" w:color="auto" w:fill="auto"/>
        <w:spacing w:line="360" w:lineRule="auto"/>
        <w:ind w:firstLine="5271" w:firstLineChars="25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年      月       日</w:t>
      </w:r>
    </w:p>
    <w:p w14:paraId="0172E293">
      <w:pPr>
        <w:shd w:val="clear" w:color="auto" w:fill="auto"/>
        <w:spacing w:line="360" w:lineRule="auto"/>
        <w:rPr>
          <w:rFonts w:hint="eastAsia" w:ascii="宋体" w:hAnsi="宋体" w:eastAsia="宋体" w:cs="宋体"/>
          <w:b/>
          <w:color w:val="auto"/>
          <w:kern w:val="0"/>
          <w:szCs w:val="21"/>
          <w:highlight w:val="none"/>
        </w:rPr>
      </w:pPr>
    </w:p>
    <w:p w14:paraId="5A2AC362">
      <w:pPr>
        <w:shd w:val="clear" w:color="auto" w:fill="auto"/>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说明：投标供应商应按上述要求将内容填写完整，未提供此承诺的其投标将被拒绝！</w:t>
      </w:r>
    </w:p>
    <w:p w14:paraId="764A483D">
      <w:pPr>
        <w:pStyle w:val="23"/>
        <w:numPr>
          <w:ilvl w:val="0"/>
          <w:numId w:val="0"/>
        </w:numPr>
        <w:overflowPunct w:val="0"/>
        <w:snapToGrid w:val="0"/>
        <w:spacing w:line="360" w:lineRule="auto"/>
        <w:jc w:val="both"/>
        <w:rPr>
          <w:rFonts w:hint="eastAsia" w:ascii="宋体" w:hAnsi="宋体" w:eastAsia="宋体" w:cs="宋体"/>
          <w:b/>
          <w:bCs w:val="0"/>
          <w:color w:val="auto"/>
          <w:kern w:val="2"/>
          <w:sz w:val="28"/>
          <w:szCs w:val="24"/>
          <w:highlight w:val="none"/>
          <w:lang w:val="en-US" w:eastAsia="zh-CN" w:bidi="ar-SA"/>
        </w:rPr>
      </w:pPr>
      <w:r>
        <w:rPr>
          <w:rFonts w:hint="eastAsia" w:ascii="宋体" w:hAnsi="宋体" w:eastAsia="宋体" w:cs="宋体"/>
          <w:color w:val="auto"/>
          <w:highlight w:val="none"/>
        </w:rPr>
        <w:br w:type="page"/>
      </w:r>
    </w:p>
    <w:p w14:paraId="44C9BA7D">
      <w:pPr>
        <w:pStyle w:val="23"/>
        <w:numPr>
          <w:ilvl w:val="0"/>
          <w:numId w:val="0"/>
        </w:numPr>
        <w:overflowPunct w:val="0"/>
        <w:snapToGrid w:val="0"/>
        <w:spacing w:line="360" w:lineRule="auto"/>
        <w:jc w:val="both"/>
        <w:rPr>
          <w:rFonts w:hint="eastAsia" w:ascii="宋体" w:hAnsi="宋体" w:eastAsia="宋体" w:cs="宋体"/>
          <w:b/>
          <w:bCs w:val="0"/>
          <w:color w:val="auto"/>
          <w:kern w:val="2"/>
          <w:sz w:val="28"/>
          <w:szCs w:val="24"/>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t>附件十七</w:t>
      </w:r>
    </w:p>
    <w:p w14:paraId="01FA959E">
      <w:pPr>
        <w:pStyle w:val="23"/>
        <w:numPr>
          <w:ilvl w:val="0"/>
          <w:numId w:val="0"/>
        </w:numPr>
        <w:overflowPunct w:val="0"/>
        <w:snapToGrid w:val="0"/>
        <w:spacing w:line="360" w:lineRule="auto"/>
        <w:jc w:val="center"/>
        <w:rPr>
          <w:rFonts w:hint="eastAsia" w:ascii="宋体" w:hAnsi="宋体" w:eastAsia="宋体" w:cs="宋体"/>
          <w:b/>
          <w:bCs w:val="0"/>
          <w:color w:val="auto"/>
          <w:kern w:val="2"/>
          <w:sz w:val="32"/>
          <w:szCs w:val="28"/>
          <w:highlight w:val="none"/>
          <w:lang w:val="en-US" w:eastAsia="zh-CN" w:bidi="ar-SA"/>
        </w:rPr>
      </w:pPr>
    </w:p>
    <w:p w14:paraId="02464C42">
      <w:pPr>
        <w:pStyle w:val="23"/>
        <w:numPr>
          <w:ilvl w:val="0"/>
          <w:numId w:val="0"/>
        </w:numPr>
        <w:overflowPunct w:val="0"/>
        <w:snapToGrid w:val="0"/>
        <w:spacing w:line="360" w:lineRule="auto"/>
        <w:jc w:val="center"/>
        <w:rPr>
          <w:rFonts w:hint="eastAsia" w:ascii="宋体" w:hAnsi="宋体" w:eastAsia="宋体" w:cs="宋体"/>
          <w:b/>
          <w:bCs w:val="0"/>
          <w:color w:val="auto"/>
          <w:kern w:val="2"/>
          <w:sz w:val="32"/>
          <w:szCs w:val="28"/>
          <w:highlight w:val="none"/>
          <w:lang w:val="en-US" w:eastAsia="zh-CN" w:bidi="ar-SA"/>
        </w:rPr>
      </w:pPr>
      <w:r>
        <w:rPr>
          <w:rFonts w:hint="eastAsia" w:ascii="宋体" w:hAnsi="宋体" w:eastAsia="宋体" w:cs="宋体"/>
          <w:b/>
          <w:bCs w:val="0"/>
          <w:color w:val="auto"/>
          <w:kern w:val="2"/>
          <w:sz w:val="32"/>
          <w:szCs w:val="28"/>
          <w:highlight w:val="none"/>
          <w:lang w:val="en-US" w:eastAsia="zh-CN" w:bidi="ar-SA"/>
        </w:rPr>
        <w:t>投标人认为有必要提供的声明及文件资料</w:t>
      </w:r>
    </w:p>
    <w:p w14:paraId="3BF7F5B8">
      <w:pPr>
        <w:rPr>
          <w:rFonts w:hint="eastAsia" w:ascii="宋体" w:hAnsi="宋体" w:eastAsia="宋体" w:cs="宋体"/>
          <w:highlight w:val="none"/>
          <w:lang w:val="en-US" w:eastAsia="zh-CN"/>
        </w:rPr>
        <w:sectPr>
          <w:type w:val="continuous"/>
          <w:pgSz w:w="11905" w:h="16838"/>
          <w:pgMar w:top="1304" w:right="964" w:bottom="1020" w:left="1191" w:header="567" w:footer="454" w:gutter="0"/>
          <w:pgNumType w:fmt="decimal"/>
          <w:cols w:space="720" w:num="1"/>
          <w:rtlGutter w:val="0"/>
          <w:docGrid w:type="lines" w:linePitch="317" w:charSpace="0"/>
        </w:sectPr>
      </w:pPr>
    </w:p>
    <w:p w14:paraId="4DC0C237">
      <w:pPr>
        <w:pStyle w:val="23"/>
        <w:numPr>
          <w:ilvl w:val="0"/>
          <w:numId w:val="0"/>
        </w:numPr>
        <w:overflowPunct w:val="0"/>
        <w:snapToGrid w:val="0"/>
        <w:spacing w:line="360" w:lineRule="auto"/>
        <w:jc w:val="both"/>
        <w:rPr>
          <w:rFonts w:hint="eastAsia" w:ascii="宋体" w:hAnsi="宋体" w:eastAsia="宋体" w:cs="宋体"/>
          <w:b/>
          <w:bCs w:val="0"/>
          <w:color w:val="auto"/>
          <w:kern w:val="2"/>
          <w:sz w:val="32"/>
          <w:szCs w:val="28"/>
          <w:highlight w:val="none"/>
          <w:lang w:val="en-US" w:eastAsia="zh-CN" w:bidi="ar-SA"/>
        </w:rPr>
      </w:pPr>
    </w:p>
    <w:p w14:paraId="53951048">
      <w:pPr>
        <w:rPr>
          <w:rFonts w:hint="eastAsia" w:ascii="宋体" w:hAnsi="宋体" w:eastAsia="宋体" w:cs="宋体"/>
          <w:highlight w:val="none"/>
          <w:lang w:val="en-US" w:eastAsia="zh-CN"/>
        </w:rPr>
      </w:pPr>
    </w:p>
    <w:p w14:paraId="73E4120F">
      <w:pPr>
        <w:rPr>
          <w:rFonts w:hint="eastAsia" w:ascii="宋体" w:hAnsi="宋体" w:eastAsia="宋体" w:cs="宋体"/>
          <w:b/>
          <w:bCs w:val="0"/>
          <w:color w:val="auto"/>
          <w:kern w:val="2"/>
          <w:sz w:val="28"/>
          <w:szCs w:val="24"/>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br w:type="page"/>
      </w:r>
    </w:p>
    <w:p w14:paraId="4050EBE6">
      <w:pPr>
        <w:pStyle w:val="23"/>
        <w:numPr>
          <w:ilvl w:val="0"/>
          <w:numId w:val="0"/>
        </w:numPr>
        <w:overflowPunct w:val="0"/>
        <w:snapToGrid w:val="0"/>
        <w:spacing w:line="360" w:lineRule="auto"/>
        <w:jc w:val="both"/>
        <w:rPr>
          <w:rFonts w:hint="eastAsia" w:ascii="宋体" w:hAnsi="宋体" w:eastAsia="宋体" w:cs="宋体"/>
          <w:b/>
          <w:bCs w:val="0"/>
          <w:color w:val="auto"/>
          <w:kern w:val="2"/>
          <w:sz w:val="28"/>
          <w:szCs w:val="24"/>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t>附件十八</w:t>
      </w:r>
    </w:p>
    <w:p w14:paraId="697AB1A4">
      <w:pPr>
        <w:widowControl/>
        <w:adjustRightInd w:val="0"/>
        <w:snapToGrid w:val="0"/>
        <w:spacing w:line="360" w:lineRule="auto"/>
        <w:jc w:val="center"/>
        <w:rPr>
          <w:rFonts w:hint="eastAsia" w:ascii="宋体" w:hAnsi="宋体" w:eastAsia="宋体" w:cs="宋体"/>
          <w:b/>
          <w:bCs w:val="0"/>
          <w:color w:val="auto"/>
          <w:kern w:val="2"/>
          <w:sz w:val="32"/>
          <w:szCs w:val="28"/>
          <w:highlight w:val="none"/>
          <w:lang w:val="en-US" w:eastAsia="zh-CN" w:bidi="ar-SA"/>
        </w:rPr>
      </w:pPr>
      <w:r>
        <w:rPr>
          <w:rFonts w:hint="eastAsia" w:ascii="宋体" w:hAnsi="宋体" w:eastAsia="宋体" w:cs="宋体"/>
          <w:b/>
          <w:bCs w:val="0"/>
          <w:color w:val="auto"/>
          <w:kern w:val="2"/>
          <w:sz w:val="32"/>
          <w:szCs w:val="28"/>
          <w:highlight w:val="none"/>
          <w:lang w:val="en-US" w:eastAsia="zh-CN" w:bidi="ar-SA"/>
        </w:rPr>
        <w:t>技术方案</w:t>
      </w:r>
    </w:p>
    <w:p w14:paraId="44837ECB">
      <w:pPr>
        <w:spacing w:line="440" w:lineRule="exact"/>
        <w:jc w:val="center"/>
        <w:rPr>
          <w:rFonts w:hint="eastAsia" w:ascii="宋体" w:hAnsi="宋体" w:eastAsia="宋体" w:cs="宋体"/>
          <w:b/>
          <w:bCs/>
          <w:color w:val="auto"/>
          <w:sz w:val="32"/>
          <w:szCs w:val="22"/>
          <w:highlight w:val="none"/>
        </w:rPr>
      </w:pPr>
      <w:r>
        <w:rPr>
          <w:rFonts w:hint="eastAsia" w:ascii="宋体" w:hAnsi="宋体" w:eastAsia="宋体" w:cs="宋体"/>
          <w:b/>
          <w:bCs/>
          <w:color w:val="auto"/>
          <w:sz w:val="32"/>
          <w:szCs w:val="22"/>
          <w:highlight w:val="none"/>
        </w:rPr>
        <w:t>（根据需要编写，格式自制）</w:t>
      </w:r>
    </w:p>
    <w:p w14:paraId="1B947CFB">
      <w:pPr>
        <w:spacing w:line="440" w:lineRule="exact"/>
        <w:ind w:firstLine="480" w:firstLineChars="200"/>
        <w:rPr>
          <w:rFonts w:hint="eastAsia" w:ascii="宋体" w:hAnsi="宋体" w:eastAsia="宋体" w:cs="宋体"/>
          <w:color w:val="auto"/>
          <w:sz w:val="24"/>
          <w:highlight w:val="none"/>
        </w:rPr>
      </w:pPr>
    </w:p>
    <w:p w14:paraId="49C7C95A">
      <w:pPr>
        <w:spacing w:line="440" w:lineRule="exact"/>
        <w:ind w:firstLine="420" w:firstLineChars="20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不得直接采用招标文件技术要求，否则所有有关技术分均不得分</w:t>
      </w:r>
      <w:r>
        <w:rPr>
          <w:rFonts w:hint="eastAsia" w:ascii="宋体" w:hAnsi="宋体" w:eastAsia="宋体" w:cs="宋体"/>
          <w:color w:val="auto"/>
          <w:sz w:val="21"/>
          <w:szCs w:val="21"/>
          <w:highlight w:val="none"/>
        </w:rPr>
        <w:t>。</w:t>
      </w:r>
    </w:p>
    <w:p w14:paraId="2C9822BD">
      <w:pPr>
        <w:pStyle w:val="75"/>
        <w:rPr>
          <w:rFonts w:hint="eastAsia" w:ascii="宋体" w:hAnsi="宋体" w:eastAsia="宋体" w:cs="宋体"/>
          <w:b/>
          <w:bCs w:val="0"/>
          <w:color w:val="auto"/>
          <w:kern w:val="2"/>
          <w:sz w:val="24"/>
          <w:szCs w:val="22"/>
          <w:highlight w:val="none"/>
          <w:lang w:val="en-US" w:eastAsia="zh-CN" w:bidi="ar-SA"/>
        </w:rPr>
        <w:sectPr>
          <w:type w:val="continuous"/>
          <w:pgSz w:w="11905" w:h="16838"/>
          <w:pgMar w:top="1304" w:right="964" w:bottom="1020" w:left="1191" w:header="567" w:footer="454" w:gutter="0"/>
          <w:pgNumType w:fmt="decimal"/>
          <w:cols w:space="720" w:num="1"/>
          <w:rtlGutter w:val="0"/>
          <w:docGrid w:type="lines" w:linePitch="317" w:charSpace="0"/>
        </w:sectPr>
      </w:pPr>
    </w:p>
    <w:p w14:paraId="57DF9E08">
      <w:pPr>
        <w:jc w:val="both"/>
        <w:rPr>
          <w:rFonts w:hint="eastAsia" w:ascii="宋体" w:hAnsi="宋体" w:eastAsia="宋体" w:cs="宋体"/>
          <w:b/>
          <w:bCs w:val="0"/>
          <w:color w:val="auto"/>
          <w:kern w:val="2"/>
          <w:sz w:val="28"/>
          <w:szCs w:val="24"/>
          <w:highlight w:val="none"/>
          <w:lang w:val="en-US" w:eastAsia="zh-CN" w:bidi="ar-SA"/>
        </w:rPr>
      </w:pPr>
    </w:p>
    <w:p w14:paraId="0476C63E">
      <w:pPr>
        <w:jc w:val="both"/>
        <w:outlineLvl w:val="1"/>
        <w:rPr>
          <w:rFonts w:hint="eastAsia" w:ascii="宋体" w:hAnsi="宋体" w:eastAsia="宋体" w:cs="宋体"/>
          <w:b/>
          <w:bCs w:val="0"/>
          <w:color w:val="auto"/>
          <w:kern w:val="2"/>
          <w:sz w:val="28"/>
          <w:szCs w:val="24"/>
          <w:highlight w:val="none"/>
          <w:lang w:val="en-US" w:eastAsia="zh-CN" w:bidi="ar-SA"/>
        </w:rPr>
      </w:pPr>
      <w:bookmarkStart w:id="318" w:name="_Toc31589"/>
    </w:p>
    <w:p w14:paraId="6A9645EB">
      <w:pPr>
        <w:jc w:val="both"/>
        <w:outlineLvl w:val="1"/>
        <w:rPr>
          <w:rFonts w:hint="eastAsia" w:ascii="宋体" w:hAnsi="宋体" w:eastAsia="宋体" w:cs="宋体"/>
          <w:b/>
          <w:bCs w:val="0"/>
          <w:color w:val="auto"/>
          <w:kern w:val="2"/>
          <w:sz w:val="28"/>
          <w:szCs w:val="24"/>
          <w:highlight w:val="none"/>
          <w:lang w:val="en-US" w:eastAsia="zh-CN" w:bidi="ar-SA"/>
        </w:rPr>
      </w:pPr>
    </w:p>
    <w:p w14:paraId="1182C6DA">
      <w:pPr>
        <w:jc w:val="both"/>
        <w:outlineLvl w:val="1"/>
        <w:rPr>
          <w:rFonts w:hint="eastAsia" w:ascii="宋体" w:hAnsi="宋体" w:eastAsia="宋体" w:cs="宋体"/>
          <w:b/>
          <w:bCs w:val="0"/>
          <w:color w:val="auto"/>
          <w:kern w:val="2"/>
          <w:sz w:val="28"/>
          <w:szCs w:val="24"/>
          <w:highlight w:val="none"/>
          <w:lang w:val="en-US" w:eastAsia="zh-CN" w:bidi="ar-SA"/>
        </w:rPr>
      </w:pPr>
    </w:p>
    <w:p w14:paraId="7A15D517">
      <w:pPr>
        <w:jc w:val="both"/>
        <w:outlineLvl w:val="1"/>
        <w:rPr>
          <w:rFonts w:hint="eastAsia" w:ascii="宋体" w:hAnsi="宋体" w:eastAsia="宋体" w:cs="宋体"/>
          <w:b/>
          <w:bCs w:val="0"/>
          <w:color w:val="auto"/>
          <w:kern w:val="2"/>
          <w:sz w:val="28"/>
          <w:szCs w:val="24"/>
          <w:highlight w:val="none"/>
          <w:lang w:val="en-US" w:eastAsia="zh-CN" w:bidi="ar-SA"/>
        </w:rPr>
      </w:pPr>
    </w:p>
    <w:p w14:paraId="37C002A2">
      <w:pPr>
        <w:rPr>
          <w:rFonts w:hint="eastAsia" w:ascii="宋体" w:hAnsi="宋体" w:eastAsia="宋体" w:cs="宋体"/>
          <w:b/>
          <w:bCs w:val="0"/>
          <w:color w:val="auto"/>
          <w:kern w:val="2"/>
          <w:sz w:val="28"/>
          <w:szCs w:val="24"/>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br w:type="page"/>
      </w:r>
    </w:p>
    <w:p w14:paraId="3E75FE22">
      <w:pPr>
        <w:jc w:val="both"/>
        <w:outlineLvl w:val="1"/>
        <w:rPr>
          <w:rFonts w:hint="eastAsia" w:ascii="宋体" w:hAnsi="宋体" w:eastAsia="宋体" w:cs="宋体"/>
          <w:b/>
          <w:bCs w:val="0"/>
          <w:color w:val="auto"/>
          <w:kern w:val="2"/>
          <w:sz w:val="28"/>
          <w:szCs w:val="24"/>
          <w:highlight w:val="none"/>
          <w:lang w:val="en-US" w:eastAsia="zh-CN" w:bidi="ar-SA"/>
        </w:rPr>
      </w:pPr>
      <w:r>
        <w:rPr>
          <w:rFonts w:hint="eastAsia" w:ascii="宋体" w:hAnsi="宋体" w:eastAsia="宋体" w:cs="宋体"/>
          <w:b/>
          <w:bCs w:val="0"/>
          <w:color w:val="auto"/>
          <w:kern w:val="2"/>
          <w:sz w:val="28"/>
          <w:szCs w:val="24"/>
          <w:highlight w:val="none"/>
          <w:lang w:val="en-US" w:eastAsia="zh-CN" w:bidi="ar-SA"/>
        </w:rPr>
        <w:t>附件</w:t>
      </w:r>
      <w:bookmarkEnd w:id="318"/>
      <w:r>
        <w:rPr>
          <w:rFonts w:hint="eastAsia" w:ascii="宋体" w:hAnsi="宋体" w:eastAsia="宋体" w:cs="宋体"/>
          <w:b/>
          <w:bCs w:val="0"/>
          <w:color w:val="auto"/>
          <w:kern w:val="2"/>
          <w:sz w:val="28"/>
          <w:szCs w:val="24"/>
          <w:highlight w:val="none"/>
          <w:lang w:val="en-US" w:eastAsia="zh-CN" w:bidi="ar-SA"/>
        </w:rPr>
        <w:t>十九</w:t>
      </w:r>
    </w:p>
    <w:p w14:paraId="5DB8C2DC">
      <w:pPr>
        <w:jc w:val="center"/>
        <w:outlineLvl w:val="9"/>
        <w:rPr>
          <w:rFonts w:hint="eastAsia" w:ascii="宋体" w:hAnsi="宋体" w:eastAsia="宋体" w:cs="宋体"/>
          <w:b/>
          <w:sz w:val="30"/>
          <w:szCs w:val="30"/>
          <w:highlight w:val="none"/>
        </w:rPr>
      </w:pPr>
    </w:p>
    <w:p w14:paraId="712548B7">
      <w:pPr>
        <w:jc w:val="center"/>
        <w:outlineLvl w:val="0"/>
        <w:rPr>
          <w:rFonts w:hint="eastAsia" w:ascii="宋体" w:hAnsi="宋体" w:eastAsia="宋体" w:cs="宋体"/>
          <w:b/>
          <w:sz w:val="30"/>
          <w:szCs w:val="30"/>
          <w:highlight w:val="none"/>
        </w:rPr>
      </w:pPr>
      <w:bookmarkStart w:id="319" w:name="_Toc2648"/>
      <w:bookmarkStart w:id="320" w:name="_Toc29685"/>
      <w:bookmarkStart w:id="321" w:name="_Toc29985"/>
      <w:r>
        <w:rPr>
          <w:rFonts w:hint="eastAsia" w:ascii="宋体" w:hAnsi="宋体" w:eastAsia="宋体" w:cs="宋体"/>
          <w:b/>
          <w:sz w:val="30"/>
          <w:szCs w:val="30"/>
          <w:highlight w:val="none"/>
        </w:rPr>
        <w:t>其他有利于投标人的资料（如有）</w:t>
      </w:r>
      <w:bookmarkEnd w:id="319"/>
      <w:bookmarkEnd w:id="320"/>
      <w:bookmarkEnd w:id="321"/>
    </w:p>
    <w:p w14:paraId="5D065C28">
      <w:pPr>
        <w:rPr>
          <w:rFonts w:hint="eastAsia" w:ascii="宋体" w:hAnsi="宋体" w:eastAsia="宋体" w:cs="宋体"/>
          <w:b/>
          <w:sz w:val="28"/>
          <w:szCs w:val="28"/>
          <w:highlight w:val="none"/>
        </w:rPr>
      </w:pPr>
    </w:p>
    <w:p w14:paraId="6AD0E261">
      <w:pPr>
        <w:rPr>
          <w:rFonts w:hint="eastAsia" w:ascii="宋体" w:hAnsi="宋体" w:eastAsia="宋体" w:cs="宋体"/>
          <w:b/>
          <w:sz w:val="28"/>
          <w:szCs w:val="28"/>
          <w:highlight w:val="none"/>
        </w:rPr>
      </w:pPr>
    </w:p>
    <w:p w14:paraId="3631A615">
      <w:pPr>
        <w:rPr>
          <w:rFonts w:hint="eastAsia" w:ascii="宋体" w:hAnsi="宋体" w:eastAsia="宋体" w:cs="宋体"/>
          <w:b/>
          <w:sz w:val="28"/>
          <w:szCs w:val="28"/>
          <w:highlight w:val="none"/>
        </w:rPr>
      </w:pPr>
    </w:p>
    <w:p w14:paraId="3B3201C0">
      <w:pPr>
        <w:rPr>
          <w:rFonts w:hint="eastAsia" w:ascii="宋体" w:hAnsi="宋体" w:eastAsia="宋体" w:cs="宋体"/>
          <w:b/>
          <w:sz w:val="28"/>
          <w:szCs w:val="28"/>
          <w:highlight w:val="none"/>
        </w:rPr>
      </w:pPr>
    </w:p>
    <w:p w14:paraId="48140039">
      <w:pPr>
        <w:rPr>
          <w:rFonts w:hint="eastAsia" w:ascii="宋体" w:hAnsi="宋体" w:eastAsia="宋体" w:cs="宋体"/>
          <w:b/>
          <w:sz w:val="28"/>
          <w:szCs w:val="28"/>
          <w:highlight w:val="none"/>
        </w:rPr>
      </w:pPr>
    </w:p>
    <w:p w14:paraId="583E481E">
      <w:pPr>
        <w:rPr>
          <w:rFonts w:hint="eastAsia" w:ascii="宋体" w:hAnsi="宋体" w:eastAsia="宋体" w:cs="宋体"/>
          <w:b/>
          <w:sz w:val="28"/>
          <w:szCs w:val="28"/>
          <w:highlight w:val="none"/>
        </w:rPr>
      </w:pPr>
    </w:p>
    <w:p w14:paraId="4202B344">
      <w:pPr>
        <w:rPr>
          <w:rFonts w:hint="eastAsia" w:ascii="宋体" w:hAnsi="宋体" w:eastAsia="宋体" w:cs="宋体"/>
          <w:b/>
          <w:sz w:val="28"/>
          <w:szCs w:val="28"/>
          <w:highlight w:val="none"/>
        </w:rPr>
      </w:pPr>
    </w:p>
    <w:p w14:paraId="5634A454">
      <w:pPr>
        <w:rPr>
          <w:rFonts w:hint="eastAsia" w:ascii="宋体" w:hAnsi="宋体" w:eastAsia="宋体" w:cs="宋体"/>
          <w:b/>
          <w:sz w:val="28"/>
          <w:szCs w:val="28"/>
          <w:highlight w:val="none"/>
        </w:rPr>
      </w:pPr>
    </w:p>
    <w:p w14:paraId="1859C044">
      <w:pPr>
        <w:rPr>
          <w:rFonts w:hint="eastAsia" w:ascii="宋体" w:hAnsi="宋体" w:eastAsia="宋体" w:cs="宋体"/>
          <w:b/>
          <w:sz w:val="28"/>
          <w:szCs w:val="28"/>
          <w:highlight w:val="none"/>
        </w:rPr>
      </w:pPr>
    </w:p>
    <w:p w14:paraId="35B307E0">
      <w:pPr>
        <w:rPr>
          <w:rFonts w:hint="eastAsia" w:ascii="宋体" w:hAnsi="宋体" w:eastAsia="宋体" w:cs="宋体"/>
          <w:b/>
          <w:sz w:val="28"/>
          <w:szCs w:val="28"/>
          <w:highlight w:val="none"/>
        </w:rPr>
      </w:pPr>
    </w:p>
    <w:p w14:paraId="1F79E146">
      <w:pPr>
        <w:rPr>
          <w:rFonts w:hint="eastAsia" w:ascii="宋体" w:hAnsi="宋体" w:eastAsia="宋体" w:cs="宋体"/>
          <w:b/>
          <w:sz w:val="28"/>
          <w:szCs w:val="28"/>
          <w:highlight w:val="none"/>
        </w:rPr>
      </w:pPr>
    </w:p>
    <w:p w14:paraId="018405DB">
      <w:pPr>
        <w:rPr>
          <w:rFonts w:hint="eastAsia" w:ascii="宋体" w:hAnsi="宋体" w:eastAsia="宋体" w:cs="宋体"/>
          <w:b/>
          <w:sz w:val="28"/>
          <w:szCs w:val="28"/>
          <w:highlight w:val="none"/>
        </w:rPr>
      </w:pPr>
    </w:p>
    <w:p w14:paraId="46E46B11">
      <w:pPr>
        <w:rPr>
          <w:rFonts w:hint="eastAsia" w:ascii="宋体" w:hAnsi="宋体" w:eastAsia="宋体" w:cs="宋体"/>
          <w:b/>
          <w:sz w:val="28"/>
          <w:szCs w:val="28"/>
          <w:highlight w:val="none"/>
        </w:rPr>
      </w:pPr>
    </w:p>
    <w:p w14:paraId="7CA223F2">
      <w:pPr>
        <w:rPr>
          <w:rFonts w:hint="eastAsia" w:ascii="宋体" w:hAnsi="宋体" w:eastAsia="宋体" w:cs="宋体"/>
          <w:b/>
          <w:sz w:val="28"/>
          <w:szCs w:val="28"/>
          <w:highlight w:val="none"/>
        </w:rPr>
      </w:pPr>
    </w:p>
    <w:p w14:paraId="3C0CF0A7">
      <w:pPr>
        <w:rPr>
          <w:rFonts w:hint="eastAsia" w:ascii="宋体" w:hAnsi="宋体" w:eastAsia="宋体" w:cs="宋体"/>
          <w:b/>
          <w:sz w:val="28"/>
          <w:szCs w:val="28"/>
          <w:highlight w:val="none"/>
        </w:rPr>
      </w:pPr>
    </w:p>
    <w:p w14:paraId="1247D8D7">
      <w:pPr>
        <w:rPr>
          <w:rFonts w:hint="eastAsia" w:ascii="宋体" w:hAnsi="宋体" w:eastAsia="宋体" w:cs="宋体"/>
          <w:b/>
          <w:sz w:val="28"/>
          <w:szCs w:val="28"/>
          <w:highlight w:val="none"/>
        </w:rPr>
      </w:pPr>
    </w:p>
    <w:p w14:paraId="0F4D19C8">
      <w:pPr>
        <w:rPr>
          <w:rFonts w:hint="eastAsia" w:ascii="宋体" w:hAnsi="宋体" w:eastAsia="宋体" w:cs="宋体"/>
          <w:b/>
          <w:sz w:val="28"/>
          <w:szCs w:val="28"/>
          <w:highlight w:val="none"/>
        </w:rPr>
      </w:pPr>
    </w:p>
    <w:p w14:paraId="091195E5">
      <w:pPr>
        <w:rPr>
          <w:rFonts w:hint="eastAsia" w:ascii="宋体" w:hAnsi="宋体" w:eastAsia="宋体" w:cs="宋体"/>
          <w:b/>
          <w:sz w:val="28"/>
          <w:szCs w:val="28"/>
          <w:highlight w:val="none"/>
        </w:rPr>
      </w:pPr>
    </w:p>
    <w:p w14:paraId="521D1160">
      <w:pPr>
        <w:spacing w:line="400" w:lineRule="exact"/>
        <w:rPr>
          <w:rFonts w:hint="eastAsia" w:ascii="宋体" w:hAnsi="宋体" w:eastAsia="宋体" w:cs="宋体"/>
          <w:b/>
          <w:bCs/>
          <w:sz w:val="32"/>
          <w:highlight w:val="none"/>
        </w:rPr>
      </w:pPr>
      <w:r>
        <w:rPr>
          <w:rFonts w:hint="eastAsia" w:ascii="宋体" w:hAnsi="宋体" w:eastAsia="宋体" w:cs="宋体"/>
          <w:b/>
          <w:bCs/>
          <w:sz w:val="32"/>
          <w:highlight w:val="none"/>
        </w:rPr>
        <w:t xml:space="preserve">            </w:t>
      </w:r>
    </w:p>
    <w:p w14:paraId="6EFAA1E8">
      <w:pPr>
        <w:pStyle w:val="7"/>
        <w:shd w:val="clear" w:color="auto" w:fill="auto"/>
        <w:jc w:val="center"/>
        <w:rPr>
          <w:rFonts w:hint="eastAsia" w:ascii="宋体" w:hAnsi="宋体" w:eastAsia="宋体" w:cs="宋体"/>
          <w:color w:val="auto"/>
          <w:highlight w:val="none"/>
        </w:rPr>
      </w:pPr>
      <w:bookmarkStart w:id="322" w:name="_Toc23573"/>
      <w:bookmarkStart w:id="323" w:name="_Toc29473"/>
      <w:r>
        <w:rPr>
          <w:rFonts w:hint="eastAsia" w:ascii="宋体" w:hAnsi="宋体" w:eastAsia="宋体" w:cs="宋体"/>
          <w:color w:val="auto"/>
          <w:sz w:val="28"/>
          <w:szCs w:val="28"/>
          <w:highlight w:val="none"/>
        </w:rPr>
        <w:t>中小企业划分标准</w:t>
      </w:r>
      <w:bookmarkEnd w:id="322"/>
      <w:bookmarkEnd w:id="323"/>
    </w:p>
    <w:p w14:paraId="33467CE1">
      <w:pPr>
        <w:shd w:val="clear" w:color="auto" w:fill="auto"/>
        <w:ind w:firstLine="480" w:firstLineChars="200"/>
        <w:rPr>
          <w:rFonts w:hint="eastAsia" w:ascii="宋体" w:hAnsi="宋体" w:eastAsia="宋体" w:cs="宋体"/>
          <w:color w:val="auto"/>
          <w:sz w:val="24"/>
          <w:highlight w:val="none"/>
        </w:rPr>
      </w:pPr>
      <w:bookmarkStart w:id="324" w:name="bookmark4"/>
      <w:bookmarkStart w:id="325" w:name="bookmark5"/>
      <w:r>
        <w:rPr>
          <w:rFonts w:hint="eastAsia" w:ascii="宋体" w:hAnsi="宋体" w:eastAsia="宋体" w:cs="宋体"/>
          <w:color w:val="auto"/>
          <w:sz w:val="24"/>
          <w:highlight w:val="none"/>
        </w:rPr>
        <w:t>工业和信息化部、国家统计局、发展改革委、财政部等四部门《关于印发中小企业划型标准规定的通知》（工信部联企业〔2011〕300号）规定中小企业划型标准如表所示：</w:t>
      </w:r>
      <w:bookmarkEnd w:id="324"/>
      <w:bookmarkEnd w:id="325"/>
    </w:p>
    <w:tbl>
      <w:tblPr>
        <w:tblStyle w:val="7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729"/>
        <w:gridCol w:w="1049"/>
        <w:gridCol w:w="6990"/>
      </w:tblGrid>
      <w:tr w14:paraId="523B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4F3015CA">
            <w:pPr>
              <w:pStyle w:val="184"/>
              <w:shd w:val="clear" w:color="auto" w:fill="auto"/>
              <w:spacing w:line="240" w:lineRule="auto"/>
              <w:ind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农、林、牧、渔业</w:t>
            </w:r>
          </w:p>
        </w:tc>
        <w:tc>
          <w:tcPr>
            <w:tcW w:w="4114" w:type="pct"/>
            <w:gridSpan w:val="2"/>
            <w:shd w:val="clear" w:color="auto" w:fill="FFFFFF"/>
            <w:noWrap w:val="0"/>
            <w:vAlign w:val="center"/>
          </w:tcPr>
          <w:p w14:paraId="32B2F3B3">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营业收入20000万元以下的为中小微型企业。</w:t>
            </w:r>
          </w:p>
        </w:tc>
      </w:tr>
      <w:tr w14:paraId="6BB9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7E30CB97">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786F910B">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0813EC9A">
            <w:pPr>
              <w:pStyle w:val="184"/>
              <w:shd w:val="clear" w:color="auto" w:fill="auto"/>
              <w:tabs>
                <w:tab w:val="left" w:pos="1930"/>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500万元</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20 000万元</w:t>
            </w:r>
          </w:p>
        </w:tc>
      </w:tr>
      <w:tr w14:paraId="40CE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6BCBE6C">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189588B3">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3687B402">
            <w:pPr>
              <w:pStyle w:val="184"/>
              <w:shd w:val="clear" w:color="auto" w:fill="auto"/>
              <w:tabs>
                <w:tab w:val="left" w:pos="1752"/>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50万元</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500万元</w:t>
            </w:r>
          </w:p>
        </w:tc>
      </w:tr>
      <w:tr w14:paraId="61AF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C38D55C">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250F7033">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461B5B48">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50万元以下</w:t>
            </w:r>
          </w:p>
        </w:tc>
      </w:tr>
      <w:tr w14:paraId="405B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3BEE2196">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p w14:paraId="61D90FBA">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（包括采矿业，制造业，电力、热力、燃气及水生产和供应</w:t>
            </w:r>
          </w:p>
          <w:p w14:paraId="3FD5ABB4">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w:t>
            </w:r>
          </w:p>
        </w:tc>
        <w:tc>
          <w:tcPr>
            <w:tcW w:w="4114" w:type="pct"/>
            <w:gridSpan w:val="2"/>
            <w:shd w:val="clear" w:color="auto" w:fill="FFFFFF"/>
            <w:noWrap w:val="0"/>
            <w:vAlign w:val="center"/>
          </w:tcPr>
          <w:p w14:paraId="2BF2E461">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40000万元以下的为中小微型企业。</w:t>
            </w:r>
          </w:p>
        </w:tc>
      </w:tr>
      <w:tr w14:paraId="237A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5723227">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B4385CB">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13A01169">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2 000万元一40 000万元</w:t>
            </w:r>
          </w:p>
        </w:tc>
      </w:tr>
      <w:tr w14:paraId="0D42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758CD6F9">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1842C29">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1DDE7EC7">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 300万元一2 000万元</w:t>
            </w:r>
          </w:p>
        </w:tc>
      </w:tr>
      <w:tr w14:paraId="28DD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C818E69">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21A3DF14">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3CF76056">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300万元以下</w:t>
            </w:r>
          </w:p>
        </w:tc>
      </w:tr>
      <w:tr w14:paraId="407C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49528EB6">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建筑业</w:t>
            </w:r>
          </w:p>
        </w:tc>
        <w:tc>
          <w:tcPr>
            <w:tcW w:w="4114" w:type="pct"/>
            <w:gridSpan w:val="2"/>
            <w:shd w:val="clear" w:color="auto" w:fill="FFFFFF"/>
            <w:noWrap w:val="0"/>
            <w:vAlign w:val="center"/>
          </w:tcPr>
          <w:p w14:paraId="0C8A1BF7">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营业收入80000万元以下或资产总额 80000万元以下的为中小微型企业。</w:t>
            </w:r>
          </w:p>
        </w:tc>
      </w:tr>
      <w:tr w14:paraId="5CB4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6428C709">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29B42897">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6A6FDFDD">
            <w:pPr>
              <w:pStyle w:val="184"/>
              <w:shd w:val="clear" w:color="auto" w:fill="auto"/>
              <w:spacing w:line="240" w:lineRule="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营业收入6000万元一80000万元，且资产总额 5 000万元一80 000 万元</w:t>
            </w:r>
          </w:p>
        </w:tc>
      </w:tr>
      <w:tr w14:paraId="4E5F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F059A47">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0B8C0ABB">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46AF935B">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 300万元一6 000万元，且资产总额 300万一5 000万元</w:t>
            </w:r>
          </w:p>
        </w:tc>
      </w:tr>
      <w:tr w14:paraId="4C18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760C13C1">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0B6BB8DA">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01A4C4D3">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营业收入300万元以下或资产总额 300万元以下</w:t>
            </w:r>
          </w:p>
        </w:tc>
      </w:tr>
      <w:tr w14:paraId="6DED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4A4AC287">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批发业</w:t>
            </w:r>
          </w:p>
        </w:tc>
        <w:tc>
          <w:tcPr>
            <w:tcW w:w="4114" w:type="pct"/>
            <w:gridSpan w:val="2"/>
            <w:shd w:val="clear" w:color="auto" w:fill="FFFFFF"/>
            <w:noWrap w:val="0"/>
            <w:vAlign w:val="center"/>
          </w:tcPr>
          <w:p w14:paraId="02D44DE5">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 40 000万元以下的为中小微型企业。</w:t>
            </w:r>
          </w:p>
        </w:tc>
      </w:tr>
      <w:tr w14:paraId="6F84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669ECFE">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7194CE8A">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149C330A">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从业人员20人一200人，且营业收入 5 000万元一40 000万元</w:t>
            </w:r>
          </w:p>
        </w:tc>
      </w:tr>
      <w:tr w14:paraId="7D9C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EA06177">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062387A9">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408DBF30">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从业人员5人一20人，且营业收入 1 000万元一5 000万元</w:t>
            </w:r>
          </w:p>
        </w:tc>
      </w:tr>
      <w:tr w14:paraId="02BD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B1C42C0">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752B5B88">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3F21D128">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从业人员5人以下或营业收入 1 000万元以下</w:t>
            </w:r>
          </w:p>
        </w:tc>
      </w:tr>
      <w:tr w14:paraId="5BA6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289069A8">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零售业</w:t>
            </w:r>
          </w:p>
        </w:tc>
        <w:tc>
          <w:tcPr>
            <w:tcW w:w="4114" w:type="pct"/>
            <w:gridSpan w:val="2"/>
            <w:shd w:val="clear" w:color="auto" w:fill="FFFFFF"/>
            <w:noWrap w:val="0"/>
            <w:vAlign w:val="center"/>
          </w:tcPr>
          <w:p w14:paraId="76FC4992">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20 000万元以下的为中小微型企业。</w:t>
            </w:r>
          </w:p>
        </w:tc>
      </w:tr>
      <w:tr w14:paraId="4650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142BBB3">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17AF21D1">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04254A5A">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50人一300人，且营业收入 500万元一20 000万元</w:t>
            </w:r>
          </w:p>
        </w:tc>
      </w:tr>
      <w:tr w14:paraId="085F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6B9ABF1">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687FE105">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7B5F929A">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从业人员10人一50人，且营业收入 100万元一500万元</w:t>
            </w:r>
          </w:p>
        </w:tc>
      </w:tr>
      <w:tr w14:paraId="14AA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2339282">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27E64234">
            <w:pPr>
              <w:pStyle w:val="184"/>
              <w:shd w:val="clear" w:color="auto" w:fill="auto"/>
              <w:spacing w:before="8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2B0ACD7B">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2F42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5C1A7BF7">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交通运输业 （不含铁路运输业）</w:t>
            </w:r>
          </w:p>
        </w:tc>
        <w:tc>
          <w:tcPr>
            <w:tcW w:w="4114" w:type="pct"/>
            <w:gridSpan w:val="2"/>
            <w:shd w:val="clear" w:color="auto" w:fill="FFFFFF"/>
            <w:noWrap w:val="0"/>
            <w:vAlign w:val="center"/>
          </w:tcPr>
          <w:p w14:paraId="16231FEE">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30 000万元以下的为中小微型企业。</w:t>
            </w:r>
          </w:p>
        </w:tc>
      </w:tr>
      <w:tr w14:paraId="7D86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05EB2E0">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671A33AD">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3054AC72">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3 000万元一30 000万元</w:t>
            </w:r>
          </w:p>
        </w:tc>
      </w:tr>
      <w:tr w14:paraId="2189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07D6061">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379645C4">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0D57D55B">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 200万元一3 000万元</w:t>
            </w:r>
          </w:p>
        </w:tc>
      </w:tr>
      <w:tr w14:paraId="5CCB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9E30872">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7CDEFCDA">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1331D95F">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200万元以下</w:t>
            </w:r>
          </w:p>
        </w:tc>
      </w:tr>
      <w:tr w14:paraId="0680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2372219C">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仓储业</w:t>
            </w:r>
          </w:p>
        </w:tc>
        <w:tc>
          <w:tcPr>
            <w:tcW w:w="4114" w:type="pct"/>
            <w:gridSpan w:val="2"/>
            <w:shd w:val="clear" w:color="auto" w:fill="FFFFFF"/>
            <w:noWrap w:val="0"/>
            <w:vAlign w:val="center"/>
          </w:tcPr>
          <w:p w14:paraId="55DC1F49">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 30 000万元以下的为中小微型企业。</w:t>
            </w:r>
          </w:p>
        </w:tc>
      </w:tr>
      <w:tr w14:paraId="733F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26958F9">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F708B12">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4A7FA9F4">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从业人员100人一200人，且营业收入 1 000万元一30 000万元</w:t>
            </w:r>
          </w:p>
        </w:tc>
      </w:tr>
      <w:tr w14:paraId="4CBC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FD16A37">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542C882C">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54981E38">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从业人员20人一100人，且营业收入 100万元一1 000万元</w:t>
            </w:r>
          </w:p>
        </w:tc>
      </w:tr>
      <w:tr w14:paraId="59CA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37F4428">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588EC2C2">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74CF6B48">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100万元以下</w:t>
            </w:r>
          </w:p>
        </w:tc>
      </w:tr>
      <w:tr w14:paraId="4C3B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03A9B04C">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邮政业</w:t>
            </w:r>
          </w:p>
        </w:tc>
        <w:tc>
          <w:tcPr>
            <w:tcW w:w="4114" w:type="pct"/>
            <w:gridSpan w:val="2"/>
            <w:shd w:val="clear" w:color="auto" w:fill="FFFFFF"/>
            <w:noWrap w:val="0"/>
            <w:vAlign w:val="center"/>
          </w:tcPr>
          <w:p w14:paraId="4E9DC74F">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30 000万元以下的为中小微型企业。</w:t>
            </w:r>
          </w:p>
        </w:tc>
      </w:tr>
      <w:tr w14:paraId="392B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BD834F7">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550112D6">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69860AB0">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2 000万元一30 000万元</w:t>
            </w:r>
          </w:p>
        </w:tc>
      </w:tr>
      <w:tr w14:paraId="571B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4BBCD44">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61DF6CD6">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74F4C0FE">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 100万元一2 000万元</w:t>
            </w:r>
          </w:p>
        </w:tc>
      </w:tr>
      <w:tr w14:paraId="2B71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F7209A1">
            <w:pPr>
              <w:shd w:val="clear" w:color="auto" w:fill="auto"/>
              <w:spacing w:line="240" w:lineRule="auto"/>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608D3555">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1C24BA36">
            <w:pPr>
              <w:pStyle w:val="184"/>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 100万元以下</w:t>
            </w:r>
          </w:p>
        </w:tc>
      </w:tr>
    </w:tbl>
    <w:p w14:paraId="43C3AFCB">
      <w:pPr>
        <w:shd w:val="clear" w:color="auto" w:fill="auto"/>
        <w:spacing w:line="1" w:lineRule="exact"/>
        <w:jc w:val="center"/>
        <w:rPr>
          <w:rFonts w:hint="eastAsia" w:ascii="宋体" w:hAnsi="宋体" w:eastAsia="宋体" w:cs="宋体"/>
          <w:color w:val="auto"/>
          <w:sz w:val="18"/>
          <w:szCs w:val="18"/>
          <w:highlight w:val="none"/>
        </w:rPr>
      </w:pP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93"/>
        <w:gridCol w:w="769"/>
        <w:gridCol w:w="7308"/>
      </w:tblGrid>
      <w:tr w14:paraId="4D2089B8">
        <w:tblPrEx>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11D5EC58">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住宿业</w:t>
            </w:r>
          </w:p>
        </w:tc>
        <w:tc>
          <w:tcPr>
            <w:tcW w:w="0" w:type="auto"/>
            <w:gridSpan w:val="2"/>
            <w:shd w:val="clear" w:color="auto" w:fill="FFFFFF"/>
            <w:noWrap w:val="0"/>
            <w:vAlign w:val="center"/>
          </w:tcPr>
          <w:p w14:paraId="7A1C5495">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10000万元以下的为中小微型企业。</w:t>
            </w:r>
          </w:p>
        </w:tc>
      </w:tr>
      <w:tr w14:paraId="474B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6A63216D">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6035916F">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089BE46C">
            <w:pPr>
              <w:pStyle w:val="184"/>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从业人员100人一300人，且营业收入 2 000万元一10 000万元</w:t>
            </w:r>
          </w:p>
        </w:tc>
      </w:tr>
      <w:tr w14:paraId="0657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4F1B2601">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40135E53">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71545050">
            <w:pPr>
              <w:pStyle w:val="184"/>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100万元一2 000万元</w:t>
            </w:r>
          </w:p>
        </w:tc>
      </w:tr>
      <w:tr w14:paraId="4B24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564DB15">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1FCDEDD3">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57E14141">
            <w:pPr>
              <w:pStyle w:val="184"/>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2BE4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341ACA74">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餐饮业</w:t>
            </w:r>
          </w:p>
        </w:tc>
        <w:tc>
          <w:tcPr>
            <w:tcW w:w="0" w:type="auto"/>
            <w:gridSpan w:val="2"/>
            <w:shd w:val="clear" w:color="auto" w:fill="FFFFFF"/>
            <w:noWrap w:val="0"/>
            <w:vAlign w:val="center"/>
          </w:tcPr>
          <w:p w14:paraId="0F0E15B1">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10 000万元以下的为中小微型企业。</w:t>
            </w:r>
          </w:p>
        </w:tc>
      </w:tr>
      <w:tr w14:paraId="638D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084325E">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5EF80B69">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76DB4529">
            <w:pPr>
              <w:pStyle w:val="184"/>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 300人，且营业收入 2 000万元一10 000万元</w:t>
            </w:r>
          </w:p>
        </w:tc>
      </w:tr>
      <w:tr w14:paraId="7BCF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69EB9A65">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43C61439">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136951EA">
            <w:pPr>
              <w:pStyle w:val="184"/>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100万元一2 000万元</w:t>
            </w:r>
          </w:p>
        </w:tc>
      </w:tr>
      <w:tr w14:paraId="54A3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30E798C9">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496A1B05">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1C4CBC0C">
            <w:pPr>
              <w:pStyle w:val="184"/>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28E4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5DAF30DD">
            <w:pPr>
              <w:pStyle w:val="184"/>
              <w:shd w:val="clear" w:color="auto" w:fill="auto"/>
              <w:spacing w:line="492"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信息传输业 （包括电信、互联网 和相关服务）</w:t>
            </w:r>
          </w:p>
        </w:tc>
        <w:tc>
          <w:tcPr>
            <w:tcW w:w="0" w:type="auto"/>
            <w:gridSpan w:val="2"/>
            <w:shd w:val="clear" w:color="auto" w:fill="FFFFFF"/>
            <w:noWrap w:val="0"/>
            <w:vAlign w:val="center"/>
          </w:tcPr>
          <w:p w14:paraId="6EC9CD38">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从业人员2 000人以下或营业收入 100 000万元以下的为中小微型企业。</w:t>
            </w:r>
          </w:p>
        </w:tc>
      </w:tr>
      <w:tr w14:paraId="2D92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3B9C603">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BE58135">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1F26E4CB">
            <w:pPr>
              <w:pStyle w:val="184"/>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从业人员100人一2 000人，且营业收入 1 000万元一10 000万元</w:t>
            </w:r>
          </w:p>
        </w:tc>
      </w:tr>
      <w:tr w14:paraId="1DC1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46769002">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3F2B0CF3">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52028736">
            <w:pPr>
              <w:pStyle w:val="184"/>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100万元一1 000万元</w:t>
            </w:r>
          </w:p>
        </w:tc>
      </w:tr>
      <w:tr w14:paraId="4E9D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085FFD5D">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F35ED17">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27F26353">
            <w:pPr>
              <w:pStyle w:val="184"/>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100万元以下</w:t>
            </w:r>
          </w:p>
        </w:tc>
      </w:tr>
      <w:tr w14:paraId="0BDE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4C9B4694">
            <w:pPr>
              <w:pStyle w:val="184"/>
              <w:shd w:val="clear" w:color="auto" w:fill="auto"/>
              <w:spacing w:line="509"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0" w:type="auto"/>
            <w:gridSpan w:val="2"/>
            <w:shd w:val="clear" w:color="auto" w:fill="FFFFFF"/>
            <w:noWrap w:val="0"/>
            <w:vAlign w:val="center"/>
          </w:tcPr>
          <w:p w14:paraId="593EB485">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 10000万元以下的为中小微型企业。</w:t>
            </w:r>
          </w:p>
        </w:tc>
      </w:tr>
      <w:tr w14:paraId="247A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3065AF33">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20172620">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7C69CA97">
            <w:pPr>
              <w:pStyle w:val="184"/>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 300人，且营业收入 1 000万元一10 000万元</w:t>
            </w:r>
          </w:p>
        </w:tc>
      </w:tr>
      <w:tr w14:paraId="2C67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800F1E3">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2ED93D56">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28091EB1">
            <w:pPr>
              <w:pStyle w:val="184"/>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 50万元一1 000万元</w:t>
            </w:r>
          </w:p>
        </w:tc>
      </w:tr>
      <w:tr w14:paraId="54A2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F6557C5">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6968ADAF">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217FE022">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 50万元以下</w:t>
            </w:r>
          </w:p>
        </w:tc>
      </w:tr>
      <w:tr w14:paraId="56D4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2F1D1A7C">
            <w:pPr>
              <w:pStyle w:val="184"/>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房地产开发经营</w:t>
            </w:r>
          </w:p>
        </w:tc>
        <w:tc>
          <w:tcPr>
            <w:tcW w:w="0" w:type="auto"/>
            <w:gridSpan w:val="2"/>
            <w:shd w:val="clear" w:color="auto" w:fill="FFFFFF"/>
            <w:noWrap w:val="0"/>
            <w:vAlign w:val="center"/>
          </w:tcPr>
          <w:p w14:paraId="46431026">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营业收入200 000万元以下或资产总额 10 000万元以下的为中小微型企业。</w:t>
            </w:r>
          </w:p>
        </w:tc>
      </w:tr>
      <w:tr w14:paraId="2CE8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B1A302F">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6FB5C72B">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2FBBD8D7">
            <w:pPr>
              <w:pStyle w:val="184"/>
              <w:shd w:val="clear" w:color="auto" w:fill="auto"/>
              <w:spacing w:after="120"/>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营业收入1 000万元一200 000万元，且资产总额 5 000万元一10000万元</w:t>
            </w:r>
          </w:p>
        </w:tc>
      </w:tr>
      <w:tr w14:paraId="0CED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4654F57A">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1518EECF">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5788872E">
            <w:pPr>
              <w:pStyle w:val="184"/>
              <w:shd w:val="clear" w:color="auto" w:fill="auto"/>
              <w:spacing w:line="240" w:lineRule="auto"/>
              <w:ind w:left="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营业收入100万元一1 000万元，且资产总额 2 000万元一5 000 万元</w:t>
            </w:r>
          </w:p>
        </w:tc>
      </w:tr>
      <w:tr w14:paraId="10AB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D7F58A1">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51AB3FC0">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37137ADA">
            <w:pPr>
              <w:pStyle w:val="184"/>
              <w:shd w:val="clear" w:color="auto" w:fill="auto"/>
              <w:tabs>
                <w:tab w:val="left" w:pos="5256"/>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营业收入100万元以下或资产总额2 000万元以下的为微型企业</w:t>
            </w:r>
          </w:p>
        </w:tc>
      </w:tr>
      <w:tr w14:paraId="02B1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2C90AEF4">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物业管理</w:t>
            </w:r>
          </w:p>
        </w:tc>
        <w:tc>
          <w:tcPr>
            <w:tcW w:w="0" w:type="auto"/>
            <w:gridSpan w:val="2"/>
            <w:shd w:val="clear" w:color="auto" w:fill="FFFFFF"/>
            <w:noWrap w:val="0"/>
            <w:vAlign w:val="center"/>
          </w:tcPr>
          <w:p w14:paraId="45182D59">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从业人员1 000人以下或营业收入 5 000万元以下的为中小微型企业。</w:t>
            </w:r>
          </w:p>
        </w:tc>
      </w:tr>
      <w:tr w14:paraId="36B5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2CD99E6D">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34CF0BA8">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3D6CEB8B">
            <w:pPr>
              <w:pStyle w:val="184"/>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 300人一1 000人，且营业收入 1000万元一5 000万元</w:t>
            </w:r>
          </w:p>
        </w:tc>
      </w:tr>
      <w:tr w14:paraId="4374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ED762C5">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0BF82AD">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64A559B8">
            <w:pPr>
              <w:pStyle w:val="184"/>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从业人员100人一300人，且营业收入 500万元一1 000万元</w:t>
            </w:r>
          </w:p>
        </w:tc>
      </w:tr>
      <w:tr w14:paraId="0251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3CF76F2C">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2DDDE50">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2920AF89">
            <w:pPr>
              <w:pStyle w:val="184"/>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从业人员100人以下或营业收入 500万元以下</w:t>
            </w:r>
          </w:p>
        </w:tc>
      </w:tr>
      <w:tr w14:paraId="1D30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79ACF140">
            <w:pPr>
              <w:pStyle w:val="184"/>
              <w:shd w:val="clear" w:color="auto" w:fill="auto"/>
              <w:ind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租赁和商务服务业</w:t>
            </w:r>
          </w:p>
        </w:tc>
        <w:tc>
          <w:tcPr>
            <w:tcW w:w="0" w:type="auto"/>
            <w:gridSpan w:val="2"/>
            <w:shd w:val="clear" w:color="auto" w:fill="FFFFFF"/>
            <w:noWrap w:val="0"/>
            <w:vAlign w:val="center"/>
          </w:tcPr>
          <w:p w14:paraId="3D33A312">
            <w:pPr>
              <w:pStyle w:val="184"/>
              <w:shd w:val="clear" w:color="auto" w:fill="auto"/>
              <w:tabs>
                <w:tab w:val="left" w:pos="10666"/>
              </w:tabs>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rPr>
              <w:t>人以下或资产总额 100万元以下的为微型企业。</w:t>
            </w:r>
          </w:p>
        </w:tc>
      </w:tr>
      <w:tr w14:paraId="4B84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AF4FC33">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20E2F9D3">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35223936">
            <w:pPr>
              <w:pStyle w:val="184"/>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从业人员100人一300人，且资产总额 8 000万元一120 000万元</w:t>
            </w:r>
          </w:p>
        </w:tc>
      </w:tr>
      <w:tr w14:paraId="1C78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C14713C">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4D98902">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711A4FBB">
            <w:pPr>
              <w:pStyle w:val="184"/>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从业人员10人一100人，且资产总额 100万元一8 000万元</w:t>
            </w:r>
          </w:p>
        </w:tc>
      </w:tr>
      <w:tr w14:paraId="5034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66FBC6F2">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210BC51">
            <w:pPr>
              <w:pStyle w:val="184"/>
              <w:shd w:val="clear" w:color="auto" w:fill="auto"/>
              <w:spacing w:before="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29D2F2F2">
            <w:pPr>
              <w:pStyle w:val="184"/>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从业人员10人以下或资产总额 100万元以下</w:t>
            </w:r>
          </w:p>
        </w:tc>
      </w:tr>
      <w:tr w14:paraId="1744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358AC110">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其他未列明行业</w:t>
            </w:r>
          </w:p>
        </w:tc>
        <w:tc>
          <w:tcPr>
            <w:tcW w:w="0" w:type="auto"/>
            <w:gridSpan w:val="2"/>
            <w:shd w:val="clear" w:color="auto" w:fill="FFFFFF"/>
            <w:noWrap w:val="0"/>
            <w:vAlign w:val="center"/>
          </w:tcPr>
          <w:p w14:paraId="6A1A20E3">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从业人员300人以下的为中小微型企业。</w:t>
            </w:r>
          </w:p>
        </w:tc>
      </w:tr>
      <w:tr w14:paraId="2CFC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4CFC67D0">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3A19F5DC">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0CC0AF81">
            <w:pPr>
              <w:pStyle w:val="184"/>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 300人</w:t>
            </w:r>
          </w:p>
        </w:tc>
      </w:tr>
      <w:tr w14:paraId="1002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203D6619">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75462DB">
            <w:pPr>
              <w:pStyle w:val="184"/>
              <w:shd w:val="clear" w:color="auto" w:fill="auto"/>
              <w:spacing w:before="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5C7AB06F">
            <w:pPr>
              <w:pStyle w:val="184"/>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w:t>
            </w:r>
          </w:p>
        </w:tc>
      </w:tr>
      <w:tr w14:paraId="5D70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6B793A2">
            <w:pPr>
              <w:shd w:val="clear" w:color="auto" w:fill="auto"/>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5BE23FC">
            <w:pPr>
              <w:pStyle w:val="184"/>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235396D6">
            <w:pPr>
              <w:pStyle w:val="184"/>
              <w:shd w:val="clear" w:color="auto" w:fill="auto"/>
              <w:ind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w:t>
            </w:r>
          </w:p>
        </w:tc>
      </w:tr>
    </w:tbl>
    <w:p w14:paraId="4D801802">
      <w:pPr>
        <w:shd w:val="clear" w:color="auto" w:fill="auto"/>
        <w:spacing w:line="240" w:lineRule="atLeast"/>
        <w:rPr>
          <w:rFonts w:hint="eastAsia" w:ascii="宋体" w:hAnsi="宋体" w:eastAsia="宋体" w:cs="宋体"/>
          <w:color w:val="auto"/>
          <w:sz w:val="24"/>
          <w:highlight w:val="none"/>
        </w:rPr>
        <w:sectPr>
          <w:headerReference r:id="rId21" w:type="default"/>
          <w:headerReference r:id="rId22" w:type="even"/>
          <w:footerReference r:id="rId23" w:type="even"/>
          <w:type w:val="continuous"/>
          <w:pgSz w:w="11905" w:h="16838"/>
          <w:pgMar w:top="1304" w:right="964" w:bottom="1020" w:left="1191" w:header="567" w:footer="454" w:gutter="0"/>
          <w:cols w:space="720" w:num="1"/>
          <w:rtlGutter w:val="0"/>
          <w:docGrid w:type="lines" w:linePitch="317" w:charSpace="0"/>
        </w:sectPr>
      </w:pPr>
    </w:p>
    <w:p w14:paraId="1FBD0538">
      <w:pPr>
        <w:pStyle w:val="95"/>
        <w:rPr>
          <w:rFonts w:hint="eastAsia" w:ascii="宋体" w:hAnsi="宋体" w:eastAsia="宋体" w:cs="宋体"/>
          <w:color w:val="000000"/>
          <w:highlight w:val="none"/>
          <w:lang w:val="en-US" w:eastAsia="zh-CN"/>
        </w:rPr>
      </w:pPr>
    </w:p>
    <w:sectPr>
      <w:headerReference r:id="rId24" w:type="default"/>
      <w:footerReference r:id="rId25" w:type="default"/>
      <w:type w:val="continuous"/>
      <w:pgSz w:w="11905" w:h="16838"/>
      <w:pgMar w:top="1304" w:right="964" w:bottom="1020" w:left="1191" w:header="567" w:footer="454" w:gutter="0"/>
      <w:pgNumType w:fmt="decimal"/>
      <w:cols w:space="72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105"/>
      </w:pPr>
      <w:r>
        <w:separator/>
      </w:r>
    </w:p>
  </w:endnote>
  <w:endnote w:type="continuationSeparator" w:id="1">
    <w:p>
      <w:pPr>
        <w:spacing w:line="240" w:lineRule="auto"/>
        <w:ind w:hanging="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auto"/>
    <w:pitch w:val="default"/>
    <w:sig w:usb0="00000000" w:usb1="00000000" w:usb2="00000009" w:usb3="00000000" w:csb0="000001FF" w:csb1="00000000"/>
  </w:font>
  <w:font w:name="TKTypeRegular">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0FDBC">
    <w:pPr>
      <w:pStyle w:val="55"/>
      <w:ind w:right="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D0970">
    <w:pPr>
      <w:spacing w:line="123"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BD84BC">
                          <w:pPr>
                            <w:pStyle w:val="5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14:paraId="63BD84BC">
                    <w:pPr>
                      <w:pStyle w:val="5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5FCB5">
    <w:pPr>
      <w:pStyle w:val="5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509A5E">
                          <w:pPr>
                            <w:pStyle w:val="5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1D509A5E">
                    <w:pPr>
                      <w:pStyle w:val="5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A29FE">
    <w:pPr>
      <w:pStyle w:val="55"/>
      <w:ind w:left="90" w:right="360" w:hanging="9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11227C">
                          <w:pPr>
                            <w:pStyle w:val="55"/>
                            <w:ind w:left="90" w:right="360" w:hanging="90"/>
                            <w:jc w:val="center"/>
                          </w:pPr>
                          <w:r>
                            <w:rPr>
                              <w:rFonts w:ascii="宋体" w:hAnsi="宋体"/>
                              <w:szCs w:val="21"/>
                            </w:rPr>
                            <w:t xml:space="preserve">-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47</w:t>
                          </w:r>
                          <w:r>
                            <w:rPr>
                              <w:rFonts w:ascii="宋体" w:hAnsi="宋体"/>
                              <w:szCs w:val="21"/>
                            </w:rPr>
                            <w:fldChar w:fldCharType="end"/>
                          </w:r>
                          <w:r>
                            <w:rPr>
                              <w:rFonts w:ascii="宋体" w:hAnsi="宋体"/>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4411227C">
                    <w:pPr>
                      <w:pStyle w:val="55"/>
                      <w:ind w:left="90" w:right="360" w:hanging="90"/>
                      <w:jc w:val="center"/>
                    </w:pPr>
                    <w:r>
                      <w:rPr>
                        <w:rFonts w:ascii="宋体" w:hAnsi="宋体"/>
                        <w:szCs w:val="21"/>
                      </w:rPr>
                      <w:t xml:space="preserve">-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47</w:t>
                    </w:r>
                    <w:r>
                      <w:rPr>
                        <w:rFonts w:ascii="宋体" w:hAnsi="宋体"/>
                        <w:szCs w:val="21"/>
                      </w:rPr>
                      <w:fldChar w:fldCharType="end"/>
                    </w:r>
                    <w:r>
                      <w:rPr>
                        <w:rFonts w:ascii="宋体" w:hAnsi="宋体"/>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4A827">
    <w:pPr>
      <w:spacing w:line="1" w:lineRule="atLeast"/>
      <w:ind w:left="105" w:hanging="10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B3957">
    <w:pPr>
      <w:pStyle w:val="55"/>
      <w:ind w:left="90" w:hanging="9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D016D">
    <w:pPr>
      <w:pStyle w:val="5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61F956">
                          <w:pPr>
                            <w:pStyle w:val="5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18iOIBAADMAwAADgAAAGRycy9lMm9Eb2MueG1srVPNjtMwEL4j8Q6W&#10;7zTZaoW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xm18iOIBAADMAwAADgAA&#10;AAAAAAABACAAAAAeAQAAZHJzL2Uyb0RvYy54bWxQSwUGAAAAAAYABgBZAQAAcgUAAAAA&#10;">
              <v:fill on="f" focussize="0,0"/>
              <v:stroke on="f"/>
              <v:imagedata o:title=""/>
              <o:lock v:ext="edit" aspectratio="f"/>
              <v:textbox inset="0mm,0mm,0mm,0mm" style="mso-fit-shape-to-text:t;">
                <w:txbxContent>
                  <w:p w14:paraId="1861F956">
                    <w:pPr>
                      <w:pStyle w:val="55"/>
                    </w:pPr>
                    <w:r>
                      <w:fldChar w:fldCharType="begin"/>
                    </w:r>
                    <w:r>
                      <w:instrText xml:space="preserve"> PAGE  \* MERGEFORMAT </w:instrText>
                    </w:r>
                    <w:r>
                      <w:fldChar w:fldCharType="separate"/>
                    </w:r>
                    <w:r>
                      <w:t>1</w:t>
                    </w:r>
                    <w:r>
                      <w:fldChar w:fldCharType="end"/>
                    </w:r>
                  </w:p>
                </w:txbxContent>
              </v:textbox>
            </v:shape>
          </w:pict>
        </mc:Fallback>
      </mc:AlternateContent>
    </w:r>
  </w:p>
  <w:p w14:paraId="6F3DACF9">
    <w:pPr>
      <w:spacing w:line="188" w:lineRule="auto"/>
      <w:ind w:left="4084"/>
      <w:rPr>
        <w:rFonts w:ascii="Calibri" w:hAnsi="Calibri" w:eastAsia="Calibri" w:cs="Calibri"/>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252BA">
    <w:pPr>
      <w:spacing w:line="188" w:lineRule="auto"/>
      <w:ind w:left="4084"/>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865661">
                          <w:pPr>
                            <w:pStyle w:val="5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14:paraId="04865661">
                    <w:pPr>
                      <w:pStyle w:val="55"/>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Calibri" w:cs="Calibri"/>
        <w:spacing w:val="-1"/>
        <w:sz w:val="17"/>
        <w:szCs w:val="17"/>
      </w:rPr>
      <w:t>2</w:t>
    </w:r>
    <w:r>
      <w:rPr>
        <w:rFonts w:ascii="Calibri" w:hAnsi="Calibri" w:eastAsia="Calibri" w:cs="Calibri"/>
        <w:sz w:val="17"/>
        <w:szCs w:val="17"/>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BA5C5">
    <w:pPr>
      <w:pStyle w:val="5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E75740">
                          <w:pPr>
                            <w:pStyle w:val="55"/>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2owIX+IBAADOAwAADgAA&#10;AAAAAAABACAAAAAeAQAAZHJzL2Uyb0RvYy54bWxQSwUGAAAAAAYABgBZAQAAcgUAAAAA&#10;">
              <v:fill on="f" focussize="0,0"/>
              <v:stroke on="f"/>
              <v:imagedata o:title=""/>
              <o:lock v:ext="edit" aspectratio="f"/>
              <v:textbox inset="0mm,0mm,0mm,0mm" style="mso-fit-shape-to-text:t;">
                <w:txbxContent>
                  <w:p w14:paraId="35E75740">
                    <w:pPr>
                      <w:pStyle w:val="55"/>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828A8">
    <w:pPr>
      <w:pStyle w:val="5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763F0">
    <w:pPr>
      <w:pStyle w:val="55"/>
      <w:pBdr>
        <w:top w:val="single" w:color="auto" w:sz="4" w:space="0"/>
      </w:pBdr>
      <w:jc w:val="left"/>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A3B3EF">
                          <w:pPr>
                            <w:pStyle w:val="5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KsdOIBAADMAwAADgAAAGRycy9lMm9Eb2MueG1srVPNjtMwEL4j8Q6W&#10;7zTZSou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FAKsdOIBAADMAwAADgAA&#10;AAAAAAABACAAAAAeAQAAZHJzL2Uyb0RvYy54bWxQSwUGAAAAAAYABgBZAQAAcgUAAAAA&#10;">
              <v:fill on="f" focussize="0,0"/>
              <v:stroke on="f"/>
              <v:imagedata o:title=""/>
              <o:lock v:ext="edit" aspectratio="f"/>
              <v:textbox inset="0mm,0mm,0mm,0mm" style="mso-fit-shape-to-text:t;">
                <w:txbxContent>
                  <w:p w14:paraId="6FA3B3EF">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757DB">
    <w:pPr>
      <w:spacing w:line="124" w:lineRule="exact"/>
      <w:ind w:firstLine="44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20E128">
                          <w:pPr>
                            <w:pStyle w:val="5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14:paraId="6420E128">
                    <w:pPr>
                      <w:pStyle w:val="55"/>
                    </w:pPr>
                    <w:r>
                      <w:fldChar w:fldCharType="begin"/>
                    </w:r>
                    <w:r>
                      <w:instrText xml:space="preserve"> PAGE  \* MERGEFORMAT </w:instrText>
                    </w:r>
                    <w:r>
                      <w:fldChar w:fldCharType="separate"/>
                    </w:r>
                    <w:r>
                      <w:t>38</w:t>
                    </w:r>
                    <w:r>
                      <w:fldChar w:fldCharType="end"/>
                    </w:r>
                  </w:p>
                </w:txbxContent>
              </v:textbox>
            </v:shape>
          </w:pict>
        </mc:Fallback>
      </mc:AlternateContent>
    </w:r>
    <w:r>
      <w:rPr>
        <w:rFonts w:ascii="Times New Roman" w:hAnsi="Times New Roman" w:eastAsia="Times New Roman" w:cs="Times New Roman"/>
        <w:spacing w:val="-2"/>
        <w:position w:val="-2"/>
        <w:sz w:val="18"/>
        <w:szCs w:val="18"/>
        <w:shd w:val="clear" w:color="auto" w:fill="FFFFFE"/>
      </w:rPr>
      <w:t>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hanging="105"/>
      </w:pPr>
      <w:r>
        <w:separator/>
      </w:r>
    </w:p>
  </w:footnote>
  <w:footnote w:type="continuationSeparator" w:id="1">
    <w:p>
      <w:pPr>
        <w:spacing w:line="360" w:lineRule="auto"/>
        <w:ind w:hanging="10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0063C">
    <w:pPr>
      <w:pStyle w:val="57"/>
      <w:pBdr>
        <w:bottom w:val="none" w:color="auto" w:sz="0" w:space="1"/>
      </w:pBdr>
      <w:jc w:val="left"/>
      <w:rPr>
        <w:rFonts w:hint="eastAsia" w:ascii="仿宋" w:hAnsi="仿宋" w:eastAsia="仿宋" w:cs="仿宋"/>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764">
    <w:pPr>
      <w:pStyle w:val="34"/>
      <w:pBdr>
        <w:bottom w:val="none" w:color="auto" w:sz="0" w:space="0"/>
      </w:pBdr>
      <w:bidi w:val="0"/>
      <w:ind w:left="0" w:leftChars="0" w:firstLine="0" w:firstLineChars="0"/>
      <w:jc w:val="center"/>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37A84">
    <w:pPr>
      <w:pStyle w:val="57"/>
      <w:rPr>
        <w:rFonts w:hint="default"/>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1F7FB">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3BDBF">
    <w:pPr>
      <w:pStyle w:val="5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B83FD">
    <w:pPr>
      <w:pStyle w:val="57"/>
      <w:ind w:firstLine="3060" w:firstLineChars="1700"/>
      <w:jc w:val="left"/>
      <w:rPr>
        <w:rFonts w:hint="eastAsia"/>
      </w:rPr>
    </w:pP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color w:val="00000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86EFF">
    <w:pPr>
      <w:pStyle w:val="57"/>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2A516">
    <w:pPr>
      <w:pStyle w:val="57"/>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0D2A2">
    <w:pPr>
      <w:pStyle w:val="57"/>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3B5D4"/>
    <w:multiLevelType w:val="singleLevel"/>
    <w:tmpl w:val="AE83B5D4"/>
    <w:lvl w:ilvl="0" w:tentative="0">
      <w:start w:val="1"/>
      <w:numFmt w:val="decimal"/>
      <w:suff w:val="nothing"/>
      <w:lvlText w:val="%1、"/>
      <w:lvlJc w:val="left"/>
    </w:lvl>
  </w:abstractNum>
  <w:abstractNum w:abstractNumId="1">
    <w:nsid w:val="B057A758"/>
    <w:multiLevelType w:val="multilevel"/>
    <w:tmpl w:val="B057A75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5344540"/>
    <w:multiLevelType w:val="singleLevel"/>
    <w:tmpl w:val="C5344540"/>
    <w:lvl w:ilvl="0" w:tentative="0">
      <w:start w:val="2"/>
      <w:numFmt w:val="chineseCounting"/>
      <w:suff w:val="nothing"/>
      <w:lvlText w:val="%1、"/>
      <w:lvlJc w:val="left"/>
      <w:rPr>
        <w:rFonts w:hint="eastAsia"/>
      </w:rPr>
    </w:lvl>
  </w:abstractNum>
  <w:abstractNum w:abstractNumId="4">
    <w:nsid w:val="C9D7DFBA"/>
    <w:multiLevelType w:val="singleLevel"/>
    <w:tmpl w:val="C9D7DFBA"/>
    <w:lvl w:ilvl="0" w:tentative="0">
      <w:start w:val="5"/>
      <w:numFmt w:val="chineseCounting"/>
      <w:suff w:val="space"/>
      <w:lvlText w:val="第%1章"/>
      <w:lvlJc w:val="left"/>
      <w:rPr>
        <w:rFonts w:hint="eastAsia"/>
      </w:rPr>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D650DED"/>
    <w:multiLevelType w:val="singleLevel"/>
    <w:tmpl w:val="FD650DED"/>
    <w:lvl w:ilvl="0" w:tentative="0">
      <w:start w:val="1"/>
      <w:numFmt w:val="decimal"/>
      <w:lvlText w:val="%1."/>
      <w:lvlJc w:val="left"/>
      <w:pPr>
        <w:ind w:left="425" w:hanging="425"/>
      </w:pPr>
      <w:rPr>
        <w:rFonts w:hint="default"/>
        <w:color w:val="000000" w:themeColor="text1"/>
        <w14:textFill>
          <w14:solidFill>
            <w14:schemeClr w14:val="tx1"/>
          </w14:solidFill>
        </w14:textFill>
      </w:rPr>
    </w:lvl>
  </w:abstractNum>
  <w:abstractNum w:abstractNumId="10">
    <w:nsid w:val="FD756BF6"/>
    <w:multiLevelType w:val="singleLevel"/>
    <w:tmpl w:val="FD756BF6"/>
    <w:lvl w:ilvl="0" w:tentative="0">
      <w:start w:val="2"/>
      <w:numFmt w:val="chineseCounting"/>
      <w:suff w:val="nothing"/>
      <w:lvlText w:val="（%1）"/>
      <w:lvlJc w:val="left"/>
      <w:rPr>
        <w:rFonts w:hint="eastAsia"/>
      </w:rPr>
    </w:lvl>
  </w:abstractNum>
  <w:abstractNum w:abstractNumId="11">
    <w:nsid w:val="FFEFC674"/>
    <w:multiLevelType w:val="singleLevel"/>
    <w:tmpl w:val="FFEFC674"/>
    <w:lvl w:ilvl="0" w:tentative="0">
      <w:start w:val="1"/>
      <w:numFmt w:val="decimal"/>
      <w:suff w:val="nothing"/>
      <w:lvlText w:val="（%1）"/>
      <w:lvlJc w:val="left"/>
    </w:lvl>
  </w:abstractNum>
  <w:abstractNum w:abstractNumId="12">
    <w:nsid w:val="0779B1B9"/>
    <w:multiLevelType w:val="singleLevel"/>
    <w:tmpl w:val="0779B1B9"/>
    <w:lvl w:ilvl="0" w:tentative="0">
      <w:start w:val="1"/>
      <w:numFmt w:val="decimal"/>
      <w:lvlText w:val="%1."/>
      <w:lvlJc w:val="left"/>
      <w:pPr>
        <w:ind w:left="425" w:hanging="425"/>
      </w:pPr>
      <w:rPr>
        <w:rFonts w:hint="default"/>
      </w:rPr>
    </w:lvl>
  </w:abstractNum>
  <w:abstractNum w:abstractNumId="13">
    <w:nsid w:val="09FD638A"/>
    <w:multiLevelType w:val="multilevel"/>
    <w:tmpl w:val="09FD638A"/>
    <w:lvl w:ilvl="0" w:tentative="0">
      <w:start w:val="1"/>
      <w:numFmt w:val="japaneseCounting"/>
      <w:pStyle w:val="146"/>
      <w:lvlText w:val="%1、"/>
      <w:lvlJc w:val="left"/>
      <w:pPr>
        <w:tabs>
          <w:tab w:val="left" w:pos="420"/>
        </w:tabs>
        <w:ind w:left="420" w:hanging="420"/>
      </w:pPr>
      <w:rPr>
        <w:rFonts w:hint="default"/>
      </w:rPr>
    </w:lvl>
    <w:lvl w:ilvl="1" w:tentative="0">
      <w:start w:val="1"/>
      <w:numFmt w:val="decimal"/>
      <w:lvlText w:val="%2、"/>
      <w:lvlJc w:val="left"/>
      <w:pPr>
        <w:tabs>
          <w:tab w:val="left" w:pos="644"/>
        </w:tabs>
        <w:ind w:left="644" w:hanging="360"/>
      </w:pPr>
      <w:rPr>
        <w:rFonts w:ascii="宋体" w:hAnsi="宋体" w:eastAsia="宋体" w:cs="Times New Roman"/>
      </w:rPr>
    </w:lvl>
    <w:lvl w:ilvl="2" w:tentative="0">
      <w:start w:val="2"/>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8925ABF"/>
    <w:multiLevelType w:val="multilevel"/>
    <w:tmpl w:val="18925ABF"/>
    <w:lvl w:ilvl="0" w:tentative="0">
      <w:start w:val="1"/>
      <w:numFmt w:val="chineseCountingThousand"/>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50DCFCA"/>
    <w:multiLevelType w:val="multilevel"/>
    <w:tmpl w:val="250DCFCA"/>
    <w:lvl w:ilvl="0" w:tentative="0">
      <w:start w:val="1"/>
      <w:numFmt w:val="decimal"/>
      <w:lvlText w:val="%1"/>
      <w:lvlJc w:val="left"/>
      <w:pPr>
        <w:tabs>
          <w:tab w:val="left" w:pos="900"/>
        </w:tabs>
        <w:ind w:left="900" w:hanging="900"/>
      </w:pPr>
      <w:rPr>
        <w:rFonts w:hint="eastAsia"/>
      </w:rPr>
    </w:lvl>
    <w:lvl w:ilvl="1" w:tentative="0">
      <w:start w:val="1"/>
      <w:numFmt w:val="decimal"/>
      <w:suff w:val="nothing"/>
      <w:lvlText w:val="%1.%2"/>
      <w:lvlJc w:val="left"/>
      <w:pPr>
        <w:ind w:left="1468" w:hanging="900"/>
      </w:pPr>
      <w:rPr>
        <w:rFonts w:hint="default" w:ascii="Times New Roman" w:hAnsi="Times New Roman" w:cs="Times New Roman"/>
        <w:sz w:val="24"/>
        <w:szCs w:val="24"/>
      </w:rPr>
    </w:lvl>
    <w:lvl w:ilvl="2" w:tentative="0">
      <w:start w:val="1"/>
      <w:numFmt w:val="decimal"/>
      <w:suff w:val="nothing"/>
      <w:lvlText w:val="%1.%2.%3"/>
      <w:lvlJc w:val="left"/>
      <w:pPr>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36D4198A"/>
    <w:multiLevelType w:val="multilevel"/>
    <w:tmpl w:val="36D4198A"/>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none"/>
      <w:lvlRestart w:val="0"/>
      <w:pStyle w:val="8"/>
      <w:isLgl/>
      <w:lvlText w:val="4.1.1.1"/>
      <w:lvlJc w:val="left"/>
      <w:pPr>
        <w:tabs>
          <w:tab w:val="left" w:pos="1751"/>
        </w:tabs>
        <w:ind w:left="17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385E2112"/>
    <w:multiLevelType w:val="multilevel"/>
    <w:tmpl w:val="385E211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C7D36E3"/>
    <w:multiLevelType w:val="multilevel"/>
    <w:tmpl w:val="3C7D36E3"/>
    <w:lvl w:ilvl="0" w:tentative="0">
      <w:start w:val="1"/>
      <w:numFmt w:val="japaneseCounting"/>
      <w:pStyle w:val="5"/>
      <w:lvlText w:val="%1．"/>
      <w:lvlJc w:val="left"/>
      <w:pPr>
        <w:tabs>
          <w:tab w:val="left" w:pos="3060"/>
        </w:tabs>
        <w:ind w:left="4500" w:hanging="720"/>
      </w:pPr>
      <w:rPr>
        <w:b/>
        <w:sz w:val="36"/>
        <w:szCs w:val="36"/>
      </w:rPr>
    </w:lvl>
    <w:lvl w:ilvl="1" w:tentative="0">
      <w:start w:val="6"/>
      <w:numFmt w:val="decimal"/>
      <w:lvlText w:val="%2、"/>
      <w:lvlJc w:val="left"/>
      <w:pPr>
        <w:tabs>
          <w:tab w:val="left" w:pos="3160"/>
        </w:tabs>
        <w:ind w:left="4600" w:hanging="825"/>
      </w:pPr>
    </w:lvl>
    <w:lvl w:ilvl="2" w:tentative="0">
      <w:start w:val="2"/>
      <w:numFmt w:val="japaneseCounting"/>
      <w:lvlText w:val="%3、"/>
      <w:lvlJc w:val="left"/>
      <w:pPr>
        <w:tabs>
          <w:tab w:val="left" w:pos="3475"/>
        </w:tabs>
        <w:ind w:left="4915" w:hanging="720"/>
      </w:pPr>
      <w:rPr>
        <w:b/>
      </w:rPr>
    </w:lvl>
    <w:lvl w:ilvl="3" w:tentative="0">
      <w:start w:val="1"/>
      <w:numFmt w:val="decimal"/>
      <w:lvlText w:val="%4."/>
      <w:lvlJc w:val="left"/>
      <w:pPr>
        <w:tabs>
          <w:tab w:val="left" w:pos="2880"/>
        </w:tabs>
        <w:ind w:left="4320" w:hanging="360"/>
      </w:pPr>
    </w:lvl>
    <w:lvl w:ilvl="4" w:tentative="0">
      <w:start w:val="1"/>
      <w:numFmt w:val="decimal"/>
      <w:lvlText w:val="%5."/>
      <w:lvlJc w:val="left"/>
      <w:pPr>
        <w:tabs>
          <w:tab w:val="left" w:pos="3600"/>
        </w:tabs>
        <w:ind w:left="5040" w:hanging="360"/>
      </w:pPr>
    </w:lvl>
    <w:lvl w:ilvl="5" w:tentative="0">
      <w:start w:val="1"/>
      <w:numFmt w:val="decimal"/>
      <w:lvlText w:val="%6."/>
      <w:lvlJc w:val="left"/>
      <w:pPr>
        <w:tabs>
          <w:tab w:val="left" w:pos="4320"/>
        </w:tabs>
        <w:ind w:left="5760" w:hanging="360"/>
      </w:pPr>
    </w:lvl>
    <w:lvl w:ilvl="6" w:tentative="0">
      <w:start w:val="1"/>
      <w:numFmt w:val="decimal"/>
      <w:lvlText w:val="%7."/>
      <w:lvlJc w:val="left"/>
      <w:pPr>
        <w:tabs>
          <w:tab w:val="left" w:pos="5040"/>
        </w:tabs>
        <w:ind w:left="6480" w:hanging="360"/>
      </w:pPr>
    </w:lvl>
    <w:lvl w:ilvl="7" w:tentative="0">
      <w:start w:val="1"/>
      <w:numFmt w:val="decimal"/>
      <w:lvlText w:val="%8."/>
      <w:lvlJc w:val="left"/>
      <w:pPr>
        <w:tabs>
          <w:tab w:val="left" w:pos="5760"/>
        </w:tabs>
        <w:ind w:left="7200" w:hanging="360"/>
      </w:pPr>
    </w:lvl>
    <w:lvl w:ilvl="8" w:tentative="0">
      <w:start w:val="1"/>
      <w:numFmt w:val="decimal"/>
      <w:lvlText w:val="%9."/>
      <w:lvlJc w:val="left"/>
      <w:pPr>
        <w:tabs>
          <w:tab w:val="left" w:pos="6480"/>
        </w:tabs>
        <w:ind w:left="7920" w:hanging="360"/>
      </w:pPr>
    </w:lvl>
  </w:abstractNum>
  <w:abstractNum w:abstractNumId="19">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0">
    <w:nsid w:val="4867608F"/>
    <w:multiLevelType w:val="multilevel"/>
    <w:tmpl w:val="4867608F"/>
    <w:lvl w:ilvl="0" w:tentative="0">
      <w:start w:val="2"/>
      <w:numFmt w:val="japaneseCounting"/>
      <w:pStyle w:val="202"/>
      <w:lvlText w:val="第%1章"/>
      <w:lvlJc w:val="left"/>
      <w:pPr>
        <w:tabs>
          <w:tab w:val="left" w:pos="3085"/>
        </w:tabs>
        <w:ind w:left="3085" w:hanging="2385"/>
      </w:pPr>
      <w:rPr>
        <w:rFonts w:hint="default"/>
      </w:rPr>
    </w:lvl>
    <w:lvl w:ilvl="1" w:tentative="0">
      <w:start w:val="1"/>
      <w:numFmt w:val="japaneseCounting"/>
      <w:lvlText w:val="(%2)"/>
      <w:lvlJc w:val="left"/>
      <w:pPr>
        <w:tabs>
          <w:tab w:val="left" w:pos="1840"/>
        </w:tabs>
        <w:ind w:left="1840" w:hanging="720"/>
      </w:pPr>
      <w:rPr>
        <w:rFonts w:hint="default"/>
      </w:rPr>
    </w:lvl>
    <w:lvl w:ilvl="2" w:tentative="0">
      <w:start w:val="1"/>
      <w:numFmt w:val="japaneseCounting"/>
      <w:lvlText w:val="（%3）"/>
      <w:lvlJc w:val="left"/>
      <w:pPr>
        <w:tabs>
          <w:tab w:val="left" w:pos="2395"/>
        </w:tabs>
        <w:ind w:left="2395" w:hanging="855"/>
      </w:pPr>
      <w:rPr>
        <w:rFonts w:hint="default"/>
        <w:lang w:val="en-US"/>
      </w:rPr>
    </w:lvl>
    <w:lvl w:ilvl="3" w:tentative="0">
      <w:start w:val="1"/>
      <w:numFmt w:val="decimal"/>
      <w:lvlText w:val="%4."/>
      <w:lvlJc w:val="left"/>
      <w:pPr>
        <w:tabs>
          <w:tab w:val="left" w:pos="2380"/>
        </w:tabs>
        <w:ind w:left="2380" w:hanging="420"/>
      </w:pPr>
    </w:lvl>
    <w:lvl w:ilvl="4" w:tentative="0">
      <w:start w:val="1"/>
      <w:numFmt w:val="lowerLetter"/>
      <w:lvlText w:val="%5)"/>
      <w:lvlJc w:val="left"/>
      <w:pPr>
        <w:tabs>
          <w:tab w:val="left" w:pos="2800"/>
        </w:tabs>
        <w:ind w:left="2800" w:hanging="420"/>
      </w:pPr>
    </w:lvl>
    <w:lvl w:ilvl="5" w:tentative="0">
      <w:start w:val="1"/>
      <w:numFmt w:val="lowerRoman"/>
      <w:lvlText w:val="%6."/>
      <w:lvlJc w:val="right"/>
      <w:pPr>
        <w:tabs>
          <w:tab w:val="left" w:pos="3220"/>
        </w:tabs>
        <w:ind w:left="3220" w:hanging="420"/>
      </w:pPr>
    </w:lvl>
    <w:lvl w:ilvl="6" w:tentative="0">
      <w:start w:val="1"/>
      <w:numFmt w:val="decimal"/>
      <w:lvlText w:val="%7."/>
      <w:lvlJc w:val="left"/>
      <w:pPr>
        <w:tabs>
          <w:tab w:val="left" w:pos="3640"/>
        </w:tabs>
        <w:ind w:left="3640" w:hanging="420"/>
      </w:pPr>
    </w:lvl>
    <w:lvl w:ilvl="7" w:tentative="0">
      <w:start w:val="1"/>
      <w:numFmt w:val="lowerLetter"/>
      <w:lvlText w:val="%8)"/>
      <w:lvlJc w:val="left"/>
      <w:pPr>
        <w:tabs>
          <w:tab w:val="left" w:pos="4060"/>
        </w:tabs>
        <w:ind w:left="4060" w:hanging="420"/>
      </w:pPr>
    </w:lvl>
    <w:lvl w:ilvl="8" w:tentative="0">
      <w:start w:val="1"/>
      <w:numFmt w:val="lowerRoman"/>
      <w:lvlText w:val="%9."/>
      <w:lvlJc w:val="right"/>
      <w:pPr>
        <w:tabs>
          <w:tab w:val="left" w:pos="4480"/>
        </w:tabs>
        <w:ind w:left="4480" w:hanging="420"/>
      </w:pPr>
    </w:lvl>
  </w:abstractNum>
  <w:abstractNum w:abstractNumId="21">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A0F6431"/>
    <w:multiLevelType w:val="singleLevel"/>
    <w:tmpl w:val="7A0F6431"/>
    <w:lvl w:ilvl="0" w:tentative="0">
      <w:start w:val="1"/>
      <w:numFmt w:val="decimal"/>
      <w:suff w:val="space"/>
      <w:lvlText w:val="%1."/>
      <w:lvlJc w:val="left"/>
    </w:lvl>
  </w:abstractNum>
  <w:num w:numId="1">
    <w:abstractNumId w:val="18"/>
  </w:num>
  <w:num w:numId="2">
    <w:abstractNumId w:val="16"/>
  </w:num>
  <w:num w:numId="3">
    <w:abstractNumId w:val="13"/>
  </w:num>
  <w:num w:numId="4">
    <w:abstractNumId w:val="20"/>
  </w:num>
  <w:num w:numId="5">
    <w:abstractNumId w:val="9"/>
  </w:num>
  <w:num w:numId="6">
    <w:abstractNumId w:val="10"/>
  </w:num>
  <w:num w:numId="7">
    <w:abstractNumId w:val="19"/>
  </w:num>
  <w:num w:numId="8">
    <w:abstractNumId w:val="12"/>
  </w:num>
  <w:num w:numId="9">
    <w:abstractNumId w:val="15"/>
  </w:num>
  <w:num w:numId="10">
    <w:abstractNumId w:val="3"/>
  </w:num>
  <w:num w:numId="11">
    <w:abstractNumId w:val="17"/>
  </w:num>
  <w:num w:numId="12">
    <w:abstractNumId w:val="1"/>
  </w:num>
  <w:num w:numId="13">
    <w:abstractNumId w:val="4"/>
  </w:num>
  <w:num w:numId="14">
    <w:abstractNumId w:val="14"/>
  </w:num>
  <w:num w:numId="15">
    <w:abstractNumId w:val="22"/>
  </w:num>
  <w:num w:numId="16">
    <w:abstractNumId w:val="5"/>
  </w:num>
  <w:num w:numId="17">
    <w:abstractNumId w:val="11"/>
  </w:num>
  <w:num w:numId="18">
    <w:abstractNumId w:val="7"/>
  </w:num>
  <w:num w:numId="19">
    <w:abstractNumId w:val="6"/>
  </w:num>
  <w:num w:numId="20">
    <w:abstractNumId w:val="2"/>
  </w:num>
  <w:num w:numId="21">
    <w:abstractNumId w:val="8"/>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21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OWIyOWU3NTgwZjZlZDQ2YzNlZDNjNzZlZTNiOWEifQ=="/>
    <w:docVar w:name="KSO_WPS_MARK_KEY" w:val="1fbe5ccf-db38-4a25-aaa2-68737bb3dcd4"/>
  </w:docVars>
  <w:rsids>
    <w:rsidRoot w:val="000669E3"/>
    <w:rsid w:val="0000017A"/>
    <w:rsid w:val="00001114"/>
    <w:rsid w:val="000015C3"/>
    <w:rsid w:val="000022DA"/>
    <w:rsid w:val="00002548"/>
    <w:rsid w:val="00002650"/>
    <w:rsid w:val="00002EB5"/>
    <w:rsid w:val="000047A6"/>
    <w:rsid w:val="00005531"/>
    <w:rsid w:val="0000598D"/>
    <w:rsid w:val="0000642A"/>
    <w:rsid w:val="00010945"/>
    <w:rsid w:val="00010D6A"/>
    <w:rsid w:val="00010DE7"/>
    <w:rsid w:val="000114C6"/>
    <w:rsid w:val="0001150B"/>
    <w:rsid w:val="000119F6"/>
    <w:rsid w:val="00011ACB"/>
    <w:rsid w:val="0001305F"/>
    <w:rsid w:val="0001321B"/>
    <w:rsid w:val="00013CD2"/>
    <w:rsid w:val="00014A81"/>
    <w:rsid w:val="000153DC"/>
    <w:rsid w:val="00015A0D"/>
    <w:rsid w:val="00015EFC"/>
    <w:rsid w:val="00017574"/>
    <w:rsid w:val="00021ABA"/>
    <w:rsid w:val="00021B8D"/>
    <w:rsid w:val="00023BA4"/>
    <w:rsid w:val="00023E15"/>
    <w:rsid w:val="00023EAB"/>
    <w:rsid w:val="00024218"/>
    <w:rsid w:val="000249A0"/>
    <w:rsid w:val="000249C0"/>
    <w:rsid w:val="00024AFD"/>
    <w:rsid w:val="0002736B"/>
    <w:rsid w:val="00027C9F"/>
    <w:rsid w:val="00027D10"/>
    <w:rsid w:val="000304EB"/>
    <w:rsid w:val="00030E3D"/>
    <w:rsid w:val="000310D4"/>
    <w:rsid w:val="000313F5"/>
    <w:rsid w:val="00031D85"/>
    <w:rsid w:val="00032314"/>
    <w:rsid w:val="000331FC"/>
    <w:rsid w:val="00033F3F"/>
    <w:rsid w:val="00034325"/>
    <w:rsid w:val="00034591"/>
    <w:rsid w:val="00034620"/>
    <w:rsid w:val="00035933"/>
    <w:rsid w:val="000402B7"/>
    <w:rsid w:val="000419EE"/>
    <w:rsid w:val="00042652"/>
    <w:rsid w:val="00042AD1"/>
    <w:rsid w:val="00043140"/>
    <w:rsid w:val="00043B2F"/>
    <w:rsid w:val="00044301"/>
    <w:rsid w:val="00044550"/>
    <w:rsid w:val="00046295"/>
    <w:rsid w:val="000468CA"/>
    <w:rsid w:val="000503CE"/>
    <w:rsid w:val="00051B8A"/>
    <w:rsid w:val="000529BE"/>
    <w:rsid w:val="00052CBC"/>
    <w:rsid w:val="00052DB3"/>
    <w:rsid w:val="00052F6D"/>
    <w:rsid w:val="0005368B"/>
    <w:rsid w:val="00053C23"/>
    <w:rsid w:val="00053CFF"/>
    <w:rsid w:val="00053E1F"/>
    <w:rsid w:val="00053E58"/>
    <w:rsid w:val="00054F1F"/>
    <w:rsid w:val="00055868"/>
    <w:rsid w:val="00055CAE"/>
    <w:rsid w:val="00056A9F"/>
    <w:rsid w:val="00062622"/>
    <w:rsid w:val="000626D5"/>
    <w:rsid w:val="00062F9B"/>
    <w:rsid w:val="000638E6"/>
    <w:rsid w:val="00065C00"/>
    <w:rsid w:val="00065C0F"/>
    <w:rsid w:val="000669E3"/>
    <w:rsid w:val="0006748A"/>
    <w:rsid w:val="00067FC5"/>
    <w:rsid w:val="0007065D"/>
    <w:rsid w:val="00070921"/>
    <w:rsid w:val="0007118D"/>
    <w:rsid w:val="0007251F"/>
    <w:rsid w:val="00072667"/>
    <w:rsid w:val="00072A12"/>
    <w:rsid w:val="000740C5"/>
    <w:rsid w:val="000759C0"/>
    <w:rsid w:val="0007642E"/>
    <w:rsid w:val="00076B8F"/>
    <w:rsid w:val="000773C9"/>
    <w:rsid w:val="000807F9"/>
    <w:rsid w:val="000809ED"/>
    <w:rsid w:val="00080BDF"/>
    <w:rsid w:val="00080D57"/>
    <w:rsid w:val="00080EFF"/>
    <w:rsid w:val="00081459"/>
    <w:rsid w:val="000814B9"/>
    <w:rsid w:val="00081F12"/>
    <w:rsid w:val="000823DF"/>
    <w:rsid w:val="000827B7"/>
    <w:rsid w:val="0008305D"/>
    <w:rsid w:val="0008316E"/>
    <w:rsid w:val="0008364F"/>
    <w:rsid w:val="00084DF5"/>
    <w:rsid w:val="00084E6B"/>
    <w:rsid w:val="000853FA"/>
    <w:rsid w:val="0008688C"/>
    <w:rsid w:val="00087211"/>
    <w:rsid w:val="0009027E"/>
    <w:rsid w:val="000911EB"/>
    <w:rsid w:val="00091957"/>
    <w:rsid w:val="00094282"/>
    <w:rsid w:val="00095C12"/>
    <w:rsid w:val="00096651"/>
    <w:rsid w:val="00097124"/>
    <w:rsid w:val="000978D2"/>
    <w:rsid w:val="000A00AB"/>
    <w:rsid w:val="000A0A41"/>
    <w:rsid w:val="000A17B6"/>
    <w:rsid w:val="000A2663"/>
    <w:rsid w:val="000A28E5"/>
    <w:rsid w:val="000A3084"/>
    <w:rsid w:val="000A3430"/>
    <w:rsid w:val="000A3489"/>
    <w:rsid w:val="000A4486"/>
    <w:rsid w:val="000A54E2"/>
    <w:rsid w:val="000A5A93"/>
    <w:rsid w:val="000A637F"/>
    <w:rsid w:val="000A656C"/>
    <w:rsid w:val="000A6BCB"/>
    <w:rsid w:val="000A6DE4"/>
    <w:rsid w:val="000A7182"/>
    <w:rsid w:val="000A75D6"/>
    <w:rsid w:val="000A7DC8"/>
    <w:rsid w:val="000B09E9"/>
    <w:rsid w:val="000B13CF"/>
    <w:rsid w:val="000B215B"/>
    <w:rsid w:val="000B2B45"/>
    <w:rsid w:val="000B2F20"/>
    <w:rsid w:val="000B4C14"/>
    <w:rsid w:val="000B58F9"/>
    <w:rsid w:val="000B716F"/>
    <w:rsid w:val="000C0145"/>
    <w:rsid w:val="000C08E5"/>
    <w:rsid w:val="000C0BCC"/>
    <w:rsid w:val="000C0C52"/>
    <w:rsid w:val="000C151F"/>
    <w:rsid w:val="000C1B22"/>
    <w:rsid w:val="000C300F"/>
    <w:rsid w:val="000C3573"/>
    <w:rsid w:val="000C44B1"/>
    <w:rsid w:val="000C48E5"/>
    <w:rsid w:val="000C49E3"/>
    <w:rsid w:val="000C4EB1"/>
    <w:rsid w:val="000C503A"/>
    <w:rsid w:val="000C5544"/>
    <w:rsid w:val="000C589D"/>
    <w:rsid w:val="000C5B1C"/>
    <w:rsid w:val="000D0CFC"/>
    <w:rsid w:val="000D1AB0"/>
    <w:rsid w:val="000D1CDF"/>
    <w:rsid w:val="000D25FE"/>
    <w:rsid w:val="000D47D6"/>
    <w:rsid w:val="000D67EF"/>
    <w:rsid w:val="000D6CB9"/>
    <w:rsid w:val="000D6D98"/>
    <w:rsid w:val="000D74DC"/>
    <w:rsid w:val="000D7AAD"/>
    <w:rsid w:val="000D7ED7"/>
    <w:rsid w:val="000E0613"/>
    <w:rsid w:val="000E0653"/>
    <w:rsid w:val="000E1B78"/>
    <w:rsid w:val="000E2252"/>
    <w:rsid w:val="000E2C6C"/>
    <w:rsid w:val="000E3A28"/>
    <w:rsid w:val="000E4029"/>
    <w:rsid w:val="000E46AE"/>
    <w:rsid w:val="000E7122"/>
    <w:rsid w:val="000E73E6"/>
    <w:rsid w:val="000F0270"/>
    <w:rsid w:val="000F0EA1"/>
    <w:rsid w:val="000F2007"/>
    <w:rsid w:val="000F2BD0"/>
    <w:rsid w:val="000F2D7A"/>
    <w:rsid w:val="000F5A7D"/>
    <w:rsid w:val="000F5BB0"/>
    <w:rsid w:val="000F761E"/>
    <w:rsid w:val="00100687"/>
    <w:rsid w:val="001010CA"/>
    <w:rsid w:val="001019D2"/>
    <w:rsid w:val="0010264D"/>
    <w:rsid w:val="00103CA2"/>
    <w:rsid w:val="00104E91"/>
    <w:rsid w:val="0010533E"/>
    <w:rsid w:val="0010584C"/>
    <w:rsid w:val="00106A4E"/>
    <w:rsid w:val="001075E1"/>
    <w:rsid w:val="00112154"/>
    <w:rsid w:val="001125E0"/>
    <w:rsid w:val="00112EDF"/>
    <w:rsid w:val="001143F1"/>
    <w:rsid w:val="00116422"/>
    <w:rsid w:val="00117B8A"/>
    <w:rsid w:val="00120B86"/>
    <w:rsid w:val="00122A99"/>
    <w:rsid w:val="00122ED8"/>
    <w:rsid w:val="00124803"/>
    <w:rsid w:val="00126D9E"/>
    <w:rsid w:val="001272CC"/>
    <w:rsid w:val="00130228"/>
    <w:rsid w:val="0013032D"/>
    <w:rsid w:val="00130816"/>
    <w:rsid w:val="00130B51"/>
    <w:rsid w:val="001316AE"/>
    <w:rsid w:val="0013181B"/>
    <w:rsid w:val="00131BC1"/>
    <w:rsid w:val="001329D2"/>
    <w:rsid w:val="00133E1A"/>
    <w:rsid w:val="00134D40"/>
    <w:rsid w:val="00134ED4"/>
    <w:rsid w:val="00136EB6"/>
    <w:rsid w:val="00140763"/>
    <w:rsid w:val="00140EBD"/>
    <w:rsid w:val="00140FA9"/>
    <w:rsid w:val="001420B1"/>
    <w:rsid w:val="0014510E"/>
    <w:rsid w:val="00145DB0"/>
    <w:rsid w:val="00146C42"/>
    <w:rsid w:val="00147DFE"/>
    <w:rsid w:val="001503D3"/>
    <w:rsid w:val="0015071A"/>
    <w:rsid w:val="00150CC4"/>
    <w:rsid w:val="00151386"/>
    <w:rsid w:val="00152CDC"/>
    <w:rsid w:val="0015399B"/>
    <w:rsid w:val="00154A06"/>
    <w:rsid w:val="001554A8"/>
    <w:rsid w:val="001563BC"/>
    <w:rsid w:val="001574CB"/>
    <w:rsid w:val="00157F0D"/>
    <w:rsid w:val="00163FC6"/>
    <w:rsid w:val="00164ADD"/>
    <w:rsid w:val="00164FC3"/>
    <w:rsid w:val="00165654"/>
    <w:rsid w:val="00165E50"/>
    <w:rsid w:val="0016665E"/>
    <w:rsid w:val="0016685F"/>
    <w:rsid w:val="00166E54"/>
    <w:rsid w:val="001673D2"/>
    <w:rsid w:val="001673EE"/>
    <w:rsid w:val="00167E73"/>
    <w:rsid w:val="001703C1"/>
    <w:rsid w:val="00171B01"/>
    <w:rsid w:val="00171FF9"/>
    <w:rsid w:val="00172DBD"/>
    <w:rsid w:val="0017422B"/>
    <w:rsid w:val="001751A7"/>
    <w:rsid w:val="00175F29"/>
    <w:rsid w:val="00176A84"/>
    <w:rsid w:val="00176DF7"/>
    <w:rsid w:val="00177B4D"/>
    <w:rsid w:val="0018036A"/>
    <w:rsid w:val="00180AE6"/>
    <w:rsid w:val="00180B35"/>
    <w:rsid w:val="00181EED"/>
    <w:rsid w:val="00182063"/>
    <w:rsid w:val="001821B8"/>
    <w:rsid w:val="0018225C"/>
    <w:rsid w:val="00182674"/>
    <w:rsid w:val="00182D50"/>
    <w:rsid w:val="001843F4"/>
    <w:rsid w:val="00184498"/>
    <w:rsid w:val="00185EC2"/>
    <w:rsid w:val="00185F02"/>
    <w:rsid w:val="00186104"/>
    <w:rsid w:val="00186890"/>
    <w:rsid w:val="00186C70"/>
    <w:rsid w:val="00187210"/>
    <w:rsid w:val="001876C3"/>
    <w:rsid w:val="001907CD"/>
    <w:rsid w:val="00191F54"/>
    <w:rsid w:val="0019412C"/>
    <w:rsid w:val="001A0274"/>
    <w:rsid w:val="001A0317"/>
    <w:rsid w:val="001A1BE0"/>
    <w:rsid w:val="001A209D"/>
    <w:rsid w:val="001A2183"/>
    <w:rsid w:val="001A31A3"/>
    <w:rsid w:val="001A369C"/>
    <w:rsid w:val="001A445A"/>
    <w:rsid w:val="001A47C4"/>
    <w:rsid w:val="001A4D87"/>
    <w:rsid w:val="001A5E39"/>
    <w:rsid w:val="001A6370"/>
    <w:rsid w:val="001A682D"/>
    <w:rsid w:val="001A68E9"/>
    <w:rsid w:val="001B0C12"/>
    <w:rsid w:val="001B1015"/>
    <w:rsid w:val="001B19E3"/>
    <w:rsid w:val="001B2FCD"/>
    <w:rsid w:val="001B4E3B"/>
    <w:rsid w:val="001B51BA"/>
    <w:rsid w:val="001B5A58"/>
    <w:rsid w:val="001B6088"/>
    <w:rsid w:val="001B6DFC"/>
    <w:rsid w:val="001B77D6"/>
    <w:rsid w:val="001C277F"/>
    <w:rsid w:val="001C34EC"/>
    <w:rsid w:val="001C3636"/>
    <w:rsid w:val="001C4FEE"/>
    <w:rsid w:val="001C54D1"/>
    <w:rsid w:val="001C5A28"/>
    <w:rsid w:val="001C5B8B"/>
    <w:rsid w:val="001C5C24"/>
    <w:rsid w:val="001C78B4"/>
    <w:rsid w:val="001C7A72"/>
    <w:rsid w:val="001C7D0B"/>
    <w:rsid w:val="001D172A"/>
    <w:rsid w:val="001D1A84"/>
    <w:rsid w:val="001D2B44"/>
    <w:rsid w:val="001D307A"/>
    <w:rsid w:val="001D3CB3"/>
    <w:rsid w:val="001D50C9"/>
    <w:rsid w:val="001D648E"/>
    <w:rsid w:val="001D652E"/>
    <w:rsid w:val="001D76F5"/>
    <w:rsid w:val="001D7F5D"/>
    <w:rsid w:val="001E0B3C"/>
    <w:rsid w:val="001E1094"/>
    <w:rsid w:val="001E125F"/>
    <w:rsid w:val="001E1361"/>
    <w:rsid w:val="001E20D3"/>
    <w:rsid w:val="001E2E9F"/>
    <w:rsid w:val="001E34A1"/>
    <w:rsid w:val="001E35F7"/>
    <w:rsid w:val="001E4AC4"/>
    <w:rsid w:val="001F044D"/>
    <w:rsid w:val="001F0914"/>
    <w:rsid w:val="001F0B9A"/>
    <w:rsid w:val="001F1932"/>
    <w:rsid w:val="001F251A"/>
    <w:rsid w:val="001F2F02"/>
    <w:rsid w:val="001F3FE1"/>
    <w:rsid w:val="001F50AA"/>
    <w:rsid w:val="001F5C57"/>
    <w:rsid w:val="001F7016"/>
    <w:rsid w:val="00200EBC"/>
    <w:rsid w:val="00201899"/>
    <w:rsid w:val="002046CE"/>
    <w:rsid w:val="00205775"/>
    <w:rsid w:val="00205C63"/>
    <w:rsid w:val="00206399"/>
    <w:rsid w:val="00206466"/>
    <w:rsid w:val="00206B62"/>
    <w:rsid w:val="00210567"/>
    <w:rsid w:val="002106E5"/>
    <w:rsid w:val="00210735"/>
    <w:rsid w:val="00210779"/>
    <w:rsid w:val="00211D4E"/>
    <w:rsid w:val="00213F35"/>
    <w:rsid w:val="00214516"/>
    <w:rsid w:val="00214BDF"/>
    <w:rsid w:val="00215804"/>
    <w:rsid w:val="00215A2B"/>
    <w:rsid w:val="00215AE9"/>
    <w:rsid w:val="00216F0D"/>
    <w:rsid w:val="00217A2E"/>
    <w:rsid w:val="00217EC2"/>
    <w:rsid w:val="0022055F"/>
    <w:rsid w:val="00220D49"/>
    <w:rsid w:val="0022288C"/>
    <w:rsid w:val="0022312B"/>
    <w:rsid w:val="0022394B"/>
    <w:rsid w:val="00223AF4"/>
    <w:rsid w:val="0022587A"/>
    <w:rsid w:val="00225910"/>
    <w:rsid w:val="00225BED"/>
    <w:rsid w:val="0022731E"/>
    <w:rsid w:val="00227928"/>
    <w:rsid w:val="00227CFB"/>
    <w:rsid w:val="00230046"/>
    <w:rsid w:val="002305CA"/>
    <w:rsid w:val="00230C25"/>
    <w:rsid w:val="002328CF"/>
    <w:rsid w:val="00232932"/>
    <w:rsid w:val="00232FA4"/>
    <w:rsid w:val="00234BD6"/>
    <w:rsid w:val="00234C06"/>
    <w:rsid w:val="00234DD4"/>
    <w:rsid w:val="00234FB7"/>
    <w:rsid w:val="0023754C"/>
    <w:rsid w:val="002375E1"/>
    <w:rsid w:val="00237AB6"/>
    <w:rsid w:val="00237CCF"/>
    <w:rsid w:val="00237E62"/>
    <w:rsid w:val="002401A9"/>
    <w:rsid w:val="00240E9F"/>
    <w:rsid w:val="00241351"/>
    <w:rsid w:val="00242ECA"/>
    <w:rsid w:val="00243621"/>
    <w:rsid w:val="002438B3"/>
    <w:rsid w:val="002448E9"/>
    <w:rsid w:val="00244B0E"/>
    <w:rsid w:val="002458F6"/>
    <w:rsid w:val="002465C5"/>
    <w:rsid w:val="00247AD9"/>
    <w:rsid w:val="002508D9"/>
    <w:rsid w:val="00251C08"/>
    <w:rsid w:val="00252988"/>
    <w:rsid w:val="00252E05"/>
    <w:rsid w:val="0025456F"/>
    <w:rsid w:val="002577F4"/>
    <w:rsid w:val="0026026B"/>
    <w:rsid w:val="00260F9D"/>
    <w:rsid w:val="00261188"/>
    <w:rsid w:val="00261D5A"/>
    <w:rsid w:val="00262BB1"/>
    <w:rsid w:val="00262E8F"/>
    <w:rsid w:val="00264567"/>
    <w:rsid w:val="00265348"/>
    <w:rsid w:val="00265855"/>
    <w:rsid w:val="00265DED"/>
    <w:rsid w:val="0026623D"/>
    <w:rsid w:val="0026630F"/>
    <w:rsid w:val="0026671C"/>
    <w:rsid w:val="00267082"/>
    <w:rsid w:val="002677F0"/>
    <w:rsid w:val="002678AD"/>
    <w:rsid w:val="00267D5B"/>
    <w:rsid w:val="0027056C"/>
    <w:rsid w:val="002708B6"/>
    <w:rsid w:val="0027184E"/>
    <w:rsid w:val="0027516A"/>
    <w:rsid w:val="002755A1"/>
    <w:rsid w:val="00276715"/>
    <w:rsid w:val="00276C41"/>
    <w:rsid w:val="00277C87"/>
    <w:rsid w:val="002800E8"/>
    <w:rsid w:val="0028090B"/>
    <w:rsid w:val="0028183B"/>
    <w:rsid w:val="00281E6C"/>
    <w:rsid w:val="00281F2F"/>
    <w:rsid w:val="0028234E"/>
    <w:rsid w:val="00284FE8"/>
    <w:rsid w:val="0028549A"/>
    <w:rsid w:val="0028661F"/>
    <w:rsid w:val="002870C8"/>
    <w:rsid w:val="00287C0A"/>
    <w:rsid w:val="00287CA0"/>
    <w:rsid w:val="00287EAD"/>
    <w:rsid w:val="00290897"/>
    <w:rsid w:val="0029105E"/>
    <w:rsid w:val="002919A1"/>
    <w:rsid w:val="00294B33"/>
    <w:rsid w:val="0029648F"/>
    <w:rsid w:val="00297917"/>
    <w:rsid w:val="002A0A5F"/>
    <w:rsid w:val="002A0B27"/>
    <w:rsid w:val="002A0F40"/>
    <w:rsid w:val="002A26D8"/>
    <w:rsid w:val="002A2D80"/>
    <w:rsid w:val="002A2FAF"/>
    <w:rsid w:val="002A48FD"/>
    <w:rsid w:val="002A6220"/>
    <w:rsid w:val="002A669B"/>
    <w:rsid w:val="002A7712"/>
    <w:rsid w:val="002A7A8A"/>
    <w:rsid w:val="002A7A9F"/>
    <w:rsid w:val="002B143B"/>
    <w:rsid w:val="002B1871"/>
    <w:rsid w:val="002B2532"/>
    <w:rsid w:val="002B2E65"/>
    <w:rsid w:val="002B5BAB"/>
    <w:rsid w:val="002B6C2B"/>
    <w:rsid w:val="002B73DC"/>
    <w:rsid w:val="002C1816"/>
    <w:rsid w:val="002C275C"/>
    <w:rsid w:val="002C30CE"/>
    <w:rsid w:val="002C4052"/>
    <w:rsid w:val="002C4279"/>
    <w:rsid w:val="002D086B"/>
    <w:rsid w:val="002D1689"/>
    <w:rsid w:val="002D18BE"/>
    <w:rsid w:val="002D3361"/>
    <w:rsid w:val="002D384F"/>
    <w:rsid w:val="002D3D79"/>
    <w:rsid w:val="002D6C2A"/>
    <w:rsid w:val="002D737E"/>
    <w:rsid w:val="002E02EE"/>
    <w:rsid w:val="002E0371"/>
    <w:rsid w:val="002E0BB8"/>
    <w:rsid w:val="002E1A29"/>
    <w:rsid w:val="002E1ABA"/>
    <w:rsid w:val="002E203E"/>
    <w:rsid w:val="002E2D94"/>
    <w:rsid w:val="002E3DD4"/>
    <w:rsid w:val="002E47C4"/>
    <w:rsid w:val="002E4C49"/>
    <w:rsid w:val="002E4E8E"/>
    <w:rsid w:val="002E5294"/>
    <w:rsid w:val="002E6A78"/>
    <w:rsid w:val="002E7075"/>
    <w:rsid w:val="002E725F"/>
    <w:rsid w:val="002E7791"/>
    <w:rsid w:val="002F150F"/>
    <w:rsid w:val="002F1805"/>
    <w:rsid w:val="002F1995"/>
    <w:rsid w:val="002F26A1"/>
    <w:rsid w:val="002F2D76"/>
    <w:rsid w:val="002F3AB0"/>
    <w:rsid w:val="002F413D"/>
    <w:rsid w:val="002F428F"/>
    <w:rsid w:val="002F5045"/>
    <w:rsid w:val="002F51E7"/>
    <w:rsid w:val="002F59D8"/>
    <w:rsid w:val="002F76F0"/>
    <w:rsid w:val="00300E0F"/>
    <w:rsid w:val="00301EF9"/>
    <w:rsid w:val="00302080"/>
    <w:rsid w:val="003020B5"/>
    <w:rsid w:val="00302F74"/>
    <w:rsid w:val="00303055"/>
    <w:rsid w:val="003033A3"/>
    <w:rsid w:val="0030385D"/>
    <w:rsid w:val="00303C2D"/>
    <w:rsid w:val="00303F79"/>
    <w:rsid w:val="003048B3"/>
    <w:rsid w:val="00304A0C"/>
    <w:rsid w:val="0030501A"/>
    <w:rsid w:val="00305368"/>
    <w:rsid w:val="00306817"/>
    <w:rsid w:val="003076A5"/>
    <w:rsid w:val="003078CC"/>
    <w:rsid w:val="0031073E"/>
    <w:rsid w:val="00311745"/>
    <w:rsid w:val="00311FEF"/>
    <w:rsid w:val="00312880"/>
    <w:rsid w:val="00313787"/>
    <w:rsid w:val="00313F38"/>
    <w:rsid w:val="003157FB"/>
    <w:rsid w:val="003166D3"/>
    <w:rsid w:val="003168EE"/>
    <w:rsid w:val="0031702E"/>
    <w:rsid w:val="003179C7"/>
    <w:rsid w:val="00320629"/>
    <w:rsid w:val="0032092B"/>
    <w:rsid w:val="003224E4"/>
    <w:rsid w:val="00323827"/>
    <w:rsid w:val="00324CCA"/>
    <w:rsid w:val="003258EA"/>
    <w:rsid w:val="00325C18"/>
    <w:rsid w:val="0032775D"/>
    <w:rsid w:val="0033022F"/>
    <w:rsid w:val="00330DAC"/>
    <w:rsid w:val="003312E9"/>
    <w:rsid w:val="00333D70"/>
    <w:rsid w:val="00333F2B"/>
    <w:rsid w:val="003346C4"/>
    <w:rsid w:val="003349B6"/>
    <w:rsid w:val="00334DA5"/>
    <w:rsid w:val="00335545"/>
    <w:rsid w:val="00335CE0"/>
    <w:rsid w:val="003371BE"/>
    <w:rsid w:val="003373A0"/>
    <w:rsid w:val="003401CD"/>
    <w:rsid w:val="0034087F"/>
    <w:rsid w:val="00341D70"/>
    <w:rsid w:val="0034229B"/>
    <w:rsid w:val="003429D3"/>
    <w:rsid w:val="00342A81"/>
    <w:rsid w:val="00343A8A"/>
    <w:rsid w:val="00345AB4"/>
    <w:rsid w:val="00346C9C"/>
    <w:rsid w:val="00347A92"/>
    <w:rsid w:val="003507F5"/>
    <w:rsid w:val="00350C32"/>
    <w:rsid w:val="00351FE4"/>
    <w:rsid w:val="00352320"/>
    <w:rsid w:val="0035257D"/>
    <w:rsid w:val="00353954"/>
    <w:rsid w:val="00353C4D"/>
    <w:rsid w:val="003541AE"/>
    <w:rsid w:val="0035479E"/>
    <w:rsid w:val="003548F1"/>
    <w:rsid w:val="003562EB"/>
    <w:rsid w:val="00356E84"/>
    <w:rsid w:val="00357D62"/>
    <w:rsid w:val="0036063A"/>
    <w:rsid w:val="00360A3E"/>
    <w:rsid w:val="00360B9D"/>
    <w:rsid w:val="0036130F"/>
    <w:rsid w:val="0036167B"/>
    <w:rsid w:val="00361684"/>
    <w:rsid w:val="003645AF"/>
    <w:rsid w:val="00364B71"/>
    <w:rsid w:val="00365B7E"/>
    <w:rsid w:val="00365F2D"/>
    <w:rsid w:val="0036642F"/>
    <w:rsid w:val="00366761"/>
    <w:rsid w:val="003670FA"/>
    <w:rsid w:val="003679E4"/>
    <w:rsid w:val="00367A9B"/>
    <w:rsid w:val="00370524"/>
    <w:rsid w:val="00370C6A"/>
    <w:rsid w:val="00371C2E"/>
    <w:rsid w:val="00372B46"/>
    <w:rsid w:val="0037375D"/>
    <w:rsid w:val="00374FED"/>
    <w:rsid w:val="00375107"/>
    <w:rsid w:val="00375573"/>
    <w:rsid w:val="003759A0"/>
    <w:rsid w:val="00375B6D"/>
    <w:rsid w:val="00375C10"/>
    <w:rsid w:val="00376A15"/>
    <w:rsid w:val="003773EB"/>
    <w:rsid w:val="00380A14"/>
    <w:rsid w:val="00381665"/>
    <w:rsid w:val="003823BC"/>
    <w:rsid w:val="003832BE"/>
    <w:rsid w:val="0038369A"/>
    <w:rsid w:val="0038396D"/>
    <w:rsid w:val="00383EE5"/>
    <w:rsid w:val="003848E0"/>
    <w:rsid w:val="00384CBD"/>
    <w:rsid w:val="00384FC5"/>
    <w:rsid w:val="0038525B"/>
    <w:rsid w:val="0038632F"/>
    <w:rsid w:val="00386409"/>
    <w:rsid w:val="0038661C"/>
    <w:rsid w:val="00386ACF"/>
    <w:rsid w:val="003874F2"/>
    <w:rsid w:val="003879C0"/>
    <w:rsid w:val="00387AE0"/>
    <w:rsid w:val="00387DA8"/>
    <w:rsid w:val="00391B2F"/>
    <w:rsid w:val="0039274A"/>
    <w:rsid w:val="003933C9"/>
    <w:rsid w:val="00394ACA"/>
    <w:rsid w:val="0039530C"/>
    <w:rsid w:val="003953D8"/>
    <w:rsid w:val="00395D67"/>
    <w:rsid w:val="00396E06"/>
    <w:rsid w:val="00397958"/>
    <w:rsid w:val="00397F67"/>
    <w:rsid w:val="003A0949"/>
    <w:rsid w:val="003A0DFE"/>
    <w:rsid w:val="003A0F5F"/>
    <w:rsid w:val="003A28FF"/>
    <w:rsid w:val="003A2E0F"/>
    <w:rsid w:val="003A2F6A"/>
    <w:rsid w:val="003A3944"/>
    <w:rsid w:val="003A3ED4"/>
    <w:rsid w:val="003A45E3"/>
    <w:rsid w:val="003A4F1C"/>
    <w:rsid w:val="003A6AAD"/>
    <w:rsid w:val="003A6CD0"/>
    <w:rsid w:val="003A787B"/>
    <w:rsid w:val="003B0244"/>
    <w:rsid w:val="003B040E"/>
    <w:rsid w:val="003B0ED2"/>
    <w:rsid w:val="003B37FF"/>
    <w:rsid w:val="003B3FE2"/>
    <w:rsid w:val="003B47A6"/>
    <w:rsid w:val="003B4F6D"/>
    <w:rsid w:val="003B662F"/>
    <w:rsid w:val="003B6FBA"/>
    <w:rsid w:val="003C2486"/>
    <w:rsid w:val="003C2E48"/>
    <w:rsid w:val="003C344D"/>
    <w:rsid w:val="003C5D48"/>
    <w:rsid w:val="003C6884"/>
    <w:rsid w:val="003C7929"/>
    <w:rsid w:val="003D136A"/>
    <w:rsid w:val="003D34A6"/>
    <w:rsid w:val="003D3E14"/>
    <w:rsid w:val="003D5963"/>
    <w:rsid w:val="003D5D39"/>
    <w:rsid w:val="003D6E2F"/>
    <w:rsid w:val="003D6F18"/>
    <w:rsid w:val="003D7DD3"/>
    <w:rsid w:val="003E0576"/>
    <w:rsid w:val="003E0931"/>
    <w:rsid w:val="003E0BA4"/>
    <w:rsid w:val="003E116A"/>
    <w:rsid w:val="003E1353"/>
    <w:rsid w:val="003E36D7"/>
    <w:rsid w:val="003E3C0B"/>
    <w:rsid w:val="003E4252"/>
    <w:rsid w:val="003E43FB"/>
    <w:rsid w:val="003E497E"/>
    <w:rsid w:val="003E4BEB"/>
    <w:rsid w:val="003E5D43"/>
    <w:rsid w:val="003E6DEC"/>
    <w:rsid w:val="003E704E"/>
    <w:rsid w:val="003F04A8"/>
    <w:rsid w:val="003F04BF"/>
    <w:rsid w:val="003F1067"/>
    <w:rsid w:val="003F1D27"/>
    <w:rsid w:val="003F4481"/>
    <w:rsid w:val="003F5972"/>
    <w:rsid w:val="003F6407"/>
    <w:rsid w:val="003F64F4"/>
    <w:rsid w:val="003F6A6C"/>
    <w:rsid w:val="003F7AB8"/>
    <w:rsid w:val="00400114"/>
    <w:rsid w:val="00400273"/>
    <w:rsid w:val="0040042C"/>
    <w:rsid w:val="00400E85"/>
    <w:rsid w:val="004016B5"/>
    <w:rsid w:val="004025CE"/>
    <w:rsid w:val="00402A63"/>
    <w:rsid w:val="00402AEF"/>
    <w:rsid w:val="004030FD"/>
    <w:rsid w:val="00403E05"/>
    <w:rsid w:val="00404A3F"/>
    <w:rsid w:val="00404B74"/>
    <w:rsid w:val="00404C80"/>
    <w:rsid w:val="00404FCE"/>
    <w:rsid w:val="00405804"/>
    <w:rsid w:val="004067EE"/>
    <w:rsid w:val="00410DA0"/>
    <w:rsid w:val="00411DA4"/>
    <w:rsid w:val="00411DEA"/>
    <w:rsid w:val="004121F7"/>
    <w:rsid w:val="00412589"/>
    <w:rsid w:val="004128D6"/>
    <w:rsid w:val="00413960"/>
    <w:rsid w:val="004139A1"/>
    <w:rsid w:val="00413BA4"/>
    <w:rsid w:val="00413F15"/>
    <w:rsid w:val="004145D5"/>
    <w:rsid w:val="00414BCD"/>
    <w:rsid w:val="00415370"/>
    <w:rsid w:val="00416C8F"/>
    <w:rsid w:val="00416FF4"/>
    <w:rsid w:val="004171BA"/>
    <w:rsid w:val="004176EB"/>
    <w:rsid w:val="00417C7D"/>
    <w:rsid w:val="00420979"/>
    <w:rsid w:val="00420A77"/>
    <w:rsid w:val="00420EA3"/>
    <w:rsid w:val="00420FD7"/>
    <w:rsid w:val="004228E5"/>
    <w:rsid w:val="00422A51"/>
    <w:rsid w:val="00423BEF"/>
    <w:rsid w:val="00423E1B"/>
    <w:rsid w:val="0042407C"/>
    <w:rsid w:val="004243B9"/>
    <w:rsid w:val="004244A2"/>
    <w:rsid w:val="00425033"/>
    <w:rsid w:val="004253E4"/>
    <w:rsid w:val="0042573D"/>
    <w:rsid w:val="00427118"/>
    <w:rsid w:val="0043013B"/>
    <w:rsid w:val="004322F9"/>
    <w:rsid w:val="00432337"/>
    <w:rsid w:val="004327EA"/>
    <w:rsid w:val="00433101"/>
    <w:rsid w:val="00433B0F"/>
    <w:rsid w:val="004344EA"/>
    <w:rsid w:val="00434508"/>
    <w:rsid w:val="0043549A"/>
    <w:rsid w:val="004355D3"/>
    <w:rsid w:val="004356E3"/>
    <w:rsid w:val="0043639E"/>
    <w:rsid w:val="004371E1"/>
    <w:rsid w:val="004375D4"/>
    <w:rsid w:val="004400AB"/>
    <w:rsid w:val="0044017F"/>
    <w:rsid w:val="00440205"/>
    <w:rsid w:val="0044098C"/>
    <w:rsid w:val="004411D9"/>
    <w:rsid w:val="00441C9D"/>
    <w:rsid w:val="004432BF"/>
    <w:rsid w:val="004437A5"/>
    <w:rsid w:val="00443B69"/>
    <w:rsid w:val="00444E18"/>
    <w:rsid w:val="0044548B"/>
    <w:rsid w:val="00445DAF"/>
    <w:rsid w:val="00445E13"/>
    <w:rsid w:val="004475C4"/>
    <w:rsid w:val="004479E4"/>
    <w:rsid w:val="00447E03"/>
    <w:rsid w:val="00451772"/>
    <w:rsid w:val="004521D1"/>
    <w:rsid w:val="0045409D"/>
    <w:rsid w:val="0045570B"/>
    <w:rsid w:val="00456A9C"/>
    <w:rsid w:val="004571D7"/>
    <w:rsid w:val="004573B2"/>
    <w:rsid w:val="004574F3"/>
    <w:rsid w:val="00460639"/>
    <w:rsid w:val="00460D19"/>
    <w:rsid w:val="00461161"/>
    <w:rsid w:val="004618FA"/>
    <w:rsid w:val="00465079"/>
    <w:rsid w:val="0046514C"/>
    <w:rsid w:val="00465592"/>
    <w:rsid w:val="004675DF"/>
    <w:rsid w:val="0047018C"/>
    <w:rsid w:val="00470A8C"/>
    <w:rsid w:val="0047227B"/>
    <w:rsid w:val="00473739"/>
    <w:rsid w:val="00473B38"/>
    <w:rsid w:val="004753D6"/>
    <w:rsid w:val="00475AA4"/>
    <w:rsid w:val="00476E90"/>
    <w:rsid w:val="00477416"/>
    <w:rsid w:val="004778F2"/>
    <w:rsid w:val="00477C69"/>
    <w:rsid w:val="00477E36"/>
    <w:rsid w:val="00477FE3"/>
    <w:rsid w:val="004801E6"/>
    <w:rsid w:val="00481E30"/>
    <w:rsid w:val="00482554"/>
    <w:rsid w:val="004835A0"/>
    <w:rsid w:val="00483635"/>
    <w:rsid w:val="004845D8"/>
    <w:rsid w:val="00484C3A"/>
    <w:rsid w:val="00485679"/>
    <w:rsid w:val="004862E1"/>
    <w:rsid w:val="00486390"/>
    <w:rsid w:val="00487D25"/>
    <w:rsid w:val="00490B1E"/>
    <w:rsid w:val="00490DE6"/>
    <w:rsid w:val="004920AC"/>
    <w:rsid w:val="0049296C"/>
    <w:rsid w:val="00492B8C"/>
    <w:rsid w:val="00493748"/>
    <w:rsid w:val="00493EE0"/>
    <w:rsid w:val="00493F16"/>
    <w:rsid w:val="00494684"/>
    <w:rsid w:val="00494B2F"/>
    <w:rsid w:val="00495542"/>
    <w:rsid w:val="00495B0E"/>
    <w:rsid w:val="004A1116"/>
    <w:rsid w:val="004A1B71"/>
    <w:rsid w:val="004A1BE7"/>
    <w:rsid w:val="004A364A"/>
    <w:rsid w:val="004A3D6D"/>
    <w:rsid w:val="004A4A28"/>
    <w:rsid w:val="004A4AC3"/>
    <w:rsid w:val="004A53EA"/>
    <w:rsid w:val="004A5A08"/>
    <w:rsid w:val="004A5FED"/>
    <w:rsid w:val="004A6A23"/>
    <w:rsid w:val="004A6B35"/>
    <w:rsid w:val="004A6FF5"/>
    <w:rsid w:val="004A7C65"/>
    <w:rsid w:val="004B001F"/>
    <w:rsid w:val="004B02D1"/>
    <w:rsid w:val="004B0456"/>
    <w:rsid w:val="004B04E1"/>
    <w:rsid w:val="004B0DE6"/>
    <w:rsid w:val="004B23C0"/>
    <w:rsid w:val="004B2B38"/>
    <w:rsid w:val="004B32A3"/>
    <w:rsid w:val="004B38BE"/>
    <w:rsid w:val="004B3D19"/>
    <w:rsid w:val="004B41C2"/>
    <w:rsid w:val="004B56BD"/>
    <w:rsid w:val="004B6247"/>
    <w:rsid w:val="004B6633"/>
    <w:rsid w:val="004C053C"/>
    <w:rsid w:val="004C095A"/>
    <w:rsid w:val="004C0E71"/>
    <w:rsid w:val="004C25F4"/>
    <w:rsid w:val="004C3B9F"/>
    <w:rsid w:val="004C3E22"/>
    <w:rsid w:val="004C47ED"/>
    <w:rsid w:val="004C4E48"/>
    <w:rsid w:val="004C4E4C"/>
    <w:rsid w:val="004C608A"/>
    <w:rsid w:val="004C6692"/>
    <w:rsid w:val="004C69DC"/>
    <w:rsid w:val="004C6F25"/>
    <w:rsid w:val="004C7576"/>
    <w:rsid w:val="004D020C"/>
    <w:rsid w:val="004D03AD"/>
    <w:rsid w:val="004D0DAF"/>
    <w:rsid w:val="004D0ED6"/>
    <w:rsid w:val="004D1A60"/>
    <w:rsid w:val="004D1C4C"/>
    <w:rsid w:val="004D1C97"/>
    <w:rsid w:val="004D2FBF"/>
    <w:rsid w:val="004D3E95"/>
    <w:rsid w:val="004D4580"/>
    <w:rsid w:val="004D4988"/>
    <w:rsid w:val="004D5FB2"/>
    <w:rsid w:val="004D6490"/>
    <w:rsid w:val="004D688D"/>
    <w:rsid w:val="004D6BBE"/>
    <w:rsid w:val="004E246A"/>
    <w:rsid w:val="004E391C"/>
    <w:rsid w:val="004E415F"/>
    <w:rsid w:val="004E4EF5"/>
    <w:rsid w:val="004E54E3"/>
    <w:rsid w:val="004E6716"/>
    <w:rsid w:val="004E7063"/>
    <w:rsid w:val="004F01F1"/>
    <w:rsid w:val="004F027F"/>
    <w:rsid w:val="004F0F91"/>
    <w:rsid w:val="004F20B1"/>
    <w:rsid w:val="004F4FB2"/>
    <w:rsid w:val="004F6968"/>
    <w:rsid w:val="004F6AFF"/>
    <w:rsid w:val="004F70CB"/>
    <w:rsid w:val="004F7E87"/>
    <w:rsid w:val="005000C4"/>
    <w:rsid w:val="00500A48"/>
    <w:rsid w:val="00500C86"/>
    <w:rsid w:val="00500E17"/>
    <w:rsid w:val="00502D86"/>
    <w:rsid w:val="005031A1"/>
    <w:rsid w:val="00503ACC"/>
    <w:rsid w:val="00506C52"/>
    <w:rsid w:val="005075DE"/>
    <w:rsid w:val="00507C66"/>
    <w:rsid w:val="0051014F"/>
    <w:rsid w:val="0051020D"/>
    <w:rsid w:val="00510C56"/>
    <w:rsid w:val="00511160"/>
    <w:rsid w:val="00511607"/>
    <w:rsid w:val="0051179F"/>
    <w:rsid w:val="00511890"/>
    <w:rsid w:val="00512927"/>
    <w:rsid w:val="0051351F"/>
    <w:rsid w:val="00513730"/>
    <w:rsid w:val="00513CBB"/>
    <w:rsid w:val="005142E4"/>
    <w:rsid w:val="00514C05"/>
    <w:rsid w:val="00515082"/>
    <w:rsid w:val="00515272"/>
    <w:rsid w:val="005158A4"/>
    <w:rsid w:val="005165A1"/>
    <w:rsid w:val="005166D7"/>
    <w:rsid w:val="00516CCD"/>
    <w:rsid w:val="00517518"/>
    <w:rsid w:val="00517FC3"/>
    <w:rsid w:val="00520B7B"/>
    <w:rsid w:val="00520F97"/>
    <w:rsid w:val="0052167B"/>
    <w:rsid w:val="005224ED"/>
    <w:rsid w:val="005228B2"/>
    <w:rsid w:val="005231D7"/>
    <w:rsid w:val="005232E5"/>
    <w:rsid w:val="005235B3"/>
    <w:rsid w:val="005247E4"/>
    <w:rsid w:val="0052524E"/>
    <w:rsid w:val="005255CF"/>
    <w:rsid w:val="00525986"/>
    <w:rsid w:val="00525A69"/>
    <w:rsid w:val="00526B54"/>
    <w:rsid w:val="00526DA7"/>
    <w:rsid w:val="00526DB1"/>
    <w:rsid w:val="00526F0E"/>
    <w:rsid w:val="00527157"/>
    <w:rsid w:val="005279F2"/>
    <w:rsid w:val="00530301"/>
    <w:rsid w:val="00531B74"/>
    <w:rsid w:val="00533EFF"/>
    <w:rsid w:val="0053454E"/>
    <w:rsid w:val="00534A81"/>
    <w:rsid w:val="00534C2D"/>
    <w:rsid w:val="005372D7"/>
    <w:rsid w:val="005373F4"/>
    <w:rsid w:val="00537FCD"/>
    <w:rsid w:val="005401BA"/>
    <w:rsid w:val="00541035"/>
    <w:rsid w:val="00541538"/>
    <w:rsid w:val="005425FD"/>
    <w:rsid w:val="005431E5"/>
    <w:rsid w:val="0054362C"/>
    <w:rsid w:val="00544F4F"/>
    <w:rsid w:val="0054502D"/>
    <w:rsid w:val="005455C0"/>
    <w:rsid w:val="005457D9"/>
    <w:rsid w:val="00546D13"/>
    <w:rsid w:val="00547406"/>
    <w:rsid w:val="0055120F"/>
    <w:rsid w:val="00552CD4"/>
    <w:rsid w:val="00552E4F"/>
    <w:rsid w:val="00553E28"/>
    <w:rsid w:val="0055411A"/>
    <w:rsid w:val="005552F0"/>
    <w:rsid w:val="00555969"/>
    <w:rsid w:val="00557332"/>
    <w:rsid w:val="00557339"/>
    <w:rsid w:val="005573BF"/>
    <w:rsid w:val="0056029A"/>
    <w:rsid w:val="0056061C"/>
    <w:rsid w:val="005615FC"/>
    <w:rsid w:val="00564456"/>
    <w:rsid w:val="00564CC8"/>
    <w:rsid w:val="00565ABC"/>
    <w:rsid w:val="00566638"/>
    <w:rsid w:val="005670E7"/>
    <w:rsid w:val="005678A8"/>
    <w:rsid w:val="0057033F"/>
    <w:rsid w:val="00570527"/>
    <w:rsid w:val="00571098"/>
    <w:rsid w:val="00571981"/>
    <w:rsid w:val="00571C8A"/>
    <w:rsid w:val="00572349"/>
    <w:rsid w:val="00572654"/>
    <w:rsid w:val="00573BD1"/>
    <w:rsid w:val="0057493D"/>
    <w:rsid w:val="00574DA8"/>
    <w:rsid w:val="005756FC"/>
    <w:rsid w:val="0057599D"/>
    <w:rsid w:val="00576ECD"/>
    <w:rsid w:val="00577037"/>
    <w:rsid w:val="00577216"/>
    <w:rsid w:val="00577284"/>
    <w:rsid w:val="00577D7E"/>
    <w:rsid w:val="00577ECF"/>
    <w:rsid w:val="00580079"/>
    <w:rsid w:val="00580FB6"/>
    <w:rsid w:val="00581013"/>
    <w:rsid w:val="00582724"/>
    <w:rsid w:val="00583726"/>
    <w:rsid w:val="00583FF9"/>
    <w:rsid w:val="0058419C"/>
    <w:rsid w:val="005843E0"/>
    <w:rsid w:val="005855ED"/>
    <w:rsid w:val="00585FD6"/>
    <w:rsid w:val="005864E5"/>
    <w:rsid w:val="005866E4"/>
    <w:rsid w:val="00587C09"/>
    <w:rsid w:val="00587CBD"/>
    <w:rsid w:val="00591A31"/>
    <w:rsid w:val="00591E8A"/>
    <w:rsid w:val="0059203E"/>
    <w:rsid w:val="00592128"/>
    <w:rsid w:val="005943FF"/>
    <w:rsid w:val="005945DD"/>
    <w:rsid w:val="00595240"/>
    <w:rsid w:val="00596AC3"/>
    <w:rsid w:val="005A01F3"/>
    <w:rsid w:val="005A0D66"/>
    <w:rsid w:val="005A112D"/>
    <w:rsid w:val="005A30EB"/>
    <w:rsid w:val="005A35FF"/>
    <w:rsid w:val="005A4F5F"/>
    <w:rsid w:val="005A5598"/>
    <w:rsid w:val="005A7016"/>
    <w:rsid w:val="005A7391"/>
    <w:rsid w:val="005A7EE1"/>
    <w:rsid w:val="005B0DC6"/>
    <w:rsid w:val="005B213C"/>
    <w:rsid w:val="005B2338"/>
    <w:rsid w:val="005B245E"/>
    <w:rsid w:val="005B30C6"/>
    <w:rsid w:val="005B313B"/>
    <w:rsid w:val="005B367A"/>
    <w:rsid w:val="005B5444"/>
    <w:rsid w:val="005B5466"/>
    <w:rsid w:val="005B609F"/>
    <w:rsid w:val="005B6C6C"/>
    <w:rsid w:val="005C3F9F"/>
    <w:rsid w:val="005C4AB5"/>
    <w:rsid w:val="005C5E14"/>
    <w:rsid w:val="005C6324"/>
    <w:rsid w:val="005C6E31"/>
    <w:rsid w:val="005C6F20"/>
    <w:rsid w:val="005C77A0"/>
    <w:rsid w:val="005D0216"/>
    <w:rsid w:val="005D0824"/>
    <w:rsid w:val="005D0BA8"/>
    <w:rsid w:val="005D0C64"/>
    <w:rsid w:val="005D0CC5"/>
    <w:rsid w:val="005D1D96"/>
    <w:rsid w:val="005D21FD"/>
    <w:rsid w:val="005D3154"/>
    <w:rsid w:val="005D31B1"/>
    <w:rsid w:val="005D4613"/>
    <w:rsid w:val="005D508F"/>
    <w:rsid w:val="005D640F"/>
    <w:rsid w:val="005D7C7F"/>
    <w:rsid w:val="005E2A24"/>
    <w:rsid w:val="005E2AE0"/>
    <w:rsid w:val="005E2C54"/>
    <w:rsid w:val="005E3411"/>
    <w:rsid w:val="005E40CD"/>
    <w:rsid w:val="005E42D7"/>
    <w:rsid w:val="005E4739"/>
    <w:rsid w:val="005E4894"/>
    <w:rsid w:val="005E4935"/>
    <w:rsid w:val="005E4E05"/>
    <w:rsid w:val="005E534A"/>
    <w:rsid w:val="005E6691"/>
    <w:rsid w:val="005E77F3"/>
    <w:rsid w:val="005F009C"/>
    <w:rsid w:val="005F11C7"/>
    <w:rsid w:val="005F141C"/>
    <w:rsid w:val="005F5129"/>
    <w:rsid w:val="005F6D46"/>
    <w:rsid w:val="005F7765"/>
    <w:rsid w:val="005F7C1B"/>
    <w:rsid w:val="00600009"/>
    <w:rsid w:val="006000F1"/>
    <w:rsid w:val="00600152"/>
    <w:rsid w:val="00600E60"/>
    <w:rsid w:val="00602B34"/>
    <w:rsid w:val="006031D1"/>
    <w:rsid w:val="00603474"/>
    <w:rsid w:val="0060372F"/>
    <w:rsid w:val="00603A41"/>
    <w:rsid w:val="00606D36"/>
    <w:rsid w:val="006106DB"/>
    <w:rsid w:val="006114D4"/>
    <w:rsid w:val="00612CF5"/>
    <w:rsid w:val="006132A5"/>
    <w:rsid w:val="00613DB3"/>
    <w:rsid w:val="006147EC"/>
    <w:rsid w:val="00616C4B"/>
    <w:rsid w:val="006177B2"/>
    <w:rsid w:val="00620298"/>
    <w:rsid w:val="00621610"/>
    <w:rsid w:val="00621D61"/>
    <w:rsid w:val="00622400"/>
    <w:rsid w:val="00622833"/>
    <w:rsid w:val="006228B3"/>
    <w:rsid w:val="00622B26"/>
    <w:rsid w:val="006232C3"/>
    <w:rsid w:val="006236D0"/>
    <w:rsid w:val="006247FE"/>
    <w:rsid w:val="00626B93"/>
    <w:rsid w:val="006271FB"/>
    <w:rsid w:val="006310DC"/>
    <w:rsid w:val="0063116E"/>
    <w:rsid w:val="00631855"/>
    <w:rsid w:val="00632E37"/>
    <w:rsid w:val="006333C5"/>
    <w:rsid w:val="0063362B"/>
    <w:rsid w:val="006345FF"/>
    <w:rsid w:val="00634D96"/>
    <w:rsid w:val="00634E4D"/>
    <w:rsid w:val="0063510B"/>
    <w:rsid w:val="00635693"/>
    <w:rsid w:val="00635958"/>
    <w:rsid w:val="006379E2"/>
    <w:rsid w:val="00637C91"/>
    <w:rsid w:val="0064059E"/>
    <w:rsid w:val="0064150F"/>
    <w:rsid w:val="006433C0"/>
    <w:rsid w:val="00643796"/>
    <w:rsid w:val="00643878"/>
    <w:rsid w:val="00643D69"/>
    <w:rsid w:val="00644AA8"/>
    <w:rsid w:val="00645CC4"/>
    <w:rsid w:val="006463DC"/>
    <w:rsid w:val="006477C9"/>
    <w:rsid w:val="00647C15"/>
    <w:rsid w:val="00650317"/>
    <w:rsid w:val="00650D61"/>
    <w:rsid w:val="006540A7"/>
    <w:rsid w:val="0065446F"/>
    <w:rsid w:val="006555F7"/>
    <w:rsid w:val="00655F0D"/>
    <w:rsid w:val="00656C0A"/>
    <w:rsid w:val="006572F6"/>
    <w:rsid w:val="006573DD"/>
    <w:rsid w:val="006608E8"/>
    <w:rsid w:val="0066176E"/>
    <w:rsid w:val="00661949"/>
    <w:rsid w:val="006619E2"/>
    <w:rsid w:val="0066267A"/>
    <w:rsid w:val="00663063"/>
    <w:rsid w:val="0066413E"/>
    <w:rsid w:val="0066424D"/>
    <w:rsid w:val="00664554"/>
    <w:rsid w:val="006653A6"/>
    <w:rsid w:val="00665689"/>
    <w:rsid w:val="00665C08"/>
    <w:rsid w:val="0066732D"/>
    <w:rsid w:val="00667505"/>
    <w:rsid w:val="0067002E"/>
    <w:rsid w:val="006701A0"/>
    <w:rsid w:val="00670A6A"/>
    <w:rsid w:val="00670D19"/>
    <w:rsid w:val="0067112A"/>
    <w:rsid w:val="0067139A"/>
    <w:rsid w:val="00671724"/>
    <w:rsid w:val="0067183F"/>
    <w:rsid w:val="0067216E"/>
    <w:rsid w:val="0067280F"/>
    <w:rsid w:val="00673B69"/>
    <w:rsid w:val="00680085"/>
    <w:rsid w:val="00680206"/>
    <w:rsid w:val="00680DB9"/>
    <w:rsid w:val="00682499"/>
    <w:rsid w:val="00683653"/>
    <w:rsid w:val="00683B18"/>
    <w:rsid w:val="0068490B"/>
    <w:rsid w:val="00684A47"/>
    <w:rsid w:val="00684ED1"/>
    <w:rsid w:val="0068590E"/>
    <w:rsid w:val="00686758"/>
    <w:rsid w:val="00687052"/>
    <w:rsid w:val="006906F8"/>
    <w:rsid w:val="00691370"/>
    <w:rsid w:val="00691B37"/>
    <w:rsid w:val="00691D74"/>
    <w:rsid w:val="00691FB0"/>
    <w:rsid w:val="006928D3"/>
    <w:rsid w:val="006930AB"/>
    <w:rsid w:val="00694BE7"/>
    <w:rsid w:val="0069601C"/>
    <w:rsid w:val="0069607E"/>
    <w:rsid w:val="00696843"/>
    <w:rsid w:val="006A03C8"/>
    <w:rsid w:val="006A08AD"/>
    <w:rsid w:val="006A0A80"/>
    <w:rsid w:val="006A1149"/>
    <w:rsid w:val="006A1F2A"/>
    <w:rsid w:val="006A23FD"/>
    <w:rsid w:val="006A34E7"/>
    <w:rsid w:val="006A4989"/>
    <w:rsid w:val="006A4D14"/>
    <w:rsid w:val="006A6BAF"/>
    <w:rsid w:val="006A77AD"/>
    <w:rsid w:val="006B0020"/>
    <w:rsid w:val="006B020D"/>
    <w:rsid w:val="006B0617"/>
    <w:rsid w:val="006B096D"/>
    <w:rsid w:val="006B0C48"/>
    <w:rsid w:val="006B1438"/>
    <w:rsid w:val="006B1E56"/>
    <w:rsid w:val="006B241F"/>
    <w:rsid w:val="006B275D"/>
    <w:rsid w:val="006B2F48"/>
    <w:rsid w:val="006B3395"/>
    <w:rsid w:val="006B35FD"/>
    <w:rsid w:val="006B4668"/>
    <w:rsid w:val="006B4E6B"/>
    <w:rsid w:val="006B4FFA"/>
    <w:rsid w:val="006B5B6F"/>
    <w:rsid w:val="006B5D50"/>
    <w:rsid w:val="006B7006"/>
    <w:rsid w:val="006B7738"/>
    <w:rsid w:val="006C08CA"/>
    <w:rsid w:val="006C225B"/>
    <w:rsid w:val="006C232A"/>
    <w:rsid w:val="006C26DE"/>
    <w:rsid w:val="006C2A96"/>
    <w:rsid w:val="006C4277"/>
    <w:rsid w:val="006C4DDE"/>
    <w:rsid w:val="006C52A8"/>
    <w:rsid w:val="006C5EAC"/>
    <w:rsid w:val="006C624E"/>
    <w:rsid w:val="006C7CD6"/>
    <w:rsid w:val="006D00C0"/>
    <w:rsid w:val="006D02BD"/>
    <w:rsid w:val="006D02E5"/>
    <w:rsid w:val="006D0926"/>
    <w:rsid w:val="006D0C63"/>
    <w:rsid w:val="006D10FE"/>
    <w:rsid w:val="006D16BA"/>
    <w:rsid w:val="006D233C"/>
    <w:rsid w:val="006D2343"/>
    <w:rsid w:val="006D4008"/>
    <w:rsid w:val="006D5B78"/>
    <w:rsid w:val="006D5F5E"/>
    <w:rsid w:val="006D6596"/>
    <w:rsid w:val="006D6A71"/>
    <w:rsid w:val="006D74CE"/>
    <w:rsid w:val="006E012C"/>
    <w:rsid w:val="006E0627"/>
    <w:rsid w:val="006E1EEA"/>
    <w:rsid w:val="006E20B0"/>
    <w:rsid w:val="006E3874"/>
    <w:rsid w:val="006E39F3"/>
    <w:rsid w:val="006E3FFD"/>
    <w:rsid w:val="006E4C7A"/>
    <w:rsid w:val="006E4D2B"/>
    <w:rsid w:val="006E4E23"/>
    <w:rsid w:val="006E5F88"/>
    <w:rsid w:val="006E6D9B"/>
    <w:rsid w:val="006E78B3"/>
    <w:rsid w:val="006E7E37"/>
    <w:rsid w:val="006F08F2"/>
    <w:rsid w:val="006F0B1E"/>
    <w:rsid w:val="006F10AD"/>
    <w:rsid w:val="006F15A9"/>
    <w:rsid w:val="006F2B9B"/>
    <w:rsid w:val="006F3300"/>
    <w:rsid w:val="006F4521"/>
    <w:rsid w:val="006F502C"/>
    <w:rsid w:val="006F748E"/>
    <w:rsid w:val="00700231"/>
    <w:rsid w:val="0070117C"/>
    <w:rsid w:val="007021F6"/>
    <w:rsid w:val="00702D75"/>
    <w:rsid w:val="00704A0B"/>
    <w:rsid w:val="007056A8"/>
    <w:rsid w:val="007058FE"/>
    <w:rsid w:val="007067E5"/>
    <w:rsid w:val="007071BD"/>
    <w:rsid w:val="00707705"/>
    <w:rsid w:val="0071088C"/>
    <w:rsid w:val="00711F0B"/>
    <w:rsid w:val="0071232C"/>
    <w:rsid w:val="00713BB6"/>
    <w:rsid w:val="007143A0"/>
    <w:rsid w:val="007143B6"/>
    <w:rsid w:val="00714B62"/>
    <w:rsid w:val="00714DCF"/>
    <w:rsid w:val="00717F50"/>
    <w:rsid w:val="0072140D"/>
    <w:rsid w:val="00721D0C"/>
    <w:rsid w:val="00723247"/>
    <w:rsid w:val="0072364B"/>
    <w:rsid w:val="00723A34"/>
    <w:rsid w:val="00723D75"/>
    <w:rsid w:val="0072491D"/>
    <w:rsid w:val="007255E0"/>
    <w:rsid w:val="007261F3"/>
    <w:rsid w:val="00726F7C"/>
    <w:rsid w:val="00730BDA"/>
    <w:rsid w:val="00730E59"/>
    <w:rsid w:val="007315B7"/>
    <w:rsid w:val="007319FB"/>
    <w:rsid w:val="007323CF"/>
    <w:rsid w:val="00733AFB"/>
    <w:rsid w:val="00734CC7"/>
    <w:rsid w:val="00734E45"/>
    <w:rsid w:val="0073516F"/>
    <w:rsid w:val="0074034F"/>
    <w:rsid w:val="007403E9"/>
    <w:rsid w:val="0074062D"/>
    <w:rsid w:val="007407F7"/>
    <w:rsid w:val="00740D22"/>
    <w:rsid w:val="007411BF"/>
    <w:rsid w:val="00741772"/>
    <w:rsid w:val="007417A5"/>
    <w:rsid w:val="00741D34"/>
    <w:rsid w:val="00743046"/>
    <w:rsid w:val="0074456C"/>
    <w:rsid w:val="00747015"/>
    <w:rsid w:val="00750039"/>
    <w:rsid w:val="007509BF"/>
    <w:rsid w:val="00750E71"/>
    <w:rsid w:val="00751023"/>
    <w:rsid w:val="00751FF7"/>
    <w:rsid w:val="00752619"/>
    <w:rsid w:val="0075291B"/>
    <w:rsid w:val="00752A2F"/>
    <w:rsid w:val="007532ED"/>
    <w:rsid w:val="007533F8"/>
    <w:rsid w:val="00753F98"/>
    <w:rsid w:val="00754035"/>
    <w:rsid w:val="00754200"/>
    <w:rsid w:val="007550E2"/>
    <w:rsid w:val="00756CC8"/>
    <w:rsid w:val="007572C5"/>
    <w:rsid w:val="0075764D"/>
    <w:rsid w:val="00757724"/>
    <w:rsid w:val="00757B17"/>
    <w:rsid w:val="00757DC5"/>
    <w:rsid w:val="00760C64"/>
    <w:rsid w:val="00760D13"/>
    <w:rsid w:val="007611F3"/>
    <w:rsid w:val="00762121"/>
    <w:rsid w:val="00763875"/>
    <w:rsid w:val="00763F61"/>
    <w:rsid w:val="00764F95"/>
    <w:rsid w:val="0076604C"/>
    <w:rsid w:val="0076627B"/>
    <w:rsid w:val="007664F8"/>
    <w:rsid w:val="00766767"/>
    <w:rsid w:val="00766A14"/>
    <w:rsid w:val="007676AB"/>
    <w:rsid w:val="00767DB0"/>
    <w:rsid w:val="0077020F"/>
    <w:rsid w:val="00770376"/>
    <w:rsid w:val="00770CCD"/>
    <w:rsid w:val="00771A39"/>
    <w:rsid w:val="00771DCA"/>
    <w:rsid w:val="00772D1B"/>
    <w:rsid w:val="00773002"/>
    <w:rsid w:val="0077303C"/>
    <w:rsid w:val="007730A0"/>
    <w:rsid w:val="00773F96"/>
    <w:rsid w:val="0077456D"/>
    <w:rsid w:val="00774EDA"/>
    <w:rsid w:val="00774FCD"/>
    <w:rsid w:val="00775B90"/>
    <w:rsid w:val="00775FA1"/>
    <w:rsid w:val="00775FBA"/>
    <w:rsid w:val="0077614F"/>
    <w:rsid w:val="0077686C"/>
    <w:rsid w:val="007768CA"/>
    <w:rsid w:val="00776D95"/>
    <w:rsid w:val="00776FD2"/>
    <w:rsid w:val="00780E89"/>
    <w:rsid w:val="00781475"/>
    <w:rsid w:val="007818C2"/>
    <w:rsid w:val="0078211C"/>
    <w:rsid w:val="007822B0"/>
    <w:rsid w:val="007828C6"/>
    <w:rsid w:val="00782EF5"/>
    <w:rsid w:val="00783A7F"/>
    <w:rsid w:val="00783E21"/>
    <w:rsid w:val="00784BF0"/>
    <w:rsid w:val="00785838"/>
    <w:rsid w:val="00785962"/>
    <w:rsid w:val="00786892"/>
    <w:rsid w:val="00786F1D"/>
    <w:rsid w:val="00787370"/>
    <w:rsid w:val="007876C0"/>
    <w:rsid w:val="007916E4"/>
    <w:rsid w:val="00791C15"/>
    <w:rsid w:val="007935F9"/>
    <w:rsid w:val="007943F7"/>
    <w:rsid w:val="00795A99"/>
    <w:rsid w:val="00796204"/>
    <w:rsid w:val="00797065"/>
    <w:rsid w:val="007A0B26"/>
    <w:rsid w:val="007A1ECC"/>
    <w:rsid w:val="007A37BA"/>
    <w:rsid w:val="007A4AB6"/>
    <w:rsid w:val="007A4C95"/>
    <w:rsid w:val="007A4F63"/>
    <w:rsid w:val="007A5B6F"/>
    <w:rsid w:val="007A6635"/>
    <w:rsid w:val="007A6BF6"/>
    <w:rsid w:val="007A6EC2"/>
    <w:rsid w:val="007A7BE9"/>
    <w:rsid w:val="007A7F45"/>
    <w:rsid w:val="007B02F7"/>
    <w:rsid w:val="007B0787"/>
    <w:rsid w:val="007B0BE5"/>
    <w:rsid w:val="007B1146"/>
    <w:rsid w:val="007B1187"/>
    <w:rsid w:val="007B2AEA"/>
    <w:rsid w:val="007B2F9C"/>
    <w:rsid w:val="007B355D"/>
    <w:rsid w:val="007B61B3"/>
    <w:rsid w:val="007B659D"/>
    <w:rsid w:val="007B687D"/>
    <w:rsid w:val="007B705D"/>
    <w:rsid w:val="007B7102"/>
    <w:rsid w:val="007B7BF7"/>
    <w:rsid w:val="007C047C"/>
    <w:rsid w:val="007C052F"/>
    <w:rsid w:val="007C2A02"/>
    <w:rsid w:val="007C3CBF"/>
    <w:rsid w:val="007C40E2"/>
    <w:rsid w:val="007C4F2A"/>
    <w:rsid w:val="007C66C0"/>
    <w:rsid w:val="007C6DD8"/>
    <w:rsid w:val="007D08EF"/>
    <w:rsid w:val="007D0A05"/>
    <w:rsid w:val="007D10F4"/>
    <w:rsid w:val="007D2143"/>
    <w:rsid w:val="007D2960"/>
    <w:rsid w:val="007D3C17"/>
    <w:rsid w:val="007D4D6A"/>
    <w:rsid w:val="007D5086"/>
    <w:rsid w:val="007D561E"/>
    <w:rsid w:val="007D590D"/>
    <w:rsid w:val="007D5B1F"/>
    <w:rsid w:val="007D67E4"/>
    <w:rsid w:val="007D6A20"/>
    <w:rsid w:val="007D6CD7"/>
    <w:rsid w:val="007D7B98"/>
    <w:rsid w:val="007E0C94"/>
    <w:rsid w:val="007E1242"/>
    <w:rsid w:val="007E1435"/>
    <w:rsid w:val="007E18A4"/>
    <w:rsid w:val="007E2653"/>
    <w:rsid w:val="007E33C4"/>
    <w:rsid w:val="007E4411"/>
    <w:rsid w:val="007E4688"/>
    <w:rsid w:val="007E5DB1"/>
    <w:rsid w:val="007E6221"/>
    <w:rsid w:val="007E7A13"/>
    <w:rsid w:val="007E7DDC"/>
    <w:rsid w:val="007F082E"/>
    <w:rsid w:val="007F13BA"/>
    <w:rsid w:val="007F1E2A"/>
    <w:rsid w:val="007F2E95"/>
    <w:rsid w:val="007F365A"/>
    <w:rsid w:val="007F47F0"/>
    <w:rsid w:val="00800717"/>
    <w:rsid w:val="00800D39"/>
    <w:rsid w:val="00801643"/>
    <w:rsid w:val="00801E29"/>
    <w:rsid w:val="00802E87"/>
    <w:rsid w:val="00803517"/>
    <w:rsid w:val="008043BC"/>
    <w:rsid w:val="00804AE1"/>
    <w:rsid w:val="00804F0B"/>
    <w:rsid w:val="00807422"/>
    <w:rsid w:val="0080746D"/>
    <w:rsid w:val="0081041D"/>
    <w:rsid w:val="00810504"/>
    <w:rsid w:val="00810E69"/>
    <w:rsid w:val="00810F1C"/>
    <w:rsid w:val="00813171"/>
    <w:rsid w:val="008144F0"/>
    <w:rsid w:val="0081457E"/>
    <w:rsid w:val="00815373"/>
    <w:rsid w:val="00815C3F"/>
    <w:rsid w:val="008160D1"/>
    <w:rsid w:val="0081637B"/>
    <w:rsid w:val="008164E3"/>
    <w:rsid w:val="008177A9"/>
    <w:rsid w:val="00820336"/>
    <w:rsid w:val="00820AC6"/>
    <w:rsid w:val="00820F52"/>
    <w:rsid w:val="00821981"/>
    <w:rsid w:val="00823224"/>
    <w:rsid w:val="008235A0"/>
    <w:rsid w:val="0082384F"/>
    <w:rsid w:val="008275AA"/>
    <w:rsid w:val="0083038D"/>
    <w:rsid w:val="00830B29"/>
    <w:rsid w:val="00830DDA"/>
    <w:rsid w:val="00830E68"/>
    <w:rsid w:val="00830F67"/>
    <w:rsid w:val="00832172"/>
    <w:rsid w:val="00832638"/>
    <w:rsid w:val="0083310C"/>
    <w:rsid w:val="008332FA"/>
    <w:rsid w:val="008346BF"/>
    <w:rsid w:val="0083575C"/>
    <w:rsid w:val="00836898"/>
    <w:rsid w:val="0083696C"/>
    <w:rsid w:val="00837057"/>
    <w:rsid w:val="008376A0"/>
    <w:rsid w:val="008376AC"/>
    <w:rsid w:val="008379E1"/>
    <w:rsid w:val="008412B2"/>
    <w:rsid w:val="008415FE"/>
    <w:rsid w:val="00841EE8"/>
    <w:rsid w:val="00842334"/>
    <w:rsid w:val="00842451"/>
    <w:rsid w:val="0084306C"/>
    <w:rsid w:val="00843841"/>
    <w:rsid w:val="008443DE"/>
    <w:rsid w:val="0084479E"/>
    <w:rsid w:val="008456F2"/>
    <w:rsid w:val="00846567"/>
    <w:rsid w:val="00846AE3"/>
    <w:rsid w:val="00846BBB"/>
    <w:rsid w:val="008470F0"/>
    <w:rsid w:val="008534B0"/>
    <w:rsid w:val="00853AE1"/>
    <w:rsid w:val="00853E03"/>
    <w:rsid w:val="00856F87"/>
    <w:rsid w:val="00856FFF"/>
    <w:rsid w:val="00857A01"/>
    <w:rsid w:val="00860995"/>
    <w:rsid w:val="008614A4"/>
    <w:rsid w:val="008626F5"/>
    <w:rsid w:val="008628E9"/>
    <w:rsid w:val="0086434A"/>
    <w:rsid w:val="008645A5"/>
    <w:rsid w:val="0086501B"/>
    <w:rsid w:val="00865CD7"/>
    <w:rsid w:val="00865CF2"/>
    <w:rsid w:val="008665F3"/>
    <w:rsid w:val="008674C5"/>
    <w:rsid w:val="00870005"/>
    <w:rsid w:val="00870115"/>
    <w:rsid w:val="00871493"/>
    <w:rsid w:val="008727A6"/>
    <w:rsid w:val="00872E03"/>
    <w:rsid w:val="00874A87"/>
    <w:rsid w:val="00874C85"/>
    <w:rsid w:val="00874FA5"/>
    <w:rsid w:val="00875100"/>
    <w:rsid w:val="00875380"/>
    <w:rsid w:val="00875621"/>
    <w:rsid w:val="00876655"/>
    <w:rsid w:val="00876FD7"/>
    <w:rsid w:val="008807DA"/>
    <w:rsid w:val="00882629"/>
    <w:rsid w:val="00882930"/>
    <w:rsid w:val="00883331"/>
    <w:rsid w:val="00883553"/>
    <w:rsid w:val="00883A6C"/>
    <w:rsid w:val="00884369"/>
    <w:rsid w:val="0088485C"/>
    <w:rsid w:val="00885ADB"/>
    <w:rsid w:val="008901FC"/>
    <w:rsid w:val="008903A5"/>
    <w:rsid w:val="0089047B"/>
    <w:rsid w:val="00890F46"/>
    <w:rsid w:val="0089250A"/>
    <w:rsid w:val="00892844"/>
    <w:rsid w:val="00892C5B"/>
    <w:rsid w:val="00892E1B"/>
    <w:rsid w:val="0089393C"/>
    <w:rsid w:val="008948F4"/>
    <w:rsid w:val="00894D9F"/>
    <w:rsid w:val="0089590D"/>
    <w:rsid w:val="00895DB8"/>
    <w:rsid w:val="00896B69"/>
    <w:rsid w:val="00897BF0"/>
    <w:rsid w:val="008A03F2"/>
    <w:rsid w:val="008A0446"/>
    <w:rsid w:val="008A1478"/>
    <w:rsid w:val="008A1618"/>
    <w:rsid w:val="008A2546"/>
    <w:rsid w:val="008A3365"/>
    <w:rsid w:val="008A4051"/>
    <w:rsid w:val="008A431E"/>
    <w:rsid w:val="008A49B3"/>
    <w:rsid w:val="008A54D7"/>
    <w:rsid w:val="008A5A4B"/>
    <w:rsid w:val="008A61E0"/>
    <w:rsid w:val="008A6F16"/>
    <w:rsid w:val="008B0644"/>
    <w:rsid w:val="008B13B1"/>
    <w:rsid w:val="008B14D7"/>
    <w:rsid w:val="008B2A4B"/>
    <w:rsid w:val="008B3084"/>
    <w:rsid w:val="008B30B7"/>
    <w:rsid w:val="008B31A4"/>
    <w:rsid w:val="008B35D6"/>
    <w:rsid w:val="008B55B7"/>
    <w:rsid w:val="008B5684"/>
    <w:rsid w:val="008B6133"/>
    <w:rsid w:val="008B6924"/>
    <w:rsid w:val="008B7144"/>
    <w:rsid w:val="008B719C"/>
    <w:rsid w:val="008B743E"/>
    <w:rsid w:val="008B78A7"/>
    <w:rsid w:val="008B7B84"/>
    <w:rsid w:val="008C3594"/>
    <w:rsid w:val="008C3899"/>
    <w:rsid w:val="008C38B0"/>
    <w:rsid w:val="008C56AF"/>
    <w:rsid w:val="008C5A25"/>
    <w:rsid w:val="008C711F"/>
    <w:rsid w:val="008D0A98"/>
    <w:rsid w:val="008D0C69"/>
    <w:rsid w:val="008D18EA"/>
    <w:rsid w:val="008D1CD2"/>
    <w:rsid w:val="008D25F4"/>
    <w:rsid w:val="008D3317"/>
    <w:rsid w:val="008D3857"/>
    <w:rsid w:val="008D3A62"/>
    <w:rsid w:val="008D4722"/>
    <w:rsid w:val="008D4FE5"/>
    <w:rsid w:val="008D5645"/>
    <w:rsid w:val="008D6A2D"/>
    <w:rsid w:val="008D774A"/>
    <w:rsid w:val="008D7AA0"/>
    <w:rsid w:val="008D7DFA"/>
    <w:rsid w:val="008E0084"/>
    <w:rsid w:val="008E0862"/>
    <w:rsid w:val="008E0B4C"/>
    <w:rsid w:val="008E13CB"/>
    <w:rsid w:val="008E14A7"/>
    <w:rsid w:val="008E2A59"/>
    <w:rsid w:val="008E2FB9"/>
    <w:rsid w:val="008E3C5A"/>
    <w:rsid w:val="008E5CAB"/>
    <w:rsid w:val="008E6FE8"/>
    <w:rsid w:val="008F1C8D"/>
    <w:rsid w:val="008F3A86"/>
    <w:rsid w:val="008F45EC"/>
    <w:rsid w:val="008F5409"/>
    <w:rsid w:val="008F5B60"/>
    <w:rsid w:val="008F612E"/>
    <w:rsid w:val="008F6C07"/>
    <w:rsid w:val="008F731C"/>
    <w:rsid w:val="009019A2"/>
    <w:rsid w:val="009021EB"/>
    <w:rsid w:val="0090251D"/>
    <w:rsid w:val="00903397"/>
    <w:rsid w:val="00903A9E"/>
    <w:rsid w:val="00903F13"/>
    <w:rsid w:val="0090429A"/>
    <w:rsid w:val="0090454E"/>
    <w:rsid w:val="00905ABF"/>
    <w:rsid w:val="0090603D"/>
    <w:rsid w:val="0090621F"/>
    <w:rsid w:val="009064E9"/>
    <w:rsid w:val="00906C1E"/>
    <w:rsid w:val="009075F7"/>
    <w:rsid w:val="00911C6F"/>
    <w:rsid w:val="0091201D"/>
    <w:rsid w:val="00912841"/>
    <w:rsid w:val="00912C95"/>
    <w:rsid w:val="00912E45"/>
    <w:rsid w:val="00914603"/>
    <w:rsid w:val="00914B0F"/>
    <w:rsid w:val="00915344"/>
    <w:rsid w:val="00915A79"/>
    <w:rsid w:val="00915BAC"/>
    <w:rsid w:val="00917D7D"/>
    <w:rsid w:val="00917F5C"/>
    <w:rsid w:val="00920344"/>
    <w:rsid w:val="009203D2"/>
    <w:rsid w:val="00920C99"/>
    <w:rsid w:val="00922422"/>
    <w:rsid w:val="00923005"/>
    <w:rsid w:val="0092352A"/>
    <w:rsid w:val="0092393F"/>
    <w:rsid w:val="00923A78"/>
    <w:rsid w:val="00923EB4"/>
    <w:rsid w:val="009251A0"/>
    <w:rsid w:val="009253AA"/>
    <w:rsid w:val="00925584"/>
    <w:rsid w:val="009262FB"/>
    <w:rsid w:val="00926B45"/>
    <w:rsid w:val="0092728B"/>
    <w:rsid w:val="0092764B"/>
    <w:rsid w:val="009278A8"/>
    <w:rsid w:val="009278ED"/>
    <w:rsid w:val="00930D4B"/>
    <w:rsid w:val="00931168"/>
    <w:rsid w:val="009315D3"/>
    <w:rsid w:val="00932A97"/>
    <w:rsid w:val="00932CA7"/>
    <w:rsid w:val="00932D31"/>
    <w:rsid w:val="00933041"/>
    <w:rsid w:val="00933336"/>
    <w:rsid w:val="00934DE9"/>
    <w:rsid w:val="00934ECC"/>
    <w:rsid w:val="009362B2"/>
    <w:rsid w:val="00936366"/>
    <w:rsid w:val="009365B4"/>
    <w:rsid w:val="00936C17"/>
    <w:rsid w:val="00936DBF"/>
    <w:rsid w:val="00937994"/>
    <w:rsid w:val="00937CFE"/>
    <w:rsid w:val="00940BCF"/>
    <w:rsid w:val="0094258A"/>
    <w:rsid w:val="0094384A"/>
    <w:rsid w:val="00943BB9"/>
    <w:rsid w:val="009446CE"/>
    <w:rsid w:val="00944EB1"/>
    <w:rsid w:val="0094658D"/>
    <w:rsid w:val="00946897"/>
    <w:rsid w:val="0094759A"/>
    <w:rsid w:val="009520BC"/>
    <w:rsid w:val="00953FE2"/>
    <w:rsid w:val="00954836"/>
    <w:rsid w:val="00954C1E"/>
    <w:rsid w:val="00954DFC"/>
    <w:rsid w:val="00955C53"/>
    <w:rsid w:val="00956C80"/>
    <w:rsid w:val="00956D18"/>
    <w:rsid w:val="00956E5F"/>
    <w:rsid w:val="00957B09"/>
    <w:rsid w:val="00957B48"/>
    <w:rsid w:val="00960238"/>
    <w:rsid w:val="00961623"/>
    <w:rsid w:val="00961FA3"/>
    <w:rsid w:val="0096243F"/>
    <w:rsid w:val="00962662"/>
    <w:rsid w:val="0096304A"/>
    <w:rsid w:val="0096316F"/>
    <w:rsid w:val="00963867"/>
    <w:rsid w:val="00963B8F"/>
    <w:rsid w:val="00963F42"/>
    <w:rsid w:val="0096462B"/>
    <w:rsid w:val="00966871"/>
    <w:rsid w:val="00967466"/>
    <w:rsid w:val="00967E5D"/>
    <w:rsid w:val="00970488"/>
    <w:rsid w:val="00971234"/>
    <w:rsid w:val="00971BA8"/>
    <w:rsid w:val="00972BCA"/>
    <w:rsid w:val="00972F6C"/>
    <w:rsid w:val="00973128"/>
    <w:rsid w:val="00974424"/>
    <w:rsid w:val="00976DE8"/>
    <w:rsid w:val="00977650"/>
    <w:rsid w:val="00977692"/>
    <w:rsid w:val="00977941"/>
    <w:rsid w:val="009803D6"/>
    <w:rsid w:val="00980C8E"/>
    <w:rsid w:val="00981B84"/>
    <w:rsid w:val="00984842"/>
    <w:rsid w:val="00984BF6"/>
    <w:rsid w:val="00985B32"/>
    <w:rsid w:val="009864F7"/>
    <w:rsid w:val="009866E4"/>
    <w:rsid w:val="009876FA"/>
    <w:rsid w:val="00990428"/>
    <w:rsid w:val="009905FE"/>
    <w:rsid w:val="00991DAD"/>
    <w:rsid w:val="00991F82"/>
    <w:rsid w:val="009947AA"/>
    <w:rsid w:val="00994C06"/>
    <w:rsid w:val="0099600A"/>
    <w:rsid w:val="00996FD4"/>
    <w:rsid w:val="009A026F"/>
    <w:rsid w:val="009A1833"/>
    <w:rsid w:val="009A1854"/>
    <w:rsid w:val="009A264F"/>
    <w:rsid w:val="009A3A89"/>
    <w:rsid w:val="009A3FF8"/>
    <w:rsid w:val="009A4E15"/>
    <w:rsid w:val="009A5571"/>
    <w:rsid w:val="009A5AA5"/>
    <w:rsid w:val="009A6319"/>
    <w:rsid w:val="009A643B"/>
    <w:rsid w:val="009A6AE6"/>
    <w:rsid w:val="009A6B0C"/>
    <w:rsid w:val="009A75E2"/>
    <w:rsid w:val="009A7B92"/>
    <w:rsid w:val="009A7BFF"/>
    <w:rsid w:val="009A7E9E"/>
    <w:rsid w:val="009B07F5"/>
    <w:rsid w:val="009B1D25"/>
    <w:rsid w:val="009B20D1"/>
    <w:rsid w:val="009B2246"/>
    <w:rsid w:val="009B24A6"/>
    <w:rsid w:val="009B2E8A"/>
    <w:rsid w:val="009B2ED6"/>
    <w:rsid w:val="009B33CE"/>
    <w:rsid w:val="009B4AE5"/>
    <w:rsid w:val="009B5744"/>
    <w:rsid w:val="009B5F26"/>
    <w:rsid w:val="009B679C"/>
    <w:rsid w:val="009B6C1F"/>
    <w:rsid w:val="009B6D71"/>
    <w:rsid w:val="009B7132"/>
    <w:rsid w:val="009B73CA"/>
    <w:rsid w:val="009C1FE5"/>
    <w:rsid w:val="009C1FF4"/>
    <w:rsid w:val="009C32C2"/>
    <w:rsid w:val="009C4368"/>
    <w:rsid w:val="009C49F6"/>
    <w:rsid w:val="009C7782"/>
    <w:rsid w:val="009D08D3"/>
    <w:rsid w:val="009D0A76"/>
    <w:rsid w:val="009D0B4F"/>
    <w:rsid w:val="009D1D59"/>
    <w:rsid w:val="009D3198"/>
    <w:rsid w:val="009D3958"/>
    <w:rsid w:val="009D3EBF"/>
    <w:rsid w:val="009D414F"/>
    <w:rsid w:val="009D56A7"/>
    <w:rsid w:val="009D57A2"/>
    <w:rsid w:val="009D5FA4"/>
    <w:rsid w:val="009D6090"/>
    <w:rsid w:val="009D7A57"/>
    <w:rsid w:val="009E053A"/>
    <w:rsid w:val="009E0D64"/>
    <w:rsid w:val="009E0E63"/>
    <w:rsid w:val="009E0E79"/>
    <w:rsid w:val="009E1CB3"/>
    <w:rsid w:val="009E20F2"/>
    <w:rsid w:val="009E230D"/>
    <w:rsid w:val="009E2E2A"/>
    <w:rsid w:val="009E3112"/>
    <w:rsid w:val="009E5FBC"/>
    <w:rsid w:val="009E6208"/>
    <w:rsid w:val="009E6D69"/>
    <w:rsid w:val="009E728A"/>
    <w:rsid w:val="009E72D5"/>
    <w:rsid w:val="009E7C91"/>
    <w:rsid w:val="009F08AA"/>
    <w:rsid w:val="009F092A"/>
    <w:rsid w:val="009F109A"/>
    <w:rsid w:val="009F1779"/>
    <w:rsid w:val="009F2AA7"/>
    <w:rsid w:val="009F4A35"/>
    <w:rsid w:val="009F56BE"/>
    <w:rsid w:val="009F5E4F"/>
    <w:rsid w:val="009F6EA7"/>
    <w:rsid w:val="009F7A91"/>
    <w:rsid w:val="009F7EB6"/>
    <w:rsid w:val="00A00099"/>
    <w:rsid w:val="00A006C8"/>
    <w:rsid w:val="00A0188B"/>
    <w:rsid w:val="00A02997"/>
    <w:rsid w:val="00A02F09"/>
    <w:rsid w:val="00A041C0"/>
    <w:rsid w:val="00A04927"/>
    <w:rsid w:val="00A0591A"/>
    <w:rsid w:val="00A05D53"/>
    <w:rsid w:val="00A0627A"/>
    <w:rsid w:val="00A10BFD"/>
    <w:rsid w:val="00A1258A"/>
    <w:rsid w:val="00A13494"/>
    <w:rsid w:val="00A14D75"/>
    <w:rsid w:val="00A1501B"/>
    <w:rsid w:val="00A15421"/>
    <w:rsid w:val="00A15DF8"/>
    <w:rsid w:val="00A16002"/>
    <w:rsid w:val="00A16906"/>
    <w:rsid w:val="00A203F8"/>
    <w:rsid w:val="00A21015"/>
    <w:rsid w:val="00A2180D"/>
    <w:rsid w:val="00A23A46"/>
    <w:rsid w:val="00A23A9B"/>
    <w:rsid w:val="00A25A83"/>
    <w:rsid w:val="00A26585"/>
    <w:rsid w:val="00A265CE"/>
    <w:rsid w:val="00A26723"/>
    <w:rsid w:val="00A27158"/>
    <w:rsid w:val="00A275B0"/>
    <w:rsid w:val="00A27E33"/>
    <w:rsid w:val="00A30ED4"/>
    <w:rsid w:val="00A31756"/>
    <w:rsid w:val="00A31EA4"/>
    <w:rsid w:val="00A32B5D"/>
    <w:rsid w:val="00A33173"/>
    <w:rsid w:val="00A36DDE"/>
    <w:rsid w:val="00A37D33"/>
    <w:rsid w:val="00A37DC4"/>
    <w:rsid w:val="00A37E82"/>
    <w:rsid w:val="00A4008D"/>
    <w:rsid w:val="00A40194"/>
    <w:rsid w:val="00A40548"/>
    <w:rsid w:val="00A40B45"/>
    <w:rsid w:val="00A428C8"/>
    <w:rsid w:val="00A44B29"/>
    <w:rsid w:val="00A44CA0"/>
    <w:rsid w:val="00A45557"/>
    <w:rsid w:val="00A47714"/>
    <w:rsid w:val="00A477AE"/>
    <w:rsid w:val="00A47B0C"/>
    <w:rsid w:val="00A501D3"/>
    <w:rsid w:val="00A50FC1"/>
    <w:rsid w:val="00A519F2"/>
    <w:rsid w:val="00A5334C"/>
    <w:rsid w:val="00A54759"/>
    <w:rsid w:val="00A54D83"/>
    <w:rsid w:val="00A5609B"/>
    <w:rsid w:val="00A5769B"/>
    <w:rsid w:val="00A576B7"/>
    <w:rsid w:val="00A6159C"/>
    <w:rsid w:val="00A6491F"/>
    <w:rsid w:val="00A65201"/>
    <w:rsid w:val="00A65A42"/>
    <w:rsid w:val="00A65AE2"/>
    <w:rsid w:val="00A6636F"/>
    <w:rsid w:val="00A670E0"/>
    <w:rsid w:val="00A67942"/>
    <w:rsid w:val="00A67D2D"/>
    <w:rsid w:val="00A700F1"/>
    <w:rsid w:val="00A70430"/>
    <w:rsid w:val="00A707C7"/>
    <w:rsid w:val="00A7115B"/>
    <w:rsid w:val="00A72465"/>
    <w:rsid w:val="00A727F6"/>
    <w:rsid w:val="00A7289D"/>
    <w:rsid w:val="00A729C7"/>
    <w:rsid w:val="00A72B9B"/>
    <w:rsid w:val="00A73923"/>
    <w:rsid w:val="00A75EAB"/>
    <w:rsid w:val="00A76935"/>
    <w:rsid w:val="00A77292"/>
    <w:rsid w:val="00A807DB"/>
    <w:rsid w:val="00A80F97"/>
    <w:rsid w:val="00A810F5"/>
    <w:rsid w:val="00A81330"/>
    <w:rsid w:val="00A831F9"/>
    <w:rsid w:val="00A8379F"/>
    <w:rsid w:val="00A839DD"/>
    <w:rsid w:val="00A8563C"/>
    <w:rsid w:val="00A85F8C"/>
    <w:rsid w:val="00A906CF"/>
    <w:rsid w:val="00A90EFE"/>
    <w:rsid w:val="00A91B15"/>
    <w:rsid w:val="00A92033"/>
    <w:rsid w:val="00A92572"/>
    <w:rsid w:val="00A96755"/>
    <w:rsid w:val="00A96A20"/>
    <w:rsid w:val="00A96C51"/>
    <w:rsid w:val="00A97156"/>
    <w:rsid w:val="00A975F3"/>
    <w:rsid w:val="00A977C8"/>
    <w:rsid w:val="00A97B2E"/>
    <w:rsid w:val="00AA037C"/>
    <w:rsid w:val="00AA08E8"/>
    <w:rsid w:val="00AA095A"/>
    <w:rsid w:val="00AA2895"/>
    <w:rsid w:val="00AA2C24"/>
    <w:rsid w:val="00AA2E59"/>
    <w:rsid w:val="00AA51FD"/>
    <w:rsid w:val="00AB0AFD"/>
    <w:rsid w:val="00AB0F10"/>
    <w:rsid w:val="00AB23E5"/>
    <w:rsid w:val="00AB5CB4"/>
    <w:rsid w:val="00AB6400"/>
    <w:rsid w:val="00AC0777"/>
    <w:rsid w:val="00AC086B"/>
    <w:rsid w:val="00AC1D9F"/>
    <w:rsid w:val="00AC1E2A"/>
    <w:rsid w:val="00AC34C7"/>
    <w:rsid w:val="00AC4066"/>
    <w:rsid w:val="00AC4C75"/>
    <w:rsid w:val="00AC4E3D"/>
    <w:rsid w:val="00AC4F58"/>
    <w:rsid w:val="00AC5DBE"/>
    <w:rsid w:val="00AC6247"/>
    <w:rsid w:val="00AC630A"/>
    <w:rsid w:val="00AC6F05"/>
    <w:rsid w:val="00AC740B"/>
    <w:rsid w:val="00AC785C"/>
    <w:rsid w:val="00AC7A76"/>
    <w:rsid w:val="00AD01EC"/>
    <w:rsid w:val="00AD143E"/>
    <w:rsid w:val="00AD23D1"/>
    <w:rsid w:val="00AD3C2C"/>
    <w:rsid w:val="00AD460F"/>
    <w:rsid w:val="00AD4BB0"/>
    <w:rsid w:val="00AD5235"/>
    <w:rsid w:val="00AD61D7"/>
    <w:rsid w:val="00AD6CE7"/>
    <w:rsid w:val="00AD7D49"/>
    <w:rsid w:val="00AE0692"/>
    <w:rsid w:val="00AE1014"/>
    <w:rsid w:val="00AE11BA"/>
    <w:rsid w:val="00AE1904"/>
    <w:rsid w:val="00AE1EFA"/>
    <w:rsid w:val="00AE2FFB"/>
    <w:rsid w:val="00AE35F8"/>
    <w:rsid w:val="00AE403B"/>
    <w:rsid w:val="00AE44C4"/>
    <w:rsid w:val="00AE473F"/>
    <w:rsid w:val="00AE5767"/>
    <w:rsid w:val="00AE6861"/>
    <w:rsid w:val="00AE6B0D"/>
    <w:rsid w:val="00AE716B"/>
    <w:rsid w:val="00AE72C8"/>
    <w:rsid w:val="00AE742C"/>
    <w:rsid w:val="00AE7490"/>
    <w:rsid w:val="00AF1614"/>
    <w:rsid w:val="00AF1A13"/>
    <w:rsid w:val="00AF22DC"/>
    <w:rsid w:val="00AF26E2"/>
    <w:rsid w:val="00AF3067"/>
    <w:rsid w:val="00AF6BF8"/>
    <w:rsid w:val="00AF7E77"/>
    <w:rsid w:val="00AF7EA5"/>
    <w:rsid w:val="00B0027C"/>
    <w:rsid w:val="00B0050E"/>
    <w:rsid w:val="00B015AA"/>
    <w:rsid w:val="00B0239C"/>
    <w:rsid w:val="00B02530"/>
    <w:rsid w:val="00B0435E"/>
    <w:rsid w:val="00B044D6"/>
    <w:rsid w:val="00B046D9"/>
    <w:rsid w:val="00B05FCE"/>
    <w:rsid w:val="00B06341"/>
    <w:rsid w:val="00B07C3D"/>
    <w:rsid w:val="00B101AB"/>
    <w:rsid w:val="00B108AC"/>
    <w:rsid w:val="00B10A0D"/>
    <w:rsid w:val="00B11C6C"/>
    <w:rsid w:val="00B11F3D"/>
    <w:rsid w:val="00B125C0"/>
    <w:rsid w:val="00B1324D"/>
    <w:rsid w:val="00B1351A"/>
    <w:rsid w:val="00B1527B"/>
    <w:rsid w:val="00B1562E"/>
    <w:rsid w:val="00B1567D"/>
    <w:rsid w:val="00B20224"/>
    <w:rsid w:val="00B22898"/>
    <w:rsid w:val="00B2311A"/>
    <w:rsid w:val="00B2428C"/>
    <w:rsid w:val="00B27475"/>
    <w:rsid w:val="00B300F7"/>
    <w:rsid w:val="00B303BB"/>
    <w:rsid w:val="00B310C5"/>
    <w:rsid w:val="00B327E3"/>
    <w:rsid w:val="00B32AFC"/>
    <w:rsid w:val="00B334C2"/>
    <w:rsid w:val="00B33B26"/>
    <w:rsid w:val="00B34BCA"/>
    <w:rsid w:val="00B356BF"/>
    <w:rsid w:val="00B3656D"/>
    <w:rsid w:val="00B3701F"/>
    <w:rsid w:val="00B3721C"/>
    <w:rsid w:val="00B37F48"/>
    <w:rsid w:val="00B418E9"/>
    <w:rsid w:val="00B42C73"/>
    <w:rsid w:val="00B42E2C"/>
    <w:rsid w:val="00B4337B"/>
    <w:rsid w:val="00B44D8F"/>
    <w:rsid w:val="00B44E58"/>
    <w:rsid w:val="00B47BEF"/>
    <w:rsid w:val="00B50B0E"/>
    <w:rsid w:val="00B50E66"/>
    <w:rsid w:val="00B50F79"/>
    <w:rsid w:val="00B5179A"/>
    <w:rsid w:val="00B52ADC"/>
    <w:rsid w:val="00B53A91"/>
    <w:rsid w:val="00B54262"/>
    <w:rsid w:val="00B54B3B"/>
    <w:rsid w:val="00B54B82"/>
    <w:rsid w:val="00B55AEB"/>
    <w:rsid w:val="00B5622A"/>
    <w:rsid w:val="00B5660D"/>
    <w:rsid w:val="00B572BC"/>
    <w:rsid w:val="00B60624"/>
    <w:rsid w:val="00B60E31"/>
    <w:rsid w:val="00B610FB"/>
    <w:rsid w:val="00B63748"/>
    <w:rsid w:val="00B6400F"/>
    <w:rsid w:val="00B64500"/>
    <w:rsid w:val="00B655B3"/>
    <w:rsid w:val="00B65896"/>
    <w:rsid w:val="00B665C5"/>
    <w:rsid w:val="00B6715B"/>
    <w:rsid w:val="00B678E0"/>
    <w:rsid w:val="00B70080"/>
    <w:rsid w:val="00B71B98"/>
    <w:rsid w:val="00B71E1D"/>
    <w:rsid w:val="00B72AED"/>
    <w:rsid w:val="00B73AD9"/>
    <w:rsid w:val="00B746BC"/>
    <w:rsid w:val="00B74AE2"/>
    <w:rsid w:val="00B74CC7"/>
    <w:rsid w:val="00B74F8D"/>
    <w:rsid w:val="00B758A9"/>
    <w:rsid w:val="00B75BB6"/>
    <w:rsid w:val="00B76B71"/>
    <w:rsid w:val="00B76C2D"/>
    <w:rsid w:val="00B77031"/>
    <w:rsid w:val="00B77693"/>
    <w:rsid w:val="00B77810"/>
    <w:rsid w:val="00B77A96"/>
    <w:rsid w:val="00B77AED"/>
    <w:rsid w:val="00B8001A"/>
    <w:rsid w:val="00B8392E"/>
    <w:rsid w:val="00B83BE7"/>
    <w:rsid w:val="00B84ECF"/>
    <w:rsid w:val="00B85A6A"/>
    <w:rsid w:val="00B85D9A"/>
    <w:rsid w:val="00B86377"/>
    <w:rsid w:val="00B866F8"/>
    <w:rsid w:val="00B87069"/>
    <w:rsid w:val="00B905FA"/>
    <w:rsid w:val="00B90A5B"/>
    <w:rsid w:val="00B92DE6"/>
    <w:rsid w:val="00B937EB"/>
    <w:rsid w:val="00B9446F"/>
    <w:rsid w:val="00B95AE3"/>
    <w:rsid w:val="00B9620F"/>
    <w:rsid w:val="00B9644B"/>
    <w:rsid w:val="00B966D6"/>
    <w:rsid w:val="00B971F8"/>
    <w:rsid w:val="00B97EED"/>
    <w:rsid w:val="00BA02CC"/>
    <w:rsid w:val="00BA0617"/>
    <w:rsid w:val="00BA1506"/>
    <w:rsid w:val="00BA24C1"/>
    <w:rsid w:val="00BA31DB"/>
    <w:rsid w:val="00BA34A4"/>
    <w:rsid w:val="00BA3D79"/>
    <w:rsid w:val="00BA5826"/>
    <w:rsid w:val="00BA5C8E"/>
    <w:rsid w:val="00BA618A"/>
    <w:rsid w:val="00BA6A17"/>
    <w:rsid w:val="00BA719C"/>
    <w:rsid w:val="00BA7308"/>
    <w:rsid w:val="00BA73C9"/>
    <w:rsid w:val="00BA74FE"/>
    <w:rsid w:val="00BB0D73"/>
    <w:rsid w:val="00BB0E36"/>
    <w:rsid w:val="00BB1066"/>
    <w:rsid w:val="00BB1BD6"/>
    <w:rsid w:val="00BB20E0"/>
    <w:rsid w:val="00BB3A8F"/>
    <w:rsid w:val="00BB4230"/>
    <w:rsid w:val="00BB4320"/>
    <w:rsid w:val="00BB7548"/>
    <w:rsid w:val="00BB7914"/>
    <w:rsid w:val="00BB7DF5"/>
    <w:rsid w:val="00BC0172"/>
    <w:rsid w:val="00BC170A"/>
    <w:rsid w:val="00BC26EB"/>
    <w:rsid w:val="00BC315E"/>
    <w:rsid w:val="00BC32B6"/>
    <w:rsid w:val="00BC3401"/>
    <w:rsid w:val="00BC4651"/>
    <w:rsid w:val="00BC490A"/>
    <w:rsid w:val="00BC4FE0"/>
    <w:rsid w:val="00BC549E"/>
    <w:rsid w:val="00BC54A0"/>
    <w:rsid w:val="00BC5E1D"/>
    <w:rsid w:val="00BC7EAD"/>
    <w:rsid w:val="00BD0DE1"/>
    <w:rsid w:val="00BD0F9A"/>
    <w:rsid w:val="00BD13DA"/>
    <w:rsid w:val="00BD1510"/>
    <w:rsid w:val="00BD1EF3"/>
    <w:rsid w:val="00BD3F24"/>
    <w:rsid w:val="00BD40A8"/>
    <w:rsid w:val="00BD41F7"/>
    <w:rsid w:val="00BD5557"/>
    <w:rsid w:val="00BD748B"/>
    <w:rsid w:val="00BD7799"/>
    <w:rsid w:val="00BE00A0"/>
    <w:rsid w:val="00BE012D"/>
    <w:rsid w:val="00BE0D2A"/>
    <w:rsid w:val="00BE3A58"/>
    <w:rsid w:val="00BE516D"/>
    <w:rsid w:val="00BE51BF"/>
    <w:rsid w:val="00BE59CB"/>
    <w:rsid w:val="00BF22E5"/>
    <w:rsid w:val="00BF24F2"/>
    <w:rsid w:val="00BF3748"/>
    <w:rsid w:val="00BF39DB"/>
    <w:rsid w:val="00BF4339"/>
    <w:rsid w:val="00BF4402"/>
    <w:rsid w:val="00BF6298"/>
    <w:rsid w:val="00BF75CA"/>
    <w:rsid w:val="00C004C0"/>
    <w:rsid w:val="00C011A0"/>
    <w:rsid w:val="00C01C7C"/>
    <w:rsid w:val="00C02DAF"/>
    <w:rsid w:val="00C036F9"/>
    <w:rsid w:val="00C03C31"/>
    <w:rsid w:val="00C04735"/>
    <w:rsid w:val="00C0478F"/>
    <w:rsid w:val="00C05DF9"/>
    <w:rsid w:val="00C064C7"/>
    <w:rsid w:val="00C0675C"/>
    <w:rsid w:val="00C06828"/>
    <w:rsid w:val="00C076EF"/>
    <w:rsid w:val="00C106BF"/>
    <w:rsid w:val="00C117B5"/>
    <w:rsid w:val="00C11C93"/>
    <w:rsid w:val="00C12495"/>
    <w:rsid w:val="00C1431F"/>
    <w:rsid w:val="00C14431"/>
    <w:rsid w:val="00C16761"/>
    <w:rsid w:val="00C17AA9"/>
    <w:rsid w:val="00C23238"/>
    <w:rsid w:val="00C23716"/>
    <w:rsid w:val="00C246AA"/>
    <w:rsid w:val="00C2569D"/>
    <w:rsid w:val="00C25FD2"/>
    <w:rsid w:val="00C26584"/>
    <w:rsid w:val="00C26C2B"/>
    <w:rsid w:val="00C2721C"/>
    <w:rsid w:val="00C273BA"/>
    <w:rsid w:val="00C31B95"/>
    <w:rsid w:val="00C32E25"/>
    <w:rsid w:val="00C33599"/>
    <w:rsid w:val="00C344AD"/>
    <w:rsid w:val="00C3487F"/>
    <w:rsid w:val="00C34C76"/>
    <w:rsid w:val="00C37099"/>
    <w:rsid w:val="00C40E02"/>
    <w:rsid w:val="00C40F48"/>
    <w:rsid w:val="00C44014"/>
    <w:rsid w:val="00C44234"/>
    <w:rsid w:val="00C45420"/>
    <w:rsid w:val="00C47874"/>
    <w:rsid w:val="00C479C9"/>
    <w:rsid w:val="00C5006B"/>
    <w:rsid w:val="00C50A86"/>
    <w:rsid w:val="00C50F98"/>
    <w:rsid w:val="00C51513"/>
    <w:rsid w:val="00C51B41"/>
    <w:rsid w:val="00C51E7B"/>
    <w:rsid w:val="00C5320F"/>
    <w:rsid w:val="00C537CC"/>
    <w:rsid w:val="00C53E42"/>
    <w:rsid w:val="00C547BA"/>
    <w:rsid w:val="00C54E9C"/>
    <w:rsid w:val="00C56839"/>
    <w:rsid w:val="00C568CE"/>
    <w:rsid w:val="00C56A9B"/>
    <w:rsid w:val="00C57332"/>
    <w:rsid w:val="00C57D83"/>
    <w:rsid w:val="00C61ED8"/>
    <w:rsid w:val="00C644F5"/>
    <w:rsid w:val="00C64CB9"/>
    <w:rsid w:val="00C65126"/>
    <w:rsid w:val="00C65558"/>
    <w:rsid w:val="00C6590A"/>
    <w:rsid w:val="00C66AAD"/>
    <w:rsid w:val="00C730AE"/>
    <w:rsid w:val="00C7334E"/>
    <w:rsid w:val="00C73447"/>
    <w:rsid w:val="00C73DB1"/>
    <w:rsid w:val="00C741E9"/>
    <w:rsid w:val="00C74825"/>
    <w:rsid w:val="00C74CBC"/>
    <w:rsid w:val="00C76FAA"/>
    <w:rsid w:val="00C8163F"/>
    <w:rsid w:val="00C8180A"/>
    <w:rsid w:val="00C81A10"/>
    <w:rsid w:val="00C83671"/>
    <w:rsid w:val="00C84D87"/>
    <w:rsid w:val="00C851A9"/>
    <w:rsid w:val="00C852F9"/>
    <w:rsid w:val="00C875A6"/>
    <w:rsid w:val="00C87CDB"/>
    <w:rsid w:val="00C90CDD"/>
    <w:rsid w:val="00C93274"/>
    <w:rsid w:val="00C937D2"/>
    <w:rsid w:val="00C96571"/>
    <w:rsid w:val="00C96D2E"/>
    <w:rsid w:val="00C973FB"/>
    <w:rsid w:val="00C9745F"/>
    <w:rsid w:val="00C97BF4"/>
    <w:rsid w:val="00CA14B9"/>
    <w:rsid w:val="00CA3135"/>
    <w:rsid w:val="00CA4287"/>
    <w:rsid w:val="00CA42AC"/>
    <w:rsid w:val="00CA4A14"/>
    <w:rsid w:val="00CA52A1"/>
    <w:rsid w:val="00CA5739"/>
    <w:rsid w:val="00CA6A72"/>
    <w:rsid w:val="00CA6D31"/>
    <w:rsid w:val="00CA75BE"/>
    <w:rsid w:val="00CB01F4"/>
    <w:rsid w:val="00CB05F4"/>
    <w:rsid w:val="00CB0F37"/>
    <w:rsid w:val="00CB1653"/>
    <w:rsid w:val="00CB1C83"/>
    <w:rsid w:val="00CB2118"/>
    <w:rsid w:val="00CB23FA"/>
    <w:rsid w:val="00CB3FDC"/>
    <w:rsid w:val="00CB44EE"/>
    <w:rsid w:val="00CB5AF8"/>
    <w:rsid w:val="00CB5C00"/>
    <w:rsid w:val="00CB5EED"/>
    <w:rsid w:val="00CB6227"/>
    <w:rsid w:val="00CB7423"/>
    <w:rsid w:val="00CB7B28"/>
    <w:rsid w:val="00CC18E6"/>
    <w:rsid w:val="00CC35D1"/>
    <w:rsid w:val="00CC3D33"/>
    <w:rsid w:val="00CC429B"/>
    <w:rsid w:val="00CC504C"/>
    <w:rsid w:val="00CC50AD"/>
    <w:rsid w:val="00CC5345"/>
    <w:rsid w:val="00CC5589"/>
    <w:rsid w:val="00CC7C38"/>
    <w:rsid w:val="00CC7D8C"/>
    <w:rsid w:val="00CD01BA"/>
    <w:rsid w:val="00CD15AC"/>
    <w:rsid w:val="00CD168E"/>
    <w:rsid w:val="00CD186A"/>
    <w:rsid w:val="00CD1891"/>
    <w:rsid w:val="00CD312D"/>
    <w:rsid w:val="00CD3337"/>
    <w:rsid w:val="00CD343C"/>
    <w:rsid w:val="00CD3F15"/>
    <w:rsid w:val="00CD521A"/>
    <w:rsid w:val="00CD6756"/>
    <w:rsid w:val="00CD6803"/>
    <w:rsid w:val="00CD70E7"/>
    <w:rsid w:val="00CE098C"/>
    <w:rsid w:val="00CE0DD1"/>
    <w:rsid w:val="00CE10FD"/>
    <w:rsid w:val="00CE2098"/>
    <w:rsid w:val="00CE355A"/>
    <w:rsid w:val="00CE3E77"/>
    <w:rsid w:val="00CE4B1B"/>
    <w:rsid w:val="00CE4D39"/>
    <w:rsid w:val="00CE5DAC"/>
    <w:rsid w:val="00CE7932"/>
    <w:rsid w:val="00CF1ADB"/>
    <w:rsid w:val="00CF29CE"/>
    <w:rsid w:val="00CF2A16"/>
    <w:rsid w:val="00CF3A03"/>
    <w:rsid w:val="00CF3A95"/>
    <w:rsid w:val="00CF543D"/>
    <w:rsid w:val="00CF553A"/>
    <w:rsid w:val="00CF5D27"/>
    <w:rsid w:val="00CF64A2"/>
    <w:rsid w:val="00CF6835"/>
    <w:rsid w:val="00CF6893"/>
    <w:rsid w:val="00CF6DF3"/>
    <w:rsid w:val="00D004C3"/>
    <w:rsid w:val="00D01466"/>
    <w:rsid w:val="00D01F31"/>
    <w:rsid w:val="00D021D8"/>
    <w:rsid w:val="00D03132"/>
    <w:rsid w:val="00D03FBB"/>
    <w:rsid w:val="00D04777"/>
    <w:rsid w:val="00D056ED"/>
    <w:rsid w:val="00D05D29"/>
    <w:rsid w:val="00D060AF"/>
    <w:rsid w:val="00D06E05"/>
    <w:rsid w:val="00D07691"/>
    <w:rsid w:val="00D10A61"/>
    <w:rsid w:val="00D11313"/>
    <w:rsid w:val="00D11BC7"/>
    <w:rsid w:val="00D11E50"/>
    <w:rsid w:val="00D121C6"/>
    <w:rsid w:val="00D1229F"/>
    <w:rsid w:val="00D12777"/>
    <w:rsid w:val="00D12B0E"/>
    <w:rsid w:val="00D14520"/>
    <w:rsid w:val="00D14791"/>
    <w:rsid w:val="00D1760C"/>
    <w:rsid w:val="00D179BB"/>
    <w:rsid w:val="00D21121"/>
    <w:rsid w:val="00D212DE"/>
    <w:rsid w:val="00D21A79"/>
    <w:rsid w:val="00D21F14"/>
    <w:rsid w:val="00D22442"/>
    <w:rsid w:val="00D22511"/>
    <w:rsid w:val="00D241CE"/>
    <w:rsid w:val="00D2439D"/>
    <w:rsid w:val="00D24C07"/>
    <w:rsid w:val="00D24D5D"/>
    <w:rsid w:val="00D26730"/>
    <w:rsid w:val="00D27A6F"/>
    <w:rsid w:val="00D27AF4"/>
    <w:rsid w:val="00D27EA3"/>
    <w:rsid w:val="00D301BF"/>
    <w:rsid w:val="00D30ABC"/>
    <w:rsid w:val="00D30BA4"/>
    <w:rsid w:val="00D31AAF"/>
    <w:rsid w:val="00D32056"/>
    <w:rsid w:val="00D32835"/>
    <w:rsid w:val="00D333A2"/>
    <w:rsid w:val="00D33578"/>
    <w:rsid w:val="00D344FA"/>
    <w:rsid w:val="00D34F29"/>
    <w:rsid w:val="00D35D57"/>
    <w:rsid w:val="00D36595"/>
    <w:rsid w:val="00D36D3F"/>
    <w:rsid w:val="00D37231"/>
    <w:rsid w:val="00D40EF2"/>
    <w:rsid w:val="00D419B5"/>
    <w:rsid w:val="00D41AAE"/>
    <w:rsid w:val="00D4306E"/>
    <w:rsid w:val="00D43367"/>
    <w:rsid w:val="00D43DD5"/>
    <w:rsid w:val="00D44A96"/>
    <w:rsid w:val="00D44B12"/>
    <w:rsid w:val="00D469A2"/>
    <w:rsid w:val="00D50244"/>
    <w:rsid w:val="00D50259"/>
    <w:rsid w:val="00D51645"/>
    <w:rsid w:val="00D537E6"/>
    <w:rsid w:val="00D53E79"/>
    <w:rsid w:val="00D54249"/>
    <w:rsid w:val="00D546FF"/>
    <w:rsid w:val="00D5484C"/>
    <w:rsid w:val="00D55B60"/>
    <w:rsid w:val="00D55E74"/>
    <w:rsid w:val="00D56BAC"/>
    <w:rsid w:val="00D56C42"/>
    <w:rsid w:val="00D5721E"/>
    <w:rsid w:val="00D57388"/>
    <w:rsid w:val="00D578EC"/>
    <w:rsid w:val="00D57D48"/>
    <w:rsid w:val="00D57E10"/>
    <w:rsid w:val="00D60B71"/>
    <w:rsid w:val="00D61BCD"/>
    <w:rsid w:val="00D622AE"/>
    <w:rsid w:val="00D63224"/>
    <w:rsid w:val="00D63E75"/>
    <w:rsid w:val="00D657B7"/>
    <w:rsid w:val="00D67513"/>
    <w:rsid w:val="00D675A9"/>
    <w:rsid w:val="00D709A6"/>
    <w:rsid w:val="00D71E74"/>
    <w:rsid w:val="00D72251"/>
    <w:rsid w:val="00D7262A"/>
    <w:rsid w:val="00D749E2"/>
    <w:rsid w:val="00D753AB"/>
    <w:rsid w:val="00D76067"/>
    <w:rsid w:val="00D76A55"/>
    <w:rsid w:val="00D77642"/>
    <w:rsid w:val="00D776E1"/>
    <w:rsid w:val="00D779C8"/>
    <w:rsid w:val="00D77A13"/>
    <w:rsid w:val="00D8068F"/>
    <w:rsid w:val="00D8098A"/>
    <w:rsid w:val="00D824A4"/>
    <w:rsid w:val="00D840F8"/>
    <w:rsid w:val="00D8414B"/>
    <w:rsid w:val="00D84317"/>
    <w:rsid w:val="00D85256"/>
    <w:rsid w:val="00D85A95"/>
    <w:rsid w:val="00D870F4"/>
    <w:rsid w:val="00D87761"/>
    <w:rsid w:val="00D87ECF"/>
    <w:rsid w:val="00D91407"/>
    <w:rsid w:val="00D91FAF"/>
    <w:rsid w:val="00D922C1"/>
    <w:rsid w:val="00D92B93"/>
    <w:rsid w:val="00D93263"/>
    <w:rsid w:val="00D938B7"/>
    <w:rsid w:val="00D944EF"/>
    <w:rsid w:val="00D946FF"/>
    <w:rsid w:val="00D94F98"/>
    <w:rsid w:val="00D956F0"/>
    <w:rsid w:val="00D95E37"/>
    <w:rsid w:val="00D9667D"/>
    <w:rsid w:val="00D96E88"/>
    <w:rsid w:val="00DA0F93"/>
    <w:rsid w:val="00DA110E"/>
    <w:rsid w:val="00DA12FF"/>
    <w:rsid w:val="00DA17D7"/>
    <w:rsid w:val="00DA2768"/>
    <w:rsid w:val="00DA34DD"/>
    <w:rsid w:val="00DA4054"/>
    <w:rsid w:val="00DA518E"/>
    <w:rsid w:val="00DA5240"/>
    <w:rsid w:val="00DA53DE"/>
    <w:rsid w:val="00DA5BFF"/>
    <w:rsid w:val="00DA5DFD"/>
    <w:rsid w:val="00DA6783"/>
    <w:rsid w:val="00DA70E1"/>
    <w:rsid w:val="00DA75BF"/>
    <w:rsid w:val="00DA7713"/>
    <w:rsid w:val="00DA795B"/>
    <w:rsid w:val="00DB17B4"/>
    <w:rsid w:val="00DB1B99"/>
    <w:rsid w:val="00DB1E1E"/>
    <w:rsid w:val="00DB2667"/>
    <w:rsid w:val="00DB28DF"/>
    <w:rsid w:val="00DB36D5"/>
    <w:rsid w:val="00DB3A36"/>
    <w:rsid w:val="00DB4C7F"/>
    <w:rsid w:val="00DB4E24"/>
    <w:rsid w:val="00DB571F"/>
    <w:rsid w:val="00DB5851"/>
    <w:rsid w:val="00DB7A73"/>
    <w:rsid w:val="00DC03EA"/>
    <w:rsid w:val="00DC06FC"/>
    <w:rsid w:val="00DC0E29"/>
    <w:rsid w:val="00DC113E"/>
    <w:rsid w:val="00DC14A6"/>
    <w:rsid w:val="00DC17CD"/>
    <w:rsid w:val="00DC181D"/>
    <w:rsid w:val="00DC1DC6"/>
    <w:rsid w:val="00DC27D4"/>
    <w:rsid w:val="00DC2A2E"/>
    <w:rsid w:val="00DC467D"/>
    <w:rsid w:val="00DC4925"/>
    <w:rsid w:val="00DC68D0"/>
    <w:rsid w:val="00DC6935"/>
    <w:rsid w:val="00DD092F"/>
    <w:rsid w:val="00DD0959"/>
    <w:rsid w:val="00DD09CF"/>
    <w:rsid w:val="00DD0BC5"/>
    <w:rsid w:val="00DD163C"/>
    <w:rsid w:val="00DD1AE0"/>
    <w:rsid w:val="00DD2E20"/>
    <w:rsid w:val="00DD2E70"/>
    <w:rsid w:val="00DD30AE"/>
    <w:rsid w:val="00DD32DA"/>
    <w:rsid w:val="00DD3467"/>
    <w:rsid w:val="00DD3ABC"/>
    <w:rsid w:val="00DD5155"/>
    <w:rsid w:val="00DD5189"/>
    <w:rsid w:val="00DD5A7A"/>
    <w:rsid w:val="00DD5B0A"/>
    <w:rsid w:val="00DD6E2B"/>
    <w:rsid w:val="00DD7BC7"/>
    <w:rsid w:val="00DD7E13"/>
    <w:rsid w:val="00DE0CBE"/>
    <w:rsid w:val="00DE11CA"/>
    <w:rsid w:val="00DE19C4"/>
    <w:rsid w:val="00DE2A39"/>
    <w:rsid w:val="00DE3ECE"/>
    <w:rsid w:val="00DE4A09"/>
    <w:rsid w:val="00DE4EDF"/>
    <w:rsid w:val="00DE5170"/>
    <w:rsid w:val="00DE53CD"/>
    <w:rsid w:val="00DE57C6"/>
    <w:rsid w:val="00DE5FC1"/>
    <w:rsid w:val="00DE6294"/>
    <w:rsid w:val="00DE6601"/>
    <w:rsid w:val="00DE68D6"/>
    <w:rsid w:val="00DE6B5B"/>
    <w:rsid w:val="00DE6CA8"/>
    <w:rsid w:val="00DE6EC1"/>
    <w:rsid w:val="00DE71EF"/>
    <w:rsid w:val="00DE781D"/>
    <w:rsid w:val="00DE78D2"/>
    <w:rsid w:val="00DE7B85"/>
    <w:rsid w:val="00DE7BE9"/>
    <w:rsid w:val="00DF0976"/>
    <w:rsid w:val="00DF10F9"/>
    <w:rsid w:val="00DF1320"/>
    <w:rsid w:val="00DF1DCE"/>
    <w:rsid w:val="00DF3B05"/>
    <w:rsid w:val="00DF4992"/>
    <w:rsid w:val="00DF4ECF"/>
    <w:rsid w:val="00DF5789"/>
    <w:rsid w:val="00DF5861"/>
    <w:rsid w:val="00DF6A08"/>
    <w:rsid w:val="00E00028"/>
    <w:rsid w:val="00E00663"/>
    <w:rsid w:val="00E00F17"/>
    <w:rsid w:val="00E014CE"/>
    <w:rsid w:val="00E01C2F"/>
    <w:rsid w:val="00E022EA"/>
    <w:rsid w:val="00E02908"/>
    <w:rsid w:val="00E0296D"/>
    <w:rsid w:val="00E04DF5"/>
    <w:rsid w:val="00E0500E"/>
    <w:rsid w:val="00E06664"/>
    <w:rsid w:val="00E0673E"/>
    <w:rsid w:val="00E06916"/>
    <w:rsid w:val="00E073CB"/>
    <w:rsid w:val="00E07DA0"/>
    <w:rsid w:val="00E07EEF"/>
    <w:rsid w:val="00E07F9D"/>
    <w:rsid w:val="00E12D64"/>
    <w:rsid w:val="00E13164"/>
    <w:rsid w:val="00E15424"/>
    <w:rsid w:val="00E2016F"/>
    <w:rsid w:val="00E20606"/>
    <w:rsid w:val="00E20E32"/>
    <w:rsid w:val="00E21941"/>
    <w:rsid w:val="00E2199F"/>
    <w:rsid w:val="00E21BDB"/>
    <w:rsid w:val="00E2299D"/>
    <w:rsid w:val="00E229CF"/>
    <w:rsid w:val="00E232D4"/>
    <w:rsid w:val="00E23867"/>
    <w:rsid w:val="00E23A7D"/>
    <w:rsid w:val="00E23F99"/>
    <w:rsid w:val="00E24070"/>
    <w:rsid w:val="00E25D1F"/>
    <w:rsid w:val="00E260DB"/>
    <w:rsid w:val="00E270AF"/>
    <w:rsid w:val="00E3085C"/>
    <w:rsid w:val="00E30D95"/>
    <w:rsid w:val="00E31EFB"/>
    <w:rsid w:val="00E33D00"/>
    <w:rsid w:val="00E34257"/>
    <w:rsid w:val="00E34EF3"/>
    <w:rsid w:val="00E36352"/>
    <w:rsid w:val="00E370FB"/>
    <w:rsid w:val="00E408AA"/>
    <w:rsid w:val="00E40F80"/>
    <w:rsid w:val="00E42273"/>
    <w:rsid w:val="00E42BB7"/>
    <w:rsid w:val="00E447D9"/>
    <w:rsid w:val="00E45A83"/>
    <w:rsid w:val="00E50027"/>
    <w:rsid w:val="00E50161"/>
    <w:rsid w:val="00E510FE"/>
    <w:rsid w:val="00E514A5"/>
    <w:rsid w:val="00E51623"/>
    <w:rsid w:val="00E51956"/>
    <w:rsid w:val="00E51A29"/>
    <w:rsid w:val="00E52682"/>
    <w:rsid w:val="00E52C2C"/>
    <w:rsid w:val="00E52F02"/>
    <w:rsid w:val="00E53558"/>
    <w:rsid w:val="00E53D06"/>
    <w:rsid w:val="00E54997"/>
    <w:rsid w:val="00E549A6"/>
    <w:rsid w:val="00E55143"/>
    <w:rsid w:val="00E55AF3"/>
    <w:rsid w:val="00E567CD"/>
    <w:rsid w:val="00E6055A"/>
    <w:rsid w:val="00E606D8"/>
    <w:rsid w:val="00E617AE"/>
    <w:rsid w:val="00E61D75"/>
    <w:rsid w:val="00E624B9"/>
    <w:rsid w:val="00E649B6"/>
    <w:rsid w:val="00E651A6"/>
    <w:rsid w:val="00E65387"/>
    <w:rsid w:val="00E65C14"/>
    <w:rsid w:val="00E6646D"/>
    <w:rsid w:val="00E67665"/>
    <w:rsid w:val="00E713E1"/>
    <w:rsid w:val="00E71C13"/>
    <w:rsid w:val="00E72675"/>
    <w:rsid w:val="00E72863"/>
    <w:rsid w:val="00E736BF"/>
    <w:rsid w:val="00E74259"/>
    <w:rsid w:val="00E7538B"/>
    <w:rsid w:val="00E75EEF"/>
    <w:rsid w:val="00E800E4"/>
    <w:rsid w:val="00E80814"/>
    <w:rsid w:val="00E812AE"/>
    <w:rsid w:val="00E818D6"/>
    <w:rsid w:val="00E81C8B"/>
    <w:rsid w:val="00E8219A"/>
    <w:rsid w:val="00E84510"/>
    <w:rsid w:val="00E84E14"/>
    <w:rsid w:val="00E86902"/>
    <w:rsid w:val="00E8704F"/>
    <w:rsid w:val="00E87356"/>
    <w:rsid w:val="00E908E1"/>
    <w:rsid w:val="00E90D0A"/>
    <w:rsid w:val="00E9124C"/>
    <w:rsid w:val="00E93836"/>
    <w:rsid w:val="00E94841"/>
    <w:rsid w:val="00E9536A"/>
    <w:rsid w:val="00E9548B"/>
    <w:rsid w:val="00E96E19"/>
    <w:rsid w:val="00EA0404"/>
    <w:rsid w:val="00EA2F6C"/>
    <w:rsid w:val="00EA42EE"/>
    <w:rsid w:val="00EA500C"/>
    <w:rsid w:val="00EA5069"/>
    <w:rsid w:val="00EA581E"/>
    <w:rsid w:val="00EA642A"/>
    <w:rsid w:val="00EA7799"/>
    <w:rsid w:val="00EB00FC"/>
    <w:rsid w:val="00EB07D2"/>
    <w:rsid w:val="00EB11D0"/>
    <w:rsid w:val="00EB2868"/>
    <w:rsid w:val="00EB54CF"/>
    <w:rsid w:val="00EB5CA1"/>
    <w:rsid w:val="00EB65E4"/>
    <w:rsid w:val="00EB6B48"/>
    <w:rsid w:val="00EC0CAF"/>
    <w:rsid w:val="00EC236F"/>
    <w:rsid w:val="00EC3044"/>
    <w:rsid w:val="00EC3522"/>
    <w:rsid w:val="00EC3914"/>
    <w:rsid w:val="00EC3FF1"/>
    <w:rsid w:val="00EC476D"/>
    <w:rsid w:val="00EC4BA8"/>
    <w:rsid w:val="00EC5478"/>
    <w:rsid w:val="00EC6898"/>
    <w:rsid w:val="00EC74C6"/>
    <w:rsid w:val="00ED1061"/>
    <w:rsid w:val="00ED1590"/>
    <w:rsid w:val="00ED1CB9"/>
    <w:rsid w:val="00ED203B"/>
    <w:rsid w:val="00ED2244"/>
    <w:rsid w:val="00ED33CD"/>
    <w:rsid w:val="00ED3A1C"/>
    <w:rsid w:val="00ED3FFA"/>
    <w:rsid w:val="00ED42A9"/>
    <w:rsid w:val="00ED50AE"/>
    <w:rsid w:val="00ED676B"/>
    <w:rsid w:val="00ED72A6"/>
    <w:rsid w:val="00ED7B04"/>
    <w:rsid w:val="00EE0FB3"/>
    <w:rsid w:val="00EE1158"/>
    <w:rsid w:val="00EE2F92"/>
    <w:rsid w:val="00EE42AC"/>
    <w:rsid w:val="00EE44BC"/>
    <w:rsid w:val="00EE59BC"/>
    <w:rsid w:val="00EE6F84"/>
    <w:rsid w:val="00EE7E6A"/>
    <w:rsid w:val="00EF00AD"/>
    <w:rsid w:val="00EF116A"/>
    <w:rsid w:val="00EF1939"/>
    <w:rsid w:val="00EF3D60"/>
    <w:rsid w:val="00EF4D5F"/>
    <w:rsid w:val="00EF59A0"/>
    <w:rsid w:val="00EF72DD"/>
    <w:rsid w:val="00EF7C11"/>
    <w:rsid w:val="00F008E0"/>
    <w:rsid w:val="00F01216"/>
    <w:rsid w:val="00F01778"/>
    <w:rsid w:val="00F019A6"/>
    <w:rsid w:val="00F02906"/>
    <w:rsid w:val="00F05084"/>
    <w:rsid w:val="00F055B4"/>
    <w:rsid w:val="00F055EA"/>
    <w:rsid w:val="00F05994"/>
    <w:rsid w:val="00F103AF"/>
    <w:rsid w:val="00F109A2"/>
    <w:rsid w:val="00F10B4D"/>
    <w:rsid w:val="00F11A07"/>
    <w:rsid w:val="00F11DEF"/>
    <w:rsid w:val="00F1274D"/>
    <w:rsid w:val="00F13036"/>
    <w:rsid w:val="00F1394A"/>
    <w:rsid w:val="00F13B07"/>
    <w:rsid w:val="00F15736"/>
    <w:rsid w:val="00F15B8D"/>
    <w:rsid w:val="00F1610E"/>
    <w:rsid w:val="00F1667C"/>
    <w:rsid w:val="00F17BB4"/>
    <w:rsid w:val="00F20064"/>
    <w:rsid w:val="00F20F82"/>
    <w:rsid w:val="00F22765"/>
    <w:rsid w:val="00F227A3"/>
    <w:rsid w:val="00F22D19"/>
    <w:rsid w:val="00F22E12"/>
    <w:rsid w:val="00F24133"/>
    <w:rsid w:val="00F24294"/>
    <w:rsid w:val="00F250F7"/>
    <w:rsid w:val="00F25676"/>
    <w:rsid w:val="00F25BBB"/>
    <w:rsid w:val="00F266B7"/>
    <w:rsid w:val="00F26DC5"/>
    <w:rsid w:val="00F27561"/>
    <w:rsid w:val="00F27CD1"/>
    <w:rsid w:val="00F304E8"/>
    <w:rsid w:val="00F30695"/>
    <w:rsid w:val="00F32098"/>
    <w:rsid w:val="00F32491"/>
    <w:rsid w:val="00F34987"/>
    <w:rsid w:val="00F35144"/>
    <w:rsid w:val="00F35C4C"/>
    <w:rsid w:val="00F35F4E"/>
    <w:rsid w:val="00F3756D"/>
    <w:rsid w:val="00F4109B"/>
    <w:rsid w:val="00F4129F"/>
    <w:rsid w:val="00F41E6F"/>
    <w:rsid w:val="00F42894"/>
    <w:rsid w:val="00F44276"/>
    <w:rsid w:val="00F444D1"/>
    <w:rsid w:val="00F447E7"/>
    <w:rsid w:val="00F44932"/>
    <w:rsid w:val="00F45602"/>
    <w:rsid w:val="00F46D44"/>
    <w:rsid w:val="00F47840"/>
    <w:rsid w:val="00F51383"/>
    <w:rsid w:val="00F5182C"/>
    <w:rsid w:val="00F51E2F"/>
    <w:rsid w:val="00F5202D"/>
    <w:rsid w:val="00F522F6"/>
    <w:rsid w:val="00F52CDB"/>
    <w:rsid w:val="00F53FAF"/>
    <w:rsid w:val="00F547EC"/>
    <w:rsid w:val="00F54D95"/>
    <w:rsid w:val="00F55773"/>
    <w:rsid w:val="00F5618B"/>
    <w:rsid w:val="00F61330"/>
    <w:rsid w:val="00F614AA"/>
    <w:rsid w:val="00F61ED3"/>
    <w:rsid w:val="00F62C76"/>
    <w:rsid w:val="00F63331"/>
    <w:rsid w:val="00F635EF"/>
    <w:rsid w:val="00F639B3"/>
    <w:rsid w:val="00F63B57"/>
    <w:rsid w:val="00F64239"/>
    <w:rsid w:val="00F64D03"/>
    <w:rsid w:val="00F652B9"/>
    <w:rsid w:val="00F66644"/>
    <w:rsid w:val="00F66A64"/>
    <w:rsid w:val="00F679A9"/>
    <w:rsid w:val="00F67EA7"/>
    <w:rsid w:val="00F70E0B"/>
    <w:rsid w:val="00F71041"/>
    <w:rsid w:val="00F717BD"/>
    <w:rsid w:val="00F71C9B"/>
    <w:rsid w:val="00F71D97"/>
    <w:rsid w:val="00F72346"/>
    <w:rsid w:val="00F74136"/>
    <w:rsid w:val="00F7464C"/>
    <w:rsid w:val="00F810D2"/>
    <w:rsid w:val="00F81640"/>
    <w:rsid w:val="00F81A6A"/>
    <w:rsid w:val="00F822E2"/>
    <w:rsid w:val="00F8367A"/>
    <w:rsid w:val="00F85880"/>
    <w:rsid w:val="00F869AB"/>
    <w:rsid w:val="00F86F1D"/>
    <w:rsid w:val="00F8707D"/>
    <w:rsid w:val="00F8721D"/>
    <w:rsid w:val="00F877EA"/>
    <w:rsid w:val="00F903DD"/>
    <w:rsid w:val="00F90E90"/>
    <w:rsid w:val="00F91CED"/>
    <w:rsid w:val="00F95427"/>
    <w:rsid w:val="00F967CE"/>
    <w:rsid w:val="00F96AAC"/>
    <w:rsid w:val="00F96EB0"/>
    <w:rsid w:val="00F97BF5"/>
    <w:rsid w:val="00FA0ABD"/>
    <w:rsid w:val="00FA297B"/>
    <w:rsid w:val="00FA2F91"/>
    <w:rsid w:val="00FA40F7"/>
    <w:rsid w:val="00FA4F0B"/>
    <w:rsid w:val="00FA550D"/>
    <w:rsid w:val="00FA5FBE"/>
    <w:rsid w:val="00FA61EB"/>
    <w:rsid w:val="00FA656A"/>
    <w:rsid w:val="00FA69DD"/>
    <w:rsid w:val="00FA70D5"/>
    <w:rsid w:val="00FA7D74"/>
    <w:rsid w:val="00FB0868"/>
    <w:rsid w:val="00FB1FF0"/>
    <w:rsid w:val="00FB237E"/>
    <w:rsid w:val="00FB3368"/>
    <w:rsid w:val="00FB4A9D"/>
    <w:rsid w:val="00FB51FE"/>
    <w:rsid w:val="00FC1288"/>
    <w:rsid w:val="00FC1F9A"/>
    <w:rsid w:val="00FC242C"/>
    <w:rsid w:val="00FC2970"/>
    <w:rsid w:val="00FC2A95"/>
    <w:rsid w:val="00FC2E25"/>
    <w:rsid w:val="00FC34F9"/>
    <w:rsid w:val="00FC6938"/>
    <w:rsid w:val="00FD00DD"/>
    <w:rsid w:val="00FD0383"/>
    <w:rsid w:val="00FD0C40"/>
    <w:rsid w:val="00FD197B"/>
    <w:rsid w:val="00FD1BCF"/>
    <w:rsid w:val="00FD21AB"/>
    <w:rsid w:val="00FD3189"/>
    <w:rsid w:val="00FD4697"/>
    <w:rsid w:val="00FD5082"/>
    <w:rsid w:val="00FD58AB"/>
    <w:rsid w:val="00FD5CF8"/>
    <w:rsid w:val="00FD609A"/>
    <w:rsid w:val="00FD70A6"/>
    <w:rsid w:val="00FD76B6"/>
    <w:rsid w:val="00FD7DCD"/>
    <w:rsid w:val="00FE2CA9"/>
    <w:rsid w:val="00FE33B5"/>
    <w:rsid w:val="00FE4CAC"/>
    <w:rsid w:val="00FE7E7D"/>
    <w:rsid w:val="00FF0BBE"/>
    <w:rsid w:val="00FF1CD6"/>
    <w:rsid w:val="00FF20B8"/>
    <w:rsid w:val="00FF2600"/>
    <w:rsid w:val="00FF293E"/>
    <w:rsid w:val="00FF425A"/>
    <w:rsid w:val="00FF52CA"/>
    <w:rsid w:val="00FF540E"/>
    <w:rsid w:val="00FF5AE5"/>
    <w:rsid w:val="00FF6187"/>
    <w:rsid w:val="00FF6695"/>
    <w:rsid w:val="00FF70E6"/>
    <w:rsid w:val="00FF7F37"/>
    <w:rsid w:val="014F3C41"/>
    <w:rsid w:val="01727C86"/>
    <w:rsid w:val="01757D6C"/>
    <w:rsid w:val="01B67A50"/>
    <w:rsid w:val="01C603F3"/>
    <w:rsid w:val="02350FD7"/>
    <w:rsid w:val="026D5A4E"/>
    <w:rsid w:val="027F08F6"/>
    <w:rsid w:val="02866093"/>
    <w:rsid w:val="02985DC6"/>
    <w:rsid w:val="029C3C3D"/>
    <w:rsid w:val="02AF35B9"/>
    <w:rsid w:val="02D7069C"/>
    <w:rsid w:val="02DB5B22"/>
    <w:rsid w:val="02E2117E"/>
    <w:rsid w:val="02E87CE5"/>
    <w:rsid w:val="02EA0C52"/>
    <w:rsid w:val="02EF31FC"/>
    <w:rsid w:val="03174F3D"/>
    <w:rsid w:val="031D5029"/>
    <w:rsid w:val="031F5CB1"/>
    <w:rsid w:val="032510F8"/>
    <w:rsid w:val="03423A5A"/>
    <w:rsid w:val="035C6DF3"/>
    <w:rsid w:val="03745A07"/>
    <w:rsid w:val="038F6F0F"/>
    <w:rsid w:val="03A41A2E"/>
    <w:rsid w:val="03B67A42"/>
    <w:rsid w:val="03BC3FA3"/>
    <w:rsid w:val="03CD7699"/>
    <w:rsid w:val="03D05B32"/>
    <w:rsid w:val="0403263B"/>
    <w:rsid w:val="042947BD"/>
    <w:rsid w:val="0453546B"/>
    <w:rsid w:val="045A3333"/>
    <w:rsid w:val="047D1717"/>
    <w:rsid w:val="048D3660"/>
    <w:rsid w:val="049F168E"/>
    <w:rsid w:val="04D75C17"/>
    <w:rsid w:val="04DF51E5"/>
    <w:rsid w:val="04E142F5"/>
    <w:rsid w:val="04F67264"/>
    <w:rsid w:val="05057FD0"/>
    <w:rsid w:val="054E0A7B"/>
    <w:rsid w:val="058118D7"/>
    <w:rsid w:val="05B6173B"/>
    <w:rsid w:val="05BA22D5"/>
    <w:rsid w:val="05BF087E"/>
    <w:rsid w:val="05EE13C9"/>
    <w:rsid w:val="05F525E4"/>
    <w:rsid w:val="05FE5366"/>
    <w:rsid w:val="060D2627"/>
    <w:rsid w:val="061614DB"/>
    <w:rsid w:val="0620398B"/>
    <w:rsid w:val="06300BB7"/>
    <w:rsid w:val="06346E31"/>
    <w:rsid w:val="063548D6"/>
    <w:rsid w:val="06361B7E"/>
    <w:rsid w:val="065E0D7E"/>
    <w:rsid w:val="068F508F"/>
    <w:rsid w:val="06950D02"/>
    <w:rsid w:val="06B16195"/>
    <w:rsid w:val="077B122A"/>
    <w:rsid w:val="07AE5867"/>
    <w:rsid w:val="07CA6A37"/>
    <w:rsid w:val="07CC456C"/>
    <w:rsid w:val="07FA45B7"/>
    <w:rsid w:val="086E55FF"/>
    <w:rsid w:val="08724C55"/>
    <w:rsid w:val="08730E67"/>
    <w:rsid w:val="0880043F"/>
    <w:rsid w:val="08B123F7"/>
    <w:rsid w:val="08C23B9D"/>
    <w:rsid w:val="093A7BD7"/>
    <w:rsid w:val="09931095"/>
    <w:rsid w:val="09CE6E57"/>
    <w:rsid w:val="09FC6A4A"/>
    <w:rsid w:val="0A3C350E"/>
    <w:rsid w:val="0A3F353B"/>
    <w:rsid w:val="0AB67731"/>
    <w:rsid w:val="0AB74171"/>
    <w:rsid w:val="0AC72D79"/>
    <w:rsid w:val="0AEB73DB"/>
    <w:rsid w:val="0B162392"/>
    <w:rsid w:val="0B4E4A5D"/>
    <w:rsid w:val="0B7D1AED"/>
    <w:rsid w:val="0B9C2483"/>
    <w:rsid w:val="0BB440E1"/>
    <w:rsid w:val="0BB6239B"/>
    <w:rsid w:val="0C0B13B7"/>
    <w:rsid w:val="0C3E4E01"/>
    <w:rsid w:val="0C3F55A4"/>
    <w:rsid w:val="0C58132A"/>
    <w:rsid w:val="0C673A60"/>
    <w:rsid w:val="0C835496"/>
    <w:rsid w:val="0CE770D5"/>
    <w:rsid w:val="0CFB26C2"/>
    <w:rsid w:val="0D1D6ADC"/>
    <w:rsid w:val="0D305579"/>
    <w:rsid w:val="0D3C1AAA"/>
    <w:rsid w:val="0D533015"/>
    <w:rsid w:val="0D680BE0"/>
    <w:rsid w:val="0DA447BB"/>
    <w:rsid w:val="0DDE6EB8"/>
    <w:rsid w:val="0DF920AE"/>
    <w:rsid w:val="0DFF388F"/>
    <w:rsid w:val="0E232C28"/>
    <w:rsid w:val="0E2350DD"/>
    <w:rsid w:val="0E2E129C"/>
    <w:rsid w:val="0E574EDB"/>
    <w:rsid w:val="0E5A5605"/>
    <w:rsid w:val="0E5C4985"/>
    <w:rsid w:val="0E7A5896"/>
    <w:rsid w:val="0EA0127C"/>
    <w:rsid w:val="0EBC177A"/>
    <w:rsid w:val="0ED308B1"/>
    <w:rsid w:val="0EEB6FFF"/>
    <w:rsid w:val="0F6760B8"/>
    <w:rsid w:val="0F6D010C"/>
    <w:rsid w:val="0F735BCE"/>
    <w:rsid w:val="0F911464"/>
    <w:rsid w:val="0FBD29B1"/>
    <w:rsid w:val="100D7DF3"/>
    <w:rsid w:val="102C3717"/>
    <w:rsid w:val="10516577"/>
    <w:rsid w:val="105A72C5"/>
    <w:rsid w:val="107463E5"/>
    <w:rsid w:val="10C74658"/>
    <w:rsid w:val="10E70644"/>
    <w:rsid w:val="10EF29DA"/>
    <w:rsid w:val="115B43B6"/>
    <w:rsid w:val="11742577"/>
    <w:rsid w:val="11B7057C"/>
    <w:rsid w:val="11D91672"/>
    <w:rsid w:val="11DF756D"/>
    <w:rsid w:val="11EC514B"/>
    <w:rsid w:val="11F25627"/>
    <w:rsid w:val="1234148C"/>
    <w:rsid w:val="12371A06"/>
    <w:rsid w:val="123C4ABE"/>
    <w:rsid w:val="127F12ED"/>
    <w:rsid w:val="12CF5795"/>
    <w:rsid w:val="13061A78"/>
    <w:rsid w:val="130F3B9D"/>
    <w:rsid w:val="133C6704"/>
    <w:rsid w:val="13630A49"/>
    <w:rsid w:val="13A62350"/>
    <w:rsid w:val="13BD3F47"/>
    <w:rsid w:val="13BE1D53"/>
    <w:rsid w:val="13D83915"/>
    <w:rsid w:val="13D9596F"/>
    <w:rsid w:val="141605EF"/>
    <w:rsid w:val="144731A8"/>
    <w:rsid w:val="145427FA"/>
    <w:rsid w:val="148B7538"/>
    <w:rsid w:val="14926B19"/>
    <w:rsid w:val="14AC3604"/>
    <w:rsid w:val="14DD7CE7"/>
    <w:rsid w:val="14F21366"/>
    <w:rsid w:val="14FD37CF"/>
    <w:rsid w:val="155A1E17"/>
    <w:rsid w:val="1565422D"/>
    <w:rsid w:val="158445F0"/>
    <w:rsid w:val="158A5B65"/>
    <w:rsid w:val="15951931"/>
    <w:rsid w:val="15B200CE"/>
    <w:rsid w:val="164A6478"/>
    <w:rsid w:val="165E0F95"/>
    <w:rsid w:val="166516F8"/>
    <w:rsid w:val="16CB3D75"/>
    <w:rsid w:val="16FF3191"/>
    <w:rsid w:val="17077FD1"/>
    <w:rsid w:val="170A3665"/>
    <w:rsid w:val="17664E76"/>
    <w:rsid w:val="177C7763"/>
    <w:rsid w:val="17900032"/>
    <w:rsid w:val="17927295"/>
    <w:rsid w:val="17B14BF9"/>
    <w:rsid w:val="17C52E06"/>
    <w:rsid w:val="17CA36C8"/>
    <w:rsid w:val="17FB5A34"/>
    <w:rsid w:val="184360FD"/>
    <w:rsid w:val="189D479A"/>
    <w:rsid w:val="18BA03EC"/>
    <w:rsid w:val="18BD7169"/>
    <w:rsid w:val="18D1647F"/>
    <w:rsid w:val="18D86D91"/>
    <w:rsid w:val="1908025D"/>
    <w:rsid w:val="19081158"/>
    <w:rsid w:val="191D4766"/>
    <w:rsid w:val="196C1720"/>
    <w:rsid w:val="19CD084B"/>
    <w:rsid w:val="19D6028A"/>
    <w:rsid w:val="19D878BC"/>
    <w:rsid w:val="19E77C11"/>
    <w:rsid w:val="19EF538C"/>
    <w:rsid w:val="19EF6927"/>
    <w:rsid w:val="1A0924D1"/>
    <w:rsid w:val="1A1C0FE1"/>
    <w:rsid w:val="1A851FB4"/>
    <w:rsid w:val="1A88384B"/>
    <w:rsid w:val="1AD872CD"/>
    <w:rsid w:val="1AD91676"/>
    <w:rsid w:val="1AE70EEC"/>
    <w:rsid w:val="1AEF3094"/>
    <w:rsid w:val="1AFA71C6"/>
    <w:rsid w:val="1B14076F"/>
    <w:rsid w:val="1B565609"/>
    <w:rsid w:val="1B573909"/>
    <w:rsid w:val="1B5A4640"/>
    <w:rsid w:val="1BA81D0B"/>
    <w:rsid w:val="1BA82F7A"/>
    <w:rsid w:val="1BAD4238"/>
    <w:rsid w:val="1C4D14DD"/>
    <w:rsid w:val="1C612B8E"/>
    <w:rsid w:val="1C7F5BD5"/>
    <w:rsid w:val="1C9F1DD3"/>
    <w:rsid w:val="1CB50917"/>
    <w:rsid w:val="1CCB706C"/>
    <w:rsid w:val="1CEA7476"/>
    <w:rsid w:val="1CF245F9"/>
    <w:rsid w:val="1CFA525B"/>
    <w:rsid w:val="1CFC2CF4"/>
    <w:rsid w:val="1D8A7DED"/>
    <w:rsid w:val="1DAF4EEB"/>
    <w:rsid w:val="1DBE44DB"/>
    <w:rsid w:val="1DE975C0"/>
    <w:rsid w:val="1DF3679B"/>
    <w:rsid w:val="1DFB7351"/>
    <w:rsid w:val="1E07540F"/>
    <w:rsid w:val="1EEB3B70"/>
    <w:rsid w:val="1EF676C0"/>
    <w:rsid w:val="1F0C32E7"/>
    <w:rsid w:val="1F4F1BB6"/>
    <w:rsid w:val="1F5910C8"/>
    <w:rsid w:val="1F5E0C8E"/>
    <w:rsid w:val="1F674757"/>
    <w:rsid w:val="1F7603E0"/>
    <w:rsid w:val="1F812CE9"/>
    <w:rsid w:val="1F8B42E9"/>
    <w:rsid w:val="1F974EC1"/>
    <w:rsid w:val="1FBF47A2"/>
    <w:rsid w:val="1FFE72CB"/>
    <w:rsid w:val="20062169"/>
    <w:rsid w:val="200D799B"/>
    <w:rsid w:val="20113134"/>
    <w:rsid w:val="2017074E"/>
    <w:rsid w:val="2025071F"/>
    <w:rsid w:val="20407429"/>
    <w:rsid w:val="20C133F8"/>
    <w:rsid w:val="20F54E29"/>
    <w:rsid w:val="212030D7"/>
    <w:rsid w:val="212874CF"/>
    <w:rsid w:val="213825F5"/>
    <w:rsid w:val="213F1FA3"/>
    <w:rsid w:val="217A0581"/>
    <w:rsid w:val="217E667A"/>
    <w:rsid w:val="218D656F"/>
    <w:rsid w:val="21F93FD6"/>
    <w:rsid w:val="220723E7"/>
    <w:rsid w:val="221657FC"/>
    <w:rsid w:val="22325497"/>
    <w:rsid w:val="224131F3"/>
    <w:rsid w:val="22486578"/>
    <w:rsid w:val="22575D40"/>
    <w:rsid w:val="226C09A9"/>
    <w:rsid w:val="229B4DEB"/>
    <w:rsid w:val="22B45EAC"/>
    <w:rsid w:val="22B537C3"/>
    <w:rsid w:val="22BB54C1"/>
    <w:rsid w:val="22CB180A"/>
    <w:rsid w:val="22FA7F98"/>
    <w:rsid w:val="232B2612"/>
    <w:rsid w:val="23482EEF"/>
    <w:rsid w:val="235653D0"/>
    <w:rsid w:val="235D2862"/>
    <w:rsid w:val="23891BFB"/>
    <w:rsid w:val="23A41D2F"/>
    <w:rsid w:val="23D42997"/>
    <w:rsid w:val="23DB32E7"/>
    <w:rsid w:val="23E915D2"/>
    <w:rsid w:val="24064469"/>
    <w:rsid w:val="240F3266"/>
    <w:rsid w:val="241B13FE"/>
    <w:rsid w:val="24466FD8"/>
    <w:rsid w:val="24661BDD"/>
    <w:rsid w:val="24716EF0"/>
    <w:rsid w:val="248E3FF4"/>
    <w:rsid w:val="249A411D"/>
    <w:rsid w:val="249D6CB2"/>
    <w:rsid w:val="24CE08C5"/>
    <w:rsid w:val="24FB7DC2"/>
    <w:rsid w:val="252B59D4"/>
    <w:rsid w:val="256C6F17"/>
    <w:rsid w:val="257819E3"/>
    <w:rsid w:val="25F36546"/>
    <w:rsid w:val="26362C80"/>
    <w:rsid w:val="265255B2"/>
    <w:rsid w:val="26C9354C"/>
    <w:rsid w:val="26DE5BEE"/>
    <w:rsid w:val="27273C38"/>
    <w:rsid w:val="27314368"/>
    <w:rsid w:val="273870AC"/>
    <w:rsid w:val="273C6F37"/>
    <w:rsid w:val="275902FE"/>
    <w:rsid w:val="275B006D"/>
    <w:rsid w:val="27657964"/>
    <w:rsid w:val="27697725"/>
    <w:rsid w:val="277A4090"/>
    <w:rsid w:val="278A18F4"/>
    <w:rsid w:val="27E15995"/>
    <w:rsid w:val="2843351D"/>
    <w:rsid w:val="286A13F2"/>
    <w:rsid w:val="28780AC6"/>
    <w:rsid w:val="288E5833"/>
    <w:rsid w:val="28DD322B"/>
    <w:rsid w:val="28F42A99"/>
    <w:rsid w:val="293526AA"/>
    <w:rsid w:val="293F675B"/>
    <w:rsid w:val="293F7FDE"/>
    <w:rsid w:val="295A2FA1"/>
    <w:rsid w:val="29A22701"/>
    <w:rsid w:val="29BA46F0"/>
    <w:rsid w:val="29C323D4"/>
    <w:rsid w:val="29EC73A5"/>
    <w:rsid w:val="29F86FC6"/>
    <w:rsid w:val="2A3A42FE"/>
    <w:rsid w:val="2AA10CE0"/>
    <w:rsid w:val="2AAD67A9"/>
    <w:rsid w:val="2AC64CD7"/>
    <w:rsid w:val="2B1271EB"/>
    <w:rsid w:val="2B2331EA"/>
    <w:rsid w:val="2B2E70E5"/>
    <w:rsid w:val="2B30453E"/>
    <w:rsid w:val="2B7E2F46"/>
    <w:rsid w:val="2BAE26FB"/>
    <w:rsid w:val="2BB46778"/>
    <w:rsid w:val="2BCD0AE0"/>
    <w:rsid w:val="2C134FE1"/>
    <w:rsid w:val="2C2514B1"/>
    <w:rsid w:val="2C3B6A04"/>
    <w:rsid w:val="2C3E2C4C"/>
    <w:rsid w:val="2C444745"/>
    <w:rsid w:val="2C5021B7"/>
    <w:rsid w:val="2C8E561B"/>
    <w:rsid w:val="2C932C69"/>
    <w:rsid w:val="2C9F2A67"/>
    <w:rsid w:val="2D1A5BEB"/>
    <w:rsid w:val="2D1B54C0"/>
    <w:rsid w:val="2D227DC7"/>
    <w:rsid w:val="2D2845BC"/>
    <w:rsid w:val="2D2E73A1"/>
    <w:rsid w:val="2D956272"/>
    <w:rsid w:val="2D9C188C"/>
    <w:rsid w:val="2D9D410D"/>
    <w:rsid w:val="2DC34A81"/>
    <w:rsid w:val="2DCF4D6D"/>
    <w:rsid w:val="2DD125B6"/>
    <w:rsid w:val="2DDF2977"/>
    <w:rsid w:val="2E244107"/>
    <w:rsid w:val="2E510491"/>
    <w:rsid w:val="2E5A73E1"/>
    <w:rsid w:val="2E665884"/>
    <w:rsid w:val="2E974B67"/>
    <w:rsid w:val="2EA90968"/>
    <w:rsid w:val="2ED70F52"/>
    <w:rsid w:val="2EDD3BF4"/>
    <w:rsid w:val="2F1F789F"/>
    <w:rsid w:val="2F544FF2"/>
    <w:rsid w:val="2F6B678F"/>
    <w:rsid w:val="2FD70501"/>
    <w:rsid w:val="2FE07BE8"/>
    <w:rsid w:val="303D703D"/>
    <w:rsid w:val="3081386B"/>
    <w:rsid w:val="308858C3"/>
    <w:rsid w:val="30DB62B6"/>
    <w:rsid w:val="30F73B34"/>
    <w:rsid w:val="31034344"/>
    <w:rsid w:val="31067F47"/>
    <w:rsid w:val="31167EA0"/>
    <w:rsid w:val="311878A1"/>
    <w:rsid w:val="311D4032"/>
    <w:rsid w:val="31327282"/>
    <w:rsid w:val="3135748D"/>
    <w:rsid w:val="31637517"/>
    <w:rsid w:val="31AD08B7"/>
    <w:rsid w:val="31B27A3B"/>
    <w:rsid w:val="31ED2820"/>
    <w:rsid w:val="31F84007"/>
    <w:rsid w:val="32024F1D"/>
    <w:rsid w:val="322C3CB1"/>
    <w:rsid w:val="325038E7"/>
    <w:rsid w:val="327B222B"/>
    <w:rsid w:val="328525EA"/>
    <w:rsid w:val="32A3745F"/>
    <w:rsid w:val="32A50DFA"/>
    <w:rsid w:val="32CE29C2"/>
    <w:rsid w:val="32DF309E"/>
    <w:rsid w:val="32FA5B5D"/>
    <w:rsid w:val="3322684B"/>
    <w:rsid w:val="335515C9"/>
    <w:rsid w:val="33625EAA"/>
    <w:rsid w:val="337F0FF3"/>
    <w:rsid w:val="339E298D"/>
    <w:rsid w:val="33C341A1"/>
    <w:rsid w:val="33DC34B5"/>
    <w:rsid w:val="33EF36DB"/>
    <w:rsid w:val="33FB645A"/>
    <w:rsid w:val="342D5594"/>
    <w:rsid w:val="34340A65"/>
    <w:rsid w:val="345C616D"/>
    <w:rsid w:val="345E27C4"/>
    <w:rsid w:val="346F257B"/>
    <w:rsid w:val="34843BE5"/>
    <w:rsid w:val="348557BD"/>
    <w:rsid w:val="34AE30A3"/>
    <w:rsid w:val="34BD4B51"/>
    <w:rsid w:val="34C34E58"/>
    <w:rsid w:val="34D523DE"/>
    <w:rsid w:val="34E872EB"/>
    <w:rsid w:val="35075E5A"/>
    <w:rsid w:val="350E36C5"/>
    <w:rsid w:val="354C2118"/>
    <w:rsid w:val="3558300F"/>
    <w:rsid w:val="355E550A"/>
    <w:rsid w:val="35610790"/>
    <w:rsid w:val="35612591"/>
    <w:rsid w:val="35673406"/>
    <w:rsid w:val="35887B8D"/>
    <w:rsid w:val="359E0CB0"/>
    <w:rsid w:val="35AE4476"/>
    <w:rsid w:val="35B03D92"/>
    <w:rsid w:val="35CE11B2"/>
    <w:rsid w:val="35D97CAC"/>
    <w:rsid w:val="361502FC"/>
    <w:rsid w:val="36154C88"/>
    <w:rsid w:val="36221A6C"/>
    <w:rsid w:val="36252C67"/>
    <w:rsid w:val="36386996"/>
    <w:rsid w:val="365607BB"/>
    <w:rsid w:val="36601559"/>
    <w:rsid w:val="366942E0"/>
    <w:rsid w:val="368F0B09"/>
    <w:rsid w:val="369A4027"/>
    <w:rsid w:val="369A739E"/>
    <w:rsid w:val="36B867F8"/>
    <w:rsid w:val="37395321"/>
    <w:rsid w:val="374227A0"/>
    <w:rsid w:val="37490E61"/>
    <w:rsid w:val="3766254F"/>
    <w:rsid w:val="376733B8"/>
    <w:rsid w:val="37683313"/>
    <w:rsid w:val="37831F3D"/>
    <w:rsid w:val="37853041"/>
    <w:rsid w:val="379E4C02"/>
    <w:rsid w:val="37B05E2A"/>
    <w:rsid w:val="37C5232F"/>
    <w:rsid w:val="37CE7987"/>
    <w:rsid w:val="38045DC1"/>
    <w:rsid w:val="388C157E"/>
    <w:rsid w:val="389F2E95"/>
    <w:rsid w:val="38E928FC"/>
    <w:rsid w:val="38F94A57"/>
    <w:rsid w:val="38FB5907"/>
    <w:rsid w:val="392B2444"/>
    <w:rsid w:val="395846F2"/>
    <w:rsid w:val="39C74071"/>
    <w:rsid w:val="39E130BC"/>
    <w:rsid w:val="3A3577FF"/>
    <w:rsid w:val="3A465B2C"/>
    <w:rsid w:val="3A4B78A6"/>
    <w:rsid w:val="3A5A7B55"/>
    <w:rsid w:val="3A7255AF"/>
    <w:rsid w:val="3ABE28CC"/>
    <w:rsid w:val="3B0C3412"/>
    <w:rsid w:val="3B257775"/>
    <w:rsid w:val="3B27770B"/>
    <w:rsid w:val="3B4646D5"/>
    <w:rsid w:val="3B4F0D0C"/>
    <w:rsid w:val="3B540375"/>
    <w:rsid w:val="3BD240C3"/>
    <w:rsid w:val="3BDC7581"/>
    <w:rsid w:val="3C083874"/>
    <w:rsid w:val="3C1634E3"/>
    <w:rsid w:val="3C552BBD"/>
    <w:rsid w:val="3C6476E4"/>
    <w:rsid w:val="3C671A8F"/>
    <w:rsid w:val="3C7D6764"/>
    <w:rsid w:val="3CC33464"/>
    <w:rsid w:val="3CCF005B"/>
    <w:rsid w:val="3CDD209D"/>
    <w:rsid w:val="3CEC6E4E"/>
    <w:rsid w:val="3D244AC1"/>
    <w:rsid w:val="3D915D46"/>
    <w:rsid w:val="3D987AD7"/>
    <w:rsid w:val="3D9C262D"/>
    <w:rsid w:val="3DFB14A1"/>
    <w:rsid w:val="3E035B0F"/>
    <w:rsid w:val="3E1C107E"/>
    <w:rsid w:val="3E265A58"/>
    <w:rsid w:val="3E5842FE"/>
    <w:rsid w:val="3E5D4364"/>
    <w:rsid w:val="3E5E1696"/>
    <w:rsid w:val="3E8D1F7B"/>
    <w:rsid w:val="3EB571D9"/>
    <w:rsid w:val="3ECA596B"/>
    <w:rsid w:val="3ED67416"/>
    <w:rsid w:val="3EE55BC4"/>
    <w:rsid w:val="3F19380F"/>
    <w:rsid w:val="3F2006FA"/>
    <w:rsid w:val="3F2E38A2"/>
    <w:rsid w:val="3F551B15"/>
    <w:rsid w:val="3F7E5768"/>
    <w:rsid w:val="3FBB6142"/>
    <w:rsid w:val="3FC75DC7"/>
    <w:rsid w:val="3FDE44DC"/>
    <w:rsid w:val="3FF57067"/>
    <w:rsid w:val="3FF94B52"/>
    <w:rsid w:val="400E49F6"/>
    <w:rsid w:val="40291232"/>
    <w:rsid w:val="4031316B"/>
    <w:rsid w:val="404932D2"/>
    <w:rsid w:val="407903DC"/>
    <w:rsid w:val="407924B5"/>
    <w:rsid w:val="408706D3"/>
    <w:rsid w:val="40B44F66"/>
    <w:rsid w:val="40D05741"/>
    <w:rsid w:val="40DA0F23"/>
    <w:rsid w:val="40F55A84"/>
    <w:rsid w:val="40FA7E49"/>
    <w:rsid w:val="41554AE8"/>
    <w:rsid w:val="41771B49"/>
    <w:rsid w:val="41780CC1"/>
    <w:rsid w:val="41B415CD"/>
    <w:rsid w:val="41DF2AEE"/>
    <w:rsid w:val="420D2A80"/>
    <w:rsid w:val="421A2073"/>
    <w:rsid w:val="422148CB"/>
    <w:rsid w:val="42467367"/>
    <w:rsid w:val="426D1F05"/>
    <w:rsid w:val="426E500B"/>
    <w:rsid w:val="42861758"/>
    <w:rsid w:val="429574BD"/>
    <w:rsid w:val="42B60A09"/>
    <w:rsid w:val="431247FD"/>
    <w:rsid w:val="434D6210"/>
    <w:rsid w:val="43507DFC"/>
    <w:rsid w:val="4357075F"/>
    <w:rsid w:val="43670FED"/>
    <w:rsid w:val="43732951"/>
    <w:rsid w:val="43A01BC0"/>
    <w:rsid w:val="43BE5738"/>
    <w:rsid w:val="43C1218D"/>
    <w:rsid w:val="43C33D49"/>
    <w:rsid w:val="43D24560"/>
    <w:rsid w:val="43EA39CC"/>
    <w:rsid w:val="43F80860"/>
    <w:rsid w:val="44523F0B"/>
    <w:rsid w:val="446077EA"/>
    <w:rsid w:val="446530CB"/>
    <w:rsid w:val="447B7CC7"/>
    <w:rsid w:val="447D7120"/>
    <w:rsid w:val="44807500"/>
    <w:rsid w:val="44C6063C"/>
    <w:rsid w:val="44CB1ED8"/>
    <w:rsid w:val="44D04950"/>
    <w:rsid w:val="45027742"/>
    <w:rsid w:val="450308A1"/>
    <w:rsid w:val="45156827"/>
    <w:rsid w:val="451633F6"/>
    <w:rsid w:val="45575091"/>
    <w:rsid w:val="457E334B"/>
    <w:rsid w:val="45A831F7"/>
    <w:rsid w:val="45DE30BD"/>
    <w:rsid w:val="46010498"/>
    <w:rsid w:val="46080375"/>
    <w:rsid w:val="4632767D"/>
    <w:rsid w:val="4639421E"/>
    <w:rsid w:val="464512B9"/>
    <w:rsid w:val="46857785"/>
    <w:rsid w:val="46887A7D"/>
    <w:rsid w:val="46A63BDA"/>
    <w:rsid w:val="46B82B63"/>
    <w:rsid w:val="46C6375A"/>
    <w:rsid w:val="470914ED"/>
    <w:rsid w:val="4717429E"/>
    <w:rsid w:val="473079FD"/>
    <w:rsid w:val="477A7EBA"/>
    <w:rsid w:val="477B4092"/>
    <w:rsid w:val="47D72D22"/>
    <w:rsid w:val="47DB78B4"/>
    <w:rsid w:val="48435459"/>
    <w:rsid w:val="48512772"/>
    <w:rsid w:val="48514EDE"/>
    <w:rsid w:val="485C4777"/>
    <w:rsid w:val="487D4232"/>
    <w:rsid w:val="48CF7144"/>
    <w:rsid w:val="48D616D5"/>
    <w:rsid w:val="490B4AEA"/>
    <w:rsid w:val="49514122"/>
    <w:rsid w:val="49D87443"/>
    <w:rsid w:val="49F17862"/>
    <w:rsid w:val="4A1608FD"/>
    <w:rsid w:val="4A2D0A01"/>
    <w:rsid w:val="4A9D3546"/>
    <w:rsid w:val="4AB13666"/>
    <w:rsid w:val="4ADD5148"/>
    <w:rsid w:val="4AE41E96"/>
    <w:rsid w:val="4B3A109F"/>
    <w:rsid w:val="4B7F53EA"/>
    <w:rsid w:val="4B9107F9"/>
    <w:rsid w:val="4B9E34D5"/>
    <w:rsid w:val="4BB20856"/>
    <w:rsid w:val="4BCB2534"/>
    <w:rsid w:val="4BD166D8"/>
    <w:rsid w:val="4BE776C6"/>
    <w:rsid w:val="4BFE5865"/>
    <w:rsid w:val="4C011848"/>
    <w:rsid w:val="4C044814"/>
    <w:rsid w:val="4C1A2BA0"/>
    <w:rsid w:val="4C1D581B"/>
    <w:rsid w:val="4C29373A"/>
    <w:rsid w:val="4C2E6D51"/>
    <w:rsid w:val="4C4174A2"/>
    <w:rsid w:val="4C585A0F"/>
    <w:rsid w:val="4C7A4FA0"/>
    <w:rsid w:val="4C8C05A4"/>
    <w:rsid w:val="4CD11285"/>
    <w:rsid w:val="4CE91A37"/>
    <w:rsid w:val="4CF96382"/>
    <w:rsid w:val="4D3C3A61"/>
    <w:rsid w:val="4D4D1254"/>
    <w:rsid w:val="4D4E063D"/>
    <w:rsid w:val="4D790B90"/>
    <w:rsid w:val="4DE04487"/>
    <w:rsid w:val="4DF254C6"/>
    <w:rsid w:val="4E380C6E"/>
    <w:rsid w:val="4E4C53B9"/>
    <w:rsid w:val="4E5530AA"/>
    <w:rsid w:val="4E5C1022"/>
    <w:rsid w:val="4E5F400D"/>
    <w:rsid w:val="4E73339F"/>
    <w:rsid w:val="4E9E788D"/>
    <w:rsid w:val="4EB175C0"/>
    <w:rsid w:val="4EB40E5E"/>
    <w:rsid w:val="4ED922A8"/>
    <w:rsid w:val="4F33111A"/>
    <w:rsid w:val="4F5703D3"/>
    <w:rsid w:val="4F585C8E"/>
    <w:rsid w:val="4F7751AF"/>
    <w:rsid w:val="4F940184"/>
    <w:rsid w:val="4FEF57D7"/>
    <w:rsid w:val="4FFA4F97"/>
    <w:rsid w:val="50017646"/>
    <w:rsid w:val="500C4858"/>
    <w:rsid w:val="502B04BF"/>
    <w:rsid w:val="503D42C7"/>
    <w:rsid w:val="503E5DFA"/>
    <w:rsid w:val="506D7517"/>
    <w:rsid w:val="50DA7E70"/>
    <w:rsid w:val="50E40C87"/>
    <w:rsid w:val="50FB6272"/>
    <w:rsid w:val="510328D8"/>
    <w:rsid w:val="51072832"/>
    <w:rsid w:val="51230246"/>
    <w:rsid w:val="514209A3"/>
    <w:rsid w:val="51736DAF"/>
    <w:rsid w:val="51A21C47"/>
    <w:rsid w:val="51A60B4C"/>
    <w:rsid w:val="51AC3E9B"/>
    <w:rsid w:val="51C439CB"/>
    <w:rsid w:val="51DD2717"/>
    <w:rsid w:val="51F356C8"/>
    <w:rsid w:val="51FC4FF6"/>
    <w:rsid w:val="52052024"/>
    <w:rsid w:val="520E1F51"/>
    <w:rsid w:val="520F6A58"/>
    <w:rsid w:val="52107A7E"/>
    <w:rsid w:val="52306A34"/>
    <w:rsid w:val="52397FF8"/>
    <w:rsid w:val="52535DFD"/>
    <w:rsid w:val="525C12CD"/>
    <w:rsid w:val="525F2EBE"/>
    <w:rsid w:val="5262211C"/>
    <w:rsid w:val="526C7972"/>
    <w:rsid w:val="5288688A"/>
    <w:rsid w:val="52BC29D7"/>
    <w:rsid w:val="52C35E78"/>
    <w:rsid w:val="52E760A8"/>
    <w:rsid w:val="530B5910"/>
    <w:rsid w:val="530C3352"/>
    <w:rsid w:val="531D707B"/>
    <w:rsid w:val="53341DDA"/>
    <w:rsid w:val="53497F05"/>
    <w:rsid w:val="534A2AB7"/>
    <w:rsid w:val="53564AF5"/>
    <w:rsid w:val="536236BC"/>
    <w:rsid w:val="5382152B"/>
    <w:rsid w:val="53871202"/>
    <w:rsid w:val="53AF6DF2"/>
    <w:rsid w:val="53C15842"/>
    <w:rsid w:val="53F00B8B"/>
    <w:rsid w:val="53F93A4C"/>
    <w:rsid w:val="541C4E2F"/>
    <w:rsid w:val="542157DA"/>
    <w:rsid w:val="54284764"/>
    <w:rsid w:val="5470418F"/>
    <w:rsid w:val="54C47921"/>
    <w:rsid w:val="54C72897"/>
    <w:rsid w:val="54DE744F"/>
    <w:rsid w:val="54E50447"/>
    <w:rsid w:val="55456B70"/>
    <w:rsid w:val="555B1B85"/>
    <w:rsid w:val="55750D6B"/>
    <w:rsid w:val="559669A1"/>
    <w:rsid w:val="559E35D5"/>
    <w:rsid w:val="55C228D3"/>
    <w:rsid w:val="55C525F4"/>
    <w:rsid w:val="55FF5FDA"/>
    <w:rsid w:val="56017B32"/>
    <w:rsid w:val="560C4EB1"/>
    <w:rsid w:val="560D1E89"/>
    <w:rsid w:val="56242D6E"/>
    <w:rsid w:val="5637484F"/>
    <w:rsid w:val="567E091F"/>
    <w:rsid w:val="56933E7B"/>
    <w:rsid w:val="56CB0123"/>
    <w:rsid w:val="57160908"/>
    <w:rsid w:val="57401D39"/>
    <w:rsid w:val="577416FB"/>
    <w:rsid w:val="5782176E"/>
    <w:rsid w:val="57A01920"/>
    <w:rsid w:val="57A22507"/>
    <w:rsid w:val="57BC2B32"/>
    <w:rsid w:val="57DA2BA1"/>
    <w:rsid w:val="57E93E2C"/>
    <w:rsid w:val="57F40DD1"/>
    <w:rsid w:val="57F956D1"/>
    <w:rsid w:val="57FC26EC"/>
    <w:rsid w:val="58085963"/>
    <w:rsid w:val="5829098B"/>
    <w:rsid w:val="58896B81"/>
    <w:rsid w:val="58AC4EFC"/>
    <w:rsid w:val="58EA3588"/>
    <w:rsid w:val="58FA668E"/>
    <w:rsid w:val="59015042"/>
    <w:rsid w:val="594B0611"/>
    <w:rsid w:val="596E412E"/>
    <w:rsid w:val="59887718"/>
    <w:rsid w:val="59A95566"/>
    <w:rsid w:val="59F51CE3"/>
    <w:rsid w:val="59FF561A"/>
    <w:rsid w:val="5A285312"/>
    <w:rsid w:val="5A6D1A7D"/>
    <w:rsid w:val="5A70455A"/>
    <w:rsid w:val="5A71640A"/>
    <w:rsid w:val="5A7870D1"/>
    <w:rsid w:val="5A7E331D"/>
    <w:rsid w:val="5A87244C"/>
    <w:rsid w:val="5A982F4B"/>
    <w:rsid w:val="5ACA6B16"/>
    <w:rsid w:val="5ACE14FA"/>
    <w:rsid w:val="5AED5059"/>
    <w:rsid w:val="5B055EEB"/>
    <w:rsid w:val="5B0B6244"/>
    <w:rsid w:val="5B2979FC"/>
    <w:rsid w:val="5B3D39D4"/>
    <w:rsid w:val="5B532804"/>
    <w:rsid w:val="5B654F56"/>
    <w:rsid w:val="5B96130A"/>
    <w:rsid w:val="5C1244F3"/>
    <w:rsid w:val="5C25308B"/>
    <w:rsid w:val="5C2B24A5"/>
    <w:rsid w:val="5C4573A4"/>
    <w:rsid w:val="5C5D5374"/>
    <w:rsid w:val="5C6B2AB9"/>
    <w:rsid w:val="5C975A0D"/>
    <w:rsid w:val="5C992482"/>
    <w:rsid w:val="5C9F6CAA"/>
    <w:rsid w:val="5CCA41B3"/>
    <w:rsid w:val="5CD77D14"/>
    <w:rsid w:val="5CDF3D0B"/>
    <w:rsid w:val="5CFA0B64"/>
    <w:rsid w:val="5D4E6CEA"/>
    <w:rsid w:val="5D57303F"/>
    <w:rsid w:val="5D7A07D2"/>
    <w:rsid w:val="5D883696"/>
    <w:rsid w:val="5DCC51F1"/>
    <w:rsid w:val="5E036F3A"/>
    <w:rsid w:val="5E236935"/>
    <w:rsid w:val="5E265920"/>
    <w:rsid w:val="5E347057"/>
    <w:rsid w:val="5E3D70F6"/>
    <w:rsid w:val="5E425C3D"/>
    <w:rsid w:val="5E6A7CB4"/>
    <w:rsid w:val="5E9A1E1F"/>
    <w:rsid w:val="5EA24574"/>
    <w:rsid w:val="5EC048E4"/>
    <w:rsid w:val="5ECD5595"/>
    <w:rsid w:val="5EEE3891"/>
    <w:rsid w:val="5EF36D0A"/>
    <w:rsid w:val="5F3215AC"/>
    <w:rsid w:val="5F430A12"/>
    <w:rsid w:val="5F4657F5"/>
    <w:rsid w:val="5F70492E"/>
    <w:rsid w:val="5F941BE9"/>
    <w:rsid w:val="5FC05F61"/>
    <w:rsid w:val="5FE90D26"/>
    <w:rsid w:val="60390B97"/>
    <w:rsid w:val="60661647"/>
    <w:rsid w:val="60B976A3"/>
    <w:rsid w:val="60D34072"/>
    <w:rsid w:val="60EC6207"/>
    <w:rsid w:val="613627E5"/>
    <w:rsid w:val="6162474A"/>
    <w:rsid w:val="61722B2B"/>
    <w:rsid w:val="617A7CE6"/>
    <w:rsid w:val="61D70C94"/>
    <w:rsid w:val="62171D6B"/>
    <w:rsid w:val="62594DDD"/>
    <w:rsid w:val="625B7B17"/>
    <w:rsid w:val="626002DF"/>
    <w:rsid w:val="626764BC"/>
    <w:rsid w:val="6271555C"/>
    <w:rsid w:val="628932D3"/>
    <w:rsid w:val="62AA58E1"/>
    <w:rsid w:val="62AB1EEE"/>
    <w:rsid w:val="631E632B"/>
    <w:rsid w:val="63293329"/>
    <w:rsid w:val="632A47AA"/>
    <w:rsid w:val="63366193"/>
    <w:rsid w:val="63466990"/>
    <w:rsid w:val="635772F5"/>
    <w:rsid w:val="637412F7"/>
    <w:rsid w:val="639D7CBB"/>
    <w:rsid w:val="63A42748"/>
    <w:rsid w:val="63A90654"/>
    <w:rsid w:val="63B616B2"/>
    <w:rsid w:val="63E56AA5"/>
    <w:rsid w:val="63F41D83"/>
    <w:rsid w:val="63F91396"/>
    <w:rsid w:val="640F0F63"/>
    <w:rsid w:val="642C1829"/>
    <w:rsid w:val="642C510C"/>
    <w:rsid w:val="64325DFA"/>
    <w:rsid w:val="647B1063"/>
    <w:rsid w:val="647C5B23"/>
    <w:rsid w:val="64B96D77"/>
    <w:rsid w:val="64BD6867"/>
    <w:rsid w:val="64E35139"/>
    <w:rsid w:val="65111481"/>
    <w:rsid w:val="652A3D62"/>
    <w:rsid w:val="656767D3"/>
    <w:rsid w:val="65691016"/>
    <w:rsid w:val="65767563"/>
    <w:rsid w:val="658F77CF"/>
    <w:rsid w:val="659348BD"/>
    <w:rsid w:val="65C72DCF"/>
    <w:rsid w:val="65D34B1D"/>
    <w:rsid w:val="65EE2AFE"/>
    <w:rsid w:val="65F02759"/>
    <w:rsid w:val="66300EA3"/>
    <w:rsid w:val="664B4A49"/>
    <w:rsid w:val="665F56FC"/>
    <w:rsid w:val="666530BD"/>
    <w:rsid w:val="66660CED"/>
    <w:rsid w:val="668B7764"/>
    <w:rsid w:val="66AC046D"/>
    <w:rsid w:val="66E80A0E"/>
    <w:rsid w:val="67387A67"/>
    <w:rsid w:val="67575A8D"/>
    <w:rsid w:val="67681B58"/>
    <w:rsid w:val="67B12081"/>
    <w:rsid w:val="67BF6B6F"/>
    <w:rsid w:val="67C07A13"/>
    <w:rsid w:val="67DE26FC"/>
    <w:rsid w:val="67F46052"/>
    <w:rsid w:val="680622D3"/>
    <w:rsid w:val="68243ABF"/>
    <w:rsid w:val="684233DA"/>
    <w:rsid w:val="68644FB0"/>
    <w:rsid w:val="6867292C"/>
    <w:rsid w:val="68866F70"/>
    <w:rsid w:val="68A11FFC"/>
    <w:rsid w:val="68EB1DD2"/>
    <w:rsid w:val="68F06AD4"/>
    <w:rsid w:val="69181BD9"/>
    <w:rsid w:val="691A3DDD"/>
    <w:rsid w:val="69231DD9"/>
    <w:rsid w:val="6931512E"/>
    <w:rsid w:val="694A1401"/>
    <w:rsid w:val="69504638"/>
    <w:rsid w:val="695F6E2D"/>
    <w:rsid w:val="696A0640"/>
    <w:rsid w:val="698A6F34"/>
    <w:rsid w:val="69992D2E"/>
    <w:rsid w:val="69A22849"/>
    <w:rsid w:val="69A41AEF"/>
    <w:rsid w:val="69BC61FD"/>
    <w:rsid w:val="69C01116"/>
    <w:rsid w:val="69C67F6C"/>
    <w:rsid w:val="69F93FC7"/>
    <w:rsid w:val="6A0771B6"/>
    <w:rsid w:val="6A1F03EC"/>
    <w:rsid w:val="6A505E2F"/>
    <w:rsid w:val="6A894111"/>
    <w:rsid w:val="6AA70ABD"/>
    <w:rsid w:val="6AAE1F9D"/>
    <w:rsid w:val="6AD420B4"/>
    <w:rsid w:val="6B155E6C"/>
    <w:rsid w:val="6B8B0EDA"/>
    <w:rsid w:val="6BB45044"/>
    <w:rsid w:val="6BEE7309"/>
    <w:rsid w:val="6BF42D98"/>
    <w:rsid w:val="6C1B72F9"/>
    <w:rsid w:val="6C325467"/>
    <w:rsid w:val="6C371D38"/>
    <w:rsid w:val="6C562244"/>
    <w:rsid w:val="6C696AEF"/>
    <w:rsid w:val="6C7527A8"/>
    <w:rsid w:val="6C9A5C8A"/>
    <w:rsid w:val="6C9B5D7E"/>
    <w:rsid w:val="6CC3286D"/>
    <w:rsid w:val="6CD00A4A"/>
    <w:rsid w:val="6CD964A2"/>
    <w:rsid w:val="6CE358B6"/>
    <w:rsid w:val="6CE40709"/>
    <w:rsid w:val="6D21445E"/>
    <w:rsid w:val="6D346135"/>
    <w:rsid w:val="6D4754F7"/>
    <w:rsid w:val="6D4E1456"/>
    <w:rsid w:val="6D631F76"/>
    <w:rsid w:val="6D671AA5"/>
    <w:rsid w:val="6D68052A"/>
    <w:rsid w:val="6D8E3146"/>
    <w:rsid w:val="6DBA01AF"/>
    <w:rsid w:val="6E0B629A"/>
    <w:rsid w:val="6E3044D7"/>
    <w:rsid w:val="6E535B46"/>
    <w:rsid w:val="6E5505E5"/>
    <w:rsid w:val="6E761835"/>
    <w:rsid w:val="6E9A3775"/>
    <w:rsid w:val="6EB72CA6"/>
    <w:rsid w:val="6EE97800"/>
    <w:rsid w:val="6EF14DDF"/>
    <w:rsid w:val="6F1936B5"/>
    <w:rsid w:val="6F2D0F58"/>
    <w:rsid w:val="6F357F71"/>
    <w:rsid w:val="6F613C82"/>
    <w:rsid w:val="6F8B2BA3"/>
    <w:rsid w:val="6F92196C"/>
    <w:rsid w:val="6F9B1553"/>
    <w:rsid w:val="6F9E509F"/>
    <w:rsid w:val="6FA808C0"/>
    <w:rsid w:val="6FB87F9A"/>
    <w:rsid w:val="6FDE429D"/>
    <w:rsid w:val="701C5AC1"/>
    <w:rsid w:val="7056535F"/>
    <w:rsid w:val="706C4C07"/>
    <w:rsid w:val="708625C4"/>
    <w:rsid w:val="70A873C2"/>
    <w:rsid w:val="70B94E05"/>
    <w:rsid w:val="70BF3967"/>
    <w:rsid w:val="70C861EE"/>
    <w:rsid w:val="70E21403"/>
    <w:rsid w:val="70E96186"/>
    <w:rsid w:val="71440EF8"/>
    <w:rsid w:val="71483F36"/>
    <w:rsid w:val="714A72CE"/>
    <w:rsid w:val="71526BE1"/>
    <w:rsid w:val="71607375"/>
    <w:rsid w:val="71D168F3"/>
    <w:rsid w:val="71E84380"/>
    <w:rsid w:val="721D69A0"/>
    <w:rsid w:val="72286570"/>
    <w:rsid w:val="722B259E"/>
    <w:rsid w:val="724D243B"/>
    <w:rsid w:val="72516958"/>
    <w:rsid w:val="72781833"/>
    <w:rsid w:val="727E5BD4"/>
    <w:rsid w:val="72B13D47"/>
    <w:rsid w:val="72FE4F4A"/>
    <w:rsid w:val="730C4052"/>
    <w:rsid w:val="736305BE"/>
    <w:rsid w:val="73775D00"/>
    <w:rsid w:val="73A01EB1"/>
    <w:rsid w:val="73BD4A44"/>
    <w:rsid w:val="73BF3D93"/>
    <w:rsid w:val="73DB1909"/>
    <w:rsid w:val="73E44651"/>
    <w:rsid w:val="742D247D"/>
    <w:rsid w:val="748929B2"/>
    <w:rsid w:val="74922A45"/>
    <w:rsid w:val="74AC3F76"/>
    <w:rsid w:val="74B54486"/>
    <w:rsid w:val="74DE3AC0"/>
    <w:rsid w:val="74E35816"/>
    <w:rsid w:val="74F3159E"/>
    <w:rsid w:val="75115158"/>
    <w:rsid w:val="752C0E9F"/>
    <w:rsid w:val="752F25FD"/>
    <w:rsid w:val="754438E2"/>
    <w:rsid w:val="75484D90"/>
    <w:rsid w:val="756B2F29"/>
    <w:rsid w:val="757E794D"/>
    <w:rsid w:val="759862A9"/>
    <w:rsid w:val="75B8697D"/>
    <w:rsid w:val="75E176F0"/>
    <w:rsid w:val="76051E1C"/>
    <w:rsid w:val="760859F0"/>
    <w:rsid w:val="760B6D06"/>
    <w:rsid w:val="762828AA"/>
    <w:rsid w:val="76483F8A"/>
    <w:rsid w:val="765D7838"/>
    <w:rsid w:val="7669422C"/>
    <w:rsid w:val="766D2537"/>
    <w:rsid w:val="76796366"/>
    <w:rsid w:val="76A2773F"/>
    <w:rsid w:val="76B00445"/>
    <w:rsid w:val="76B15B00"/>
    <w:rsid w:val="76B85F5D"/>
    <w:rsid w:val="76B865B9"/>
    <w:rsid w:val="76BB4582"/>
    <w:rsid w:val="76EC08E6"/>
    <w:rsid w:val="772877DD"/>
    <w:rsid w:val="773410EC"/>
    <w:rsid w:val="775D4907"/>
    <w:rsid w:val="776F640D"/>
    <w:rsid w:val="778854DC"/>
    <w:rsid w:val="778D031B"/>
    <w:rsid w:val="77903967"/>
    <w:rsid w:val="77A411C1"/>
    <w:rsid w:val="77C316A6"/>
    <w:rsid w:val="780A11D3"/>
    <w:rsid w:val="782567A5"/>
    <w:rsid w:val="784D7779"/>
    <w:rsid w:val="7859644F"/>
    <w:rsid w:val="78740E8E"/>
    <w:rsid w:val="78900FA3"/>
    <w:rsid w:val="789D3E57"/>
    <w:rsid w:val="78AF42C1"/>
    <w:rsid w:val="78BF4C03"/>
    <w:rsid w:val="78E801F3"/>
    <w:rsid w:val="79030D1A"/>
    <w:rsid w:val="793346B0"/>
    <w:rsid w:val="794915CE"/>
    <w:rsid w:val="79864A5B"/>
    <w:rsid w:val="799668CF"/>
    <w:rsid w:val="79A27982"/>
    <w:rsid w:val="79C73CD9"/>
    <w:rsid w:val="79CA729C"/>
    <w:rsid w:val="79CB7624"/>
    <w:rsid w:val="79DB5CC4"/>
    <w:rsid w:val="79EE7A68"/>
    <w:rsid w:val="7A806D0F"/>
    <w:rsid w:val="7A9B68AB"/>
    <w:rsid w:val="7AA64077"/>
    <w:rsid w:val="7ADD397A"/>
    <w:rsid w:val="7ADF0B0D"/>
    <w:rsid w:val="7AEE3F26"/>
    <w:rsid w:val="7B722069"/>
    <w:rsid w:val="7B985B8F"/>
    <w:rsid w:val="7BC24A25"/>
    <w:rsid w:val="7BCB7049"/>
    <w:rsid w:val="7BD76009"/>
    <w:rsid w:val="7C1750A0"/>
    <w:rsid w:val="7C251E94"/>
    <w:rsid w:val="7C330D65"/>
    <w:rsid w:val="7C592C47"/>
    <w:rsid w:val="7C656269"/>
    <w:rsid w:val="7C8C22AE"/>
    <w:rsid w:val="7CAB4D9F"/>
    <w:rsid w:val="7CBF4EBE"/>
    <w:rsid w:val="7CF94473"/>
    <w:rsid w:val="7D0C7BFF"/>
    <w:rsid w:val="7D144545"/>
    <w:rsid w:val="7D3354C1"/>
    <w:rsid w:val="7D4B6BE2"/>
    <w:rsid w:val="7D8446CF"/>
    <w:rsid w:val="7D8D75F7"/>
    <w:rsid w:val="7DB67EA0"/>
    <w:rsid w:val="7DDB7472"/>
    <w:rsid w:val="7DE06ED6"/>
    <w:rsid w:val="7E127936"/>
    <w:rsid w:val="7E2E0971"/>
    <w:rsid w:val="7E374363"/>
    <w:rsid w:val="7E494870"/>
    <w:rsid w:val="7E7E0690"/>
    <w:rsid w:val="7E8933F6"/>
    <w:rsid w:val="7EC3172A"/>
    <w:rsid w:val="7ECE3578"/>
    <w:rsid w:val="7EF265F5"/>
    <w:rsid w:val="7F144E7E"/>
    <w:rsid w:val="7F3948E4"/>
    <w:rsid w:val="7F3A2A76"/>
    <w:rsid w:val="7F651B7D"/>
    <w:rsid w:val="7F6C1DC8"/>
    <w:rsid w:val="7F8E2E82"/>
    <w:rsid w:val="7FC655DB"/>
    <w:rsid w:val="7FCB445E"/>
    <w:rsid w:val="7FCB7FB6"/>
    <w:rsid w:val="7FE568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50" w:right="62" w:hanging="50" w:hangingChars="5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6"/>
    <w:qFormat/>
    <w:uiPriority w:val="0"/>
    <w:pPr>
      <w:keepNext/>
      <w:keepLines/>
      <w:pageBreakBefore/>
      <w:numPr>
        <w:ilvl w:val="0"/>
        <w:numId w:val="1"/>
      </w:numPr>
      <w:adjustRightInd w:val="0"/>
      <w:spacing w:before="340" w:after="330" w:line="900" w:lineRule="exact"/>
      <w:jc w:val="center"/>
      <w:outlineLvl w:val="0"/>
    </w:pPr>
    <w:rPr>
      <w:b/>
      <w:kern w:val="44"/>
      <w:sz w:val="32"/>
      <w:szCs w:val="20"/>
    </w:rPr>
  </w:style>
  <w:style w:type="paragraph" w:styleId="6">
    <w:name w:val="heading 2"/>
    <w:basedOn w:val="1"/>
    <w:next w:val="1"/>
    <w:autoRedefine/>
    <w:qFormat/>
    <w:uiPriority w:val="0"/>
    <w:pPr>
      <w:keepNext/>
      <w:keepLines/>
      <w:spacing w:before="260" w:after="260" w:line="800" w:lineRule="exact"/>
      <w:jc w:val="center"/>
      <w:outlineLvl w:val="1"/>
    </w:pPr>
    <w:rPr>
      <w:b/>
      <w:bCs/>
      <w:sz w:val="30"/>
      <w:szCs w:val="32"/>
    </w:rPr>
  </w:style>
  <w:style w:type="paragraph" w:styleId="7">
    <w:name w:val="heading 3"/>
    <w:basedOn w:val="1"/>
    <w:next w:val="1"/>
    <w:link w:val="87"/>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numPr>
        <w:ilvl w:val="3"/>
        <w:numId w:val="2"/>
      </w:numPr>
      <w:tabs>
        <w:tab w:val="left" w:pos="425"/>
      </w:tabs>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outlineLvl w:val="4"/>
    </w:pPr>
  </w:style>
  <w:style w:type="paragraph" w:styleId="10">
    <w:name w:val="heading 6"/>
    <w:basedOn w:val="1"/>
    <w:next w:val="1"/>
    <w:autoRedefine/>
    <w:qFormat/>
    <w:uiPriority w:val="0"/>
    <w:pPr>
      <w:outlineLvl w:val="5"/>
    </w:pPr>
    <w:rPr>
      <w:i/>
    </w:rPr>
  </w:style>
  <w:style w:type="paragraph" w:styleId="11">
    <w:name w:val="heading 7"/>
    <w:basedOn w:val="12"/>
    <w:next w:val="13"/>
    <w:autoRedefine/>
    <w:qFormat/>
    <w:uiPriority w:val="0"/>
    <w:pPr>
      <w:ind w:firstLine="360"/>
      <w:outlineLvl w:val="6"/>
    </w:pPr>
    <w:rPr>
      <w:smallCaps/>
      <w:sz w:val="23"/>
    </w:rPr>
  </w:style>
  <w:style w:type="paragraph" w:styleId="14">
    <w:name w:val="heading 8"/>
    <w:basedOn w:val="12"/>
    <w:next w:val="13"/>
    <w:autoRedefine/>
    <w:qFormat/>
    <w:uiPriority w:val="0"/>
    <w:pPr>
      <w:ind w:firstLine="360"/>
      <w:outlineLvl w:val="7"/>
    </w:pPr>
    <w:rPr>
      <w:i/>
    </w:rPr>
  </w:style>
  <w:style w:type="paragraph" w:styleId="15">
    <w:name w:val="heading 9"/>
    <w:basedOn w:val="12"/>
    <w:next w:val="13"/>
    <w:qFormat/>
    <w:uiPriority w:val="0"/>
    <w:pPr>
      <w:outlineLvl w:val="8"/>
    </w:pPr>
  </w:style>
  <w:style w:type="character" w:default="1" w:styleId="78">
    <w:name w:val="Default Paragraph Font"/>
    <w:unhideWhenUsed/>
    <w:qFormat/>
    <w:uiPriority w:val="1"/>
  </w:style>
  <w:style w:type="table" w:default="1" w:styleId="76">
    <w:name w:val="Normal Table"/>
    <w:autoRedefine/>
    <w:unhideWhenUsed/>
    <w:qFormat/>
    <w:uiPriority w:val="99"/>
    <w:tblPr>
      <w:tblCellMar>
        <w:top w:w="0" w:type="dxa"/>
        <w:left w:w="108" w:type="dxa"/>
        <w:bottom w:w="0" w:type="dxa"/>
        <w:right w:w="108" w:type="dxa"/>
      </w:tblCellMar>
    </w:tblPr>
  </w:style>
  <w:style w:type="paragraph" w:customStyle="1" w:styleId="2">
    <w:name w:val="BodyText1I"/>
    <w:basedOn w:val="3"/>
    <w:autoRedefine/>
    <w:qFormat/>
    <w:uiPriority w:val="0"/>
    <w:pPr>
      <w:widowControl/>
      <w:tabs>
        <w:tab w:val="left" w:pos="9214"/>
      </w:tabs>
      <w:spacing w:before="156" w:line="360" w:lineRule="auto"/>
      <w:ind w:firstLine="200" w:firstLineChars="200"/>
      <w:textAlignment w:val="baseline"/>
    </w:pPr>
    <w:rPr>
      <w:rFonts w:ascii="仿宋_GB2312" w:hAnsi="Times New Roman" w:eastAsia="仿宋_GB2312"/>
      <w:kern w:val="2"/>
      <w:sz w:val="30"/>
      <w:szCs w:val="30"/>
      <w:lang w:val="en-US" w:eastAsia="zh-CN" w:bidi="ar-SA"/>
    </w:rPr>
  </w:style>
  <w:style w:type="paragraph" w:customStyle="1" w:styleId="3">
    <w:name w:val="BodyText"/>
    <w:basedOn w:val="1"/>
    <w:next w:val="4"/>
    <w:autoRedefine/>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4">
    <w:name w:val="180"/>
    <w:basedOn w:val="1"/>
    <w:next w:val="1"/>
    <w:autoRedefine/>
    <w:qFormat/>
    <w:uiPriority w:val="0"/>
    <w:pPr>
      <w:spacing w:after="160" w:line="259" w:lineRule="auto"/>
      <w:jc w:val="both"/>
      <w:textAlignment w:val="baseline"/>
    </w:pPr>
    <w:rPr>
      <w:rFonts w:ascii="Calibri" w:hAnsi="Calibri" w:eastAsia="宋体"/>
      <w:i/>
      <w:iCs/>
      <w:color w:val="000000"/>
      <w:kern w:val="2"/>
      <w:sz w:val="21"/>
      <w:szCs w:val="24"/>
      <w:lang w:val="en-US" w:eastAsia="zh-CN" w:bidi="ar-SA"/>
    </w:rPr>
  </w:style>
  <w:style w:type="paragraph" w:customStyle="1" w:styleId="12">
    <w:name w:val="Heading Base"/>
    <w:basedOn w:val="13"/>
    <w:next w:val="13"/>
    <w:autoRedefine/>
    <w:qFormat/>
    <w:uiPriority w:val="0"/>
    <w:pPr>
      <w:keepNext/>
      <w:keepLines/>
      <w:widowControl/>
      <w:overflowPunct w:val="0"/>
      <w:autoSpaceDE w:val="0"/>
      <w:autoSpaceDN w:val="0"/>
      <w:spacing w:after="0" w:line="240" w:lineRule="atLeast"/>
      <w:jc w:val="left"/>
      <w:textAlignment w:val="baseline"/>
    </w:pPr>
    <w:rPr>
      <w:rFonts w:ascii="Garamond" w:hAnsi="Garamond"/>
      <w:kern w:val="20"/>
      <w:sz w:val="20"/>
    </w:rPr>
  </w:style>
  <w:style w:type="paragraph" w:styleId="13">
    <w:name w:val="Body Text"/>
    <w:basedOn w:val="1"/>
    <w:next w:val="1"/>
    <w:autoRedefine/>
    <w:qFormat/>
    <w:uiPriority w:val="0"/>
    <w:pPr>
      <w:adjustRightInd w:val="0"/>
      <w:spacing w:after="120" w:line="312" w:lineRule="atLeast"/>
    </w:pPr>
    <w:rPr>
      <w:kern w:val="0"/>
      <w:sz w:val="24"/>
      <w:szCs w:val="20"/>
    </w:rPr>
  </w:style>
  <w:style w:type="paragraph" w:styleId="16">
    <w:name w:val="List 3"/>
    <w:basedOn w:val="17"/>
    <w:autoRedefine/>
    <w:qFormat/>
    <w:uiPriority w:val="0"/>
    <w:pPr>
      <w:widowControl/>
      <w:overflowPunct w:val="0"/>
      <w:autoSpaceDE w:val="0"/>
      <w:autoSpaceDN w:val="0"/>
      <w:spacing w:after="240" w:line="240" w:lineRule="atLeast"/>
      <w:ind w:left="1440" w:hanging="360"/>
    </w:pPr>
    <w:rPr>
      <w:rFonts w:ascii="Garamond" w:hAnsi="Garamond"/>
      <w:kern w:val="18"/>
      <w:sz w:val="20"/>
    </w:rPr>
  </w:style>
  <w:style w:type="paragraph" w:styleId="17">
    <w:name w:val="List"/>
    <w:basedOn w:val="1"/>
    <w:qFormat/>
    <w:uiPriority w:val="0"/>
    <w:pPr>
      <w:adjustRightInd w:val="0"/>
      <w:spacing w:line="312" w:lineRule="atLeast"/>
      <w:ind w:left="420" w:hanging="420"/>
      <w:textAlignment w:val="baseline"/>
    </w:pPr>
    <w:rPr>
      <w:kern w:val="0"/>
      <w:szCs w:val="20"/>
    </w:rPr>
  </w:style>
  <w:style w:type="paragraph" w:styleId="18">
    <w:name w:val="List Number 2"/>
    <w:basedOn w:val="19"/>
    <w:autoRedefine/>
    <w:qFormat/>
    <w:uiPriority w:val="0"/>
    <w:pPr>
      <w:ind w:left="1080"/>
    </w:pPr>
  </w:style>
  <w:style w:type="paragraph" w:styleId="19">
    <w:name w:val="List Number"/>
    <w:basedOn w:val="1"/>
    <w:autoRedefine/>
    <w:qFormat/>
    <w:uiPriority w:val="0"/>
    <w:pPr>
      <w:widowControl/>
      <w:overflowPunct w:val="0"/>
      <w:autoSpaceDE w:val="0"/>
      <w:autoSpaceDN w:val="0"/>
      <w:spacing w:after="240" w:line="240" w:lineRule="atLeast"/>
      <w:ind w:left="720" w:right="720" w:hanging="360" w:firstLineChars="0"/>
    </w:pPr>
    <w:rPr>
      <w:rFonts w:ascii="Garamond" w:hAnsi="Garamond"/>
      <w:kern w:val="18"/>
      <w:sz w:val="20"/>
    </w:rPr>
  </w:style>
  <w:style w:type="paragraph" w:styleId="20">
    <w:name w:val="table of authorities"/>
    <w:basedOn w:val="1"/>
    <w:next w:val="1"/>
    <w:autoRedefine/>
    <w:unhideWhenUsed/>
    <w:qFormat/>
    <w:uiPriority w:val="99"/>
    <w:pPr>
      <w:ind w:left="420" w:leftChars="200"/>
    </w:pPr>
  </w:style>
  <w:style w:type="paragraph" w:styleId="21">
    <w:name w:val="List Bullet 4"/>
    <w:basedOn w:val="22"/>
    <w:autoRedefine/>
    <w:qFormat/>
    <w:uiPriority w:val="0"/>
    <w:pPr>
      <w:ind w:left="1800"/>
    </w:pPr>
  </w:style>
  <w:style w:type="paragraph" w:styleId="22">
    <w:name w:val="List Bullet"/>
    <w:basedOn w:val="17"/>
    <w:autoRedefine/>
    <w:qFormat/>
    <w:uiPriority w:val="0"/>
    <w:pPr>
      <w:widowControl/>
      <w:overflowPunct w:val="0"/>
      <w:autoSpaceDE w:val="0"/>
      <w:autoSpaceDN w:val="0"/>
      <w:spacing w:after="240" w:line="240" w:lineRule="atLeast"/>
      <w:ind w:left="720" w:right="720" w:hanging="360" w:firstLineChars="0"/>
    </w:pPr>
    <w:rPr>
      <w:rFonts w:ascii="Garamond" w:hAnsi="Garamond"/>
      <w:kern w:val="18"/>
      <w:sz w:val="20"/>
    </w:rPr>
  </w:style>
  <w:style w:type="paragraph" w:styleId="23">
    <w:name w:val="Normal Indent"/>
    <w:basedOn w:val="1"/>
    <w:next w:val="24"/>
    <w:link w:val="88"/>
    <w:autoRedefine/>
    <w:qFormat/>
    <w:uiPriority w:val="0"/>
    <w:pPr>
      <w:ind w:firstLine="420" w:firstLineChars="200"/>
    </w:pPr>
    <w:rPr>
      <w:sz w:val="24"/>
      <w:szCs w:val="20"/>
    </w:rPr>
  </w:style>
  <w:style w:type="paragraph" w:customStyle="1" w:styleId="24">
    <w:name w:val="样式 正文缩进 + 首行缩进:  2 字符"/>
    <w:basedOn w:val="23"/>
    <w:autoRedefine/>
    <w:qFormat/>
    <w:uiPriority w:val="0"/>
    <w:pPr>
      <w:ind w:firstLine="560" w:firstLineChars="200"/>
    </w:pPr>
    <w:rPr>
      <w:rFonts w:cs="宋体"/>
    </w:rPr>
  </w:style>
  <w:style w:type="paragraph" w:styleId="25">
    <w:name w:val="caption"/>
    <w:basedOn w:val="1"/>
    <w:next w:val="1"/>
    <w:autoRedefine/>
    <w:qFormat/>
    <w:uiPriority w:val="0"/>
    <w:rPr>
      <w:i/>
      <w:spacing w:val="5"/>
    </w:rPr>
  </w:style>
  <w:style w:type="paragraph" w:styleId="26">
    <w:name w:val="envelope address"/>
    <w:basedOn w:val="13"/>
    <w:autoRedefine/>
    <w:qFormat/>
    <w:uiPriority w:val="0"/>
    <w:pPr>
      <w:framePr w:w="7920" w:h="1987" w:hRule="exact" w:hSpace="187" w:vSpace="187" w:wrap="around" w:vAnchor="margin" w:hAnchor="page" w:xAlign="center" w:yAlign="bottom"/>
      <w:widowControl/>
      <w:overflowPunct w:val="0"/>
      <w:autoSpaceDE w:val="0"/>
      <w:autoSpaceDN w:val="0"/>
      <w:spacing w:after="0" w:line="220" w:lineRule="atLeast"/>
      <w:ind w:left="2880"/>
      <w:jc w:val="left"/>
      <w:textAlignment w:val="baseline"/>
    </w:pPr>
    <w:rPr>
      <w:rFonts w:ascii="Garamond" w:hAnsi="Garamond"/>
      <w:kern w:val="18"/>
      <w:sz w:val="20"/>
    </w:rPr>
  </w:style>
  <w:style w:type="paragraph" w:styleId="27">
    <w:name w:val="Document Map"/>
    <w:basedOn w:val="1"/>
    <w:autoRedefine/>
    <w:semiHidden/>
    <w:qFormat/>
    <w:uiPriority w:val="0"/>
    <w:pPr>
      <w:shd w:val="clear" w:color="auto" w:fill="000080"/>
    </w:pPr>
  </w:style>
  <w:style w:type="paragraph" w:styleId="28">
    <w:name w:val="toa heading"/>
    <w:basedOn w:val="1"/>
    <w:next w:val="1"/>
    <w:qFormat/>
    <w:uiPriority w:val="99"/>
    <w:pPr>
      <w:spacing w:before="120"/>
    </w:pPr>
    <w:rPr>
      <w:rFonts w:ascii="Arial" w:hAnsi="Arial" w:eastAsia="仿宋"/>
      <w:sz w:val="24"/>
      <w:szCs w:val="20"/>
    </w:rPr>
  </w:style>
  <w:style w:type="paragraph" w:styleId="29">
    <w:name w:val="annotation text"/>
    <w:basedOn w:val="1"/>
    <w:link w:val="89"/>
    <w:qFormat/>
    <w:uiPriority w:val="0"/>
    <w:pPr>
      <w:jc w:val="left"/>
    </w:pPr>
  </w:style>
  <w:style w:type="paragraph" w:styleId="30">
    <w:name w:val="Salutation"/>
    <w:basedOn w:val="1"/>
    <w:next w:val="1"/>
    <w:autoRedefine/>
    <w:qFormat/>
    <w:uiPriority w:val="0"/>
  </w:style>
  <w:style w:type="paragraph" w:styleId="31">
    <w:name w:val="Body Text 3"/>
    <w:basedOn w:val="1"/>
    <w:autoRedefine/>
    <w:qFormat/>
    <w:uiPriority w:val="0"/>
    <w:pPr>
      <w:spacing w:after="120"/>
    </w:pPr>
    <w:rPr>
      <w:sz w:val="16"/>
      <w:szCs w:val="16"/>
    </w:rPr>
  </w:style>
  <w:style w:type="paragraph" w:styleId="32">
    <w:name w:val="Closing"/>
    <w:basedOn w:val="13"/>
    <w:next w:val="33"/>
    <w:autoRedefine/>
    <w:qFormat/>
    <w:uiPriority w:val="0"/>
    <w:pPr>
      <w:keepNext/>
      <w:widowControl/>
      <w:overflowPunct w:val="0"/>
      <w:autoSpaceDE w:val="0"/>
      <w:autoSpaceDN w:val="0"/>
      <w:spacing w:line="240" w:lineRule="atLeast"/>
      <w:ind w:left="4560"/>
      <w:jc w:val="left"/>
      <w:textAlignment w:val="baseline"/>
    </w:pPr>
    <w:rPr>
      <w:rFonts w:ascii="Garamond" w:hAnsi="Garamond"/>
      <w:kern w:val="18"/>
      <w:sz w:val="20"/>
    </w:rPr>
  </w:style>
  <w:style w:type="paragraph" w:customStyle="1" w:styleId="33">
    <w:name w:val="Signature Company Name"/>
    <w:basedOn w:val="34"/>
    <w:next w:val="35"/>
    <w:autoRedefine/>
    <w:qFormat/>
    <w:uiPriority w:val="0"/>
    <w:pPr>
      <w:spacing w:before="0"/>
    </w:pPr>
    <w:rPr>
      <w:caps/>
      <w:sz w:val="21"/>
    </w:rPr>
  </w:style>
  <w:style w:type="paragraph" w:styleId="34">
    <w:name w:val="Signature"/>
    <w:basedOn w:val="13"/>
    <w:qFormat/>
    <w:uiPriority w:val="0"/>
    <w:pPr>
      <w:keepNext/>
      <w:widowControl/>
      <w:overflowPunct w:val="0"/>
      <w:autoSpaceDE w:val="0"/>
      <w:autoSpaceDN w:val="0"/>
      <w:spacing w:before="660" w:after="0" w:line="240" w:lineRule="atLeast"/>
      <w:ind w:left="4560"/>
      <w:jc w:val="left"/>
      <w:textAlignment w:val="baseline"/>
    </w:pPr>
    <w:rPr>
      <w:rFonts w:ascii="Garamond" w:hAnsi="Garamond"/>
      <w:kern w:val="18"/>
      <w:sz w:val="20"/>
    </w:rPr>
  </w:style>
  <w:style w:type="paragraph" w:customStyle="1" w:styleId="35">
    <w:name w:val="Signature Name"/>
    <w:basedOn w:val="34"/>
    <w:next w:val="36"/>
    <w:autoRedefine/>
    <w:qFormat/>
    <w:uiPriority w:val="0"/>
    <w:pPr>
      <w:spacing w:before="880"/>
    </w:pPr>
  </w:style>
  <w:style w:type="paragraph" w:customStyle="1" w:styleId="36">
    <w:name w:val="Signature Job Title"/>
    <w:basedOn w:val="34"/>
    <w:next w:val="37"/>
    <w:autoRedefine/>
    <w:qFormat/>
    <w:uiPriority w:val="0"/>
    <w:pPr>
      <w:spacing w:before="0"/>
    </w:pPr>
  </w:style>
  <w:style w:type="paragraph" w:customStyle="1" w:styleId="37">
    <w:name w:val="Reference Initials"/>
    <w:basedOn w:val="13"/>
    <w:next w:val="38"/>
    <w:autoRedefine/>
    <w:qFormat/>
    <w:uiPriority w:val="0"/>
    <w:pPr>
      <w:keepNext/>
      <w:keepLines/>
      <w:widowControl/>
      <w:overflowPunct w:val="0"/>
      <w:autoSpaceDE w:val="0"/>
      <w:autoSpaceDN w:val="0"/>
      <w:spacing w:before="220" w:after="0" w:line="240" w:lineRule="atLeast"/>
      <w:jc w:val="left"/>
      <w:textAlignment w:val="baseline"/>
    </w:pPr>
    <w:rPr>
      <w:rFonts w:ascii="Garamond" w:hAnsi="Garamond"/>
      <w:kern w:val="18"/>
      <w:sz w:val="20"/>
    </w:rPr>
  </w:style>
  <w:style w:type="paragraph" w:customStyle="1" w:styleId="38">
    <w:name w:val="Enclosure"/>
    <w:basedOn w:val="13"/>
    <w:next w:val="39"/>
    <w:qFormat/>
    <w:uiPriority w:val="0"/>
    <w:pPr>
      <w:keepNext/>
      <w:keepLines/>
      <w:widowControl/>
      <w:overflowPunct w:val="0"/>
      <w:autoSpaceDE w:val="0"/>
      <w:autoSpaceDN w:val="0"/>
      <w:spacing w:after="240" w:line="240" w:lineRule="atLeast"/>
      <w:textAlignment w:val="baseline"/>
    </w:pPr>
    <w:rPr>
      <w:rFonts w:ascii="Garamond" w:hAnsi="Garamond"/>
      <w:kern w:val="18"/>
      <w:sz w:val="20"/>
    </w:rPr>
  </w:style>
  <w:style w:type="paragraph" w:customStyle="1" w:styleId="39">
    <w:name w:val="CC"/>
    <w:basedOn w:val="13"/>
    <w:autoRedefine/>
    <w:qFormat/>
    <w:uiPriority w:val="0"/>
    <w:pPr>
      <w:keepLines/>
      <w:widowControl/>
      <w:overflowPunct w:val="0"/>
      <w:autoSpaceDE w:val="0"/>
      <w:autoSpaceDN w:val="0"/>
      <w:spacing w:after="240" w:line="240" w:lineRule="atLeast"/>
      <w:ind w:left="360" w:hanging="360"/>
      <w:jc w:val="left"/>
      <w:textAlignment w:val="baseline"/>
    </w:pPr>
    <w:rPr>
      <w:rFonts w:ascii="Garamond" w:hAnsi="Garamond"/>
      <w:kern w:val="18"/>
      <w:sz w:val="20"/>
    </w:rPr>
  </w:style>
  <w:style w:type="paragraph" w:styleId="40">
    <w:name w:val="List Bullet 3"/>
    <w:basedOn w:val="22"/>
    <w:autoRedefine/>
    <w:qFormat/>
    <w:uiPriority w:val="0"/>
    <w:pPr>
      <w:ind w:left="1440"/>
    </w:pPr>
  </w:style>
  <w:style w:type="paragraph" w:styleId="41">
    <w:name w:val="Body Text Indent"/>
    <w:basedOn w:val="1"/>
    <w:autoRedefine/>
    <w:qFormat/>
    <w:uiPriority w:val="0"/>
    <w:pPr>
      <w:spacing w:after="120"/>
      <w:ind w:left="420" w:leftChars="200"/>
    </w:pPr>
  </w:style>
  <w:style w:type="paragraph" w:styleId="42">
    <w:name w:val="List Number 3"/>
    <w:basedOn w:val="19"/>
    <w:autoRedefine/>
    <w:qFormat/>
    <w:uiPriority w:val="0"/>
    <w:pPr>
      <w:ind w:left="1440"/>
    </w:pPr>
  </w:style>
  <w:style w:type="paragraph" w:styleId="43">
    <w:name w:val="List 2"/>
    <w:basedOn w:val="17"/>
    <w:qFormat/>
    <w:uiPriority w:val="0"/>
    <w:pPr>
      <w:widowControl/>
      <w:overflowPunct w:val="0"/>
      <w:autoSpaceDE w:val="0"/>
      <w:autoSpaceDN w:val="0"/>
      <w:spacing w:after="240" w:line="240" w:lineRule="atLeast"/>
      <w:ind w:left="1080" w:hanging="360"/>
    </w:pPr>
    <w:rPr>
      <w:rFonts w:ascii="Garamond" w:hAnsi="Garamond"/>
      <w:kern w:val="18"/>
      <w:sz w:val="20"/>
    </w:rPr>
  </w:style>
  <w:style w:type="paragraph" w:styleId="44">
    <w:name w:val="List Continue"/>
    <w:basedOn w:val="17"/>
    <w:autoRedefine/>
    <w:qFormat/>
    <w:uiPriority w:val="0"/>
    <w:pPr>
      <w:widowControl/>
      <w:overflowPunct w:val="0"/>
      <w:autoSpaceDE w:val="0"/>
      <w:autoSpaceDN w:val="0"/>
      <w:spacing w:after="240" w:line="240" w:lineRule="atLeast"/>
      <w:ind w:left="720" w:right="720" w:firstLine="0"/>
    </w:pPr>
    <w:rPr>
      <w:rFonts w:ascii="Garamond" w:hAnsi="Garamond"/>
      <w:kern w:val="18"/>
      <w:sz w:val="20"/>
    </w:rPr>
  </w:style>
  <w:style w:type="paragraph" w:styleId="45">
    <w:name w:val="Block Text"/>
    <w:basedOn w:val="1"/>
    <w:autoRedefine/>
    <w:qFormat/>
    <w:uiPriority w:val="0"/>
    <w:pPr>
      <w:adjustRightInd w:val="0"/>
      <w:spacing w:line="312" w:lineRule="atLeast"/>
      <w:ind w:left="113" w:right="113"/>
      <w:jc w:val="center"/>
      <w:textAlignment w:val="baseline"/>
    </w:pPr>
    <w:rPr>
      <w:rFonts w:eastAsia="隶书"/>
      <w:kern w:val="0"/>
      <w:sz w:val="28"/>
      <w:szCs w:val="20"/>
    </w:rPr>
  </w:style>
  <w:style w:type="paragraph" w:styleId="46">
    <w:name w:val="List Bullet 2"/>
    <w:basedOn w:val="22"/>
    <w:qFormat/>
    <w:uiPriority w:val="0"/>
    <w:pPr>
      <w:ind w:left="1080"/>
    </w:pPr>
  </w:style>
  <w:style w:type="paragraph" w:styleId="47">
    <w:name w:val="toc 3"/>
    <w:basedOn w:val="1"/>
    <w:next w:val="1"/>
    <w:semiHidden/>
    <w:qFormat/>
    <w:uiPriority w:val="0"/>
    <w:pPr>
      <w:ind w:left="840" w:leftChars="400"/>
    </w:pPr>
  </w:style>
  <w:style w:type="paragraph" w:styleId="48">
    <w:name w:val="Plain Text"/>
    <w:basedOn w:val="1"/>
    <w:link w:val="90"/>
    <w:autoRedefine/>
    <w:qFormat/>
    <w:uiPriority w:val="0"/>
    <w:rPr>
      <w:rFonts w:ascii="宋体" w:hAnsi="Courier New" w:cs="Courier New"/>
      <w:szCs w:val="21"/>
    </w:rPr>
  </w:style>
  <w:style w:type="paragraph" w:styleId="49">
    <w:name w:val="List Bullet 5"/>
    <w:basedOn w:val="22"/>
    <w:autoRedefine/>
    <w:qFormat/>
    <w:uiPriority w:val="0"/>
    <w:pPr>
      <w:ind w:left="2160"/>
    </w:pPr>
  </w:style>
  <w:style w:type="paragraph" w:styleId="50">
    <w:name w:val="List Number 4"/>
    <w:basedOn w:val="19"/>
    <w:autoRedefine/>
    <w:qFormat/>
    <w:uiPriority w:val="0"/>
    <w:pPr>
      <w:ind w:left="1800"/>
    </w:pPr>
  </w:style>
  <w:style w:type="paragraph" w:styleId="51">
    <w:name w:val="Date"/>
    <w:basedOn w:val="1"/>
    <w:next w:val="1"/>
    <w:link w:val="91"/>
    <w:autoRedefine/>
    <w:qFormat/>
    <w:uiPriority w:val="0"/>
    <w:pPr>
      <w:ind w:left="100" w:leftChars="2500"/>
    </w:pPr>
    <w:rPr>
      <w:b/>
      <w:spacing w:val="40"/>
      <w:sz w:val="44"/>
      <w:szCs w:val="44"/>
    </w:rPr>
  </w:style>
  <w:style w:type="paragraph" w:styleId="52">
    <w:name w:val="Body Text Indent 2"/>
    <w:basedOn w:val="1"/>
    <w:autoRedefine/>
    <w:qFormat/>
    <w:uiPriority w:val="0"/>
    <w:pPr>
      <w:spacing w:after="120" w:line="480" w:lineRule="auto"/>
      <w:ind w:left="420" w:leftChars="200"/>
    </w:pPr>
  </w:style>
  <w:style w:type="paragraph" w:styleId="53">
    <w:name w:val="List Continue 5"/>
    <w:basedOn w:val="44"/>
    <w:autoRedefine/>
    <w:qFormat/>
    <w:uiPriority w:val="0"/>
    <w:pPr>
      <w:ind w:left="2160"/>
    </w:pPr>
  </w:style>
  <w:style w:type="paragraph" w:styleId="54">
    <w:name w:val="Balloon Text"/>
    <w:basedOn w:val="1"/>
    <w:autoRedefine/>
    <w:semiHidden/>
    <w:qFormat/>
    <w:uiPriority w:val="0"/>
    <w:rPr>
      <w:sz w:val="18"/>
      <w:szCs w:val="18"/>
    </w:rPr>
  </w:style>
  <w:style w:type="paragraph" w:styleId="55">
    <w:name w:val="footer"/>
    <w:basedOn w:val="1"/>
    <w:link w:val="92"/>
    <w:autoRedefine/>
    <w:qFormat/>
    <w:uiPriority w:val="99"/>
    <w:pPr>
      <w:tabs>
        <w:tab w:val="center" w:pos="4153"/>
        <w:tab w:val="right" w:pos="8306"/>
      </w:tabs>
      <w:snapToGrid w:val="0"/>
      <w:jc w:val="left"/>
    </w:pPr>
    <w:rPr>
      <w:sz w:val="18"/>
      <w:szCs w:val="18"/>
    </w:rPr>
  </w:style>
  <w:style w:type="paragraph" w:styleId="56">
    <w:name w:val="envelope return"/>
    <w:basedOn w:val="13"/>
    <w:autoRedefine/>
    <w:qFormat/>
    <w:uiPriority w:val="0"/>
    <w:pPr>
      <w:widowControl/>
      <w:overflowPunct w:val="0"/>
      <w:autoSpaceDE w:val="0"/>
      <w:autoSpaceDN w:val="0"/>
      <w:spacing w:after="0" w:line="240" w:lineRule="atLeast"/>
      <w:jc w:val="left"/>
      <w:textAlignment w:val="baseline"/>
    </w:pPr>
    <w:rPr>
      <w:rFonts w:ascii="Garamond" w:hAnsi="Garamond"/>
      <w:caps/>
      <w:spacing w:val="30"/>
      <w:sz w:val="15"/>
    </w:rPr>
  </w:style>
  <w:style w:type="paragraph" w:styleId="5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8">
    <w:name w:val="toc 1"/>
    <w:basedOn w:val="1"/>
    <w:next w:val="1"/>
    <w:semiHidden/>
    <w:qFormat/>
    <w:uiPriority w:val="0"/>
  </w:style>
  <w:style w:type="paragraph" w:styleId="59">
    <w:name w:val="List Continue 4"/>
    <w:basedOn w:val="44"/>
    <w:autoRedefine/>
    <w:qFormat/>
    <w:uiPriority w:val="0"/>
    <w:pPr>
      <w:ind w:left="1800"/>
    </w:pPr>
  </w:style>
  <w:style w:type="paragraph" w:styleId="60">
    <w:name w:val="index heading"/>
    <w:basedOn w:val="1"/>
    <w:next w:val="61"/>
    <w:autoRedefine/>
    <w:qFormat/>
    <w:uiPriority w:val="0"/>
  </w:style>
  <w:style w:type="paragraph" w:styleId="61">
    <w:name w:val="index 1"/>
    <w:basedOn w:val="1"/>
    <w:next w:val="1"/>
    <w:autoRedefine/>
    <w:qFormat/>
    <w:uiPriority w:val="0"/>
    <w:pPr>
      <w:spacing w:line="240" w:lineRule="auto"/>
      <w:ind w:left="0" w:right="0" w:firstLine="0" w:firstLineChars="0"/>
    </w:pPr>
    <w:rPr>
      <w:rFonts w:ascii="Calibri" w:hAnsi="Calibri" w:cs="Calibri"/>
      <w:szCs w:val="21"/>
    </w:rPr>
  </w:style>
  <w:style w:type="paragraph" w:styleId="62">
    <w:name w:val="List Number 5"/>
    <w:basedOn w:val="19"/>
    <w:autoRedefine/>
    <w:qFormat/>
    <w:uiPriority w:val="0"/>
    <w:pPr>
      <w:ind w:left="2160"/>
    </w:pPr>
  </w:style>
  <w:style w:type="paragraph" w:styleId="63">
    <w:name w:val="footnote text"/>
    <w:basedOn w:val="1"/>
    <w:autoRedefine/>
    <w:qFormat/>
    <w:uiPriority w:val="99"/>
    <w:pPr>
      <w:adjustRightInd w:val="0"/>
      <w:spacing w:line="312" w:lineRule="atLeast"/>
      <w:jc w:val="left"/>
      <w:textAlignment w:val="baseline"/>
    </w:pPr>
    <w:rPr>
      <w:kern w:val="0"/>
      <w:sz w:val="18"/>
      <w:szCs w:val="20"/>
    </w:rPr>
  </w:style>
  <w:style w:type="paragraph" w:styleId="64">
    <w:name w:val="toc 6"/>
    <w:basedOn w:val="1"/>
    <w:next w:val="1"/>
    <w:qFormat/>
    <w:uiPriority w:val="0"/>
    <w:pPr>
      <w:ind w:left="1400"/>
    </w:pPr>
    <w:rPr>
      <w:rFonts w:ascii="Calibri"/>
      <w:sz w:val="18"/>
      <w:szCs w:val="18"/>
    </w:rPr>
  </w:style>
  <w:style w:type="paragraph" w:styleId="65">
    <w:name w:val="List 5"/>
    <w:basedOn w:val="17"/>
    <w:autoRedefine/>
    <w:qFormat/>
    <w:uiPriority w:val="0"/>
    <w:pPr>
      <w:widowControl/>
      <w:overflowPunct w:val="0"/>
      <w:autoSpaceDE w:val="0"/>
      <w:autoSpaceDN w:val="0"/>
      <w:spacing w:after="240" w:line="240" w:lineRule="atLeast"/>
      <w:ind w:left="2160" w:hanging="360"/>
    </w:pPr>
    <w:rPr>
      <w:rFonts w:ascii="Garamond" w:hAnsi="Garamond"/>
      <w:kern w:val="18"/>
      <w:sz w:val="20"/>
    </w:rPr>
  </w:style>
  <w:style w:type="paragraph" w:styleId="66">
    <w:name w:val="Body Text Indent 3"/>
    <w:basedOn w:val="1"/>
    <w:autoRedefine/>
    <w:qFormat/>
    <w:uiPriority w:val="0"/>
    <w:pPr>
      <w:spacing w:after="120"/>
      <w:ind w:left="420" w:leftChars="200"/>
    </w:pPr>
    <w:rPr>
      <w:sz w:val="16"/>
      <w:szCs w:val="16"/>
    </w:rPr>
  </w:style>
  <w:style w:type="paragraph" w:styleId="67">
    <w:name w:val="toc 2"/>
    <w:basedOn w:val="1"/>
    <w:next w:val="1"/>
    <w:autoRedefine/>
    <w:semiHidden/>
    <w:qFormat/>
    <w:uiPriority w:val="0"/>
    <w:pPr>
      <w:ind w:left="420" w:leftChars="200"/>
    </w:pPr>
  </w:style>
  <w:style w:type="paragraph" w:styleId="68">
    <w:name w:val="Body Text 2"/>
    <w:basedOn w:val="1"/>
    <w:autoRedefine/>
    <w:qFormat/>
    <w:uiPriority w:val="0"/>
    <w:pPr>
      <w:spacing w:after="120" w:line="480" w:lineRule="auto"/>
    </w:pPr>
  </w:style>
  <w:style w:type="paragraph" w:styleId="69">
    <w:name w:val="List 4"/>
    <w:basedOn w:val="17"/>
    <w:autoRedefine/>
    <w:qFormat/>
    <w:uiPriority w:val="0"/>
    <w:pPr>
      <w:widowControl/>
      <w:overflowPunct w:val="0"/>
      <w:autoSpaceDE w:val="0"/>
      <w:autoSpaceDN w:val="0"/>
      <w:spacing w:after="240" w:line="240" w:lineRule="atLeast"/>
      <w:ind w:left="1800" w:hanging="360"/>
    </w:pPr>
    <w:rPr>
      <w:rFonts w:ascii="Garamond" w:hAnsi="Garamond"/>
      <w:kern w:val="18"/>
      <w:sz w:val="20"/>
    </w:rPr>
  </w:style>
  <w:style w:type="paragraph" w:styleId="70">
    <w:name w:val="List Continue 2"/>
    <w:basedOn w:val="44"/>
    <w:autoRedefine/>
    <w:qFormat/>
    <w:uiPriority w:val="0"/>
    <w:pPr>
      <w:ind w:left="1080"/>
    </w:pPr>
  </w:style>
  <w:style w:type="paragraph" w:styleId="7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72">
    <w:name w:val="List Continue 3"/>
    <w:basedOn w:val="44"/>
    <w:autoRedefine/>
    <w:qFormat/>
    <w:uiPriority w:val="0"/>
    <w:pPr>
      <w:ind w:left="1440"/>
    </w:pPr>
  </w:style>
  <w:style w:type="paragraph" w:styleId="73">
    <w:name w:val="annotation subject"/>
    <w:basedOn w:val="29"/>
    <w:next w:val="29"/>
    <w:link w:val="93"/>
    <w:autoRedefine/>
    <w:qFormat/>
    <w:uiPriority w:val="0"/>
    <w:rPr>
      <w:b/>
      <w:bCs/>
    </w:rPr>
  </w:style>
  <w:style w:type="paragraph" w:styleId="74">
    <w:name w:val="Body Text First Indent"/>
    <w:basedOn w:val="13"/>
    <w:next w:val="75"/>
    <w:autoRedefine/>
    <w:qFormat/>
    <w:uiPriority w:val="0"/>
    <w:pPr>
      <w:adjustRightInd/>
      <w:spacing w:line="240" w:lineRule="auto"/>
      <w:ind w:firstLine="420" w:firstLineChars="100"/>
    </w:pPr>
    <w:rPr>
      <w:kern w:val="2"/>
      <w:sz w:val="21"/>
      <w:szCs w:val="24"/>
    </w:rPr>
  </w:style>
  <w:style w:type="paragraph" w:styleId="75">
    <w:name w:val="Body Text First Indent 2"/>
    <w:basedOn w:val="41"/>
    <w:next w:val="74"/>
    <w:autoRedefine/>
    <w:qFormat/>
    <w:uiPriority w:val="0"/>
    <w:pPr>
      <w:ind w:firstLine="420" w:firstLineChars="200"/>
    </w:pPr>
  </w:style>
  <w:style w:type="table" w:styleId="77">
    <w:name w:val="Table Grid"/>
    <w:basedOn w:val="7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9">
    <w:name w:val="Strong"/>
    <w:basedOn w:val="78"/>
    <w:autoRedefine/>
    <w:qFormat/>
    <w:uiPriority w:val="0"/>
    <w:rPr>
      <w:b/>
    </w:rPr>
  </w:style>
  <w:style w:type="character" w:styleId="80">
    <w:name w:val="page number"/>
    <w:basedOn w:val="78"/>
    <w:autoRedefine/>
    <w:qFormat/>
    <w:uiPriority w:val="0"/>
  </w:style>
  <w:style w:type="character" w:styleId="81">
    <w:name w:val="Emphasis"/>
    <w:autoRedefine/>
    <w:qFormat/>
    <w:uiPriority w:val="0"/>
    <w:rPr>
      <w:caps/>
      <w:sz w:val="18"/>
    </w:rPr>
  </w:style>
  <w:style w:type="character" w:styleId="82">
    <w:name w:val="line number"/>
    <w:autoRedefine/>
    <w:qFormat/>
    <w:uiPriority w:val="0"/>
    <w:rPr>
      <w:rFonts w:ascii="Garamond" w:hAnsi="Garamond"/>
      <w:sz w:val="21"/>
    </w:rPr>
  </w:style>
  <w:style w:type="character" w:styleId="83">
    <w:name w:val="Hyperlink"/>
    <w:autoRedefine/>
    <w:qFormat/>
    <w:uiPriority w:val="0"/>
    <w:rPr>
      <w:color w:val="0000FF"/>
      <w:u w:val="single"/>
    </w:rPr>
  </w:style>
  <w:style w:type="character" w:styleId="84">
    <w:name w:val="annotation reference"/>
    <w:autoRedefine/>
    <w:qFormat/>
    <w:uiPriority w:val="0"/>
    <w:rPr>
      <w:sz w:val="21"/>
      <w:szCs w:val="21"/>
    </w:rPr>
  </w:style>
  <w:style w:type="paragraph" w:customStyle="1" w:styleId="8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6">
    <w:name w:val="标题 1 Char"/>
    <w:link w:val="5"/>
    <w:autoRedefine/>
    <w:qFormat/>
    <w:uiPriority w:val="0"/>
    <w:rPr>
      <w:rFonts w:ascii="Times New Roman" w:hAnsi="Times New Roman"/>
      <w:b/>
      <w:kern w:val="44"/>
      <w:sz w:val="32"/>
    </w:rPr>
  </w:style>
  <w:style w:type="character" w:customStyle="1" w:styleId="87">
    <w:name w:val="标题 3 字符"/>
    <w:basedOn w:val="78"/>
    <w:link w:val="7"/>
    <w:autoRedefine/>
    <w:qFormat/>
    <w:uiPriority w:val="0"/>
    <w:rPr>
      <w:b/>
      <w:bCs/>
      <w:sz w:val="32"/>
      <w:szCs w:val="32"/>
    </w:rPr>
  </w:style>
  <w:style w:type="character" w:customStyle="1" w:styleId="88">
    <w:name w:val="正文缩进 Char"/>
    <w:link w:val="23"/>
    <w:autoRedefine/>
    <w:qFormat/>
    <w:locked/>
    <w:uiPriority w:val="0"/>
    <w:rPr>
      <w:rFonts w:eastAsia="宋体"/>
      <w:kern w:val="2"/>
      <w:sz w:val="24"/>
      <w:lang w:val="en-US" w:eastAsia="zh-CN" w:bidi="ar-SA"/>
    </w:rPr>
  </w:style>
  <w:style w:type="character" w:customStyle="1" w:styleId="89">
    <w:name w:val="批注文字 Char"/>
    <w:link w:val="29"/>
    <w:autoRedefine/>
    <w:qFormat/>
    <w:uiPriority w:val="0"/>
    <w:rPr>
      <w:kern w:val="2"/>
      <w:sz w:val="21"/>
      <w:szCs w:val="24"/>
    </w:rPr>
  </w:style>
  <w:style w:type="character" w:customStyle="1" w:styleId="90">
    <w:name w:val="纯文本 Char1"/>
    <w:link w:val="48"/>
    <w:autoRedefine/>
    <w:qFormat/>
    <w:uiPriority w:val="0"/>
    <w:rPr>
      <w:rFonts w:ascii="宋体" w:hAnsi="Courier New" w:eastAsia="宋体" w:cs="Courier New"/>
      <w:kern w:val="2"/>
      <w:sz w:val="21"/>
      <w:szCs w:val="21"/>
      <w:lang w:val="en-US" w:eastAsia="zh-CN" w:bidi="ar-SA"/>
    </w:rPr>
  </w:style>
  <w:style w:type="character" w:customStyle="1" w:styleId="91">
    <w:name w:val="日期 Char"/>
    <w:link w:val="51"/>
    <w:autoRedefine/>
    <w:qFormat/>
    <w:uiPriority w:val="0"/>
    <w:rPr>
      <w:rFonts w:eastAsia="宋体"/>
      <w:b/>
      <w:spacing w:val="40"/>
      <w:kern w:val="2"/>
      <w:sz w:val="44"/>
      <w:szCs w:val="44"/>
      <w:lang w:val="en-US" w:eastAsia="zh-CN" w:bidi="ar-SA"/>
    </w:rPr>
  </w:style>
  <w:style w:type="character" w:customStyle="1" w:styleId="92">
    <w:name w:val="页脚 Char"/>
    <w:link w:val="55"/>
    <w:autoRedefine/>
    <w:qFormat/>
    <w:uiPriority w:val="99"/>
    <w:rPr>
      <w:kern w:val="2"/>
      <w:sz w:val="18"/>
      <w:szCs w:val="18"/>
    </w:rPr>
  </w:style>
  <w:style w:type="character" w:customStyle="1" w:styleId="93">
    <w:name w:val="批注主题 Char"/>
    <w:link w:val="73"/>
    <w:autoRedefine/>
    <w:qFormat/>
    <w:uiPriority w:val="0"/>
    <w:rPr>
      <w:b/>
      <w:bCs/>
      <w:kern w:val="2"/>
      <w:sz w:val="21"/>
      <w:szCs w:val="24"/>
    </w:rPr>
  </w:style>
  <w:style w:type="character" w:customStyle="1" w:styleId="94">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5">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Char1 Char Char Char Char"/>
    <w:basedOn w:val="1"/>
    <w:autoRedefine/>
    <w:qFormat/>
    <w:uiPriority w:val="0"/>
  </w:style>
  <w:style w:type="paragraph" w:customStyle="1" w:styleId="97">
    <w:name w:val="Picture"/>
    <w:basedOn w:val="1"/>
    <w:next w:val="25"/>
    <w:autoRedefine/>
    <w:qFormat/>
    <w:uiPriority w:val="0"/>
    <w:pPr>
      <w:keepNext/>
      <w:widowControl/>
      <w:overflowPunct w:val="0"/>
      <w:autoSpaceDE w:val="0"/>
      <w:autoSpaceDN w:val="0"/>
      <w:adjustRightInd w:val="0"/>
      <w:textAlignment w:val="baseline"/>
    </w:pPr>
    <w:rPr>
      <w:rFonts w:ascii="Garamond" w:hAnsi="Garamond"/>
      <w:kern w:val="18"/>
      <w:sz w:val="20"/>
      <w:szCs w:val="20"/>
    </w:rPr>
  </w:style>
  <w:style w:type="paragraph" w:customStyle="1" w:styleId="98">
    <w:name w:val="段"/>
    <w:next w:val="1"/>
    <w:link w:val="99"/>
    <w:autoRedefine/>
    <w:qFormat/>
    <w:uiPriority w:val="0"/>
    <w:pPr>
      <w:autoSpaceDE w:val="0"/>
      <w:autoSpaceDN w:val="0"/>
      <w:spacing w:line="360" w:lineRule="auto"/>
      <w:ind w:left="50" w:right="62" w:firstLine="200" w:firstLineChars="200"/>
      <w:jc w:val="both"/>
    </w:pPr>
    <w:rPr>
      <w:rFonts w:ascii="宋体" w:hAnsi="Times New Roman" w:eastAsia="宋体" w:cs="Times New Roman"/>
      <w:sz w:val="21"/>
      <w:lang w:val="en-US" w:eastAsia="zh-CN" w:bidi="ar-SA"/>
    </w:rPr>
  </w:style>
  <w:style w:type="character" w:customStyle="1" w:styleId="99">
    <w:name w:val="段 Char"/>
    <w:link w:val="98"/>
    <w:autoRedefine/>
    <w:qFormat/>
    <w:uiPriority w:val="0"/>
    <w:rPr>
      <w:rFonts w:ascii="宋体"/>
      <w:sz w:val="21"/>
      <w:lang w:val="en-US" w:eastAsia="zh-CN" w:bidi="ar-SA"/>
    </w:rPr>
  </w:style>
  <w:style w:type="paragraph" w:customStyle="1" w:styleId="100">
    <w:name w:val="标题 3 + 宋体"/>
    <w:basedOn w:val="6"/>
    <w:autoRedefine/>
    <w:qFormat/>
    <w:uiPriority w:val="0"/>
    <w:pPr>
      <w:spacing w:beforeLines="50" w:afterLines="50" w:line="416" w:lineRule="auto"/>
      <w:jc w:val="both"/>
    </w:pPr>
    <w:rPr>
      <w:rFonts w:ascii="宋体" w:hAnsi="宋体" w:cs="Arial"/>
      <w:kern w:val="0"/>
      <w:sz w:val="28"/>
    </w:rPr>
  </w:style>
  <w:style w:type="paragraph" w:customStyle="1" w:styleId="101">
    <w:name w:val="Header First"/>
    <w:basedOn w:val="57"/>
    <w:autoRedefine/>
    <w:qFormat/>
    <w:uiPriority w:val="0"/>
    <w:pPr>
      <w:keepLines/>
      <w:widowControl/>
      <w:pBdr>
        <w:bottom w:val="none" w:color="auto" w:sz="0" w:space="0"/>
      </w:pBdr>
      <w:tabs>
        <w:tab w:val="center" w:pos="4320"/>
        <w:tab w:val="right" w:pos="8640"/>
        <w:tab w:val="clear" w:pos="4153"/>
        <w:tab w:val="clear" w:pos="8306"/>
      </w:tabs>
      <w:overflowPunct w:val="0"/>
      <w:autoSpaceDE w:val="0"/>
      <w:autoSpaceDN w:val="0"/>
      <w:adjustRightInd w:val="0"/>
      <w:snapToGrid/>
      <w:spacing w:after="880" w:line="240" w:lineRule="atLeast"/>
      <w:jc w:val="left"/>
      <w:textAlignment w:val="baseline"/>
    </w:pPr>
    <w:rPr>
      <w:rFonts w:ascii="Garamond" w:hAnsi="Garamond"/>
      <w:smallCaps/>
      <w:kern w:val="18"/>
      <w:sz w:val="20"/>
      <w:szCs w:val="20"/>
    </w:rPr>
  </w:style>
  <w:style w:type="paragraph" w:customStyle="1" w:styleId="102">
    <w:name w:val="列出段落21"/>
    <w:basedOn w:val="1"/>
    <w:autoRedefine/>
    <w:qFormat/>
    <w:uiPriority w:val="0"/>
    <w:pPr>
      <w:spacing w:line="240" w:lineRule="auto"/>
      <w:ind w:left="0" w:right="0" w:firstLine="420" w:firstLineChars="200"/>
    </w:pPr>
    <w:rPr>
      <w:rFonts w:ascii="Calibri" w:hAnsi="Calibri"/>
      <w:szCs w:val="21"/>
    </w:rPr>
  </w:style>
  <w:style w:type="paragraph" w:customStyle="1" w:styleId="103">
    <w:name w:val="_Style 35"/>
    <w:basedOn w:val="1"/>
    <w:autoRedefine/>
    <w:qFormat/>
    <w:uiPriority w:val="0"/>
    <w:pPr>
      <w:widowControl/>
      <w:spacing w:after="160" w:line="240" w:lineRule="exact"/>
      <w:jc w:val="left"/>
    </w:pPr>
    <w:rPr>
      <w:szCs w:val="20"/>
    </w:rPr>
  </w:style>
  <w:style w:type="paragraph" w:customStyle="1" w:styleId="104">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5">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6">
    <w:name w:val="Attention Line"/>
    <w:basedOn w:val="1"/>
    <w:next w:val="30"/>
    <w:autoRedefine/>
    <w:qFormat/>
    <w:uiPriority w:val="0"/>
    <w:pPr>
      <w:widowControl/>
      <w:spacing w:before="220"/>
      <w:ind w:left="840" w:right="-360"/>
      <w:jc w:val="left"/>
    </w:pPr>
    <w:rPr>
      <w:rFonts w:eastAsia="Times New Roman"/>
      <w:kern w:val="0"/>
      <w:sz w:val="20"/>
      <w:szCs w:val="20"/>
      <w:lang w:eastAsia="en-US"/>
    </w:rPr>
  </w:style>
  <w:style w:type="paragraph" w:customStyle="1" w:styleId="107">
    <w:name w:val="Char2"/>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08">
    <w:name w:val="Block Quotation"/>
    <w:basedOn w:val="13"/>
    <w:autoRedefine/>
    <w:qFormat/>
    <w:uiPriority w:val="0"/>
    <w:pPr>
      <w:keepLines/>
      <w:widowControl/>
      <w:overflowPunct w:val="0"/>
      <w:autoSpaceDE w:val="0"/>
      <w:autoSpaceDN w:val="0"/>
      <w:spacing w:after="240" w:line="240" w:lineRule="atLeast"/>
      <w:ind w:left="720" w:right="720" w:firstLine="360"/>
      <w:textAlignment w:val="baseline"/>
    </w:pPr>
    <w:rPr>
      <w:rFonts w:ascii="Garamond" w:hAnsi="Garamond"/>
      <w:kern w:val="18"/>
      <w:sz w:val="20"/>
    </w:rPr>
  </w:style>
  <w:style w:type="paragraph" w:customStyle="1" w:styleId="109">
    <w:name w:val="默认段落字体 Para Char Char Char Char Char Char Char"/>
    <w:basedOn w:val="1"/>
    <w:autoRedefine/>
    <w:qFormat/>
    <w:uiPriority w:val="0"/>
    <w:rPr>
      <w:rFonts w:ascii="Tahoma" w:hAnsi="Tahoma"/>
      <w:sz w:val="24"/>
      <w:szCs w:val="20"/>
    </w:rPr>
  </w:style>
  <w:style w:type="paragraph" w:customStyle="1" w:styleId="110">
    <w:name w:val="Company Name"/>
    <w:basedOn w:val="13"/>
    <w:next w:val="13"/>
    <w:autoRedefine/>
    <w:qFormat/>
    <w:uiPriority w:val="0"/>
    <w:pPr>
      <w:keepLines/>
      <w:framePr w:w="8640" w:h="1440" w:wrap="notBeside" w:vAnchor="page" w:hAnchor="margin" w:xAlign="center" w:y="889"/>
      <w:widowControl/>
      <w:overflowPunct w:val="0"/>
      <w:autoSpaceDE w:val="0"/>
      <w:autoSpaceDN w:val="0"/>
      <w:spacing w:after="40" w:line="240" w:lineRule="atLeast"/>
      <w:jc w:val="center"/>
      <w:textAlignment w:val="baseline"/>
    </w:pPr>
    <w:rPr>
      <w:rFonts w:ascii="Garamond" w:hAnsi="Garamond"/>
      <w:caps/>
      <w:spacing w:val="75"/>
      <w:kern w:val="18"/>
      <w:sz w:val="21"/>
    </w:rPr>
  </w:style>
  <w:style w:type="paragraph" w:customStyle="1" w:styleId="111">
    <w:name w:val="Char1 Char Char Char Char2"/>
    <w:basedOn w:val="1"/>
    <w:autoRedefine/>
    <w:qFormat/>
    <w:uiPriority w:val="0"/>
    <w:pPr>
      <w:spacing w:line="240" w:lineRule="auto"/>
      <w:ind w:left="0" w:right="0" w:firstLine="0" w:firstLineChars="0"/>
    </w:pPr>
    <w:rPr>
      <w:szCs w:val="20"/>
    </w:rPr>
  </w:style>
  <w:style w:type="paragraph" w:customStyle="1" w:styleId="112">
    <w:name w:val="Char Char3"/>
    <w:basedOn w:val="1"/>
    <w:autoRedefine/>
    <w:qFormat/>
    <w:uiPriority w:val="0"/>
  </w:style>
  <w:style w:type="paragraph" w:customStyle="1" w:styleId="113">
    <w:name w:val="Char Char1 Char"/>
    <w:basedOn w:val="1"/>
    <w:autoRedefine/>
    <w:qFormat/>
    <w:uiPriority w:val="0"/>
  </w:style>
  <w:style w:type="paragraph" w:customStyle="1" w:styleId="114">
    <w:name w:val="标题1"/>
    <w:basedOn w:val="1"/>
    <w:autoRedefine/>
    <w:qFormat/>
    <w:uiPriority w:val="0"/>
    <w:pPr>
      <w:widowControl/>
      <w:jc w:val="center"/>
    </w:pPr>
    <w:rPr>
      <w:rFonts w:ascii="黑体" w:eastAsia="黑体"/>
      <w:b/>
      <w:kern w:val="0"/>
      <w:sz w:val="44"/>
      <w:szCs w:val="20"/>
    </w:rPr>
  </w:style>
  <w:style w:type="paragraph" w:customStyle="1" w:styleId="115">
    <w:name w:val="Char Char Char Char Char Char1"/>
    <w:basedOn w:val="1"/>
    <w:autoRedefine/>
    <w:qFormat/>
    <w:uiPriority w:val="0"/>
    <w:rPr>
      <w:rFonts w:ascii="Tahoma" w:hAnsi="Tahoma"/>
      <w:sz w:val="24"/>
      <w:szCs w:val="20"/>
    </w:rPr>
  </w:style>
  <w:style w:type="paragraph" w:customStyle="1" w:styleId="116">
    <w:name w:val="Subject Line"/>
    <w:basedOn w:val="13"/>
    <w:next w:val="13"/>
    <w:autoRedefine/>
    <w:qFormat/>
    <w:uiPriority w:val="0"/>
    <w:pPr>
      <w:widowControl/>
      <w:overflowPunct w:val="0"/>
      <w:autoSpaceDE w:val="0"/>
      <w:autoSpaceDN w:val="0"/>
      <w:spacing w:after="180" w:line="240" w:lineRule="atLeast"/>
      <w:ind w:left="360" w:hanging="360"/>
      <w:jc w:val="left"/>
      <w:textAlignment w:val="baseline"/>
    </w:pPr>
    <w:rPr>
      <w:rFonts w:ascii="Garamond" w:hAnsi="Garamond"/>
      <w:caps/>
      <w:kern w:val="18"/>
      <w:sz w:val="21"/>
    </w:rPr>
  </w:style>
  <w:style w:type="paragraph" w:customStyle="1" w:styleId="117">
    <w:name w:val="xl31"/>
    <w:basedOn w:val="1"/>
    <w:autoRedefine/>
    <w:qFormat/>
    <w:uiPriority w:val="0"/>
    <w:pPr>
      <w:widowControl/>
      <w:spacing w:before="100" w:beforeAutospacing="1" w:after="100" w:afterAutospacing="1"/>
      <w:jc w:val="center"/>
    </w:pPr>
    <w:rPr>
      <w:kern w:val="0"/>
      <w:sz w:val="36"/>
      <w:szCs w:val="36"/>
    </w:rPr>
  </w:style>
  <w:style w:type="paragraph" w:customStyle="1" w:styleId="118">
    <w:name w:val="Char Char Char"/>
    <w:basedOn w:val="1"/>
    <w:autoRedefine/>
    <w:qFormat/>
    <w:uiPriority w:val="0"/>
    <w:rPr>
      <w:rFonts w:ascii="Tahoma" w:hAnsi="Tahoma"/>
      <w:sz w:val="24"/>
      <w:szCs w:val="20"/>
    </w:rPr>
  </w:style>
  <w:style w:type="paragraph" w:customStyle="1" w:styleId="119">
    <w:name w:val="Inside Address"/>
    <w:basedOn w:val="13"/>
    <w:autoRedefine/>
    <w:qFormat/>
    <w:uiPriority w:val="0"/>
    <w:pPr>
      <w:widowControl/>
      <w:overflowPunct w:val="0"/>
      <w:autoSpaceDE w:val="0"/>
      <w:autoSpaceDN w:val="0"/>
      <w:spacing w:after="0" w:line="240" w:lineRule="atLeast"/>
      <w:jc w:val="left"/>
      <w:textAlignment w:val="baseline"/>
    </w:pPr>
    <w:rPr>
      <w:rFonts w:ascii="Garamond" w:hAnsi="Garamond"/>
      <w:kern w:val="18"/>
      <w:sz w:val="20"/>
    </w:rPr>
  </w:style>
  <w:style w:type="paragraph" w:customStyle="1" w:styleId="120">
    <w:name w:val="Char Char15 Char Char"/>
    <w:basedOn w:val="1"/>
    <w:autoRedefine/>
    <w:qFormat/>
    <w:uiPriority w:val="0"/>
    <w:pPr>
      <w:spacing w:line="240" w:lineRule="auto"/>
      <w:ind w:left="0" w:right="0" w:firstLine="0" w:firstLineChars="0"/>
    </w:pPr>
    <w:rPr>
      <w:szCs w:val="20"/>
    </w:rPr>
  </w:style>
  <w:style w:type="paragraph" w:customStyle="1" w:styleId="121">
    <w:name w:val="Char Char Char1"/>
    <w:basedOn w:val="1"/>
    <w:autoRedefine/>
    <w:qFormat/>
    <w:uiPriority w:val="0"/>
    <w:rPr>
      <w:rFonts w:ascii="Tahoma" w:hAnsi="Tahoma"/>
      <w:sz w:val="24"/>
      <w:szCs w:val="20"/>
    </w:rPr>
  </w:style>
  <w:style w:type="paragraph" w:customStyle="1" w:styleId="122">
    <w:name w:val="Char Char1 Char Char Char Char Char Char Char Char Char Char"/>
    <w:basedOn w:val="1"/>
    <w:autoRedefine/>
    <w:qFormat/>
    <w:uiPriority w:val="0"/>
    <w:rPr>
      <w:rFonts w:ascii="Tahoma" w:hAnsi="Tahoma"/>
      <w:sz w:val="24"/>
      <w:szCs w:val="20"/>
    </w:rPr>
  </w:style>
  <w:style w:type="paragraph" w:customStyle="1" w:styleId="123">
    <w:name w:val="Return Address"/>
    <w:autoRedefine/>
    <w:qFormat/>
    <w:uiPriority w:val="0"/>
    <w:pPr>
      <w:tabs>
        <w:tab w:val="left" w:pos="2160"/>
      </w:tabs>
      <w:overflowPunct w:val="0"/>
      <w:autoSpaceDE w:val="0"/>
      <w:autoSpaceDN w:val="0"/>
      <w:adjustRightInd w:val="0"/>
      <w:spacing w:line="240" w:lineRule="atLeast"/>
      <w:ind w:left="50" w:right="-240" w:hanging="50" w:hangingChars="50"/>
      <w:jc w:val="center"/>
      <w:textAlignment w:val="baseline"/>
    </w:pPr>
    <w:rPr>
      <w:rFonts w:ascii="Garamond" w:hAnsi="Garamond" w:eastAsia="宋体" w:cs="Times New Roman"/>
      <w:caps/>
      <w:spacing w:val="30"/>
      <w:sz w:val="14"/>
      <w:lang w:val="en-US" w:eastAsia="zh-CN" w:bidi="ar-SA"/>
    </w:rPr>
  </w:style>
  <w:style w:type="paragraph" w:customStyle="1" w:styleId="124">
    <w:name w:val="表格文字"/>
    <w:basedOn w:val="1"/>
    <w:autoRedefine/>
    <w:qFormat/>
    <w:uiPriority w:val="0"/>
    <w:pPr>
      <w:spacing w:before="25" w:after="25" w:line="300" w:lineRule="auto"/>
    </w:pPr>
    <w:rPr>
      <w:rFonts w:ascii="Times" w:hAnsi="Times"/>
      <w:spacing w:val="10"/>
      <w:kern w:val="0"/>
      <w:sz w:val="24"/>
      <w:szCs w:val="20"/>
    </w:rPr>
  </w:style>
  <w:style w:type="paragraph" w:customStyle="1" w:styleId="125">
    <w:name w:val="Footnote Base"/>
    <w:basedOn w:val="13"/>
    <w:autoRedefine/>
    <w:qFormat/>
    <w:uiPriority w:val="0"/>
    <w:pPr>
      <w:keepLines/>
      <w:widowControl/>
      <w:overflowPunct w:val="0"/>
      <w:autoSpaceDE w:val="0"/>
      <w:autoSpaceDN w:val="0"/>
      <w:spacing w:after="240" w:line="240" w:lineRule="atLeast"/>
      <w:textAlignment w:val="baseline"/>
    </w:pPr>
    <w:rPr>
      <w:rFonts w:ascii="Garamond" w:hAnsi="Garamond"/>
      <w:kern w:val="18"/>
      <w:sz w:val="16"/>
    </w:rPr>
  </w:style>
  <w:style w:type="paragraph" w:customStyle="1" w:styleId="126">
    <w:name w:val="Char1 Char Char Char Char1"/>
    <w:basedOn w:val="1"/>
    <w:autoRedefine/>
    <w:qFormat/>
    <w:uiPriority w:val="0"/>
    <w:pPr>
      <w:widowControl/>
      <w:spacing w:after="160" w:line="240" w:lineRule="exact"/>
      <w:jc w:val="left"/>
    </w:pPr>
    <w:rPr>
      <w:szCs w:val="20"/>
    </w:rPr>
  </w:style>
  <w:style w:type="paragraph" w:customStyle="1" w:styleId="127">
    <w:name w:val="Char1 Char Char Char1"/>
    <w:basedOn w:val="1"/>
    <w:autoRedefine/>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128">
    <w:name w:val="Char Char Char Char Char Char"/>
    <w:basedOn w:val="1"/>
    <w:autoRedefine/>
    <w:qFormat/>
    <w:uiPriority w:val="0"/>
    <w:rPr>
      <w:rFonts w:ascii="Tahoma" w:hAnsi="Tahoma"/>
      <w:sz w:val="24"/>
      <w:szCs w:val="20"/>
    </w:rPr>
  </w:style>
  <w:style w:type="paragraph" w:customStyle="1" w:styleId="129">
    <w:name w:val="p0"/>
    <w:basedOn w:val="1"/>
    <w:autoRedefine/>
    <w:qFormat/>
    <w:uiPriority w:val="0"/>
    <w:pPr>
      <w:widowControl/>
    </w:pPr>
    <w:rPr>
      <w:kern w:val="0"/>
      <w:szCs w:val="21"/>
    </w:rPr>
  </w:style>
  <w:style w:type="paragraph" w:customStyle="1" w:styleId="130">
    <w:name w:val="Char Char7"/>
    <w:basedOn w:val="1"/>
    <w:autoRedefine/>
    <w:qFormat/>
    <w:uiPriority w:val="0"/>
    <w:pPr>
      <w:spacing w:line="240" w:lineRule="auto"/>
      <w:ind w:left="0" w:right="0" w:firstLine="0" w:firstLineChars="0"/>
    </w:pPr>
  </w:style>
  <w:style w:type="paragraph" w:customStyle="1" w:styleId="131">
    <w:name w:val="Char1 Char Char"/>
    <w:basedOn w:val="1"/>
    <w:autoRedefine/>
    <w:qFormat/>
    <w:uiPriority w:val="0"/>
    <w:pPr>
      <w:widowControl/>
      <w:spacing w:after="160" w:line="240" w:lineRule="exact"/>
      <w:ind w:left="0" w:right="0" w:firstLine="0" w:firstLineChars="0"/>
      <w:jc w:val="left"/>
    </w:pPr>
    <w:rPr>
      <w:szCs w:val="20"/>
    </w:rPr>
  </w:style>
  <w:style w:type="paragraph" w:customStyle="1" w:styleId="132">
    <w:name w:val="Char Char Char Char"/>
    <w:basedOn w:val="1"/>
    <w:autoRedefine/>
    <w:qFormat/>
    <w:uiPriority w:val="0"/>
    <w:rPr>
      <w:szCs w:val="20"/>
    </w:rPr>
  </w:style>
  <w:style w:type="paragraph" w:customStyle="1" w:styleId="133">
    <w:name w:val="Char1 Char Char Char Char3"/>
    <w:basedOn w:val="1"/>
    <w:autoRedefine/>
    <w:qFormat/>
    <w:uiPriority w:val="0"/>
    <w:rPr>
      <w:szCs w:val="20"/>
    </w:rPr>
  </w:style>
  <w:style w:type="paragraph" w:customStyle="1" w:styleId="134">
    <w:name w:val="列出段落1"/>
    <w:basedOn w:val="1"/>
    <w:autoRedefine/>
    <w:qFormat/>
    <w:uiPriority w:val="0"/>
    <w:pPr>
      <w:ind w:firstLine="420" w:firstLineChars="200"/>
    </w:pPr>
    <w:rPr>
      <w:rFonts w:ascii="Calibri" w:hAnsi="Calibri"/>
      <w:szCs w:val="22"/>
    </w:rPr>
  </w:style>
  <w:style w:type="paragraph" w:customStyle="1" w:styleId="135">
    <w:name w:val="Header Odd"/>
    <w:basedOn w:val="57"/>
    <w:autoRedefine/>
    <w:qFormat/>
    <w:uiPriority w:val="0"/>
    <w:pPr>
      <w:keepLines/>
      <w:widowControl/>
      <w:pBdr>
        <w:bottom w:val="none" w:color="auto" w:sz="0" w:space="0"/>
      </w:pBdr>
      <w:tabs>
        <w:tab w:val="center" w:pos="4320"/>
        <w:tab w:val="right" w:pos="8640"/>
        <w:tab w:val="clear" w:pos="4153"/>
        <w:tab w:val="clear" w:pos="8306"/>
      </w:tabs>
      <w:overflowPunct w:val="0"/>
      <w:autoSpaceDE w:val="0"/>
      <w:autoSpaceDN w:val="0"/>
      <w:adjustRightInd w:val="0"/>
      <w:snapToGrid/>
      <w:spacing w:after="660" w:line="240" w:lineRule="atLeast"/>
      <w:jc w:val="left"/>
      <w:textAlignment w:val="baseline"/>
    </w:pPr>
    <w:rPr>
      <w:rFonts w:ascii="Garamond" w:hAnsi="Garamond"/>
      <w:smallCaps/>
      <w:kern w:val="18"/>
      <w:sz w:val="20"/>
      <w:szCs w:val="20"/>
    </w:rPr>
  </w:style>
  <w:style w:type="paragraph" w:customStyle="1" w:styleId="136">
    <w:name w:val="Char Char8 Char Char"/>
    <w:basedOn w:val="1"/>
    <w:autoRedefine/>
    <w:qFormat/>
    <w:uiPriority w:val="0"/>
    <w:pPr>
      <w:widowControl/>
      <w:spacing w:after="160" w:line="240" w:lineRule="exact"/>
      <w:jc w:val="left"/>
    </w:pPr>
    <w:rPr>
      <w:szCs w:val="20"/>
    </w:rPr>
  </w:style>
  <w:style w:type="paragraph" w:customStyle="1" w:styleId="137">
    <w:name w:val="Thyssen Standard"/>
    <w:basedOn w:val="1"/>
    <w:autoRedefine/>
    <w:qFormat/>
    <w:uiPriority w:val="0"/>
    <w:pPr>
      <w:widowControl/>
      <w:spacing w:before="120" w:after="120" w:line="300" w:lineRule="atLeast"/>
    </w:pPr>
    <w:rPr>
      <w:rFonts w:ascii="TKTypeRegular" w:hAnsi="TKTypeRegular" w:eastAsia="Times New Roman"/>
      <w:kern w:val="0"/>
      <w:sz w:val="22"/>
      <w:szCs w:val="20"/>
      <w:lang w:eastAsia="en-US"/>
    </w:rPr>
  </w:style>
  <w:style w:type="paragraph" w:customStyle="1" w:styleId="138">
    <w:name w:val="Header Even"/>
    <w:basedOn w:val="57"/>
    <w:autoRedefine/>
    <w:qFormat/>
    <w:uiPriority w:val="0"/>
    <w:pPr>
      <w:keepLines/>
      <w:widowControl/>
      <w:pBdr>
        <w:bottom w:val="none" w:color="auto" w:sz="0" w:space="0"/>
      </w:pBdr>
      <w:tabs>
        <w:tab w:val="center" w:pos="4320"/>
        <w:tab w:val="right" w:pos="8640"/>
        <w:tab w:val="clear" w:pos="4153"/>
        <w:tab w:val="clear" w:pos="8306"/>
      </w:tabs>
      <w:overflowPunct w:val="0"/>
      <w:autoSpaceDE w:val="0"/>
      <w:autoSpaceDN w:val="0"/>
      <w:adjustRightInd w:val="0"/>
      <w:snapToGrid/>
      <w:spacing w:after="660" w:line="240" w:lineRule="atLeast"/>
      <w:jc w:val="left"/>
      <w:textAlignment w:val="baseline"/>
    </w:pPr>
    <w:rPr>
      <w:rFonts w:ascii="Garamond" w:hAnsi="Garamond"/>
      <w:smallCaps/>
      <w:kern w:val="18"/>
      <w:sz w:val="20"/>
      <w:szCs w:val="20"/>
    </w:rPr>
  </w:style>
  <w:style w:type="paragraph" w:customStyle="1" w:styleId="139">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40">
    <w:name w:val="Header Base"/>
    <w:basedOn w:val="13"/>
    <w:autoRedefine/>
    <w:qFormat/>
    <w:uiPriority w:val="0"/>
    <w:pPr>
      <w:keepLines/>
      <w:widowControl/>
      <w:tabs>
        <w:tab w:val="center" w:pos="4320"/>
        <w:tab w:val="right" w:pos="8640"/>
      </w:tabs>
      <w:overflowPunct w:val="0"/>
      <w:autoSpaceDE w:val="0"/>
      <w:autoSpaceDN w:val="0"/>
      <w:spacing w:after="0" w:line="240" w:lineRule="atLeast"/>
      <w:jc w:val="left"/>
      <w:textAlignment w:val="baseline"/>
    </w:pPr>
    <w:rPr>
      <w:rFonts w:ascii="Garamond" w:hAnsi="Garamond"/>
      <w:kern w:val="18"/>
      <w:sz w:val="20"/>
    </w:rPr>
  </w:style>
  <w:style w:type="paragraph" w:customStyle="1" w:styleId="141">
    <w:name w:val="Body Text Keep"/>
    <w:basedOn w:val="13"/>
    <w:autoRedefine/>
    <w:qFormat/>
    <w:uiPriority w:val="0"/>
    <w:pPr>
      <w:keepNext/>
      <w:widowControl/>
      <w:overflowPunct w:val="0"/>
      <w:autoSpaceDE w:val="0"/>
      <w:autoSpaceDN w:val="0"/>
      <w:spacing w:after="240" w:line="240" w:lineRule="atLeast"/>
      <w:ind w:firstLine="360"/>
      <w:textAlignment w:val="baseline"/>
    </w:pPr>
    <w:rPr>
      <w:rFonts w:ascii="Garamond" w:hAnsi="Garamond"/>
      <w:kern w:val="18"/>
      <w:sz w:val="20"/>
    </w:rPr>
  </w:style>
  <w:style w:type="paragraph" w:customStyle="1" w:styleId="142">
    <w:name w:val="Char"/>
    <w:basedOn w:val="1"/>
    <w:autoRedefine/>
    <w:qFormat/>
    <w:uiPriority w:val="0"/>
    <w:rPr>
      <w:rFonts w:ascii="Tahoma" w:hAnsi="Tahoma"/>
      <w:sz w:val="24"/>
      <w:szCs w:val="20"/>
    </w:rPr>
  </w:style>
  <w:style w:type="paragraph" w:customStyle="1" w:styleId="143">
    <w:name w:val="Char1"/>
    <w:basedOn w:val="1"/>
    <w:autoRedefine/>
    <w:qFormat/>
    <w:uiPriority w:val="0"/>
    <w:rPr>
      <w:rFonts w:ascii="Tahoma" w:hAnsi="Tahoma"/>
      <w:sz w:val="24"/>
      <w:szCs w:val="20"/>
    </w:rPr>
  </w:style>
  <w:style w:type="paragraph" w:customStyle="1" w:styleId="144">
    <w:name w:val="正文格式"/>
    <w:basedOn w:val="1"/>
    <w:autoRedefine/>
    <w:qFormat/>
    <w:uiPriority w:val="0"/>
    <w:pPr>
      <w:ind w:firstLine="420" w:firstLineChars="200"/>
    </w:pPr>
    <w:rPr>
      <w:sz w:val="28"/>
      <w:szCs w:val="20"/>
    </w:rPr>
  </w:style>
  <w:style w:type="paragraph" w:customStyle="1" w:styleId="145">
    <w:name w:val="WW-正文缩进"/>
    <w:basedOn w:val="1"/>
    <w:autoRedefine/>
    <w:qFormat/>
    <w:uiPriority w:val="0"/>
    <w:pPr>
      <w:suppressAutoHyphens/>
      <w:autoSpaceDE w:val="0"/>
      <w:ind w:firstLine="420"/>
      <w:jc w:val="left"/>
      <w:textAlignment w:val="baseline"/>
    </w:pPr>
    <w:rPr>
      <w:rFonts w:ascii="宋体" w:hAnsi="宋体"/>
      <w:kern w:val="1"/>
      <w:sz w:val="34"/>
      <w:szCs w:val="20"/>
      <w:lang w:eastAsia="ar-SA"/>
    </w:rPr>
  </w:style>
  <w:style w:type="paragraph" w:customStyle="1" w:styleId="146">
    <w:name w:val="题注5"/>
    <w:basedOn w:val="1"/>
    <w:next w:val="25"/>
    <w:autoRedefine/>
    <w:qFormat/>
    <w:uiPriority w:val="0"/>
    <w:pPr>
      <w:numPr>
        <w:ilvl w:val="0"/>
        <w:numId w:val="3"/>
      </w:numPr>
      <w:tabs>
        <w:tab w:val="left" w:pos="540"/>
        <w:tab w:val="clear" w:pos="420"/>
      </w:tabs>
      <w:ind w:left="540" w:right="0" w:hanging="540" w:hangingChars="225"/>
    </w:pPr>
    <w:rPr>
      <w:rFonts w:ascii="宋体" w:hAnsi="宋体"/>
      <w:color w:val="000000"/>
      <w:sz w:val="24"/>
    </w:rPr>
  </w:style>
  <w:style w:type="paragraph" w:customStyle="1" w:styleId="147">
    <w:name w:val="题注4"/>
    <w:basedOn w:val="1"/>
    <w:next w:val="25"/>
    <w:autoRedefine/>
    <w:qFormat/>
    <w:uiPriority w:val="0"/>
    <w:pPr>
      <w:ind w:left="-132" w:leftChars="-64" w:right="-50" w:rightChars="-50" w:hanging="2"/>
      <w:jc w:val="center"/>
    </w:pPr>
    <w:rPr>
      <w:b/>
      <w:color w:val="FF0000"/>
    </w:rPr>
  </w:style>
  <w:style w:type="character" w:customStyle="1" w:styleId="148">
    <w:name w:val="Superscript"/>
    <w:autoRedefine/>
    <w:qFormat/>
    <w:uiPriority w:val="0"/>
    <w:rPr>
      <w:vertAlign w:val="superscript"/>
    </w:rPr>
  </w:style>
  <w:style w:type="character" w:customStyle="1" w:styleId="149">
    <w:name w:val="font41"/>
    <w:autoRedefine/>
    <w:qFormat/>
    <w:uiPriority w:val="0"/>
    <w:rPr>
      <w:rFonts w:hint="default" w:ascii="Times New Roman" w:hAnsi="Times New Roman" w:cs="Times New Roman"/>
      <w:color w:val="000000"/>
      <w:sz w:val="24"/>
      <w:szCs w:val="24"/>
      <w:u w:val="none"/>
    </w:rPr>
  </w:style>
  <w:style w:type="character" w:customStyle="1" w:styleId="150">
    <w:name w:val="font81"/>
    <w:autoRedefine/>
    <w:qFormat/>
    <w:uiPriority w:val="0"/>
    <w:rPr>
      <w:rFonts w:hint="eastAsia" w:ascii="宋体" w:hAnsi="宋体" w:eastAsia="宋体"/>
      <w:color w:val="000000"/>
      <w:sz w:val="22"/>
      <w:szCs w:val="22"/>
      <w:u w:val="none"/>
    </w:rPr>
  </w:style>
  <w:style w:type="character" w:customStyle="1" w:styleId="151">
    <w:name w:val="正文缩进1 Char1"/>
    <w:autoRedefine/>
    <w:qFormat/>
    <w:locked/>
    <w:uiPriority w:val="0"/>
    <w:rPr>
      <w:rFonts w:eastAsia="宋体"/>
      <w:sz w:val="21"/>
      <w:lang w:val="en-US" w:eastAsia="zh-CN" w:bidi="ar-SA"/>
    </w:rPr>
  </w:style>
  <w:style w:type="character" w:customStyle="1" w:styleId="152">
    <w:name w:val="font61"/>
    <w:autoRedefine/>
    <w:qFormat/>
    <w:uiPriority w:val="0"/>
    <w:rPr>
      <w:rFonts w:hint="eastAsia" w:ascii="宋体" w:hAnsi="宋体" w:eastAsia="宋体"/>
      <w:color w:val="000000"/>
      <w:sz w:val="18"/>
      <w:szCs w:val="18"/>
      <w:u w:val="none"/>
      <w:vertAlign w:val="superscript"/>
    </w:rPr>
  </w:style>
  <w:style w:type="character" w:customStyle="1" w:styleId="153">
    <w:name w:val="普通文字 Char1"/>
    <w:autoRedefine/>
    <w:qFormat/>
    <w:uiPriority w:val="0"/>
    <w:rPr>
      <w:rFonts w:ascii="宋体" w:hAnsi="Courier New" w:eastAsia="宋体"/>
      <w:kern w:val="2"/>
      <w:sz w:val="21"/>
      <w:lang w:val="en-US" w:eastAsia="zh-CN" w:bidi="ar-SA"/>
    </w:rPr>
  </w:style>
  <w:style w:type="character" w:customStyle="1" w:styleId="154">
    <w:name w:val="普通文字 Char Char Char"/>
    <w:autoRedefine/>
    <w:qFormat/>
    <w:uiPriority w:val="0"/>
    <w:rPr>
      <w:rFonts w:ascii="宋体" w:hAnsi="Courier New" w:eastAsia="宋体"/>
      <w:kern w:val="2"/>
      <w:sz w:val="21"/>
      <w:lang w:val="en-US" w:eastAsia="zh-CN" w:bidi="ar-SA"/>
    </w:rPr>
  </w:style>
  <w:style w:type="character" w:customStyle="1" w:styleId="155">
    <w:name w:val="font71"/>
    <w:basedOn w:val="78"/>
    <w:autoRedefine/>
    <w:qFormat/>
    <w:uiPriority w:val="0"/>
    <w:rPr>
      <w:rFonts w:hint="default" w:ascii="Times New Roman" w:hAnsi="Times New Roman" w:cs="Times New Roman"/>
      <w:color w:val="000000"/>
      <w:sz w:val="24"/>
      <w:szCs w:val="24"/>
      <w:u w:val="none"/>
    </w:rPr>
  </w:style>
  <w:style w:type="character" w:customStyle="1" w:styleId="156">
    <w:name w:val="纯文本 Char"/>
    <w:autoRedefine/>
    <w:qFormat/>
    <w:uiPriority w:val="0"/>
    <w:rPr>
      <w:rFonts w:ascii="宋体" w:hAnsi="Courier New" w:eastAsia="宋体" w:cs="Courier New"/>
      <w:kern w:val="2"/>
      <w:sz w:val="21"/>
      <w:szCs w:val="21"/>
      <w:lang w:val="en-US" w:eastAsia="zh-CN" w:bidi="ar-SA"/>
    </w:rPr>
  </w:style>
  <w:style w:type="character" w:customStyle="1" w:styleId="157">
    <w:name w:val="Lead-in Emphasis"/>
    <w:autoRedefine/>
    <w:qFormat/>
    <w:uiPriority w:val="0"/>
    <w:rPr>
      <w:caps/>
      <w:sz w:val="18"/>
    </w:rPr>
  </w:style>
  <w:style w:type="character" w:customStyle="1" w:styleId="158">
    <w:name w:val="纯文本 Char Char Char"/>
    <w:autoRedefine/>
    <w:qFormat/>
    <w:uiPriority w:val="0"/>
    <w:rPr>
      <w:rFonts w:ascii="宋体" w:hAnsi="Courier New" w:eastAsia="仿宋_GB2312"/>
      <w:kern w:val="2"/>
      <w:sz w:val="30"/>
      <w:lang w:val="en-US" w:eastAsia="zh-CN" w:bidi="ar-SA"/>
    </w:rPr>
  </w:style>
  <w:style w:type="character" w:customStyle="1" w:styleId="159">
    <w:name w:val="Slogan"/>
    <w:autoRedefine/>
    <w:qFormat/>
    <w:uiPriority w:val="0"/>
    <w:rPr>
      <w:i/>
      <w:spacing w:val="70"/>
    </w:rPr>
  </w:style>
  <w:style w:type="character" w:customStyle="1" w:styleId="160">
    <w:name w:val="font21"/>
    <w:autoRedefine/>
    <w:qFormat/>
    <w:uiPriority w:val="0"/>
    <w:rPr>
      <w:rFonts w:hint="eastAsia" w:ascii="宋体" w:hAnsi="宋体" w:eastAsia="宋体"/>
      <w:color w:val="000000"/>
      <w:sz w:val="24"/>
      <w:szCs w:val="24"/>
      <w:u w:val="none"/>
    </w:rPr>
  </w:style>
  <w:style w:type="character" w:customStyle="1" w:styleId="161">
    <w:name w:val="font91"/>
    <w:autoRedefine/>
    <w:qFormat/>
    <w:uiPriority w:val="0"/>
    <w:rPr>
      <w:rFonts w:hint="eastAsia" w:ascii="宋体" w:hAnsi="宋体" w:eastAsia="宋体"/>
      <w:color w:val="000000"/>
      <w:sz w:val="18"/>
      <w:szCs w:val="18"/>
      <w:u w:val="none"/>
    </w:rPr>
  </w:style>
  <w:style w:type="character" w:customStyle="1" w:styleId="162">
    <w:name w:val="font01"/>
    <w:autoRedefine/>
    <w:qFormat/>
    <w:uiPriority w:val="0"/>
    <w:rPr>
      <w:rFonts w:hint="eastAsia" w:ascii="宋体" w:hAnsi="宋体" w:eastAsia="宋体"/>
      <w:color w:val="000000"/>
      <w:sz w:val="24"/>
      <w:szCs w:val="24"/>
      <w:u w:val="none"/>
    </w:rPr>
  </w:style>
  <w:style w:type="character" w:customStyle="1" w:styleId="163">
    <w:name w:val="font51"/>
    <w:autoRedefine/>
    <w:qFormat/>
    <w:uiPriority w:val="0"/>
    <w:rPr>
      <w:rFonts w:hint="eastAsia" w:ascii="宋体" w:hAnsi="宋体" w:eastAsia="宋体"/>
      <w:color w:val="000000"/>
      <w:sz w:val="18"/>
      <w:szCs w:val="18"/>
      <w:u w:val="none"/>
    </w:rPr>
  </w:style>
  <w:style w:type="character" w:customStyle="1" w:styleId="164">
    <w:name w:val="font11"/>
    <w:basedOn w:val="78"/>
    <w:autoRedefine/>
    <w:qFormat/>
    <w:uiPriority w:val="0"/>
    <w:rPr>
      <w:rFonts w:hint="eastAsia" w:ascii="宋体" w:hAnsi="宋体" w:eastAsia="宋体" w:cs="宋体"/>
      <w:color w:val="000000"/>
      <w:sz w:val="20"/>
      <w:szCs w:val="20"/>
      <w:u w:val="none"/>
    </w:rPr>
  </w:style>
  <w:style w:type="paragraph" w:customStyle="1" w:styleId="165">
    <w:name w:val="Default Text"/>
    <w:link w:val="166"/>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6">
    <w:name w:val="Default Text Char Char"/>
    <w:link w:val="165"/>
    <w:autoRedefine/>
    <w:qFormat/>
    <w:uiPriority w:val="0"/>
    <w:rPr>
      <w:rFonts w:ascii="Times New Roman" w:hAnsi="Times New Roman"/>
      <w:color w:val="000000"/>
      <w:sz w:val="24"/>
      <w:szCs w:val="24"/>
    </w:rPr>
  </w:style>
  <w:style w:type="paragraph" w:customStyle="1" w:styleId="167">
    <w:name w:val="样式1"/>
    <w:basedOn w:val="1"/>
    <w:next w:val="168"/>
    <w:autoRedefine/>
    <w:qFormat/>
    <w:uiPriority w:val="0"/>
    <w:pPr>
      <w:tabs>
        <w:tab w:val="left" w:pos="709"/>
      </w:tabs>
      <w:spacing w:line="240" w:lineRule="auto"/>
      <w:ind w:left="709" w:hanging="709"/>
    </w:pPr>
    <w:rPr>
      <w:rFonts w:ascii="宋体" w:hAnsi="宋体"/>
      <w:szCs w:val="21"/>
    </w:rPr>
  </w:style>
  <w:style w:type="paragraph" w:customStyle="1" w:styleId="168">
    <w:name w:val="样式2"/>
    <w:basedOn w:val="1"/>
    <w:autoRedefine/>
    <w:qFormat/>
    <w:uiPriority w:val="0"/>
    <w:pPr>
      <w:tabs>
        <w:tab w:val="left" w:pos="6720"/>
      </w:tabs>
      <w:jc w:val="center"/>
    </w:pPr>
    <w:rPr>
      <w:rFonts w:ascii="黑体" w:eastAsia="黑体"/>
      <w:sz w:val="32"/>
      <w:szCs w:val="28"/>
    </w:rPr>
  </w:style>
  <w:style w:type="paragraph" w:customStyle="1" w:styleId="169">
    <w:name w:val="子标题"/>
    <w:basedOn w:val="1"/>
    <w:autoRedefine/>
    <w:qFormat/>
    <w:uiPriority w:val="0"/>
    <w:pPr>
      <w:ind w:firstLine="200" w:firstLineChars="200"/>
      <w:jc w:val="center"/>
    </w:pPr>
    <w:rPr>
      <w:rFonts w:eastAsia="新宋体"/>
      <w:sz w:val="28"/>
    </w:rPr>
  </w:style>
  <w:style w:type="paragraph" w:customStyle="1" w:styleId="170">
    <w:name w:val="缺省文本"/>
    <w:autoRedefine/>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styleId="171">
    <w:name w:val="List Paragraph"/>
    <w:basedOn w:val="1"/>
    <w:autoRedefine/>
    <w:unhideWhenUsed/>
    <w:qFormat/>
    <w:uiPriority w:val="99"/>
    <w:pPr>
      <w:ind w:firstLine="420" w:firstLineChars="200"/>
    </w:pPr>
  </w:style>
  <w:style w:type="paragraph" w:customStyle="1" w:styleId="172">
    <w:name w:val="Body text|1"/>
    <w:basedOn w:val="1"/>
    <w:autoRedefine/>
    <w:qFormat/>
    <w:uiPriority w:val="0"/>
    <w:pPr>
      <w:widowControl w:val="0"/>
      <w:shd w:val="clear" w:color="auto" w:fill="auto"/>
      <w:spacing w:line="473" w:lineRule="auto"/>
      <w:ind w:firstLine="360"/>
    </w:pPr>
    <w:rPr>
      <w:rFonts w:ascii="宋体" w:hAnsi="宋体" w:eastAsia="宋体" w:cs="宋体"/>
      <w:sz w:val="19"/>
      <w:szCs w:val="19"/>
      <w:u w:val="none"/>
      <w:shd w:val="clear" w:color="auto" w:fill="auto"/>
      <w:lang w:val="zh-TW" w:eastAsia="zh-TW" w:bidi="zh-TW"/>
    </w:rPr>
  </w:style>
  <w:style w:type="paragraph" w:customStyle="1" w:styleId="173">
    <w:name w:val="WPSOffice手动目录 1"/>
    <w:autoRedefine/>
    <w:qFormat/>
    <w:uiPriority w:val="0"/>
    <w:pPr>
      <w:ind w:leftChars="0"/>
    </w:pPr>
    <w:rPr>
      <w:rFonts w:ascii="Times New Roman" w:hAnsi="Times New Roman" w:eastAsia="宋体" w:cs="Times New Roman"/>
      <w:sz w:val="20"/>
      <w:szCs w:val="20"/>
    </w:rPr>
  </w:style>
  <w:style w:type="paragraph" w:customStyle="1" w:styleId="17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5">
    <w:name w:val="样式 左侧:  0.74 厘米"/>
    <w:basedOn w:val="1"/>
    <w:autoRedefine/>
    <w:qFormat/>
    <w:uiPriority w:val="0"/>
    <w:pPr>
      <w:spacing w:line="360" w:lineRule="auto"/>
      <w:ind w:left="620" w:hanging="200" w:hangingChars="200"/>
    </w:pPr>
    <w:rPr>
      <w:rFonts w:ascii="Times New Roman" w:hAnsi="Times New Roman"/>
      <w:kern w:val="0"/>
      <w:sz w:val="20"/>
      <w:szCs w:val="20"/>
    </w:rPr>
  </w:style>
  <w:style w:type="paragraph" w:customStyle="1" w:styleId="176">
    <w:name w:val="正文缩进1"/>
    <w:basedOn w:val="1"/>
    <w:autoRedefine/>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177">
    <w:name w:val="章节题目"/>
    <w:basedOn w:val="178"/>
    <w:next w:val="1"/>
    <w:autoRedefine/>
    <w:unhideWhenUsed/>
    <w:qFormat/>
    <w:uiPriority w:val="0"/>
    <w:pPr>
      <w:spacing w:before="720" w:after="400" w:line="540" w:lineRule="atLeast"/>
      <w:ind w:right="2160"/>
    </w:pPr>
    <w:rPr>
      <w:rFonts w:hint="eastAsia" w:ascii="Times New Roman" w:hAnsi="Times New Roman" w:eastAsia="Times New Roman"/>
      <w:spacing w:val="-40"/>
      <w:sz w:val="60"/>
    </w:rPr>
  </w:style>
  <w:style w:type="paragraph" w:customStyle="1" w:styleId="178">
    <w:name w:val="基准标题"/>
    <w:basedOn w:val="1"/>
    <w:next w:val="13"/>
    <w:autoRedefine/>
    <w:unhideWhenUsed/>
    <w:qFormat/>
    <w:uiPriority w:val="0"/>
    <w:pPr>
      <w:keepNext/>
      <w:keepLines/>
      <w:spacing w:before="140" w:line="220" w:lineRule="atLeast"/>
    </w:pPr>
    <w:rPr>
      <w:rFonts w:hint="default" w:ascii="Arial" w:hAnsi="Arial" w:eastAsia="宋体"/>
      <w:spacing w:val="-4"/>
      <w:kern w:val="28"/>
      <w:sz w:val="22"/>
    </w:rPr>
  </w:style>
  <w:style w:type="paragraph" w:customStyle="1" w:styleId="17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180">
    <w:name w:val="Table Normal"/>
    <w:autoRedefine/>
    <w:unhideWhenUsed/>
    <w:qFormat/>
    <w:uiPriority w:val="0"/>
    <w:tblPr>
      <w:tblCellMar>
        <w:top w:w="0" w:type="dxa"/>
        <w:left w:w="0" w:type="dxa"/>
        <w:bottom w:w="0" w:type="dxa"/>
        <w:right w:w="0" w:type="dxa"/>
      </w:tblCellMar>
    </w:tblPr>
  </w:style>
  <w:style w:type="paragraph" w:customStyle="1" w:styleId="181">
    <w:name w:val="WPSOffice手动目录 2"/>
    <w:autoRedefine/>
    <w:qFormat/>
    <w:uiPriority w:val="0"/>
    <w:pPr>
      <w:ind w:leftChars="200"/>
    </w:pPr>
    <w:rPr>
      <w:rFonts w:ascii="Times New Roman" w:hAnsi="Times New Roman" w:eastAsia="宋体" w:cs="Times New Roman"/>
      <w:sz w:val="20"/>
      <w:szCs w:val="20"/>
    </w:rPr>
  </w:style>
  <w:style w:type="paragraph" w:customStyle="1" w:styleId="182">
    <w:name w:val="WPSOffice手动目录 3"/>
    <w:autoRedefine/>
    <w:qFormat/>
    <w:uiPriority w:val="0"/>
    <w:pPr>
      <w:ind w:leftChars="400"/>
    </w:pPr>
    <w:rPr>
      <w:rFonts w:ascii="Times New Roman" w:hAnsi="Times New Roman" w:eastAsia="宋体" w:cs="Times New Roman"/>
      <w:sz w:val="20"/>
      <w:szCs w:val="20"/>
    </w:rPr>
  </w:style>
  <w:style w:type="paragraph" w:customStyle="1" w:styleId="183">
    <w:name w:val="样式 首行缩进:  2 字符"/>
    <w:basedOn w:val="1"/>
    <w:autoRedefine/>
    <w:qFormat/>
    <w:uiPriority w:val="0"/>
    <w:pPr>
      <w:spacing w:line="400" w:lineRule="exact"/>
      <w:ind w:firstLine="200" w:firstLineChars="200"/>
    </w:pPr>
    <w:rPr>
      <w:rFonts w:cs="宋体"/>
      <w:sz w:val="24"/>
      <w:szCs w:val="24"/>
    </w:rPr>
  </w:style>
  <w:style w:type="paragraph" w:customStyle="1" w:styleId="184">
    <w:name w:val="其他"/>
    <w:basedOn w:val="1"/>
    <w:autoRedefine/>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185">
    <w:name w:val="表格文字2"/>
    <w:basedOn w:val="186"/>
    <w:autoRedefine/>
    <w:qFormat/>
    <w:uiPriority w:val="99"/>
    <w:pPr>
      <w:widowControl/>
      <w:spacing w:before="25" w:after="25" w:line="240" w:lineRule="auto"/>
      <w:ind w:firstLine="0"/>
      <w:jc w:val="left"/>
    </w:pPr>
    <w:rPr>
      <w:rFonts w:ascii="Times New Roman" w:hAnsi="Times New Roman"/>
      <w:bCs/>
      <w:spacing w:val="10"/>
      <w:kern w:val="0"/>
      <w:sz w:val="21"/>
      <w:szCs w:val="21"/>
    </w:rPr>
  </w:style>
  <w:style w:type="paragraph" w:customStyle="1" w:styleId="186">
    <w:name w:val="正文1"/>
    <w:basedOn w:val="1"/>
    <w:autoRedefine/>
    <w:qFormat/>
    <w:uiPriority w:val="0"/>
    <w:pPr>
      <w:spacing w:after="120" w:line="360" w:lineRule="auto"/>
      <w:ind w:firstLine="425"/>
    </w:pPr>
    <w:rPr>
      <w:rFonts w:ascii="Arial" w:hAnsi="Arial"/>
      <w:spacing w:val="8"/>
      <w:sz w:val="24"/>
      <w:szCs w:val="20"/>
    </w:rPr>
  </w:style>
  <w:style w:type="character" w:customStyle="1" w:styleId="187">
    <w:name w:val="正文文字 Char1"/>
    <w:link w:val="188"/>
    <w:autoRedefine/>
    <w:qFormat/>
    <w:uiPriority w:val="0"/>
    <w:rPr>
      <w:rFonts w:ascii="宋体"/>
      <w:color w:val="000000"/>
      <w:kern w:val="0"/>
      <w:sz w:val="28"/>
    </w:rPr>
  </w:style>
  <w:style w:type="paragraph" w:customStyle="1" w:styleId="188">
    <w:name w:val="正文文字"/>
    <w:basedOn w:val="1"/>
    <w:link w:val="187"/>
    <w:autoRedefine/>
    <w:qFormat/>
    <w:uiPriority w:val="0"/>
    <w:pPr>
      <w:widowControl/>
      <w:spacing w:line="2375" w:lineRule="atLeast"/>
      <w:ind w:firstLine="419"/>
      <w:textAlignment w:val="baseline"/>
    </w:pPr>
    <w:rPr>
      <w:rFonts w:ascii="宋体"/>
      <w:color w:val="000000"/>
      <w:kern w:val="0"/>
      <w:sz w:val="28"/>
    </w:rPr>
  </w:style>
  <w:style w:type="paragraph" w:customStyle="1" w:styleId="189">
    <w:name w:val="图例"/>
    <w:basedOn w:val="1"/>
    <w:autoRedefine/>
    <w:qFormat/>
    <w:uiPriority w:val="0"/>
    <w:pPr>
      <w:spacing w:before="120" w:after="120" w:line="360" w:lineRule="auto"/>
      <w:jc w:val="center"/>
    </w:pPr>
    <w:rPr>
      <w:rFonts w:eastAsia="仿宋_GB2312"/>
      <w:b/>
      <w:sz w:val="24"/>
      <w:szCs w:val="20"/>
    </w:rPr>
  </w:style>
  <w:style w:type="character" w:customStyle="1" w:styleId="190">
    <w:name w:val="fontstyle01"/>
    <w:basedOn w:val="78"/>
    <w:autoRedefine/>
    <w:qFormat/>
    <w:uiPriority w:val="0"/>
    <w:rPr>
      <w:rFonts w:hint="eastAsia" w:ascii="仿宋_GB2312" w:eastAsia="仿宋_GB2312"/>
      <w:color w:val="000000"/>
      <w:sz w:val="28"/>
      <w:szCs w:val="28"/>
    </w:rPr>
  </w:style>
  <w:style w:type="paragraph" w:customStyle="1" w:styleId="191">
    <w:name w:val="索引 11"/>
    <w:basedOn w:val="1"/>
    <w:next w:val="1"/>
    <w:autoRedefine/>
    <w:qFormat/>
    <w:uiPriority w:val="0"/>
    <w:pPr>
      <w:spacing w:line="360" w:lineRule="auto"/>
    </w:pPr>
    <w:rPr>
      <w:rFonts w:ascii="仿宋_GB2312" w:eastAsia="仿宋_GB2312"/>
      <w:sz w:val="24"/>
      <w:szCs w:val="20"/>
    </w:rPr>
  </w:style>
  <w:style w:type="paragraph" w:customStyle="1" w:styleId="192">
    <w:name w:val="纯文本1"/>
    <w:basedOn w:val="1"/>
    <w:autoRedefine/>
    <w:qFormat/>
    <w:uiPriority w:val="0"/>
    <w:rPr>
      <w:rFonts w:ascii="宋体" w:hAnsi="Courier New"/>
      <w:kern w:val="0"/>
      <w:sz w:val="20"/>
      <w:szCs w:val="20"/>
    </w:rPr>
  </w:style>
  <w:style w:type="paragraph" w:customStyle="1" w:styleId="193">
    <w:name w:val="Table Paragraph"/>
    <w:basedOn w:val="1"/>
    <w:autoRedefine/>
    <w:qFormat/>
    <w:uiPriority w:val="1"/>
    <w:rPr>
      <w:rFonts w:ascii="仿宋" w:hAnsi="仿宋" w:eastAsia="仿宋" w:cs="仿宋"/>
      <w:lang w:val="zh-CN" w:eastAsia="zh-CN" w:bidi="zh-CN"/>
    </w:rPr>
  </w:style>
  <w:style w:type="paragraph" w:customStyle="1" w:styleId="194">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表格内文字"/>
    <w:basedOn w:val="1"/>
    <w:next w:val="1"/>
    <w:autoRedefine/>
    <w:qFormat/>
    <w:uiPriority w:val="0"/>
    <w:pPr>
      <w:spacing w:line="240" w:lineRule="auto"/>
      <w:ind w:firstLine="0" w:firstLineChars="0"/>
    </w:pPr>
    <w:rPr>
      <w:sz w:val="21"/>
    </w:rPr>
  </w:style>
  <w:style w:type="paragraph" w:customStyle="1" w:styleId="196">
    <w:name w:val="正文文本_1_0"/>
    <w:basedOn w:val="197"/>
    <w:autoRedefine/>
    <w:unhideWhenUsed/>
    <w:qFormat/>
    <w:uiPriority w:val="0"/>
    <w:rPr>
      <w:rFonts w:ascii="Calibri" w:hAnsi="Calibri" w:eastAsia="黑体" w:cs="Times New Roman"/>
      <w:sz w:val="36"/>
    </w:rPr>
  </w:style>
  <w:style w:type="paragraph" w:customStyle="1" w:styleId="197">
    <w:name w:val="正文_2_0"/>
    <w:next w:val="198"/>
    <w:autoRedefine/>
    <w:qFormat/>
    <w:uiPriority w:val="0"/>
    <w:pPr>
      <w:widowControl w:val="0"/>
      <w:jc w:val="both"/>
    </w:pPr>
    <w:rPr>
      <w:rFonts w:ascii="Calibri" w:hAnsi="Calibri" w:eastAsia="Calibri" w:cs="Times New Roman"/>
      <w:kern w:val="2"/>
      <w:sz w:val="21"/>
      <w:szCs w:val="22"/>
      <w:lang w:val="en-US" w:eastAsia="zh-CN" w:bidi="ar-SA"/>
    </w:rPr>
  </w:style>
  <w:style w:type="paragraph" w:customStyle="1" w:styleId="198">
    <w:name w:val="表格文字_1_0"/>
    <w:basedOn w:val="197"/>
    <w:autoRedefine/>
    <w:qFormat/>
    <w:uiPriority w:val="0"/>
    <w:pPr>
      <w:adjustRightInd w:val="0"/>
      <w:spacing w:line="420" w:lineRule="atLeast"/>
      <w:jc w:val="left"/>
    </w:pPr>
    <w:rPr>
      <w:rFonts w:ascii="Calibri" w:hAnsi="Calibri" w:eastAsia="宋体" w:cs="Times New Roman"/>
      <w:kern w:val="0"/>
      <w:szCs w:val="20"/>
    </w:rPr>
  </w:style>
  <w:style w:type="paragraph" w:customStyle="1" w:styleId="199">
    <w:name w:val="项目1"/>
    <w:basedOn w:val="1"/>
    <w:autoRedefine/>
    <w:qFormat/>
    <w:uiPriority w:val="99"/>
    <w:pPr>
      <w:adjustRightInd/>
      <w:spacing w:line="240" w:lineRule="auto"/>
      <w:textAlignment w:val="auto"/>
    </w:pPr>
    <w:rPr>
      <w:rFonts w:ascii="Calibri" w:hAnsi="Calibri" w:eastAsia="宋体" w:cs="Times New Roman"/>
      <w:bCs/>
      <w:kern w:val="2"/>
      <w:sz w:val="21"/>
    </w:rPr>
  </w:style>
  <w:style w:type="paragraph" w:customStyle="1" w:styleId="200">
    <w:name w:val="正文首行缩进 21"/>
    <w:basedOn w:val="201"/>
    <w:autoRedefine/>
    <w:qFormat/>
    <w:uiPriority w:val="0"/>
    <w:pPr>
      <w:ind w:firstLine="420" w:firstLineChars="200"/>
    </w:pPr>
  </w:style>
  <w:style w:type="paragraph" w:customStyle="1" w:styleId="201">
    <w:name w:val="正文文本缩进1"/>
    <w:basedOn w:val="1"/>
    <w:autoRedefine/>
    <w:qFormat/>
    <w:uiPriority w:val="0"/>
    <w:pPr>
      <w:adjustRightInd w:val="0"/>
      <w:snapToGrid w:val="0"/>
      <w:spacing w:after="120" w:line="360" w:lineRule="auto"/>
      <w:ind w:left="420" w:leftChars="200" w:firstLine="512" w:firstLineChars="200"/>
    </w:pPr>
    <w:rPr>
      <w:kern w:val="0"/>
      <w:sz w:val="28"/>
      <w:szCs w:val="20"/>
    </w:rPr>
  </w:style>
  <w:style w:type="paragraph" w:customStyle="1" w:styleId="202">
    <w:name w:val=" Char"/>
    <w:basedOn w:val="1"/>
    <w:autoRedefine/>
    <w:qFormat/>
    <w:uiPriority w:val="0"/>
    <w:pPr>
      <w:numPr>
        <w:ilvl w:val="0"/>
        <w:numId w:val="4"/>
      </w:numPr>
      <w:spacing w:line="240" w:lineRule="auto"/>
      <w:ind w:firstLineChars="0"/>
    </w:pPr>
    <w:rPr>
      <w:rFonts w:eastAsia="宋体"/>
      <w:sz w:val="24"/>
      <w:szCs w:val="32"/>
    </w:rPr>
  </w:style>
  <w:style w:type="paragraph" w:customStyle="1" w:styleId="203">
    <w:name w:val="Table Text"/>
    <w:basedOn w:val="1"/>
    <w:autoRedefine/>
    <w:semiHidden/>
    <w:qFormat/>
    <w:uiPriority w:val="0"/>
    <w:rPr>
      <w:rFonts w:ascii="仿宋" w:hAnsi="仿宋" w:eastAsia="仿宋" w:cs="仿宋"/>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111</Pages>
  <Words>12614</Words>
  <Characters>13687</Characters>
  <Lines>167</Lines>
  <Paragraphs>47</Paragraphs>
  <TotalTime>353</TotalTime>
  <ScaleCrop>false</ScaleCrop>
  <LinksUpToDate>false</LinksUpToDate>
  <CharactersWithSpaces>13907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2017-09-14T10:07:00Z</dcterms:created>
  <dc:creator>Administrator</dc:creator>
  <cp:lastModifiedBy>亐㔓</cp:lastModifiedBy>
  <cp:lastPrinted>2022-08-09T09:20:00Z</cp:lastPrinted>
  <dcterms:modified xsi:type="dcterms:W3CDTF">2024-12-31T11:04:29Z</dcterms:modified>
  <dc:title>2017年中山市政府绩效管理咨询服务项目</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90CFEAA363194B0C904E58D2F63F4908_13</vt:lpwstr>
  </property>
  <property fmtid="{D5CDD505-2E9C-101B-9397-08002B2CF9AE}" pid="4" name="KSOTemplateDocerSaveRecord">
    <vt:lpwstr>eyJoZGlkIjoiMTBlMWUwNTJlNmYyZjUxODBjMjVkZGUzNTMwN2U5Y2EiLCJ1c2VySWQiOiIxMTk3NzA4OTcyIn0=</vt:lpwstr>
  </property>
</Properties>
</file>