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3F494">
      <w:pPr>
        <w:pStyle w:val="3"/>
        <w:jc w:val="center"/>
        <w:rPr>
          <w:rFonts w:hint="eastAsia" w:ascii="宋体" w:hAnsi="宋体" w:eastAsia="宋体" w:cs="宋体"/>
          <w:color w:val="auto"/>
          <w:highlight w:val="none"/>
        </w:rPr>
      </w:pPr>
      <w:r>
        <w:rPr>
          <w:rFonts w:hint="eastAsia" w:ascii="宋体" w:hAnsi="宋体" w:cs="宋体"/>
          <w:color w:val="auto"/>
          <w:sz w:val="52"/>
          <w:szCs w:val="52"/>
          <w:highlight w:val="none"/>
          <w:lang w:val="en-US" w:eastAsia="zh-CN"/>
        </w:rPr>
        <w:t xml:space="preserve">  “2025年阿瓦提县人民医院门诊改造及设备项目”泌尿外科采购一批医疗设备</w:t>
      </w:r>
    </w:p>
    <w:p w14:paraId="0FEC6F10">
      <w:pPr>
        <w:rPr>
          <w:rFonts w:hint="eastAsia" w:ascii="宋体" w:hAnsi="宋体" w:eastAsia="宋体" w:cs="宋体"/>
          <w:color w:val="auto"/>
          <w:highlight w:val="none"/>
        </w:rPr>
      </w:pPr>
    </w:p>
    <w:p w14:paraId="21E5DCC0">
      <w:pPr>
        <w:jc w:val="center"/>
        <w:rPr>
          <w:rFonts w:hint="eastAsia" w:ascii="宋体" w:hAnsi="宋体" w:eastAsia="宋体" w:cs="宋体"/>
          <w:bCs/>
          <w:color w:val="auto"/>
          <w:sz w:val="24"/>
          <w:szCs w:val="24"/>
          <w:highlight w:val="none"/>
        </w:rPr>
      </w:pPr>
    </w:p>
    <w:p w14:paraId="0F8E9CE9">
      <w:pPr>
        <w:pStyle w:val="8"/>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
          <w:bCs/>
          <w:color w:val="auto"/>
          <w:kern w:val="2"/>
          <w:sz w:val="48"/>
          <w:szCs w:val="48"/>
          <w:highlight w:val="none"/>
          <w:lang w:val="en-US" w:eastAsia="zh-CN" w:bidi="ar-SA"/>
        </w:rPr>
        <w:t>【公开招标】</w:t>
      </w:r>
    </w:p>
    <w:p w14:paraId="284729AC">
      <w:pPr>
        <w:pStyle w:val="8"/>
        <w:rPr>
          <w:rFonts w:hint="eastAsia" w:ascii="宋体" w:hAnsi="宋体" w:eastAsia="宋体" w:cs="宋体"/>
          <w:bCs/>
          <w:color w:val="auto"/>
          <w:sz w:val="24"/>
          <w:szCs w:val="24"/>
          <w:highlight w:val="none"/>
        </w:rPr>
      </w:pPr>
    </w:p>
    <w:p w14:paraId="1BDA4CF8">
      <w:pPr>
        <w:pStyle w:val="8"/>
        <w:rPr>
          <w:rFonts w:hint="eastAsia" w:ascii="宋体" w:hAnsi="宋体" w:eastAsia="宋体" w:cs="宋体"/>
          <w:bCs/>
          <w:color w:val="auto"/>
          <w:sz w:val="24"/>
          <w:szCs w:val="24"/>
          <w:highlight w:val="none"/>
        </w:rPr>
      </w:pPr>
    </w:p>
    <w:p w14:paraId="5CCD9E8D">
      <w:pPr>
        <w:pStyle w:val="11"/>
        <w:rPr>
          <w:rFonts w:hint="eastAsia" w:ascii="宋体" w:hAnsi="宋体" w:eastAsia="宋体" w:cs="宋体"/>
          <w:bCs/>
          <w:color w:val="auto"/>
          <w:sz w:val="24"/>
          <w:szCs w:val="24"/>
          <w:highlight w:val="none"/>
        </w:rPr>
      </w:pPr>
    </w:p>
    <w:p w14:paraId="6E170D1C">
      <w:pPr>
        <w:pStyle w:val="11"/>
        <w:rPr>
          <w:rFonts w:hint="eastAsia" w:ascii="宋体" w:hAnsi="宋体" w:eastAsia="宋体" w:cs="宋体"/>
          <w:bCs/>
          <w:color w:val="auto"/>
          <w:sz w:val="24"/>
          <w:szCs w:val="24"/>
          <w:highlight w:val="none"/>
        </w:rPr>
      </w:pPr>
    </w:p>
    <w:p w14:paraId="10FF6D75">
      <w:pPr>
        <w:pStyle w:val="11"/>
        <w:rPr>
          <w:rFonts w:hint="eastAsia" w:ascii="宋体" w:hAnsi="宋体" w:eastAsia="宋体" w:cs="宋体"/>
          <w:bCs/>
          <w:color w:val="auto"/>
          <w:sz w:val="24"/>
          <w:szCs w:val="24"/>
          <w:highlight w:val="none"/>
        </w:rPr>
      </w:pPr>
    </w:p>
    <w:p w14:paraId="27B6676A">
      <w:pPr>
        <w:jc w:val="center"/>
        <w:rPr>
          <w:rFonts w:hint="eastAsia" w:ascii="宋体" w:hAnsi="宋体" w:eastAsia="宋体" w:cs="宋体"/>
          <w:bCs/>
          <w:color w:val="auto"/>
          <w:sz w:val="24"/>
          <w:szCs w:val="24"/>
          <w:highlight w:val="none"/>
        </w:rPr>
      </w:pPr>
    </w:p>
    <w:p w14:paraId="17D583FC">
      <w:pPr>
        <w:jc w:val="center"/>
        <w:outlineLvl w:val="0"/>
        <w:rPr>
          <w:rFonts w:hint="eastAsia" w:ascii="宋体" w:hAnsi="宋体" w:eastAsia="宋体" w:cs="宋体"/>
          <w:b/>
          <w:bCs/>
          <w:color w:val="auto"/>
          <w:sz w:val="96"/>
          <w:szCs w:val="96"/>
          <w:highlight w:val="none"/>
        </w:rPr>
      </w:pPr>
      <w:bookmarkStart w:id="0" w:name="_Toc3515"/>
      <w:bookmarkStart w:id="1" w:name="_Toc15592"/>
      <w:bookmarkStart w:id="2" w:name="_Toc31878"/>
      <w:r>
        <w:rPr>
          <w:rFonts w:hint="eastAsia" w:ascii="宋体" w:hAnsi="宋体" w:eastAsia="宋体" w:cs="宋体"/>
          <w:b/>
          <w:bCs/>
          <w:color w:val="auto"/>
          <w:sz w:val="96"/>
          <w:szCs w:val="96"/>
          <w:highlight w:val="none"/>
        </w:rPr>
        <w:t>招</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标</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文</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件</w:t>
      </w:r>
      <w:bookmarkEnd w:id="0"/>
      <w:bookmarkEnd w:id="1"/>
      <w:bookmarkEnd w:id="2"/>
    </w:p>
    <w:p w14:paraId="17274278">
      <w:pPr>
        <w:jc w:val="center"/>
        <w:rPr>
          <w:rFonts w:hint="eastAsia" w:ascii="宋体" w:hAnsi="宋体" w:eastAsia="宋体" w:cs="宋体"/>
          <w:bCs/>
          <w:color w:val="auto"/>
          <w:sz w:val="24"/>
          <w:szCs w:val="24"/>
          <w:highlight w:val="none"/>
        </w:rPr>
      </w:pPr>
    </w:p>
    <w:p w14:paraId="1CB230A5">
      <w:pPr>
        <w:rPr>
          <w:rFonts w:hint="eastAsia" w:ascii="宋体" w:hAnsi="宋体" w:eastAsia="宋体" w:cs="宋体"/>
          <w:bCs/>
          <w:color w:val="auto"/>
          <w:sz w:val="24"/>
          <w:szCs w:val="24"/>
          <w:highlight w:val="none"/>
        </w:rPr>
      </w:pPr>
    </w:p>
    <w:p w14:paraId="184E71BF">
      <w:pPr>
        <w:rPr>
          <w:rFonts w:hint="eastAsia" w:ascii="宋体" w:hAnsi="宋体" w:eastAsia="宋体" w:cs="宋体"/>
          <w:bCs/>
          <w:color w:val="auto"/>
          <w:sz w:val="24"/>
          <w:szCs w:val="24"/>
          <w:highlight w:val="none"/>
        </w:rPr>
      </w:pPr>
    </w:p>
    <w:p w14:paraId="0BD6F9A7">
      <w:pPr>
        <w:pStyle w:val="8"/>
        <w:rPr>
          <w:rFonts w:hint="eastAsia" w:ascii="宋体" w:hAnsi="宋体" w:eastAsia="宋体" w:cs="宋体"/>
          <w:bCs/>
          <w:color w:val="auto"/>
          <w:sz w:val="24"/>
          <w:szCs w:val="24"/>
          <w:highlight w:val="none"/>
        </w:rPr>
      </w:pPr>
    </w:p>
    <w:p w14:paraId="502734DB">
      <w:pPr>
        <w:jc w:val="center"/>
        <w:rPr>
          <w:rFonts w:hint="eastAsia" w:ascii="宋体" w:hAnsi="宋体" w:eastAsia="宋体" w:cs="宋体"/>
          <w:bCs/>
          <w:color w:val="auto"/>
          <w:sz w:val="24"/>
          <w:szCs w:val="24"/>
          <w:highlight w:val="none"/>
        </w:rPr>
      </w:pPr>
    </w:p>
    <w:p w14:paraId="51F60FFC">
      <w:pPr>
        <w:jc w:val="both"/>
        <w:rPr>
          <w:rFonts w:hint="eastAsia" w:ascii="宋体" w:hAnsi="宋体" w:eastAsia="宋体" w:cs="宋体"/>
          <w:bCs/>
          <w:color w:val="auto"/>
          <w:sz w:val="24"/>
          <w:szCs w:val="24"/>
          <w:highlight w:val="none"/>
        </w:rPr>
      </w:pPr>
    </w:p>
    <w:p w14:paraId="08FD600B">
      <w:pPr>
        <w:spacing w:line="60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项目编号：AKSZY-2025-CG002</w:t>
      </w:r>
    </w:p>
    <w:p w14:paraId="0C5EFD7C">
      <w:pPr>
        <w:spacing w:line="60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 购 人：阿瓦提县人民医院</w:t>
      </w:r>
    </w:p>
    <w:p w14:paraId="7DD3E2D6">
      <w:pPr>
        <w:spacing w:line="60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代理机构：</w:t>
      </w:r>
      <w:r>
        <w:rPr>
          <w:rFonts w:hint="eastAsia" w:ascii="宋体" w:hAnsi="宋体" w:eastAsia="宋体" w:cs="宋体"/>
          <w:b/>
          <w:bCs/>
          <w:color w:val="auto"/>
          <w:sz w:val="28"/>
          <w:szCs w:val="28"/>
          <w:highlight w:val="none"/>
          <w:lang w:eastAsia="zh-CN"/>
        </w:rPr>
        <w:t>阿克苏地区振远项目咨询管理有限公司</w:t>
      </w:r>
    </w:p>
    <w:p w14:paraId="770FBC9C">
      <w:pPr>
        <w:spacing w:line="600" w:lineRule="auto"/>
        <w:jc w:val="center"/>
        <w:rPr>
          <w:rFonts w:hint="eastAsia" w:ascii="宋体" w:hAnsi="宋体" w:eastAsia="宋体" w:cs="宋体"/>
          <w:b/>
          <w:bCs/>
          <w:color w:val="auto"/>
          <w:sz w:val="28"/>
          <w:szCs w:val="28"/>
          <w:highlight w:val="none"/>
        </w:rPr>
      </w:pPr>
    </w:p>
    <w:p w14:paraId="48C96467">
      <w:pPr>
        <w:spacing w:line="600" w:lineRule="auto"/>
        <w:jc w:val="center"/>
        <w:rPr>
          <w:rFonts w:hint="eastAsia" w:ascii="宋体" w:hAnsi="宋体" w:eastAsia="宋体" w:cs="宋体"/>
          <w:b/>
          <w:bCs/>
          <w:color w:val="auto"/>
          <w:sz w:val="28"/>
          <w:szCs w:val="28"/>
          <w:highlight w:val="none"/>
        </w:rPr>
        <w:sectPr>
          <w:pgSz w:w="11906" w:h="16838"/>
          <w:pgMar w:top="1440" w:right="1440" w:bottom="1440" w:left="1440" w:header="851" w:footer="992" w:gutter="0"/>
          <w:cols w:space="720" w:num="1"/>
          <w:docGrid w:type="lines" w:linePitch="317" w:charSpace="0"/>
        </w:sectPr>
      </w:pPr>
      <w:r>
        <w:rPr>
          <w:rFonts w:hint="eastAsia" w:ascii="宋体" w:hAnsi="宋体" w:eastAsia="宋体" w:cs="宋体"/>
          <w:b/>
          <w:bCs/>
          <w:color w:val="auto"/>
          <w:sz w:val="28"/>
          <w:szCs w:val="28"/>
          <w:highlight w:val="none"/>
        </w:rPr>
        <w:t>二0二</w:t>
      </w: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月</w:t>
      </w:r>
    </w:p>
    <w:p w14:paraId="6C817470">
      <w:pPr>
        <w:spacing w:beforeLines="100"/>
        <w:jc w:val="center"/>
        <w:outlineLvl w:val="0"/>
        <w:rPr>
          <w:rFonts w:hint="eastAsia" w:ascii="宋体" w:hAnsi="宋体" w:eastAsia="宋体" w:cs="宋体"/>
          <w:b/>
          <w:bCs/>
          <w:color w:val="auto"/>
          <w:sz w:val="40"/>
          <w:szCs w:val="40"/>
          <w:highlight w:val="none"/>
        </w:rPr>
      </w:pPr>
      <w:bookmarkStart w:id="3" w:name="_Toc26978"/>
      <w:bookmarkStart w:id="4" w:name="_Toc16835"/>
      <w:bookmarkStart w:id="5" w:name="_Toc12764"/>
      <w:r>
        <w:rPr>
          <w:rFonts w:hint="eastAsia" w:ascii="宋体" w:hAnsi="宋体" w:eastAsia="宋体" w:cs="宋体"/>
          <w:b/>
          <w:bCs/>
          <w:color w:val="auto"/>
          <w:sz w:val="40"/>
          <w:szCs w:val="40"/>
          <w:highlight w:val="none"/>
        </w:rPr>
        <w:t>采购招标文件</w:t>
      </w:r>
      <w:bookmarkEnd w:id="3"/>
      <w:bookmarkEnd w:id="4"/>
      <w:bookmarkEnd w:id="5"/>
    </w:p>
    <w:p w14:paraId="0F2AE601">
      <w:pPr>
        <w:rPr>
          <w:rFonts w:hint="eastAsia" w:ascii="宋体" w:hAnsi="宋体" w:eastAsia="宋体" w:cs="宋体"/>
          <w:color w:val="auto"/>
          <w:sz w:val="28"/>
          <w:szCs w:val="28"/>
          <w:highlight w:val="none"/>
        </w:rPr>
      </w:pPr>
    </w:p>
    <w:p w14:paraId="29035CA2">
      <w:pPr>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2025年阿瓦提县人民医院门诊改造及设备项目”泌尿外科采购一批医疗设备</w:t>
      </w:r>
    </w:p>
    <w:p w14:paraId="25AFCF76">
      <w:pPr>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采购人（公章）：阿瓦提县人民医院</w:t>
      </w:r>
    </w:p>
    <w:p w14:paraId="1791407E">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14:paraId="37BDB24B">
      <w:pPr>
        <w:spacing w:line="48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人：</w:t>
      </w:r>
      <w:r>
        <w:rPr>
          <w:rFonts w:hint="eastAsia" w:ascii="宋体" w:hAnsi="宋体" w:cs="宋体"/>
          <w:color w:val="auto"/>
          <w:sz w:val="28"/>
          <w:szCs w:val="28"/>
          <w:highlight w:val="none"/>
          <w:lang w:val="en-US" w:eastAsia="zh-CN"/>
        </w:rPr>
        <w:t>宝莉园</w:t>
      </w:r>
    </w:p>
    <w:p w14:paraId="59F1D134">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话：18293566306</w:t>
      </w:r>
      <w:r>
        <w:rPr>
          <w:rFonts w:hint="eastAsia" w:ascii="宋体" w:hAnsi="宋体" w:eastAsia="宋体" w:cs="宋体"/>
          <w:color w:val="auto"/>
          <w:sz w:val="28"/>
          <w:szCs w:val="28"/>
          <w:highlight w:val="none"/>
        </w:rPr>
        <w:tab/>
      </w:r>
    </w:p>
    <w:p w14:paraId="2CD7EF7A">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联系地址：阿瓦提县拥军路30号</w:t>
      </w:r>
    </w:p>
    <w:p w14:paraId="23712C63">
      <w:pPr>
        <w:spacing w:line="480" w:lineRule="auto"/>
        <w:ind w:firstLine="840" w:firstLineChars="300"/>
        <w:rPr>
          <w:rFonts w:hint="eastAsia" w:ascii="宋体" w:hAnsi="宋体" w:eastAsia="宋体" w:cs="宋体"/>
          <w:color w:val="auto"/>
          <w:sz w:val="28"/>
          <w:szCs w:val="28"/>
          <w:highlight w:val="none"/>
        </w:rPr>
      </w:pPr>
    </w:p>
    <w:p w14:paraId="63F1EC14">
      <w:pPr>
        <w:pStyle w:val="17"/>
        <w:rPr>
          <w:rFonts w:hint="eastAsia" w:ascii="宋体" w:hAnsi="宋体" w:eastAsia="宋体" w:cs="宋体"/>
          <w:color w:val="auto"/>
          <w:sz w:val="28"/>
          <w:szCs w:val="28"/>
          <w:highlight w:val="none"/>
        </w:rPr>
      </w:pPr>
    </w:p>
    <w:p w14:paraId="243BB376">
      <w:pPr>
        <w:rPr>
          <w:rFonts w:hint="eastAsia" w:ascii="宋体" w:hAnsi="宋体" w:eastAsia="宋体" w:cs="宋体"/>
          <w:color w:val="auto"/>
          <w:sz w:val="28"/>
          <w:szCs w:val="28"/>
          <w:highlight w:val="none"/>
        </w:rPr>
      </w:pPr>
    </w:p>
    <w:p w14:paraId="3BAF7CEF">
      <w:pPr>
        <w:pStyle w:val="8"/>
        <w:rPr>
          <w:rFonts w:hint="eastAsia" w:ascii="宋体" w:hAnsi="宋体" w:eastAsia="宋体" w:cs="宋体"/>
          <w:color w:val="auto"/>
          <w:sz w:val="28"/>
          <w:szCs w:val="28"/>
          <w:highlight w:val="none"/>
        </w:rPr>
      </w:pPr>
    </w:p>
    <w:p w14:paraId="0FC9A081">
      <w:pPr>
        <w:pStyle w:val="8"/>
        <w:rPr>
          <w:rFonts w:hint="eastAsia" w:ascii="宋体" w:hAnsi="宋体" w:eastAsia="宋体" w:cs="宋体"/>
          <w:color w:val="auto"/>
          <w:sz w:val="28"/>
          <w:szCs w:val="28"/>
          <w:highlight w:val="none"/>
        </w:rPr>
      </w:pPr>
    </w:p>
    <w:p w14:paraId="3A8A1F95">
      <w:pPr>
        <w:pStyle w:val="17"/>
        <w:ind w:left="0" w:leftChars="0" w:firstLine="0" w:firstLineChars="0"/>
        <w:rPr>
          <w:rFonts w:hint="eastAsia" w:ascii="宋体" w:hAnsi="宋体" w:eastAsia="宋体" w:cs="宋体"/>
          <w:color w:val="auto"/>
          <w:sz w:val="28"/>
          <w:szCs w:val="28"/>
          <w:highlight w:val="none"/>
        </w:rPr>
      </w:pPr>
    </w:p>
    <w:p w14:paraId="4026BB78">
      <w:pPr>
        <w:pStyle w:val="17"/>
        <w:rPr>
          <w:rFonts w:hint="eastAsia" w:ascii="宋体" w:hAnsi="宋体" w:eastAsia="宋体" w:cs="宋体"/>
          <w:color w:val="auto"/>
          <w:sz w:val="28"/>
          <w:szCs w:val="28"/>
          <w:highlight w:val="none"/>
        </w:rPr>
      </w:pPr>
    </w:p>
    <w:p w14:paraId="1D98D27C">
      <w:pPr>
        <w:spacing w:line="48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采购代理机构（公章）：</w:t>
      </w:r>
      <w:r>
        <w:rPr>
          <w:rFonts w:hint="eastAsia" w:ascii="宋体" w:hAnsi="宋体" w:eastAsia="宋体" w:cs="宋体"/>
          <w:i w:val="0"/>
          <w:caps w:val="0"/>
          <w:color w:val="auto"/>
          <w:spacing w:val="0"/>
          <w:sz w:val="28"/>
          <w:szCs w:val="28"/>
          <w:highlight w:val="none"/>
          <w:lang w:val="en-US" w:eastAsia="zh-CN"/>
        </w:rPr>
        <w:t>阿克苏地区振远项目咨询管理有限公司</w:t>
      </w:r>
    </w:p>
    <w:p w14:paraId="0BA1CF34">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5C591D18">
      <w:pPr>
        <w:spacing w:line="48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 系 人：</w:t>
      </w:r>
      <w:r>
        <w:rPr>
          <w:rFonts w:hint="eastAsia" w:ascii="宋体" w:hAnsi="宋体" w:cs="宋体"/>
          <w:color w:val="auto"/>
          <w:sz w:val="28"/>
          <w:szCs w:val="28"/>
          <w:highlight w:val="none"/>
          <w:lang w:val="en-US" w:eastAsia="zh-CN"/>
        </w:rPr>
        <w:t>胡丹</w:t>
      </w:r>
    </w:p>
    <w:p w14:paraId="21890E04">
      <w:pPr>
        <w:spacing w:line="480" w:lineRule="auto"/>
        <w:rPr>
          <w:rFonts w:hint="default" w:ascii="宋体" w:hAnsi="宋体" w:eastAsia="宋体" w:cs="宋体"/>
          <w:i w:val="0"/>
          <w:caps w:val="0"/>
          <w:color w:val="auto"/>
          <w:spacing w:val="0"/>
          <w:sz w:val="28"/>
          <w:szCs w:val="28"/>
          <w:highlight w:val="none"/>
          <w:lang w:val="en-US" w:eastAsia="zh-CN"/>
        </w:rPr>
      </w:pPr>
      <w:r>
        <w:rPr>
          <w:rFonts w:hint="eastAsia" w:ascii="宋体" w:hAnsi="宋体" w:eastAsia="宋体" w:cs="宋体"/>
          <w:color w:val="auto"/>
          <w:sz w:val="28"/>
          <w:szCs w:val="28"/>
          <w:highlight w:val="none"/>
        </w:rPr>
        <w:t>电    话：</w:t>
      </w:r>
      <w:r>
        <w:rPr>
          <w:rFonts w:hint="eastAsia"/>
          <w:color w:val="auto"/>
          <w:sz w:val="24"/>
          <w:szCs w:val="24"/>
          <w:highlight w:val="none"/>
        </w:rPr>
        <w:t>15569365500</w:t>
      </w:r>
    </w:p>
    <w:p w14:paraId="55796FC1">
      <w:pPr>
        <w:spacing w:line="480" w:lineRule="auto"/>
        <w:rPr>
          <w:rFonts w:hint="eastAsia" w:ascii="宋体" w:hAnsi="宋体" w:eastAsia="宋体" w:cs="宋体"/>
          <w:i w:val="0"/>
          <w:caps w:val="0"/>
          <w:color w:val="auto"/>
          <w:spacing w:val="0"/>
          <w:sz w:val="28"/>
          <w:szCs w:val="28"/>
          <w:highlight w:val="none"/>
          <w:lang w:val="en-US" w:eastAsia="zh-CN"/>
        </w:rPr>
      </w:pPr>
      <w:r>
        <w:rPr>
          <w:rFonts w:hint="eastAsia" w:ascii="宋体" w:hAnsi="宋体" w:eastAsia="宋体" w:cs="宋体"/>
          <w:color w:val="auto"/>
          <w:sz w:val="28"/>
          <w:szCs w:val="28"/>
          <w:highlight w:val="none"/>
        </w:rPr>
        <w:t>联系地址：</w:t>
      </w:r>
      <w:r>
        <w:rPr>
          <w:rFonts w:hint="eastAsia" w:ascii="宋体" w:hAnsi="宋体" w:eastAsia="宋体" w:cs="宋体"/>
          <w:i w:val="0"/>
          <w:caps w:val="0"/>
          <w:color w:val="auto"/>
          <w:spacing w:val="0"/>
          <w:sz w:val="28"/>
          <w:szCs w:val="28"/>
          <w:highlight w:val="none"/>
          <w:lang w:val="en-US" w:eastAsia="zh-CN"/>
        </w:rPr>
        <w:t>阿克苏市农一师第四家属院1号楼2单元19B01号</w:t>
      </w:r>
    </w:p>
    <w:p w14:paraId="64EB6E99">
      <w:pPr>
        <w:pStyle w:val="6"/>
        <w:rPr>
          <w:rFonts w:hint="eastAsia"/>
          <w:color w:val="auto"/>
          <w:highlight w:val="none"/>
          <w:lang w:val="en-US" w:eastAsia="zh-CN"/>
        </w:rPr>
      </w:pPr>
    </w:p>
    <w:p w14:paraId="1AFE6A93">
      <w:pPr>
        <w:pStyle w:val="8"/>
        <w:rPr>
          <w:rFonts w:hint="eastAsia"/>
          <w:b/>
          <w:bCs/>
          <w:color w:val="auto"/>
          <w:highlight w:val="none"/>
          <w:lang w:val="en-US" w:eastAsia="zh-CN"/>
        </w:rPr>
      </w:pPr>
    </w:p>
    <w:p w14:paraId="5E8D4BEE">
      <w:pPr>
        <w:tabs>
          <w:tab w:val="center" w:pos="4213"/>
          <w:tab w:val="left" w:pos="6487"/>
        </w:tabs>
        <w:jc w:val="left"/>
        <w:outlineLvl w:val="0"/>
        <w:rPr>
          <w:rFonts w:hint="eastAsia" w:ascii="宋体" w:hAnsi="宋体" w:cs="宋体"/>
          <w:color w:val="auto"/>
          <w:sz w:val="40"/>
          <w:szCs w:val="40"/>
          <w:highlight w:val="none"/>
          <w:lang w:eastAsia="zh-CN"/>
        </w:rPr>
      </w:pPr>
      <w:bookmarkStart w:id="6" w:name="_Toc21397"/>
      <w:bookmarkStart w:id="7" w:name="_Toc2425"/>
      <w:bookmarkStart w:id="8" w:name="_Toc2476"/>
    </w:p>
    <w:p w14:paraId="2325E1E7">
      <w:pPr>
        <w:tabs>
          <w:tab w:val="center" w:pos="4213"/>
          <w:tab w:val="left" w:pos="6487"/>
        </w:tabs>
        <w:jc w:val="left"/>
        <w:outlineLvl w:val="0"/>
        <w:rPr>
          <w:rFonts w:hint="eastAsia" w:ascii="宋体" w:hAnsi="宋体" w:eastAsia="宋体" w:cs="宋体"/>
          <w:color w:val="auto"/>
          <w:sz w:val="36"/>
          <w:szCs w:val="36"/>
          <w:highlight w:val="none"/>
          <w:lang w:eastAsia="zh-CN"/>
        </w:rPr>
      </w:pPr>
      <w:r>
        <w:rPr>
          <w:rFonts w:hint="eastAsia" w:ascii="宋体" w:hAnsi="宋体" w:cs="宋体"/>
          <w:color w:val="auto"/>
          <w:sz w:val="40"/>
          <w:szCs w:val="40"/>
          <w:highlight w:val="none"/>
          <w:lang w:eastAsia="zh-CN"/>
        </w:rPr>
        <w:tab/>
      </w:r>
      <w:r>
        <w:rPr>
          <w:rFonts w:hint="eastAsia" w:ascii="宋体" w:hAnsi="宋体" w:eastAsia="宋体" w:cs="宋体"/>
          <w:color w:val="auto"/>
          <w:sz w:val="40"/>
          <w:szCs w:val="40"/>
          <w:highlight w:val="none"/>
        </w:rPr>
        <w:t>目  录</w:t>
      </w:r>
      <w:bookmarkEnd w:id="6"/>
      <w:bookmarkEnd w:id="7"/>
      <w:bookmarkEnd w:id="8"/>
      <w:r>
        <w:rPr>
          <w:rFonts w:hint="eastAsia" w:ascii="宋体" w:hAnsi="宋体" w:cs="宋体"/>
          <w:color w:val="auto"/>
          <w:sz w:val="40"/>
          <w:szCs w:val="40"/>
          <w:highlight w:val="none"/>
          <w:lang w:eastAsia="zh-CN"/>
        </w:rPr>
        <w:tab/>
      </w:r>
    </w:p>
    <w:p w14:paraId="44A23AE5">
      <w:pPr>
        <w:pStyle w:val="13"/>
        <w:tabs>
          <w:tab w:val="right" w:leader="dot" w:pos="8306"/>
        </w:tabs>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p>
    <w:p w14:paraId="26B0F531">
      <w:pPr>
        <w:pStyle w:val="15"/>
        <w:tabs>
          <w:tab w:val="right" w:leader="dot" w:pos="8306"/>
        </w:tabs>
        <w:ind w:left="0" w:leftChars="0" w:firstLine="0" w:firstLineChars="0"/>
        <w:rPr>
          <w:rFonts w:hint="eastAsia" w:ascii="宋体" w:hAnsi="宋体" w:eastAsia="宋体" w:cs="宋体"/>
          <w:color w:val="auto"/>
          <w:sz w:val="32"/>
          <w:highlight w:val="none"/>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_Toc25796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3</w:t>
      </w:r>
      <w:r>
        <w:rPr>
          <w:rFonts w:hint="eastAsia" w:ascii="宋体" w:hAnsi="宋体" w:eastAsia="宋体" w:cs="宋体"/>
          <w:color w:val="auto"/>
          <w:sz w:val="32"/>
          <w:szCs w:val="24"/>
          <w:highlight w:val="none"/>
        </w:rPr>
        <w:fldChar w:fldCharType="end"/>
      </w:r>
    </w:p>
    <w:p w14:paraId="6FF13F64">
      <w:pPr>
        <w:pStyle w:val="15"/>
        <w:tabs>
          <w:tab w:val="right" w:leader="dot" w:pos="8306"/>
        </w:tabs>
        <w:ind w:left="0" w:leftChars="0" w:firstLine="0" w:firstLineChars="0"/>
        <w:rPr>
          <w:rFonts w:hint="eastAsia" w:ascii="宋体" w:hAnsi="宋体" w:eastAsia="宋体" w:cs="宋体"/>
          <w:color w:val="auto"/>
          <w:sz w:val="32"/>
          <w:highlight w:val="none"/>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_Toc28628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第二章 投标人须知</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6</w:t>
      </w:r>
      <w:r>
        <w:rPr>
          <w:rFonts w:hint="eastAsia" w:ascii="宋体" w:hAnsi="宋体" w:eastAsia="宋体" w:cs="宋体"/>
          <w:color w:val="auto"/>
          <w:sz w:val="32"/>
          <w:szCs w:val="24"/>
          <w:highlight w:val="none"/>
        </w:rPr>
        <w:fldChar w:fldCharType="end"/>
      </w:r>
    </w:p>
    <w:p w14:paraId="3333C017">
      <w:pPr>
        <w:rPr>
          <w:rFonts w:hint="default" w:eastAsia="宋体"/>
          <w:color w:val="auto"/>
          <w:highlight w:val="none"/>
          <w:lang w:val="en-US" w:eastAsia="zh-CN"/>
        </w:rPr>
      </w:pPr>
      <w:r>
        <w:rPr>
          <w:rFonts w:hint="eastAsia" w:ascii="宋体" w:hAnsi="宋体" w:cs="宋体"/>
          <w:color w:val="auto"/>
          <w:sz w:val="32"/>
          <w:szCs w:val="24"/>
          <w:highlight w:val="none"/>
          <w:lang w:eastAsia="zh-CN"/>
        </w:rPr>
        <w:t>第三章</w:t>
      </w:r>
      <w:r>
        <w:rPr>
          <w:rFonts w:hint="eastAsia" w:ascii="宋体" w:hAnsi="宋体" w:cs="宋体"/>
          <w:color w:val="auto"/>
          <w:sz w:val="32"/>
          <w:szCs w:val="24"/>
          <w:highlight w:val="none"/>
          <w:lang w:val="en-US" w:eastAsia="zh-CN"/>
        </w:rPr>
        <w:t xml:space="preserve"> 采购需求</w:t>
      </w:r>
      <w:r>
        <w:rPr>
          <w:rFonts w:hint="eastAsia" w:ascii="宋体" w:hAnsi="宋体" w:cs="宋体"/>
          <w:color w:val="auto"/>
          <w:kern w:val="2"/>
          <w:sz w:val="32"/>
          <w:szCs w:val="22"/>
          <w:highlight w:val="none"/>
          <w:lang w:val="en-US" w:eastAsia="zh-CN" w:bidi="ar-SA"/>
        </w:rPr>
        <w:t xml:space="preserve"> ................................. 45</w:t>
      </w:r>
    </w:p>
    <w:p w14:paraId="5D09F338">
      <w:pPr>
        <w:pStyle w:val="15"/>
        <w:tabs>
          <w:tab w:val="right" w:leader="dot" w:pos="8306"/>
        </w:tabs>
        <w:ind w:left="0" w:leftChars="0" w:firstLine="0" w:firstLineChars="0"/>
        <w:rPr>
          <w:rFonts w:hint="eastAsia" w:ascii="宋体" w:hAnsi="宋体" w:eastAsia="宋体" w:cs="宋体"/>
          <w:color w:val="auto"/>
          <w:sz w:val="32"/>
          <w:highlight w:val="none"/>
          <w:lang w:val="en-US" w:eastAsia="zh-CN"/>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_Toc29057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第四章 评标办法</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5</w:t>
      </w:r>
      <w:r>
        <w:rPr>
          <w:rFonts w:hint="eastAsia" w:ascii="宋体" w:hAnsi="宋体" w:eastAsia="宋体" w:cs="宋体"/>
          <w:color w:val="auto"/>
          <w:sz w:val="32"/>
          <w:szCs w:val="24"/>
          <w:highlight w:val="none"/>
        </w:rPr>
        <w:fldChar w:fldCharType="end"/>
      </w:r>
      <w:r>
        <w:rPr>
          <w:rFonts w:hint="eastAsia" w:ascii="宋体" w:hAnsi="宋体" w:cs="宋体"/>
          <w:color w:val="auto"/>
          <w:sz w:val="32"/>
          <w:szCs w:val="24"/>
          <w:highlight w:val="none"/>
          <w:lang w:val="en-US" w:eastAsia="zh-CN"/>
        </w:rPr>
        <w:t>7</w:t>
      </w:r>
    </w:p>
    <w:p w14:paraId="1A7BDC75">
      <w:pPr>
        <w:pStyle w:val="15"/>
        <w:tabs>
          <w:tab w:val="right" w:leader="dot" w:pos="8306"/>
        </w:tabs>
        <w:ind w:left="0" w:leftChars="0" w:firstLine="0" w:firstLineChars="0"/>
        <w:rPr>
          <w:rFonts w:hint="eastAsia" w:ascii="宋体" w:hAnsi="宋体" w:eastAsia="宋体" w:cs="宋体"/>
          <w:color w:val="auto"/>
          <w:sz w:val="32"/>
          <w:highlight w:val="none"/>
          <w:lang w:val="en-US" w:eastAsia="zh-CN"/>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_Toc15961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第五章 签订合同、合同主要条款</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6</w:t>
      </w:r>
      <w:r>
        <w:rPr>
          <w:rFonts w:hint="eastAsia" w:ascii="宋体" w:hAnsi="宋体" w:eastAsia="宋体" w:cs="宋体"/>
          <w:color w:val="auto"/>
          <w:sz w:val="32"/>
          <w:szCs w:val="24"/>
          <w:highlight w:val="none"/>
        </w:rPr>
        <w:fldChar w:fldCharType="end"/>
      </w:r>
      <w:r>
        <w:rPr>
          <w:rFonts w:hint="eastAsia" w:ascii="宋体" w:hAnsi="宋体" w:cs="宋体"/>
          <w:color w:val="auto"/>
          <w:sz w:val="32"/>
          <w:szCs w:val="24"/>
          <w:highlight w:val="none"/>
          <w:lang w:val="en-US" w:eastAsia="zh-CN"/>
        </w:rPr>
        <w:t>5</w:t>
      </w:r>
    </w:p>
    <w:p w14:paraId="478B7417">
      <w:pPr>
        <w:pStyle w:val="15"/>
        <w:tabs>
          <w:tab w:val="right" w:leader="dot" w:pos="8306"/>
        </w:tabs>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_Toc20993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第六章 投标文件格式</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8</w:t>
      </w:r>
      <w:r>
        <w:rPr>
          <w:rFonts w:hint="eastAsia" w:ascii="宋体" w:hAnsi="宋体" w:eastAsia="宋体" w:cs="宋体"/>
          <w:color w:val="auto"/>
          <w:sz w:val="32"/>
          <w:szCs w:val="24"/>
          <w:highlight w:val="none"/>
        </w:rPr>
        <w:fldChar w:fldCharType="end"/>
      </w:r>
      <w:r>
        <w:rPr>
          <w:rFonts w:hint="eastAsia" w:ascii="宋体" w:hAnsi="宋体" w:cs="宋体"/>
          <w:color w:val="auto"/>
          <w:sz w:val="32"/>
          <w:szCs w:val="24"/>
          <w:highlight w:val="none"/>
          <w:lang w:val="en-US" w:eastAsia="zh-CN"/>
        </w:rPr>
        <w:t>2</w:t>
      </w:r>
    </w:p>
    <w:p w14:paraId="3EAD2742">
      <w:pPr>
        <w:spacing w:line="360" w:lineRule="auto"/>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end"/>
      </w:r>
    </w:p>
    <w:p w14:paraId="6887EC64">
      <w:pPr>
        <w:pStyle w:val="10"/>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3C688C19">
      <w:pPr>
        <w:pStyle w:val="22"/>
        <w:numPr>
          <w:ilvl w:val="0"/>
          <w:numId w:val="1"/>
        </w:numPr>
        <w:jc w:val="center"/>
        <w:rPr>
          <w:rFonts w:hint="eastAsia" w:ascii="宋体" w:hAnsi="宋体" w:eastAsia="宋体" w:cs="宋体"/>
          <w:b/>
          <w:bCs/>
          <w:color w:val="auto"/>
          <w:sz w:val="36"/>
          <w:szCs w:val="36"/>
          <w:highlight w:val="none"/>
          <w:lang w:val="en-US" w:eastAsia="zh-CN"/>
        </w:rPr>
      </w:pPr>
      <w:bookmarkStart w:id="9" w:name="_Toc494455908"/>
      <w:r>
        <w:rPr>
          <w:rFonts w:hint="eastAsia" w:ascii="宋体" w:hAnsi="宋体" w:eastAsia="宋体" w:cs="宋体"/>
          <w:b/>
          <w:bCs/>
          <w:color w:val="auto"/>
          <w:sz w:val="36"/>
          <w:szCs w:val="36"/>
          <w:highlight w:val="none"/>
          <w:lang w:val="en-US" w:eastAsia="zh-CN"/>
        </w:rPr>
        <w:t xml:space="preserve"> 招标公告</w:t>
      </w:r>
    </w:p>
    <w:p w14:paraId="7A06B6B0">
      <w:pPr>
        <w:jc w:val="center"/>
        <w:rPr>
          <w:b/>
          <w:bCs/>
          <w:color w:val="auto"/>
          <w:sz w:val="44"/>
          <w:szCs w:val="44"/>
          <w:highlight w:val="none"/>
          <w:lang w:val="en-US" w:eastAsia="zh-CN"/>
        </w:rPr>
      </w:pPr>
      <w:r>
        <w:rPr>
          <w:rFonts w:hint="eastAsia"/>
          <w:b/>
          <w:bCs/>
          <w:color w:val="auto"/>
          <w:sz w:val="28"/>
          <w:szCs w:val="28"/>
          <w:highlight w:val="none"/>
          <w:lang w:val="en-US" w:eastAsia="zh-CN"/>
        </w:rPr>
        <w:t>“2025年阿瓦提县人民医院门诊改造及设备项目”泌尿外科采购一批医疗设备公开招标</w:t>
      </w:r>
      <w:r>
        <w:rPr>
          <w:b/>
          <w:bCs/>
          <w:color w:val="auto"/>
          <w:sz w:val="28"/>
          <w:szCs w:val="28"/>
          <w:highlight w:val="none"/>
          <w:lang w:val="en-US" w:eastAsia="zh-CN"/>
        </w:rPr>
        <w:t>公告</w:t>
      </w:r>
    </w:p>
    <w:tbl>
      <w:tblPr>
        <w:tblStyle w:val="1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7CEB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960" w:type="dxa"/>
            <w:noWrap w:val="0"/>
            <w:vAlign w:val="top"/>
          </w:tcPr>
          <w:p w14:paraId="799E4211">
            <w:pPr>
              <w:spacing w:line="360" w:lineRule="auto"/>
              <w:rPr>
                <w:color w:val="auto"/>
                <w:sz w:val="24"/>
                <w:szCs w:val="24"/>
                <w:highlight w:val="none"/>
              </w:rPr>
            </w:pPr>
            <w:bookmarkStart w:id="10" w:name="_Toc28628"/>
            <w:r>
              <w:rPr>
                <w:color w:val="auto"/>
                <w:sz w:val="24"/>
                <w:szCs w:val="24"/>
                <w:highlight w:val="none"/>
              </w:rPr>
              <w:t xml:space="preserve">   项目概况</w:t>
            </w:r>
            <w:r>
              <w:rPr>
                <w:rFonts w:hint="eastAsia"/>
                <w:color w:val="auto"/>
                <w:sz w:val="24"/>
                <w:szCs w:val="24"/>
                <w:highlight w:val="none"/>
              </w:rPr>
              <w:t>                                                    </w:t>
            </w:r>
          </w:p>
          <w:p w14:paraId="0DCF114C">
            <w:pPr>
              <w:spacing w:line="360" w:lineRule="auto"/>
              <w:rPr>
                <w:color w:val="auto"/>
                <w:sz w:val="24"/>
                <w:szCs w:val="24"/>
                <w:highlight w:val="none"/>
              </w:rPr>
            </w:pPr>
            <w:r>
              <w:rPr>
                <w:rFonts w:hint="eastAsia"/>
                <w:color w:val="auto"/>
                <w:sz w:val="24"/>
                <w:szCs w:val="24"/>
                <w:highlight w:val="none"/>
              </w:rPr>
              <w:t> </w:t>
            </w:r>
            <w:r>
              <w:rPr>
                <w:rFonts w:hint="eastAsia"/>
                <w:color w:val="auto"/>
                <w:sz w:val="24"/>
                <w:szCs w:val="24"/>
                <w:highlight w:val="non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2025年阿瓦提县人民医院门诊改造及设备项目”泌尿外科采购一批医疗设备</w:t>
            </w:r>
            <w:r>
              <w:rPr>
                <w:rFonts w:hint="eastAsia"/>
                <w:color w:val="auto"/>
                <w:sz w:val="24"/>
                <w:szCs w:val="24"/>
                <w:highlight w:val="none"/>
              </w:rPr>
              <w:t>的潜在投标人应在政采云平台线上获取招标文件，并于</w:t>
            </w:r>
            <w:r>
              <w:rPr>
                <w:rFonts w:hint="eastAsia"/>
                <w:b w:val="0"/>
                <w:bCs w:val="0"/>
                <w:color w:val="auto"/>
                <w:sz w:val="24"/>
                <w:szCs w:val="24"/>
                <w:highlight w:val="none"/>
              </w:rPr>
              <w:t>202</w:t>
            </w:r>
            <w:r>
              <w:rPr>
                <w:rFonts w:hint="eastAsia"/>
                <w:b w:val="0"/>
                <w:bCs w:val="0"/>
                <w:color w:val="auto"/>
                <w:sz w:val="24"/>
                <w:szCs w:val="24"/>
                <w:highlight w:val="none"/>
                <w:lang w:val="en-US" w:eastAsia="zh-CN"/>
              </w:rPr>
              <w:t>5</w:t>
            </w:r>
            <w:r>
              <w:rPr>
                <w:rFonts w:hint="eastAsia"/>
                <w:b w:val="0"/>
                <w:bCs w:val="0"/>
                <w:color w:val="auto"/>
                <w:sz w:val="24"/>
                <w:szCs w:val="24"/>
                <w:highlight w:val="none"/>
              </w:rPr>
              <w:t>年</w:t>
            </w:r>
            <w:r>
              <w:rPr>
                <w:rFonts w:hint="eastAsia"/>
                <w:b w:val="0"/>
                <w:bCs w:val="0"/>
                <w:color w:val="auto"/>
                <w:sz w:val="24"/>
                <w:szCs w:val="24"/>
                <w:highlight w:val="none"/>
                <w:lang w:val="en-US" w:eastAsia="zh-CN"/>
              </w:rPr>
              <w:t xml:space="preserve"> 02 </w:t>
            </w:r>
            <w:r>
              <w:rPr>
                <w:rFonts w:hint="eastAsia"/>
                <w:b w:val="0"/>
                <w:bCs w:val="0"/>
                <w:color w:val="auto"/>
                <w:sz w:val="24"/>
                <w:szCs w:val="24"/>
                <w:highlight w:val="none"/>
              </w:rPr>
              <w:t>月</w:t>
            </w:r>
            <w:r>
              <w:rPr>
                <w:rFonts w:hint="eastAsia"/>
                <w:b w:val="0"/>
                <w:bCs w:val="0"/>
                <w:color w:val="auto"/>
                <w:sz w:val="24"/>
                <w:szCs w:val="24"/>
                <w:highlight w:val="none"/>
                <w:lang w:val="en-US" w:eastAsia="zh-CN"/>
              </w:rPr>
              <w:t xml:space="preserve">05 </w:t>
            </w:r>
            <w:r>
              <w:rPr>
                <w:rFonts w:hint="eastAsia"/>
                <w:b w:val="0"/>
                <w:bCs w:val="0"/>
                <w:color w:val="auto"/>
                <w:sz w:val="24"/>
                <w:szCs w:val="24"/>
                <w:highlight w:val="none"/>
              </w:rPr>
              <w:t xml:space="preserve">日 </w:t>
            </w:r>
            <w:r>
              <w:rPr>
                <w:rFonts w:hint="eastAsia"/>
                <w:b w:val="0"/>
                <w:bCs w:val="0"/>
                <w:color w:val="auto"/>
                <w:sz w:val="24"/>
                <w:szCs w:val="24"/>
                <w:highlight w:val="none"/>
                <w:lang w:val="en-US" w:eastAsia="zh-CN"/>
              </w:rPr>
              <w:t>11</w:t>
            </w:r>
            <w:r>
              <w:rPr>
                <w:rFonts w:hint="eastAsia"/>
                <w:b w:val="0"/>
                <w:bCs w:val="0"/>
                <w:color w:val="auto"/>
                <w:sz w:val="24"/>
                <w:szCs w:val="24"/>
                <w:highlight w:val="none"/>
              </w:rPr>
              <w:t>:</w:t>
            </w:r>
            <w:r>
              <w:rPr>
                <w:rFonts w:hint="eastAsia"/>
                <w:b w:val="0"/>
                <w:bCs w:val="0"/>
                <w:color w:val="auto"/>
                <w:sz w:val="24"/>
                <w:szCs w:val="24"/>
                <w:highlight w:val="none"/>
                <w:lang w:val="en-US" w:eastAsia="zh-CN"/>
              </w:rPr>
              <w:t>0</w:t>
            </w:r>
            <w:r>
              <w:rPr>
                <w:rFonts w:hint="eastAsia"/>
                <w:b w:val="0"/>
                <w:bCs w:val="0"/>
                <w:color w:val="auto"/>
                <w:sz w:val="24"/>
                <w:szCs w:val="24"/>
                <w:highlight w:val="none"/>
              </w:rPr>
              <w:t>0（北京时间）</w:t>
            </w:r>
            <w:r>
              <w:rPr>
                <w:rFonts w:hint="eastAsia"/>
                <w:color w:val="auto"/>
                <w:sz w:val="24"/>
                <w:szCs w:val="24"/>
                <w:highlight w:val="none"/>
              </w:rPr>
              <w:t>前提交响应文件。</w:t>
            </w:r>
          </w:p>
        </w:tc>
      </w:tr>
    </w:tbl>
    <w:p w14:paraId="7653B2F3">
      <w:pPr>
        <w:spacing w:line="360" w:lineRule="auto"/>
        <w:rPr>
          <w:color w:val="auto"/>
          <w:sz w:val="24"/>
          <w:szCs w:val="24"/>
          <w:highlight w:val="none"/>
        </w:rPr>
      </w:pPr>
      <w:r>
        <w:rPr>
          <w:color w:val="auto"/>
          <w:sz w:val="24"/>
          <w:szCs w:val="24"/>
          <w:highlight w:val="none"/>
        </w:rPr>
        <w:t> </w:t>
      </w:r>
    </w:p>
    <w:p w14:paraId="6C358201">
      <w:pPr>
        <w:spacing w:line="360" w:lineRule="auto"/>
        <w:rPr>
          <w:b/>
          <w:bCs/>
          <w:color w:val="auto"/>
          <w:sz w:val="24"/>
          <w:szCs w:val="24"/>
          <w:highlight w:val="none"/>
        </w:rPr>
      </w:pPr>
      <w:r>
        <w:rPr>
          <w:b/>
          <w:bCs/>
          <w:color w:val="auto"/>
          <w:sz w:val="24"/>
          <w:szCs w:val="24"/>
          <w:highlight w:val="none"/>
        </w:rPr>
        <w:t>一、项目基本情况</w:t>
      </w:r>
    </w:p>
    <w:p w14:paraId="2F0498E3">
      <w:pPr>
        <w:spacing w:line="360" w:lineRule="auto"/>
        <w:rPr>
          <w:rFonts w:hint="eastAsia" w:eastAsia="宋体"/>
          <w:color w:val="auto"/>
          <w:sz w:val="24"/>
          <w:szCs w:val="24"/>
          <w:highlight w:val="none"/>
          <w:lang w:eastAsia="zh-CN"/>
        </w:rPr>
      </w:pPr>
      <w:r>
        <w:rPr>
          <w:rFonts w:hint="eastAsia"/>
          <w:color w:val="auto"/>
          <w:sz w:val="24"/>
          <w:szCs w:val="24"/>
          <w:highlight w:val="none"/>
        </w:rPr>
        <w:t>    项目编号：AKSZY-202</w:t>
      </w:r>
      <w:r>
        <w:rPr>
          <w:rFonts w:hint="eastAsia"/>
          <w:color w:val="auto"/>
          <w:sz w:val="24"/>
          <w:szCs w:val="24"/>
          <w:highlight w:val="none"/>
          <w:lang w:val="en-US" w:eastAsia="zh-CN"/>
        </w:rPr>
        <w:t>5</w:t>
      </w:r>
      <w:r>
        <w:rPr>
          <w:rFonts w:hint="eastAsia"/>
          <w:color w:val="auto"/>
          <w:sz w:val="24"/>
          <w:szCs w:val="24"/>
          <w:highlight w:val="none"/>
        </w:rPr>
        <w:t>-CG00</w:t>
      </w:r>
      <w:r>
        <w:rPr>
          <w:rFonts w:hint="eastAsia"/>
          <w:color w:val="auto"/>
          <w:sz w:val="24"/>
          <w:szCs w:val="24"/>
          <w:highlight w:val="none"/>
          <w:lang w:val="en-US" w:eastAsia="zh-CN"/>
        </w:rPr>
        <w:t>2</w:t>
      </w:r>
    </w:p>
    <w:p w14:paraId="38079CA3">
      <w:pPr>
        <w:spacing w:line="360" w:lineRule="auto"/>
        <w:ind w:firstLine="348"/>
        <w:rPr>
          <w:rFonts w:hint="eastAsia"/>
          <w:color w:val="auto"/>
          <w:sz w:val="24"/>
          <w:szCs w:val="24"/>
          <w:highlight w:val="none"/>
          <w:lang w:val="en-US" w:eastAsia="zh-CN"/>
        </w:rPr>
      </w:pPr>
      <w:r>
        <w:rPr>
          <w:rFonts w:hint="eastAsia"/>
          <w:color w:val="auto"/>
          <w:sz w:val="24"/>
          <w:szCs w:val="24"/>
          <w:highlight w:val="none"/>
        </w:rPr>
        <w:t>项目名称：</w:t>
      </w:r>
      <w:r>
        <w:rPr>
          <w:rFonts w:hint="eastAsia"/>
          <w:color w:val="auto"/>
          <w:sz w:val="24"/>
          <w:szCs w:val="24"/>
          <w:highlight w:val="none"/>
          <w:lang w:eastAsia="zh-CN"/>
        </w:rPr>
        <w:t>“</w:t>
      </w:r>
      <w:r>
        <w:rPr>
          <w:rFonts w:hint="eastAsia"/>
          <w:color w:val="auto"/>
          <w:sz w:val="24"/>
          <w:szCs w:val="24"/>
          <w:highlight w:val="none"/>
          <w:lang w:val="en-US" w:eastAsia="zh-CN"/>
        </w:rPr>
        <w:t>2025年阿瓦提县人民医院门诊改造及设备项目”泌尿外科采购一批医疗设备</w:t>
      </w:r>
    </w:p>
    <w:p w14:paraId="6B77D7FC">
      <w:pPr>
        <w:spacing w:line="360" w:lineRule="auto"/>
        <w:rPr>
          <w:rFonts w:hint="eastAsia" w:eastAsia="宋体"/>
          <w:color w:val="auto"/>
          <w:sz w:val="24"/>
          <w:szCs w:val="24"/>
          <w:highlight w:val="none"/>
          <w:lang w:eastAsia="zh-CN"/>
        </w:rPr>
      </w:pPr>
      <w:r>
        <w:rPr>
          <w:rFonts w:hint="eastAsia"/>
          <w:color w:val="auto"/>
          <w:sz w:val="24"/>
          <w:szCs w:val="24"/>
          <w:highlight w:val="none"/>
        </w:rPr>
        <w:t>    采购方式：</w:t>
      </w:r>
      <w:r>
        <w:rPr>
          <w:rFonts w:hint="eastAsia"/>
          <w:color w:val="auto"/>
          <w:sz w:val="24"/>
          <w:szCs w:val="24"/>
          <w:highlight w:val="none"/>
          <w:lang w:val="en-US" w:eastAsia="zh-CN"/>
        </w:rPr>
        <w:t>公开招标</w:t>
      </w:r>
    </w:p>
    <w:p w14:paraId="6D24E046">
      <w:pPr>
        <w:spacing w:line="360" w:lineRule="auto"/>
        <w:ind w:firstLine="348"/>
        <w:rPr>
          <w:rFonts w:hint="default"/>
          <w:color w:val="auto"/>
          <w:sz w:val="24"/>
          <w:szCs w:val="24"/>
          <w:highlight w:val="none"/>
          <w:lang w:val="en-US" w:eastAsia="zh-CN"/>
        </w:rPr>
      </w:pPr>
      <w:r>
        <w:rPr>
          <w:rFonts w:hint="eastAsia"/>
          <w:color w:val="auto"/>
          <w:sz w:val="24"/>
          <w:szCs w:val="24"/>
          <w:highlight w:val="none"/>
        </w:rPr>
        <w:t>预算金额（元）：</w:t>
      </w:r>
      <w:r>
        <w:rPr>
          <w:rFonts w:hint="eastAsia"/>
          <w:color w:val="auto"/>
          <w:sz w:val="24"/>
          <w:szCs w:val="24"/>
          <w:highlight w:val="none"/>
          <w:lang w:val="en-US" w:eastAsia="zh-CN"/>
        </w:rPr>
        <w:t>2039917.00</w:t>
      </w:r>
    </w:p>
    <w:p w14:paraId="6DE67AE3">
      <w:pPr>
        <w:spacing w:line="360" w:lineRule="auto"/>
        <w:rPr>
          <w:rFonts w:hint="default"/>
          <w:color w:val="auto"/>
          <w:sz w:val="24"/>
          <w:szCs w:val="24"/>
          <w:highlight w:val="none"/>
          <w:lang w:val="en-US"/>
        </w:rPr>
      </w:pPr>
      <w:r>
        <w:rPr>
          <w:rFonts w:hint="eastAsia"/>
          <w:color w:val="auto"/>
          <w:sz w:val="24"/>
          <w:szCs w:val="24"/>
          <w:highlight w:val="none"/>
        </w:rPr>
        <w:t>    最高限价（元）：</w:t>
      </w:r>
      <w:r>
        <w:rPr>
          <w:rFonts w:hint="eastAsia"/>
          <w:color w:val="auto"/>
          <w:sz w:val="24"/>
          <w:szCs w:val="24"/>
          <w:highlight w:val="none"/>
          <w:lang w:val="en-US" w:eastAsia="zh-CN"/>
        </w:rPr>
        <w:t>2039917.00</w:t>
      </w:r>
    </w:p>
    <w:p w14:paraId="204D5310">
      <w:pPr>
        <w:spacing w:line="360" w:lineRule="auto"/>
        <w:rPr>
          <w:color w:val="auto"/>
          <w:sz w:val="24"/>
          <w:szCs w:val="24"/>
          <w:highlight w:val="none"/>
        </w:rPr>
      </w:pPr>
      <w:r>
        <w:rPr>
          <w:rFonts w:hint="eastAsia"/>
          <w:color w:val="auto"/>
          <w:sz w:val="24"/>
          <w:szCs w:val="24"/>
          <w:highlight w:val="none"/>
        </w:rPr>
        <w:t>    采购需求：</w:t>
      </w:r>
    </w:p>
    <w:p w14:paraId="49806FCB">
      <w:pPr>
        <w:spacing w:line="360" w:lineRule="auto"/>
        <w:ind w:firstLine="348"/>
        <w:rPr>
          <w:rFonts w:hint="eastAsia"/>
          <w:color w:val="auto"/>
          <w:sz w:val="24"/>
          <w:szCs w:val="24"/>
          <w:highlight w:val="none"/>
          <w:lang w:val="en-US" w:eastAsia="zh-CN"/>
        </w:rPr>
      </w:pPr>
      <w:r>
        <w:rPr>
          <w:rFonts w:hint="eastAsia"/>
          <w:color w:val="auto"/>
          <w:sz w:val="24"/>
          <w:szCs w:val="24"/>
          <w:highlight w:val="none"/>
        </w:rPr>
        <w:t>    标项名称: </w:t>
      </w:r>
      <w:r>
        <w:rPr>
          <w:rFonts w:hint="eastAsia"/>
          <w:color w:val="auto"/>
          <w:sz w:val="24"/>
          <w:szCs w:val="24"/>
          <w:highlight w:val="none"/>
          <w:lang w:eastAsia="zh-CN"/>
        </w:rPr>
        <w:t>“</w:t>
      </w:r>
      <w:r>
        <w:rPr>
          <w:rFonts w:hint="eastAsia"/>
          <w:color w:val="auto"/>
          <w:sz w:val="24"/>
          <w:szCs w:val="24"/>
          <w:highlight w:val="none"/>
        </w:rPr>
        <w:t> </w:t>
      </w:r>
      <w:r>
        <w:rPr>
          <w:rFonts w:hint="eastAsia"/>
          <w:color w:val="auto"/>
          <w:sz w:val="24"/>
          <w:szCs w:val="24"/>
          <w:highlight w:val="none"/>
          <w:lang w:val="en-US" w:eastAsia="zh-CN"/>
        </w:rPr>
        <w:t>2025年阿瓦提县人民医院门诊改造及设备项目”泌尿外科采购一批医疗设备</w:t>
      </w:r>
    </w:p>
    <w:p w14:paraId="7B94E451">
      <w:pPr>
        <w:spacing w:line="360" w:lineRule="auto"/>
        <w:rPr>
          <w:color w:val="auto"/>
          <w:sz w:val="24"/>
          <w:szCs w:val="24"/>
          <w:highlight w:val="none"/>
        </w:rPr>
      </w:pPr>
      <w:r>
        <w:rPr>
          <w:rFonts w:hint="eastAsia"/>
          <w:color w:val="auto"/>
          <w:sz w:val="24"/>
          <w:szCs w:val="24"/>
          <w:highlight w:val="none"/>
        </w:rPr>
        <w:t>    数量:  1  </w:t>
      </w:r>
    </w:p>
    <w:p w14:paraId="67CD3C2C">
      <w:pPr>
        <w:spacing w:line="360" w:lineRule="auto"/>
        <w:rPr>
          <w:rFonts w:hint="default" w:eastAsia="宋体"/>
          <w:color w:val="auto"/>
          <w:sz w:val="24"/>
          <w:szCs w:val="24"/>
          <w:highlight w:val="none"/>
          <w:lang w:val="en-US" w:eastAsia="zh-CN"/>
        </w:rPr>
      </w:pPr>
      <w:r>
        <w:rPr>
          <w:rFonts w:hint="eastAsia"/>
          <w:color w:val="auto"/>
          <w:sz w:val="24"/>
          <w:szCs w:val="24"/>
          <w:highlight w:val="none"/>
        </w:rPr>
        <w:t>    预算金额（元）: </w:t>
      </w:r>
      <w:r>
        <w:rPr>
          <w:rFonts w:hint="eastAsia"/>
          <w:color w:val="auto"/>
          <w:sz w:val="24"/>
          <w:szCs w:val="24"/>
          <w:highlight w:val="none"/>
          <w:lang w:val="en-US" w:eastAsia="zh-CN"/>
        </w:rPr>
        <w:t>2039917.00</w:t>
      </w:r>
    </w:p>
    <w:p w14:paraId="4C0691F5">
      <w:pPr>
        <w:spacing w:line="360" w:lineRule="auto"/>
        <w:rPr>
          <w:color w:val="auto"/>
          <w:sz w:val="24"/>
          <w:szCs w:val="24"/>
          <w:highlight w:val="none"/>
        </w:rPr>
      </w:pPr>
      <w:r>
        <w:rPr>
          <w:rFonts w:hint="eastAsia"/>
          <w:color w:val="auto"/>
          <w:sz w:val="24"/>
          <w:szCs w:val="24"/>
          <w:highlight w:val="none"/>
        </w:rPr>
        <w:t>    单位： </w:t>
      </w:r>
      <w:r>
        <w:rPr>
          <w:rFonts w:hint="eastAsia"/>
          <w:color w:val="auto"/>
          <w:sz w:val="24"/>
          <w:szCs w:val="24"/>
          <w:highlight w:val="none"/>
          <w:lang w:val="en-US" w:eastAsia="zh-CN"/>
        </w:rPr>
        <w:t>批</w:t>
      </w:r>
      <w:r>
        <w:rPr>
          <w:rFonts w:hint="eastAsia"/>
          <w:color w:val="auto"/>
          <w:sz w:val="24"/>
          <w:szCs w:val="24"/>
          <w:highlight w:val="none"/>
        </w:rPr>
        <w:t> </w:t>
      </w:r>
    </w:p>
    <w:p w14:paraId="39439428">
      <w:pPr>
        <w:spacing w:line="360" w:lineRule="auto"/>
        <w:ind w:firstLine="348"/>
        <w:rPr>
          <w:color w:val="auto"/>
          <w:sz w:val="24"/>
          <w:szCs w:val="24"/>
          <w:highlight w:val="none"/>
        </w:rPr>
      </w:pPr>
      <w:r>
        <w:rPr>
          <w:rFonts w:hint="eastAsia"/>
          <w:color w:val="auto"/>
          <w:sz w:val="24"/>
          <w:szCs w:val="24"/>
          <w:highlight w:val="none"/>
        </w:rPr>
        <w:t>    简要规格描述：</w:t>
      </w:r>
      <w:r>
        <w:rPr>
          <w:rFonts w:hint="eastAsia" w:ascii="宋体" w:hAnsi="宋体" w:eastAsia="宋体" w:cs="宋体"/>
          <w:b/>
          <w:bCs/>
          <w:color w:val="auto"/>
          <w:sz w:val="24"/>
          <w:szCs w:val="24"/>
          <w:highlight w:val="none"/>
          <w:lang w:val="en-US" w:eastAsia="zh-CN"/>
        </w:rPr>
        <w:t>尿动力学分析仪、红外光谱结石成分分析仪等采购一批医疗设备（详见采购清单及参数）</w:t>
      </w:r>
    </w:p>
    <w:p w14:paraId="68298A79">
      <w:pPr>
        <w:spacing w:line="360" w:lineRule="auto"/>
        <w:rPr>
          <w:color w:val="auto"/>
          <w:sz w:val="24"/>
          <w:szCs w:val="24"/>
          <w:highlight w:val="none"/>
        </w:rPr>
      </w:pPr>
      <w:r>
        <w:rPr>
          <w:rFonts w:hint="eastAsia"/>
          <w:color w:val="auto"/>
          <w:sz w:val="24"/>
          <w:szCs w:val="24"/>
          <w:highlight w:val="none"/>
        </w:rPr>
        <w:t>    备注：  </w:t>
      </w:r>
    </w:p>
    <w:p w14:paraId="021EBEB0">
      <w:pPr>
        <w:spacing w:line="360" w:lineRule="auto"/>
        <w:rPr>
          <w:color w:val="auto"/>
          <w:sz w:val="24"/>
          <w:szCs w:val="24"/>
          <w:highlight w:val="none"/>
        </w:rPr>
      </w:pPr>
      <w:r>
        <w:rPr>
          <w:rFonts w:hint="eastAsia"/>
          <w:color w:val="auto"/>
          <w:sz w:val="24"/>
          <w:szCs w:val="24"/>
          <w:highlight w:val="none"/>
        </w:rPr>
        <w:t>    合同履约期限：标项 1，</w:t>
      </w:r>
      <w:r>
        <w:rPr>
          <w:rFonts w:hint="eastAsia" w:ascii="宋体" w:hAnsi="宋体" w:eastAsia="宋体" w:cs="宋体"/>
          <w:color w:val="auto"/>
          <w:sz w:val="24"/>
          <w:highlight w:val="none"/>
          <w:lang w:val="en-US" w:eastAsia="zh-CN"/>
        </w:rPr>
        <w:t xml:space="preserve">签订合同后 </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 日内完成供货、安装、调试、验收合格</w:t>
      </w:r>
      <w:r>
        <w:rPr>
          <w:rFonts w:hint="eastAsia"/>
          <w:color w:val="auto"/>
          <w:sz w:val="24"/>
          <w:szCs w:val="24"/>
          <w:highlight w:val="none"/>
        </w:rPr>
        <w:t>。</w:t>
      </w:r>
    </w:p>
    <w:p w14:paraId="615902EF">
      <w:pPr>
        <w:spacing w:line="360" w:lineRule="auto"/>
        <w:rPr>
          <w:color w:val="auto"/>
          <w:sz w:val="24"/>
          <w:szCs w:val="24"/>
          <w:highlight w:val="none"/>
        </w:rPr>
      </w:pPr>
      <w:r>
        <w:rPr>
          <w:rFonts w:hint="eastAsia"/>
          <w:color w:val="auto"/>
          <w:sz w:val="24"/>
          <w:szCs w:val="24"/>
          <w:highlight w:val="none"/>
        </w:rPr>
        <w:t>    本项目（否）接受联合体投标。</w:t>
      </w:r>
    </w:p>
    <w:p w14:paraId="2FEA7561">
      <w:pPr>
        <w:spacing w:line="360" w:lineRule="auto"/>
        <w:rPr>
          <w:b/>
          <w:bCs/>
          <w:color w:val="auto"/>
          <w:sz w:val="24"/>
          <w:szCs w:val="24"/>
          <w:highlight w:val="none"/>
        </w:rPr>
      </w:pPr>
      <w:r>
        <w:rPr>
          <w:b/>
          <w:bCs/>
          <w:color w:val="auto"/>
          <w:sz w:val="24"/>
          <w:szCs w:val="24"/>
          <w:highlight w:val="none"/>
        </w:rPr>
        <w:t>二、申请人的资格要求：</w:t>
      </w:r>
    </w:p>
    <w:p w14:paraId="08724C99">
      <w:pPr>
        <w:spacing w:line="360" w:lineRule="auto"/>
        <w:rPr>
          <w:color w:val="auto"/>
          <w:sz w:val="24"/>
          <w:szCs w:val="24"/>
          <w:highlight w:val="none"/>
        </w:rPr>
      </w:pPr>
      <w:r>
        <w:rPr>
          <w:rFonts w:hint="eastAsia"/>
          <w:color w:val="auto"/>
          <w:sz w:val="24"/>
          <w:szCs w:val="24"/>
          <w:highlight w:val="none"/>
        </w:rPr>
        <w:t>    1.满足《中华人民共和国政府采购法》第二十二条规定；</w:t>
      </w:r>
    </w:p>
    <w:p w14:paraId="3DD8568E">
      <w:pPr>
        <w:spacing w:line="360" w:lineRule="auto"/>
        <w:ind w:firstLine="304"/>
        <w:rPr>
          <w:rFonts w:hint="eastAsia"/>
          <w:color w:val="auto"/>
          <w:sz w:val="24"/>
          <w:szCs w:val="24"/>
          <w:highlight w:val="none"/>
          <w:lang w:val="en-US" w:eastAsia="zh-CN"/>
        </w:rPr>
      </w:pPr>
      <w:r>
        <w:rPr>
          <w:rFonts w:hint="eastAsia"/>
          <w:color w:val="auto"/>
          <w:sz w:val="24"/>
          <w:szCs w:val="24"/>
          <w:highlight w:val="none"/>
        </w:rPr>
        <w:t>2.落实政府采购政策需满足的资格要求：标项1：</w:t>
      </w:r>
      <w:r>
        <w:rPr>
          <w:rFonts w:hint="eastAsia"/>
          <w:b/>
          <w:bCs/>
          <w:color w:val="auto"/>
          <w:sz w:val="24"/>
          <w:szCs w:val="24"/>
          <w:highlight w:val="none"/>
          <w:lang w:val="en-US" w:eastAsia="zh-CN"/>
        </w:rPr>
        <w:t>本项目不专门面向中小微企业</w:t>
      </w:r>
    </w:p>
    <w:p w14:paraId="0BFBD466">
      <w:pPr>
        <w:spacing w:line="360" w:lineRule="auto"/>
        <w:ind w:firstLine="304"/>
        <w:rPr>
          <w:rFonts w:hint="eastAsia"/>
          <w:color w:val="auto"/>
          <w:sz w:val="24"/>
          <w:szCs w:val="24"/>
          <w:highlight w:val="none"/>
        </w:rPr>
      </w:pPr>
      <w:r>
        <w:rPr>
          <w:rFonts w:hint="eastAsia"/>
          <w:color w:val="auto"/>
          <w:sz w:val="24"/>
          <w:szCs w:val="24"/>
          <w:highlight w:val="none"/>
        </w:rPr>
        <w:t>3.本项目的特定资格要求：</w:t>
      </w:r>
    </w:p>
    <w:p w14:paraId="0B9A4B8F">
      <w:pPr>
        <w:spacing w:line="360" w:lineRule="auto"/>
        <w:ind w:firstLine="304"/>
        <w:rPr>
          <w:rFonts w:hint="eastAsia"/>
          <w:color w:val="auto"/>
          <w:sz w:val="24"/>
          <w:szCs w:val="24"/>
          <w:highlight w:val="none"/>
        </w:rPr>
      </w:pPr>
      <w:r>
        <w:rPr>
          <w:rFonts w:hint="eastAsia"/>
          <w:color w:val="auto"/>
          <w:sz w:val="24"/>
          <w:szCs w:val="24"/>
          <w:highlight w:val="none"/>
        </w:rPr>
        <w:t>（1）有效经年检的三证合一营业执照；</w:t>
      </w:r>
    </w:p>
    <w:p w14:paraId="1BC80E9C">
      <w:pPr>
        <w:spacing w:line="360" w:lineRule="auto"/>
        <w:ind w:firstLine="304"/>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2BFC540E">
      <w:pPr>
        <w:spacing w:line="360" w:lineRule="auto"/>
        <w:rPr>
          <w:b/>
          <w:bCs/>
          <w:color w:val="auto"/>
          <w:sz w:val="24"/>
          <w:szCs w:val="24"/>
          <w:highlight w:val="none"/>
        </w:rPr>
      </w:pPr>
      <w:r>
        <w:rPr>
          <w:b/>
          <w:bCs/>
          <w:color w:val="auto"/>
          <w:sz w:val="24"/>
          <w:szCs w:val="24"/>
          <w:highlight w:val="none"/>
        </w:rPr>
        <w:t>三、获取采购文件 </w:t>
      </w:r>
    </w:p>
    <w:p w14:paraId="08051F8F">
      <w:pPr>
        <w:spacing w:line="360" w:lineRule="auto"/>
        <w:rPr>
          <w:color w:val="auto"/>
          <w:sz w:val="24"/>
          <w:szCs w:val="24"/>
          <w:highlight w:val="none"/>
        </w:rPr>
      </w:pPr>
      <w:r>
        <w:rPr>
          <w:rFonts w:hint="eastAsia"/>
          <w:color w:val="auto"/>
          <w:sz w:val="24"/>
          <w:szCs w:val="24"/>
          <w:highlight w:val="none"/>
        </w:rPr>
        <w:t>    时间：202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01</w:t>
      </w:r>
      <w:r>
        <w:rPr>
          <w:rFonts w:hint="eastAsia"/>
          <w:color w:val="auto"/>
          <w:sz w:val="24"/>
          <w:szCs w:val="24"/>
          <w:highlight w:val="none"/>
        </w:rPr>
        <w:t>月</w:t>
      </w:r>
      <w:r>
        <w:rPr>
          <w:rFonts w:hint="eastAsia"/>
          <w:color w:val="auto"/>
          <w:sz w:val="24"/>
          <w:szCs w:val="24"/>
          <w:highlight w:val="none"/>
          <w:lang w:val="en-US" w:eastAsia="zh-CN"/>
        </w:rPr>
        <w:t>09</w:t>
      </w:r>
      <w:r>
        <w:rPr>
          <w:rFonts w:hint="eastAsia"/>
          <w:color w:val="auto"/>
          <w:sz w:val="24"/>
          <w:szCs w:val="24"/>
          <w:highlight w:val="none"/>
        </w:rPr>
        <w:t>日至202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01</w:t>
      </w:r>
      <w:r>
        <w:rPr>
          <w:rFonts w:hint="eastAsia"/>
          <w:color w:val="auto"/>
          <w:sz w:val="24"/>
          <w:szCs w:val="24"/>
          <w:highlight w:val="none"/>
        </w:rPr>
        <w:t>月</w:t>
      </w:r>
      <w:r>
        <w:rPr>
          <w:rFonts w:hint="eastAsia"/>
          <w:color w:val="auto"/>
          <w:sz w:val="24"/>
          <w:szCs w:val="24"/>
          <w:highlight w:val="none"/>
          <w:lang w:val="en-US" w:eastAsia="zh-CN"/>
        </w:rPr>
        <w:t>16</w:t>
      </w:r>
      <w:r>
        <w:rPr>
          <w:rFonts w:hint="eastAsia"/>
          <w:color w:val="auto"/>
          <w:sz w:val="24"/>
          <w:szCs w:val="24"/>
          <w:highlight w:val="none"/>
        </w:rPr>
        <w:t>日，每天上午10:00至14:00，下午</w:t>
      </w:r>
      <w:r>
        <w:rPr>
          <w:rFonts w:hint="eastAsia"/>
          <w:color w:val="auto"/>
          <w:sz w:val="24"/>
          <w:szCs w:val="24"/>
          <w:highlight w:val="none"/>
          <w:lang w:val="en-US" w:eastAsia="zh-CN"/>
        </w:rPr>
        <w:t>15</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0至</w:t>
      </w:r>
      <w:r>
        <w:rPr>
          <w:rFonts w:hint="eastAsia"/>
          <w:color w:val="auto"/>
          <w:sz w:val="24"/>
          <w:szCs w:val="24"/>
          <w:highlight w:val="none"/>
          <w:lang w:val="en-US" w:eastAsia="zh-CN"/>
        </w:rPr>
        <w:t>19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0（北京时间，法定节假日除外）</w:t>
      </w:r>
    </w:p>
    <w:p w14:paraId="3E2E31BF">
      <w:pPr>
        <w:spacing w:line="360" w:lineRule="auto"/>
        <w:rPr>
          <w:color w:val="auto"/>
          <w:sz w:val="24"/>
          <w:szCs w:val="24"/>
          <w:highlight w:val="none"/>
        </w:rPr>
      </w:pPr>
      <w:r>
        <w:rPr>
          <w:rFonts w:hint="eastAsia"/>
          <w:color w:val="auto"/>
          <w:sz w:val="24"/>
          <w:szCs w:val="24"/>
          <w:highlight w:val="none"/>
        </w:rPr>
        <w:t>    地点：政采云平台线上获取  </w:t>
      </w:r>
    </w:p>
    <w:p w14:paraId="2B77FA4B">
      <w:pPr>
        <w:spacing w:line="360" w:lineRule="auto"/>
        <w:rPr>
          <w:color w:val="auto"/>
          <w:sz w:val="24"/>
          <w:szCs w:val="24"/>
          <w:highlight w:val="none"/>
        </w:rPr>
      </w:pPr>
      <w:r>
        <w:rPr>
          <w:rFonts w:hint="eastAsia"/>
          <w:color w:val="auto"/>
          <w:sz w:val="24"/>
          <w:szCs w:val="24"/>
          <w:highlight w:val="none"/>
        </w:rPr>
        <w:t>    方式：供应商登录政采云平台https://www.zcygov.cn/在线申请获取采购文件（进入“项目采购”应用，在获取采购文件菜单中选择项目，申请获取采购文件）  </w:t>
      </w:r>
    </w:p>
    <w:p w14:paraId="3E95AC4F">
      <w:pPr>
        <w:spacing w:line="360" w:lineRule="auto"/>
        <w:rPr>
          <w:color w:val="auto"/>
          <w:sz w:val="24"/>
          <w:szCs w:val="24"/>
          <w:highlight w:val="none"/>
        </w:rPr>
      </w:pPr>
      <w:r>
        <w:rPr>
          <w:rFonts w:hint="eastAsia"/>
          <w:color w:val="auto"/>
          <w:sz w:val="24"/>
          <w:szCs w:val="24"/>
          <w:highlight w:val="none"/>
        </w:rPr>
        <w:t>    售价（元）：0  </w:t>
      </w:r>
    </w:p>
    <w:p w14:paraId="6C1E2B62">
      <w:pPr>
        <w:spacing w:line="360" w:lineRule="auto"/>
        <w:rPr>
          <w:rFonts w:hint="eastAsia"/>
          <w:b/>
          <w:bCs/>
          <w:color w:val="auto"/>
          <w:sz w:val="24"/>
          <w:szCs w:val="24"/>
        </w:rPr>
      </w:pPr>
      <w:r>
        <w:rPr>
          <w:rFonts w:hint="eastAsia"/>
          <w:b/>
          <w:bCs/>
          <w:color w:val="auto"/>
          <w:sz w:val="24"/>
          <w:szCs w:val="24"/>
        </w:rPr>
        <w:t>四、提交投标文件截止时间、开标时间和地点</w:t>
      </w:r>
    </w:p>
    <w:p w14:paraId="36C89415">
      <w:pPr>
        <w:spacing w:line="360" w:lineRule="auto"/>
        <w:rPr>
          <w:color w:val="auto"/>
          <w:sz w:val="24"/>
          <w:szCs w:val="24"/>
          <w:highlight w:val="none"/>
        </w:rPr>
      </w:pPr>
      <w:r>
        <w:rPr>
          <w:rFonts w:hint="eastAsia"/>
          <w:color w:val="auto"/>
          <w:sz w:val="24"/>
          <w:szCs w:val="24"/>
        </w:rPr>
        <w:t>提交投标文件截止时间</w:t>
      </w:r>
      <w:r>
        <w:rPr>
          <w:rFonts w:hint="eastAsia"/>
          <w:color w:val="auto"/>
          <w:sz w:val="24"/>
          <w:szCs w:val="24"/>
          <w:highlight w:val="none"/>
        </w:rPr>
        <w:t>：202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02</w:t>
      </w:r>
      <w:r>
        <w:rPr>
          <w:rFonts w:hint="eastAsia"/>
          <w:color w:val="auto"/>
          <w:sz w:val="24"/>
          <w:szCs w:val="24"/>
          <w:highlight w:val="none"/>
        </w:rPr>
        <w:t>月</w:t>
      </w:r>
      <w:r>
        <w:rPr>
          <w:rFonts w:hint="eastAsia"/>
          <w:color w:val="auto"/>
          <w:sz w:val="24"/>
          <w:szCs w:val="24"/>
          <w:highlight w:val="none"/>
          <w:lang w:val="en-US" w:eastAsia="zh-CN"/>
        </w:rPr>
        <w:t>05</w:t>
      </w:r>
      <w:r>
        <w:rPr>
          <w:rFonts w:hint="eastAsia"/>
          <w:color w:val="auto"/>
          <w:sz w:val="24"/>
          <w:szCs w:val="24"/>
          <w:highlight w:val="none"/>
        </w:rPr>
        <w:t xml:space="preserve">日 </w:t>
      </w:r>
      <w:r>
        <w:rPr>
          <w:rFonts w:hint="eastAsia"/>
          <w:color w:val="auto"/>
          <w:sz w:val="24"/>
          <w:szCs w:val="24"/>
          <w:highlight w:val="none"/>
          <w:lang w:val="en-US" w:eastAsia="zh-CN"/>
        </w:rPr>
        <w:t>11</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 （北京时间）</w:t>
      </w:r>
    </w:p>
    <w:p w14:paraId="204E39C2">
      <w:pPr>
        <w:spacing w:line="360" w:lineRule="auto"/>
        <w:rPr>
          <w:color w:val="auto"/>
          <w:sz w:val="24"/>
          <w:szCs w:val="24"/>
          <w:highlight w:val="none"/>
        </w:rPr>
      </w:pPr>
      <w:r>
        <w:rPr>
          <w:rFonts w:hint="eastAsia"/>
          <w:color w:val="auto"/>
          <w:sz w:val="24"/>
          <w:szCs w:val="24"/>
        </w:rPr>
        <w:t>投标地点：</w:t>
      </w:r>
      <w:r>
        <w:rPr>
          <w:rFonts w:hint="eastAsia"/>
          <w:color w:val="auto"/>
          <w:sz w:val="24"/>
          <w:szCs w:val="24"/>
          <w:highlight w:val="none"/>
        </w:rPr>
        <w:t>政采云一站式政府采购云平台 </w:t>
      </w:r>
      <w:r>
        <w:rPr>
          <w:color w:val="auto"/>
          <w:sz w:val="24"/>
          <w:szCs w:val="24"/>
          <w:highlight w:val="none"/>
        </w:rPr>
        <w:t xml:space="preserve">                                  </w:t>
      </w:r>
    </w:p>
    <w:p w14:paraId="716785EA">
      <w:pPr>
        <w:spacing w:line="360" w:lineRule="auto"/>
        <w:rPr>
          <w:color w:val="auto"/>
          <w:sz w:val="24"/>
          <w:szCs w:val="24"/>
          <w:highlight w:val="none"/>
        </w:rPr>
      </w:pPr>
      <w:r>
        <w:rPr>
          <w:rFonts w:hint="eastAsia"/>
          <w:color w:val="auto"/>
          <w:sz w:val="24"/>
          <w:szCs w:val="24"/>
        </w:rPr>
        <w:t>开标时间：</w:t>
      </w:r>
      <w:r>
        <w:rPr>
          <w:rFonts w:hint="eastAsia"/>
          <w:color w:val="auto"/>
          <w:sz w:val="24"/>
          <w:szCs w:val="24"/>
          <w:highlight w:val="none"/>
        </w:rPr>
        <w:t>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02</w:t>
      </w:r>
      <w:r>
        <w:rPr>
          <w:rFonts w:hint="eastAsia"/>
          <w:color w:val="auto"/>
          <w:sz w:val="24"/>
          <w:szCs w:val="24"/>
          <w:highlight w:val="none"/>
        </w:rPr>
        <w:t>月</w:t>
      </w:r>
      <w:r>
        <w:rPr>
          <w:rFonts w:hint="eastAsia"/>
          <w:color w:val="auto"/>
          <w:sz w:val="24"/>
          <w:szCs w:val="24"/>
          <w:highlight w:val="none"/>
          <w:lang w:val="en-US" w:eastAsia="zh-CN"/>
        </w:rPr>
        <w:t>05</w:t>
      </w:r>
      <w:r>
        <w:rPr>
          <w:rFonts w:hint="eastAsia"/>
          <w:color w:val="auto"/>
          <w:sz w:val="24"/>
          <w:szCs w:val="24"/>
          <w:highlight w:val="none"/>
        </w:rPr>
        <w:t xml:space="preserve">日 </w:t>
      </w:r>
      <w:r>
        <w:rPr>
          <w:rFonts w:hint="eastAsia"/>
          <w:color w:val="auto"/>
          <w:sz w:val="24"/>
          <w:szCs w:val="24"/>
          <w:highlight w:val="none"/>
          <w:lang w:val="en-US" w:eastAsia="zh-CN"/>
        </w:rPr>
        <w:t>11</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 （北京时间）</w:t>
      </w:r>
    </w:p>
    <w:p w14:paraId="537CC059">
      <w:pPr>
        <w:spacing w:line="240" w:lineRule="auto"/>
        <w:ind w:left="0" w:leftChars="0" w:firstLine="0" w:firstLineChars="0"/>
        <w:rPr>
          <w:rFonts w:hint="eastAsia"/>
          <w:color w:val="auto"/>
          <w:sz w:val="24"/>
          <w:szCs w:val="24"/>
          <w:highlight w:val="none"/>
        </w:rPr>
      </w:pPr>
      <w:r>
        <w:rPr>
          <w:rFonts w:hint="eastAsia"/>
          <w:color w:val="auto"/>
          <w:sz w:val="24"/>
          <w:szCs w:val="24"/>
        </w:rPr>
        <w:t>开标地点：</w:t>
      </w:r>
      <w:r>
        <w:rPr>
          <w:rFonts w:hint="eastAsia"/>
          <w:color w:val="auto"/>
          <w:sz w:val="24"/>
          <w:szCs w:val="24"/>
          <w:highlight w:val="none"/>
        </w:rPr>
        <w:t>投标人登录政采云平台https://www.zcygov.cn/，进入“项目采购-开标评标-右边选择对应项目点击“进入项目”进入开标大厅。</w:t>
      </w:r>
    </w:p>
    <w:p w14:paraId="454AEF34">
      <w:pPr>
        <w:spacing w:line="360" w:lineRule="auto"/>
        <w:rPr>
          <w:b/>
          <w:bCs/>
          <w:color w:val="auto"/>
          <w:sz w:val="24"/>
          <w:szCs w:val="24"/>
          <w:highlight w:val="none"/>
        </w:rPr>
      </w:pPr>
      <w:r>
        <w:rPr>
          <w:rFonts w:hint="eastAsia"/>
          <w:b/>
          <w:bCs/>
          <w:color w:val="auto"/>
          <w:sz w:val="24"/>
          <w:szCs w:val="24"/>
          <w:highlight w:val="none"/>
          <w:lang w:val="en-US" w:eastAsia="zh-CN"/>
        </w:rPr>
        <w:t>五</w:t>
      </w:r>
      <w:r>
        <w:rPr>
          <w:b/>
          <w:bCs/>
          <w:color w:val="auto"/>
          <w:sz w:val="24"/>
          <w:szCs w:val="24"/>
          <w:highlight w:val="none"/>
        </w:rPr>
        <w:t>、公告期限</w:t>
      </w:r>
    </w:p>
    <w:p w14:paraId="60DE7E32">
      <w:pPr>
        <w:spacing w:line="360" w:lineRule="auto"/>
        <w:rPr>
          <w:color w:val="auto"/>
          <w:sz w:val="24"/>
          <w:szCs w:val="24"/>
          <w:highlight w:val="none"/>
        </w:rPr>
      </w:pPr>
      <w:r>
        <w:rPr>
          <w:rFonts w:hint="eastAsia"/>
          <w:color w:val="auto"/>
          <w:sz w:val="24"/>
          <w:szCs w:val="24"/>
          <w:highlight w:val="none"/>
        </w:rPr>
        <w:t>    自本公告发布之日起</w:t>
      </w:r>
      <w:r>
        <w:rPr>
          <w:rFonts w:hint="eastAsia"/>
          <w:color w:val="auto"/>
          <w:sz w:val="24"/>
          <w:szCs w:val="24"/>
          <w:highlight w:val="none"/>
          <w:lang w:val="en-US" w:eastAsia="zh-CN"/>
        </w:rPr>
        <w:t>5</w:t>
      </w:r>
      <w:r>
        <w:rPr>
          <w:rFonts w:hint="eastAsia"/>
          <w:color w:val="auto"/>
          <w:sz w:val="24"/>
          <w:szCs w:val="24"/>
          <w:highlight w:val="none"/>
        </w:rPr>
        <w:t>个工作日。</w:t>
      </w:r>
    </w:p>
    <w:p w14:paraId="61E01D84">
      <w:pPr>
        <w:spacing w:line="360" w:lineRule="auto"/>
        <w:rPr>
          <w:b/>
          <w:bCs/>
          <w:color w:val="auto"/>
          <w:sz w:val="24"/>
          <w:szCs w:val="24"/>
          <w:highlight w:val="none"/>
        </w:rPr>
      </w:pPr>
      <w:r>
        <w:rPr>
          <w:rFonts w:hint="eastAsia"/>
          <w:b/>
          <w:bCs/>
          <w:color w:val="auto"/>
          <w:sz w:val="24"/>
          <w:szCs w:val="24"/>
          <w:highlight w:val="none"/>
          <w:lang w:val="en-US" w:eastAsia="zh-CN"/>
        </w:rPr>
        <w:t>六</w:t>
      </w:r>
      <w:r>
        <w:rPr>
          <w:b/>
          <w:bCs/>
          <w:color w:val="auto"/>
          <w:sz w:val="24"/>
          <w:szCs w:val="24"/>
          <w:highlight w:val="none"/>
        </w:rPr>
        <w:t>、其他补充事宜</w:t>
      </w:r>
    </w:p>
    <w:p w14:paraId="5D752CC6">
      <w:pPr>
        <w:spacing w:line="360" w:lineRule="auto"/>
        <w:rPr>
          <w:rFonts w:hint="default" w:eastAsia="宋体"/>
          <w:color w:val="auto"/>
          <w:sz w:val="24"/>
          <w:szCs w:val="24"/>
          <w:highlight w:val="none"/>
          <w:lang w:val="en-US" w:eastAsia="zh-CN"/>
        </w:rPr>
      </w:pPr>
      <w:r>
        <w:rPr>
          <w:rFonts w:hint="eastAsia"/>
          <w:color w:val="auto"/>
          <w:sz w:val="24"/>
          <w:szCs w:val="24"/>
          <w:highlight w:val="none"/>
        </w:rPr>
        <w:t>   （1）本项目实行电子招投标，供应商须登录政采云平台申请获取</w:t>
      </w:r>
      <w:r>
        <w:rPr>
          <w:rFonts w:hint="eastAsia"/>
          <w:color w:val="auto"/>
          <w:sz w:val="24"/>
          <w:szCs w:val="24"/>
          <w:highlight w:val="none"/>
          <w:lang w:val="en-US" w:eastAsia="zh-CN"/>
        </w:rPr>
        <w:t>招标</w:t>
      </w:r>
      <w:r>
        <w:rPr>
          <w:rFonts w:hint="eastAsia"/>
          <w:color w:val="auto"/>
          <w:sz w:val="24"/>
          <w:szCs w:val="24"/>
          <w:highlight w:val="none"/>
        </w:rPr>
        <w:t>文件，并通过政采云电子投标客户端制作响应文件，同时自行承担与投标有关的一切费用。（2）各供应商应在开标前确保成为新疆维吾尔自治区政府采购网正式注册入库供应商，并完成CA数字证书申领。因未注册入库、未办理CA数字证书等原因造成无法投标或投标失败等后果由供应商自行承担。（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olor w:val="auto"/>
          <w:sz w:val="24"/>
          <w:szCs w:val="24"/>
          <w:highlight w:val="none"/>
          <w:lang w:val="en-US" w:eastAsia="zh-CN"/>
        </w:rPr>
        <w:t>95763</w:t>
      </w:r>
      <w:r>
        <w:rPr>
          <w:rFonts w:hint="eastAsia"/>
          <w:color w:val="auto"/>
          <w:sz w:val="24"/>
          <w:szCs w:val="24"/>
          <w:highlight w:val="none"/>
        </w:rPr>
        <w:t>进行咨询。（4）本项目采用不见面开标，供应商须在投标截止时间前通过CA在政采云平台上传加密的电子响应文件。（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 </w:t>
      </w:r>
      <w:r>
        <w:rPr>
          <w:rFonts w:hint="eastAsia"/>
          <w:color w:val="auto"/>
          <w:sz w:val="24"/>
          <w:szCs w:val="24"/>
          <w:highlight w:val="none"/>
          <w:lang w:val="en-US" w:eastAsia="zh-CN"/>
        </w:rPr>
        <w:t>其他内容详见招标文件。</w:t>
      </w:r>
    </w:p>
    <w:p w14:paraId="0A507C59">
      <w:pPr>
        <w:spacing w:line="360" w:lineRule="auto"/>
        <w:rPr>
          <w:rFonts w:hint="eastAsia"/>
          <w:b/>
          <w:bCs/>
          <w:color w:val="auto"/>
          <w:sz w:val="21"/>
          <w:szCs w:val="21"/>
          <w:highlight w:val="none"/>
        </w:rPr>
      </w:pPr>
      <w:r>
        <w:rPr>
          <w:rFonts w:hint="eastAsia"/>
          <w:b/>
          <w:bCs/>
          <w:color w:val="auto"/>
          <w:sz w:val="21"/>
          <w:szCs w:val="21"/>
          <w:highlight w:val="none"/>
        </w:rPr>
        <w:t>特别提示：</w:t>
      </w:r>
    </w:p>
    <w:p w14:paraId="4579CB76">
      <w:pPr>
        <w:spacing w:line="360" w:lineRule="auto"/>
        <w:rPr>
          <w:rFonts w:hint="eastAsia"/>
          <w:b/>
          <w:bCs/>
          <w:color w:val="auto"/>
          <w:sz w:val="21"/>
          <w:szCs w:val="21"/>
          <w:highlight w:val="none"/>
        </w:rPr>
      </w:pPr>
      <w:r>
        <w:rPr>
          <w:rFonts w:hint="eastAsia"/>
          <w:b/>
          <w:bCs/>
          <w:color w:val="auto"/>
          <w:sz w:val="21"/>
          <w:szCs w:val="21"/>
          <w:highlight w:val="none"/>
        </w:rPr>
        <w:t>1、采购限额标准以上，200万元以下的货物和服务采购项目、400万元以下的工程采购项目，适宜由中小企业提供的，采购人应当专门面向中小企业采购。</w:t>
      </w:r>
    </w:p>
    <w:p w14:paraId="268DDFD8">
      <w:pPr>
        <w:spacing w:line="360" w:lineRule="auto"/>
        <w:rPr>
          <w:rFonts w:hint="eastAsia"/>
          <w:b/>
          <w:bCs/>
          <w:color w:val="auto"/>
          <w:sz w:val="21"/>
          <w:szCs w:val="21"/>
          <w:highlight w:val="none"/>
        </w:rPr>
      </w:pPr>
      <w:r>
        <w:rPr>
          <w:rFonts w:hint="eastAsia"/>
          <w:b/>
          <w:bCs/>
          <w:color w:val="auto"/>
          <w:sz w:val="21"/>
          <w:szCs w:val="21"/>
          <w:highlight w:val="none"/>
        </w:rPr>
        <w:t>2、超过200万元的货物和服务采购项目，预留该部分采购项目预算总额的30%以上专门面向中小企业采购，其中预留给小微企业的比例不低于60%。</w:t>
      </w:r>
    </w:p>
    <w:p w14:paraId="6FEBACB3">
      <w:pPr>
        <w:spacing w:line="360" w:lineRule="auto"/>
        <w:rPr>
          <w:rFonts w:hint="eastAsia"/>
          <w:b/>
          <w:bCs/>
          <w:color w:val="auto"/>
          <w:sz w:val="21"/>
          <w:szCs w:val="21"/>
          <w:highlight w:val="none"/>
        </w:rPr>
      </w:pPr>
      <w:r>
        <w:rPr>
          <w:rFonts w:hint="eastAsia"/>
          <w:b/>
          <w:bCs/>
          <w:color w:val="auto"/>
          <w:sz w:val="21"/>
          <w:szCs w:val="21"/>
          <w:highlight w:val="none"/>
        </w:rPr>
        <w:t>3、超过400万元的工程采购项目中适宜由中小企业提供的，预留该部分采购项目预算总额的40%以上专门面向中小企业采购，其中预留给小微企业的比例不低于60%。</w:t>
      </w:r>
    </w:p>
    <w:p w14:paraId="3FF6FE75">
      <w:pPr>
        <w:spacing w:line="360" w:lineRule="auto"/>
        <w:rPr>
          <w:rFonts w:hint="eastAsia"/>
          <w:b/>
          <w:bCs/>
          <w:color w:val="auto"/>
          <w:sz w:val="21"/>
          <w:szCs w:val="21"/>
          <w:highlight w:val="none"/>
        </w:rPr>
      </w:pPr>
      <w:r>
        <w:rPr>
          <w:rFonts w:hint="eastAsia"/>
          <w:b/>
          <w:bCs/>
          <w:color w:val="auto"/>
          <w:sz w:val="21"/>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B43003">
      <w:pPr>
        <w:spacing w:line="360" w:lineRule="auto"/>
        <w:rPr>
          <w:rFonts w:hint="eastAsia"/>
          <w:b/>
          <w:bCs/>
          <w:color w:val="auto"/>
          <w:sz w:val="21"/>
          <w:szCs w:val="21"/>
          <w:highlight w:val="none"/>
        </w:rPr>
      </w:pPr>
      <w:r>
        <w:rPr>
          <w:rFonts w:hint="eastAsia"/>
          <w:b/>
          <w:bCs/>
          <w:color w:val="auto"/>
          <w:sz w:val="21"/>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72BF976">
      <w:pPr>
        <w:spacing w:line="360" w:lineRule="auto"/>
        <w:rPr>
          <w:b/>
          <w:bCs/>
          <w:color w:val="auto"/>
          <w:sz w:val="24"/>
          <w:szCs w:val="24"/>
          <w:highlight w:val="none"/>
        </w:rPr>
      </w:pPr>
      <w:r>
        <w:rPr>
          <w:rFonts w:hint="eastAsia"/>
          <w:b/>
          <w:bCs/>
          <w:color w:val="auto"/>
          <w:sz w:val="24"/>
          <w:szCs w:val="24"/>
          <w:highlight w:val="none"/>
          <w:lang w:val="en-US" w:eastAsia="zh-CN"/>
        </w:rPr>
        <w:t>七</w:t>
      </w:r>
      <w:r>
        <w:rPr>
          <w:b/>
          <w:bCs/>
          <w:color w:val="auto"/>
          <w:sz w:val="24"/>
          <w:szCs w:val="24"/>
          <w:highlight w:val="none"/>
        </w:rPr>
        <w:t>、对本次采购提出询问，请按以下方式联系</w:t>
      </w:r>
    </w:p>
    <w:p w14:paraId="56344D43">
      <w:pPr>
        <w:spacing w:line="360" w:lineRule="auto"/>
        <w:rPr>
          <w:rFonts w:hint="eastAsia"/>
          <w:color w:val="auto"/>
          <w:sz w:val="24"/>
          <w:szCs w:val="24"/>
          <w:highlight w:val="none"/>
        </w:rPr>
      </w:pPr>
      <w:r>
        <w:rPr>
          <w:rFonts w:hint="eastAsia"/>
          <w:color w:val="auto"/>
          <w:sz w:val="24"/>
          <w:szCs w:val="24"/>
          <w:highlight w:val="none"/>
        </w:rPr>
        <w:t>1.采购人信息</w:t>
      </w:r>
    </w:p>
    <w:p w14:paraId="6965843E">
      <w:pPr>
        <w:spacing w:line="360" w:lineRule="auto"/>
        <w:rPr>
          <w:rFonts w:hint="eastAsia"/>
          <w:color w:val="auto"/>
          <w:sz w:val="24"/>
          <w:szCs w:val="24"/>
          <w:highlight w:val="none"/>
        </w:rPr>
      </w:pPr>
      <w:r>
        <w:rPr>
          <w:rFonts w:hint="eastAsia"/>
          <w:color w:val="auto"/>
          <w:sz w:val="24"/>
          <w:szCs w:val="24"/>
          <w:highlight w:val="none"/>
        </w:rPr>
        <w:t>名 称：阿瓦提县人民医院</w:t>
      </w:r>
    </w:p>
    <w:p w14:paraId="2939F260">
      <w:pPr>
        <w:spacing w:line="360" w:lineRule="auto"/>
        <w:rPr>
          <w:rFonts w:hint="eastAsia"/>
          <w:color w:val="auto"/>
          <w:sz w:val="24"/>
          <w:szCs w:val="24"/>
          <w:highlight w:val="none"/>
        </w:rPr>
      </w:pPr>
      <w:r>
        <w:rPr>
          <w:rFonts w:hint="eastAsia"/>
          <w:color w:val="auto"/>
          <w:sz w:val="24"/>
          <w:szCs w:val="24"/>
          <w:highlight w:val="none"/>
        </w:rPr>
        <w:t>地 址：阿瓦提县拥军路30号</w:t>
      </w:r>
    </w:p>
    <w:p w14:paraId="0A21ED22">
      <w:pPr>
        <w:spacing w:line="360" w:lineRule="auto"/>
        <w:rPr>
          <w:rFonts w:hint="eastAsia"/>
          <w:color w:val="auto"/>
          <w:sz w:val="24"/>
          <w:szCs w:val="24"/>
          <w:highlight w:val="none"/>
        </w:rPr>
      </w:pPr>
      <w:r>
        <w:rPr>
          <w:rFonts w:hint="eastAsia"/>
          <w:color w:val="auto"/>
          <w:sz w:val="24"/>
          <w:szCs w:val="24"/>
          <w:highlight w:val="none"/>
        </w:rPr>
        <w:t>联系方式：18293566306</w:t>
      </w:r>
    </w:p>
    <w:p w14:paraId="3925B85A">
      <w:pPr>
        <w:spacing w:line="360" w:lineRule="auto"/>
        <w:rPr>
          <w:rFonts w:hint="eastAsia"/>
          <w:color w:val="auto"/>
          <w:sz w:val="24"/>
          <w:szCs w:val="24"/>
          <w:highlight w:val="none"/>
        </w:rPr>
      </w:pPr>
      <w:r>
        <w:rPr>
          <w:rFonts w:hint="eastAsia"/>
          <w:color w:val="auto"/>
          <w:sz w:val="24"/>
          <w:szCs w:val="24"/>
          <w:highlight w:val="none"/>
        </w:rPr>
        <w:t>2.采购代理机构信息</w:t>
      </w:r>
    </w:p>
    <w:p w14:paraId="74ECA881">
      <w:pPr>
        <w:spacing w:line="360" w:lineRule="auto"/>
        <w:rPr>
          <w:rFonts w:hint="eastAsia"/>
          <w:color w:val="auto"/>
          <w:sz w:val="24"/>
          <w:szCs w:val="24"/>
          <w:highlight w:val="none"/>
        </w:rPr>
      </w:pPr>
      <w:r>
        <w:rPr>
          <w:rFonts w:hint="eastAsia"/>
          <w:color w:val="auto"/>
          <w:sz w:val="24"/>
          <w:szCs w:val="24"/>
          <w:highlight w:val="none"/>
        </w:rPr>
        <w:t>名 称：阿克苏地区振远项目咨询管理有限公司</w:t>
      </w:r>
    </w:p>
    <w:p w14:paraId="3B8948DC">
      <w:pPr>
        <w:spacing w:line="360" w:lineRule="auto"/>
        <w:rPr>
          <w:rFonts w:hint="eastAsia"/>
          <w:color w:val="auto"/>
          <w:sz w:val="24"/>
          <w:szCs w:val="24"/>
          <w:highlight w:val="none"/>
        </w:rPr>
      </w:pPr>
      <w:r>
        <w:rPr>
          <w:rFonts w:hint="eastAsia"/>
          <w:color w:val="auto"/>
          <w:sz w:val="24"/>
          <w:szCs w:val="24"/>
          <w:highlight w:val="none"/>
        </w:rPr>
        <w:t>地 址：</w:t>
      </w:r>
      <w:r>
        <w:rPr>
          <w:rFonts w:hint="eastAsia"/>
          <w:color w:val="auto"/>
          <w:sz w:val="24"/>
          <w:szCs w:val="24"/>
          <w:highlight w:val="none"/>
          <w:lang w:val="zh-CN" w:eastAsia="zh-CN"/>
        </w:rPr>
        <w:t>阿克苏市农一师第四家属院1号楼2单元19B01号</w:t>
      </w:r>
    </w:p>
    <w:p w14:paraId="653F9A86">
      <w:pPr>
        <w:spacing w:line="360" w:lineRule="auto"/>
        <w:rPr>
          <w:rFonts w:hint="default"/>
          <w:color w:val="auto"/>
          <w:sz w:val="24"/>
          <w:szCs w:val="24"/>
          <w:highlight w:val="none"/>
          <w:lang w:val="en-US"/>
        </w:rPr>
      </w:pPr>
      <w:r>
        <w:rPr>
          <w:rFonts w:hint="eastAsia"/>
          <w:color w:val="auto"/>
          <w:sz w:val="24"/>
          <w:szCs w:val="24"/>
          <w:highlight w:val="none"/>
        </w:rPr>
        <w:t>联系方式：</w:t>
      </w:r>
      <w:r>
        <w:rPr>
          <w:rFonts w:hint="eastAsia"/>
          <w:color w:val="auto"/>
          <w:sz w:val="24"/>
          <w:szCs w:val="24"/>
          <w:highlight w:val="none"/>
          <w:lang w:val="en-US" w:eastAsia="zh-CN"/>
        </w:rPr>
        <w:t>15569365500</w:t>
      </w:r>
    </w:p>
    <w:p w14:paraId="462B1C22">
      <w:pPr>
        <w:spacing w:line="360" w:lineRule="auto"/>
        <w:rPr>
          <w:rFonts w:hint="eastAsia"/>
          <w:color w:val="auto"/>
          <w:sz w:val="24"/>
          <w:szCs w:val="24"/>
          <w:highlight w:val="none"/>
        </w:rPr>
      </w:pPr>
      <w:r>
        <w:rPr>
          <w:rFonts w:hint="eastAsia"/>
          <w:color w:val="auto"/>
          <w:sz w:val="24"/>
          <w:szCs w:val="24"/>
          <w:highlight w:val="none"/>
        </w:rPr>
        <w:t>3.项目联系方式</w:t>
      </w:r>
    </w:p>
    <w:p w14:paraId="5C52F539">
      <w:pPr>
        <w:spacing w:line="360" w:lineRule="auto"/>
        <w:rPr>
          <w:rFonts w:hint="eastAsia"/>
          <w:color w:val="auto"/>
          <w:sz w:val="24"/>
          <w:szCs w:val="24"/>
          <w:highlight w:val="none"/>
        </w:rPr>
      </w:pPr>
      <w:r>
        <w:rPr>
          <w:rFonts w:hint="eastAsia"/>
          <w:color w:val="auto"/>
          <w:sz w:val="24"/>
          <w:szCs w:val="24"/>
          <w:highlight w:val="none"/>
        </w:rPr>
        <w:t>项目联系人：</w:t>
      </w:r>
      <w:r>
        <w:rPr>
          <w:rFonts w:hint="eastAsia"/>
          <w:color w:val="auto"/>
          <w:sz w:val="24"/>
          <w:szCs w:val="24"/>
          <w:highlight w:val="none"/>
          <w:lang w:val="en-US" w:eastAsia="zh-CN"/>
        </w:rPr>
        <w:t>胡丹</w:t>
      </w:r>
    </w:p>
    <w:p w14:paraId="5BA192E6">
      <w:pPr>
        <w:spacing w:line="360" w:lineRule="auto"/>
        <w:rPr>
          <w:rFonts w:hint="eastAsia" w:ascii="宋体" w:hAnsi="宋体" w:eastAsia="宋体" w:cs="宋体"/>
          <w:b/>
          <w:bCs/>
          <w:color w:val="auto"/>
          <w:sz w:val="36"/>
          <w:szCs w:val="36"/>
          <w:highlight w:val="none"/>
          <w:lang w:eastAsia="zh-CN"/>
        </w:rPr>
      </w:pPr>
      <w:r>
        <w:rPr>
          <w:rFonts w:hint="eastAsia"/>
          <w:color w:val="auto"/>
          <w:sz w:val="24"/>
          <w:szCs w:val="24"/>
          <w:highlight w:val="none"/>
        </w:rPr>
        <w:t>电 话：</w:t>
      </w:r>
      <w:r>
        <w:rPr>
          <w:rFonts w:hint="eastAsia"/>
          <w:color w:val="auto"/>
          <w:sz w:val="24"/>
          <w:szCs w:val="24"/>
          <w:highlight w:val="none"/>
          <w:lang w:val="en-US" w:eastAsia="zh-CN"/>
        </w:rPr>
        <w:t>15569365500</w:t>
      </w:r>
    </w:p>
    <w:p w14:paraId="51A0E985">
      <w:pPr>
        <w:numPr>
          <w:ilvl w:val="0"/>
          <w:numId w:val="0"/>
        </w:numPr>
        <w:spacing w:afterLines="100" w:line="400" w:lineRule="exact"/>
        <w:ind w:leftChars="0"/>
        <w:jc w:val="center"/>
        <w:outlineLvl w:val="1"/>
        <w:rPr>
          <w:rFonts w:hint="eastAsia" w:ascii="宋体" w:hAnsi="宋体" w:eastAsia="宋体" w:cs="宋体"/>
          <w:b/>
          <w:bCs/>
          <w:color w:val="auto"/>
          <w:sz w:val="36"/>
          <w:szCs w:val="36"/>
          <w:highlight w:val="none"/>
          <w:lang w:eastAsia="zh-CN"/>
        </w:rPr>
      </w:pPr>
    </w:p>
    <w:p w14:paraId="33EAFA6F">
      <w:pPr>
        <w:numPr>
          <w:ilvl w:val="0"/>
          <w:numId w:val="0"/>
        </w:numPr>
        <w:spacing w:afterLines="100" w:line="400" w:lineRule="exact"/>
        <w:ind w:leftChars="0"/>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第二章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 xml:space="preserve"> 投标人须知</w:t>
      </w:r>
      <w:bookmarkEnd w:id="10"/>
      <w:bookmarkStart w:id="11" w:name="_Toc7536"/>
      <w:bookmarkStart w:id="12" w:name="_Toc12494"/>
    </w:p>
    <w:p w14:paraId="6B03788D">
      <w:pPr>
        <w:numPr>
          <w:ilvl w:val="0"/>
          <w:numId w:val="0"/>
        </w:numPr>
        <w:spacing w:afterLines="100" w:line="400" w:lineRule="exact"/>
        <w:ind w:leftChars="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投标人须知前附表</w:t>
      </w:r>
      <w:bookmarkEnd w:id="9"/>
      <w:bookmarkEnd w:id="11"/>
      <w:bookmarkEnd w:id="12"/>
    </w:p>
    <w:tbl>
      <w:tblPr>
        <w:tblStyle w:val="18"/>
        <w:tblW w:w="10092" w:type="dxa"/>
        <w:jc w:val="center"/>
        <w:shd w:val="clear" w:color="auto" w:fill="auto"/>
        <w:tblLayout w:type="fixed"/>
        <w:tblCellMar>
          <w:top w:w="0" w:type="dxa"/>
          <w:left w:w="108" w:type="dxa"/>
          <w:bottom w:w="0" w:type="dxa"/>
          <w:right w:w="108" w:type="dxa"/>
        </w:tblCellMar>
      </w:tblPr>
      <w:tblGrid>
        <w:gridCol w:w="966"/>
        <w:gridCol w:w="2755"/>
        <w:gridCol w:w="6371"/>
      </w:tblGrid>
      <w:tr w14:paraId="1B5B8B01">
        <w:tblPrEx>
          <w:shd w:val="clear" w:color="auto" w:fill="auto"/>
          <w:tblCellMar>
            <w:top w:w="0" w:type="dxa"/>
            <w:left w:w="108" w:type="dxa"/>
            <w:bottom w:w="0" w:type="dxa"/>
            <w:right w:w="108" w:type="dxa"/>
          </w:tblCellMar>
        </w:tblPrEx>
        <w:trPr>
          <w:trHeight w:val="5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01BF9">
            <w:pPr>
              <w:tabs>
                <w:tab w:val="left" w:pos="7665"/>
              </w:tabs>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AAE71">
            <w:pPr>
              <w:tabs>
                <w:tab w:val="left" w:pos="7665"/>
              </w:tabs>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条款名称</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ABA14">
            <w:pPr>
              <w:tabs>
                <w:tab w:val="left" w:pos="7665"/>
              </w:tabs>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编列内容</w:t>
            </w:r>
          </w:p>
        </w:tc>
      </w:tr>
      <w:tr w14:paraId="5F52C315">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9A4B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E57B5">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4E28B">
            <w:pPr>
              <w:adjustRightInd w:val="0"/>
              <w:snapToGrid w:val="0"/>
              <w:spacing w:before="120" w:beforeLines="50" w:line="24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color w:val="auto"/>
                <w:sz w:val="24"/>
                <w:szCs w:val="24"/>
                <w:highlight w:val="none"/>
              </w:rPr>
              <w:t>阿瓦提县人民医院</w:t>
            </w:r>
          </w:p>
          <w:p w14:paraId="276B9A6F">
            <w:pPr>
              <w:adjustRightInd w:val="0"/>
              <w:snapToGrid w:val="0"/>
              <w:spacing w:before="120" w:beforeLines="50" w:line="24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    址：</w:t>
            </w:r>
            <w:r>
              <w:rPr>
                <w:rFonts w:hint="eastAsia"/>
                <w:color w:val="auto"/>
                <w:sz w:val="24"/>
                <w:szCs w:val="24"/>
                <w:highlight w:val="none"/>
              </w:rPr>
              <w:t>阿瓦提县拥军路30号</w:t>
            </w:r>
          </w:p>
          <w:p w14:paraId="2F1F512A">
            <w:pPr>
              <w:adjustRightInd w:val="0"/>
              <w:snapToGrid w:val="0"/>
              <w:spacing w:before="120" w:beforeLines="50" w:line="240" w:lineRule="auto"/>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联 系 人：宝莉园 </w:t>
            </w:r>
          </w:p>
          <w:p w14:paraId="3C617F76">
            <w:pPr>
              <w:spacing w:line="360" w:lineRule="auto"/>
              <w:rPr>
                <w:rFonts w:hint="eastAsia"/>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联系方式：</w:t>
            </w:r>
            <w:r>
              <w:rPr>
                <w:rFonts w:hint="eastAsia"/>
                <w:color w:val="auto"/>
                <w:sz w:val="24"/>
                <w:szCs w:val="24"/>
                <w:highlight w:val="none"/>
              </w:rPr>
              <w:t>18293566306</w:t>
            </w:r>
          </w:p>
        </w:tc>
      </w:tr>
      <w:tr w14:paraId="0CFD6B12">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52F4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67D4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988DF9">
            <w:pPr>
              <w:spacing w:line="360" w:lineRule="auto"/>
              <w:rPr>
                <w:rFonts w:hint="eastAsia"/>
                <w:color w:val="auto"/>
                <w:sz w:val="24"/>
                <w:szCs w:val="24"/>
                <w:highlight w:val="none"/>
                <w:lang w:val="zh-CN" w:eastAsia="zh-CN"/>
              </w:rPr>
            </w:pPr>
            <w:r>
              <w:rPr>
                <w:rFonts w:hint="eastAsia"/>
                <w:color w:val="auto"/>
                <w:sz w:val="24"/>
                <w:szCs w:val="24"/>
                <w:highlight w:val="none"/>
                <w:lang w:val="zh-CN" w:eastAsia="zh-CN"/>
              </w:rPr>
              <w:t>名称：阿克苏地区振远项目咨询管理有限公司</w:t>
            </w:r>
          </w:p>
          <w:p w14:paraId="4727B6C3">
            <w:pPr>
              <w:spacing w:line="360" w:lineRule="auto"/>
              <w:rPr>
                <w:rFonts w:hint="eastAsia"/>
                <w:color w:val="auto"/>
                <w:sz w:val="24"/>
                <w:szCs w:val="24"/>
                <w:highlight w:val="none"/>
                <w:lang w:val="zh-CN" w:eastAsia="zh-CN"/>
              </w:rPr>
            </w:pPr>
            <w:r>
              <w:rPr>
                <w:rFonts w:hint="eastAsia"/>
                <w:color w:val="auto"/>
                <w:sz w:val="24"/>
                <w:szCs w:val="24"/>
                <w:highlight w:val="none"/>
                <w:lang w:val="zh-CN" w:eastAsia="zh-CN"/>
              </w:rPr>
              <w:t>地址：</w:t>
            </w:r>
            <w:r>
              <w:rPr>
                <w:rFonts w:hint="eastAsia"/>
                <w:color w:val="auto"/>
                <w:sz w:val="24"/>
                <w:szCs w:val="24"/>
                <w:highlight w:val="none"/>
              </w:rPr>
              <w:t>阿克苏市农一师第四家属院1号楼2单元19B01号</w:t>
            </w:r>
          </w:p>
          <w:p w14:paraId="6B9F730C">
            <w:pPr>
              <w:spacing w:line="360" w:lineRule="auto"/>
              <w:rPr>
                <w:rFonts w:hint="default"/>
                <w:color w:val="auto"/>
                <w:sz w:val="24"/>
                <w:szCs w:val="24"/>
                <w:highlight w:val="none"/>
                <w:lang w:val="en-US" w:eastAsia="zh-CN"/>
              </w:rPr>
            </w:pPr>
            <w:r>
              <w:rPr>
                <w:rFonts w:hint="eastAsia"/>
                <w:color w:val="auto"/>
                <w:sz w:val="24"/>
                <w:szCs w:val="24"/>
                <w:highlight w:val="none"/>
                <w:lang w:val="zh-CN" w:eastAsia="zh-CN"/>
              </w:rPr>
              <w:t>联系人：</w:t>
            </w:r>
            <w:r>
              <w:rPr>
                <w:rFonts w:hint="eastAsia"/>
                <w:color w:val="auto"/>
                <w:sz w:val="24"/>
                <w:szCs w:val="24"/>
                <w:highlight w:val="none"/>
                <w:lang w:val="en-US" w:eastAsia="zh-CN"/>
              </w:rPr>
              <w:t>胡丹</w:t>
            </w:r>
          </w:p>
          <w:p w14:paraId="24DB5F58">
            <w:pPr>
              <w:spacing w:line="360" w:lineRule="auto"/>
              <w:rPr>
                <w:rFonts w:hint="default" w:eastAsia="宋体"/>
                <w:color w:val="auto"/>
                <w:sz w:val="24"/>
                <w:szCs w:val="24"/>
                <w:highlight w:val="none"/>
                <w:lang w:val="en-US" w:eastAsia="zh-CN"/>
              </w:rPr>
            </w:pPr>
            <w:r>
              <w:rPr>
                <w:rFonts w:hint="eastAsia"/>
                <w:color w:val="auto"/>
                <w:sz w:val="24"/>
                <w:szCs w:val="24"/>
                <w:highlight w:val="none"/>
                <w:lang w:val="zh-CN" w:eastAsia="zh-CN"/>
              </w:rPr>
              <w:t>电</w:t>
            </w:r>
            <w:r>
              <w:rPr>
                <w:rFonts w:hint="eastAsia"/>
                <w:color w:val="auto"/>
                <w:sz w:val="24"/>
                <w:szCs w:val="24"/>
                <w:highlight w:val="none"/>
                <w:lang w:val="en-US" w:eastAsia="zh-CN"/>
              </w:rPr>
              <w:t xml:space="preserve">  </w:t>
            </w:r>
            <w:r>
              <w:rPr>
                <w:rFonts w:hint="eastAsia"/>
                <w:color w:val="auto"/>
                <w:sz w:val="24"/>
                <w:szCs w:val="24"/>
                <w:highlight w:val="none"/>
                <w:lang w:val="zh-CN" w:eastAsia="zh-CN"/>
              </w:rPr>
              <w:t>话：</w:t>
            </w:r>
            <w:r>
              <w:rPr>
                <w:rFonts w:hint="eastAsia"/>
                <w:color w:val="auto"/>
                <w:sz w:val="24"/>
                <w:szCs w:val="24"/>
                <w:highlight w:val="none"/>
                <w:lang w:val="en-US" w:eastAsia="zh-CN"/>
              </w:rPr>
              <w:t>15569365500</w:t>
            </w:r>
          </w:p>
        </w:tc>
      </w:tr>
      <w:tr w14:paraId="181C6583">
        <w:tblPrEx>
          <w:shd w:val="clear" w:color="auto" w:fill="auto"/>
          <w:tblCellMar>
            <w:top w:w="0" w:type="dxa"/>
            <w:left w:w="108" w:type="dxa"/>
            <w:bottom w:w="0" w:type="dxa"/>
            <w:right w:w="108" w:type="dxa"/>
          </w:tblCellMar>
        </w:tblPrEx>
        <w:trPr>
          <w:trHeight w:val="460" w:hRule="atLeast"/>
          <w:jc w:val="center"/>
        </w:trPr>
        <w:tc>
          <w:tcPr>
            <w:tcW w:w="966" w:type="dxa"/>
            <w:vMerge w:val="restart"/>
            <w:tcBorders>
              <w:top w:val="single" w:color="auto" w:sz="4" w:space="0"/>
              <w:left w:val="single" w:color="auto" w:sz="4" w:space="0"/>
              <w:right w:val="single" w:color="auto" w:sz="4" w:space="0"/>
            </w:tcBorders>
            <w:shd w:val="clear" w:color="auto" w:fill="auto"/>
            <w:noWrap w:val="0"/>
            <w:vAlign w:val="center"/>
          </w:tcPr>
          <w:p w14:paraId="3AA6B443">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64AE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77191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“2025年阿瓦提县人民医院门诊改造及设备项目”泌尿外科采购一批医疗设备</w:t>
            </w:r>
          </w:p>
        </w:tc>
      </w:tr>
      <w:tr w14:paraId="237D4D57">
        <w:tblPrEx>
          <w:tblCellMar>
            <w:top w:w="0" w:type="dxa"/>
            <w:left w:w="108" w:type="dxa"/>
            <w:bottom w:w="0" w:type="dxa"/>
            <w:right w:w="108" w:type="dxa"/>
          </w:tblCellMar>
        </w:tblPrEx>
        <w:trPr>
          <w:trHeight w:val="450" w:hRule="atLeast"/>
          <w:jc w:val="center"/>
        </w:trPr>
        <w:tc>
          <w:tcPr>
            <w:tcW w:w="966" w:type="dxa"/>
            <w:vMerge w:val="continue"/>
            <w:tcBorders>
              <w:left w:val="single" w:color="auto" w:sz="4" w:space="0"/>
              <w:bottom w:val="single" w:color="auto" w:sz="4" w:space="0"/>
              <w:right w:val="single" w:color="auto" w:sz="4" w:space="0"/>
            </w:tcBorders>
            <w:shd w:val="clear" w:color="auto" w:fill="auto"/>
            <w:noWrap w:val="0"/>
            <w:vAlign w:val="center"/>
          </w:tcPr>
          <w:p w14:paraId="59FB34B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1D2C4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1446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AKSZY-2025-CG002</w:t>
            </w:r>
          </w:p>
        </w:tc>
      </w:tr>
      <w:tr w14:paraId="426055E5">
        <w:tblPrEx>
          <w:tblCellMar>
            <w:top w:w="0" w:type="dxa"/>
            <w:left w:w="108" w:type="dxa"/>
            <w:bottom w:w="0" w:type="dxa"/>
            <w:right w:w="108" w:type="dxa"/>
          </w:tblCellMar>
        </w:tblPrEx>
        <w:trPr>
          <w:trHeight w:val="5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A3648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2A1CB">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资金来源</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0B1364">
            <w:pPr>
              <w:spacing w:line="400" w:lineRule="exact"/>
              <w:rPr>
                <w:rFonts w:hint="default" w:ascii="宋体" w:hAnsi="宋体" w:eastAsia="宋体" w:cs="宋体"/>
                <w:color w:val="auto"/>
                <w:sz w:val="24"/>
                <w:szCs w:val="24"/>
                <w:highlight w:val="none"/>
                <w:lang w:val="en-US"/>
              </w:rPr>
            </w:pPr>
            <w:r>
              <w:rPr>
                <w:rFonts w:hint="eastAsia" w:ascii="宋体" w:hAnsi="宋体" w:cs="宋体"/>
                <w:b/>
                <w:bCs/>
                <w:color w:val="auto"/>
                <w:sz w:val="24"/>
                <w:highlight w:val="none"/>
                <w:lang w:val="en-US" w:eastAsia="zh-CN"/>
              </w:rPr>
              <w:t>财政资金</w:t>
            </w:r>
          </w:p>
        </w:tc>
      </w:tr>
      <w:tr w14:paraId="61958684">
        <w:tblPrEx>
          <w:tblCellMar>
            <w:top w:w="0" w:type="dxa"/>
            <w:left w:w="108" w:type="dxa"/>
            <w:bottom w:w="0" w:type="dxa"/>
            <w:right w:w="108" w:type="dxa"/>
          </w:tblCellMar>
        </w:tblPrEx>
        <w:trPr>
          <w:trHeight w:val="1014"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C074D">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6B523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C016EB">
            <w:pPr>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尿动力学分析仪、红外光谱结石成分分析仪等采购一批医疗设备（详见采购清单及参数）</w:t>
            </w:r>
            <w:r>
              <w:rPr>
                <w:rFonts w:hint="eastAsia"/>
                <w:color w:val="auto"/>
                <w:sz w:val="24"/>
                <w:szCs w:val="24"/>
                <w:highlight w:val="none"/>
              </w:rPr>
              <w:t> </w:t>
            </w:r>
          </w:p>
        </w:tc>
      </w:tr>
      <w:tr w14:paraId="5A7A776A">
        <w:tblPrEx>
          <w:tblCellMar>
            <w:top w:w="0" w:type="dxa"/>
            <w:left w:w="108" w:type="dxa"/>
            <w:bottom w:w="0" w:type="dxa"/>
            <w:right w:w="108" w:type="dxa"/>
          </w:tblCellMar>
        </w:tblPrEx>
        <w:trPr>
          <w:trHeight w:val="5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3A950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83017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F1AC04">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小写：2039917.00元（贰佰零叁万玖仟玖佰壹拾柒元整）</w:t>
            </w:r>
          </w:p>
          <w:p w14:paraId="66F96F2E">
            <w:pPr>
              <w:keepNext w:val="0"/>
              <w:keepLines w:val="0"/>
              <w:widowControl/>
              <w:suppressLineNumbers w:val="0"/>
              <w:jc w:val="left"/>
              <w:rPr>
                <w:rFonts w:hint="eastAsia"/>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投标人投标报价高于预算金额的为无效投标</w:t>
            </w:r>
          </w:p>
        </w:tc>
      </w:tr>
      <w:tr w14:paraId="59A89AE5">
        <w:tblPrEx>
          <w:tblCellMar>
            <w:top w:w="0" w:type="dxa"/>
            <w:left w:w="108" w:type="dxa"/>
            <w:bottom w:w="0" w:type="dxa"/>
            <w:right w:w="108" w:type="dxa"/>
          </w:tblCellMar>
        </w:tblPrEx>
        <w:trPr>
          <w:trHeight w:val="5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A26D0">
            <w:pPr>
              <w:numPr>
                <w:ilvl w:val="0"/>
                <w:numId w:val="0"/>
              </w:numPr>
              <w:spacing w:line="40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B4BAD6">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付款方式</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E0B7F9">
            <w:pPr>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以甲乙双方签订合同为准</w:t>
            </w:r>
          </w:p>
        </w:tc>
      </w:tr>
      <w:tr w14:paraId="089383D4">
        <w:tblPrEx>
          <w:shd w:val="clear" w:color="auto" w:fill="auto"/>
          <w:tblCellMar>
            <w:top w:w="0" w:type="dxa"/>
            <w:left w:w="108" w:type="dxa"/>
            <w:bottom w:w="0" w:type="dxa"/>
            <w:right w:w="108" w:type="dxa"/>
          </w:tblCellMar>
        </w:tblPrEx>
        <w:trPr>
          <w:trHeight w:val="53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10BC5">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0FB3B5">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★合同履行期限</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D7013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签订合同后 </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 日内完成供货、安装、调试、验收合格</w:t>
            </w:r>
          </w:p>
        </w:tc>
      </w:tr>
      <w:tr w14:paraId="0538D2E4">
        <w:tblPrEx>
          <w:tblCellMar>
            <w:top w:w="0" w:type="dxa"/>
            <w:left w:w="108" w:type="dxa"/>
            <w:bottom w:w="0" w:type="dxa"/>
            <w:right w:w="108" w:type="dxa"/>
          </w:tblCellMar>
        </w:tblPrEx>
        <w:trPr>
          <w:trHeight w:val="62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C092B5">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4259A3">
            <w:pPr>
              <w:spacing w:line="4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E8C61">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采购人指定地点</w:t>
            </w:r>
          </w:p>
        </w:tc>
      </w:tr>
      <w:tr w14:paraId="180ADDE8">
        <w:tblPrEx>
          <w:shd w:val="clear" w:color="auto" w:fill="auto"/>
          <w:tblCellMar>
            <w:top w:w="0" w:type="dxa"/>
            <w:left w:w="108" w:type="dxa"/>
            <w:bottom w:w="0" w:type="dxa"/>
            <w:right w:w="108" w:type="dxa"/>
          </w:tblCellMar>
        </w:tblPrEx>
        <w:trPr>
          <w:trHeight w:val="62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006E74">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EC7F99">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维</w:t>
            </w:r>
            <w:r>
              <w:rPr>
                <w:rFonts w:hint="eastAsia" w:ascii="宋体" w:hAnsi="宋体" w:cs="宋体"/>
                <w:color w:val="auto"/>
                <w:sz w:val="24"/>
                <w:szCs w:val="24"/>
                <w:highlight w:val="none"/>
                <w:lang w:eastAsia="zh-CN"/>
              </w:rPr>
              <w:t>保期及质量要求</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E7BB0">
            <w:pPr>
              <w:spacing w:line="400" w:lineRule="exact"/>
              <w:rPr>
                <w:rFonts w:hint="eastAsia"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维</w:t>
            </w:r>
            <w:r>
              <w:rPr>
                <w:rFonts w:hint="eastAsia" w:ascii="宋体" w:hAnsi="宋体" w:cs="宋体"/>
                <w:color w:val="auto"/>
                <w:sz w:val="24"/>
                <w:szCs w:val="24"/>
                <w:highlight w:val="none"/>
                <w:lang w:eastAsia="zh-CN"/>
              </w:rPr>
              <w:t>保期</w:t>
            </w:r>
            <w:r>
              <w:rPr>
                <w:rFonts w:hint="eastAsia" w:ascii="宋体" w:hAnsi="宋体" w:cs="宋体"/>
                <w:color w:val="auto"/>
                <w:sz w:val="24"/>
                <w:highlight w:val="none"/>
                <w:lang w:val="en-US" w:eastAsia="zh-CN"/>
              </w:rPr>
              <w:t>3年</w:t>
            </w:r>
          </w:p>
          <w:p w14:paraId="0A5C9ED7">
            <w:pPr>
              <w:keepNext w:val="0"/>
              <w:keepLines w:val="0"/>
              <w:widowControl/>
              <w:suppressLineNumbers w:val="0"/>
              <w:jc w:val="left"/>
              <w:rPr>
                <w:color w:val="auto"/>
                <w:highlight w:val="none"/>
              </w:rPr>
            </w:pPr>
            <w:r>
              <w:rPr>
                <w:rFonts w:hint="eastAsia" w:ascii="宋体" w:hAnsi="宋体" w:eastAsia="宋体" w:cs="宋体"/>
                <w:color w:val="auto"/>
                <w:kern w:val="2"/>
                <w:sz w:val="24"/>
                <w:szCs w:val="24"/>
                <w:highlight w:val="none"/>
                <w:lang w:val="en-US" w:eastAsia="zh-CN" w:bidi="ar-SA"/>
              </w:rPr>
              <w:t>质量要求：符合国家及行业质量验收合格标准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 xml:space="preserve">并能通过 </w:t>
            </w:r>
          </w:p>
          <w:p w14:paraId="58F0818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当地主管部门及委托方审查验收。</w:t>
            </w:r>
          </w:p>
          <w:p w14:paraId="52BE0207">
            <w:pPr>
              <w:spacing w:line="400" w:lineRule="exact"/>
              <w:rPr>
                <w:rFonts w:hint="default" w:ascii="宋体" w:hAnsi="宋体" w:eastAsia="宋体" w:cs="宋体"/>
                <w:color w:val="auto"/>
                <w:sz w:val="24"/>
                <w:highlight w:val="none"/>
                <w:lang w:val="en-US" w:eastAsia="zh-CN"/>
              </w:rPr>
            </w:pPr>
          </w:p>
        </w:tc>
      </w:tr>
      <w:tr w14:paraId="358607BD">
        <w:tblPrEx>
          <w:tblCellMar>
            <w:top w:w="0" w:type="dxa"/>
            <w:left w:w="108" w:type="dxa"/>
            <w:bottom w:w="0" w:type="dxa"/>
            <w:right w:w="108" w:type="dxa"/>
          </w:tblCellMar>
        </w:tblPrEx>
        <w:trPr>
          <w:trHeight w:val="98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D86599">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F41FC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是否专门面向中小企业</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0ED14">
            <w:pPr>
              <w:pStyle w:val="41"/>
              <w:keepNext w:val="0"/>
              <w:keepLines w:val="0"/>
              <w:pageBreakBefore w:val="0"/>
              <w:numPr>
                <w:ilvl w:val="0"/>
                <w:numId w:val="0"/>
              </w:numPr>
              <w:wordWrap/>
              <w:overflowPunct/>
              <w:topLinePunct w:val="0"/>
              <w:bidi w:val="0"/>
              <w:adjustRightInd w:val="0"/>
              <w:spacing w:before="117" w:line="360" w:lineRule="auto"/>
              <w:ind w:left="130" w:leftChars="0" w:right="120" w:rightChars="0"/>
              <w:outlineLvl w:val="9"/>
              <w:rPr>
                <w:rFonts w:hint="eastAsia"/>
                <w:color w:val="auto"/>
                <w:spacing w:val="-1"/>
                <w:highlight w:val="none"/>
                <w:lang w:val="zh-CN"/>
              </w:rPr>
            </w:pPr>
            <w:r>
              <w:rPr>
                <w:rFonts w:hint="eastAsia"/>
                <w:color w:val="auto"/>
                <w:spacing w:val="-1"/>
                <w:highlight w:val="none"/>
              </w:rPr>
              <w:t>是</w:t>
            </w:r>
            <w:r>
              <w:rPr>
                <w:rFonts w:hint="eastAsia"/>
                <w:color w:val="auto"/>
                <w:spacing w:val="-1"/>
                <w:highlight w:val="none"/>
                <w:lang w:val="zh-CN"/>
              </w:rPr>
              <w:t xml:space="preserve">□ </w:t>
            </w:r>
          </w:p>
          <w:p w14:paraId="1360BF56">
            <w:pPr>
              <w:pStyle w:val="41"/>
              <w:keepNext w:val="0"/>
              <w:keepLines w:val="0"/>
              <w:pageBreakBefore w:val="0"/>
              <w:numPr>
                <w:ilvl w:val="0"/>
                <w:numId w:val="0"/>
              </w:numPr>
              <w:wordWrap/>
              <w:overflowPunct/>
              <w:topLinePunct w:val="0"/>
              <w:bidi w:val="0"/>
              <w:adjustRightInd w:val="0"/>
              <w:spacing w:before="117" w:line="360" w:lineRule="auto"/>
              <w:ind w:left="130" w:leftChars="0" w:right="120" w:rightChars="0"/>
              <w:outlineLvl w:val="9"/>
              <w:rPr>
                <w:rFonts w:hint="eastAsia" w:eastAsia="宋体"/>
                <w:color w:val="auto"/>
                <w:spacing w:val="-1"/>
                <w:highlight w:val="none"/>
                <w:lang w:eastAsia="zh-CN"/>
              </w:rPr>
            </w:pPr>
            <w:r>
              <w:rPr>
                <w:rFonts w:hint="eastAsia"/>
                <w:color w:val="auto"/>
                <w:spacing w:val="-1"/>
                <w:highlight w:val="none"/>
              </w:rPr>
              <w:t>否</w:t>
            </w:r>
            <w:r>
              <w:rPr>
                <w:rFonts w:hint="eastAsia"/>
                <w:color w:val="auto"/>
                <w:spacing w:val="-1"/>
                <w:highlight w:val="none"/>
                <w:lang w:val="zh-CN"/>
              </w:rPr>
              <w:t>☑ ，</w:t>
            </w:r>
            <w:r>
              <w:rPr>
                <w:rFonts w:hint="eastAsia" w:ascii="宋体" w:hAnsi="宋体" w:eastAsia="宋体" w:cs="宋体"/>
                <w:color w:val="auto"/>
                <w:sz w:val="24"/>
                <w:szCs w:val="24"/>
                <w:highlight w:val="none"/>
              </w:rPr>
              <w:t>本项目为非专门面向中小企业采购的项目</w:t>
            </w:r>
            <w:r>
              <w:rPr>
                <w:rFonts w:hint="eastAsia" w:cs="宋体"/>
                <w:color w:val="auto"/>
                <w:sz w:val="24"/>
                <w:szCs w:val="24"/>
                <w:highlight w:val="none"/>
                <w:lang w:eastAsia="zh-CN"/>
              </w:rPr>
              <w:t>。</w:t>
            </w:r>
          </w:p>
          <w:p w14:paraId="70BD9FD5">
            <w:pPr>
              <w:pStyle w:val="41"/>
              <w:keepNext w:val="0"/>
              <w:keepLines w:val="0"/>
              <w:pageBreakBefore w:val="0"/>
              <w:numPr>
                <w:ilvl w:val="0"/>
                <w:numId w:val="2"/>
              </w:numPr>
              <w:wordWrap/>
              <w:overflowPunct/>
              <w:topLinePunct w:val="0"/>
              <w:bidi w:val="0"/>
              <w:adjustRightInd w:val="0"/>
              <w:spacing w:before="117" w:line="360" w:lineRule="auto"/>
              <w:ind w:left="112" w:right="120" w:firstLine="18"/>
              <w:outlineLvl w:val="9"/>
              <w:rPr>
                <w:color w:val="auto"/>
                <w:spacing w:val="-1"/>
                <w:highlight w:val="none"/>
              </w:rPr>
            </w:pPr>
            <w:r>
              <w:rPr>
                <w:color w:val="auto"/>
                <w:spacing w:val="-1"/>
                <w:highlight w:val="none"/>
              </w:rPr>
              <w:t>根据财库《政府采购促进中小企业发展管理办法》规定，本项目</w:t>
            </w:r>
            <w:r>
              <w:rPr>
                <w:color w:val="auto"/>
                <w:spacing w:val="1"/>
                <w:highlight w:val="none"/>
              </w:rPr>
              <w:t xml:space="preserve"> </w:t>
            </w:r>
            <w:r>
              <w:rPr>
                <w:color w:val="auto"/>
                <w:spacing w:val="-1"/>
                <w:highlight w:val="none"/>
              </w:rPr>
              <w:t>对小微企业价格给予10%的扣除。</w:t>
            </w:r>
          </w:p>
          <w:p w14:paraId="3A44C18C">
            <w:pPr>
              <w:pStyle w:val="41"/>
              <w:keepNext w:val="0"/>
              <w:keepLines w:val="0"/>
              <w:pageBreakBefore w:val="0"/>
              <w:numPr>
                <w:ilvl w:val="0"/>
                <w:numId w:val="2"/>
              </w:numPr>
              <w:wordWrap/>
              <w:overflowPunct/>
              <w:topLinePunct w:val="0"/>
              <w:bidi w:val="0"/>
              <w:adjustRightInd w:val="0"/>
              <w:spacing w:before="117" w:line="360" w:lineRule="auto"/>
              <w:ind w:left="112" w:right="120" w:firstLine="18"/>
              <w:outlineLvl w:val="9"/>
              <w:rPr>
                <w:color w:val="auto"/>
                <w:highlight w:val="none"/>
              </w:rPr>
            </w:pPr>
            <w:r>
              <w:rPr>
                <w:color w:val="auto"/>
                <w:spacing w:val="-1"/>
                <w:highlight w:val="none"/>
              </w:rPr>
              <w:t>根据财库《关于政府采购支持监狱企业发展有关问题的通知》规</w:t>
            </w:r>
            <w:r>
              <w:rPr>
                <w:color w:val="auto"/>
                <w:spacing w:val="16"/>
                <w:highlight w:val="none"/>
              </w:rPr>
              <w:t xml:space="preserve"> </w:t>
            </w:r>
            <w:r>
              <w:rPr>
                <w:color w:val="auto"/>
                <w:spacing w:val="-1"/>
                <w:highlight w:val="none"/>
              </w:rPr>
              <w:t>定，本项目对监狱企业产品的价格给予10%的扣除。</w:t>
            </w:r>
          </w:p>
          <w:p w14:paraId="54DC971F">
            <w:pPr>
              <w:pStyle w:val="41"/>
              <w:keepNext w:val="0"/>
              <w:keepLines w:val="0"/>
              <w:pageBreakBefore w:val="0"/>
              <w:wordWrap/>
              <w:overflowPunct/>
              <w:topLinePunct w:val="0"/>
              <w:bidi w:val="0"/>
              <w:adjustRightInd w:val="0"/>
              <w:spacing w:before="258" w:line="360" w:lineRule="auto"/>
              <w:ind w:left="114" w:right="177" w:firstLine="3"/>
              <w:outlineLvl w:val="9"/>
              <w:rPr>
                <w:color w:val="auto"/>
                <w:highlight w:val="none"/>
              </w:rPr>
            </w:pPr>
            <w:r>
              <w:rPr>
                <w:color w:val="auto"/>
                <w:spacing w:val="-3"/>
                <w:highlight w:val="none"/>
              </w:rPr>
              <w:t>3、根据财库《关于促进残疾人就业政府采购政策的通知》的规定，</w:t>
            </w:r>
            <w:r>
              <w:rPr>
                <w:color w:val="auto"/>
                <w:spacing w:val="18"/>
                <w:highlight w:val="none"/>
              </w:rPr>
              <w:t xml:space="preserve"> </w:t>
            </w:r>
            <w:r>
              <w:rPr>
                <w:color w:val="auto"/>
                <w:spacing w:val="-1"/>
                <w:highlight w:val="none"/>
              </w:rPr>
              <w:t>本项目对残疾人福利性单位产品的价格给予10%的扣除。</w:t>
            </w:r>
          </w:p>
          <w:p w14:paraId="35E842F6">
            <w:pPr>
              <w:pStyle w:val="41"/>
              <w:keepNext w:val="0"/>
              <w:keepLines w:val="0"/>
              <w:pageBreakBefore w:val="0"/>
              <w:wordWrap/>
              <w:overflowPunct/>
              <w:topLinePunct w:val="0"/>
              <w:bidi w:val="0"/>
              <w:adjustRightInd w:val="0"/>
              <w:spacing w:before="260" w:line="360" w:lineRule="auto"/>
              <w:ind w:left="112" w:right="56"/>
              <w:outlineLvl w:val="9"/>
              <w:rPr>
                <w:color w:val="auto"/>
                <w:highlight w:val="none"/>
              </w:rPr>
            </w:pPr>
            <w:r>
              <w:rPr>
                <w:color w:val="auto"/>
                <w:highlight w:val="none"/>
              </w:rPr>
              <w:t>4、投标人所投产品如被列入财政部与国家主管部</w:t>
            </w:r>
            <w:r>
              <w:rPr>
                <w:color w:val="auto"/>
                <w:spacing w:val="-1"/>
                <w:highlight w:val="none"/>
              </w:rPr>
              <w:t>门颁发的节能产品</w:t>
            </w:r>
            <w:r>
              <w:rPr>
                <w:color w:val="auto"/>
                <w:highlight w:val="none"/>
              </w:rPr>
              <w:t xml:space="preserve"> </w:t>
            </w:r>
            <w:r>
              <w:rPr>
                <w:color w:val="auto"/>
                <w:spacing w:val="-2"/>
                <w:highlight w:val="none"/>
              </w:rPr>
              <w:t>目录或环境标志产品目录或无线局域网产品目录，应提</w:t>
            </w:r>
            <w:r>
              <w:rPr>
                <w:color w:val="auto"/>
                <w:spacing w:val="-3"/>
                <w:highlight w:val="none"/>
              </w:rPr>
              <w:t>供相关证明，</w:t>
            </w:r>
            <w:r>
              <w:rPr>
                <w:color w:val="auto"/>
                <w:highlight w:val="none"/>
              </w:rPr>
              <w:t xml:space="preserve"> </w:t>
            </w:r>
            <w:r>
              <w:rPr>
                <w:color w:val="auto"/>
                <w:spacing w:val="-1"/>
                <w:highlight w:val="none"/>
              </w:rPr>
              <w:t>在评标时予以优先采购。</w:t>
            </w:r>
          </w:p>
          <w:p w14:paraId="000F8054">
            <w:pPr>
              <w:pStyle w:val="41"/>
              <w:keepNext w:val="0"/>
              <w:keepLines w:val="0"/>
              <w:pageBreakBefore w:val="0"/>
              <w:wordWrap/>
              <w:overflowPunct/>
              <w:topLinePunct w:val="0"/>
              <w:bidi w:val="0"/>
              <w:adjustRightInd w:val="0"/>
              <w:spacing w:before="179" w:line="360" w:lineRule="auto"/>
              <w:ind w:left="113" w:right="118"/>
              <w:outlineLvl w:val="9"/>
              <w:rPr>
                <w:color w:val="auto"/>
                <w:highlight w:val="none"/>
              </w:rPr>
            </w:pPr>
            <w:r>
              <w:rPr>
                <w:rFonts w:hint="eastAsia"/>
                <w:color w:val="auto"/>
                <w:highlight w:val="none"/>
                <w:lang w:val="en-US" w:eastAsia="zh-CN"/>
              </w:rPr>
              <w:t>备</w:t>
            </w:r>
            <w:r>
              <w:rPr>
                <w:color w:val="auto"/>
                <w:highlight w:val="none"/>
              </w:rPr>
              <w:t>注：</w:t>
            </w:r>
          </w:p>
          <w:p w14:paraId="65B0625C">
            <w:pPr>
              <w:pStyle w:val="41"/>
              <w:keepNext w:val="0"/>
              <w:keepLines w:val="0"/>
              <w:pageBreakBefore w:val="0"/>
              <w:wordWrap/>
              <w:overflowPunct/>
              <w:topLinePunct w:val="0"/>
              <w:bidi w:val="0"/>
              <w:adjustRightInd w:val="0"/>
              <w:spacing w:before="179" w:line="360" w:lineRule="auto"/>
              <w:ind w:left="113" w:right="118"/>
              <w:outlineLvl w:val="9"/>
              <w:rPr>
                <w:rFonts w:ascii="宋体" w:hAnsi="宋体" w:eastAsia="宋体" w:cs="宋体"/>
                <w:color w:val="auto"/>
                <w:highlight w:val="none"/>
              </w:rPr>
            </w:pPr>
            <w:r>
              <w:rPr>
                <w:color w:val="auto"/>
                <w:highlight w:val="none"/>
              </w:rPr>
              <w:t>1、投标人出具的中小企业声明函不属于采购</w:t>
            </w:r>
            <w:r>
              <w:rPr>
                <w:color w:val="auto"/>
                <w:spacing w:val="-1"/>
                <w:highlight w:val="none"/>
              </w:rPr>
              <w:t>标的所属行业，不</w:t>
            </w:r>
            <w:r>
              <w:rPr>
                <w:rFonts w:ascii="宋体" w:hAnsi="宋体" w:eastAsia="宋体" w:cs="宋体"/>
                <w:color w:val="auto"/>
                <w:highlight w:val="none"/>
              </w:rPr>
              <w:t>享受中小企业评审优惠。</w:t>
            </w:r>
          </w:p>
          <w:p w14:paraId="3F4D9288">
            <w:pPr>
              <w:spacing w:line="400" w:lineRule="exact"/>
              <w:ind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kern w:val="2"/>
                <w:sz w:val="24"/>
                <w:szCs w:val="24"/>
                <w:highlight w:val="none"/>
                <w:lang w:val="en-US" w:eastAsia="en-US" w:bidi="ar-SA"/>
              </w:rPr>
              <w:t>2、投标人所投产品生产厂家应均为小微企业或监狱企业或残疾人福利性单位。</w:t>
            </w:r>
          </w:p>
        </w:tc>
      </w:tr>
      <w:tr w14:paraId="7FD988B9">
        <w:tblPrEx>
          <w:tblCellMar>
            <w:top w:w="0" w:type="dxa"/>
            <w:left w:w="108" w:type="dxa"/>
            <w:bottom w:w="0" w:type="dxa"/>
            <w:right w:w="108" w:type="dxa"/>
          </w:tblCellMar>
        </w:tblPrEx>
        <w:trPr>
          <w:trHeight w:val="98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49D5A">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D2A14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7CB16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不接受</w:t>
            </w:r>
          </w:p>
          <w:p w14:paraId="152B618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□接受，应满足下列要求：</w:t>
            </w:r>
            <w:r>
              <w:rPr>
                <w:rFonts w:hint="eastAsia" w:ascii="宋体" w:hAnsi="宋体" w:eastAsia="宋体" w:cs="宋体"/>
                <w:color w:val="auto"/>
                <w:sz w:val="24"/>
                <w:szCs w:val="24"/>
                <w:highlight w:val="none"/>
                <w:u w:val="single"/>
              </w:rPr>
              <w:t xml:space="preserve">           </w:t>
            </w:r>
          </w:p>
        </w:tc>
      </w:tr>
      <w:tr w14:paraId="38F6D17F">
        <w:tblPrEx>
          <w:tblCellMar>
            <w:top w:w="0" w:type="dxa"/>
            <w:left w:w="108" w:type="dxa"/>
            <w:bottom w:w="0" w:type="dxa"/>
            <w:right w:w="108" w:type="dxa"/>
          </w:tblCellMar>
        </w:tblPrEx>
        <w:trPr>
          <w:trHeight w:val="51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0A132">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ADAE88">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投标有效期</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BD98D">
            <w:pPr>
              <w:keepNext w:val="0"/>
              <w:keepLines w:val="0"/>
              <w:widowControl/>
              <w:suppressLineNumbers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t>从提交投标文件的截止之日起 60 日历天。</w:t>
            </w:r>
          </w:p>
        </w:tc>
      </w:tr>
      <w:tr w14:paraId="5A6A46BA">
        <w:tblPrEx>
          <w:tblCellMar>
            <w:top w:w="0" w:type="dxa"/>
            <w:left w:w="108" w:type="dxa"/>
            <w:bottom w:w="0" w:type="dxa"/>
            <w:right w:w="108" w:type="dxa"/>
          </w:tblCellMar>
        </w:tblPrEx>
        <w:trPr>
          <w:trHeight w:val="13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BA5BB4">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A3BAC">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踏勘现场</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51684">
            <w:pPr>
              <w:spacing w:line="400" w:lineRule="exac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不组织，自行踏勘</w:t>
            </w:r>
          </w:p>
          <w:p w14:paraId="4BFE2D41">
            <w:pPr>
              <w:tabs>
                <w:tab w:val="left" w:pos="7665"/>
              </w:tabs>
              <w:spacing w:line="400" w:lineRule="exac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 xml:space="preserve"> 组织踏勘</w:t>
            </w:r>
          </w:p>
        </w:tc>
      </w:tr>
      <w:tr w14:paraId="01E74F05">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A1ED82">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9435E">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履约保证金</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98735">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履约保证金的收取及退还:由招标单位及中标单位签订合同时自行约定</w:t>
            </w:r>
          </w:p>
        </w:tc>
      </w:tr>
      <w:tr w14:paraId="29772E38">
        <w:tblPrEx>
          <w:tblCellMar>
            <w:top w:w="0" w:type="dxa"/>
            <w:left w:w="108" w:type="dxa"/>
            <w:bottom w:w="0" w:type="dxa"/>
            <w:right w:w="108" w:type="dxa"/>
          </w:tblCellMar>
        </w:tblPrEx>
        <w:trPr>
          <w:trHeight w:val="66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3355F">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04F1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构成招标文件的其他材料</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065DF">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答疑、澄清、修改、补充文件</w:t>
            </w:r>
          </w:p>
        </w:tc>
      </w:tr>
      <w:tr w14:paraId="0348DCC9">
        <w:tblPrEx>
          <w:tblCellMar>
            <w:top w:w="0" w:type="dxa"/>
            <w:left w:w="108" w:type="dxa"/>
            <w:bottom w:w="0" w:type="dxa"/>
            <w:right w:w="108" w:type="dxa"/>
          </w:tblCellMar>
        </w:tblPrEx>
        <w:trPr>
          <w:trHeight w:val="66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3EF6B1">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D39A5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投标人提出问题的截 </w:t>
            </w:r>
          </w:p>
          <w:p w14:paraId="5E257D1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止时间</w:t>
            </w:r>
          </w:p>
          <w:p w14:paraId="736CAD4D">
            <w:pPr>
              <w:spacing w:line="400" w:lineRule="exact"/>
              <w:jc w:val="center"/>
              <w:rPr>
                <w:rFonts w:hint="eastAsia" w:ascii="宋体" w:hAnsi="宋体" w:eastAsia="宋体" w:cs="宋体"/>
                <w:color w:val="auto"/>
                <w:sz w:val="24"/>
                <w:szCs w:val="24"/>
                <w:highlight w:val="none"/>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21E56">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投标截止时间前 </w:t>
            </w:r>
            <w:r>
              <w:rPr>
                <w:rFonts w:ascii="Calibri" w:hAnsi="Calibri" w:eastAsia="宋体" w:cs="Calibri"/>
                <w:color w:val="auto"/>
                <w:kern w:val="0"/>
                <w:sz w:val="24"/>
                <w:szCs w:val="24"/>
                <w:highlight w:val="none"/>
                <w:lang w:val="en-US" w:eastAsia="zh-CN" w:bidi="ar"/>
              </w:rPr>
              <w:t xml:space="preserve">10 </w:t>
            </w:r>
            <w:r>
              <w:rPr>
                <w:rFonts w:hint="eastAsia" w:ascii="宋体" w:hAnsi="宋体" w:eastAsia="宋体" w:cs="宋体"/>
                <w:color w:val="auto"/>
                <w:kern w:val="0"/>
                <w:sz w:val="24"/>
                <w:szCs w:val="24"/>
                <w:highlight w:val="none"/>
                <w:lang w:val="en-US" w:eastAsia="zh-CN" w:bidi="ar"/>
              </w:rPr>
              <w:t>天</w:t>
            </w:r>
          </w:p>
          <w:p w14:paraId="605FC1DB">
            <w:pPr>
              <w:spacing w:line="400" w:lineRule="exact"/>
              <w:jc w:val="left"/>
              <w:rPr>
                <w:rFonts w:hint="eastAsia" w:ascii="宋体" w:hAnsi="宋体" w:eastAsia="宋体" w:cs="宋体"/>
                <w:color w:val="auto"/>
                <w:sz w:val="24"/>
                <w:szCs w:val="24"/>
                <w:highlight w:val="none"/>
              </w:rPr>
            </w:pPr>
          </w:p>
        </w:tc>
      </w:tr>
      <w:tr w14:paraId="7AEB4230">
        <w:tblPrEx>
          <w:tblCellMar>
            <w:top w:w="0" w:type="dxa"/>
            <w:left w:w="108" w:type="dxa"/>
            <w:bottom w:w="0" w:type="dxa"/>
            <w:right w:w="108" w:type="dxa"/>
          </w:tblCellMar>
        </w:tblPrEx>
        <w:trPr>
          <w:trHeight w:val="66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D8DD7B">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64F2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招标人书面澄清的时 </w:t>
            </w:r>
          </w:p>
          <w:p w14:paraId="7D476AE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间</w:t>
            </w:r>
          </w:p>
          <w:p w14:paraId="4976CD69">
            <w:pPr>
              <w:spacing w:line="400" w:lineRule="exact"/>
              <w:jc w:val="center"/>
              <w:rPr>
                <w:rFonts w:hint="eastAsia" w:ascii="宋体" w:hAnsi="宋体" w:eastAsia="宋体" w:cs="宋体"/>
                <w:color w:val="auto"/>
                <w:sz w:val="24"/>
                <w:szCs w:val="24"/>
                <w:highlight w:val="none"/>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F41E1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投标截止时间前 </w:t>
            </w:r>
            <w:r>
              <w:rPr>
                <w:rFonts w:ascii="Calibri" w:hAnsi="Calibri" w:eastAsia="宋体" w:cs="Calibri"/>
                <w:color w:val="auto"/>
                <w:kern w:val="0"/>
                <w:sz w:val="24"/>
                <w:szCs w:val="24"/>
                <w:highlight w:val="none"/>
                <w:lang w:val="en-US" w:eastAsia="zh-CN" w:bidi="ar"/>
              </w:rPr>
              <w:t xml:space="preserve">15 </w:t>
            </w:r>
            <w:r>
              <w:rPr>
                <w:rFonts w:hint="eastAsia" w:ascii="宋体" w:hAnsi="宋体" w:eastAsia="宋体" w:cs="宋体"/>
                <w:color w:val="auto"/>
                <w:kern w:val="0"/>
                <w:sz w:val="24"/>
                <w:szCs w:val="24"/>
                <w:highlight w:val="none"/>
                <w:lang w:val="en-US" w:eastAsia="zh-CN" w:bidi="ar"/>
              </w:rPr>
              <w:t>天</w:t>
            </w:r>
          </w:p>
          <w:p w14:paraId="6C300A01">
            <w:pPr>
              <w:spacing w:line="400" w:lineRule="exact"/>
              <w:jc w:val="left"/>
              <w:rPr>
                <w:rFonts w:hint="eastAsia" w:ascii="宋体" w:hAnsi="宋体" w:eastAsia="宋体" w:cs="宋体"/>
                <w:color w:val="auto"/>
                <w:sz w:val="24"/>
                <w:szCs w:val="24"/>
                <w:highlight w:val="none"/>
              </w:rPr>
            </w:pPr>
          </w:p>
        </w:tc>
      </w:tr>
      <w:tr w14:paraId="48E42A26">
        <w:tblPrEx>
          <w:tblCellMar>
            <w:top w:w="0" w:type="dxa"/>
            <w:left w:w="108" w:type="dxa"/>
            <w:bottom w:w="0" w:type="dxa"/>
            <w:right w:w="108" w:type="dxa"/>
          </w:tblCellMar>
        </w:tblPrEx>
        <w:trPr>
          <w:trHeight w:val="91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C7FC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D1D112">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投标人确认收到招标文件澄清或修改的时间</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CB544D">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时间：在收到相应澄清文件后 </w:t>
            </w:r>
            <w:r>
              <w:rPr>
                <w:rFonts w:ascii="Calibri" w:hAnsi="Calibri" w:eastAsia="宋体" w:cs="Calibri"/>
                <w:color w:val="auto"/>
                <w:kern w:val="0"/>
                <w:sz w:val="24"/>
                <w:szCs w:val="24"/>
                <w:highlight w:val="none"/>
                <w:lang w:val="en-US" w:eastAsia="zh-CN" w:bidi="ar"/>
              </w:rPr>
              <w:t xml:space="preserve">48 </w:t>
            </w:r>
            <w:r>
              <w:rPr>
                <w:rFonts w:hint="eastAsia" w:ascii="宋体" w:hAnsi="宋体" w:eastAsia="宋体" w:cs="宋体"/>
                <w:color w:val="auto"/>
                <w:kern w:val="0"/>
                <w:sz w:val="24"/>
                <w:szCs w:val="24"/>
                <w:highlight w:val="none"/>
                <w:lang w:val="en-US" w:eastAsia="zh-CN" w:bidi="ar"/>
              </w:rPr>
              <w:t>小时内</w:t>
            </w:r>
          </w:p>
          <w:p w14:paraId="17CC97CF">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形式：书面形式</w:t>
            </w:r>
          </w:p>
          <w:p w14:paraId="2093E555">
            <w:pPr>
              <w:spacing w:line="400" w:lineRule="exact"/>
              <w:jc w:val="left"/>
              <w:rPr>
                <w:rFonts w:hint="eastAsia" w:ascii="宋体" w:hAnsi="宋体" w:eastAsia="宋体" w:cs="宋体"/>
                <w:color w:val="auto"/>
                <w:sz w:val="24"/>
                <w:szCs w:val="24"/>
                <w:highlight w:val="none"/>
                <w:u w:val="single"/>
                <w:lang w:val="zh-CN"/>
              </w:rPr>
            </w:pPr>
          </w:p>
        </w:tc>
      </w:tr>
      <w:tr w14:paraId="22248DB9">
        <w:tblPrEx>
          <w:shd w:val="clear" w:color="auto" w:fill="auto"/>
          <w:tblCellMar>
            <w:top w:w="0" w:type="dxa"/>
            <w:left w:w="108" w:type="dxa"/>
            <w:bottom w:w="0" w:type="dxa"/>
            <w:right w:w="108" w:type="dxa"/>
          </w:tblCellMar>
        </w:tblPrEx>
        <w:trPr>
          <w:trHeight w:val="2759"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6632A">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9B86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投标人资格条件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AFC19">
            <w:pPr>
              <w:keepNext w:val="0"/>
              <w:keepLines w:val="0"/>
              <w:pageBreakBefore w:val="0"/>
              <w:widowControl w:val="0"/>
              <w:kinsoku/>
              <w:wordWrap/>
              <w:overflowPunct/>
              <w:topLinePunct w:val="0"/>
              <w:autoSpaceDE/>
              <w:autoSpaceDN/>
              <w:bidi w:val="0"/>
              <w:spacing w:line="440" w:lineRule="exact"/>
              <w:rPr>
                <w:color w:val="auto"/>
                <w:sz w:val="24"/>
                <w:szCs w:val="24"/>
                <w:highlight w:val="none"/>
              </w:rPr>
            </w:pPr>
            <w:r>
              <w:rPr>
                <w:rFonts w:hint="eastAsia"/>
                <w:color w:val="auto"/>
                <w:sz w:val="24"/>
                <w:szCs w:val="24"/>
                <w:highlight w:val="none"/>
              </w:rPr>
              <w:t>1.满足《中华人民共和国政府采购法》第二十二条规定；</w:t>
            </w:r>
          </w:p>
          <w:p w14:paraId="47B194A2">
            <w:pPr>
              <w:spacing w:line="360" w:lineRule="auto"/>
              <w:rPr>
                <w:rFonts w:hint="eastAsia"/>
                <w:b/>
                <w:bCs/>
                <w:color w:val="auto"/>
                <w:sz w:val="24"/>
                <w:szCs w:val="24"/>
                <w:highlight w:val="none"/>
                <w:lang w:val="en-US" w:eastAsia="zh-CN"/>
              </w:rPr>
            </w:pPr>
            <w:r>
              <w:rPr>
                <w:rFonts w:hint="eastAsia"/>
                <w:color w:val="auto"/>
                <w:sz w:val="24"/>
                <w:szCs w:val="24"/>
                <w:highlight w:val="none"/>
              </w:rPr>
              <w:t>2.落实政府采购政策需满足的资格要求：</w:t>
            </w:r>
            <w:r>
              <w:rPr>
                <w:rFonts w:hint="eastAsia"/>
                <w:b/>
                <w:bCs/>
                <w:color w:val="auto"/>
                <w:sz w:val="24"/>
                <w:szCs w:val="24"/>
                <w:highlight w:val="none"/>
                <w:lang w:val="en-US" w:eastAsia="zh-CN"/>
              </w:rPr>
              <w:t>本项目不专门面向中小微企业；</w:t>
            </w:r>
          </w:p>
          <w:p w14:paraId="1CA05B0F">
            <w:pPr>
              <w:spacing w:line="360" w:lineRule="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1）《政府采购促进中小企业发展管理办法》的通知（财库〔2020〕46号）；</w:t>
            </w:r>
          </w:p>
          <w:p w14:paraId="0144B728">
            <w:pPr>
              <w:spacing w:line="360" w:lineRule="auto"/>
              <w:rPr>
                <w:rFonts w:hint="eastAsia"/>
                <w:color w:val="auto"/>
                <w:sz w:val="24"/>
                <w:szCs w:val="24"/>
                <w:highlight w:val="none"/>
              </w:rPr>
            </w:pPr>
            <w:r>
              <w:rPr>
                <w:rFonts w:hint="eastAsia"/>
                <w:color w:val="auto"/>
                <w:sz w:val="24"/>
                <w:szCs w:val="24"/>
                <w:highlight w:val="none"/>
              </w:rPr>
              <w:t>（2）（财库[2014]68号）；</w:t>
            </w:r>
          </w:p>
          <w:p w14:paraId="12A29BA5">
            <w:pPr>
              <w:spacing w:line="360" w:lineRule="auto"/>
              <w:rPr>
                <w:rFonts w:hint="eastAsia"/>
                <w:color w:val="auto"/>
                <w:sz w:val="24"/>
                <w:szCs w:val="24"/>
                <w:highlight w:val="none"/>
              </w:rPr>
            </w:pPr>
            <w:r>
              <w:rPr>
                <w:rFonts w:hint="eastAsia"/>
                <w:color w:val="auto"/>
                <w:sz w:val="24"/>
                <w:szCs w:val="24"/>
                <w:highlight w:val="none"/>
              </w:rPr>
              <w:t>（3）财政部 生态环境部关于印发环境标志产品政府采购品目清单的通知（财库[2019]18号）；</w:t>
            </w:r>
          </w:p>
          <w:p w14:paraId="7196DAEC">
            <w:pPr>
              <w:spacing w:line="360" w:lineRule="auto"/>
              <w:rPr>
                <w:rFonts w:hint="eastAsia"/>
                <w:color w:val="auto"/>
                <w:sz w:val="24"/>
                <w:szCs w:val="24"/>
                <w:highlight w:val="none"/>
              </w:rPr>
            </w:pPr>
            <w:r>
              <w:rPr>
                <w:rFonts w:hint="eastAsia"/>
                <w:color w:val="auto"/>
                <w:sz w:val="24"/>
                <w:szCs w:val="24"/>
                <w:highlight w:val="none"/>
              </w:rPr>
              <w:t>（4）《财政部 民政部 中国残疾人联合会关于促进残疾人就业政府采购政策的通知》财库[2017]141号；</w:t>
            </w:r>
          </w:p>
          <w:p w14:paraId="2F1B0D4F">
            <w:pPr>
              <w:spacing w:line="360" w:lineRule="auto"/>
              <w:rPr>
                <w:rFonts w:hint="eastAsia"/>
                <w:color w:val="auto"/>
                <w:sz w:val="24"/>
                <w:szCs w:val="24"/>
                <w:highlight w:val="none"/>
              </w:rPr>
            </w:pPr>
            <w:r>
              <w:rPr>
                <w:rFonts w:hint="eastAsia"/>
                <w:color w:val="auto"/>
                <w:sz w:val="24"/>
                <w:szCs w:val="24"/>
                <w:highlight w:val="none"/>
              </w:rPr>
              <w:t>（5）《财政部 发展改革委 生态环境部市场监管总局关于调整优化节能产品 环境标志产品政府采购执行机制的通知》（财库〔2019〕9号），投标产品遵照《关于印发节能产品政府采购品目清单的通知》（财库〔2019〕19号）相关规定执行。</w:t>
            </w:r>
          </w:p>
          <w:p w14:paraId="114B7B2F">
            <w:pPr>
              <w:keepNext w:val="0"/>
              <w:keepLines w:val="0"/>
              <w:pageBreakBefore w:val="0"/>
              <w:widowControl w:val="0"/>
              <w:kinsoku/>
              <w:wordWrap/>
              <w:overflowPunct/>
              <w:topLinePunct w:val="0"/>
              <w:autoSpaceDE/>
              <w:autoSpaceDN/>
              <w:bidi w:val="0"/>
              <w:spacing w:line="440" w:lineRule="exact"/>
              <w:rPr>
                <w:rFonts w:hint="eastAsia" w:eastAsia="宋体"/>
                <w:color w:val="auto"/>
                <w:sz w:val="24"/>
                <w:szCs w:val="24"/>
                <w:highlight w:val="none"/>
                <w:lang w:eastAsia="zh-CN"/>
              </w:rPr>
            </w:pPr>
            <w:r>
              <w:rPr>
                <w:rFonts w:hint="eastAsia"/>
                <w:color w:val="auto"/>
                <w:sz w:val="24"/>
                <w:szCs w:val="24"/>
                <w:highlight w:val="none"/>
              </w:rPr>
              <w:t>3.本项目的特定资格要求：</w:t>
            </w:r>
          </w:p>
          <w:p w14:paraId="25090AFE">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（1）有效经年检的三证合一营业执照；</w:t>
            </w:r>
            <w:r>
              <w:rPr>
                <w:rFonts w:hint="eastAsia" w:ascii="宋体" w:hAnsi="宋体" w:eastAsia="宋体" w:cs="宋体"/>
                <w:color w:val="auto"/>
                <w:sz w:val="24"/>
                <w:szCs w:val="24"/>
                <w:highlight w:val="none"/>
                <w:lang w:val="en-US" w:eastAsia="zh-CN"/>
              </w:rPr>
              <w:t>（若投标人是企业（包括合伙企业）应提供营业执照；若投标人是事业单位应提供事业单位法人证书；若投标人是个体工商户应提供个体工商户营业执照；若投标人是自然人应提供自然人身份证明）;</w:t>
            </w:r>
          </w:p>
          <w:p w14:paraId="2CB6B28C">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（2）法人代表或其委托代理人应提供本人身份证原件，委托代理人还应提供《法人代表授权委托书》原件；</w:t>
            </w:r>
          </w:p>
          <w:p w14:paraId="3140AD5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本项目的特定资格要求：</w:t>
            </w:r>
          </w:p>
          <w:p w14:paraId="4F9B2BD2">
            <w:pPr>
              <w:keepNext w:val="0"/>
              <w:keepLines w:val="0"/>
              <w:widowControl/>
              <w:suppressLineNumbers w:val="0"/>
              <w:spacing w:line="360" w:lineRule="auto"/>
              <w:ind w:firstLine="240" w:firstLineChars="100"/>
              <w:jc w:val="left"/>
              <w:rPr>
                <w:color w:val="auto"/>
                <w:highlight w:val="none"/>
              </w:rPr>
            </w:pPr>
            <w:r>
              <w:rPr>
                <w:rFonts w:hint="eastAsia" w:ascii="宋体" w:hAnsi="宋体" w:eastAsia="宋体" w:cs="宋体"/>
                <w:color w:val="auto"/>
                <w:kern w:val="0"/>
                <w:sz w:val="24"/>
                <w:szCs w:val="24"/>
                <w:highlight w:val="none"/>
                <w:lang w:val="en-US" w:eastAsia="zh-CN" w:bidi="ar"/>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43B0A090">
            <w:pPr>
              <w:pStyle w:val="41"/>
              <w:keepNext w:val="0"/>
              <w:keepLines w:val="0"/>
              <w:pageBreakBefore w:val="0"/>
              <w:numPr>
                <w:ilvl w:val="0"/>
                <w:numId w:val="3"/>
              </w:numPr>
              <w:wordWrap/>
              <w:overflowPunct/>
              <w:topLinePunct w:val="0"/>
              <w:bidi w:val="0"/>
              <w:adjustRightInd w:val="0"/>
              <w:spacing w:before="254" w:line="360" w:lineRule="auto"/>
              <w:ind w:left="113" w:right="228" w:firstLine="4"/>
              <w:outlineLvl w:val="9"/>
              <w:rPr>
                <w:rFonts w:hint="eastAsia" w:ascii="宋体" w:hAnsi="宋体" w:eastAsia="宋体" w:cs="宋体"/>
                <w:color w:val="auto"/>
                <w:sz w:val="24"/>
                <w:szCs w:val="24"/>
                <w:highlight w:val="none"/>
              </w:rPr>
            </w:pPr>
            <w:r>
              <w:rPr>
                <w:rFonts w:hint="eastAsia"/>
                <w:color w:val="auto"/>
                <w:spacing w:val="-4"/>
                <w:highlight w:val="none"/>
              </w:rPr>
              <w:t>提供近期依法缴纳税收的证明（税务局出具近半年之内任意三个月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r>
              <w:rPr>
                <w:color w:val="auto"/>
                <w:spacing w:val="-5"/>
                <w:highlight w:val="none"/>
              </w:rPr>
              <w:t>。</w:t>
            </w:r>
            <w:r>
              <w:rPr>
                <w:rFonts w:hint="eastAsia" w:ascii="宋体" w:hAnsi="宋体" w:eastAsia="宋体" w:cs="宋体"/>
                <w:color w:val="auto"/>
                <w:sz w:val="24"/>
                <w:szCs w:val="24"/>
                <w:highlight w:val="none"/>
              </w:rPr>
              <w:t>提供</w:t>
            </w:r>
            <w:r>
              <w:rPr>
                <w:rFonts w:hint="eastAsia" w:cs="宋体"/>
                <w:color w:val="auto"/>
                <w:sz w:val="24"/>
                <w:szCs w:val="24"/>
                <w:highlight w:val="none"/>
                <w:lang w:val="en-US" w:eastAsia="zh-CN"/>
              </w:rPr>
              <w:t>2023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的财务审计报告或财务报表〔成立不足一年</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提供成立至今财务报表）</w:t>
            </w:r>
          </w:p>
          <w:p w14:paraId="68B91026">
            <w:pPr>
              <w:pStyle w:val="41"/>
              <w:keepNext w:val="0"/>
              <w:keepLines w:val="0"/>
              <w:pageBreakBefore w:val="0"/>
              <w:numPr>
                <w:ilvl w:val="0"/>
                <w:numId w:val="3"/>
              </w:numPr>
              <w:wordWrap/>
              <w:overflowPunct/>
              <w:topLinePunct w:val="0"/>
              <w:bidi w:val="0"/>
              <w:adjustRightInd w:val="0"/>
              <w:spacing w:before="254" w:line="360" w:lineRule="auto"/>
              <w:ind w:left="113" w:right="228" w:firstLine="4"/>
              <w:outlineLvl w:val="9"/>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lang w:val="en-US"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w:t>
            </w:r>
          </w:p>
          <w:p w14:paraId="4EE36EAC">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）提供具有履行合同所必须的设备和专业技术能力的承诺函原件；</w:t>
            </w:r>
          </w:p>
          <w:p w14:paraId="449CF842">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）提供参加政府采购活动前三年内，在经营活动中没有重大违法记录（承诺函原件）</w:t>
            </w:r>
          </w:p>
          <w:p w14:paraId="72BEACA0">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）相互关联存在实际控制、管理关系的两个企业，不得参加同一项目的投标。</w:t>
            </w:r>
          </w:p>
          <w:p w14:paraId="1DA7C6C6">
            <w:pPr>
              <w:keepNext w:val="0"/>
              <w:keepLines w:val="0"/>
              <w:pageBreakBefore w:val="0"/>
              <w:widowControl w:val="0"/>
              <w:kinsoku/>
              <w:wordWrap/>
              <w:overflowPunct/>
              <w:topLinePunct w:val="0"/>
              <w:autoSpaceDE/>
              <w:autoSpaceDN/>
              <w:bidi w:val="0"/>
              <w:spacing w:line="44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投标保证金凭证</w:t>
            </w:r>
          </w:p>
          <w:p w14:paraId="527FE258">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政府采购诚信承诺书</w:t>
            </w:r>
          </w:p>
          <w:p w14:paraId="23DF7DC7">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反商业贿赂承诺书</w:t>
            </w:r>
          </w:p>
          <w:p w14:paraId="18DFA386">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（12）投标人如在“信用中国”网站、中国政府采购网被列入严重违法失信行为记录名单的（尚在处罚期内的），将拒绝其参加本次政府采购活动（开标现场查询）。</w:t>
            </w:r>
          </w:p>
          <w:p w14:paraId="7CF26958">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4.本项目不接受联合体参加。</w:t>
            </w:r>
          </w:p>
          <w:p w14:paraId="59875D35">
            <w:pPr>
              <w:keepNext w:val="0"/>
              <w:keepLines w:val="0"/>
              <w:pageBreakBefore w:val="0"/>
              <w:widowControl w:val="0"/>
              <w:kinsoku/>
              <w:wordWrap/>
              <w:overflowPunct/>
              <w:topLinePunct w:val="0"/>
              <w:autoSpaceDE/>
              <w:autoSpaceDN/>
              <w:bidi w:val="0"/>
              <w:spacing w:line="44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注：投标人提交的所有证明文件及材料必须清晰、准确、真实。</w:t>
            </w:r>
          </w:p>
        </w:tc>
      </w:tr>
      <w:tr w14:paraId="37C14089">
        <w:tblPrEx>
          <w:tblCellMar>
            <w:top w:w="0" w:type="dxa"/>
            <w:left w:w="108" w:type="dxa"/>
            <w:bottom w:w="0" w:type="dxa"/>
            <w:right w:w="108" w:type="dxa"/>
          </w:tblCellMar>
        </w:tblPrEx>
        <w:trPr>
          <w:trHeight w:val="947"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DFCFC9">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592382">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是否允许递交备选</w:t>
            </w:r>
          </w:p>
          <w:p w14:paraId="01B801E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投标方案</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F81EAC">
            <w:pPr>
              <w:keepNext w:val="0"/>
              <w:keepLines w:val="0"/>
              <w:pageBreakBefore w:val="0"/>
              <w:widowControl w:val="0"/>
              <w:kinsoku/>
              <w:wordWrap/>
              <w:overflowPunct/>
              <w:topLinePunct w:val="0"/>
              <w:autoSpaceDE/>
              <w:autoSpaceDN/>
              <w:bidi w:val="0"/>
              <w:spacing w:line="44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☑不允许</w:t>
            </w:r>
          </w:p>
          <w:p w14:paraId="7482EFDD">
            <w:pPr>
              <w:keepNext w:val="0"/>
              <w:keepLines w:val="0"/>
              <w:pageBreakBefore w:val="0"/>
              <w:widowControl w:val="0"/>
              <w:kinsoku/>
              <w:wordWrap/>
              <w:overflowPunct/>
              <w:topLinePunct w:val="0"/>
              <w:autoSpaceDE/>
              <w:autoSpaceDN/>
              <w:bidi w:val="0"/>
              <w:spacing w:line="440" w:lineRule="exact"/>
              <w:ind w:left="360" w:hanging="360" w:hangingChars="150"/>
              <w:jc w:val="lef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□允许。要求：只有中标人所递交的备选投标方案方可予以考虑。评标委员会认为中标人的备选投标方案优于其按照招标文件要求的投标方案，采购人可以接受该备选投标方案。</w:t>
            </w:r>
          </w:p>
        </w:tc>
      </w:tr>
      <w:tr w14:paraId="25917EE9">
        <w:tblPrEx>
          <w:shd w:val="clear" w:color="auto" w:fill="auto"/>
          <w:tblCellMar>
            <w:top w:w="0" w:type="dxa"/>
            <w:left w:w="108" w:type="dxa"/>
            <w:bottom w:w="0" w:type="dxa"/>
            <w:right w:w="108" w:type="dxa"/>
          </w:tblCellMar>
        </w:tblPrEx>
        <w:trPr>
          <w:trHeight w:val="842"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E0D2E">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F152C">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投标报价的范围</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A9A9D">
            <w:pPr>
              <w:keepNext w:val="0"/>
              <w:keepLines w:val="0"/>
              <w:pageBreakBefore w:val="0"/>
              <w:widowControl w:val="0"/>
              <w:kinsoku/>
              <w:wordWrap/>
              <w:overflowPunct/>
              <w:topLinePunct w:val="0"/>
              <w:autoSpaceDE/>
              <w:autoSpaceDN/>
              <w:bidi w:val="0"/>
              <w:spacing w:line="44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含税全包价，包括产品保险、运输、装卸、安装、调试、培训、验收等一切费用。</w:t>
            </w:r>
          </w:p>
        </w:tc>
      </w:tr>
      <w:tr w14:paraId="0A740C8C">
        <w:tblPrEx>
          <w:tblCellMar>
            <w:top w:w="0" w:type="dxa"/>
            <w:left w:w="108" w:type="dxa"/>
            <w:bottom w:w="0" w:type="dxa"/>
            <w:right w:w="108" w:type="dxa"/>
          </w:tblCellMar>
        </w:tblPrEx>
        <w:trPr>
          <w:trHeight w:val="1558"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EE64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95A3B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投标报价的次数</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E265AD">
            <w:pPr>
              <w:keepNext w:val="0"/>
              <w:keepLines w:val="0"/>
              <w:pageBreakBefore w:val="0"/>
              <w:widowControl w:val="0"/>
              <w:kinsoku/>
              <w:wordWrap/>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本次投标报价为一次不得更改报价，投标人只有一次报价的机会。投标报价（即开标报价）不得有选择性报价和附有条件的报价，且不得高于预算金额（备注：设定最高限价的，本项内容改为最高限价）。</w:t>
            </w:r>
          </w:p>
        </w:tc>
      </w:tr>
      <w:tr w14:paraId="18B2DD80">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A5285E">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B489B0">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样品</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75BF81">
            <w:pPr>
              <w:keepNext w:val="0"/>
              <w:keepLines w:val="0"/>
              <w:pageBreakBefore w:val="0"/>
              <w:widowControl w:val="0"/>
              <w:kinsoku/>
              <w:wordWrap/>
              <w:overflowPunct/>
              <w:topLinePunct w:val="0"/>
              <w:autoSpaceDE/>
              <w:autoSpaceDN/>
              <w:bidi w:val="0"/>
              <w:spacing w:line="440" w:lineRule="exact"/>
              <w:jc w:val="left"/>
              <w:rPr>
                <w:rFonts w:hint="eastAsia"/>
                <w:color w:val="auto"/>
                <w:highlight w:val="none"/>
              </w:rPr>
            </w:pPr>
            <w:r>
              <w:rPr>
                <w:rFonts w:hint="eastAsia" w:ascii="宋体" w:hAnsi="宋体" w:eastAsia="宋体" w:cs="宋体"/>
                <w:color w:val="auto"/>
                <w:sz w:val="24"/>
                <w:szCs w:val="24"/>
                <w:highlight w:val="none"/>
                <w:lang w:val="zh-CN"/>
              </w:rPr>
              <w:t>不需要</w:t>
            </w:r>
          </w:p>
        </w:tc>
      </w:tr>
      <w:tr w14:paraId="231ECCD9">
        <w:tblPrEx>
          <w:shd w:val="clear" w:color="auto" w:fill="auto"/>
          <w:tblCellMar>
            <w:top w:w="0" w:type="dxa"/>
            <w:left w:w="108" w:type="dxa"/>
            <w:bottom w:w="0" w:type="dxa"/>
            <w:right w:w="108" w:type="dxa"/>
          </w:tblCellMar>
        </w:tblPrEx>
        <w:trPr>
          <w:trHeight w:val="40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96960">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3AE2D">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投标保证金的交纳</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1F58B3">
            <w:pPr>
              <w:shd w:val="clear" w:color="auto" w:fill="auto"/>
              <w:spacing w:line="360" w:lineRule="auto"/>
              <w:rPr>
                <w:rFonts w:hint="eastAsia"/>
                <w:color w:val="auto"/>
                <w:sz w:val="24"/>
                <w:szCs w:val="24"/>
                <w:highlight w:val="none"/>
                <w:lang w:val="en-US" w:eastAsia="zh-CN"/>
              </w:rPr>
            </w:pPr>
            <w:r>
              <w:rPr>
                <w:rFonts w:hint="default"/>
                <w:color w:val="auto"/>
                <w:sz w:val="24"/>
                <w:szCs w:val="24"/>
                <w:highlight w:val="none"/>
                <w:lang w:val="en-US" w:eastAsia="zh-CN"/>
              </w:rPr>
              <w:t>投标保证金</w:t>
            </w:r>
            <w:r>
              <w:rPr>
                <w:rFonts w:hint="eastAsia"/>
                <w:color w:val="auto"/>
                <w:sz w:val="24"/>
                <w:szCs w:val="24"/>
                <w:highlight w:val="none"/>
                <w:lang w:val="en-US" w:eastAsia="zh-CN"/>
              </w:rPr>
              <w:t>:</w:t>
            </w:r>
          </w:p>
          <w:p w14:paraId="6A98E4FA">
            <w:pPr>
              <w:keepNext w:val="0"/>
              <w:keepLines w:val="0"/>
              <w:widowControl/>
              <w:suppressLineNumbers w:val="0"/>
              <w:jc w:val="left"/>
              <w:rPr>
                <w:rFonts w:hint="eastAsia"/>
                <w:color w:val="auto"/>
                <w:spacing w:val="-6"/>
                <w:highlight w:val="none"/>
                <w:lang w:val="en-US" w:eastAsia="zh-CN"/>
              </w:rPr>
            </w:pPr>
            <w:r>
              <w:rPr>
                <w:rFonts w:hint="eastAsia"/>
                <w:color w:val="auto"/>
                <w:sz w:val="24"/>
                <w:szCs w:val="24"/>
                <w:highlight w:val="none"/>
                <w:lang w:val="en-US" w:eastAsia="zh-CN"/>
              </w:rPr>
              <w:t>1</w:t>
            </w:r>
            <w:r>
              <w:rPr>
                <w:rFonts w:hint="eastAsia"/>
                <w:color w:val="auto"/>
                <w:spacing w:val="-6"/>
                <w:highlight w:val="none"/>
                <w:lang w:val="en-US" w:eastAsia="zh-CN"/>
              </w:rPr>
              <w:t>、</w:t>
            </w:r>
            <w:r>
              <w:rPr>
                <w:rFonts w:hint="eastAsia" w:ascii="宋体" w:hAnsi="宋体" w:eastAsia="宋体" w:cs="宋体"/>
                <w:color w:val="auto"/>
                <w:kern w:val="0"/>
                <w:sz w:val="24"/>
                <w:szCs w:val="24"/>
                <w:highlight w:val="none"/>
                <w:lang w:val="en-US" w:eastAsia="zh-CN" w:bidi="ar"/>
              </w:rPr>
              <w:t>投标保证金的递交截止时间：</w:t>
            </w:r>
            <w:r>
              <w:rPr>
                <w:rFonts w:hint="default" w:ascii="Times New Roman" w:hAnsi="Times New Roman" w:eastAsia="宋体" w:cs="Times New Roman"/>
                <w:color w:val="auto"/>
                <w:kern w:val="0"/>
                <w:sz w:val="24"/>
                <w:szCs w:val="24"/>
                <w:highlight w:val="none"/>
                <w:lang w:val="en-US" w:eastAsia="zh-CN" w:bidi="ar"/>
              </w:rPr>
              <w:t>202</w:t>
            </w:r>
            <w:r>
              <w:rPr>
                <w:rFonts w:hint="eastAsia" w:ascii="Times New Roman" w:hAnsi="Times New Roman" w:eastAsia="宋体" w:cs="Times New Roman"/>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 xml:space="preserve">年 </w:t>
            </w:r>
            <w:r>
              <w:rPr>
                <w:rFonts w:hint="default" w:ascii="Times New Roman" w:hAnsi="Times New Roman" w:eastAsia="宋体" w:cs="Times New Roman"/>
                <w:color w:val="auto"/>
                <w:kern w:val="0"/>
                <w:sz w:val="24"/>
                <w:szCs w:val="24"/>
                <w:highlight w:val="none"/>
                <w:lang w:val="en-US" w:eastAsia="zh-CN" w:bidi="ar"/>
              </w:rPr>
              <w:t>0</w:t>
            </w:r>
            <w:r>
              <w:rPr>
                <w:rFonts w:hint="eastAsia" w:ascii="Times New Roman" w:hAnsi="Times New Roman" w:cs="Times New Roman"/>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04</w:t>
            </w:r>
            <w:r>
              <w:rPr>
                <w:rFonts w:hint="eastAsia" w:ascii="宋体" w:hAnsi="宋体" w:eastAsia="宋体" w:cs="宋体"/>
                <w:color w:val="auto"/>
                <w:kern w:val="0"/>
                <w:sz w:val="24"/>
                <w:szCs w:val="24"/>
                <w:highlight w:val="none"/>
                <w:lang w:val="en-US" w:eastAsia="zh-CN" w:bidi="ar"/>
              </w:rPr>
              <w:t xml:space="preserve"> 日 </w:t>
            </w:r>
            <w:r>
              <w:rPr>
                <w:rFonts w:hint="default" w:ascii="Times New Roman" w:hAnsi="Times New Roman" w:eastAsia="宋体" w:cs="Times New Roman"/>
                <w:color w:val="auto"/>
                <w:kern w:val="0"/>
                <w:sz w:val="24"/>
                <w:szCs w:val="24"/>
                <w:highlight w:val="none"/>
                <w:lang w:val="en-US" w:eastAsia="zh-CN" w:bidi="ar"/>
              </w:rPr>
              <w:t>1</w:t>
            </w:r>
            <w:r>
              <w:rPr>
                <w:rFonts w:hint="eastAsia" w:ascii="Times New Roman" w:hAnsi="Times New Roman" w:cs="Times New Roman"/>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 xml:space="preserve">00 </w:t>
            </w:r>
            <w:r>
              <w:rPr>
                <w:rFonts w:hint="eastAsia" w:ascii="宋体" w:hAnsi="宋体" w:eastAsia="宋体" w:cs="宋体"/>
                <w:color w:val="auto"/>
                <w:kern w:val="0"/>
                <w:sz w:val="24"/>
                <w:szCs w:val="24"/>
                <w:highlight w:val="none"/>
                <w:lang w:val="en-US" w:eastAsia="zh-CN" w:bidi="ar"/>
              </w:rPr>
              <w:t>时 （北京时间）</w:t>
            </w:r>
          </w:p>
          <w:p w14:paraId="053F21E3">
            <w:pPr>
              <w:shd w:val="clear" w:color="auto" w:fill="auto"/>
              <w:spacing w:line="360" w:lineRule="auto"/>
              <w:rPr>
                <w:rFonts w:hint="default"/>
                <w:color w:val="auto"/>
                <w:sz w:val="24"/>
                <w:szCs w:val="24"/>
                <w:highlight w:val="none"/>
                <w:lang w:val="en-US" w:eastAsia="zh-CN"/>
              </w:rPr>
            </w:pPr>
            <w:r>
              <w:rPr>
                <w:rFonts w:hint="default"/>
                <w:b/>
                <w:bCs/>
                <w:color w:val="auto"/>
                <w:sz w:val="24"/>
                <w:szCs w:val="24"/>
                <w:highlight w:val="none"/>
                <w:lang w:val="en-US" w:eastAsia="zh-CN"/>
              </w:rPr>
              <w:t>投标保证金金额：</w:t>
            </w:r>
            <w:r>
              <w:rPr>
                <w:rFonts w:hint="eastAsia"/>
                <w:b/>
                <w:bCs/>
                <w:color w:val="auto"/>
                <w:sz w:val="24"/>
                <w:szCs w:val="24"/>
                <w:highlight w:val="none"/>
                <w:lang w:val="en-US" w:eastAsia="zh-CN"/>
              </w:rPr>
              <w:t>20000</w:t>
            </w:r>
            <w:r>
              <w:rPr>
                <w:rFonts w:hint="default"/>
                <w:b/>
                <w:bCs/>
                <w:color w:val="auto"/>
                <w:sz w:val="24"/>
                <w:szCs w:val="24"/>
                <w:highlight w:val="none"/>
                <w:lang w:val="en-US" w:eastAsia="zh-CN"/>
              </w:rPr>
              <w:t>元（</w:t>
            </w:r>
            <w:r>
              <w:rPr>
                <w:rFonts w:hint="eastAsia"/>
                <w:b/>
                <w:bCs/>
                <w:color w:val="auto"/>
                <w:sz w:val="24"/>
                <w:szCs w:val="24"/>
                <w:highlight w:val="none"/>
                <w:lang w:val="en-US" w:eastAsia="zh-CN"/>
              </w:rPr>
              <w:t>大写：贰万元整</w:t>
            </w:r>
            <w:r>
              <w:rPr>
                <w:rFonts w:hint="default"/>
                <w:b/>
                <w:bCs/>
                <w:color w:val="auto"/>
                <w:sz w:val="24"/>
                <w:szCs w:val="24"/>
                <w:highlight w:val="none"/>
                <w:lang w:val="en-US" w:eastAsia="zh-CN"/>
              </w:rPr>
              <w:t>）。</w:t>
            </w:r>
            <w:r>
              <w:rPr>
                <w:rFonts w:hint="default"/>
                <w:color w:val="auto"/>
                <w:sz w:val="24"/>
                <w:szCs w:val="24"/>
                <w:highlight w:val="none"/>
                <w:lang w:val="en-US" w:eastAsia="zh-CN"/>
              </w:rPr>
              <w:t>：</w:t>
            </w:r>
          </w:p>
          <w:p w14:paraId="4FB0249C">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投标保证金提交方式：</w:t>
            </w:r>
          </w:p>
          <w:p w14:paraId="316D51EA">
            <w:pPr>
              <w:shd w:val="clear" w:color="auto" w:fill="auto"/>
              <w:spacing w:line="360" w:lineRule="auto"/>
              <w:rPr>
                <w:rFonts w:hint="default" w:ascii="宋体" w:hAnsi="宋体" w:eastAsia="宋体" w:cs="宋体"/>
                <w:color w:val="auto"/>
                <w:spacing w:val="-6"/>
                <w:kern w:val="2"/>
                <w:sz w:val="24"/>
                <w:szCs w:val="24"/>
                <w:highlight w:val="none"/>
                <w:lang w:val="en-US" w:eastAsia="zh-CN" w:bidi="ar-SA"/>
              </w:rPr>
            </w:pPr>
            <w:r>
              <w:rPr>
                <w:rFonts w:ascii="宋体" w:hAnsi="宋体" w:eastAsia="宋体" w:cs="宋体"/>
                <w:color w:val="auto"/>
                <w:spacing w:val="-6"/>
                <w:kern w:val="2"/>
                <w:sz w:val="24"/>
                <w:szCs w:val="24"/>
                <w:highlight w:val="none"/>
                <w:lang w:val="en-US" w:eastAsia="en-US" w:bidi="ar-SA"/>
              </w:rPr>
              <w:t>投标人</w:t>
            </w:r>
            <w:r>
              <w:rPr>
                <w:rFonts w:hint="eastAsia" w:ascii="宋体" w:hAnsi="宋体" w:eastAsia="宋体" w:cs="宋体"/>
                <w:color w:val="auto"/>
                <w:spacing w:val="-6"/>
                <w:kern w:val="2"/>
                <w:sz w:val="24"/>
                <w:szCs w:val="24"/>
                <w:highlight w:val="none"/>
                <w:lang w:val="en-US" w:eastAsia="en-US" w:bidi="ar-SA"/>
              </w:rPr>
              <w:t>投标保证金应当以支票、汇票、本票或者金融机构、担保机构出具的保函等非现金形式提交</w:t>
            </w:r>
            <w:r>
              <w:rPr>
                <w:rFonts w:hint="default" w:ascii="宋体" w:hAnsi="宋体" w:eastAsia="宋体" w:cs="宋体"/>
                <w:color w:val="auto"/>
                <w:spacing w:val="-6"/>
                <w:kern w:val="2"/>
                <w:sz w:val="24"/>
                <w:szCs w:val="24"/>
                <w:highlight w:val="none"/>
                <w:lang w:val="en-US" w:eastAsia="zh-CN" w:bidi="ar-SA"/>
              </w:rPr>
              <w:t>，除此之外以电汇、转账等方式提交投标保证金的，作无效投标处理；</w:t>
            </w:r>
          </w:p>
          <w:p w14:paraId="340C7A43">
            <w:pPr>
              <w:shd w:val="clear" w:color="auto" w:fill="auto"/>
              <w:spacing w:line="360" w:lineRule="auto"/>
              <w:rPr>
                <w:rFonts w:hint="default"/>
                <w:color w:val="auto"/>
                <w:sz w:val="24"/>
                <w:szCs w:val="24"/>
                <w:highlight w:val="none"/>
                <w:lang w:val="en-US" w:eastAsia="zh-CN"/>
              </w:rPr>
            </w:pPr>
            <w:r>
              <w:rPr>
                <w:rFonts w:hint="default"/>
                <w:color w:val="auto"/>
                <w:sz w:val="24"/>
                <w:szCs w:val="24"/>
                <w:highlight w:val="none"/>
                <w:lang w:val="en-US" w:eastAsia="zh-CN"/>
              </w:rPr>
              <w:t>账户名称:阿克苏地区振远项目咨询管理有限公司</w:t>
            </w:r>
          </w:p>
          <w:p w14:paraId="680DFD67">
            <w:pPr>
              <w:shd w:val="clear" w:color="auto" w:fill="auto"/>
              <w:spacing w:line="360" w:lineRule="auto"/>
              <w:rPr>
                <w:rFonts w:hint="default"/>
                <w:color w:val="auto"/>
                <w:sz w:val="24"/>
                <w:szCs w:val="24"/>
                <w:highlight w:val="none"/>
                <w:lang w:val="en-US" w:eastAsia="zh-CN"/>
              </w:rPr>
            </w:pPr>
            <w:r>
              <w:rPr>
                <w:rFonts w:hint="default"/>
                <w:color w:val="auto"/>
                <w:sz w:val="24"/>
                <w:szCs w:val="24"/>
                <w:highlight w:val="none"/>
                <w:lang w:val="en-US" w:eastAsia="zh-CN"/>
              </w:rPr>
              <w:t>账</w:t>
            </w:r>
            <w:r>
              <w:rPr>
                <w:rFonts w:hint="eastAsia"/>
                <w:color w:val="auto"/>
                <w:sz w:val="24"/>
                <w:szCs w:val="24"/>
                <w:highlight w:val="none"/>
                <w:lang w:val="en-US" w:eastAsia="zh-CN"/>
              </w:rPr>
              <w:t xml:space="preserve">  </w:t>
            </w:r>
            <w:r>
              <w:rPr>
                <w:rFonts w:hint="default"/>
                <w:color w:val="auto"/>
                <w:sz w:val="24"/>
                <w:szCs w:val="24"/>
                <w:highlight w:val="none"/>
                <w:lang w:val="en-US" w:eastAsia="zh-CN"/>
              </w:rPr>
              <w:t>号：3014020909200059464</w:t>
            </w:r>
          </w:p>
          <w:p w14:paraId="60FED65B">
            <w:pPr>
              <w:shd w:val="clear" w:color="auto" w:fill="auto"/>
              <w:spacing w:line="360" w:lineRule="auto"/>
              <w:rPr>
                <w:rFonts w:hint="default"/>
                <w:color w:val="auto"/>
                <w:sz w:val="24"/>
                <w:szCs w:val="24"/>
                <w:highlight w:val="none"/>
                <w:lang w:val="en-US" w:eastAsia="zh-CN"/>
              </w:rPr>
            </w:pPr>
            <w:r>
              <w:rPr>
                <w:rFonts w:hint="default"/>
                <w:color w:val="auto"/>
                <w:sz w:val="24"/>
                <w:szCs w:val="24"/>
                <w:highlight w:val="none"/>
                <w:lang w:val="en-US" w:eastAsia="zh-CN"/>
              </w:rPr>
              <w:t>开户行：中国工商银行股份有限公司阿克苏分行塔北路支行</w:t>
            </w:r>
          </w:p>
          <w:p w14:paraId="77415F95">
            <w:pPr>
              <w:keepNext w:val="0"/>
              <w:keepLines w:val="0"/>
              <w:widowControl/>
              <w:suppressLineNumbers w:val="0"/>
              <w:jc w:val="left"/>
              <w:rPr>
                <w:rFonts w:hint="default" w:ascii="宋体" w:hAnsi="宋体" w:eastAsia="宋体" w:cs="宋体"/>
                <w:color w:val="auto"/>
                <w:spacing w:val="-6"/>
                <w:kern w:val="2"/>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
              </w:rPr>
              <w:t>备注：“</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项目”“项目编号”投标保证金</w:t>
            </w:r>
            <w:r>
              <w:rPr>
                <w:rFonts w:hint="default"/>
                <w:color w:val="auto"/>
                <w:sz w:val="24"/>
                <w:szCs w:val="24"/>
                <w:highlight w:val="none"/>
                <w:lang w:val="en-US" w:eastAsia="zh-CN"/>
              </w:rPr>
              <w:t xml:space="preserve"> </w:t>
            </w:r>
          </w:p>
          <w:p w14:paraId="5F18CE14">
            <w:pPr>
              <w:shd w:val="clear" w:color="auto" w:fill="auto"/>
              <w:spacing w:line="360" w:lineRule="auto"/>
              <w:rPr>
                <w:rFonts w:hint="default"/>
                <w:color w:val="auto"/>
                <w:sz w:val="24"/>
                <w:szCs w:val="24"/>
                <w:highlight w:val="none"/>
                <w:lang w:val="en-US" w:eastAsia="zh-CN"/>
              </w:rPr>
            </w:pPr>
            <w:r>
              <w:rPr>
                <w:rFonts w:hint="default"/>
                <w:color w:val="auto"/>
                <w:sz w:val="24"/>
                <w:szCs w:val="24"/>
                <w:highlight w:val="none"/>
                <w:lang w:val="en-US" w:eastAsia="zh-CN"/>
              </w:rPr>
              <w:t xml:space="preserve">2、采用电子保函形式应按以下要求办理： </w:t>
            </w:r>
          </w:p>
          <w:p w14:paraId="4F594F06">
            <w:pPr>
              <w:shd w:val="clear" w:color="auto" w:fill="auto"/>
              <w:spacing w:line="360" w:lineRule="auto"/>
              <w:rPr>
                <w:rFonts w:hint="default"/>
                <w:color w:val="auto"/>
                <w:sz w:val="24"/>
                <w:szCs w:val="24"/>
                <w:highlight w:val="none"/>
                <w:lang w:val="en-US" w:eastAsia="zh-CN"/>
              </w:rPr>
            </w:pPr>
            <w:r>
              <w:rPr>
                <w:rFonts w:hint="default"/>
                <w:color w:val="auto"/>
                <w:sz w:val="24"/>
                <w:szCs w:val="24"/>
                <w:highlight w:val="none"/>
                <w:lang w:val="en-US" w:eastAsia="zh-CN"/>
              </w:rPr>
              <w:t xml:space="preserve">（1）电子保函按照“一项目一保函”的原则。 </w:t>
            </w:r>
          </w:p>
          <w:p w14:paraId="6EC82FB5">
            <w:pPr>
              <w:shd w:val="clear" w:color="auto" w:fill="auto"/>
              <w:spacing w:line="360" w:lineRule="auto"/>
              <w:rPr>
                <w:rFonts w:hint="default"/>
                <w:color w:val="auto"/>
                <w:sz w:val="24"/>
                <w:szCs w:val="24"/>
                <w:highlight w:val="none"/>
                <w:lang w:val="en-US" w:eastAsia="zh-CN"/>
              </w:rPr>
            </w:pPr>
            <w:r>
              <w:rPr>
                <w:rFonts w:hint="default"/>
                <w:color w:val="auto"/>
                <w:sz w:val="24"/>
                <w:szCs w:val="24"/>
                <w:highlight w:val="none"/>
                <w:lang w:val="en-US" w:eastAsia="zh-CN"/>
              </w:rPr>
              <w:t xml:space="preserve">（2）电子保函须在招标文件规定的投标截止时间前办理完成。供应商以保函形式缴纳投标保证金的，应通过“新疆政府采购信用融资服务服务平台”，购买电子投标保函所支付的费用应从供应商企业基本账户转出，同时将电子投标保单作为电子投标文件组成部分在投标时一并提交。 </w:t>
            </w:r>
          </w:p>
          <w:p w14:paraId="761F4CD0">
            <w:pPr>
              <w:shd w:val="clear" w:color="auto" w:fill="auto"/>
              <w:spacing w:line="360" w:lineRule="auto"/>
              <w:rPr>
                <w:rFonts w:hint="eastAsia" w:ascii="宋体" w:hAnsi="宋体" w:eastAsia="宋体" w:cs="宋体"/>
                <w:color w:val="auto"/>
                <w:sz w:val="24"/>
                <w:szCs w:val="24"/>
                <w:highlight w:val="none"/>
                <w:lang w:eastAsia="zh-CN"/>
              </w:rPr>
            </w:pPr>
            <w:r>
              <w:rPr>
                <w:rFonts w:hint="default"/>
                <w:color w:val="auto"/>
                <w:sz w:val="24"/>
                <w:szCs w:val="24"/>
                <w:highlight w:val="none"/>
                <w:lang w:val="en-US" w:eastAsia="zh-CN"/>
              </w:rPr>
              <w:t>（备注：如采用电子保函形式缴纳的，在投标截止日之前须从新疆政府采购信用融资服务服务平台中确认是否生效。）</w:t>
            </w:r>
          </w:p>
        </w:tc>
      </w:tr>
      <w:tr w14:paraId="0D903ADC">
        <w:tblPrEx>
          <w:shd w:val="clear" w:color="auto" w:fill="auto"/>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7E1127">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39071A">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投标文件</w:t>
            </w:r>
            <w:r>
              <w:rPr>
                <w:rFonts w:hint="eastAsia" w:ascii="宋体" w:hAnsi="宋体" w:cs="宋体"/>
                <w:color w:val="auto"/>
                <w:sz w:val="24"/>
                <w:szCs w:val="24"/>
                <w:highlight w:val="none"/>
                <w:lang w:val="en-US" w:eastAsia="zh-CN"/>
              </w:rPr>
              <w:t>编制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6E8C1">
            <w:pPr>
              <w:shd w:val="clear" w:color="auto" w:fill="auto"/>
              <w:spacing w:line="360" w:lineRule="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 xml:space="preserve">1.本项目采用电子交易方式，供应商可前往新疆政府采购网 </w:t>
            </w:r>
          </w:p>
          <w:p w14:paraId="52114667">
            <w:pPr>
              <w:shd w:val="clear" w:color="auto" w:fill="auto"/>
              <w:spacing w:line="360" w:lineRule="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 xml:space="preserve">(http://www.ccgp-xinjiang.gov.cn/)下载专区，下载政采云电子投标客户端，安装完成后，可通过账号密码或 CA 登录客户端进行投标文件制作。在使用政采云电子投标客户端时，建议使用 WIN7 及以上操作系统。如有问题可拨打政采云客户服务热线 </w:t>
            </w:r>
            <w:r>
              <w:rPr>
                <w:rFonts w:hint="default" w:eastAsia="宋体" w:cs="Times New Roman"/>
                <w:color w:val="auto"/>
                <w:sz w:val="24"/>
                <w:szCs w:val="24"/>
                <w:highlight w:val="none"/>
                <w:lang w:val="en-US" w:eastAsia="zh-CN"/>
              </w:rPr>
              <w:t xml:space="preserve">95763 </w:t>
            </w:r>
            <w:r>
              <w:rPr>
                <w:rFonts w:hint="eastAsia" w:eastAsia="宋体" w:cs="Times New Roman"/>
                <w:color w:val="auto"/>
                <w:sz w:val="24"/>
                <w:szCs w:val="24"/>
                <w:highlight w:val="none"/>
                <w:lang w:val="en-US" w:eastAsia="zh-CN"/>
              </w:rPr>
              <w:t xml:space="preserve">进行咨询。 </w:t>
            </w:r>
          </w:p>
          <w:p w14:paraId="614C24FC">
            <w:pPr>
              <w:shd w:val="clear" w:color="auto" w:fill="auto"/>
              <w:spacing w:line="360" w:lineRule="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 xml:space="preserve">2.投标文件分资格证明文件、商务技术文件、其他文件。 </w:t>
            </w:r>
          </w:p>
          <w:p w14:paraId="1BA00C47">
            <w:pPr>
              <w:shd w:val="clear" w:color="auto" w:fill="auto"/>
              <w:spacing w:line="360" w:lineRule="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 xml:space="preserve">3.投标文件内容供应商应按照招标文件的要求编写投标文件；对招标文件要求填写的表格或者资料不得缺少或者留空，投标文件不得加行。 </w:t>
            </w:r>
          </w:p>
          <w:p w14:paraId="50F72A87">
            <w:pPr>
              <w:shd w:val="clear" w:color="auto" w:fill="auto"/>
              <w:spacing w:line="360" w:lineRule="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4.投标文件应编制目录，目录、内容标注连续页码，页码从目录编起，标注于页面底部居中位置。供应商中标后应按要求提供纸质投标文件。</w:t>
            </w:r>
          </w:p>
          <w:p w14:paraId="1F32C7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zh-CN"/>
              </w:rPr>
            </w:pPr>
          </w:p>
        </w:tc>
      </w:tr>
      <w:tr w14:paraId="16F02F27">
        <w:tblPrEx>
          <w:shd w:val="clear" w:color="auto" w:fill="auto"/>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2C02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2FF88A">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 xml:space="preserve">投标文件签字或盖章 </w:t>
            </w:r>
          </w:p>
          <w:p w14:paraId="65C088A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要求</w:t>
            </w:r>
          </w:p>
          <w:p w14:paraId="0BCC4254">
            <w:pPr>
              <w:spacing w:line="400" w:lineRule="exact"/>
              <w:jc w:val="center"/>
              <w:rPr>
                <w:rFonts w:hint="eastAsia" w:ascii="宋体" w:hAnsi="宋体" w:eastAsia="宋体" w:cs="宋体"/>
                <w:color w:val="auto"/>
                <w:sz w:val="24"/>
                <w:szCs w:val="24"/>
                <w:highlight w:val="none"/>
                <w:lang w:val="zh-CN"/>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98C4BE">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color w:val="auto"/>
                <w:sz w:val="24"/>
                <w:highlight w:val="none"/>
              </w:rPr>
            </w:pPr>
            <w:r>
              <w:rPr>
                <w:rFonts w:hint="eastAsia"/>
                <w:color w:val="auto"/>
                <w:sz w:val="24"/>
                <w:highlight w:val="none"/>
                <w:lang w:val="en-US" w:eastAsia="zh-CN"/>
              </w:rPr>
              <w:t xml:space="preserve">1.招标文件要求供应商法定代表人或者被授权代表签字处，均须加盖其个人电子印章，并逐页加盖单位公章的电子印章。 </w:t>
            </w:r>
          </w:p>
          <w:p w14:paraId="4318C618">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color w:val="auto"/>
                <w:sz w:val="24"/>
                <w:highlight w:val="none"/>
              </w:rPr>
            </w:pPr>
            <w:r>
              <w:rPr>
                <w:rFonts w:hint="eastAsia"/>
                <w:color w:val="auto"/>
                <w:sz w:val="24"/>
                <w:highlight w:val="none"/>
                <w:lang w:val="en-US" w:eastAsia="zh-CN"/>
              </w:rPr>
              <w:t xml:space="preserve">2.被授权代表人签章的，投标文件应附法人授权委托书。 </w:t>
            </w:r>
          </w:p>
          <w:p w14:paraId="07957C3C">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rFonts w:hint="eastAsia" w:ascii="宋体" w:hAnsi="宋体" w:eastAsia="宋体" w:cs="宋体"/>
                <w:color w:val="auto"/>
                <w:sz w:val="24"/>
                <w:szCs w:val="24"/>
                <w:highlight w:val="none"/>
                <w:lang w:val="zh-CN"/>
              </w:rPr>
            </w:pPr>
            <w:r>
              <w:rPr>
                <w:rFonts w:hint="eastAsia"/>
                <w:color w:val="auto"/>
                <w:sz w:val="24"/>
                <w:highlight w:val="none"/>
                <w:lang w:val="en-US" w:eastAsia="zh-CN"/>
              </w:rPr>
              <w:t>3.供应商在投标文件以及相关书面文件中的单位盖章(包括印章、公章等)均指与供应商名称全称相一致的标准公章，不得使用其他形式(如带有“专用章”、“合同章”、“财务章”、“业务章”等)的印章。</w:t>
            </w:r>
          </w:p>
        </w:tc>
      </w:tr>
      <w:tr w14:paraId="2FF65754">
        <w:tblPrEx>
          <w:shd w:val="clear" w:color="auto" w:fill="auto"/>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CC8F7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DCAF41">
            <w:pPr>
              <w:spacing w:line="400" w:lineRule="exact"/>
              <w:jc w:val="center"/>
              <w:rPr>
                <w:rFonts w:hint="eastAsia" w:ascii="宋体" w:hAnsi="宋体" w:eastAsia="宋体" w:cs="宋体"/>
                <w:color w:val="auto"/>
                <w:sz w:val="24"/>
                <w:szCs w:val="24"/>
                <w:highlight w:val="none"/>
                <w:lang w:val="zh-CN"/>
              </w:rPr>
            </w:pPr>
            <w:r>
              <w:rPr>
                <w:color w:val="auto"/>
                <w:sz w:val="24"/>
                <w:highlight w:val="none"/>
              </w:rPr>
              <w:t>投标文件加密、上传</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CCEF2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投标文件应按</w:t>
            </w:r>
            <w:r>
              <w:rPr>
                <w:rFonts w:hint="eastAsia" w:ascii="宋体" w:hAnsi="宋体" w:eastAsia="宋体" w:cs="宋体"/>
                <w:color w:val="auto"/>
                <w:sz w:val="24"/>
                <w:szCs w:val="24"/>
                <w:highlight w:val="none"/>
                <w:lang w:val="en-US" w:eastAsia="zh-CN"/>
              </w:rPr>
              <w:t>商务文件和技术文件</w:t>
            </w:r>
            <w:r>
              <w:rPr>
                <w:rFonts w:hint="eastAsia" w:ascii="宋体" w:hAnsi="宋体" w:eastAsia="宋体" w:cs="宋体"/>
                <w:color w:val="auto"/>
                <w:sz w:val="24"/>
                <w:szCs w:val="24"/>
                <w:highlight w:val="none"/>
                <w:lang w:val="zh-CN"/>
              </w:rPr>
              <w:t>进行编制：</w:t>
            </w:r>
          </w:p>
          <w:p w14:paraId="44B2306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14:paraId="18375DC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1FAFF58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w:t>
            </w:r>
            <w:r>
              <w:rPr>
                <w:rFonts w:hint="eastAsia" w:ascii="宋体" w:hAnsi="宋体" w:cs="宋体"/>
                <w:color w:val="auto"/>
                <w:sz w:val="24"/>
                <w:szCs w:val="24"/>
                <w:highlight w:val="none"/>
                <w:lang w:val="en-US" w:eastAsia="zh-CN"/>
              </w:rPr>
              <w:t>95763</w:t>
            </w:r>
            <w:r>
              <w:rPr>
                <w:rFonts w:hint="eastAsia" w:ascii="宋体" w:hAnsi="宋体" w:eastAsia="宋体" w:cs="宋体"/>
                <w:color w:val="auto"/>
                <w:sz w:val="24"/>
                <w:szCs w:val="24"/>
                <w:highlight w:val="none"/>
                <w:lang w:val="en-US" w:eastAsia="zh-CN"/>
              </w:rPr>
              <w:t>进行咨询。</w:t>
            </w:r>
          </w:p>
          <w:p w14:paraId="31EE931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4、供应商在开标时须携带制作加密电子响应文件所使用的CA锁，电脑须提前配置好浏览器（建议使用360浏览器或谷歌浏览器），以便开标时在线解密。</w:t>
            </w:r>
          </w:p>
          <w:p w14:paraId="72E8AA4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5、投标供应商应当在投标截止时间前，将生成的“JMBS格式电子加密响应文件”上传递交至“政府采购云平台”，投标截止时间以后上传递交的响应文件将被“政府采购云平台”拒收。</w:t>
            </w:r>
          </w:p>
          <w:p w14:paraId="2BBBFE2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6、评标结束后，各投标单位须在一周内按招标文件要求将纸质版投标文件递交至招标代理处（所产生的费用投标单位自理）。纸质版投标文件可通过加密电子版投标</w:t>
            </w:r>
            <w:r>
              <w:rPr>
                <w:rFonts w:hint="eastAsia" w:ascii="宋体" w:hAnsi="宋体" w:eastAsia="宋体" w:cs="宋体"/>
                <w:b w:val="0"/>
                <w:bCs w:val="0"/>
                <w:color w:val="auto"/>
                <w:sz w:val="24"/>
                <w:szCs w:val="24"/>
                <w:highlight w:val="none"/>
                <w:lang w:val="en-US" w:eastAsia="zh-CN"/>
              </w:rPr>
              <w:t>文</w:t>
            </w:r>
            <w:r>
              <w:rPr>
                <w:rFonts w:hint="eastAsia" w:ascii="宋体" w:hAnsi="宋体" w:eastAsia="宋体" w:cs="宋体"/>
                <w:color w:val="auto"/>
                <w:sz w:val="24"/>
                <w:szCs w:val="24"/>
                <w:highlight w:val="none"/>
                <w:lang w:val="en-US" w:eastAsia="zh-CN"/>
              </w:rPr>
              <w:t>件打印生成，应当与电子版投标文件一致。【 1 、份数要求：正本壹份、副本贰份，电子标叁份 (U 盘) 。2 、装订 要求：投标文件商务技术部分装订成一册，投标文件的装订必须采用死 页胶粘本。】</w:t>
            </w:r>
          </w:p>
        </w:tc>
      </w:tr>
      <w:tr w14:paraId="3498ACEF">
        <w:tblPrEx>
          <w:tblCellMar>
            <w:top w:w="0" w:type="dxa"/>
            <w:left w:w="108" w:type="dxa"/>
            <w:bottom w:w="0" w:type="dxa"/>
            <w:right w:w="108" w:type="dxa"/>
          </w:tblCellMar>
        </w:tblPrEx>
        <w:trPr>
          <w:trHeight w:val="70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BC0DD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3959A9">
            <w:pPr>
              <w:spacing w:line="400" w:lineRule="exact"/>
              <w:jc w:val="center"/>
              <w:rPr>
                <w:rFonts w:hint="eastAsia" w:ascii="宋体" w:hAnsi="宋体" w:eastAsia="宋体" w:cs="宋体"/>
                <w:color w:val="auto"/>
                <w:sz w:val="24"/>
                <w:szCs w:val="24"/>
                <w:highlight w:val="none"/>
                <w:lang w:val="zh-CN"/>
              </w:rPr>
            </w:pPr>
            <w:r>
              <w:rPr>
                <w:color w:val="auto"/>
                <w:sz w:val="24"/>
                <w:highlight w:val="none"/>
              </w:rPr>
              <w:t>投标人签到及电子投标文件解密</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12F6E">
            <w:pPr>
              <w:spacing w:line="400" w:lineRule="exact"/>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投标人登录政采云平台，在投标截止时间前必须完成签到，（本项目解密时长为：30 分钟，签名时长为：10 分钟）开标时间后 30 分钟内（用“项目采购- 开标评标” 功能进行解密投标文件。若投标人在规定时间内未按时签到或解密的，视为无效投标。解密与加密投标文件须为同一个 CA。</w:t>
            </w:r>
          </w:p>
        </w:tc>
      </w:tr>
      <w:tr w14:paraId="1DB29705">
        <w:tblPrEx>
          <w:tblCellMar>
            <w:top w:w="0" w:type="dxa"/>
            <w:left w:w="108" w:type="dxa"/>
            <w:bottom w:w="0" w:type="dxa"/>
            <w:right w:w="108" w:type="dxa"/>
          </w:tblCellMar>
        </w:tblPrEx>
        <w:trPr>
          <w:trHeight w:val="9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59ECB">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76A2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递交投标文件截止时间及地点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92701">
            <w:pPr>
              <w:spacing w:line="40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时间：</w:t>
            </w:r>
            <w:r>
              <w:rPr>
                <w:rFonts w:hint="eastAsia" w:ascii="宋体" w:hAnsi="宋体" w:eastAsia="宋体" w:cs="宋体"/>
                <w:b/>
                <w:bCs/>
                <w:color w:val="auto"/>
                <w:sz w:val="24"/>
                <w:szCs w:val="24"/>
                <w:highlight w:val="none"/>
                <w:u w:val="single"/>
                <w:lang w:val="zh-CN"/>
              </w:rPr>
              <w:t>20</w:t>
            </w:r>
            <w:r>
              <w:rPr>
                <w:rFonts w:hint="eastAsia" w:ascii="宋体" w:hAnsi="宋体" w:eastAsia="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lang w:val="zh-CN"/>
              </w:rPr>
              <w:t>年</w:t>
            </w:r>
            <w:r>
              <w:rPr>
                <w:rFonts w:hint="eastAsia" w:ascii="宋体" w:hAnsi="宋体" w:cs="宋体"/>
                <w:b/>
                <w:bCs/>
                <w:color w:val="auto"/>
                <w:sz w:val="24"/>
                <w:szCs w:val="24"/>
                <w:highlight w:val="none"/>
                <w:u w:val="single"/>
                <w:lang w:val="en-US" w:eastAsia="zh-CN"/>
              </w:rPr>
              <w:t xml:space="preserve"> 02 </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single"/>
                <w:lang w:val="en-US" w:eastAsia="zh-CN"/>
              </w:rPr>
              <w:t xml:space="preserve">05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lang w:val="en-US" w:eastAsia="zh-CN"/>
              </w:rPr>
              <w:t>上</w:t>
            </w:r>
            <w:r>
              <w:rPr>
                <w:rFonts w:hint="eastAsia" w:ascii="宋体" w:hAnsi="宋体" w:eastAsia="宋体" w:cs="宋体"/>
                <w:b/>
                <w:bCs/>
                <w:color w:val="auto"/>
                <w:sz w:val="24"/>
                <w:szCs w:val="24"/>
                <w:highlight w:val="none"/>
                <w:lang w:val="en-US" w:eastAsia="zh-CN"/>
              </w:rPr>
              <w:t>午</w:t>
            </w:r>
            <w:r>
              <w:rPr>
                <w:rFonts w:hint="eastAsia" w:ascii="宋体" w:hAnsi="宋体" w:cs="宋体"/>
                <w:b/>
                <w:bCs/>
                <w:color w:val="auto"/>
                <w:sz w:val="24"/>
                <w:szCs w:val="24"/>
                <w:highlight w:val="none"/>
                <w:lang w:val="en-US" w:eastAsia="zh-CN"/>
              </w:rPr>
              <w:t xml:space="preserve"> 11</w:t>
            </w:r>
            <w:r>
              <w:rPr>
                <w:rFonts w:hint="eastAsia" w:ascii="宋体" w:hAnsi="宋体" w:eastAsia="宋体" w:cs="宋体"/>
                <w:b/>
                <w:bCs/>
                <w:color w:val="auto"/>
                <w:sz w:val="24"/>
                <w:szCs w:val="24"/>
                <w:highlight w:val="none"/>
                <w:lang w:val="zh-CN"/>
              </w:rPr>
              <w:t>时</w:t>
            </w:r>
            <w:r>
              <w:rPr>
                <w:rFonts w:hint="eastAsia" w:ascii="宋体" w:hAnsi="宋体" w:cs="宋体"/>
                <w:b/>
                <w:bCs/>
                <w:color w:val="auto"/>
                <w:sz w:val="24"/>
                <w:szCs w:val="24"/>
                <w:highlight w:val="none"/>
                <w:lang w:val="en-US" w:eastAsia="zh-CN"/>
              </w:rPr>
              <w:t xml:space="preserve">00 </w:t>
            </w:r>
            <w:r>
              <w:rPr>
                <w:rFonts w:hint="eastAsia" w:ascii="宋体" w:hAnsi="宋体" w:eastAsia="宋体" w:cs="宋体"/>
                <w:b/>
                <w:bCs/>
                <w:color w:val="auto"/>
                <w:sz w:val="24"/>
                <w:szCs w:val="24"/>
                <w:highlight w:val="none"/>
                <w:lang w:val="zh-CN"/>
              </w:rPr>
              <w:t>分</w:t>
            </w:r>
            <w:r>
              <w:rPr>
                <w:rFonts w:hint="eastAsia" w:ascii="宋体" w:hAnsi="宋体" w:cs="宋体"/>
                <w:b/>
                <w:bCs/>
                <w:color w:val="auto"/>
                <w:sz w:val="24"/>
                <w:szCs w:val="24"/>
                <w:highlight w:val="none"/>
                <w:lang w:val="zh-CN"/>
              </w:rPr>
              <w:t>（北京时间）</w:t>
            </w:r>
          </w:p>
          <w:p w14:paraId="4A4E38B4">
            <w:pPr>
              <w:spacing w:line="400" w:lineRule="exact"/>
              <w:ind w:left="360" w:hanging="360"/>
              <w:jc w:val="left"/>
              <w:rPr>
                <w:rFonts w:hint="eastAsia" w:ascii="宋体" w:hAnsi="宋体" w:eastAsia="宋体" w:cs="宋体"/>
                <w:b/>
                <w:color w:val="auto"/>
                <w:sz w:val="24"/>
                <w:highlight w:val="none"/>
                <w:lang w:val="zh-CN"/>
              </w:rPr>
            </w:pPr>
            <w:r>
              <w:rPr>
                <w:rFonts w:hint="eastAsia" w:ascii="宋体" w:hAnsi="宋体" w:eastAsia="宋体" w:cs="宋体"/>
                <w:b/>
                <w:bCs/>
                <w:color w:val="auto"/>
                <w:sz w:val="24"/>
                <w:szCs w:val="24"/>
                <w:highlight w:val="none"/>
                <w:lang w:val="zh-CN"/>
              </w:rPr>
              <w:t>地点：新疆政府采购网政采云不见面开标系统</w:t>
            </w:r>
          </w:p>
        </w:tc>
      </w:tr>
      <w:tr w14:paraId="6D790DF3">
        <w:tblPrEx>
          <w:tblCellMar>
            <w:top w:w="0" w:type="dxa"/>
            <w:left w:w="108" w:type="dxa"/>
            <w:bottom w:w="0" w:type="dxa"/>
            <w:right w:w="108" w:type="dxa"/>
          </w:tblCellMar>
        </w:tblPrEx>
        <w:trPr>
          <w:trHeight w:val="1131"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E131C5">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9D4C4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开标时间及地点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3D06D1">
            <w:pPr>
              <w:spacing w:line="38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时间：</w:t>
            </w:r>
            <w:r>
              <w:rPr>
                <w:rFonts w:hint="eastAsia" w:ascii="宋体" w:hAnsi="宋体" w:eastAsia="宋体" w:cs="宋体"/>
                <w:b/>
                <w:bCs/>
                <w:color w:val="auto"/>
                <w:sz w:val="24"/>
                <w:szCs w:val="24"/>
                <w:highlight w:val="none"/>
                <w:u w:val="single"/>
                <w:lang w:val="zh-CN"/>
              </w:rPr>
              <w:t>20</w:t>
            </w:r>
            <w:r>
              <w:rPr>
                <w:rFonts w:hint="eastAsia" w:ascii="宋体" w:hAnsi="宋体" w:eastAsia="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lang w:val="zh-CN"/>
              </w:rPr>
              <w:t>年</w:t>
            </w:r>
            <w:r>
              <w:rPr>
                <w:rFonts w:hint="eastAsia" w:ascii="宋体" w:hAnsi="宋体" w:cs="宋体"/>
                <w:b/>
                <w:bCs/>
                <w:color w:val="auto"/>
                <w:sz w:val="24"/>
                <w:szCs w:val="24"/>
                <w:highlight w:val="none"/>
                <w:u w:val="single"/>
                <w:lang w:val="en-US" w:eastAsia="zh-CN"/>
              </w:rPr>
              <w:t xml:space="preserve"> 02 </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single"/>
                <w:lang w:val="en-US" w:eastAsia="zh-CN"/>
              </w:rPr>
              <w:t xml:space="preserve"> 05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lang w:val="en-US" w:eastAsia="zh-CN"/>
              </w:rPr>
              <w:t>上</w:t>
            </w:r>
            <w:r>
              <w:rPr>
                <w:rFonts w:hint="eastAsia" w:ascii="宋体" w:hAnsi="宋体" w:eastAsia="宋体" w:cs="宋体"/>
                <w:b/>
                <w:bCs/>
                <w:color w:val="auto"/>
                <w:sz w:val="24"/>
                <w:szCs w:val="24"/>
                <w:highlight w:val="none"/>
                <w:lang w:val="en-US" w:eastAsia="zh-CN"/>
              </w:rPr>
              <w:t>午</w:t>
            </w:r>
            <w:r>
              <w:rPr>
                <w:rFonts w:hint="eastAsia" w:ascii="宋体" w:hAnsi="宋体" w:cs="宋体"/>
                <w:b/>
                <w:bCs/>
                <w:color w:val="auto"/>
                <w:sz w:val="24"/>
                <w:szCs w:val="24"/>
                <w:highlight w:val="none"/>
                <w:lang w:val="en-US" w:eastAsia="zh-CN"/>
              </w:rPr>
              <w:t xml:space="preserve"> 11 </w:t>
            </w:r>
            <w:r>
              <w:rPr>
                <w:rFonts w:hint="eastAsia" w:ascii="宋体" w:hAnsi="宋体" w:eastAsia="宋体" w:cs="宋体"/>
                <w:b/>
                <w:bCs/>
                <w:color w:val="auto"/>
                <w:sz w:val="24"/>
                <w:szCs w:val="24"/>
                <w:highlight w:val="none"/>
                <w:lang w:val="zh-CN"/>
              </w:rPr>
              <w:t>时</w:t>
            </w:r>
            <w:r>
              <w:rPr>
                <w:rFonts w:hint="eastAsia" w:ascii="宋体" w:hAnsi="宋体" w:cs="宋体"/>
                <w:b/>
                <w:bCs/>
                <w:color w:val="auto"/>
                <w:sz w:val="24"/>
                <w:szCs w:val="24"/>
                <w:highlight w:val="none"/>
                <w:lang w:val="en-US" w:eastAsia="zh-CN"/>
              </w:rPr>
              <w:t xml:space="preserve">00 </w:t>
            </w:r>
            <w:r>
              <w:rPr>
                <w:rFonts w:hint="eastAsia" w:ascii="宋体" w:hAnsi="宋体" w:eastAsia="宋体" w:cs="宋体"/>
                <w:b/>
                <w:bCs/>
                <w:color w:val="auto"/>
                <w:sz w:val="24"/>
                <w:szCs w:val="24"/>
                <w:highlight w:val="none"/>
                <w:lang w:val="zh-CN"/>
              </w:rPr>
              <w:t>分</w:t>
            </w:r>
            <w:r>
              <w:rPr>
                <w:rFonts w:hint="eastAsia" w:ascii="宋体" w:hAnsi="宋体" w:cs="宋体"/>
                <w:b/>
                <w:bCs/>
                <w:color w:val="auto"/>
                <w:sz w:val="24"/>
                <w:szCs w:val="24"/>
                <w:highlight w:val="none"/>
                <w:lang w:val="zh-CN"/>
              </w:rPr>
              <w:t>（北京时间）</w:t>
            </w:r>
          </w:p>
          <w:p w14:paraId="5D05E1A5">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地点：阿克苏药品集散中心办公大楼一楼开标室（温宿县长兴街15号）</w:t>
            </w:r>
          </w:p>
        </w:tc>
      </w:tr>
      <w:tr w14:paraId="5CC19CCA">
        <w:tblPrEx>
          <w:tblCellMar>
            <w:top w:w="0" w:type="dxa"/>
            <w:left w:w="108" w:type="dxa"/>
            <w:bottom w:w="0" w:type="dxa"/>
            <w:right w:w="108" w:type="dxa"/>
          </w:tblCellMar>
        </w:tblPrEx>
        <w:trPr>
          <w:trHeight w:val="1131"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36D6C">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5AAD85">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开标流程</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8F57B8">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1.在招标文件确定的投标文件提交截止时间停止接受投标文件。开标会主持人确定投标人数量是否符合开标要求（要求所有投标人提前一小时准备好开标相关资料，</w:t>
            </w:r>
          </w:p>
          <w:p w14:paraId="209625D3">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调试好电脑设备。）；</w:t>
            </w:r>
          </w:p>
          <w:p w14:paraId="6DC09195">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2.本项目采用“政采云不见面”开标， 投标人须在投标截止时间前登录政采云平台 http://www.zcygov.cn/进行签到。</w:t>
            </w:r>
          </w:p>
          <w:p w14:paraId="77CE3C62">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3.主持人宣布开标会开始，宣布开标纪律；</w:t>
            </w:r>
          </w:p>
          <w:p w14:paraId="5F61D665">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4.宣布主持人、开标人、唱标人、记录人、监督人等工作人员姓名；</w:t>
            </w:r>
          </w:p>
          <w:p w14:paraId="00F964A2">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5.解密：法定代表人或授权委托人须全程在线准时参加开标活动进行文件解密、异议、质疑及澄清等。</w:t>
            </w:r>
          </w:p>
          <w:p w14:paraId="699B7035">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 .参与“政采云不见面”开标的各投标人，请在互联网网络环境较好的电脑端登录政采云不见面开标大厅参与开标；不要在电脑进行下载、安装等工作，认真耐心等待指令并及时操作，并保持手机畅通；因投标人网络环境或硬件配备不达标等原因，影响开标的，造成的后果由投标人自行承担。</w:t>
            </w:r>
          </w:p>
          <w:p w14:paraId="4C7B17FD">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7.开标结束。</w:t>
            </w:r>
          </w:p>
          <w:p w14:paraId="7D9AD58E">
            <w:pPr>
              <w:numPr>
                <w:ilvl w:val="0"/>
                <w:numId w:val="0"/>
              </w:numPr>
              <w:autoSpaceDE w:val="0"/>
              <w:autoSpaceDN w:val="0"/>
              <w:adjustRightInd w:val="0"/>
              <w:spacing w:line="38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招标代理机构应当对上述开标过程做好记录，存档备查。</w:t>
            </w:r>
          </w:p>
        </w:tc>
      </w:tr>
      <w:tr w14:paraId="588E7542">
        <w:tblPrEx>
          <w:tblCellMar>
            <w:top w:w="0" w:type="dxa"/>
            <w:left w:w="108" w:type="dxa"/>
            <w:bottom w:w="0" w:type="dxa"/>
            <w:right w:w="108" w:type="dxa"/>
          </w:tblCellMar>
        </w:tblPrEx>
        <w:trPr>
          <w:trHeight w:val="13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A0832">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C607F">
            <w:pPr>
              <w:autoSpaceDE w:val="0"/>
              <w:autoSpaceDN w:val="0"/>
              <w:adjustRightInd w:val="0"/>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50DF1">
            <w:pPr>
              <w:numPr>
                <w:ilvl w:val="0"/>
                <w:numId w:val="4"/>
              </w:numPr>
              <w:autoSpaceDE w:val="0"/>
              <w:autoSpaceDN w:val="0"/>
              <w:adjustRightInd w:val="0"/>
              <w:spacing w:line="380" w:lineRule="exact"/>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人，其中</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人代表</w:t>
            </w: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cs="宋体"/>
                <w:color w:val="auto"/>
                <w:sz w:val="24"/>
                <w:szCs w:val="24"/>
                <w:highlight w:val="none"/>
                <w:lang w:val="en-US" w:eastAsia="zh-CN"/>
              </w:rPr>
              <w:t xml:space="preserve"> 4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 xml:space="preserve">   </w:t>
            </w:r>
          </w:p>
          <w:p w14:paraId="3749BCDD">
            <w:pPr>
              <w:keepNext w:val="0"/>
              <w:keepLines w:val="0"/>
              <w:widowControl/>
              <w:suppressLineNumbers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（2）评标专家确定方式：由招标代理在开标前48小时在</w:t>
            </w:r>
            <w:r>
              <w:rPr>
                <w:rFonts w:hint="eastAsia" w:ascii="宋体" w:hAnsi="宋体" w:eastAsia="宋体" w:cs="宋体"/>
                <w:color w:val="auto"/>
                <w:kern w:val="0"/>
                <w:sz w:val="24"/>
                <w:szCs w:val="24"/>
                <w:highlight w:val="none"/>
                <w:lang w:val="en-US" w:eastAsia="zh-CN" w:bidi="ar"/>
              </w:rPr>
              <w:t>政府采购云平台上随机抽取</w:t>
            </w:r>
            <w:r>
              <w:rPr>
                <w:rFonts w:hint="eastAsia" w:ascii="宋体" w:hAnsi="宋体" w:eastAsia="宋体" w:cs="宋体"/>
                <w:color w:val="auto"/>
                <w:sz w:val="24"/>
                <w:szCs w:val="24"/>
                <w:highlight w:val="none"/>
              </w:rPr>
              <w:t>专家。</w:t>
            </w:r>
          </w:p>
        </w:tc>
      </w:tr>
      <w:tr w14:paraId="05473B3F">
        <w:tblPrEx>
          <w:tblCellMar>
            <w:top w:w="0" w:type="dxa"/>
            <w:left w:w="108" w:type="dxa"/>
            <w:bottom w:w="0" w:type="dxa"/>
            <w:right w:w="108" w:type="dxa"/>
          </w:tblCellMar>
        </w:tblPrEx>
        <w:trPr>
          <w:trHeight w:val="895" w:hRule="atLeast"/>
          <w:jc w:val="center"/>
        </w:trPr>
        <w:tc>
          <w:tcPr>
            <w:tcW w:w="966" w:type="dxa"/>
            <w:tcBorders>
              <w:top w:val="single" w:color="auto" w:sz="4" w:space="0"/>
              <w:left w:val="single" w:color="auto" w:sz="4" w:space="0"/>
              <w:right w:val="single" w:color="auto" w:sz="4" w:space="0"/>
            </w:tcBorders>
            <w:shd w:val="clear" w:color="auto" w:fill="auto"/>
            <w:noWrap w:val="0"/>
            <w:vAlign w:val="center"/>
          </w:tcPr>
          <w:p w14:paraId="595DD23B">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2755" w:type="dxa"/>
            <w:tcBorders>
              <w:top w:val="single" w:color="auto" w:sz="4" w:space="0"/>
              <w:left w:val="single" w:color="auto" w:sz="4" w:space="0"/>
              <w:right w:val="single" w:color="auto" w:sz="4" w:space="0"/>
            </w:tcBorders>
            <w:shd w:val="clear" w:color="auto" w:fill="auto"/>
            <w:noWrap w:val="0"/>
            <w:vAlign w:val="center"/>
          </w:tcPr>
          <w:p w14:paraId="6181D18D">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评标办法</w:t>
            </w:r>
          </w:p>
        </w:tc>
        <w:tc>
          <w:tcPr>
            <w:tcW w:w="6371" w:type="dxa"/>
            <w:tcBorders>
              <w:top w:val="single" w:color="auto" w:sz="4" w:space="0"/>
              <w:left w:val="single" w:color="auto" w:sz="4" w:space="0"/>
              <w:right w:val="single" w:color="auto" w:sz="4" w:space="0"/>
            </w:tcBorders>
            <w:shd w:val="clear" w:color="auto" w:fill="auto"/>
            <w:noWrap w:val="0"/>
            <w:vAlign w:val="center"/>
          </w:tcPr>
          <w:p w14:paraId="64E0D794">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☑综合评分法</w:t>
            </w:r>
          </w:p>
          <w:p w14:paraId="6160A6F4">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□最低评标价法</w:t>
            </w:r>
          </w:p>
        </w:tc>
      </w:tr>
      <w:tr w14:paraId="1FEFD6A4">
        <w:tblPrEx>
          <w:tblCellMar>
            <w:top w:w="0" w:type="dxa"/>
            <w:left w:w="108" w:type="dxa"/>
            <w:bottom w:w="0" w:type="dxa"/>
            <w:right w:w="108" w:type="dxa"/>
          </w:tblCellMar>
        </w:tblPrEx>
        <w:trPr>
          <w:trHeight w:val="9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77613">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03FC1F">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是否授权评标委员会确定中标人</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AC2DA3">
            <w:pPr>
              <w:spacing w:line="380" w:lineRule="exact"/>
              <w:ind w:left="360" w:hanging="360" w:hanging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val="zh-CN"/>
              </w:rPr>
              <w:t>每包确定一个中标人。</w:t>
            </w:r>
          </w:p>
          <w:p w14:paraId="7E7515F7">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否，</w:t>
            </w:r>
            <w:r>
              <w:rPr>
                <w:rFonts w:hint="eastAsia" w:ascii="宋体" w:hAnsi="宋体" w:cs="宋体"/>
                <w:color w:val="auto"/>
                <w:sz w:val="24"/>
                <w:szCs w:val="24"/>
                <w:highlight w:val="none"/>
                <w:lang w:eastAsia="zh-CN"/>
              </w:rPr>
              <w:t>推荐</w:t>
            </w:r>
            <w:r>
              <w:rPr>
                <w:rFonts w:hint="eastAsia" w:ascii="宋体" w:hAnsi="宋体" w:eastAsia="宋体" w:cs="宋体"/>
                <w:color w:val="auto"/>
                <w:sz w:val="24"/>
                <w:szCs w:val="24"/>
                <w:highlight w:val="none"/>
              </w:rPr>
              <w:t>中标候选人数：</w:t>
            </w:r>
            <w:r>
              <w:rPr>
                <w:rFonts w:hint="eastAsia" w:ascii="宋体" w:hAnsi="宋体" w:eastAsia="宋体" w:cs="宋体"/>
                <w:color w:val="auto"/>
                <w:sz w:val="24"/>
                <w:szCs w:val="24"/>
                <w:highlight w:val="none"/>
                <w:u w:val="single"/>
              </w:rPr>
              <w:t xml:space="preserve"> 3</w:t>
            </w:r>
            <w:r>
              <w:rPr>
                <w:rFonts w:hint="eastAsia" w:ascii="宋体" w:hAnsi="宋体" w:cs="宋体"/>
                <w:color w:val="auto"/>
                <w:sz w:val="24"/>
                <w:szCs w:val="24"/>
                <w:highlight w:val="none"/>
                <w:u w:val="single"/>
                <w:lang w:val="en-US" w:eastAsia="zh-CN"/>
              </w:rPr>
              <w:t xml:space="preserve"> </w:t>
            </w:r>
          </w:p>
        </w:tc>
      </w:tr>
      <w:tr w14:paraId="0AD8415D">
        <w:tblPrEx>
          <w:tblCellMar>
            <w:top w:w="0" w:type="dxa"/>
            <w:left w:w="108" w:type="dxa"/>
            <w:bottom w:w="0" w:type="dxa"/>
            <w:right w:w="108" w:type="dxa"/>
          </w:tblCellMar>
        </w:tblPrEx>
        <w:trPr>
          <w:trHeight w:val="134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F1AC2">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A00A8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F9FAEB">
            <w:pP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除投标人需收回的资格、资信等证明文件中的证明材料原件（如营业执照、合同、相关资质证书等）外，其他文件概不退还。</w:t>
            </w:r>
          </w:p>
        </w:tc>
      </w:tr>
      <w:tr w14:paraId="63FDDCA3">
        <w:tblPrEx>
          <w:tblCellMar>
            <w:top w:w="0" w:type="dxa"/>
            <w:left w:w="108" w:type="dxa"/>
            <w:bottom w:w="0" w:type="dxa"/>
            <w:right w:w="108" w:type="dxa"/>
          </w:tblCellMar>
        </w:tblPrEx>
        <w:trPr>
          <w:trHeight w:val="546"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54AF6B">
            <w:pPr>
              <w:numPr>
                <w:ilvl w:val="0"/>
                <w:numId w:val="0"/>
              </w:numPr>
              <w:spacing w:line="400" w:lineRule="exact"/>
              <w:ind w:lef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37</w:t>
            </w:r>
          </w:p>
        </w:tc>
        <w:tc>
          <w:tcPr>
            <w:tcW w:w="912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07975CC">
            <w:pPr>
              <w:spacing w:line="38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其他需补充的内容</w:t>
            </w:r>
          </w:p>
        </w:tc>
      </w:tr>
      <w:tr w14:paraId="09644209">
        <w:tblPrEx>
          <w:tblCellMar>
            <w:top w:w="0" w:type="dxa"/>
            <w:left w:w="108" w:type="dxa"/>
            <w:bottom w:w="0" w:type="dxa"/>
            <w:right w:w="108" w:type="dxa"/>
          </w:tblCellMar>
        </w:tblPrEx>
        <w:trPr>
          <w:trHeight w:val="908"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3B7D7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6F91D9">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投标人在开标时需携带的验资文件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135333">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本项目实行电子招投标，</w:t>
            </w:r>
            <w:r>
              <w:rPr>
                <w:rFonts w:hint="eastAsia" w:ascii="宋体" w:hAnsi="宋体" w:eastAsia="宋体" w:cs="宋体"/>
                <w:b/>
                <w:bCs/>
                <w:color w:val="auto"/>
                <w:sz w:val="24"/>
                <w:szCs w:val="24"/>
                <w:highlight w:val="none"/>
                <w:lang w:val="en-US" w:eastAsia="zh-CN"/>
              </w:rPr>
              <w:t>无需人员到场开标。</w:t>
            </w:r>
          </w:p>
        </w:tc>
      </w:tr>
      <w:tr w14:paraId="09A51500">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C4E06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A709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资金支付</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014DF">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采购资金支付方式、支付时间由采购人与中标供应商按照相关法律法规及本项目具体要求在合同中约定。</w:t>
            </w:r>
          </w:p>
        </w:tc>
      </w:tr>
      <w:tr w14:paraId="0D159F8C">
        <w:tblPrEx>
          <w:tblCellMar>
            <w:top w:w="0" w:type="dxa"/>
            <w:left w:w="108" w:type="dxa"/>
            <w:bottom w:w="0" w:type="dxa"/>
            <w:right w:w="108" w:type="dxa"/>
          </w:tblCellMar>
        </w:tblPrEx>
        <w:trPr>
          <w:jc w:val="center"/>
        </w:trPr>
        <w:tc>
          <w:tcPr>
            <w:tcW w:w="96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9D9B71D">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p>
        </w:tc>
        <w:tc>
          <w:tcPr>
            <w:tcW w:w="275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1C33612">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定义</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65BFD">
            <w:pP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原件：</w:t>
            </w:r>
            <w:r>
              <w:rPr>
                <w:rFonts w:hint="eastAsia" w:ascii="宋体" w:hAnsi="宋体" w:eastAsia="宋体" w:cs="宋体"/>
                <w:color w:val="auto"/>
                <w:sz w:val="24"/>
                <w:szCs w:val="24"/>
                <w:highlight w:val="none"/>
              </w:rPr>
              <w:t>最初产生的区别于复制件的原始文件或文件的原本或公证处出具的文件复制件公证书。</w:t>
            </w:r>
          </w:p>
        </w:tc>
      </w:tr>
      <w:tr w14:paraId="7FEE65E6">
        <w:tblPrEx>
          <w:tblCellMar>
            <w:top w:w="0" w:type="dxa"/>
            <w:left w:w="108" w:type="dxa"/>
            <w:bottom w:w="0" w:type="dxa"/>
            <w:right w:w="108" w:type="dxa"/>
          </w:tblCellMar>
        </w:tblPrEx>
        <w:trPr>
          <w:jc w:val="center"/>
        </w:trPr>
        <w:tc>
          <w:tcPr>
            <w:tcW w:w="96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1471B4">
            <w:pPr>
              <w:spacing w:line="400" w:lineRule="exact"/>
              <w:jc w:val="center"/>
              <w:rPr>
                <w:rFonts w:hint="eastAsia" w:ascii="宋体" w:hAnsi="宋体" w:eastAsia="宋体" w:cs="宋体"/>
                <w:color w:val="auto"/>
                <w:sz w:val="24"/>
                <w:szCs w:val="24"/>
                <w:highlight w:val="none"/>
                <w:lang w:val="zh-CN"/>
              </w:rPr>
            </w:pPr>
          </w:p>
        </w:tc>
        <w:tc>
          <w:tcPr>
            <w:tcW w:w="275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B6DFF0">
            <w:pPr>
              <w:spacing w:line="400" w:lineRule="exact"/>
              <w:jc w:val="center"/>
              <w:rPr>
                <w:rFonts w:hint="eastAsia" w:ascii="宋体" w:hAnsi="宋体" w:eastAsia="宋体" w:cs="宋体"/>
                <w:color w:val="auto"/>
                <w:sz w:val="24"/>
                <w:szCs w:val="24"/>
                <w:highlight w:val="none"/>
                <w:lang w:val="zh-CN"/>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BCB4C">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书面形式：包括文字的打印或复印件、传真、信函、电传、电报、</w:t>
            </w:r>
            <w:r>
              <w:rPr>
                <w:rFonts w:hint="eastAsia" w:ascii="宋体" w:hAnsi="宋体" w:eastAsia="宋体" w:cs="宋体"/>
                <w:color w:val="auto"/>
                <w:sz w:val="24"/>
                <w:szCs w:val="24"/>
                <w:highlight w:val="none"/>
                <w:shd w:val="clear" w:color="auto" w:fill="FFFFFF"/>
              </w:rPr>
              <w:t>电子邮件、</w:t>
            </w:r>
            <w:r>
              <w:rPr>
                <w:rFonts w:hint="eastAsia" w:ascii="宋体" w:hAnsi="宋体" w:eastAsia="宋体" w:cs="宋体"/>
                <w:color w:val="auto"/>
                <w:sz w:val="24"/>
                <w:szCs w:val="24"/>
                <w:highlight w:val="none"/>
              </w:rPr>
              <w:t>相关媒介发布的公告</w:t>
            </w:r>
            <w:r>
              <w:rPr>
                <w:rFonts w:hint="eastAsia" w:ascii="宋体" w:hAnsi="宋体" w:eastAsia="宋体" w:cs="宋体"/>
                <w:color w:val="auto"/>
                <w:sz w:val="24"/>
                <w:szCs w:val="24"/>
                <w:highlight w:val="none"/>
                <w:shd w:val="clear" w:color="auto" w:fill="FFFFFF"/>
              </w:rPr>
              <w:t>等可以有形地表现所载内容的形式。</w:t>
            </w:r>
          </w:p>
        </w:tc>
      </w:tr>
      <w:tr w14:paraId="5CEF3122">
        <w:tblPrEx>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6103A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5A4B7">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分包和非主体、非关键性工作</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237AC">
            <w:pPr>
              <w:spacing w:line="380" w:lineRule="exact"/>
              <w:ind w:left="360" w:hanging="360" w:hanging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不允许</w:t>
            </w:r>
          </w:p>
          <w:p w14:paraId="7A769313">
            <w:pP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w:t>
            </w:r>
            <w:r>
              <w:rPr>
                <w:rFonts w:hint="eastAsia" w:ascii="宋体" w:hAnsi="宋体" w:eastAsia="宋体" w:cs="宋体"/>
                <w:color w:val="auto"/>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20A0C9C2">
        <w:tblPrEx>
          <w:tblCellMar>
            <w:top w:w="0" w:type="dxa"/>
            <w:left w:w="108" w:type="dxa"/>
            <w:bottom w:w="0" w:type="dxa"/>
            <w:right w:w="108" w:type="dxa"/>
          </w:tblCellMar>
        </w:tblPrEx>
        <w:trPr>
          <w:trHeight w:val="107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1AA0F">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E9A189">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监督</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0480EB">
            <w:pPr>
              <w:spacing w:line="4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本次招标投标活动以及相关当事人应当接受相关部门依法实施的监督。</w:t>
            </w:r>
          </w:p>
        </w:tc>
      </w:tr>
      <w:tr w14:paraId="4EA7CFC1">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0D72B">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69C1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公布媒体</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46DBC">
            <w:pPr>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1、新疆政府采购网，阿瓦提县人民政府网发布</w:t>
            </w:r>
          </w:p>
          <w:p w14:paraId="5A60649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成交结果公告期不少于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个工作日。</w:t>
            </w:r>
          </w:p>
        </w:tc>
      </w:tr>
      <w:tr w14:paraId="1BF415E5">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6285D4">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1B7EE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w:t>
            </w:r>
            <w:r>
              <w:rPr>
                <w:rFonts w:hint="eastAsia" w:ascii="宋体" w:hAnsi="宋体" w:cs="宋体"/>
                <w:color w:val="auto"/>
                <w:sz w:val="24"/>
                <w:szCs w:val="24"/>
                <w:highlight w:val="none"/>
                <w:lang w:eastAsia="zh-CN"/>
              </w:rPr>
              <w:t>与</w:t>
            </w:r>
            <w:r>
              <w:rPr>
                <w:rFonts w:hint="eastAsia" w:ascii="宋体" w:hAnsi="宋体" w:eastAsia="宋体" w:cs="宋体"/>
                <w:color w:val="auto"/>
                <w:sz w:val="24"/>
                <w:szCs w:val="24"/>
                <w:highlight w:val="none"/>
                <w:lang w:val="en-US" w:eastAsia="zh-CN"/>
              </w:rPr>
              <w:t>澄清</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AB1A37">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招标文件的澄清和质疑</w:t>
            </w:r>
          </w:p>
          <w:p w14:paraId="2CE6660E">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1、综合说明</w:t>
            </w:r>
          </w:p>
          <w:p w14:paraId="08F7CCCF">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14:paraId="72899274">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2、对招标文件的澄清和质疑</w:t>
            </w:r>
          </w:p>
          <w:p w14:paraId="1C136DD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14:paraId="406EF34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14:paraId="1BF42BE7">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3、对招标过程和拟中标结果的质疑</w:t>
            </w:r>
          </w:p>
          <w:p w14:paraId="3F3309CF">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14:paraId="54F6DD90">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14:paraId="5F8288E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4、澄清或质疑不予受理的情况，有下列情形之一的，属于无效质疑，被质疑人不予受理，由此产生的影响由投标人自行承担：</w:t>
            </w:r>
          </w:p>
          <w:p w14:paraId="4FB1F65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(一)不是参与该政府采购项目活动供应商的;</w:t>
            </w:r>
          </w:p>
          <w:p w14:paraId="0264F2B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(二)被质疑人为采购人或政府采购代理机构之外的；</w:t>
            </w:r>
          </w:p>
          <w:p w14:paraId="6FB62381">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(三)所有质疑事项超过质疑有效期的；</w:t>
            </w:r>
          </w:p>
          <w:p w14:paraId="1B1B1F63">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(四)以具有法律效力的文书送达之外方式提出的；</w:t>
            </w:r>
          </w:p>
          <w:p w14:paraId="09BC379B">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 未按上述规定递交澄清或质疑函的；</w:t>
            </w:r>
          </w:p>
          <w:p w14:paraId="71501836">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 其它不符合受理条件的情形。</w:t>
            </w:r>
          </w:p>
          <w:p w14:paraId="134F1BC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w:t>
            </w:r>
          </w:p>
          <w:p w14:paraId="06ADBD8A">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澄清或质疑函递交地点：阿克苏市农一师第四家属院1号楼2单元19B01号</w:t>
            </w:r>
          </w:p>
          <w:p w14:paraId="19AAC2AD">
            <w:pPr>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联系方式：</w:t>
            </w:r>
            <w:r>
              <w:rPr>
                <w:rFonts w:hint="eastAsia" w:ascii="宋体" w:hAnsi="宋体" w:cs="宋体"/>
                <w:b/>
                <w:bCs/>
                <w:color w:val="auto"/>
                <w:sz w:val="24"/>
                <w:szCs w:val="24"/>
                <w:highlight w:val="none"/>
                <w:lang w:val="en-US" w:eastAsia="zh-CN"/>
              </w:rPr>
              <w:t>15569365500</w:t>
            </w:r>
          </w:p>
        </w:tc>
      </w:tr>
      <w:tr w14:paraId="0F7AF567">
        <w:tblPrEx>
          <w:tblCellMar>
            <w:top w:w="0" w:type="dxa"/>
            <w:left w:w="108" w:type="dxa"/>
            <w:bottom w:w="0" w:type="dxa"/>
            <w:right w:w="108" w:type="dxa"/>
          </w:tblCellMar>
        </w:tblPrEx>
        <w:trPr>
          <w:trHeight w:val="927"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67521C">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B490E5">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投诉</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88390B">
            <w:pPr>
              <w:numPr>
                <w:ilvl w:val="0"/>
                <w:numId w:val="5"/>
              </w:num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质疑供应商对采购人、采购代理机构的答复不满意或者采购人、采购代理机构未在规定的时间内作出答复的，可</w:t>
            </w:r>
          </w:p>
          <w:p w14:paraId="0D8D99C2">
            <w:pPr>
              <w:numPr>
                <w:ilvl w:val="0"/>
                <w:numId w:val="0"/>
              </w:num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以在答复期满后十五个工作日内向同级政府采购监理部门投诉。</w:t>
            </w:r>
          </w:p>
          <w:p w14:paraId="7CEA1B13">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tc>
      </w:tr>
      <w:tr w14:paraId="4FD3E282">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534F87">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C2C5F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企业信用担保及融资</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632AB6">
            <w:pPr>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政府采购支持中小企业融资:有融资需求的，可查询相关业务</w:t>
            </w:r>
            <w:r>
              <w:rPr>
                <w:rFonts w:hint="eastAsia" w:ascii="宋体" w:hAnsi="宋体" w:eastAsia="宋体" w:cs="宋体"/>
                <w:color w:val="auto"/>
                <w:sz w:val="24"/>
                <w:szCs w:val="24"/>
                <w:highlight w:val="none"/>
                <w:lang w:eastAsia="zh-CN"/>
              </w:rPr>
              <w:t>。</w:t>
            </w:r>
          </w:p>
          <w:p w14:paraId="33F5AE94">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政府采购信用担保;有担保需求的，可查询相关业务。</w:t>
            </w:r>
          </w:p>
        </w:tc>
      </w:tr>
      <w:tr w14:paraId="5371230D">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09CFE">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80162D">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其它要求</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0F574C">
            <w:pPr>
              <w:numPr>
                <w:ilvl w:val="0"/>
                <w:numId w:val="0"/>
              </w:numPr>
              <w:adjustRightInd w:val="0"/>
              <w:snapToGrid w:val="0"/>
              <w:spacing w:before="120" w:beforeLines="50" w:line="24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须在投标文件中添加如下附件（原件扫描件或加盖公章的复印件）</w:t>
            </w:r>
            <w:r>
              <w:rPr>
                <w:rFonts w:hint="eastAsia" w:ascii="宋体" w:hAnsi="宋体" w:eastAsia="宋体" w:cs="宋体"/>
                <w:color w:val="auto"/>
                <w:sz w:val="24"/>
                <w:szCs w:val="24"/>
                <w:highlight w:val="none"/>
                <w:u w:val="none"/>
                <w:lang w:val="en-US" w:eastAsia="zh-CN"/>
              </w:rPr>
              <w:t>：</w:t>
            </w:r>
          </w:p>
          <w:p w14:paraId="4625E2A6">
            <w:pPr>
              <w:keepNext w:val="0"/>
              <w:keepLines w:val="0"/>
              <w:pageBreakBefore w:val="0"/>
              <w:widowControl w:val="0"/>
              <w:numPr>
                <w:ilvl w:val="0"/>
                <w:numId w:val="6"/>
              </w:numPr>
              <w:kinsoku/>
              <w:wordWrap/>
              <w:overflowPunct/>
              <w:topLinePunct w:val="0"/>
              <w:autoSpaceDE/>
              <w:autoSpaceDN/>
              <w:bidi w:val="0"/>
              <w:spacing w:line="40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满足《中华人民共和国政府采购法》第二十二条规定（须提供承诺书，加盖单位公章）；</w:t>
            </w:r>
          </w:p>
          <w:p w14:paraId="4BA51B83">
            <w:pPr>
              <w:keepNext w:val="0"/>
              <w:keepLines w:val="0"/>
              <w:pageBreakBefore w:val="0"/>
              <w:widowControl w:val="0"/>
              <w:numPr>
                <w:ilvl w:val="0"/>
                <w:numId w:val="6"/>
              </w:numPr>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有效的营业执照，</w:t>
            </w:r>
            <w:r>
              <w:rPr>
                <w:rFonts w:hint="eastAsia" w:ascii="宋体" w:hAnsi="宋体" w:cs="宋体"/>
                <w:color w:val="auto"/>
                <w:sz w:val="24"/>
                <w:highlight w:val="none"/>
              </w:rPr>
              <w:t>法人代表或其委托代理人应提供本人身份证原件，委托代理人还应提供《法人代表授权委托书》</w:t>
            </w:r>
            <w:r>
              <w:rPr>
                <w:rFonts w:hint="eastAsia" w:ascii="宋体" w:hAnsi="宋体" w:cs="宋体"/>
                <w:color w:val="auto"/>
                <w:sz w:val="24"/>
                <w:highlight w:val="none"/>
                <w:lang w:val="zh-CN"/>
              </w:rPr>
              <w:t>；</w:t>
            </w:r>
          </w:p>
          <w:p w14:paraId="5B0D846B">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eastAsia="宋体" w:cs="宋体"/>
                <w:color w:val="auto"/>
                <w:sz w:val="24"/>
                <w:szCs w:val="24"/>
                <w:highlight w:val="none"/>
              </w:rPr>
              <w:t>本项目的特</w:t>
            </w:r>
            <w:r>
              <w:rPr>
                <w:rFonts w:hint="eastAsia" w:ascii="宋体" w:hAnsi="宋体" w:eastAsia="宋体" w:cs="宋体"/>
                <w:color w:val="auto"/>
                <w:sz w:val="24"/>
                <w:szCs w:val="24"/>
                <w:highlight w:val="none"/>
                <w:lang w:eastAsia="zh-CN"/>
              </w:rPr>
              <w:t>定资格要求：</w:t>
            </w:r>
            <w:r>
              <w:rPr>
                <w:rFonts w:hint="eastAsia"/>
                <w:color w:val="auto"/>
                <w:sz w:val="24"/>
                <w:szCs w:val="24"/>
                <w:highlight w:val="none"/>
                <w:lang w:val="en-US" w:eastAsia="zh-CN"/>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70BA1B2C">
            <w:pPr>
              <w:keepNext w:val="0"/>
              <w:keepLines w:val="0"/>
              <w:pageBreakBefore w:val="0"/>
              <w:widowControl w:val="0"/>
              <w:kinsoku/>
              <w:wordWrap/>
              <w:overflowPunct/>
              <w:topLinePunct w:val="0"/>
              <w:autoSpaceDE/>
              <w:autoSpaceDN/>
              <w:bidi w:val="0"/>
              <w:spacing w:line="400" w:lineRule="exact"/>
              <w:textAlignment w:val="auto"/>
              <w:rPr>
                <w:rFonts w:hint="eastAsia"/>
                <w:color w:val="auto"/>
                <w:sz w:val="24"/>
                <w:szCs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color w:val="auto"/>
                <w:sz w:val="24"/>
                <w:szCs w:val="24"/>
                <w:highlight w:val="none"/>
                <w:lang w:eastAsia="zh-CN"/>
              </w:rPr>
              <w:t>提供近期依法缴纳税收的证明(税务局出具近半年之内任意三个月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5234B7A4">
            <w:pPr>
              <w:keepNext w:val="0"/>
              <w:keepLines w:val="0"/>
              <w:pageBreakBefore w:val="0"/>
              <w:widowControl w:val="0"/>
              <w:kinsoku/>
              <w:wordWrap/>
              <w:overflowPunct/>
              <w:topLinePunct w:val="0"/>
              <w:autoSpaceDE/>
              <w:autoSpaceDN/>
              <w:bidi w:val="0"/>
              <w:spacing w:line="400" w:lineRule="exac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eastAsia"/>
                <w:color w:val="auto"/>
                <w:sz w:val="24"/>
                <w:szCs w:val="24"/>
                <w:highlight w:val="none"/>
                <w:lang w:eastAsia="zh-CN"/>
              </w:rPr>
              <w:t>提供</w:t>
            </w:r>
            <w:r>
              <w:rPr>
                <w:rFonts w:hint="eastAsia"/>
                <w:color w:val="auto"/>
                <w:sz w:val="24"/>
                <w:szCs w:val="24"/>
                <w:highlight w:val="none"/>
                <w:lang w:val="en-US" w:eastAsia="zh-CN"/>
              </w:rPr>
              <w:t>2023</w:t>
            </w:r>
            <w:r>
              <w:rPr>
                <w:rFonts w:hint="eastAsia"/>
                <w:color w:val="auto"/>
                <w:sz w:val="24"/>
                <w:szCs w:val="24"/>
                <w:highlight w:val="none"/>
                <w:lang w:eastAsia="zh-CN"/>
              </w:rPr>
              <w:t>年的财务审计报告或财务报表(成立不足一年需提供成立至今财务报表)</w:t>
            </w:r>
          </w:p>
          <w:p w14:paraId="64F28D2A">
            <w:pPr>
              <w:keepNext w:val="0"/>
              <w:keepLines w:val="0"/>
              <w:pageBreakBefore w:val="0"/>
              <w:widowControl w:val="0"/>
              <w:kinsoku/>
              <w:wordWrap/>
              <w:overflowPunct/>
              <w:topLinePunct w:val="0"/>
              <w:autoSpaceDE/>
              <w:autoSpaceDN/>
              <w:bidi w:val="0"/>
              <w:spacing w:line="400" w:lineRule="exact"/>
              <w:textAlignment w:val="auto"/>
              <w:rPr>
                <w:rFonts w:hint="default"/>
                <w:color w:val="auto"/>
                <w:sz w:val="24"/>
                <w:szCs w:val="24"/>
                <w:highlight w:val="none"/>
                <w:lang w:val="en-US" w:eastAsia="zh-CN"/>
              </w:rPr>
            </w:pPr>
            <w:r>
              <w:rPr>
                <w:rFonts w:hint="eastAsia"/>
                <w:color w:val="auto"/>
                <w:sz w:val="24"/>
                <w:szCs w:val="24"/>
                <w:highlight w:val="none"/>
                <w:lang w:val="en-US" w:eastAsia="zh-CN"/>
              </w:rPr>
              <w:t>6、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w:t>
            </w:r>
          </w:p>
          <w:p w14:paraId="521857BB">
            <w:pPr>
              <w:keepNext w:val="0"/>
              <w:keepLines w:val="0"/>
              <w:pageBreakBefore w:val="0"/>
              <w:widowControl w:val="0"/>
              <w:kinsoku/>
              <w:wordWrap/>
              <w:overflowPunct/>
              <w:topLinePunct w:val="0"/>
              <w:autoSpaceDE/>
              <w:autoSpaceDN/>
              <w:bidi w:val="0"/>
              <w:spacing w:line="400" w:lineRule="exact"/>
              <w:textAlignment w:val="auto"/>
              <w:rPr>
                <w:rFonts w:hint="eastAsia"/>
                <w:color w:val="auto"/>
                <w:sz w:val="24"/>
                <w:szCs w:val="24"/>
                <w:highlight w:val="none"/>
                <w:lang w:val="zh-CN" w:eastAsia="zh-CN"/>
              </w:rPr>
            </w:pPr>
            <w:r>
              <w:rPr>
                <w:rFonts w:hint="eastAsia"/>
                <w:color w:val="auto"/>
                <w:sz w:val="24"/>
                <w:szCs w:val="24"/>
                <w:highlight w:val="none"/>
                <w:lang w:val="en-US" w:eastAsia="zh-CN"/>
              </w:rPr>
              <w:t>7、</w:t>
            </w:r>
            <w:r>
              <w:rPr>
                <w:rFonts w:hint="eastAsia"/>
                <w:color w:val="auto"/>
                <w:sz w:val="24"/>
                <w:szCs w:val="24"/>
                <w:highlight w:val="none"/>
                <w:lang w:val="zh-CN" w:eastAsia="zh-CN"/>
              </w:rPr>
              <w:t>投标人如在“信用中国”网站、中国政府采购网被列入严重违法失信行为记录名单的（尚在处罚期内的），将拒绝其参加本次政府采购活动（开标现场查询）。</w:t>
            </w:r>
          </w:p>
          <w:p w14:paraId="7497380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8、不参与围标串标承诺书（加盖单位公章）；</w:t>
            </w:r>
          </w:p>
          <w:p w14:paraId="670F00F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9、参加政府采购活动前 3 年内在经营活动中没有重大违法记录的书面声明。</w:t>
            </w:r>
          </w:p>
          <w:p w14:paraId="608F0C49">
            <w:pPr>
              <w:pStyle w:val="6"/>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10、政府采购诚信承诺书</w:t>
            </w:r>
          </w:p>
          <w:p w14:paraId="5E8F2F2A">
            <w:pPr>
              <w:pStyle w:val="6"/>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11、此次招标项目不接受联合体投标;</w:t>
            </w:r>
          </w:p>
          <w:p w14:paraId="64F54730">
            <w:pPr>
              <w:pStyle w:val="6"/>
              <w:ind w:left="0" w:leftChars="0" w:firstLine="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12、投标保证金缴纳凭证</w:t>
            </w:r>
          </w:p>
          <w:p w14:paraId="19FC304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备注：上述证件、资料齐全、满足要求的投标人为有效投标人。</w:t>
            </w:r>
          </w:p>
          <w:p w14:paraId="37E5C08A">
            <w:pPr>
              <w:spacing w:line="400" w:lineRule="exact"/>
              <w:jc w:val="left"/>
              <w:rPr>
                <w:rFonts w:hint="eastAsia" w:ascii="宋体" w:hAnsi="宋体" w:eastAsia="宋体" w:cs="宋体"/>
                <w:color w:val="auto"/>
                <w:sz w:val="24"/>
                <w:szCs w:val="24"/>
                <w:highlight w:val="none"/>
              </w:rPr>
            </w:pPr>
            <w:r>
              <w:rPr>
                <w:rFonts w:hint="eastAsia" w:ascii="宋体" w:hAnsi="宋体" w:cs="宋体"/>
                <w:b/>
                <w:bCs/>
                <w:color w:val="auto"/>
                <w:sz w:val="24"/>
                <w:highlight w:val="none"/>
                <w:lang w:val="en-US" w:eastAsia="zh-CN"/>
              </w:rPr>
              <w:t>上述证件的公证件，本次招标不予认可</w:t>
            </w:r>
          </w:p>
        </w:tc>
      </w:tr>
      <w:tr w14:paraId="1716A9CE">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E93D24">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7A232">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投标人不得存在下列情形之一</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80B9A0">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投标人不得存在下列情形之一：</w:t>
            </w:r>
          </w:p>
          <w:p w14:paraId="1566DCCB">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（1）与招标人存在利害关系且可能影响招标公正性；</w:t>
            </w:r>
          </w:p>
          <w:p w14:paraId="4AF7B1A8">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（2）与本招标项目的其他投标人为同一个单位负责人；</w:t>
            </w:r>
          </w:p>
          <w:p w14:paraId="3EBE70D5">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（3）与本招标项目的其他投标人存在控股、管理关系；</w:t>
            </w:r>
          </w:p>
          <w:p w14:paraId="103E3A2D">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（4）被依法暂停或者取消投标资格；</w:t>
            </w:r>
          </w:p>
          <w:p w14:paraId="3A89C2DD">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（5）被责令停产停业、暂扣或者吊销许可证、暂扣或者吊销执照；</w:t>
            </w:r>
          </w:p>
          <w:p w14:paraId="73ED643F">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（6）进入清算程序，或被宣告破产，或其他丧失履约能力的情形；</w:t>
            </w:r>
          </w:p>
          <w:p w14:paraId="2EE744C2">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（7）被工商行政管理机关在全国企业信用信息公示系统中列入严重违法失信企业名单；</w:t>
            </w:r>
          </w:p>
          <w:p w14:paraId="5D37D577">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（8）被最高人民法院在“信用中国”网站（www.creditchina.gov.cn）或各级信用信息共享平台中列入失信被执行人名单；</w:t>
            </w:r>
          </w:p>
          <w:p w14:paraId="720DDF56">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（9）在近三年内投标人或其法定代表人、拟委任的项目负责人有行贿犯罪行为的；</w:t>
            </w:r>
          </w:p>
          <w:p w14:paraId="463CFE56">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（10）法律法规或投标人须知前附表规定的其他情形。</w:t>
            </w:r>
          </w:p>
        </w:tc>
      </w:tr>
      <w:tr w14:paraId="2CB79B6F">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00C9B1">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3EB69F">
            <w:pPr>
              <w:spacing w:line="400" w:lineRule="exact"/>
              <w:jc w:val="center"/>
              <w:rPr>
                <w:rFonts w:hint="eastAsia" w:ascii="宋体" w:hAnsi="宋体" w:cs="宋体"/>
                <w:color w:val="auto"/>
                <w:sz w:val="24"/>
                <w:szCs w:val="24"/>
                <w:highlight w:val="none"/>
                <w:lang w:eastAsia="zh-CN"/>
              </w:rPr>
            </w:pPr>
            <w:r>
              <w:rPr>
                <w:rFonts w:hint="eastAsia" w:ascii="宋体" w:hAnsi="宋体" w:cs="宋体"/>
                <w:b/>
                <w:bCs/>
                <w:color w:val="auto"/>
                <w:sz w:val="24"/>
                <w:highlight w:val="none"/>
                <w:lang w:val="en-US" w:eastAsia="zh-CN"/>
              </w:rPr>
              <w:t>低于成本价不正当竞争预防措施</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F84596">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低于成本价不正当竞争预防措施：</w:t>
            </w:r>
          </w:p>
          <w:p w14:paraId="179C25E2">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C9521A">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tc>
      </w:tr>
      <w:tr w14:paraId="0C66DE01">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8F719C">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8864A">
            <w:pPr>
              <w:spacing w:line="400" w:lineRule="exact"/>
              <w:jc w:val="center"/>
              <w:rPr>
                <w:rFonts w:hint="eastAsia" w:ascii="宋体" w:hAnsi="宋体" w:cs="宋体"/>
                <w:color w:val="auto"/>
                <w:sz w:val="24"/>
                <w:szCs w:val="24"/>
                <w:highlight w:val="none"/>
                <w:lang w:eastAsia="zh-CN"/>
              </w:rPr>
            </w:pPr>
            <w:r>
              <w:rPr>
                <w:rFonts w:hint="eastAsia" w:ascii="宋体" w:hAnsi="宋体" w:eastAsia="宋体" w:cs="宋体"/>
                <w:b/>
                <w:bCs w:val="0"/>
                <w:color w:val="auto"/>
                <w:sz w:val="24"/>
                <w:highlight w:val="none"/>
                <w:lang w:val="en-US" w:eastAsia="zh-CN"/>
              </w:rPr>
              <w:t xml:space="preserve">设备     </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E89DF0">
            <w:pPr>
              <w:spacing w:line="400" w:lineRule="exact"/>
              <w:jc w:val="left"/>
              <w:rPr>
                <w:rFonts w:hint="eastAsia" w:ascii="宋体" w:hAnsi="宋体" w:cs="宋体"/>
                <w:b/>
                <w:bCs/>
                <w:color w:val="auto"/>
                <w:sz w:val="24"/>
                <w:highlight w:val="none"/>
                <w:lang w:val="en-US" w:eastAsia="zh-CN"/>
              </w:rPr>
            </w:pPr>
            <w:r>
              <w:rPr>
                <w:rFonts w:hint="eastAsia" w:ascii="宋体" w:hAnsi="宋体" w:eastAsia="宋体" w:cs="宋体"/>
                <w:b/>
                <w:bCs w:val="0"/>
                <w:color w:val="auto"/>
                <w:sz w:val="24"/>
                <w:highlight w:val="none"/>
                <w:lang w:val="en-US" w:eastAsia="zh-CN"/>
              </w:rPr>
              <w:t>设备进口：□是 ☑否</w:t>
            </w:r>
          </w:p>
        </w:tc>
      </w:tr>
      <w:tr w14:paraId="4AA9BF9C">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7D021">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F81781">
            <w:pPr>
              <w:spacing w:line="400" w:lineRule="exact"/>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补充</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158E90">
            <w:pPr>
              <w:spacing w:line="400" w:lineRule="exact"/>
              <w:jc w:val="left"/>
              <w:rPr>
                <w:rFonts w:hint="eastAsia" w:ascii="宋体" w:hAnsi="宋体" w:eastAsia="宋体" w:cs="宋体"/>
                <w:b/>
                <w:bCs w:val="0"/>
                <w:color w:val="auto"/>
                <w:sz w:val="24"/>
                <w:highlight w:val="none"/>
                <w:lang w:val="en-US" w:eastAsia="zh-CN"/>
              </w:rPr>
            </w:pPr>
            <w:r>
              <w:rPr>
                <w:rFonts w:hint="default" w:ascii="宋体" w:hAnsi="宋体" w:eastAsia="宋体" w:cs="宋体"/>
                <w:bCs/>
                <w:color w:val="auto"/>
                <w:sz w:val="24"/>
                <w:highlight w:val="none"/>
                <w:lang w:val="en-US" w:eastAsia="zh-CN"/>
              </w:rPr>
              <w:t>投标企业必须对提供的企业和人员资质负责，如出现资质不符将取消</w:t>
            </w:r>
            <w:r>
              <w:rPr>
                <w:rFonts w:hint="eastAsia" w:ascii="宋体" w:hAnsi="宋体" w:eastAsia="宋体" w:cs="宋体"/>
                <w:bCs/>
                <w:color w:val="auto"/>
                <w:sz w:val="24"/>
                <w:highlight w:val="none"/>
                <w:lang w:val="en-US" w:eastAsia="zh-CN"/>
              </w:rPr>
              <w:t>投标</w:t>
            </w:r>
            <w:r>
              <w:rPr>
                <w:rFonts w:hint="default" w:ascii="宋体" w:hAnsi="宋体" w:eastAsia="宋体" w:cs="宋体"/>
                <w:bCs/>
                <w:color w:val="auto"/>
                <w:sz w:val="24"/>
                <w:highlight w:val="none"/>
                <w:lang w:val="en-US" w:eastAsia="zh-CN"/>
              </w:rPr>
              <w:t>资格。若有涉嫌造假的行为，将上报自治区行业主管部门启动失信黑名单处罚措施。</w:t>
            </w:r>
          </w:p>
        </w:tc>
      </w:tr>
      <w:tr w14:paraId="67AF8F4C">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CE635D">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E93B47">
            <w:pPr>
              <w:spacing w:line="40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投标费用</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E114BE">
            <w:pPr>
              <w:pStyle w:val="6"/>
              <w:ind w:left="0" w:leftChars="0" w:firstLine="0" w:firstLineChars="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中标服务费：</w:t>
            </w:r>
          </w:p>
          <w:p w14:paraId="58A8428C">
            <w:pPr>
              <w:spacing w:line="400" w:lineRule="exact"/>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☑由中标单位支付：代理服务收费标准：代理报酬依据按国家计委计价格【2002】1980 号、发改价格【2011】534 号、发改价格【2015】299 号文取费，以中标价为基数计取。</w:t>
            </w:r>
          </w:p>
          <w:p w14:paraId="5C71E21C">
            <w:pPr>
              <w:pStyle w:val="6"/>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不论投标的结果如何，投标人均应自行承担所有与参加投标有关的全部费用</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rPr>
              <w:t>人</w:t>
            </w:r>
            <w:r>
              <w:rPr>
                <w:rFonts w:hint="eastAsia" w:ascii="宋体" w:hAnsi="宋体" w:eastAsia="宋体" w:cs="宋体"/>
                <w:color w:val="auto"/>
                <w:sz w:val="24"/>
                <w:szCs w:val="24"/>
                <w:highlight w:val="none"/>
                <w:lang w:val="en-US" w:eastAsia="zh-CN"/>
              </w:rPr>
              <w:t>及采购代理机构</w:t>
            </w:r>
            <w:r>
              <w:rPr>
                <w:rFonts w:hint="eastAsia" w:ascii="宋体" w:hAnsi="宋体" w:eastAsia="宋体" w:cs="宋体"/>
                <w:color w:val="auto"/>
                <w:sz w:val="24"/>
                <w:szCs w:val="24"/>
                <w:highlight w:val="none"/>
                <w:lang w:val="en-US"/>
              </w:rPr>
              <w:t>不负任何责任。</w:t>
            </w:r>
          </w:p>
        </w:tc>
      </w:tr>
      <w:tr w14:paraId="10BA083B">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40D86">
            <w:pPr>
              <w:pStyle w:val="8"/>
              <w:jc w:val="center"/>
              <w:rPr>
                <w:rFonts w:hint="default"/>
                <w:color w:val="auto"/>
                <w:highlight w:val="none"/>
                <w:lang w:val="en-US" w:eastAsia="zh-CN"/>
              </w:rPr>
            </w:pPr>
            <w:r>
              <w:rPr>
                <w:rFonts w:hint="eastAsia" w:hAnsi="宋体" w:cs="宋体"/>
                <w:color w:val="auto"/>
                <w:kern w:val="2"/>
                <w:sz w:val="24"/>
                <w:szCs w:val="24"/>
                <w:highlight w:val="none"/>
                <w:lang w:val="en-US" w:eastAsia="zh-CN" w:bidi="ar-SA"/>
              </w:rPr>
              <w:t>37.18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2A769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82C87D">
            <w:pPr>
              <w:spacing w:line="4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若参数中出现品牌型号，仅供参考，采购人未指定任何品牌及型号</w:t>
            </w:r>
          </w:p>
        </w:tc>
      </w:tr>
      <w:tr w14:paraId="5CC204D9">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3D4AB">
            <w:pPr>
              <w:pStyle w:val="8"/>
              <w:jc w:val="center"/>
              <w:rPr>
                <w:rFonts w:hint="default"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37.19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497F6">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所属行业</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550223">
            <w:pPr>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工业</w:t>
            </w:r>
          </w:p>
        </w:tc>
      </w:tr>
    </w:tbl>
    <w:p w14:paraId="062CF57D">
      <w:pPr>
        <w:spacing w:line="400" w:lineRule="exact"/>
        <w:jc w:val="center"/>
        <w:rPr>
          <w:rFonts w:hint="eastAsia" w:ascii="宋体" w:hAnsi="宋体" w:eastAsia="宋体" w:cs="宋体"/>
          <w:color w:val="auto"/>
          <w:sz w:val="24"/>
          <w:szCs w:val="24"/>
          <w:highlight w:val="none"/>
        </w:rPr>
      </w:pPr>
    </w:p>
    <w:p w14:paraId="6C0EF47F">
      <w:pPr>
        <w:rPr>
          <w:rFonts w:hint="eastAsia" w:ascii="宋体" w:hAnsi="宋体" w:cs="宋体"/>
          <w:color w:val="auto"/>
          <w:highlight w:val="none"/>
        </w:rPr>
      </w:pPr>
      <w:r>
        <w:rPr>
          <w:rFonts w:hint="eastAsia" w:ascii="宋体" w:hAnsi="宋体" w:cs="宋体"/>
          <w:color w:val="auto"/>
          <w:kern w:val="0"/>
          <w:sz w:val="24"/>
          <w:highlight w:val="none"/>
        </w:rPr>
        <w:t>注：本表内容与招标文件其它内容不一致的，应当以本表内容为准。</w:t>
      </w:r>
    </w:p>
    <w:p w14:paraId="6E903E33">
      <w:pPr>
        <w:spacing w:line="400" w:lineRule="exact"/>
        <w:jc w:val="center"/>
        <w:rPr>
          <w:rFonts w:hint="eastAsia" w:ascii="宋体" w:hAnsi="宋体" w:eastAsia="宋体" w:cs="宋体"/>
          <w:color w:val="auto"/>
          <w:sz w:val="24"/>
          <w:szCs w:val="24"/>
          <w:highlight w:val="none"/>
        </w:rPr>
      </w:pPr>
    </w:p>
    <w:p w14:paraId="154F58C5">
      <w:pPr>
        <w:spacing w:line="400" w:lineRule="exact"/>
        <w:jc w:val="both"/>
        <w:rPr>
          <w:rFonts w:hint="eastAsia" w:ascii="宋体" w:hAnsi="宋体" w:eastAsia="宋体" w:cs="宋体"/>
          <w:color w:val="auto"/>
          <w:sz w:val="24"/>
          <w:szCs w:val="24"/>
          <w:highlight w:val="none"/>
        </w:rPr>
      </w:pPr>
    </w:p>
    <w:p w14:paraId="3E2BB99C">
      <w:pPr>
        <w:spacing w:line="360" w:lineRule="auto"/>
        <w:jc w:val="left"/>
        <w:rPr>
          <w:rFonts w:hint="eastAsia" w:ascii="宋体" w:hAnsi="宋体" w:eastAsia="宋体" w:cs="宋体"/>
          <w:b/>
          <w:bCs/>
          <w:color w:val="auto"/>
          <w:sz w:val="32"/>
          <w:szCs w:val="32"/>
          <w:highlight w:val="none"/>
        </w:rPr>
      </w:pPr>
    </w:p>
    <w:p w14:paraId="44B0480E">
      <w:pPr>
        <w:pStyle w:val="11"/>
        <w:rPr>
          <w:rFonts w:hint="eastAsia" w:ascii="宋体" w:hAnsi="宋体" w:eastAsia="宋体" w:cs="宋体"/>
          <w:color w:val="auto"/>
          <w:sz w:val="28"/>
          <w:szCs w:val="28"/>
          <w:highlight w:val="none"/>
        </w:rPr>
      </w:pPr>
    </w:p>
    <w:p w14:paraId="14DFD83D">
      <w:pPr>
        <w:rPr>
          <w:rFonts w:hint="eastAsia" w:ascii="宋体" w:hAnsi="宋体" w:eastAsia="宋体" w:cs="宋体"/>
          <w:color w:val="auto"/>
          <w:sz w:val="28"/>
          <w:szCs w:val="28"/>
          <w:highlight w:val="none"/>
        </w:rPr>
      </w:pPr>
      <w:bookmarkStart w:id="13" w:name="_Toc14086"/>
      <w:bookmarkStart w:id="14" w:name="_Toc16701"/>
      <w:r>
        <w:rPr>
          <w:rFonts w:hint="eastAsia" w:ascii="宋体" w:hAnsi="宋体" w:eastAsia="宋体" w:cs="宋体"/>
          <w:color w:val="auto"/>
          <w:sz w:val="28"/>
          <w:szCs w:val="28"/>
          <w:highlight w:val="none"/>
        </w:rPr>
        <w:br w:type="page"/>
      </w:r>
    </w:p>
    <w:bookmarkEnd w:id="13"/>
    <w:bookmarkEnd w:id="14"/>
    <w:p w14:paraId="3FBFA59A">
      <w:pPr>
        <w:keepLines w:val="0"/>
        <w:pageBreakBefore w:val="0"/>
        <w:kinsoku/>
        <w:wordWrap/>
        <w:overflowPunct/>
        <w:topLinePunct w:val="0"/>
        <w:bidi w:val="0"/>
        <w:spacing w:before="65" w:line="232" w:lineRule="auto"/>
        <w:ind w:left="4494"/>
        <w:outlineLvl w:val="1"/>
        <w:rPr>
          <w:rFonts w:ascii="仿宋" w:hAnsi="仿宋" w:eastAsia="仿宋" w:cs="仿宋"/>
          <w:sz w:val="24"/>
          <w:szCs w:val="24"/>
        </w:rPr>
      </w:pPr>
      <w:bookmarkStart w:id="15" w:name="_Toc494455912"/>
      <w:r>
        <w:rPr>
          <w:rFonts w:ascii="仿宋" w:hAnsi="仿宋" w:eastAsia="仿宋" w:cs="仿宋"/>
          <w:b/>
          <w:bCs/>
          <w:spacing w:val="4"/>
          <w:sz w:val="24"/>
          <w:szCs w:val="24"/>
        </w:rPr>
        <w:t>一、总则</w:t>
      </w:r>
    </w:p>
    <w:p w14:paraId="75485D6A">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1.适用法律、法规</w:t>
      </w:r>
    </w:p>
    <w:p w14:paraId="2E9F1E5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本招标文件是依据《中华人民共和国政府采购法》《中华人民共和国政府采购法实施条例》《政府采购货物和服务招标投标管理办法》等有关法律、法规、规章和规范性文件的规定，根据本招标项目的特点和需要编制的。</w:t>
      </w:r>
    </w:p>
    <w:p w14:paraId="47C6FBE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2.资金</w:t>
      </w:r>
    </w:p>
    <w:p w14:paraId="449F42B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2.1.本项目实施资金来源为</w:t>
      </w:r>
      <w:r>
        <w:rPr>
          <w:rFonts w:hint="eastAsia" w:ascii="仿宋" w:hAnsi="仿宋" w:eastAsia="仿宋" w:cs="仿宋"/>
          <w:spacing w:val="7"/>
          <w:sz w:val="24"/>
          <w:szCs w:val="24"/>
          <w:lang w:eastAsia="zh-CN"/>
        </w:rPr>
        <w:t>财政</w:t>
      </w:r>
      <w:r>
        <w:rPr>
          <w:rFonts w:ascii="仿宋" w:hAnsi="仿宋" w:eastAsia="仿宋" w:cs="仿宋"/>
          <w:spacing w:val="7"/>
          <w:sz w:val="24"/>
          <w:szCs w:val="24"/>
        </w:rPr>
        <w:t>资金，计划用于支付本次采购后所签订的合同项下的款项。</w:t>
      </w:r>
    </w:p>
    <w:p w14:paraId="5A9DD98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3.释义</w:t>
      </w:r>
    </w:p>
    <w:p w14:paraId="1F77CEA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、买方、甲方”指</w:t>
      </w:r>
      <w:r>
        <w:rPr>
          <w:rFonts w:hint="eastAsia" w:ascii="仿宋" w:hAnsi="仿宋" w:eastAsia="仿宋" w:cs="仿宋"/>
          <w:spacing w:val="7"/>
          <w:sz w:val="24"/>
          <w:szCs w:val="24"/>
          <w:lang w:eastAsia="zh-CN"/>
        </w:rPr>
        <w:t>阿瓦提县人民医院</w:t>
      </w:r>
      <w:r>
        <w:rPr>
          <w:rFonts w:ascii="仿宋" w:hAnsi="仿宋" w:eastAsia="仿宋" w:cs="仿宋"/>
          <w:spacing w:val="7"/>
          <w:sz w:val="24"/>
          <w:szCs w:val="24"/>
        </w:rPr>
        <w:t>；</w:t>
      </w:r>
    </w:p>
    <w:p w14:paraId="1AFD8A4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3.2.</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：指为本次招标项目提供招投标服务组织工作的机构，即</w:t>
      </w:r>
      <w:r>
        <w:rPr>
          <w:rFonts w:hint="eastAsia" w:ascii="仿宋" w:hAnsi="仿宋" w:eastAsia="仿宋" w:cs="仿宋"/>
          <w:spacing w:val="7"/>
          <w:sz w:val="24"/>
          <w:szCs w:val="24"/>
          <w:lang w:val="en-US" w:eastAsia="zh-CN"/>
        </w:rPr>
        <w:t>阿克苏地区振远项目咨询管理有限公司</w:t>
      </w:r>
      <w:r>
        <w:rPr>
          <w:rFonts w:hint="eastAsia" w:ascii="仿宋" w:hAnsi="仿宋" w:eastAsia="仿宋" w:cs="仿宋"/>
          <w:spacing w:val="7"/>
          <w:sz w:val="24"/>
          <w:szCs w:val="24"/>
          <w:lang w:eastAsia="zh-CN"/>
        </w:rPr>
        <w:t>；</w:t>
      </w:r>
    </w:p>
    <w:p w14:paraId="403CC46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：指按照招标文件要求投标并向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提交投标文件的法人</w:t>
      </w:r>
      <w:r>
        <w:rPr>
          <w:rFonts w:hint="eastAsia" w:ascii="仿宋" w:hAnsi="仿宋" w:eastAsia="仿宋" w:cs="仿宋"/>
          <w:spacing w:val="7"/>
          <w:sz w:val="24"/>
          <w:szCs w:val="24"/>
          <w:lang w:eastAsia="zh-CN"/>
        </w:rPr>
        <w:t>或者其他</w:t>
      </w:r>
      <w:r>
        <w:rPr>
          <w:rFonts w:ascii="仿宋" w:hAnsi="仿宋" w:eastAsia="仿宋" w:cs="仿宋"/>
          <w:spacing w:val="7"/>
          <w:sz w:val="24"/>
          <w:szCs w:val="24"/>
        </w:rPr>
        <w:t>组织；</w:t>
      </w:r>
    </w:p>
    <w:p w14:paraId="22F34FE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3.4.法人：包括企业法人、机关法人、事业单位法人和社会团体法人；</w:t>
      </w:r>
    </w:p>
    <w:p w14:paraId="288596E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3.5.其他组织：包括合伙企业、非企业专业服务机构、个体工商户、农村承包经营户；</w:t>
      </w:r>
    </w:p>
    <w:p w14:paraId="41F148B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3.6.自然人：指《中华人民共和国民法通则》或《民法总则》规定的具有完全民事行为能力、能够承担民事责任和义务的中国公民。</w:t>
      </w:r>
    </w:p>
    <w:p w14:paraId="5F8F271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3.7.</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、卖方：指依法确定成交资格并授予合同的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200326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3.8.货物：系指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按招标文件要求，向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提供的各种形态和种类的物品，包括原材料、设备、产品(包括软件)及相关的备品备件、工具、手册</w:t>
      </w:r>
      <w:r>
        <w:rPr>
          <w:rFonts w:hint="eastAsia" w:ascii="仿宋" w:hAnsi="仿宋" w:eastAsia="仿宋" w:cs="仿宋"/>
          <w:spacing w:val="7"/>
          <w:sz w:val="24"/>
          <w:szCs w:val="24"/>
          <w:lang w:eastAsia="zh-CN"/>
        </w:rPr>
        <w:t>及其他</w:t>
      </w:r>
      <w:r>
        <w:rPr>
          <w:rFonts w:ascii="仿宋" w:hAnsi="仿宋" w:eastAsia="仿宋" w:cs="仿宋"/>
          <w:spacing w:val="7"/>
          <w:sz w:val="24"/>
          <w:szCs w:val="24"/>
        </w:rPr>
        <w:t>技术资料和材料。</w:t>
      </w:r>
    </w:p>
    <w:p w14:paraId="48CC19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3.9.服务：系指招标文件规定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须承担的安装、调试、技术协助、校准、培训</w:t>
      </w:r>
      <w:r>
        <w:rPr>
          <w:rFonts w:hint="eastAsia" w:ascii="仿宋" w:hAnsi="仿宋" w:eastAsia="仿宋" w:cs="仿宋"/>
          <w:spacing w:val="7"/>
          <w:sz w:val="24"/>
          <w:szCs w:val="24"/>
          <w:lang w:eastAsia="zh-CN"/>
        </w:rPr>
        <w:t>以及其他</w:t>
      </w:r>
      <w:r>
        <w:rPr>
          <w:rFonts w:ascii="仿宋" w:hAnsi="仿宋" w:eastAsia="仿宋" w:cs="仿宋"/>
          <w:spacing w:val="7"/>
          <w:sz w:val="24"/>
          <w:szCs w:val="24"/>
        </w:rPr>
        <w:t>类似的义务。</w:t>
      </w:r>
    </w:p>
    <w:p w14:paraId="7693539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3.10.偏离：是指投标文件对招标文件的偏离，即不满足、或不</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招标文件的要求。偏离分为对招标文件的实质性要求条款偏离和对招标文件的一般商务和技术条款（参数）偏离。</w:t>
      </w:r>
    </w:p>
    <w:p w14:paraId="66A4995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3.11.实质性条款：除法律、法规和规章规定外，招标文件中用“拒绝”、“不接受”、“无效”、“不得”、“未</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”、“废标”等文字规定或标注“★”符号的条款为实质性要求条款，对其中任何一条的偏离，在评审时将其视为无效投标。未用上述文字规定或符号标注的条款为非实质性要求条款(即一般条款)。</w:t>
      </w:r>
    </w:p>
    <w:p w14:paraId="4FF7D9F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3.12.日期、天数、时间：未有特别说明时，均为公历日（天）及北京时间。</w:t>
      </w:r>
    </w:p>
    <w:p w14:paraId="6DB8B48F">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4.★</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资格条件</w:t>
      </w:r>
    </w:p>
    <w:p w14:paraId="6CF574E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详见</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w:t>
      </w:r>
    </w:p>
    <w:p w14:paraId="306861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4.1.符合招标文件中规定的其他特定资格要求；</w:t>
      </w:r>
    </w:p>
    <w:p w14:paraId="7AA9030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须在中国大陆境内有合法的注册登记，符合政府采购法规规定的必备条件，于本文件指定时效内均能满足投标资格及相关重要要求。</w:t>
      </w:r>
    </w:p>
    <w:p w14:paraId="0548711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4.3.属于国内制造商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在中国大陆合法注册的生产经营性企业，符合行业的生产专业技术条件、标准和履约供应能力，能独立承担主体设备或核心技术的设计与生产安装，具备品质检测技术和手段，具有完善持续可靠和最便利的售后服务保障。国外制造商须在中国大陆设有合法注册的直辖专属机构。</w:t>
      </w:r>
    </w:p>
    <w:p w14:paraId="0034BFA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4.4.属于经销代理资格性质的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合法有效的经营范围，符合投标准入资格和专业技术条件，遵从制造商或其驻中国大陆有授权资格的直辖专属机构所核定的业务范围和供货渠道，能独立承担项目实施与交付验收的一切责任义务，具有完善持续可靠和最便利的售后服务保障。</w:t>
      </w:r>
    </w:p>
    <w:p w14:paraId="33F0F4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4.5.中小企业须符合财库〔2020〕46号文关于中型、小型、微型企业的要求，且在政府采购活动中，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提供的货物、工程或者服务符合下列情形的，享受中小企业扶持政策：</w:t>
      </w:r>
    </w:p>
    <w:p w14:paraId="58D92A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(1)在货物采购项目中，货物由中小企业制造，即货物由中小企业生产且使用该中小企业商号或者注册商标；</w:t>
      </w:r>
    </w:p>
    <w:p w14:paraId="4E6A1B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(2)在工程采购项目中，工程由中小企业承建，即工程施工单位为中小企业；</w:t>
      </w:r>
    </w:p>
    <w:p w14:paraId="5AB0F0A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(3)在服务采购项目中，服务由中小企业承接，即提供服务的人员为中小企业依照《中华人民共和国劳动合同法》订立劳动合同的从业人员。在货物采购项目中，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提供的货物既有中小企业制造货物，也有大型企业制造货物的，不享受中小企业扶持政策。</w:t>
      </w:r>
    </w:p>
    <w:p w14:paraId="05DF41B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4.6.根据《财政部司法部关于政府采购支持监狱企业发展有关问题的通知》（财库〔2014〕68号）的有关规定，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w:t>
      </w:r>
      <w:r>
        <w:rPr>
          <w:rFonts w:hint="eastAsia" w:ascii="仿宋" w:hAnsi="仿宋" w:eastAsia="仿宋" w:cs="仿宋"/>
          <w:spacing w:val="7"/>
          <w:sz w:val="24"/>
          <w:szCs w:val="24"/>
          <w:lang w:eastAsia="zh-CN"/>
        </w:rPr>
        <w:t>，</w:t>
      </w:r>
      <w:r>
        <w:rPr>
          <w:rFonts w:ascii="仿宋" w:hAnsi="仿宋" w:eastAsia="仿宋" w:cs="仿宋"/>
          <w:spacing w:val="7"/>
          <w:sz w:val="24"/>
          <w:szCs w:val="24"/>
        </w:rPr>
        <w:t>戒毒管理局(含新疆生产建设兵团)出具的属于监狱企业的证明文件。</w:t>
      </w:r>
    </w:p>
    <w:p w14:paraId="2459CE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4.7.根据《财政部民政部中国残疾人联合会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残疾人福利性单位声明函》，并对声明的真实性负责。</w:t>
      </w:r>
    </w:p>
    <w:p w14:paraId="11D21CC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4.8.知识产权与保密事项：(1)所有涉及知识产权的产品及设计，</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必须确保采购人拥有其合法的、不受限制的无偿使用权，并免受任何侵权诉讼或索偿，否则，由此产生的一切经济损失和法律责任由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承担。(2)由采购人向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提供的用户需求书、图纸、样品、模型、模件和所有其他资料，</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获得后，应对其保密。除非采购人同意，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不得向第三方透露或将其用于本次投标以外的任何用途。开标后，若采购人有要求，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须归还采购人认为需保密的文件和资料，并销毁</w:t>
      </w:r>
      <w:r>
        <w:rPr>
          <w:rFonts w:hint="eastAsia" w:ascii="仿宋" w:hAnsi="仿宋" w:eastAsia="仿宋" w:cs="仿宋"/>
          <w:spacing w:val="7"/>
          <w:sz w:val="24"/>
          <w:szCs w:val="24"/>
          <w:lang w:eastAsia="zh-CN"/>
        </w:rPr>
        <w:t>所有</w:t>
      </w:r>
      <w:r>
        <w:rPr>
          <w:rFonts w:ascii="仿宋" w:hAnsi="仿宋" w:eastAsia="仿宋" w:cs="仿宋"/>
          <w:spacing w:val="7"/>
          <w:sz w:val="24"/>
          <w:szCs w:val="24"/>
        </w:rPr>
        <w:t>的备份文件及资料。</w:t>
      </w:r>
    </w:p>
    <w:p w14:paraId="2654A1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4.9.</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参加投标不得存在下列情形之一：</w:t>
      </w:r>
    </w:p>
    <w:p w14:paraId="397A1F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存在隶属关系或者其他利害关系；</w:t>
      </w:r>
    </w:p>
    <w:p w14:paraId="29B442F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ascii="仿宋" w:hAnsi="仿宋" w:eastAsia="仿宋" w:cs="仿宋"/>
          <w:spacing w:val="7"/>
          <w:sz w:val="24"/>
          <w:szCs w:val="24"/>
          <w:highlight w:val="none"/>
        </w:rPr>
        <w:t>法定代表人或者负责人为同一人或者存在控股、管理关系的两个以上</w:t>
      </w:r>
      <w:r>
        <w:rPr>
          <w:rFonts w:hint="eastAsia" w:ascii="仿宋" w:hAnsi="仿宋" w:eastAsia="仿宋" w:cs="仿宋"/>
          <w:spacing w:val="7"/>
          <w:sz w:val="24"/>
          <w:szCs w:val="24"/>
          <w:highlight w:val="none"/>
          <w:lang w:eastAsia="zh-CN"/>
        </w:rPr>
        <w:t>投标人</w:t>
      </w:r>
      <w:r>
        <w:rPr>
          <w:rFonts w:ascii="仿宋" w:hAnsi="仿宋" w:eastAsia="仿宋" w:cs="仿宋"/>
          <w:spacing w:val="7"/>
          <w:sz w:val="24"/>
          <w:szCs w:val="24"/>
          <w:highlight w:val="none"/>
        </w:rPr>
        <w:t>，不得参加同</w:t>
      </w:r>
      <w:r>
        <w:rPr>
          <w:rFonts w:hint="eastAsia" w:ascii="仿宋" w:hAnsi="仿宋" w:eastAsia="仿宋" w:cs="仿宋"/>
          <w:spacing w:val="7"/>
          <w:sz w:val="24"/>
          <w:szCs w:val="24"/>
          <w:highlight w:val="none"/>
        </w:rPr>
        <w:t>一合同项下的</w:t>
      </w:r>
      <w:r>
        <w:rPr>
          <w:rFonts w:hint="eastAsia" w:ascii="仿宋" w:hAnsi="仿宋" w:eastAsia="仿宋" w:cs="仿宋"/>
          <w:spacing w:val="7"/>
          <w:sz w:val="24"/>
          <w:szCs w:val="24"/>
          <w:highlight w:val="none"/>
          <w:lang w:eastAsia="zh-CN"/>
        </w:rPr>
        <w:t>政府采购活动</w:t>
      </w:r>
      <w:r>
        <w:rPr>
          <w:rFonts w:ascii="仿宋" w:hAnsi="仿宋" w:eastAsia="仿宋" w:cs="仿宋"/>
          <w:spacing w:val="7"/>
          <w:sz w:val="24"/>
          <w:szCs w:val="24"/>
          <w:highlight w:val="none"/>
        </w:rPr>
        <w:t>；</w:t>
      </w:r>
    </w:p>
    <w:p w14:paraId="34659BC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（3）自然人与参与本项目投标的法人或其他组织存在隶属关系或者其他利害关系。</w:t>
      </w:r>
    </w:p>
    <w:p w14:paraId="4E1FF9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4.10.</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领取了招标文件并非意味着完全满足了合格</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的条件，一切均以评标委员会审核的结果为准。</w:t>
      </w:r>
    </w:p>
    <w:p w14:paraId="416813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4.11.不接受联合体投标。</w:t>
      </w:r>
    </w:p>
    <w:p w14:paraId="667B4F8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5.授权委托</w:t>
      </w:r>
    </w:p>
    <w:p w14:paraId="0F18B5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代表不是</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的法定代表人或其他组织负责人，应持有授权委托书，并附法定代表人或负责人身份证明。</w:t>
      </w:r>
    </w:p>
    <w:p w14:paraId="319E15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5.2.自然人参与本项目投标时不得再委托其他自然人进行投标，且持自然人身份证明投标。</w:t>
      </w:r>
    </w:p>
    <w:p w14:paraId="43F682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5.3.法定代表人或其他组织负责人出席开标仪式或者直接办理投标相关事宜者无须提供授权委托书，但须提供法定代表人或其他组织负责人身份证明。</w:t>
      </w:r>
    </w:p>
    <w:p w14:paraId="0CA0664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6.投标费用</w:t>
      </w:r>
    </w:p>
    <w:p w14:paraId="35B8E4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应承担所有与准备和参加投标有关的费用。不论投标的结果如何，</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在任何情况下均无义务和责任承担这些费用。</w:t>
      </w:r>
    </w:p>
    <w:p w14:paraId="5B77BEB9">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二、招标文件</w:t>
      </w:r>
    </w:p>
    <w:p w14:paraId="7265A4C9">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7.招标文件组成</w:t>
      </w:r>
    </w:p>
    <w:p w14:paraId="5428BF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7.1.招标文件共分六章，其内容如下：</w:t>
      </w:r>
    </w:p>
    <w:p w14:paraId="5B977E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第一章 招标公告</w:t>
      </w:r>
    </w:p>
    <w:p w14:paraId="233AE69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第二章 投标须知</w:t>
      </w:r>
    </w:p>
    <w:p w14:paraId="0B7A12A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第三章 评标办法</w:t>
      </w:r>
    </w:p>
    <w:p w14:paraId="1BE2643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第四章 合同条款</w:t>
      </w:r>
    </w:p>
    <w:p w14:paraId="7C7EDCF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第五章 采购需求及技术参数</w:t>
      </w:r>
    </w:p>
    <w:p w14:paraId="0F51387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第六章 投标文件格式</w:t>
      </w:r>
    </w:p>
    <w:p w14:paraId="3762A91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7.2.对招标文件所</w:t>
      </w:r>
      <w:r>
        <w:rPr>
          <w:rFonts w:hint="eastAsia" w:ascii="仿宋" w:hAnsi="仿宋" w:eastAsia="仿宋" w:cs="仿宋"/>
          <w:spacing w:val="7"/>
          <w:sz w:val="24"/>
          <w:szCs w:val="24"/>
          <w:lang w:eastAsia="zh-CN"/>
        </w:rPr>
        <w:t>做</w:t>
      </w:r>
      <w:r>
        <w:rPr>
          <w:rFonts w:ascii="仿宋" w:hAnsi="仿宋" w:eastAsia="仿宋" w:cs="仿宋"/>
          <w:spacing w:val="7"/>
          <w:sz w:val="24"/>
          <w:szCs w:val="24"/>
        </w:rPr>
        <w:t>的澄清、修改，构成招标文件的组成部分。</w:t>
      </w:r>
    </w:p>
    <w:p w14:paraId="1B5A63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应仔细阅读招标文件的全部内容，按照招标文件要求编制投标文件。任何对招 标文件的忽略或误解不能作为投标文件存在缺陷或瑕疵的理由，其风险由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w:t>
      </w:r>
    </w:p>
    <w:p w14:paraId="094948F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8.招标文件的</w:t>
      </w:r>
      <w:r>
        <w:rPr>
          <w:rFonts w:hint="eastAsia" w:ascii="仿宋" w:hAnsi="仿宋" w:eastAsia="仿宋" w:cs="仿宋"/>
          <w:b/>
          <w:bCs/>
          <w:spacing w:val="7"/>
          <w:sz w:val="24"/>
          <w:szCs w:val="24"/>
          <w:lang w:eastAsia="zh-CN"/>
        </w:rPr>
        <w:t>质疑</w:t>
      </w:r>
      <w:r>
        <w:rPr>
          <w:rFonts w:ascii="仿宋" w:hAnsi="仿宋" w:eastAsia="仿宋" w:cs="仿宋"/>
          <w:b/>
          <w:bCs/>
          <w:spacing w:val="7"/>
          <w:sz w:val="24"/>
          <w:szCs w:val="24"/>
        </w:rPr>
        <w:t>、修改</w:t>
      </w:r>
    </w:p>
    <w:p w14:paraId="3AFD0F8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8.1.任何要求对招标文件进行</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，均应以书面形式通知</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联系方式见“投标须知前附表”。</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对</w:t>
      </w:r>
      <w:r>
        <w:rPr>
          <w:rFonts w:hint="eastAsia" w:ascii="仿宋" w:hAnsi="仿宋" w:eastAsia="仿宋" w:cs="仿宋"/>
          <w:spacing w:val="7"/>
          <w:sz w:val="24"/>
          <w:szCs w:val="24"/>
          <w:lang w:val="en-US" w:eastAsia="zh-CN"/>
        </w:rPr>
        <w:t>潜在投标人在获取招标文件之日起7个工作日内提出的</w:t>
      </w:r>
      <w:r>
        <w:rPr>
          <w:rFonts w:ascii="仿宋" w:hAnsi="仿宋" w:eastAsia="仿宋" w:cs="仿宋"/>
          <w:spacing w:val="7"/>
          <w:sz w:val="24"/>
          <w:szCs w:val="24"/>
        </w:rPr>
        <w:t>对招标文件的</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要求，将以书面形式予以答复。</w:t>
      </w:r>
    </w:p>
    <w:p w14:paraId="25CB975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8.2.投标截止期前十五（15）天，无论出于何种原因，</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可主动地或在解答</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提出的问题时对招标文件进行修改，招标文件的修改书将构成招标文件的一部分。</w:t>
      </w:r>
    </w:p>
    <w:p w14:paraId="5865855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8.3.招标文件的修改将以</w:t>
      </w:r>
      <w:r>
        <w:rPr>
          <w:rFonts w:hint="eastAsia" w:ascii="仿宋" w:hAnsi="仿宋" w:eastAsia="仿宋" w:cs="仿宋"/>
          <w:spacing w:val="7"/>
          <w:sz w:val="24"/>
          <w:szCs w:val="24"/>
          <w:lang w:eastAsia="zh-CN"/>
        </w:rPr>
        <w:t>变更公告的形式在发布招标公告的网站予以公布</w:t>
      </w:r>
      <w:r>
        <w:rPr>
          <w:rFonts w:ascii="仿宋" w:hAnsi="仿宋" w:eastAsia="仿宋" w:cs="仿宋"/>
          <w:spacing w:val="7"/>
          <w:sz w:val="24"/>
          <w:szCs w:val="24"/>
        </w:rPr>
        <w:t>，并对其具有约束力。</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在收到上述通知后，应立即以传真形式向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予以确认；在规定时间内未收到回复确认的，将视为默认接受。</w:t>
      </w:r>
    </w:p>
    <w:p w14:paraId="2B6F37C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投标文件内出现组价、开标阶段报价或投标文件内前后报价出现不一致，使得评审工作无法继续者，评标委员会可以要求该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做出书面澄清，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拒不履行评标委员会澄清要求的将视为无效投标；投标文件其他应予修正范围和标准以《政府采购货物和服务招标投标管理办法》第五十九条执行。</w:t>
      </w:r>
    </w:p>
    <w:p w14:paraId="75795FA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三、投标文件的组成及编制</w:t>
      </w:r>
    </w:p>
    <w:p w14:paraId="0095EE3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9.投标文件的组成</w:t>
      </w:r>
    </w:p>
    <w:p w14:paraId="19D7BA45">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9.1.投标文件由内容如下组成：</w:t>
      </w:r>
    </w:p>
    <w:p w14:paraId="1CF3DA74">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报价文件部分：</w:t>
      </w:r>
    </w:p>
    <w:p w14:paraId="52352B40">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商务技术文件部分：</w:t>
      </w:r>
    </w:p>
    <w:p w14:paraId="2BED8C6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10.编制原则</w:t>
      </w:r>
    </w:p>
    <w:p w14:paraId="60F2425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在认真阅读招标文件所有内容的基础上，按照招标文件的要求编制完整的投标文件。★招标文件中对投标文件格式有要求的，应按格式逐项填写内容，不准有空项；无相应内容可填的项应填写“无”、“没有相应指标”等明确的回答文字。投标文件中留有空项的，将被视为不完整</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的投标文件，其投标将有可能被视为无效投标。</w:t>
      </w:r>
    </w:p>
    <w:p w14:paraId="27D5069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必须保证投标文件所提供的全部资料真实可靠，并接受评标委员会对其中任何资料进一步审查的要求。</w:t>
      </w:r>
    </w:p>
    <w:p w14:paraId="66330AD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10.3.投标文件须对招标文件中的内容做出实质性和完整的</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，否则其投标将被视为无效投标。</w:t>
      </w:r>
    </w:p>
    <w:p w14:paraId="2E75408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10.4.投标文件的编制及相关参数、证明材料、认证或报告等投标文件组成部分均应为简体中文版或中英文双语版否则在评审时将不予认可。</w:t>
      </w:r>
    </w:p>
    <w:p w14:paraId="13B097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spacing w:val="7"/>
          <w:sz w:val="24"/>
          <w:szCs w:val="24"/>
        </w:rPr>
        <w:t>11.★</w:t>
      </w:r>
      <w:r>
        <w:rPr>
          <w:rFonts w:ascii="仿宋" w:hAnsi="仿宋" w:eastAsia="仿宋" w:cs="仿宋"/>
          <w:b/>
          <w:bCs/>
          <w:spacing w:val="7"/>
          <w:sz w:val="24"/>
          <w:szCs w:val="24"/>
        </w:rPr>
        <w:t xml:space="preserve">投标文件编制要求（本项目采用电子招投标，开标现场无需提供纸质版投标文件， </w:t>
      </w:r>
      <w:r>
        <w:rPr>
          <w:rFonts w:hint="eastAsia" w:ascii="仿宋" w:hAnsi="仿宋" w:eastAsia="仿宋" w:cs="仿宋"/>
          <w:b/>
          <w:bCs/>
          <w:spacing w:val="7"/>
          <w:sz w:val="24"/>
          <w:szCs w:val="24"/>
          <w:lang w:eastAsia="zh-CN"/>
        </w:rPr>
        <w:t>中标候选人</w:t>
      </w:r>
      <w:r>
        <w:rPr>
          <w:rFonts w:ascii="仿宋" w:hAnsi="仿宋" w:eastAsia="仿宋" w:cs="仿宋"/>
          <w:b/>
          <w:bCs/>
          <w:spacing w:val="7"/>
          <w:sz w:val="24"/>
          <w:szCs w:val="24"/>
        </w:rPr>
        <w:t>中标公示期满后提交</w:t>
      </w:r>
      <w:r>
        <w:rPr>
          <w:rFonts w:hint="eastAsia" w:ascii="仿宋" w:hAnsi="仿宋" w:eastAsia="仿宋" w:cs="仿宋"/>
          <w:b/>
          <w:bCs/>
          <w:spacing w:val="7"/>
          <w:sz w:val="24"/>
          <w:szCs w:val="24"/>
          <w:lang w:eastAsia="zh-CN"/>
        </w:rPr>
        <w:t>二</w:t>
      </w:r>
      <w:r>
        <w:rPr>
          <w:rFonts w:ascii="仿宋" w:hAnsi="仿宋" w:eastAsia="仿宋" w:cs="仿宋"/>
          <w:b/>
          <w:bCs/>
          <w:spacing w:val="7"/>
          <w:sz w:val="24"/>
          <w:szCs w:val="24"/>
        </w:rPr>
        <w:t>份纸质版投标文件给代理机构存档。纸质版标书邮寄地址及收件人：</w:t>
      </w:r>
      <w:r>
        <w:rPr>
          <w:rFonts w:hint="eastAsia" w:ascii="仿宋" w:hAnsi="仿宋" w:eastAsia="仿宋" w:cs="仿宋"/>
          <w:b/>
          <w:bCs/>
          <w:spacing w:val="7"/>
          <w:sz w:val="24"/>
          <w:szCs w:val="24"/>
          <w:lang w:val="en-US" w:eastAsia="zh-CN"/>
        </w:rPr>
        <w:t>阿克苏市农一师第四家属院1号楼2单元19B01号</w:t>
      </w:r>
      <w:r>
        <w:rPr>
          <w:rFonts w:ascii="仿宋" w:hAnsi="仿宋" w:eastAsia="仿宋" w:cs="仿宋"/>
          <w:b/>
          <w:bCs/>
          <w:spacing w:val="7"/>
          <w:sz w:val="24"/>
          <w:szCs w:val="24"/>
        </w:rPr>
        <w:t>，联系人：</w:t>
      </w:r>
      <w:r>
        <w:rPr>
          <w:rFonts w:hint="eastAsia" w:ascii="仿宋" w:hAnsi="仿宋" w:eastAsia="仿宋" w:cs="仿宋"/>
          <w:b/>
          <w:bCs/>
          <w:spacing w:val="7"/>
          <w:sz w:val="24"/>
          <w:szCs w:val="24"/>
          <w:lang w:val="en-US" w:eastAsia="zh-CN"/>
        </w:rPr>
        <w:t>胡丹</w:t>
      </w:r>
      <w:r>
        <w:rPr>
          <w:rFonts w:ascii="仿宋" w:hAnsi="仿宋" w:eastAsia="仿宋" w:cs="仿宋"/>
          <w:b/>
          <w:bCs/>
          <w:spacing w:val="7"/>
          <w:sz w:val="24"/>
          <w:szCs w:val="24"/>
        </w:rPr>
        <w:t>，联系电话：</w:t>
      </w:r>
      <w:r>
        <w:rPr>
          <w:rFonts w:hint="eastAsia" w:ascii="仿宋" w:hAnsi="仿宋" w:eastAsia="仿宋" w:cs="仿宋"/>
          <w:b/>
          <w:bCs/>
          <w:spacing w:val="7"/>
          <w:sz w:val="24"/>
          <w:szCs w:val="24"/>
          <w:lang w:val="en-US" w:eastAsia="zh-CN"/>
        </w:rPr>
        <w:t>15569365500</w:t>
      </w:r>
      <w:r>
        <w:rPr>
          <w:rFonts w:ascii="仿宋" w:hAnsi="仿宋" w:eastAsia="仿宋" w:cs="仿宋"/>
          <w:b/>
          <w:bCs/>
          <w:spacing w:val="7"/>
          <w:sz w:val="24"/>
          <w:szCs w:val="24"/>
        </w:rPr>
        <w:t>），</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应按照所投标项分别编制投标文件。</w:t>
      </w:r>
    </w:p>
    <w:p w14:paraId="625277D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11.1.投标文件应按照“投标文件格式”的要求以A4版面统一编制。</w:t>
      </w:r>
    </w:p>
    <w:p w14:paraId="2AD4BC6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投报多个（标包）段的，须对每个（标包）段分别制作投标文件并报价。</w:t>
      </w:r>
    </w:p>
    <w:p w14:paraId="42DF62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11.3.对于有特定格式要求的，不允许改动其内容，否则，其投标无效。</w:t>
      </w:r>
    </w:p>
    <w:p w14:paraId="41E69DE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11.4.投标文件的制作，应使用简体中文（包括</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对其投标文件进行支持的第三方证明文件，如审计报告、产品说明书、检验报告、评估报告等，均须采用简体中文进行编制或提交）。</w:t>
      </w:r>
    </w:p>
    <w:p w14:paraId="65D264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11.5.投标文件应该用计算机打印，并加注页码，用不可拆卸的无线胶装方式整册装订牢固</w:t>
      </w:r>
      <w:r>
        <w:rPr>
          <w:rFonts w:hint="eastAsia" w:ascii="仿宋" w:hAnsi="仿宋" w:eastAsia="仿宋" w:cs="仿宋"/>
          <w:spacing w:val="7"/>
          <w:sz w:val="24"/>
          <w:szCs w:val="24"/>
          <w:lang w:eastAsia="zh-CN"/>
        </w:rPr>
        <w:t>。</w:t>
      </w:r>
    </w:p>
    <w:p w14:paraId="42044B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11.6.任何行间插字、涂改和增删，须由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直接签字）或其授权委托书在旁边签字、盖章后方为有效；否则其内容将不被认可，涉及资格认定的未进行签字盖章的行间插字、涂改和增删均不予认可，并一同视为无效投标。</w:t>
      </w:r>
    </w:p>
    <w:p w14:paraId="4D73855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11.7.投标文件商务文件部分与技术文件部分原则上应采用一本进行装订提交；如因文本过厚无法一本装订的，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必须在投标文件封面连续注明“上册”、“下册”或“上册”、“中册”、“下册”。</w:t>
      </w:r>
    </w:p>
    <w:p w14:paraId="049A0A4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11.8.《投标文件》应根据《招标文件》的要求编制，签署、盖章和内容应完整，如有遗漏或与《招标文件》要求不</w:t>
      </w:r>
      <w:r>
        <w:rPr>
          <w:rFonts w:hint="eastAsia" w:ascii="仿宋" w:hAnsi="仿宋" w:eastAsia="仿宋" w:cs="仿宋"/>
          <w:spacing w:val="7"/>
          <w:sz w:val="24"/>
          <w:szCs w:val="24"/>
          <w:lang w:eastAsia="zh-CN"/>
        </w:rPr>
        <w:t>符</w:t>
      </w:r>
      <w:r>
        <w:rPr>
          <w:rFonts w:ascii="仿宋" w:hAnsi="仿宋" w:eastAsia="仿宋" w:cs="仿宋"/>
          <w:spacing w:val="7"/>
          <w:sz w:val="24"/>
          <w:szCs w:val="24"/>
        </w:rPr>
        <w:t>的将被视为无效投标。</w:t>
      </w:r>
    </w:p>
    <w:p w14:paraId="0035121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12.★投标报价</w:t>
      </w:r>
    </w:p>
    <w:p w14:paraId="1E08202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应按招标文件规定的供货及服务要求、责任范围和合同条件，以人民币进行报价。</w:t>
      </w:r>
    </w:p>
    <w:p w14:paraId="0020FAE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报价一览表和分项价格表的内容和格式要求填写各项货物及服务的分项价格和总价。投标总价中不得包含招标文件要求以外的内容，否则，在评审时不予核减。投标总价中也不得缺漏招标文件所要求的内容，否则，在评审时将其视为无效投标。</w:t>
      </w:r>
    </w:p>
    <w:p w14:paraId="469D1E4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对每种货物及服务只允许有一个报价，不接受选择性报价，否则，在评审时将其视为无效投标。</w:t>
      </w:r>
    </w:p>
    <w:p w14:paraId="4F4EC6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12.4.投标报价范围及说明：</w:t>
      </w:r>
    </w:p>
    <w:p w14:paraId="14C4374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报价：包括完成采购内容中全部</w:t>
      </w:r>
      <w:r>
        <w:rPr>
          <w:rFonts w:hint="eastAsia" w:ascii="仿宋" w:hAnsi="仿宋" w:eastAsia="仿宋" w:cs="仿宋"/>
          <w:spacing w:val="7"/>
          <w:sz w:val="24"/>
          <w:szCs w:val="24"/>
          <w:lang w:eastAsia="zh-CN"/>
        </w:rPr>
        <w:t>货物</w:t>
      </w:r>
      <w:r>
        <w:rPr>
          <w:rFonts w:ascii="仿宋" w:hAnsi="仿宋" w:eastAsia="仿宋" w:cs="仿宋"/>
          <w:spacing w:val="7"/>
          <w:sz w:val="24"/>
          <w:szCs w:val="24"/>
        </w:rPr>
        <w:t>服务等全过程的全部费用。</w:t>
      </w:r>
    </w:p>
    <w:p w14:paraId="3372FD6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12.5.支持中小企业发展，《政府采购促进中小企业发展管理办法》（财库[2020]46号）。</w:t>
      </w:r>
    </w:p>
    <w:p w14:paraId="1435B78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1、采购限额标准以上，200万元以下的货物和服务采购项目、400万元以下的工程采购项目，适宜由中小企业提供的，采购人应当专门面向中小企业采购。</w:t>
      </w:r>
    </w:p>
    <w:p w14:paraId="4F33D19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2、超过200万元的货物和服务采购项目，预留该部分采购项目预算总额的30%以上专门面向中小企业采购，其中预留给小微企业的比例不低于60%。</w:t>
      </w:r>
    </w:p>
    <w:p w14:paraId="666D0F8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3、超过400万元的工程采购项目中适宜由中小企业提供的，预留该部分采购项目预算总额的40%以上专门面向中小企业采购，其中预留给小微企业的比例不低于60%。</w:t>
      </w:r>
    </w:p>
    <w:p w14:paraId="55CFAAE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C51AA2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E4D4325">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12.6.不符合下列要求的除外：</w:t>
      </w:r>
    </w:p>
    <w:p w14:paraId="3FB4D5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（1）不符合招标文件规定格式要求提供</w:t>
      </w:r>
      <w:r>
        <w:rPr>
          <w:rFonts w:hint="eastAsia" w:ascii="仿宋" w:hAnsi="仿宋" w:eastAsia="仿宋" w:cs="仿宋"/>
          <w:spacing w:val="7"/>
          <w:sz w:val="24"/>
          <w:szCs w:val="24"/>
          <w:lang w:eastAsia="zh-CN"/>
        </w:rPr>
        <w:t>中小企业</w:t>
      </w:r>
      <w:r>
        <w:rPr>
          <w:rFonts w:ascii="仿宋" w:hAnsi="仿宋" w:eastAsia="仿宋" w:cs="仿宋"/>
          <w:spacing w:val="7"/>
          <w:sz w:val="24"/>
          <w:szCs w:val="24"/>
        </w:rPr>
        <w:t>声明函的。</w:t>
      </w:r>
    </w:p>
    <w:p w14:paraId="7CF1E4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（2）不符合（财库〔2020〕46号）文件的规定企业的产品价格不予扣除。</w:t>
      </w:r>
    </w:p>
    <w:p w14:paraId="723461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（3）不符合招标文件规定格式要求并未提供“残疾人福利性单位声明函”声明函及证明材料的。</w:t>
      </w:r>
    </w:p>
    <w:p w14:paraId="490FC97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（4）不符合财政部、民政部、中国残疾人联合会发布的《关于促进残疾人就业政府采购政策的通知》规定的不予扣除。</w:t>
      </w:r>
    </w:p>
    <w:p w14:paraId="74FA62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（5）不符合《政府采购促进中小企业发展暂行办法》（财库〔2020〕46号）和《财政部司法部关于政府采购支持监狱企业发展有关问题的通知》（财库（2015）68号）的规定的不予扣除。</w:t>
      </w:r>
    </w:p>
    <w:p w14:paraId="6C8FE5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（6）不符合《国务院办公厅关于建立政府强制采购节能产品制度的通知》--国办发[2007]51号规定的不予扣除。</w:t>
      </w:r>
    </w:p>
    <w:p w14:paraId="4924551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不符合《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的不予扣除。</w:t>
      </w:r>
    </w:p>
    <w:p w14:paraId="24FCDFF3">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13.备选方案</w:t>
      </w:r>
    </w:p>
    <w:p w14:paraId="13676C2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13.1.备选方案是指在本招标文件已明确的货物（设备）或服务的基本要求，如货物（设备）或服务的用途、用意、服务基本需求等；但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应标的货物（设备）或服务分部分项内容优于招标文件基本要求的，不在备选方案之列。</w:t>
      </w:r>
    </w:p>
    <w:p w14:paraId="3F410E0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13.2.本采购项目不接受备选方案投标。</w:t>
      </w:r>
    </w:p>
    <w:p w14:paraId="4EF8E66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14.★</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的资格证明文件</w:t>
      </w:r>
    </w:p>
    <w:p w14:paraId="3174B01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应提交满足资格条件要求的证明文件，该证明文件作为投标文件的一部分。</w:t>
      </w:r>
    </w:p>
    <w:p w14:paraId="184F3C2C">
      <w:pPr>
        <w:keepLines w:val="0"/>
        <w:pageBreakBefore w:val="0"/>
        <w:kinsoku/>
        <w:wordWrap/>
        <w:overflowPunct/>
        <w:topLinePunct w:val="0"/>
        <w:bidi w:val="0"/>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rPr>
        <w:t>15.★投标保证金</w:t>
      </w:r>
    </w:p>
    <w:p w14:paraId="030E11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15.1.投标保证金金额及缴纳方式详见“投标须知前附表”。</w:t>
      </w:r>
    </w:p>
    <w:p w14:paraId="7D2C2B7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须将凭证</w:t>
      </w:r>
      <w:r>
        <w:rPr>
          <w:rFonts w:hint="eastAsia" w:ascii="仿宋" w:hAnsi="仿宋" w:eastAsia="仿宋" w:cs="仿宋"/>
          <w:spacing w:val="7"/>
          <w:sz w:val="24"/>
          <w:szCs w:val="24"/>
          <w:lang w:eastAsia="zh-CN"/>
        </w:rPr>
        <w:t>附</w:t>
      </w:r>
      <w:r>
        <w:rPr>
          <w:rFonts w:ascii="仿宋" w:hAnsi="仿宋" w:eastAsia="仿宋" w:cs="仿宋"/>
          <w:spacing w:val="7"/>
          <w:sz w:val="24"/>
          <w:szCs w:val="24"/>
        </w:rPr>
        <w:t>在投标文件内，证明其具有投标资格。</w:t>
      </w:r>
    </w:p>
    <w:p w14:paraId="592B5FE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15.3.未中标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的保证金应当在中标通知书发出后5个工作日内退还，</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的保证金应当在采购合同签订后5个工作日内退还。有下列情形之一的，保证金不予退还：</w:t>
      </w:r>
    </w:p>
    <w:p w14:paraId="7198182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在提交投标文件截止时间后撤回投标文件的；</w:t>
      </w:r>
    </w:p>
    <w:p w14:paraId="23FAE9C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在投标文件中提供虚假材料的；</w:t>
      </w:r>
    </w:p>
    <w:p w14:paraId="3F5529B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（3）除因不可抗力或招标文件认可的情形以外，</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签订合同的；</w:t>
      </w:r>
    </w:p>
    <w:p w14:paraId="2EA4E9E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、其他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恶意串通的；</w:t>
      </w:r>
    </w:p>
    <w:p w14:paraId="7271796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（5）招标文件规定的其他情形。</w:t>
      </w:r>
    </w:p>
    <w:p w14:paraId="58C9936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16.★投标有效期</w:t>
      </w:r>
    </w:p>
    <w:p w14:paraId="0062B3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16.1.投标有效期为90</w:t>
      </w:r>
      <w:r>
        <w:rPr>
          <w:rFonts w:hint="eastAsia" w:ascii="仿宋" w:hAnsi="仿宋" w:eastAsia="仿宋" w:cs="仿宋"/>
          <w:spacing w:val="7"/>
          <w:sz w:val="24"/>
          <w:szCs w:val="24"/>
          <w:lang w:eastAsia="zh-CN"/>
        </w:rPr>
        <w:t>日历</w:t>
      </w:r>
      <w:r>
        <w:rPr>
          <w:rFonts w:ascii="仿宋" w:hAnsi="仿宋" w:eastAsia="仿宋" w:cs="仿宋"/>
          <w:spacing w:val="7"/>
          <w:sz w:val="24"/>
          <w:szCs w:val="24"/>
        </w:rPr>
        <w:t>天</w:t>
      </w:r>
      <w:r>
        <w:rPr>
          <w:rFonts w:hint="eastAsia" w:ascii="仿宋" w:hAnsi="仿宋" w:eastAsia="仿宋" w:cs="仿宋"/>
          <w:spacing w:val="5"/>
          <w:sz w:val="24"/>
          <w:szCs w:val="24"/>
        </w:rPr>
        <w:t>（从</w:t>
      </w:r>
      <w:r>
        <w:rPr>
          <w:rFonts w:hint="eastAsia" w:ascii="仿宋" w:hAnsi="仿宋" w:eastAsia="仿宋" w:cs="仿宋"/>
          <w:spacing w:val="5"/>
          <w:sz w:val="24"/>
          <w:szCs w:val="24"/>
          <w:lang w:eastAsia="zh-CN"/>
        </w:rPr>
        <w:t>投标</w:t>
      </w:r>
      <w:r>
        <w:rPr>
          <w:rFonts w:hint="eastAsia" w:ascii="仿宋" w:hAnsi="仿宋" w:eastAsia="仿宋" w:cs="仿宋"/>
          <w:spacing w:val="5"/>
          <w:sz w:val="24"/>
          <w:szCs w:val="24"/>
        </w:rPr>
        <w:t>截止之日算起）</w:t>
      </w:r>
      <w:r>
        <w:rPr>
          <w:rFonts w:ascii="仿宋" w:hAnsi="仿宋" w:eastAsia="仿宋" w:cs="仿宋"/>
          <w:spacing w:val="7"/>
          <w:sz w:val="24"/>
          <w:szCs w:val="24"/>
        </w:rPr>
        <w:t>，在此期间投标文件对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具有法律约束力，以保证</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有足够的时间完成评审、定标以及签订合同。投标有效期从规定的投标文件递交截止之日起计算</w:t>
      </w:r>
      <w:r>
        <w:rPr>
          <w:rFonts w:hint="eastAsia" w:ascii="仿宋" w:hAnsi="仿宋" w:eastAsia="仿宋" w:cs="仿宋"/>
          <w:spacing w:val="7"/>
          <w:sz w:val="24"/>
          <w:szCs w:val="24"/>
          <w:lang w:eastAsia="zh-CN"/>
        </w:rPr>
        <w:t>。投标人须在投标文件中做出投标</w:t>
      </w:r>
      <w:r>
        <w:rPr>
          <w:rFonts w:ascii="仿宋" w:hAnsi="仿宋" w:eastAsia="仿宋" w:cs="仿宋"/>
          <w:spacing w:val="7"/>
          <w:sz w:val="24"/>
          <w:szCs w:val="24"/>
        </w:rPr>
        <w:t>。投标有效期</w:t>
      </w:r>
      <w:r>
        <w:rPr>
          <w:rFonts w:hint="eastAsia" w:ascii="仿宋" w:hAnsi="仿宋" w:eastAsia="仿宋" w:cs="仿宋"/>
          <w:spacing w:val="7"/>
          <w:sz w:val="24"/>
          <w:szCs w:val="24"/>
          <w:lang w:eastAsia="zh-CN"/>
        </w:rPr>
        <w:t>无投标或</w:t>
      </w:r>
      <w:r>
        <w:rPr>
          <w:rFonts w:ascii="仿宋" w:hAnsi="仿宋" w:eastAsia="仿宋" w:cs="仿宋"/>
          <w:spacing w:val="7"/>
          <w:sz w:val="24"/>
          <w:szCs w:val="24"/>
        </w:rPr>
        <w:t>不足的，在评审时将其视为无效投标。</w:t>
      </w:r>
    </w:p>
    <w:p w14:paraId="47FA44E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16.2.特殊情况需延长投标有效期的，</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可于投标有效期届满之前，要求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同意延长有效期，</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的要求与</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的答复均应为书面形式。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拒绝延长的，其投标在原投标</w:t>
      </w:r>
      <w:r>
        <w:rPr>
          <w:rFonts w:hint="eastAsia" w:ascii="仿宋" w:hAnsi="仿宋" w:eastAsia="仿宋" w:cs="仿宋"/>
          <w:spacing w:val="7"/>
          <w:sz w:val="24"/>
          <w:szCs w:val="24"/>
          <w:lang w:eastAsia="zh-CN"/>
        </w:rPr>
        <w:t>有效期</w:t>
      </w:r>
      <w:r>
        <w:rPr>
          <w:rFonts w:ascii="仿宋" w:hAnsi="仿宋" w:eastAsia="仿宋" w:cs="仿宋"/>
          <w:spacing w:val="7"/>
          <w:sz w:val="24"/>
          <w:szCs w:val="24"/>
        </w:rPr>
        <w:t>届满后将不再有效，但有权收回其投标保证金；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同意延长的，应相应延长其投标保证金的有效期，但不允许修改或撤回投标文件。</w:t>
      </w:r>
    </w:p>
    <w:p w14:paraId="5C6C7F30">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17.★投标文件份数和签署、盖章</w:t>
      </w:r>
    </w:p>
    <w:p w14:paraId="226FC77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应按“投标须知前附表”规定的份数提交《投标文件》，否则视为无效投标。</w:t>
      </w:r>
    </w:p>
    <w:p w14:paraId="6C4C1E8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17.2.投标文件电子版要求：按照本招标文件“第六章投标文件格式”编写（第六章未附格式的，由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自行拟定），不可涂改并在规定加盖公章处加盖电子公章，否则投标文件按无效</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处理。</w:t>
      </w:r>
    </w:p>
    <w:p w14:paraId="0BF943F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17.3.投标文件电子版密封方式：电子投标文件通过平台有效CA加密后在“政采云”平台投送。（操作方式见公告要求“电子投标文件制作与投送教程”）</w:t>
      </w:r>
    </w:p>
    <w:p w14:paraId="5202742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17.4.本项目采用电子招投标，开标现场无需提供纸质版投标文件，</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在中标公示期满后提交</w:t>
      </w:r>
      <w:r>
        <w:rPr>
          <w:rFonts w:hint="eastAsia" w:ascii="仿宋" w:hAnsi="仿宋" w:eastAsia="仿宋" w:cs="仿宋"/>
          <w:spacing w:val="7"/>
          <w:sz w:val="24"/>
          <w:szCs w:val="24"/>
          <w:lang w:eastAsia="zh-CN"/>
        </w:rPr>
        <w:t>二</w:t>
      </w:r>
      <w:r>
        <w:rPr>
          <w:rFonts w:ascii="仿宋" w:hAnsi="仿宋" w:eastAsia="仿宋" w:cs="仿宋"/>
          <w:spacing w:val="7"/>
          <w:sz w:val="24"/>
          <w:szCs w:val="24"/>
        </w:rPr>
        <w:t>份纸质版投标文件给代理机构存档。特别提示：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提交的纸质版《投标文件》文字内容与开标时电子投标书应完全一致。</w:t>
      </w:r>
    </w:p>
    <w:p w14:paraId="082C8EA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17.5.除</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对错误处须修改外，全套《投标文件》应无涂改或行间插字和增删。如有修改，修改处应由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加盖投标单位的印章或由《投标文件》签字人签字或盖章。字迹潦草、表达不清或可能导致非唯一理解的投标文件可能视为无效投标。</w:t>
      </w:r>
    </w:p>
    <w:p w14:paraId="614185D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17.6《投标文件》应根据《招标文件》的要求签署及盖章，内容应完整详细，如有遗漏，将被视为无效投标。</w:t>
      </w:r>
    </w:p>
    <w:p w14:paraId="541F734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17.7.未按招标文件要求签署盖章的投标文件视为无效投标。</w:t>
      </w:r>
    </w:p>
    <w:p w14:paraId="1F1A976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四、投标文件的密封标记和递交</w:t>
      </w:r>
    </w:p>
    <w:p w14:paraId="6748EAE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18.★投标文件的密封和标记</w:t>
      </w:r>
    </w:p>
    <w:p w14:paraId="22BA06C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18.1.电子投标文件使用“新疆维吾尔自治区全流程电子招投标项目管理系统--</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客户端”制作完成，生成电子加密标书（.jmbs）上传至政采云平台。</w:t>
      </w:r>
    </w:p>
    <w:p w14:paraId="6EA626B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18.2.备份标书：</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根据自身情况自愿制作备份标书（.bfbs）,备份标书在开标时，因开标系统原因解密不成功时方可上传备份标书。其他因</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制作标书失误问题，数字证书（CA锁）问题导致不能现场解密的情况不允许上传备份文件。</w:t>
      </w:r>
    </w:p>
    <w:p w14:paraId="7EE7192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制作电子投标书加密文件应与开标现场解密时的数字证书（CA锁）同为一把，若因数字证书（CA锁）不是同一把锁导致现场解密失败的，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自行承担后果。</w:t>
      </w:r>
    </w:p>
    <w:p w14:paraId="549E5EF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19.投标文件的递交</w:t>
      </w:r>
    </w:p>
    <w:p w14:paraId="16D842D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w:t>
      </w:r>
      <w:r>
        <w:rPr>
          <w:rFonts w:hint="eastAsia" w:ascii="仿宋" w:hAnsi="仿宋" w:eastAsia="仿宋" w:cs="仿宋"/>
          <w:spacing w:val="7"/>
          <w:sz w:val="24"/>
          <w:szCs w:val="24"/>
          <w:lang w:eastAsia="zh-CN"/>
        </w:rPr>
        <w:t>按照</w:t>
      </w:r>
      <w:r>
        <w:rPr>
          <w:rFonts w:ascii="仿宋" w:hAnsi="仿宋" w:eastAsia="仿宋" w:cs="仿宋"/>
          <w:spacing w:val="7"/>
          <w:sz w:val="24"/>
          <w:szCs w:val="24"/>
        </w:rPr>
        <w:t>本须知前附表所规定的地点，于递交截止时间前递交投标文件。</w:t>
      </w:r>
    </w:p>
    <w:p w14:paraId="679301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19.2.投标截止时间为《招标文件》“</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须知前附表”中规定时间，逾期送达的《投标文件》</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和采购人概不接受。</w:t>
      </w:r>
    </w:p>
    <w:p w14:paraId="3B071E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19.3.到投标截止时间止，采购人收到的投标文件少于3个的，采购人将依法重新组织招标。</w:t>
      </w:r>
    </w:p>
    <w:p w14:paraId="32E8215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五、开标、评标、定标</w:t>
      </w:r>
    </w:p>
    <w:p w14:paraId="2916483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20.开标</w:t>
      </w:r>
    </w:p>
    <w:p w14:paraId="6688B3C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（1）开标时，投标文件中出现下列情况，修正原则为：</w:t>
      </w:r>
    </w:p>
    <w:p w14:paraId="21FE482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A、大写金额和小写金额不一致的，以大写金额为准；</w:t>
      </w:r>
    </w:p>
    <w:p w14:paraId="418278F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B、单价金额小数点或者百分比有明显错位的，以投标报价一览表的总价为准，并修改单价；</w:t>
      </w:r>
    </w:p>
    <w:p w14:paraId="64B6AE2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C、总价金额与按单价汇总金额不一致的，以单价金额计算结果为准；</w:t>
      </w:r>
    </w:p>
    <w:p w14:paraId="0668226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D、投标文件正本与副本不一致的，以正本为准；</w:t>
      </w:r>
    </w:p>
    <w:p w14:paraId="2E98B7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E、多处内容交叉不符的，以评标委员会评审结果为准；</w:t>
      </w:r>
    </w:p>
    <w:p w14:paraId="3023977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F、文字与图表不符的，以文字为准。同时出现两种以上不一致的，按照前款规定的顺序修正。按上述修正错误的原则及方法调整或修正投标文件的报价和内容，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同意后，调整后的报价和内容对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起约束作用。如果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不接受修正后的报价和内容，则其投标无效。</w:t>
      </w:r>
    </w:p>
    <w:p w14:paraId="3DE4BA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（2）公开开标后，直到向中标的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授予合同为止，凡审查、澄清、评价和比较投标的有关资料及被</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意见等内容，评标委员会成员均不得向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及与评标无关的其他人透露。</w:t>
      </w:r>
    </w:p>
    <w:p w14:paraId="2A52A85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21.评标委员会</w:t>
      </w:r>
    </w:p>
    <w:p w14:paraId="24778E0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为确保评标工作公开、公平、公正，依法成立评标委员会。评标委员会由</w:t>
      </w: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人以上单数评审专家组成</w:t>
      </w:r>
      <w:r>
        <w:rPr>
          <w:rFonts w:hint="eastAsia" w:ascii="仿宋" w:hAnsi="仿宋" w:eastAsia="仿宋" w:cs="仿宋"/>
          <w:spacing w:val="7"/>
          <w:sz w:val="24"/>
          <w:szCs w:val="24"/>
          <w:lang w:eastAsia="zh-CN"/>
        </w:rPr>
        <w:t>（采购人代表1人，随机抽取的评审专家4人）</w:t>
      </w:r>
      <w:r>
        <w:rPr>
          <w:rFonts w:hint="eastAsia" w:ascii="仿宋" w:hAnsi="仿宋" w:eastAsia="仿宋" w:cs="仿宋"/>
          <w:spacing w:val="7"/>
          <w:sz w:val="24"/>
          <w:szCs w:val="24"/>
          <w:lang w:val="en-US" w:eastAsia="zh-CN"/>
        </w:rPr>
        <w:t>。</w:t>
      </w:r>
      <w:r>
        <w:rPr>
          <w:rFonts w:ascii="仿宋" w:hAnsi="仿宋" w:eastAsia="仿宋" w:cs="仿宋"/>
          <w:spacing w:val="7"/>
          <w:sz w:val="24"/>
          <w:szCs w:val="24"/>
        </w:rPr>
        <w:t>专家名单从政府采购评审专家库中随机抽取，评标委员会成员应当遵守并履行下列责任和义务：</w:t>
      </w:r>
    </w:p>
    <w:p w14:paraId="49CA9C5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A、要严格遵守政府采购相关法律制度，依法履行各自职责，公正、客观、审慎地组织和参与评审工作；</w:t>
      </w:r>
    </w:p>
    <w:p w14:paraId="44D86D5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B、审查、评价投标文件是否符合招标文件的商务、技术等实质性要求；</w:t>
      </w:r>
    </w:p>
    <w:p w14:paraId="6EDB8A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对投标文件有关事项作出澄清或说明；</w:t>
      </w:r>
    </w:p>
    <w:p w14:paraId="1A43A82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D、按招标文件规定的评审方法和标准，对投标文件进行比较和评价；对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的客观评分项的评分应当一致；</w:t>
      </w:r>
    </w:p>
    <w:p w14:paraId="5F34A9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E、要依法独立评审，按照招标文件的要求和评标标准进行评标，推荐中标候选人名单，对评审意见承担个人责任；</w:t>
      </w:r>
    </w:p>
    <w:p w14:paraId="0F94D8C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F、对需要共同认定的事项存在争议的，按照少数服从多数的原则</w:t>
      </w:r>
      <w:r>
        <w:rPr>
          <w:rFonts w:hint="eastAsia" w:ascii="仿宋" w:hAnsi="仿宋" w:eastAsia="仿宋" w:cs="仿宋"/>
          <w:spacing w:val="7"/>
          <w:sz w:val="24"/>
          <w:szCs w:val="24"/>
          <w:lang w:eastAsia="zh-CN"/>
        </w:rPr>
        <w:t>作出</w:t>
      </w:r>
      <w:r>
        <w:rPr>
          <w:rFonts w:ascii="仿宋" w:hAnsi="仿宋" w:eastAsia="仿宋" w:cs="仿宋"/>
          <w:spacing w:val="7"/>
          <w:sz w:val="24"/>
          <w:szCs w:val="24"/>
        </w:rPr>
        <w:t>结论。持不同意见的评审委员会成员应当在评审报告上签署不同意见并说明理由，否则视为同意；</w:t>
      </w:r>
    </w:p>
    <w:p w14:paraId="513EC81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G、对评审情况以及在评审过程中获悉的国家秘密、商业秘密负有保密责任；</w:t>
      </w:r>
    </w:p>
    <w:p w14:paraId="1BE6E0A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H、向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、代理机构或者有关部门报告评标中发现的违法行为；</w:t>
      </w:r>
    </w:p>
    <w:p w14:paraId="594C83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I、配合</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、代理机构答复</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提出的质疑；</w:t>
      </w:r>
    </w:p>
    <w:p w14:paraId="6D0055D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J、配合处理投诉工作；</w:t>
      </w:r>
    </w:p>
    <w:p w14:paraId="0F11756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招标文件及法律法律规定的其他评标委员会须履行的义务。</w:t>
      </w:r>
    </w:p>
    <w:p w14:paraId="4091C523">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22.评审</w:t>
      </w:r>
    </w:p>
    <w:p w14:paraId="52970D8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22.1.评标委员会按照“评标办法”规定的评审标准对投标文件进行评审。</w:t>
      </w:r>
    </w:p>
    <w:p w14:paraId="5D17EC4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23.★无效投标的情形</w:t>
      </w:r>
    </w:p>
    <w:p w14:paraId="1969285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法定代表人（或其他组织负责人，或自然人）或授权代理人未参加开标会议的；</w:t>
      </w:r>
    </w:p>
    <w:p w14:paraId="4780D10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未按招标文件要求提供法人（或其他组织负责人，或自然人）身份证复印件，被授权人身份证复印件和法人授权委托书等证明文件和资料的，或提供的证件不齐或无效；</w:t>
      </w:r>
    </w:p>
    <w:p w14:paraId="290A99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23.3.《投标文件》未按照《招标文件》规定要求签署、盖章或提交的投标文件份数不全的；</w:t>
      </w:r>
    </w:p>
    <w:p w14:paraId="371D2A8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23.4.投标文件未按照招标文件规定的格式填写，或者填写的内容不全，或者辨认不清产生歧义，或者涂改处未加盖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公章及法人或法人授权委托人的印章或签字的；</w:t>
      </w:r>
    </w:p>
    <w:p w14:paraId="64D424B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23.5.《投标文件》不符合《招标文件》规定格式的；</w:t>
      </w:r>
    </w:p>
    <w:p w14:paraId="378B6C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23.6.投标总报价超出项目采购预算的。</w:t>
      </w:r>
    </w:p>
    <w:p w14:paraId="65BB7B6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23.7.应交未交投标保证金或不能提供有效缴纳凭证的；</w:t>
      </w:r>
    </w:p>
    <w:p w14:paraId="02A5B98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23.8.不具备招标文件中规</w:t>
      </w:r>
      <w:r>
        <w:rPr>
          <w:rFonts w:hint="eastAsia" w:ascii="仿宋" w:hAnsi="仿宋" w:eastAsia="仿宋" w:cs="仿宋"/>
          <w:spacing w:val="7"/>
          <w:sz w:val="24"/>
          <w:szCs w:val="24"/>
          <w:lang w:eastAsia="zh-CN"/>
        </w:rPr>
        <w:t>定的</w:t>
      </w:r>
      <w:r>
        <w:rPr>
          <w:rFonts w:ascii="仿宋" w:hAnsi="仿宋" w:eastAsia="仿宋" w:cs="仿宋"/>
          <w:spacing w:val="7"/>
          <w:sz w:val="24"/>
          <w:szCs w:val="24"/>
        </w:rPr>
        <w:t>资格要求或资格证明文件不全或是虚假的；</w:t>
      </w:r>
    </w:p>
    <w:p w14:paraId="546EFB2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23.9.投标有效期不符合《招标文件》要求的；</w:t>
      </w:r>
    </w:p>
    <w:p w14:paraId="749B218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23.10.不能按评标委员会要求提供相应证件原件或提供的原件与投标文件复印件不一致，且存在伪造行为的；</w:t>
      </w:r>
    </w:p>
    <w:p w14:paraId="7FE033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的投标报价是可变动价格的，或包含了价格调整要求的，或投标报价中提供两个（含两个）以上的报价且未声明哪个有效的（招标文件规定提交备选投标方案的除外）；</w:t>
      </w:r>
    </w:p>
    <w:p w14:paraId="4C9C817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23.12.评审专家中有2/3认定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投标价格有恶意报价行为的；</w:t>
      </w:r>
    </w:p>
    <w:p w14:paraId="3E0540E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23.13.《投标文件》含有</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不能接受的条件或声明的；</w:t>
      </w:r>
    </w:p>
    <w:p w14:paraId="5DE18C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23.14.在评标过程中，如果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试图在投标审查、澄清、比较及授予合同方面向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施加任何影响的；</w:t>
      </w:r>
    </w:p>
    <w:p w14:paraId="650A7E4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23.15.</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以他人名义投标、串通投标、以行贿手段谋取中标或者以弄虚作假等方式投标的；</w:t>
      </w:r>
    </w:p>
    <w:p w14:paraId="27C14BC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23.16.经核实两个或两个以上</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的投标文件有雷同或有抄袭行为的；</w:t>
      </w:r>
    </w:p>
    <w:p w14:paraId="76C5433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23.17.违反《中华人民共和国政府采购法》的投标；</w:t>
      </w:r>
    </w:p>
    <w:p w14:paraId="763B34C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23.18.招标文件中已明确无效投标的其他条款。</w:t>
      </w:r>
    </w:p>
    <w:p w14:paraId="28FCB3E0">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24.定标</w:t>
      </w:r>
    </w:p>
    <w:p w14:paraId="70966C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定标及确定</w:t>
      </w:r>
      <w:r>
        <w:rPr>
          <w:rFonts w:hint="eastAsia" w:ascii="仿宋" w:hAnsi="仿宋" w:eastAsia="仿宋" w:cs="仿宋"/>
          <w:spacing w:val="7"/>
          <w:sz w:val="24"/>
          <w:szCs w:val="24"/>
          <w:lang w:eastAsia="zh-CN"/>
        </w:rPr>
        <w:t>中标候选人</w:t>
      </w:r>
      <w:r>
        <w:rPr>
          <w:rFonts w:ascii="仿宋" w:hAnsi="仿宋" w:eastAsia="仿宋" w:cs="仿宋"/>
          <w:spacing w:val="7"/>
          <w:sz w:val="24"/>
          <w:szCs w:val="24"/>
        </w:rPr>
        <w:t>的原则：投标文件满足招标文件全部实质性要求，且按照评审因素的量化指标评审得分最高的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为排名第一的中标候选人。得分相同的，选择最低报价的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1E1C439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六、质疑</w:t>
      </w:r>
    </w:p>
    <w:p w14:paraId="5A6FE89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25.</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质疑</w:t>
      </w:r>
    </w:p>
    <w:p w14:paraId="5B27DBC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对政府采购活动事项有疑问的，可以向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提出询问。</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收到质疑函后7个工作日内作出答复。本次招标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如对招标文件或招投标过程进行质疑，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须一次性提出针对同一采购程序环节的所有质疑内容，多次质疑将不予受理。</w:t>
      </w:r>
    </w:p>
    <w:p w14:paraId="7A857D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若认为招标文件、采购过程和中标结果使自己的权益受到损害，应当在下列时间内以书面形式向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w:t>
      </w:r>
    </w:p>
    <w:p w14:paraId="77344F5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（1）关于招标文件的质疑，</w:t>
      </w:r>
      <w:r>
        <w:rPr>
          <w:rFonts w:hint="eastAsia" w:ascii="仿宋" w:hAnsi="仿宋" w:eastAsia="仿宋" w:cs="仿宋"/>
          <w:spacing w:val="7"/>
          <w:sz w:val="24"/>
          <w:szCs w:val="24"/>
          <w:lang w:eastAsia="zh-CN"/>
        </w:rPr>
        <w:t>应在</w:t>
      </w:r>
      <w:r>
        <w:rPr>
          <w:rFonts w:ascii="仿宋" w:hAnsi="仿宋" w:eastAsia="仿宋" w:cs="仿宋"/>
          <w:spacing w:val="7"/>
          <w:sz w:val="24"/>
          <w:szCs w:val="24"/>
        </w:rPr>
        <w:t>获取</w:t>
      </w: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之日起七个工作日内提出。</w:t>
      </w:r>
    </w:p>
    <w:p w14:paraId="73F3AF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（2）关于招标过程的质疑，应在招标程序环节结束之日起七个工作日内提出。</w:t>
      </w:r>
    </w:p>
    <w:p w14:paraId="6658B0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（3）关于中标结果的质疑，应在中标结果信息发布后七个工作日内提出。</w:t>
      </w:r>
    </w:p>
    <w:p w14:paraId="0A6206A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提出质疑的，应提供质疑书原件。</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应当向质疑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签收回执。</w:t>
      </w:r>
    </w:p>
    <w:p w14:paraId="35FE28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25.4.质疑书应当包括下列内容：</w:t>
      </w:r>
    </w:p>
    <w:p w14:paraId="10BB6E5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的姓名或者名称、地址、邮编、联系人及联系电话；</w:t>
      </w:r>
    </w:p>
    <w:p w14:paraId="113694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（2）质疑项目的名称、编号；</w:t>
      </w:r>
    </w:p>
    <w:p w14:paraId="5A851A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（3）具体、明确的质疑事项和与质疑事项相关的请求；</w:t>
      </w:r>
    </w:p>
    <w:p w14:paraId="5BFDE57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（4）事实依据；</w:t>
      </w:r>
    </w:p>
    <w:p w14:paraId="11C08B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（5）必要的法律依据；</w:t>
      </w:r>
    </w:p>
    <w:p w14:paraId="610FFE0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（6）提出质疑的日期。</w:t>
      </w:r>
    </w:p>
    <w:p w14:paraId="254B6E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25.5.质疑书应当由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法定代表人（或其他组织负责人，或自然人）或其授权委托人签 字并加盖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单位章，质疑书由授权委托人签字的应附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授权委托书（自然人除外）。</w:t>
      </w:r>
    </w:p>
    <w:p w14:paraId="74CC9F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25.6.</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将在签收回执之日起七个工作日内作出书面答复，并以书面形式通知质疑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和其他有关的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0A64A37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footerReference r:id="rId4" w:type="default"/>
          <w:pgSz w:w="11906" w:h="16839"/>
          <w:pgMar w:top="1440" w:right="1080" w:bottom="1440" w:left="1080" w:header="0" w:footer="989" w:gutter="0"/>
          <w:pgNumType w:fmt="decimal"/>
          <w:cols w:space="720" w:num="1"/>
        </w:sectPr>
      </w:pPr>
      <w:r>
        <w:rPr>
          <w:rFonts w:ascii="仿宋" w:hAnsi="仿宋" w:eastAsia="仿宋" w:cs="仿宋"/>
          <w:spacing w:val="7"/>
          <w:sz w:val="24"/>
          <w:szCs w:val="24"/>
        </w:rPr>
        <w:t>25.7.</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的答复不满意，或</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未在规定的期限作出答复的，可在答复期满后十五个工作日内，按政府采购相关法律法规规章的规定及程序，向同级财政部门提出投诉。</w:t>
      </w:r>
    </w:p>
    <w:p w14:paraId="24F7A41D">
      <w:pPr>
        <w:keepLines w:val="0"/>
        <w:pageBreakBefore w:val="0"/>
        <w:kinsoku/>
        <w:wordWrap/>
        <w:overflowPunct/>
        <w:topLinePunct w:val="0"/>
        <w:bidi w:val="0"/>
        <w:spacing w:line="230" w:lineRule="auto"/>
        <w:ind w:left="232"/>
        <w:rPr>
          <w:rFonts w:ascii="Times New Roman" w:hAnsi="Times New Roman" w:eastAsia="Times New Roman" w:cs="Times New Roman"/>
          <w:spacing w:val="4"/>
          <w:sz w:val="24"/>
          <w:szCs w:val="24"/>
        </w:rPr>
      </w:pPr>
    </w:p>
    <w:p w14:paraId="18F10101">
      <w:pPr>
        <w:keepLines w:val="0"/>
        <w:pageBreakBefore w:val="0"/>
        <w:kinsoku/>
        <w:wordWrap/>
        <w:overflowPunct/>
        <w:topLinePunct w:val="0"/>
        <w:bidi w:val="0"/>
        <w:spacing w:line="230" w:lineRule="auto"/>
        <w:ind w:left="232"/>
        <w:rPr>
          <w:rFonts w:ascii="仿宋" w:hAnsi="仿宋" w:eastAsia="仿宋" w:cs="仿宋"/>
          <w:spacing w:val="7"/>
          <w:sz w:val="24"/>
          <w:szCs w:val="24"/>
        </w:rPr>
      </w:pPr>
      <w:r>
        <w:rPr>
          <w:rFonts w:ascii="Times New Roman" w:hAnsi="Times New Roman" w:eastAsia="Times New Roman" w:cs="Times New Roman"/>
          <w:spacing w:val="4"/>
          <w:sz w:val="24"/>
          <w:szCs w:val="24"/>
        </w:rPr>
        <w:t xml:space="preserve">25.8.   </w:t>
      </w:r>
      <w:r>
        <w:rPr>
          <w:rFonts w:ascii="仿宋" w:hAnsi="仿宋" w:eastAsia="仿宋" w:cs="仿宋"/>
          <w:spacing w:val="4"/>
          <w:sz w:val="24"/>
          <w:szCs w:val="24"/>
        </w:rPr>
        <w:t>质疑函范本：</w:t>
      </w:r>
    </w:p>
    <w:p w14:paraId="150A6B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基本信息</w:t>
      </w:r>
    </w:p>
    <w:p w14:paraId="77E6A03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r>
        <w:rPr>
          <w:rFonts w:ascii="仿宋" w:hAnsi="仿宋" w:eastAsia="仿宋" w:cs="仿宋"/>
          <w:spacing w:val="7"/>
          <w:sz w:val="24"/>
          <w:szCs w:val="24"/>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4"/>
                    <a:stretch>
                      <a:fillRect/>
                    </a:stretch>
                  </pic:blipFill>
                  <pic:spPr>
                    <a:xfrm>
                      <a:off x="0" y="0"/>
                      <a:ext cx="4134484" cy="6096"/>
                    </a:xfrm>
                    <a:prstGeom prst="rect">
                      <a:avLst/>
                    </a:prstGeom>
                  </pic:spPr>
                </pic:pic>
              </a:graphicData>
            </a:graphic>
          </wp:inline>
        </w:drawing>
      </w:r>
    </w:p>
    <w:p w14:paraId="75A6BD4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地址：</w:t>
      </w:r>
      <w:r>
        <w:rPr>
          <w:rFonts w:ascii="仿宋" w:hAnsi="仿宋" w:eastAsia="仿宋" w:cs="仿宋"/>
          <w:spacing w:val="7"/>
          <w:sz w:val="24"/>
          <w:szCs w:val="24"/>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5"/>
                    <a:stretch>
                      <a:fillRect/>
                    </a:stretch>
                  </pic:blipFill>
                  <pic:spPr>
                    <a:xfrm>
                      <a:off x="0" y="0"/>
                      <a:ext cx="1932304"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6"/>
                    <a:stretch>
                      <a:fillRect/>
                    </a:stretch>
                  </pic:blipFill>
                  <pic:spPr>
                    <a:xfrm>
                      <a:off x="0" y="0"/>
                      <a:ext cx="2400300" cy="6095"/>
                    </a:xfrm>
                    <a:prstGeom prst="rect">
                      <a:avLst/>
                    </a:prstGeom>
                  </pic:spPr>
                </pic:pic>
              </a:graphicData>
            </a:graphic>
          </wp:inline>
        </w:drawing>
      </w:r>
    </w:p>
    <w:p w14:paraId="36FE55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联系人：</w:t>
      </w:r>
      <w:r>
        <w:rPr>
          <w:rFonts w:ascii="仿宋" w:hAnsi="仿宋" w:eastAsia="仿宋" w:cs="仿宋"/>
          <w:spacing w:val="7"/>
          <w:sz w:val="24"/>
          <w:szCs w:val="24"/>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7"/>
                    <a:stretch>
                      <a:fillRect/>
                    </a:stretch>
                  </pic:blipFill>
                  <pic:spPr>
                    <a:xfrm>
                      <a:off x="0" y="0"/>
                      <a:ext cx="1799589" cy="6095"/>
                    </a:xfrm>
                    <a:prstGeom prst="rect">
                      <a:avLst/>
                    </a:prstGeom>
                  </pic:spPr>
                </pic:pic>
              </a:graphicData>
            </a:graphic>
          </wp:inline>
        </w:drawing>
      </w:r>
      <w:r>
        <w:rPr>
          <w:rFonts w:ascii="仿宋" w:hAnsi="仿宋" w:eastAsia="仿宋" w:cs="仿宋"/>
          <w:spacing w:val="7"/>
          <w:sz w:val="24"/>
          <w:szCs w:val="24"/>
        </w:rPr>
        <w:t xml:space="preserve"> 联系电话：</w:t>
      </w:r>
      <w:r>
        <w:rPr>
          <w:rFonts w:ascii="仿宋" w:hAnsi="仿宋" w:eastAsia="仿宋" w:cs="仿宋"/>
          <w:spacing w:val="7"/>
          <w:sz w:val="24"/>
          <w:szCs w:val="24"/>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8"/>
                    <a:stretch>
                      <a:fillRect/>
                    </a:stretch>
                  </pic:blipFill>
                  <pic:spPr>
                    <a:xfrm>
                      <a:off x="0" y="0"/>
                      <a:ext cx="2270760" cy="6095"/>
                    </a:xfrm>
                    <a:prstGeom prst="rect">
                      <a:avLst/>
                    </a:prstGeom>
                  </pic:spPr>
                </pic:pic>
              </a:graphicData>
            </a:graphic>
          </wp:inline>
        </w:drawing>
      </w:r>
    </w:p>
    <w:p w14:paraId="28A8EE7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授权代表：</w:t>
      </w:r>
      <w:r>
        <w:rPr>
          <w:rFonts w:ascii="仿宋" w:hAnsi="仿宋" w:eastAsia="仿宋" w:cs="仿宋"/>
          <w:spacing w:val="7"/>
          <w:sz w:val="24"/>
          <w:szCs w:val="24"/>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9"/>
                    <a:stretch>
                      <a:fillRect/>
                    </a:stretch>
                  </pic:blipFill>
                  <pic:spPr>
                    <a:xfrm>
                      <a:off x="0" y="0"/>
                      <a:ext cx="4332604" cy="6095"/>
                    </a:xfrm>
                    <a:prstGeom prst="rect">
                      <a:avLst/>
                    </a:prstGeom>
                  </pic:spPr>
                </pic:pic>
              </a:graphicData>
            </a:graphic>
          </wp:inline>
        </w:drawing>
      </w:r>
    </w:p>
    <w:p w14:paraId="53A1811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联系电话：</w:t>
      </w:r>
      <w:r>
        <w:rPr>
          <w:rFonts w:ascii="仿宋" w:hAnsi="仿宋" w:eastAsia="仿宋" w:cs="仿宋"/>
          <w:spacing w:val="7"/>
          <w:sz w:val="24"/>
          <w:szCs w:val="24"/>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0"/>
                    <a:stretch>
                      <a:fillRect/>
                    </a:stretch>
                  </pic:blipFill>
                  <pic:spPr>
                    <a:xfrm>
                      <a:off x="0" y="0"/>
                      <a:ext cx="4267200" cy="6095"/>
                    </a:xfrm>
                    <a:prstGeom prst="rect">
                      <a:avLst/>
                    </a:prstGeom>
                  </pic:spPr>
                </pic:pic>
              </a:graphicData>
            </a:graphic>
          </wp:inline>
        </w:drawing>
      </w:r>
    </w:p>
    <w:p w14:paraId="4962420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 xml:space="preserve">地址： </w:t>
      </w:r>
      <w:r>
        <w:rPr>
          <w:rFonts w:ascii="仿宋" w:hAnsi="仿宋" w:eastAsia="仿宋" w:cs="仿宋"/>
          <w:spacing w:val="7"/>
          <w:sz w:val="24"/>
          <w:szCs w:val="24"/>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1"/>
                    <a:stretch>
                      <a:fillRect/>
                    </a:stretch>
                  </pic:blipFill>
                  <pic:spPr>
                    <a:xfrm>
                      <a:off x="0" y="0"/>
                      <a:ext cx="1934210"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2"/>
                    <a:stretch>
                      <a:fillRect/>
                    </a:stretch>
                  </pic:blipFill>
                  <pic:spPr>
                    <a:xfrm>
                      <a:off x="0" y="0"/>
                      <a:ext cx="2465704" cy="6095"/>
                    </a:xfrm>
                    <a:prstGeom prst="rect">
                      <a:avLst/>
                    </a:prstGeom>
                  </pic:spPr>
                </pic:pic>
              </a:graphicData>
            </a:graphic>
          </wp:inline>
        </w:drawing>
      </w:r>
    </w:p>
    <w:p w14:paraId="1BC884F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二、质疑项目基本情况</w:t>
      </w:r>
    </w:p>
    <w:p w14:paraId="59AD53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质疑项目的名称：</w:t>
      </w:r>
      <w:r>
        <w:rPr>
          <w:rFonts w:ascii="仿宋" w:hAnsi="仿宋" w:eastAsia="仿宋" w:cs="仿宋"/>
          <w:spacing w:val="7"/>
          <w:sz w:val="24"/>
          <w:szCs w:val="24"/>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3"/>
                    <a:stretch>
                      <a:fillRect/>
                    </a:stretch>
                  </pic:blipFill>
                  <pic:spPr>
                    <a:xfrm>
                      <a:off x="0" y="0"/>
                      <a:ext cx="3867784" cy="6095"/>
                    </a:xfrm>
                    <a:prstGeom prst="rect">
                      <a:avLst/>
                    </a:prstGeom>
                  </pic:spPr>
                </pic:pic>
              </a:graphicData>
            </a:graphic>
          </wp:inline>
        </w:drawing>
      </w:r>
    </w:p>
    <w:p w14:paraId="685F06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质疑项目的编号：</w:t>
      </w:r>
      <w:r>
        <w:rPr>
          <w:rFonts w:ascii="仿宋" w:hAnsi="仿宋" w:eastAsia="仿宋" w:cs="仿宋"/>
          <w:spacing w:val="7"/>
          <w:sz w:val="24"/>
          <w:szCs w:val="24"/>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4"/>
                    <a:stretch>
                      <a:fillRect/>
                    </a:stretch>
                  </pic:blipFill>
                  <pic:spPr>
                    <a:xfrm>
                      <a:off x="0" y="0"/>
                      <a:ext cx="1667509" cy="6095"/>
                    </a:xfrm>
                    <a:prstGeom prst="rect">
                      <a:avLst/>
                    </a:prstGeom>
                  </pic:spPr>
                </pic:pic>
              </a:graphicData>
            </a:graphic>
          </wp:inline>
        </w:drawing>
      </w:r>
      <w:r>
        <w:rPr>
          <w:rFonts w:ascii="仿宋" w:hAnsi="仿宋" w:eastAsia="仿宋" w:cs="仿宋"/>
          <w:spacing w:val="7"/>
          <w:sz w:val="24"/>
          <w:szCs w:val="24"/>
        </w:rPr>
        <w:t xml:space="preserve"> 包号：</w:t>
      </w:r>
      <w:r>
        <w:rPr>
          <w:rFonts w:ascii="仿宋" w:hAnsi="仿宋" w:eastAsia="仿宋" w:cs="仿宋"/>
          <w:spacing w:val="7"/>
          <w:sz w:val="24"/>
          <w:szCs w:val="24"/>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25"/>
                    <a:stretch>
                      <a:fillRect/>
                    </a:stretch>
                  </pic:blipFill>
                  <pic:spPr>
                    <a:xfrm>
                      <a:off x="0" y="0"/>
                      <a:ext cx="1801495" cy="6095"/>
                    </a:xfrm>
                    <a:prstGeom prst="rect">
                      <a:avLst/>
                    </a:prstGeom>
                  </pic:spPr>
                </pic:pic>
              </a:graphicData>
            </a:graphic>
          </wp:inline>
        </w:drawing>
      </w:r>
    </w:p>
    <w:p w14:paraId="77565AF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采购人名称：</w:t>
      </w:r>
      <w:r>
        <w:rPr>
          <w:rFonts w:ascii="仿宋" w:hAnsi="仿宋" w:eastAsia="仿宋" w:cs="仿宋"/>
          <w:spacing w:val="7"/>
          <w:sz w:val="24"/>
          <w:szCs w:val="24"/>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4"/>
                    <a:stretch>
                      <a:fillRect/>
                    </a:stretch>
                  </pic:blipFill>
                  <pic:spPr>
                    <a:xfrm>
                      <a:off x="0" y="0"/>
                      <a:ext cx="4134484" cy="6095"/>
                    </a:xfrm>
                    <a:prstGeom prst="rect">
                      <a:avLst/>
                    </a:prstGeom>
                  </pic:spPr>
                </pic:pic>
              </a:graphicData>
            </a:graphic>
          </wp:inline>
        </w:drawing>
      </w:r>
    </w:p>
    <w:p w14:paraId="0E3C673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获取日期：</w:t>
      </w:r>
      <w:r>
        <w:rPr>
          <w:rFonts w:ascii="仿宋" w:hAnsi="仿宋" w:eastAsia="仿宋" w:cs="仿宋"/>
          <w:spacing w:val="7"/>
          <w:sz w:val="24"/>
          <w:szCs w:val="24"/>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6"/>
                    <a:stretch>
                      <a:fillRect/>
                    </a:stretch>
                  </pic:blipFill>
                  <pic:spPr>
                    <a:xfrm>
                      <a:off x="0" y="0"/>
                      <a:ext cx="3733800" cy="6095"/>
                    </a:xfrm>
                    <a:prstGeom prst="rect">
                      <a:avLst/>
                    </a:prstGeom>
                  </pic:spPr>
                </pic:pic>
              </a:graphicData>
            </a:graphic>
          </wp:inline>
        </w:drawing>
      </w:r>
    </w:p>
    <w:sdt>
      <w:sdtPr>
        <w:rPr>
          <w:rFonts w:ascii="仿宋" w:hAnsi="仿宋" w:eastAsia="仿宋" w:cs="仿宋"/>
          <w:spacing w:val="7"/>
          <w:sz w:val="24"/>
          <w:szCs w:val="24"/>
        </w:rPr>
        <w:id w:val="10"/>
      </w:sdtPr>
      <w:sdtEndPr>
        <w:rPr>
          <w:rFonts w:ascii="仿宋" w:hAnsi="仿宋" w:eastAsia="仿宋" w:cs="仿宋"/>
          <w:spacing w:val="7"/>
          <w:sz w:val="24"/>
          <w:szCs w:val="24"/>
        </w:rPr>
      </w:sdtEndPr>
      <w:sdtContent>
        <w:p w14:paraId="1ADD78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三、质疑事项具体内容</w:t>
          </w:r>
        </w:p>
        <w:p w14:paraId="428684B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1：</w:t>
          </w:r>
          <w:r>
            <w:rPr>
              <w:rFonts w:ascii="仿宋" w:hAnsi="仿宋" w:eastAsia="仿宋" w:cs="仿宋"/>
              <w:spacing w:val="7"/>
              <w:sz w:val="24"/>
              <w:szCs w:val="24"/>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27"/>
                        <a:stretch>
                          <a:fillRect/>
                        </a:stretch>
                      </pic:blipFill>
                      <pic:spPr>
                        <a:xfrm>
                          <a:off x="0" y="0"/>
                          <a:ext cx="4134484" cy="6095"/>
                        </a:xfrm>
                        <a:prstGeom prst="rect">
                          <a:avLst/>
                        </a:prstGeom>
                      </pic:spPr>
                    </pic:pic>
                  </a:graphicData>
                </a:graphic>
              </wp:inline>
            </w:drawing>
          </w:r>
        </w:p>
        <w:p w14:paraId="77C3172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事实依据：</w:t>
          </w:r>
          <w:r>
            <w:rPr>
              <w:rFonts w:ascii="仿宋" w:hAnsi="仿宋" w:eastAsia="仿宋" w:cs="仿宋"/>
              <w:spacing w:val="7"/>
              <w:sz w:val="24"/>
              <w:szCs w:val="24"/>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28"/>
                        <a:stretch>
                          <a:fillRect/>
                        </a:stretch>
                      </pic:blipFill>
                      <pic:spPr>
                        <a:xfrm>
                          <a:off x="0" y="0"/>
                          <a:ext cx="4533900" cy="6095"/>
                        </a:xfrm>
                        <a:prstGeom prst="rect">
                          <a:avLst/>
                        </a:prstGeom>
                      </pic:spPr>
                    </pic:pic>
                  </a:graphicData>
                </a:graphic>
              </wp:inline>
            </w:drawing>
          </w:r>
        </w:p>
        <w:p w14:paraId="16C495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法律依据：</w:t>
          </w:r>
          <w:r>
            <w:rPr>
              <w:rFonts w:ascii="仿宋" w:hAnsi="仿宋" w:eastAsia="仿宋" w:cs="仿宋"/>
              <w:spacing w:val="7"/>
              <w:sz w:val="24"/>
              <w:szCs w:val="24"/>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29"/>
                        <a:stretch>
                          <a:fillRect/>
                        </a:stretch>
                      </pic:blipFill>
                      <pic:spPr>
                        <a:xfrm>
                          <a:off x="0" y="0"/>
                          <a:ext cx="4533900" cy="6095"/>
                        </a:xfrm>
                        <a:prstGeom prst="rect">
                          <a:avLst/>
                        </a:prstGeom>
                      </pic:spPr>
                    </pic:pic>
                  </a:graphicData>
                </a:graphic>
              </wp:inline>
            </w:drawing>
          </w:r>
        </w:p>
      </w:sdtContent>
    </w:sdt>
    <w:p w14:paraId="109E54B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2</w:t>
      </w:r>
    </w:p>
    <w:p w14:paraId="4494496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w:t>
      </w:r>
    </w:p>
    <w:sdt>
      <w:sdtPr>
        <w:rPr>
          <w:rFonts w:ascii="仿宋" w:hAnsi="仿宋" w:eastAsia="仿宋" w:cs="仿宋"/>
          <w:sz w:val="24"/>
          <w:szCs w:val="24"/>
        </w:rPr>
        <w:id w:val="11"/>
      </w:sdtPr>
      <w:sdtEndPr>
        <w:rPr>
          <w:rFonts w:ascii="仿宋" w:hAnsi="仿宋" w:eastAsia="仿宋" w:cs="仿宋"/>
          <w:spacing w:val="7"/>
          <w:sz w:val="24"/>
          <w:szCs w:val="24"/>
        </w:rPr>
      </w:sdtEndPr>
      <w:sdtContent>
        <w:p w14:paraId="6C0193AA">
          <w:pPr>
            <w:keepLines w:val="0"/>
            <w:pageBreakBefore w:val="0"/>
            <w:kinsoku/>
            <w:wordWrap/>
            <w:overflowPunct/>
            <w:topLinePunct w:val="0"/>
            <w:bidi w:val="0"/>
            <w:spacing w:before="51" w:line="229" w:lineRule="auto"/>
            <w:ind w:left="266"/>
            <w:rPr>
              <w:rFonts w:ascii="仿宋" w:hAnsi="仿宋" w:eastAsia="仿宋" w:cs="仿宋"/>
              <w:b/>
              <w:bCs/>
              <w:sz w:val="24"/>
              <w:szCs w:val="24"/>
            </w:rPr>
          </w:pPr>
          <w:r>
            <w:rPr>
              <w:rFonts w:ascii="仿宋" w:hAnsi="仿宋" w:eastAsia="仿宋" w:cs="仿宋"/>
              <w:b/>
              <w:bCs/>
              <w:spacing w:val="7"/>
              <w:sz w:val="24"/>
              <w:szCs w:val="24"/>
            </w:rPr>
            <w:t>四、与质疑事项相关的质疑请求</w:t>
          </w:r>
        </w:p>
        <w:p w14:paraId="09EC026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请求：</w:t>
          </w:r>
          <w:r>
            <w:rPr>
              <w:rFonts w:ascii="仿宋" w:hAnsi="仿宋" w:eastAsia="仿宋" w:cs="仿宋"/>
              <w:spacing w:val="7"/>
              <w:sz w:val="24"/>
              <w:szCs w:val="24"/>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0"/>
                        <a:stretch>
                          <a:fillRect/>
                        </a:stretch>
                      </pic:blipFill>
                      <pic:spPr>
                        <a:xfrm>
                          <a:off x="0" y="0"/>
                          <a:ext cx="4599304" cy="6095"/>
                        </a:xfrm>
                        <a:prstGeom prst="rect">
                          <a:avLst/>
                        </a:prstGeom>
                      </pic:spPr>
                    </pic:pic>
                  </a:graphicData>
                </a:graphic>
              </wp:inline>
            </w:drawing>
          </w:r>
        </w:p>
      </w:sdtContent>
    </w:sdt>
    <w:p w14:paraId="745377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签字(签章)：                    公章：</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日期：</w:t>
      </w:r>
    </w:p>
    <w:p w14:paraId="11DACB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25.9.质疑函接收方式：质疑函以书面形式递交或者电子邮件的方式发送。</w:t>
      </w:r>
      <w:r>
        <w:rPr>
          <w:rFonts w:hint="eastAsia" w:ascii="仿宋" w:hAnsi="仿宋" w:eastAsia="仿宋" w:cs="仿宋"/>
          <w:spacing w:val="7"/>
          <w:sz w:val="24"/>
          <w:szCs w:val="24"/>
          <w:lang w:eastAsia="zh-CN"/>
        </w:rPr>
        <w:t>（发出质疑函需电话告知代理机构）</w:t>
      </w:r>
    </w:p>
    <w:p w14:paraId="5382D11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质疑函接收：</w:t>
      </w:r>
      <w:r>
        <w:rPr>
          <w:rFonts w:hint="eastAsia" w:ascii="仿宋" w:hAnsi="仿宋" w:eastAsia="仿宋" w:cs="仿宋"/>
          <w:spacing w:val="7"/>
          <w:sz w:val="24"/>
          <w:szCs w:val="24"/>
          <w:lang w:eastAsia="zh-CN"/>
        </w:rPr>
        <w:t>阿克苏地区振远项目咨询管理有限公司</w:t>
      </w:r>
      <w:r>
        <w:rPr>
          <w:rFonts w:ascii="仿宋" w:hAnsi="仿宋" w:eastAsia="仿宋" w:cs="仿宋"/>
          <w:spacing w:val="7"/>
          <w:sz w:val="24"/>
          <w:szCs w:val="24"/>
        </w:rPr>
        <w:t>，地址：</w:t>
      </w:r>
      <w:r>
        <w:rPr>
          <w:rFonts w:hint="eastAsia" w:ascii="仿宋" w:hAnsi="仿宋" w:eastAsia="仿宋" w:cs="仿宋"/>
          <w:spacing w:val="7"/>
          <w:sz w:val="24"/>
          <w:szCs w:val="24"/>
          <w:lang w:val="en-US" w:eastAsia="zh-CN"/>
        </w:rPr>
        <w:t>阿克苏市农一师第四家属院1号楼2单元19B01号</w:t>
      </w:r>
      <w:r>
        <w:rPr>
          <w:rFonts w:ascii="仿宋" w:hAnsi="仿宋" w:eastAsia="仿宋" w:cs="仿宋"/>
          <w:spacing w:val="7"/>
          <w:sz w:val="24"/>
          <w:szCs w:val="24"/>
        </w:rPr>
        <w:t>，联系人：</w:t>
      </w:r>
      <w:r>
        <w:rPr>
          <w:rFonts w:hint="eastAsia" w:ascii="仿宋" w:hAnsi="仿宋" w:eastAsia="仿宋" w:cs="仿宋"/>
          <w:spacing w:val="7"/>
          <w:sz w:val="24"/>
          <w:szCs w:val="24"/>
          <w:lang w:val="en-US" w:eastAsia="zh-CN"/>
        </w:rPr>
        <w:t>胡丹</w:t>
      </w:r>
      <w:r>
        <w:rPr>
          <w:rFonts w:ascii="仿宋" w:hAnsi="仿宋" w:eastAsia="仿宋" w:cs="仿宋"/>
          <w:spacing w:val="7"/>
          <w:sz w:val="24"/>
          <w:szCs w:val="24"/>
        </w:rPr>
        <w:t>，联系电话：</w:t>
      </w:r>
      <w:r>
        <w:rPr>
          <w:rFonts w:hint="eastAsia"/>
          <w:color w:val="auto"/>
          <w:sz w:val="24"/>
          <w:szCs w:val="24"/>
          <w:highlight w:val="none"/>
        </w:rPr>
        <w:t>15569365500</w:t>
      </w:r>
      <w:r>
        <w:rPr>
          <w:rFonts w:ascii="仿宋" w:hAnsi="仿宋" w:eastAsia="仿宋" w:cs="仿宋"/>
          <w:spacing w:val="7"/>
          <w:sz w:val="24"/>
          <w:szCs w:val="24"/>
        </w:rPr>
        <w:t>，电子邮箱</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1538149166</w:t>
      </w:r>
      <w:r>
        <w:rPr>
          <w:rFonts w:hint="eastAsia" w:ascii="仿宋" w:hAnsi="仿宋" w:eastAsia="仿宋" w:cs="仿宋"/>
          <w:spacing w:val="7"/>
          <w:sz w:val="24"/>
          <w:szCs w:val="24"/>
          <w:lang w:eastAsia="zh-CN"/>
        </w:rPr>
        <w:t>@qq.com</w:t>
      </w:r>
      <w:r>
        <w:rPr>
          <w:rFonts w:ascii="仿宋" w:hAnsi="仿宋" w:eastAsia="仿宋" w:cs="仿宋"/>
          <w:spacing w:val="7"/>
          <w:sz w:val="24"/>
          <w:szCs w:val="24"/>
        </w:rPr>
        <w:t>。</w:t>
      </w:r>
    </w:p>
    <w:p w14:paraId="527A5FC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七、签订合同</w:t>
      </w:r>
    </w:p>
    <w:p w14:paraId="1650F3C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26.招标代理服务费</w:t>
      </w:r>
    </w:p>
    <w:p w14:paraId="3F545E0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highlight w:val="none"/>
        </w:rPr>
      </w:pPr>
      <w:r>
        <w:rPr>
          <w:rFonts w:ascii="仿宋" w:hAnsi="仿宋" w:eastAsia="仿宋" w:cs="仿宋"/>
          <w:spacing w:val="7"/>
          <w:sz w:val="24"/>
          <w:szCs w:val="24"/>
          <w:highlight w:val="none"/>
        </w:rPr>
        <w:t>26.1.</w:t>
      </w:r>
      <w:r>
        <w:rPr>
          <w:rFonts w:hint="eastAsia" w:ascii="仿宋" w:hAnsi="仿宋" w:eastAsia="仿宋" w:cs="仿宋"/>
          <w:spacing w:val="7"/>
          <w:sz w:val="24"/>
          <w:szCs w:val="24"/>
          <w:highlight w:val="none"/>
          <w:lang w:eastAsia="zh-CN"/>
        </w:rPr>
        <w:t>招标代理服务费参照《招标代理服务收费管理暂行办法》（计价格〔2002〕1980号）规定计取（按差额定率累进法计算）</w:t>
      </w:r>
      <w:r>
        <w:rPr>
          <w:rFonts w:ascii="仿宋" w:hAnsi="仿宋" w:eastAsia="仿宋" w:cs="仿宋"/>
          <w:spacing w:val="7"/>
          <w:sz w:val="24"/>
          <w:szCs w:val="24"/>
          <w:highlight w:val="none"/>
        </w:rPr>
        <w:t>，由中标（成交）人向采购代理机构交纳代理服务费。</w:t>
      </w:r>
    </w:p>
    <w:p w14:paraId="12E614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26.2.费用缴纳可采用电汇、转支（公户）</w:t>
      </w:r>
      <w:r>
        <w:rPr>
          <w:rFonts w:hint="eastAsia" w:ascii="仿宋" w:hAnsi="仿宋" w:eastAsia="仿宋" w:cs="仿宋"/>
          <w:spacing w:val="7"/>
          <w:sz w:val="24"/>
          <w:szCs w:val="24"/>
          <w:lang w:eastAsia="zh-CN"/>
        </w:rPr>
        <w:t>等</w:t>
      </w:r>
      <w:r>
        <w:rPr>
          <w:rFonts w:ascii="仿宋" w:hAnsi="仿宋" w:eastAsia="仿宋" w:cs="仿宋"/>
          <w:spacing w:val="7"/>
          <w:sz w:val="24"/>
          <w:szCs w:val="24"/>
        </w:rPr>
        <w:t>方式支付，在领取《中标通知书》前一次性支付给</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p>
    <w:p w14:paraId="532FE32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27.中标通知书</w:t>
      </w:r>
    </w:p>
    <w:p w14:paraId="0CAE333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27.1.</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将电话通知</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缴纳招标代理服务费。</w:t>
      </w:r>
    </w:p>
    <w:p w14:paraId="3D18239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2</w:t>
      </w:r>
      <w:r>
        <w:rPr>
          <w:rFonts w:ascii="仿宋" w:hAnsi="仿宋" w:eastAsia="仿宋" w:cs="仿宋"/>
          <w:spacing w:val="7"/>
          <w:sz w:val="24"/>
          <w:szCs w:val="24"/>
        </w:rPr>
        <w:t>.在规定的投标有效期内，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将以书面形式向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发出《中标通知书》。</w:t>
      </w:r>
    </w:p>
    <w:p w14:paraId="4F902BA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.中标通知书对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和</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具有同等法律效力。</w:t>
      </w:r>
    </w:p>
    <w:p w14:paraId="4CC02EF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.中标通知书是</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签订合同的依据，是合同必不可少的一个组成部分。</w:t>
      </w:r>
    </w:p>
    <w:p w14:paraId="6D47E1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未按照招标文件要求与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w:t>
      </w:r>
      <w:r>
        <w:rPr>
          <w:rFonts w:hint="eastAsia" w:ascii="仿宋" w:hAnsi="仿宋" w:eastAsia="仿宋" w:cs="仿宋"/>
          <w:spacing w:val="7"/>
          <w:sz w:val="24"/>
          <w:szCs w:val="24"/>
          <w:lang w:eastAsia="zh-CN"/>
        </w:rPr>
        <w:t>采购合同</w:t>
      </w:r>
      <w:r>
        <w:rPr>
          <w:rFonts w:ascii="仿宋" w:hAnsi="仿宋" w:eastAsia="仿宋" w:cs="仿宋"/>
          <w:spacing w:val="7"/>
          <w:sz w:val="24"/>
          <w:szCs w:val="24"/>
        </w:rPr>
        <w:t>或放弃中标资格的，按照《中华人民共和国政府采购法实施条例》第四十九条规定执行。</w:t>
      </w:r>
    </w:p>
    <w:p w14:paraId="277530B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28.签订合同</w:t>
      </w:r>
    </w:p>
    <w:p w14:paraId="65DFC01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应当在中标通知书发出之日起30日内，按照招标文件确定的合同文本以及采购标的、规格型号、采购金额、采购数量、技术和服务要求等事项签订政府采购合同。</w:t>
      </w:r>
    </w:p>
    <w:p w14:paraId="4516CB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28.2.</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不得向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提出超出招标文件以外的任何要求作为签订合同的条件，不得与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订立背离招标文件确定的合同文本以及采购标的、规格型号、采购金额、采购数量、技术和服务要求等实质性内容的协议。</w:t>
      </w:r>
    </w:p>
    <w:p w14:paraId="434E33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28.3.除不可抗力等因素外，中标通知书发出后，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改变成交结果，或者</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拒绝签订政府采购合同的，应当承担相应的法律责任。</w:t>
      </w:r>
    </w:p>
    <w:p w14:paraId="7499715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28.4.</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可以按照《政府采购非招标</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管理办法》第三十六条第二款、第四十九条第二款规定的原则确定其他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作为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并签订政府采购合同，也可以重新开展采购活动。拒绝签订政府采购合同的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不得参加对该项目重新开展的采购活动。</w:t>
      </w:r>
    </w:p>
    <w:p w14:paraId="438C727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28.5.</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应当自采购合同签订之日起七个工作日内，按照有关规定将采购合同副本报同级人民政府财政部门备案。</w:t>
      </w:r>
    </w:p>
    <w:p w14:paraId="6BD12BF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28.6.分包履行合同（本项目不允许分包）</w:t>
      </w:r>
    </w:p>
    <w:p w14:paraId="3B854A1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28.7.如招标文件同意分包，经</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同意，</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可以依法采取分包方式履行合同。政府 采购合同分包履行的，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就采购项目和分包项目向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负责，分包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就分包项目承担责任。</w:t>
      </w:r>
    </w:p>
    <w:p w14:paraId="6DCF85C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29.政府采购合同履行中合同标的的追加</w:t>
      </w:r>
    </w:p>
    <w:p w14:paraId="60D8F00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29.1.政府采购合同履行中，</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需追加与合同标的相同的货物、工程或者服务的，在不改变合同其他条款的前提下，可以与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协商签订补充合同，但所有补充合同的采购金额不得超过原合同采购金额的百分之十。</w:t>
      </w:r>
    </w:p>
    <w:p w14:paraId="734D15F8">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30.废标条款</w:t>
      </w:r>
    </w:p>
    <w:p w14:paraId="32BC90D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（一）符合专业条件的供应商或者对招标文件</w:t>
      </w:r>
      <w:r>
        <w:rPr>
          <w:rFonts w:hint="eastAsia" w:ascii="仿宋" w:hAnsi="仿宋" w:eastAsia="仿宋" w:cs="仿宋"/>
          <w:spacing w:val="7"/>
          <w:sz w:val="24"/>
          <w:szCs w:val="24"/>
          <w:lang w:val="en-US" w:eastAsia="zh-CN"/>
        </w:rPr>
        <w:t>做</w:t>
      </w:r>
      <w:r>
        <w:rPr>
          <w:rFonts w:hint="default" w:ascii="仿宋" w:hAnsi="仿宋" w:eastAsia="仿宋" w:cs="仿宋"/>
          <w:spacing w:val="7"/>
          <w:sz w:val="24"/>
          <w:szCs w:val="24"/>
          <w:lang w:val="en-US" w:eastAsia="zh-CN"/>
        </w:rPr>
        <w:t>实质</w:t>
      </w:r>
      <w:r>
        <w:rPr>
          <w:rFonts w:hint="eastAsia" w:ascii="仿宋" w:hAnsi="仿宋" w:eastAsia="仿宋" w:cs="仿宋"/>
          <w:spacing w:val="7"/>
          <w:sz w:val="24"/>
          <w:szCs w:val="24"/>
          <w:lang w:val="en-US" w:eastAsia="zh-CN"/>
        </w:rPr>
        <w:t>投标</w:t>
      </w:r>
      <w:r>
        <w:rPr>
          <w:rFonts w:hint="default" w:ascii="仿宋" w:hAnsi="仿宋" w:eastAsia="仿宋" w:cs="仿宋"/>
          <w:spacing w:val="7"/>
          <w:sz w:val="24"/>
          <w:szCs w:val="24"/>
          <w:lang w:val="en-US" w:eastAsia="zh-CN"/>
        </w:rPr>
        <w:t>的供应商不足三家的；</w:t>
      </w:r>
    </w:p>
    <w:p w14:paraId="07E937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（二）出现影响采购公正的违法、违规行为的；</w:t>
      </w:r>
    </w:p>
    <w:p w14:paraId="499C1BB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（三）投标人的报价均超过了采购预算，采购人不能支付的；</w:t>
      </w:r>
    </w:p>
    <w:p w14:paraId="54E9955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default" w:ascii="仿宋" w:hAnsi="仿宋" w:eastAsia="仿宋" w:cs="仿宋"/>
          <w:spacing w:val="7"/>
          <w:sz w:val="24"/>
          <w:szCs w:val="24"/>
          <w:lang w:val="en-US" w:eastAsia="zh-CN"/>
        </w:rPr>
        <w:t>（四）因重大变故，采购任务取消的。</w:t>
      </w:r>
    </w:p>
    <w:p w14:paraId="50711541">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b/>
          <w:bCs/>
          <w:spacing w:val="7"/>
          <w:sz w:val="24"/>
          <w:szCs w:val="24"/>
        </w:rPr>
        <w:t>31.履约保证金（详见</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须知前附表）</w:t>
      </w:r>
    </w:p>
    <w:p w14:paraId="6EDEB08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31.1.在接到中标通知书30个日历天内，中标的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应按合同规定向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提交履约保证金。</w:t>
      </w:r>
    </w:p>
    <w:p w14:paraId="4B6C01F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的履约保证金是以银行保函的形式提供，则该银行保函应由在中国注册的银行开具。</w:t>
      </w:r>
    </w:p>
    <w:p w14:paraId="7FE03F7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31.3.如果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签订合同并提交履约保证金，或者在签订合同时向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提出附加条件或者更改合同实质性内容的，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则有权没收该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的投标保证金，并视为其放弃中标资格；给</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的损失超过投标保证金数额的，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应对超过部分予以赔偿。</w:t>
      </w:r>
    </w:p>
    <w:p w14:paraId="5FBEC65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32.采购任务取消</w:t>
      </w:r>
    </w:p>
    <w:p w14:paraId="04B98DC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32.1.在采购活动中因重大变故，采购任务取消的，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应当终止采购活动，通知所有参加采购活动的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，并将项目实施情况和采购任务取消原因报送本级财政部门。</w:t>
      </w:r>
    </w:p>
    <w:p w14:paraId="7B80966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33.其他</w:t>
      </w:r>
    </w:p>
    <w:p w14:paraId="67C8F65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33.1.本招标文件如与网上发布的招标公告、更正公告等有差异的部分，以网上发布的为准。</w:t>
      </w:r>
    </w:p>
    <w:p w14:paraId="64E904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bCs/>
          <w:color w:val="auto"/>
          <w:sz w:val="32"/>
          <w:szCs w:val="32"/>
          <w:highlight w:val="none"/>
        </w:rPr>
      </w:pPr>
      <w:r>
        <w:rPr>
          <w:rFonts w:ascii="仿宋" w:hAnsi="仿宋" w:eastAsia="仿宋" w:cs="仿宋"/>
          <w:spacing w:val="7"/>
          <w:sz w:val="24"/>
          <w:szCs w:val="24"/>
        </w:rPr>
        <w:t>33.2.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成功投标并不意味着其满足</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资格，具体评判标准以本文件和评标委员会评审为依据</w:t>
      </w:r>
    </w:p>
    <w:p w14:paraId="70DC29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116B2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679A20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1F4915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7902CF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114F7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6ABD4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127EDE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246E27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7A887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158415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64198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val="0"/>
          <w:bCs w:val="0"/>
          <w:color w:val="auto"/>
          <w:sz w:val="36"/>
          <w:szCs w:val="36"/>
          <w:highlight w:val="none"/>
        </w:rPr>
      </w:pPr>
      <w:r>
        <w:rPr>
          <w:rFonts w:hint="eastAsia" w:ascii="宋体" w:hAnsi="宋体" w:eastAsia="宋体" w:cs="宋体"/>
          <w:b/>
          <w:bCs/>
          <w:color w:val="auto"/>
          <w:sz w:val="32"/>
          <w:szCs w:val="32"/>
          <w:highlight w:val="none"/>
        </w:rPr>
        <w:t>第三章  采购需求</w:t>
      </w:r>
      <w:bookmarkEnd w:id="15"/>
      <w:bookmarkStart w:id="16" w:name="_Toc24669"/>
      <w:bookmarkStart w:id="17" w:name="_Toc9977"/>
      <w:bookmarkStart w:id="18" w:name="_Toc8637"/>
    </w:p>
    <w:p w14:paraId="622AF55F">
      <w:pPr>
        <w:spacing w:afterLines="50" w:line="400" w:lineRule="exact"/>
        <w:outlineLvl w:val="2"/>
        <w:rPr>
          <w:rFonts w:hint="eastAsia" w:ascii="宋体" w:hAnsi="宋体" w:eastAsia="宋体" w:cs="宋体"/>
          <w:color w:val="auto"/>
          <w:sz w:val="21"/>
          <w:szCs w:val="21"/>
          <w:highlight w:val="none"/>
        </w:rPr>
      </w:pPr>
      <w:bookmarkStart w:id="19" w:name="_Toc12535"/>
      <w:bookmarkStart w:id="20" w:name="_Toc494455913"/>
      <w:bookmarkStart w:id="21" w:name="_Toc1034"/>
      <w:r>
        <w:rPr>
          <w:rFonts w:hint="eastAsia" w:ascii="宋体" w:hAnsi="宋体" w:eastAsia="宋体" w:cs="宋体"/>
          <w:color w:val="auto"/>
          <w:sz w:val="21"/>
          <w:szCs w:val="21"/>
          <w:highlight w:val="none"/>
        </w:rPr>
        <w:t>项目说明</w:t>
      </w:r>
      <w:bookmarkEnd w:id="19"/>
      <w:bookmarkEnd w:id="20"/>
      <w:bookmarkEnd w:id="21"/>
    </w:p>
    <w:p w14:paraId="504CB895">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1.1本章内容是根据采购项目的实际需求制定的。</w:t>
      </w:r>
    </w:p>
    <w:p w14:paraId="7E101722">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1.2货物必须为合格产品，质量达到国家相关标准、行业标准、地方标准或者其他标准、规范，中标人供货时应当提供有关货物的合格证明材料等。</w:t>
      </w:r>
    </w:p>
    <w:p w14:paraId="25E86DC5">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14:paraId="4AF8AED9">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1.4进口产品是指通过中国海关报关验放进入中国境内且产自关境外的产品。</w:t>
      </w:r>
    </w:p>
    <w:p w14:paraId="66FC16BC">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应当采购本国产品。采购人确需招标采购进口产品的，应在招投标活动开始前，按照财政部《政府采购进口产品管理办法》（财库〔2007〕119号）文件规定办理审核手续，通过财政部门审核后，方可招标采购进口产品，否则采购人不得招标采购进口产品，投标人不得提供直接进口或者委托进口产品（包括已进入中国境内的进口产品）。</w:t>
      </w:r>
    </w:p>
    <w:p w14:paraId="09209C20">
      <w:pPr>
        <w:spacing w:line="48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采购人或采购代理机构在采购进口产品时不得拒绝国产相同质量产品的制造商或代理商参与投标。</w:t>
      </w:r>
      <w:bookmarkEnd w:id="16"/>
      <w:bookmarkEnd w:id="17"/>
      <w:bookmarkEnd w:id="18"/>
      <w:bookmarkStart w:id="22" w:name="_Toc494455690"/>
    </w:p>
    <w:p w14:paraId="2055632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货物（产品）采购清单及技术要求</w:t>
      </w:r>
    </w:p>
    <w:p w14:paraId="5A623A48">
      <w:pPr>
        <w:spacing w:line="360" w:lineRule="auto"/>
        <w:ind w:firstLine="482" w:firstLineChars="200"/>
        <w:rPr>
          <w:rFonts w:hint="eastAsia" w:ascii="宋体" w:hAnsi="宋体" w:eastAsia="宋体" w:cs="宋体"/>
          <w:b/>
          <w:bCs/>
          <w:color w:val="auto"/>
          <w:sz w:val="24"/>
          <w:szCs w:val="24"/>
          <w:highlight w:val="none"/>
        </w:rPr>
      </w:pPr>
      <w:bookmarkStart w:id="23" w:name="_Toc13656148"/>
      <w:bookmarkStart w:id="24" w:name="_Toc13682863"/>
      <w:bookmarkStart w:id="25" w:name="_Toc13678547"/>
      <w:bookmarkStart w:id="26" w:name="_Toc13758296"/>
      <w:bookmarkStart w:id="27" w:name="_Toc495414113"/>
      <w:bookmarkStart w:id="28" w:name="_Toc13676645"/>
      <w:bookmarkStart w:id="29" w:name="_Toc22200990"/>
      <w:r>
        <w:rPr>
          <w:rFonts w:hint="eastAsia" w:ascii="宋体" w:hAnsi="宋体" w:eastAsia="宋体" w:cs="宋体"/>
          <w:b/>
          <w:bCs/>
          <w:color w:val="auto"/>
          <w:sz w:val="24"/>
          <w:szCs w:val="24"/>
          <w:highlight w:val="none"/>
        </w:rPr>
        <w:t>投标人需注意：</w:t>
      </w:r>
      <w:bookmarkEnd w:id="23"/>
      <w:bookmarkEnd w:id="24"/>
      <w:bookmarkEnd w:id="25"/>
      <w:bookmarkEnd w:id="26"/>
      <w:bookmarkEnd w:id="27"/>
      <w:bookmarkEnd w:id="28"/>
      <w:bookmarkEnd w:id="29"/>
    </w:p>
    <w:p w14:paraId="0B840F3C">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项目名称：“2025年阿瓦提县人民医院门诊改造及设备项目”泌尿外科采购一批医疗设备</w:t>
      </w:r>
    </w:p>
    <w:p w14:paraId="215DDF2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项目编号：AKSZY-2025-CG002</w:t>
      </w:r>
    </w:p>
    <w:p w14:paraId="7FCC08A7">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最高限价：2039917</w:t>
      </w:r>
      <w:r>
        <w:rPr>
          <w:rFonts w:hint="eastAsia" w:ascii="宋体" w:hAnsi="宋体" w:cs="宋体"/>
          <w:b/>
          <w:bCs/>
          <w:color w:val="auto"/>
          <w:sz w:val="24"/>
          <w:szCs w:val="24"/>
          <w:highlight w:val="none"/>
          <w:lang w:val="en-US" w:eastAsia="zh-CN"/>
        </w:rPr>
        <w:t>.00元</w:t>
      </w:r>
    </w:p>
    <w:p w14:paraId="12368B9C">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采购范围：尿动力学分析仪、红外光谱结石成分分析仪等采购一批医疗设备（详见采购清单及参数）  </w:t>
      </w:r>
    </w:p>
    <w:p w14:paraId="522FB6DB">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lang w:val="en-US" w:eastAsia="zh-CN"/>
        </w:rPr>
        <w:t>维</w:t>
      </w:r>
      <w:r>
        <w:rPr>
          <w:rFonts w:hint="default" w:ascii="宋体" w:hAnsi="宋体" w:eastAsia="宋体" w:cs="宋体"/>
          <w:b/>
          <w:bCs/>
          <w:color w:val="auto"/>
          <w:sz w:val="24"/>
          <w:szCs w:val="24"/>
          <w:highlight w:val="none"/>
          <w:lang w:val="en-US" w:eastAsia="zh-CN"/>
        </w:rPr>
        <w:t>保期：</w:t>
      </w:r>
      <w:r>
        <w:rPr>
          <w:rFonts w:hint="eastAsia" w:ascii="宋体" w:hAnsi="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年</w:t>
      </w:r>
    </w:p>
    <w:p w14:paraId="37913F22">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6.质</w:t>
      </w:r>
      <w:r>
        <w:rPr>
          <w:rFonts w:hint="eastAsia" w:ascii="宋体" w:hAnsi="宋体" w:eastAsia="宋体" w:cs="宋体"/>
          <w:b/>
          <w:bCs/>
          <w:color w:val="auto"/>
          <w:sz w:val="24"/>
          <w:szCs w:val="24"/>
          <w:highlight w:val="none"/>
          <w:lang w:val="en-US" w:eastAsia="zh-CN"/>
        </w:rPr>
        <w:t>量要求：符合国家及行业质量验收合格标准</w:t>
      </w:r>
    </w:p>
    <w:p w14:paraId="25CE974C">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7.供货期：签订合同后 10 日内完成供货、安装、调试、验收合格</w:t>
      </w:r>
    </w:p>
    <w:p w14:paraId="41E9B8D8">
      <w:pPr>
        <w:spacing w:line="360" w:lineRule="auto"/>
        <w:ind w:firstLine="482"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8.*付款方式：以甲乙双方签订合同为准</w:t>
      </w:r>
    </w:p>
    <w:p w14:paraId="2F503DBE">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验收：</w:t>
      </w:r>
    </w:p>
    <w:p w14:paraId="3E5B36C5">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9.1</w:t>
      </w:r>
      <w:r>
        <w:rPr>
          <w:rFonts w:hint="eastAsia" w:ascii="宋体" w:hAnsi="宋体" w:eastAsia="宋体" w:cs="宋体"/>
          <w:b/>
          <w:bCs/>
          <w:color w:val="auto"/>
          <w:sz w:val="24"/>
          <w:szCs w:val="24"/>
          <w:highlight w:val="none"/>
          <w:lang w:val="en-US" w:eastAsia="zh-CN"/>
        </w:rPr>
        <w:t>货物运抵现场后，采购人将对货物数量、质量、规格等进行检验。</w:t>
      </w:r>
    </w:p>
    <w:p w14:paraId="2063485D">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如发现货物和规格或者两者都与招标文件、投标文件、合同不符，采购人有权限</w:t>
      </w:r>
    </w:p>
    <w:p w14:paraId="10BFA9A5">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根据检验结果要求中标人立即更换或者提出索赔要求。</w:t>
      </w:r>
    </w:p>
    <w:p w14:paraId="4895D0D3">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.2 货物由中标人进行安装，完毕后，采购人应对货物的数量、质量、规</w:t>
      </w:r>
    </w:p>
    <w:p w14:paraId="0CF738C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格、性能等进行详细而全面的检验。安装完毕后，证明货物以及安装质量无任何</w:t>
      </w:r>
    </w:p>
    <w:p w14:paraId="6207A46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问题，由采购人组成的验收小组签署验收报告，作为付款凭据之一。</w:t>
      </w:r>
    </w:p>
    <w:p w14:paraId="18BAE25C">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清单</w:t>
      </w:r>
      <w:r>
        <w:rPr>
          <w:rFonts w:hint="eastAsia" w:ascii="宋体" w:hAnsi="宋体" w:cs="宋体"/>
          <w:b/>
          <w:bCs/>
          <w:color w:val="auto"/>
          <w:sz w:val="24"/>
          <w:szCs w:val="24"/>
          <w:highlight w:val="none"/>
          <w:lang w:val="en-US" w:eastAsia="zh-CN"/>
        </w:rPr>
        <w:t xml:space="preserve">及参数具体内容如下：  </w:t>
      </w:r>
    </w:p>
    <w:p w14:paraId="1C4C0180">
      <w:pPr>
        <w:pStyle w:val="6"/>
        <w:spacing w:line="360" w:lineRule="auto"/>
        <w:ind w:left="0" w:leftChars="0"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10.1清单：</w:t>
      </w:r>
    </w:p>
    <w:tbl>
      <w:tblPr>
        <w:tblStyle w:val="18"/>
        <w:tblW w:w="9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3595"/>
        <w:gridCol w:w="1266"/>
        <w:gridCol w:w="631"/>
        <w:gridCol w:w="631"/>
        <w:gridCol w:w="915"/>
        <w:gridCol w:w="967"/>
        <w:gridCol w:w="1284"/>
      </w:tblGrid>
      <w:tr w14:paraId="5DF3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20" w:type="dxa"/>
            <w:gridSpan w:val="8"/>
            <w:vMerge w:val="restart"/>
            <w:tcBorders>
              <w:top w:val="nil"/>
              <w:left w:val="nil"/>
              <w:bottom w:val="nil"/>
              <w:right w:val="nil"/>
            </w:tcBorders>
            <w:noWrap/>
            <w:vAlign w:val="center"/>
          </w:tcPr>
          <w:p w14:paraId="2717A337">
            <w:pPr>
              <w:keepNext w:val="0"/>
              <w:keepLines w:val="0"/>
              <w:widowControl/>
              <w:suppressLineNumbers w:val="0"/>
              <w:jc w:val="center"/>
              <w:textAlignment w:val="center"/>
              <w:rPr>
                <w:rFonts w:hint="default" w:ascii="宋体" w:hAnsi="宋体" w:eastAsia="宋体" w:cs="宋体"/>
                <w:i w:val="0"/>
                <w:iCs w:val="0"/>
                <w:color w:val="auto"/>
                <w:sz w:val="36"/>
                <w:szCs w:val="36"/>
                <w:u w:val="none"/>
                <w:lang w:val="en-US" w:eastAsia="zh-CN"/>
              </w:rPr>
            </w:pPr>
            <w:r>
              <w:rPr>
                <w:rFonts w:hint="eastAsia" w:ascii="宋体" w:hAnsi="宋体" w:cs="宋体"/>
                <w:i w:val="0"/>
                <w:iCs w:val="0"/>
                <w:color w:val="auto"/>
                <w:sz w:val="36"/>
                <w:szCs w:val="36"/>
                <w:u w:val="none"/>
                <w:lang w:val="en-US" w:eastAsia="zh-CN"/>
              </w:rPr>
              <w:t>采购清单</w:t>
            </w:r>
          </w:p>
        </w:tc>
      </w:tr>
      <w:tr w14:paraId="03DA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920" w:type="dxa"/>
            <w:gridSpan w:val="8"/>
            <w:vMerge w:val="continue"/>
            <w:tcBorders>
              <w:top w:val="nil"/>
              <w:left w:val="nil"/>
              <w:bottom w:val="nil"/>
              <w:right w:val="nil"/>
            </w:tcBorders>
            <w:noWrap/>
            <w:vAlign w:val="center"/>
          </w:tcPr>
          <w:p w14:paraId="102D04E6">
            <w:pPr>
              <w:jc w:val="center"/>
              <w:rPr>
                <w:rFonts w:hint="eastAsia" w:ascii="宋体" w:hAnsi="宋体" w:eastAsia="宋体" w:cs="宋体"/>
                <w:i w:val="0"/>
                <w:iCs w:val="0"/>
                <w:color w:val="auto"/>
                <w:sz w:val="36"/>
                <w:szCs w:val="36"/>
                <w:u w:val="none"/>
              </w:rPr>
            </w:pPr>
          </w:p>
        </w:tc>
      </w:tr>
      <w:tr w14:paraId="3376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739596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4804ED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采购项目名称</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64B5EB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规格及参数</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7C5CFB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67F06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356A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1515AD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总价（元）</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1875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6FBA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6E17F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6CCE33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尿动力学分析仪</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2C9A4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49813C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5E2A0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E1B493A">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45B9F4A2">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0D7FAAB">
            <w:pPr>
              <w:jc w:val="center"/>
              <w:rPr>
                <w:rFonts w:hint="eastAsia" w:ascii="宋体" w:hAnsi="宋体" w:eastAsia="宋体" w:cs="宋体"/>
                <w:i w:val="0"/>
                <w:iCs w:val="0"/>
                <w:color w:val="auto"/>
                <w:sz w:val="22"/>
                <w:szCs w:val="22"/>
                <w:u w:val="none"/>
              </w:rPr>
            </w:pPr>
          </w:p>
        </w:tc>
      </w:tr>
      <w:tr w14:paraId="2BBE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035A3D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343B6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红外光谱结石成分分析仪</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3172F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2D75A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0E8683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AD3E6BC">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E2318D6">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492B0BB">
            <w:pPr>
              <w:jc w:val="center"/>
              <w:rPr>
                <w:rFonts w:hint="eastAsia" w:ascii="宋体" w:hAnsi="宋体" w:eastAsia="宋体" w:cs="宋体"/>
                <w:i w:val="0"/>
                <w:iCs w:val="0"/>
                <w:color w:val="auto"/>
                <w:sz w:val="22"/>
                <w:szCs w:val="22"/>
                <w:u w:val="none"/>
              </w:rPr>
            </w:pPr>
          </w:p>
        </w:tc>
      </w:tr>
      <w:tr w14:paraId="4454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2E922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595" w:type="dxa"/>
            <w:tcBorders>
              <w:top w:val="single" w:color="000000" w:sz="4" w:space="0"/>
              <w:left w:val="single" w:color="000000" w:sz="4" w:space="0"/>
              <w:bottom w:val="single" w:color="000000" w:sz="4" w:space="0"/>
              <w:right w:val="single" w:color="000000" w:sz="4" w:space="0"/>
            </w:tcBorders>
            <w:noWrap w:val="0"/>
            <w:vAlign w:val="center"/>
          </w:tcPr>
          <w:p w14:paraId="1C2A9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泌尿外科专用光源高清摄像显示系统</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035690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56D94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3153D20A">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9F09FAC">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54EF2135">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803D643">
            <w:pPr>
              <w:jc w:val="center"/>
              <w:rPr>
                <w:rFonts w:hint="eastAsia" w:ascii="宋体" w:hAnsi="宋体" w:eastAsia="宋体" w:cs="宋体"/>
                <w:i w:val="0"/>
                <w:iCs w:val="0"/>
                <w:color w:val="auto"/>
                <w:sz w:val="22"/>
                <w:szCs w:val="22"/>
                <w:u w:val="none"/>
              </w:rPr>
            </w:pPr>
          </w:p>
        </w:tc>
      </w:tr>
      <w:tr w14:paraId="6B3C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4E59CD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7CE161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输尿管镜</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C2A6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753C58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6490EB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D64EF97">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59A3EC5">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4C831D7">
            <w:pPr>
              <w:jc w:val="center"/>
              <w:rPr>
                <w:rFonts w:hint="eastAsia" w:ascii="宋体" w:hAnsi="宋体" w:eastAsia="宋体" w:cs="宋体"/>
                <w:i w:val="0"/>
                <w:iCs w:val="0"/>
                <w:color w:val="auto"/>
                <w:sz w:val="22"/>
                <w:szCs w:val="22"/>
                <w:u w:val="none"/>
              </w:rPr>
            </w:pPr>
          </w:p>
        </w:tc>
      </w:tr>
      <w:tr w14:paraId="0EA3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7ADC97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42648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输尿管镜</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3503B7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0C6679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3C2E5366">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条</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96A72FB">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7D43F7F9">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5400C73">
            <w:pPr>
              <w:jc w:val="center"/>
              <w:rPr>
                <w:rFonts w:hint="eastAsia" w:ascii="宋体" w:hAnsi="宋体" w:eastAsia="宋体" w:cs="宋体"/>
                <w:i w:val="0"/>
                <w:iCs w:val="0"/>
                <w:color w:val="auto"/>
                <w:sz w:val="22"/>
                <w:szCs w:val="22"/>
                <w:u w:val="none"/>
              </w:rPr>
            </w:pPr>
          </w:p>
        </w:tc>
      </w:tr>
      <w:tr w14:paraId="1541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20E0668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66DFBB2B">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输尿管镜</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477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BE7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BE0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条</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2DE96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26D4C9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86955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B30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3E6351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75420F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经皮肾镜(李逊镜)</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6F9135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25CC9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46364A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074F126">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14F6CCBD">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4F34A2E">
            <w:pPr>
              <w:jc w:val="center"/>
              <w:rPr>
                <w:rFonts w:hint="eastAsia" w:ascii="宋体" w:hAnsi="宋体" w:eastAsia="宋体" w:cs="宋体"/>
                <w:i w:val="0"/>
                <w:iCs w:val="0"/>
                <w:color w:val="auto"/>
                <w:sz w:val="22"/>
                <w:szCs w:val="22"/>
                <w:u w:val="none"/>
              </w:rPr>
            </w:pPr>
          </w:p>
        </w:tc>
      </w:tr>
      <w:tr w14:paraId="0E68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3C3BC9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1AC51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前列腺等离子电切镜及体件</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7313EF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3B0900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05D24778">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套</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FA2155C">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1C1F2493">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87749F1">
            <w:pPr>
              <w:jc w:val="center"/>
              <w:rPr>
                <w:rFonts w:hint="eastAsia" w:ascii="宋体" w:hAnsi="宋体" w:eastAsia="宋体" w:cs="宋体"/>
                <w:i w:val="0"/>
                <w:iCs w:val="0"/>
                <w:color w:val="auto"/>
                <w:sz w:val="22"/>
                <w:szCs w:val="22"/>
                <w:u w:val="none"/>
              </w:rPr>
            </w:pPr>
          </w:p>
        </w:tc>
      </w:tr>
      <w:tr w14:paraId="51A2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6CEF5F22">
            <w:pPr>
              <w:jc w:val="center"/>
              <w:rPr>
                <w:rFonts w:hint="eastAsia" w:ascii="宋体" w:hAnsi="宋体" w:eastAsia="宋体" w:cs="宋体"/>
                <w:i w:val="0"/>
                <w:iCs w:val="0"/>
                <w:color w:val="auto"/>
                <w:sz w:val="22"/>
                <w:szCs w:val="22"/>
                <w:u w:val="none"/>
              </w:rPr>
            </w:pPr>
          </w:p>
        </w:tc>
        <w:tc>
          <w:tcPr>
            <w:tcW w:w="8005" w:type="dxa"/>
            <w:gridSpan w:val="6"/>
            <w:tcBorders>
              <w:top w:val="single" w:color="000000" w:sz="4" w:space="0"/>
              <w:left w:val="single" w:color="000000" w:sz="4" w:space="0"/>
              <w:bottom w:val="single" w:color="000000" w:sz="4" w:space="0"/>
              <w:right w:val="single" w:color="000000" w:sz="4" w:space="0"/>
            </w:tcBorders>
            <w:noWrap w:val="0"/>
            <w:vAlign w:val="center"/>
          </w:tcPr>
          <w:p w14:paraId="71E899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合计：</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3DF80A7">
            <w:pPr>
              <w:jc w:val="center"/>
              <w:rPr>
                <w:rFonts w:hint="eastAsia" w:ascii="宋体" w:hAnsi="宋体" w:eastAsia="宋体" w:cs="宋体"/>
                <w:i w:val="0"/>
                <w:iCs w:val="0"/>
                <w:color w:val="auto"/>
                <w:sz w:val="22"/>
                <w:szCs w:val="22"/>
                <w:u w:val="none"/>
              </w:rPr>
            </w:pPr>
          </w:p>
        </w:tc>
      </w:tr>
    </w:tbl>
    <w:p w14:paraId="7EC18666">
      <w:pPr>
        <w:tabs>
          <w:tab w:val="left" w:pos="3771"/>
          <w:tab w:val="center" w:pos="4803"/>
        </w:tabs>
        <w:spacing w:line="400" w:lineRule="exact"/>
        <w:jc w:val="center"/>
        <w:textAlignment w:val="baseline"/>
        <w:rPr>
          <w:rFonts w:hint="eastAsia" w:ascii="仿宋_GB2312" w:hAnsi="方正小标宋简体" w:eastAsia="仿宋_GB2312" w:cs="方正小标宋简体"/>
          <w:szCs w:val="21"/>
        </w:rPr>
      </w:pPr>
      <w:r>
        <w:rPr>
          <w:rFonts w:hint="eastAsia" w:ascii="方正小标宋简体" w:hAnsi="方正小标宋简体" w:eastAsia="方正小标宋简体" w:cs="方正小标宋简体"/>
          <w:sz w:val="40"/>
          <w:szCs w:val="40"/>
        </w:rPr>
        <w:t>尿动力学分析仪参数</w:t>
      </w:r>
    </w:p>
    <w:p w14:paraId="4BD98972">
      <w:pPr>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1、全中文操作界面。</w:t>
      </w:r>
    </w:p>
    <w:p w14:paraId="2614C97C">
      <w:pPr>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2、灌注模式分推注与旋转蠕压两种模式。</w:t>
      </w:r>
    </w:p>
    <w:p w14:paraId="58B63A39">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3、无极变速推注技术，真正实现恒流灌注，彻底解决尿道压测量中的灌注泵干扰问题，提高检测精度。</w:t>
      </w:r>
    </w:p>
    <w:p w14:paraId="610EB559">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4、双模式软件（A和B模式），可自由切换。</w:t>
      </w:r>
      <w:r>
        <w:rPr>
          <w:rFonts w:hint="eastAsia" w:ascii="仿宋_GB2312" w:hAnsi="仿宋_GB2312" w:eastAsia="仿宋_GB2312" w:cs="仿宋_GB2312"/>
          <w:szCs w:val="21"/>
        </w:rPr>
        <w:tab/>
      </w:r>
    </w:p>
    <w:p w14:paraId="73BE87B1">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5、压力测定范围: -2.45kPa～+19.61kPa(-25cmH</w:t>
      </w:r>
      <w:r>
        <w:rPr>
          <w:rFonts w:hint="eastAsia" w:ascii="仿宋_GB2312" w:hAnsi="仿宋_GB2312" w:eastAsia="仿宋_GB2312" w:cs="仿宋_GB2312"/>
          <w:szCs w:val="21"/>
          <w:vertAlign w:val="subscript"/>
        </w:rPr>
        <w:t>2</w:t>
      </w:r>
      <w:r>
        <w:rPr>
          <w:rFonts w:hint="eastAsia" w:ascii="仿宋_GB2312" w:hAnsi="仿宋_GB2312" w:eastAsia="仿宋_GB2312" w:cs="仿宋_GB2312"/>
          <w:szCs w:val="21"/>
        </w:rPr>
        <w:t>O～+200cmH</w:t>
      </w:r>
      <w:r>
        <w:rPr>
          <w:rFonts w:hint="eastAsia" w:ascii="仿宋_GB2312" w:hAnsi="仿宋_GB2312" w:eastAsia="仿宋_GB2312" w:cs="仿宋_GB2312"/>
          <w:szCs w:val="21"/>
          <w:vertAlign w:val="subscript"/>
        </w:rPr>
        <w:t>2</w:t>
      </w:r>
      <w:r>
        <w:rPr>
          <w:rFonts w:hint="eastAsia" w:ascii="仿宋_GB2312" w:hAnsi="仿宋_GB2312" w:eastAsia="仿宋_GB2312" w:cs="仿宋_GB2312"/>
          <w:szCs w:val="21"/>
        </w:rPr>
        <w:t>O),误差≤2％。</w:t>
      </w:r>
    </w:p>
    <w:p w14:paraId="2FE89094">
      <w:pPr>
        <w:suppressAutoHyphens/>
        <w:spacing w:line="520" w:lineRule="exact"/>
        <w:ind w:left="-13" w:leftChars="-6" w:firstLine="10" w:firstLineChars="5"/>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6、尿流率：</w:t>
      </w:r>
    </w:p>
    <w:p w14:paraId="2D64542F">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（1）、排尿量测定范围: 0mL～1000mL，误差≤1％；</w:t>
      </w:r>
    </w:p>
    <w:p w14:paraId="4015C5F9">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（2）、排尿时间测定范围: 0s～240s，误差≤1％；</w:t>
      </w:r>
    </w:p>
    <w:p w14:paraId="6D4DEB5E">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（3）、尿流率测定范围: 0～50mL/s，误差≤2％；</w:t>
      </w:r>
    </w:p>
    <w:p w14:paraId="4FC30D90">
      <w:pPr>
        <w:suppressAutoHyphens/>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7、牵引机：</w:t>
      </w:r>
    </w:p>
    <w:p w14:paraId="2562ABCE">
      <w:pPr>
        <w:suppressAutoHyphens/>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（1）、牵引速度：分为 0.5mm/s、1.0mm/s、2.0mm/s、4.0mm/s四档，误差≤2%；</w:t>
      </w:r>
    </w:p>
    <w:p w14:paraId="29610717">
      <w:pPr>
        <w:suppressAutoHyphens/>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（2）、牵引长度：≥280mm。</w:t>
      </w:r>
    </w:p>
    <w:p w14:paraId="4E20376D">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8、灌注泵：</w:t>
      </w:r>
    </w:p>
    <w:p w14:paraId="5B7CCFA2">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 灌注率设定范围，分为两档：</w:t>
      </w:r>
    </w:p>
    <w:p w14:paraId="65BE54C9">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2mL/min～10mL/min   </w:t>
      </w:r>
    </w:p>
    <w:p w14:paraId="30E69A3B">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10mL/min～80mL/min </w:t>
      </w:r>
    </w:p>
    <w:p w14:paraId="65078B3D">
      <w:pPr>
        <w:suppressAutoHyphens/>
        <w:spacing w:line="520" w:lineRule="exact"/>
        <w:ind w:left="-13" w:leftChars="-6" w:firstLine="216" w:firstLineChars="103"/>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（2）、 灌注率误差：2mL/min～80mL/min时：误差≤2％。</w:t>
      </w:r>
    </w:p>
    <w:p w14:paraId="2A615B42">
      <w:pPr>
        <w:suppressAutoHyphens/>
        <w:spacing w:line="520" w:lineRule="exact"/>
        <w:ind w:firstLine="210" w:firstLineChars="100"/>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（3）、尿动力分析仪专用八轮长寿命灌注泵(泵体316L不锈钢，泵轮PEEK)</w:t>
      </w:r>
    </w:p>
    <w:p w14:paraId="3B38927C">
      <w:pPr>
        <w:suppressAutoHyphens/>
        <w:spacing w:line="520" w:lineRule="exact"/>
        <w:ind w:left="-4" w:leftChars="-2" w:firstLine="210" w:firstLineChars="100"/>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（4）、波动检测：差值低于7cmH</w:t>
      </w:r>
      <w:r>
        <w:rPr>
          <w:rFonts w:hint="eastAsia" w:ascii="仿宋_GB2312" w:hAnsi="仿宋_GB2312" w:eastAsia="仿宋_GB2312" w:cs="仿宋_GB2312"/>
          <w:szCs w:val="21"/>
          <w:vertAlign w:val="subscript"/>
        </w:rPr>
        <w:t>2</w:t>
      </w:r>
      <w:r>
        <w:rPr>
          <w:rFonts w:hint="eastAsia" w:ascii="仿宋_GB2312" w:hAnsi="仿宋_GB2312" w:eastAsia="仿宋_GB2312" w:cs="仿宋_GB2312"/>
          <w:szCs w:val="21"/>
        </w:rPr>
        <w:t>O（提供第三方校准证书）</w:t>
      </w:r>
    </w:p>
    <w:p w14:paraId="5B25C75E">
      <w:pPr>
        <w:suppressAutoHyphens/>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9、推注泵：</w:t>
      </w:r>
    </w:p>
    <w:p w14:paraId="3E649151">
      <w:pPr>
        <w:suppressAutoHyphens/>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推注率设定范围：2mL/min～5mL/min 误差≤2％。</w:t>
      </w:r>
    </w:p>
    <w:p w14:paraId="52A796C7">
      <w:pPr>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10、EMG单元：</w:t>
      </w:r>
    </w:p>
    <w:p w14:paraId="3B76532B">
      <w:pPr>
        <w:suppressAutoHyphens/>
        <w:spacing w:line="520" w:lineRule="exact"/>
        <w:ind w:left="368" w:leftChars="175"/>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（1）、测量信号幅度范围: 20µV～1000µV；</w:t>
      </w:r>
    </w:p>
    <w:p w14:paraId="304EE687">
      <w:pPr>
        <w:suppressAutoHyphens/>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（2）、频率范围：通频带不窄于20Hz～500Hz(-3dB),不包括限波波段；</w:t>
      </w:r>
    </w:p>
    <w:p w14:paraId="1EE86A34">
      <w:pPr>
        <w:suppressAutoHyphens/>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（3）、共模抑制比（CMRR）：≥100dB；</w:t>
      </w:r>
    </w:p>
    <w:p w14:paraId="73D8DF71">
      <w:pPr>
        <w:suppressAutoHyphens/>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 xml:space="preserve">   （4）、 差模输入阻抗:  ≥5MΩ；</w:t>
      </w:r>
    </w:p>
    <w:p w14:paraId="58FFB6BD">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11、软件和功能显示</w:t>
      </w:r>
    </w:p>
    <w:p w14:paraId="04651C26">
      <w:pPr>
        <w:suppressAutoHyphens/>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（1）、全中文操作界面，windows 11操作系统。</w:t>
      </w:r>
    </w:p>
    <w:p w14:paraId="0ECD6551">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（2）、检测项目：尿流率测定；充盈期膀胱功能测定；同步尿动力测定；尿道功能测定；压力/流率分析；</w:t>
      </w:r>
    </w:p>
    <w:p w14:paraId="044BD0DF">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（3）、展示曲线：腹压曲线；尿流率曲线；排尿量曲线；膀胱压力曲线；膀胱逼尿肌压力曲线；尿道压力曲线；尿道闭合压力曲线；肌电图。</w:t>
      </w:r>
    </w:p>
    <w:p w14:paraId="427543B3">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（4）、具有常用诊断语提示与编辑功能，在编写报告时可快速插入。</w:t>
      </w:r>
    </w:p>
    <w:p w14:paraId="40944432">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（5）、具有膀胱压超限保护功能。</w:t>
      </w:r>
    </w:p>
    <w:p w14:paraId="6AC79845">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（6）、同步测定中可绘制显示ICS列线图、A-G列线图、Shaefer列线图、Griffiths列线图，方便进行分析判断。</w:t>
      </w:r>
    </w:p>
    <w:p w14:paraId="15F863FF">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（7）、可设置各检查曲线默认的显示范围，且在检查及分析中可随时调节。</w:t>
      </w:r>
    </w:p>
    <w:p w14:paraId="7A14B88B">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（8）、多文档多窗口式操作，具有窗口列表，可在正在进行检查时对其他的检查数据和报告进行分析处理。</w:t>
      </w:r>
    </w:p>
    <w:p w14:paraId="069A6A1F">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（9）、检查数据信息可导出为符合ICS尿动力学研究数据数字交换标准的文件，满足标准的文件也可导入本软件，方便交流研究。</w:t>
      </w:r>
    </w:p>
    <w:p w14:paraId="3A9C7FF7">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（10）、具有高级查询功能，可根据单一或不同条件组合查询筛选满足条件的检查数据，显示在新窗口中，并可同时查询多批数据，方便研究使用。</w:t>
      </w:r>
    </w:p>
    <w:p w14:paraId="307DE902">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（11）、独立的灌注电机、牵引电机、推注电机状态窗口，可快速查看电机状态并控制各电机功能，并具有一键急停所有电机的功能。</w:t>
      </w:r>
    </w:p>
    <w:p w14:paraId="7866B8D6">
      <w:pPr>
        <w:suppressAutoHyphens/>
        <w:spacing w:line="520" w:lineRule="exact"/>
        <w:ind w:left="-13" w:leftChars="-6" w:firstLine="8" w:firstLineChars="4"/>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（12）、对每条病历记录项，有病史信息记录功能，对每条检查记录项，有检查备注信息记录功能。</w:t>
      </w:r>
    </w:p>
    <w:p w14:paraId="1F88D524">
      <w:pPr>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12、尿道测压导管与主机同一品牌(9F、6F)。</w:t>
      </w:r>
    </w:p>
    <w:p w14:paraId="062C9D38">
      <w:pPr>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13、直肠测压导管与主机同一品牌。</w:t>
      </w:r>
    </w:p>
    <w:p w14:paraId="3E0CC90F">
      <w:pPr>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14、在检查病人时，可同时出病历报告。</w:t>
      </w:r>
    </w:p>
    <w:p w14:paraId="184A93E2">
      <w:pPr>
        <w:spacing w:line="520" w:lineRule="exac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15、无线蓝牙控制。</w:t>
      </w:r>
    </w:p>
    <w:p w14:paraId="6BB17282">
      <w:pPr>
        <w:spacing w:line="520" w:lineRule="exact"/>
        <w:textAlignment w:val="baseline"/>
        <w:rPr>
          <w:rFonts w:hint="eastAsia" w:ascii="仿宋_GB2312" w:hAnsi="仿宋_GB2312" w:eastAsia="仿宋_GB2312" w:cs="仿宋_GB2312"/>
          <w:szCs w:val="21"/>
        </w:rPr>
      </w:pPr>
    </w:p>
    <w:p w14:paraId="178FC0DD">
      <w:pPr>
        <w:spacing w:line="520" w:lineRule="exact"/>
        <w:rPr>
          <w:rFonts w:hint="eastAsia" w:ascii="仿宋_GB2312" w:hAnsi="仿宋_GB2312" w:eastAsia="仿宋_GB2312" w:cs="仿宋_GB2312"/>
          <w:szCs w:val="21"/>
        </w:rPr>
      </w:pPr>
      <w:bookmarkStart w:id="30" w:name="OLE_LINK1"/>
      <w:r>
        <w:rPr>
          <w:rFonts w:hint="eastAsia" w:ascii="仿宋_GB2312" w:hAnsi="仿宋_GB2312" w:eastAsia="仿宋_GB2312" w:cs="仿宋_GB2312"/>
          <w:szCs w:val="21"/>
        </w:rPr>
        <w:t>项目其他要求：</w:t>
      </w:r>
    </w:p>
    <w:p w14:paraId="7A896388">
      <w:pPr>
        <w:numPr>
          <w:ilvl w:val="0"/>
          <w:numId w:val="7"/>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3653B0A1">
      <w:pPr>
        <w:numPr>
          <w:ilvl w:val="0"/>
          <w:numId w:val="7"/>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2D094265">
      <w:pPr>
        <w:numPr>
          <w:ilvl w:val="0"/>
          <w:numId w:val="7"/>
        </w:numPr>
        <w:spacing w:line="520" w:lineRule="exact"/>
        <w:rPr>
          <w:rFonts w:hint="eastAsia" w:ascii="仿宋_GB2312" w:hAnsi="仿宋_GB2312" w:eastAsia="仿宋_GB2312"/>
          <w:bCs/>
          <w:szCs w:val="21"/>
        </w:rPr>
      </w:pPr>
      <w:r>
        <w:rPr>
          <w:rFonts w:hint="eastAsia" w:ascii="仿宋_GB2312" w:hAnsi="仿宋_GB2312" w:eastAsia="仿宋_GB2312" w:cs="仿宋_GB2312"/>
          <w:szCs w:val="21"/>
        </w:rPr>
        <w:t>每套设备（含附件）提供3年免费保修。</w:t>
      </w:r>
      <w:bookmarkEnd w:id="30"/>
    </w:p>
    <w:p w14:paraId="1A2B07C8">
      <w:pPr>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红外光谱结石成分分析仪参数</w:t>
      </w:r>
    </w:p>
    <w:p w14:paraId="3BA3E2AC">
      <w:pPr>
        <w:jc w:val="center"/>
        <w:rPr>
          <w:rFonts w:ascii="方正小标宋简体" w:hAnsi="方正小标宋简体" w:eastAsia="方正小标宋简体" w:cs="方正小标宋简体"/>
          <w:bCs/>
          <w:szCs w:val="21"/>
        </w:rPr>
      </w:pPr>
    </w:p>
    <w:p w14:paraId="2A4ACD50">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透射比重复性：≤0.4％；</w:t>
      </w:r>
    </w:p>
    <w:p w14:paraId="48D0A5B0">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光谱拓展范围：7700 cm-</w:t>
      </w:r>
      <w:r>
        <w:rPr>
          <w:rFonts w:hint="eastAsia" w:ascii="仿宋_GB2312" w:hAnsi="仿宋_GB2312" w:eastAsia="仿宋_GB2312" w:cs="Times New Roman"/>
          <w:szCs w:val="21"/>
          <w:vertAlign w:val="superscript"/>
        </w:rPr>
        <w:t>1</w:t>
      </w:r>
      <w:r>
        <w:rPr>
          <w:rFonts w:hint="eastAsia" w:ascii="仿宋_GB2312" w:hAnsi="仿宋_GB2312" w:eastAsia="仿宋_GB2312" w:cs="Times New Roman"/>
          <w:szCs w:val="21"/>
        </w:rPr>
        <w:t>～340 cm</w:t>
      </w:r>
      <w:r>
        <w:rPr>
          <w:rFonts w:hint="eastAsia" w:ascii="仿宋_GB2312" w:hAnsi="仿宋_GB2312" w:eastAsia="仿宋_GB2312" w:cs="Times New Roman"/>
          <w:szCs w:val="21"/>
          <w:vertAlign w:val="superscript"/>
        </w:rPr>
        <w:t>-1</w:t>
      </w:r>
      <w:r>
        <w:rPr>
          <w:rFonts w:hint="eastAsia" w:ascii="仿宋_GB2312" w:hAnsi="仿宋_GB2312" w:eastAsia="仿宋_GB2312" w:cs="Times New Roman"/>
          <w:szCs w:val="21"/>
        </w:rPr>
        <w:t>；</w:t>
      </w:r>
    </w:p>
    <w:p w14:paraId="0AF20EF8">
      <w:pPr>
        <w:numPr>
          <w:ilvl w:val="0"/>
          <w:numId w:val="8"/>
        </w:numPr>
        <w:spacing w:line="520" w:lineRule="exact"/>
        <w:rPr>
          <w:rFonts w:ascii="仿宋_GB2312" w:hAnsi="仿宋_GB2312" w:eastAsia="仿宋_GB2312" w:cs="宋体"/>
          <w:kern w:val="0"/>
          <w:szCs w:val="21"/>
        </w:rPr>
      </w:pPr>
      <w:r>
        <w:rPr>
          <w:rFonts w:hint="eastAsia" w:ascii="仿宋_GB2312" w:hAnsi="仿宋_GB2312" w:eastAsia="仿宋_GB2312" w:cs="Times New Roman"/>
          <w:szCs w:val="21"/>
        </w:rPr>
        <w:t>100%τ线噪声： 4100-4000 cm</w:t>
      </w:r>
      <w:r>
        <w:rPr>
          <w:rFonts w:hint="eastAsia" w:ascii="仿宋_GB2312" w:hAnsi="仿宋_GB2312" w:eastAsia="仿宋_GB2312" w:cs="Times New Roman"/>
          <w:szCs w:val="21"/>
          <w:vertAlign w:val="superscript"/>
        </w:rPr>
        <w:t>-1</w:t>
      </w:r>
      <w:r>
        <w:rPr>
          <w:rFonts w:hint="eastAsia" w:ascii="仿宋_GB2312" w:hAnsi="仿宋_GB2312" w:eastAsia="仿宋_GB2312" w:cs="Times New Roman"/>
          <w:szCs w:val="21"/>
        </w:rPr>
        <w:t xml:space="preserve"> （RMS≤1:2500）；</w:t>
      </w:r>
    </w:p>
    <w:p w14:paraId="4014E458">
      <w:pPr>
        <w:numPr>
          <w:ilvl w:val="0"/>
          <w:numId w:val="8"/>
        </w:numPr>
        <w:spacing w:line="520" w:lineRule="exact"/>
        <w:rPr>
          <w:rFonts w:ascii="仿宋_GB2312" w:hAnsi="仿宋_GB2312" w:eastAsia="仿宋_GB2312" w:cs="宋体"/>
          <w:kern w:val="0"/>
          <w:szCs w:val="21"/>
        </w:rPr>
      </w:pPr>
      <w:r>
        <w:rPr>
          <w:rFonts w:hint="eastAsia" w:ascii="仿宋_GB2312" w:hAnsi="仿宋_GB2312" w:eastAsia="仿宋_GB2312" w:cs="宋体"/>
          <w:kern w:val="0"/>
          <w:szCs w:val="21"/>
        </w:rPr>
        <w:t xml:space="preserve">分辨率：仪器最高分辨率≤2 </w:t>
      </w:r>
      <w:r>
        <w:rPr>
          <w:rFonts w:hint="eastAsia" w:ascii="仿宋_GB2312" w:hAnsi="仿宋_GB2312" w:eastAsia="仿宋_GB2312"/>
          <w:color w:val="000000"/>
          <w:szCs w:val="21"/>
        </w:rPr>
        <w:t>c</w:t>
      </w:r>
      <w:r>
        <w:rPr>
          <w:rFonts w:ascii="仿宋_GB2312" w:hAnsi="仿宋_GB2312" w:eastAsia="仿宋_GB2312"/>
          <w:color w:val="000000"/>
          <w:szCs w:val="21"/>
        </w:rPr>
        <w:t>m</w:t>
      </w:r>
      <w:r>
        <w:rPr>
          <w:rFonts w:hint="eastAsia" w:ascii="仿宋_GB2312" w:hAnsi="仿宋_GB2312" w:eastAsia="仿宋_GB2312"/>
          <w:color w:val="000000"/>
          <w:szCs w:val="21"/>
          <w:vertAlign w:val="superscript"/>
        </w:rPr>
        <w:t>-1</w:t>
      </w:r>
      <w:r>
        <w:rPr>
          <w:rFonts w:hint="eastAsia" w:ascii="仿宋_GB2312" w:hAnsi="仿宋_GB2312" w:eastAsia="仿宋_GB2312" w:cs="Times New Roman"/>
          <w:szCs w:val="21"/>
        </w:rPr>
        <w:t>；</w:t>
      </w:r>
    </w:p>
    <w:p w14:paraId="114442EF">
      <w:pPr>
        <w:numPr>
          <w:ilvl w:val="0"/>
          <w:numId w:val="8"/>
        </w:numPr>
        <w:spacing w:line="520" w:lineRule="exact"/>
        <w:rPr>
          <w:rFonts w:ascii="仿宋_GB2312" w:hAnsi="仿宋_GB2312" w:eastAsia="仿宋_GB2312" w:cs="宋体"/>
          <w:kern w:val="0"/>
          <w:szCs w:val="21"/>
        </w:rPr>
      </w:pPr>
      <w:r>
        <w:rPr>
          <w:rFonts w:ascii="仿宋_GB2312" w:hAnsi="仿宋_GB2312" w:eastAsia="仿宋_GB2312" w:cs="宋体"/>
          <w:kern w:val="0"/>
          <w:szCs w:val="21"/>
        </w:rPr>
        <w:t>100%τ线倾斜范围：2</w:t>
      </w:r>
      <w:r>
        <w:rPr>
          <w:rFonts w:hint="eastAsia" w:ascii="仿宋_GB2312" w:hAnsi="仿宋_GB2312" w:eastAsia="仿宋_GB2312" w:cs="宋体"/>
          <w:kern w:val="0"/>
          <w:szCs w:val="21"/>
        </w:rPr>
        <w:t>1</w:t>
      </w:r>
      <w:r>
        <w:rPr>
          <w:rFonts w:ascii="仿宋_GB2312" w:hAnsi="仿宋_GB2312" w:eastAsia="仿宋_GB2312" w:cs="宋体"/>
          <w:kern w:val="0"/>
          <w:szCs w:val="21"/>
        </w:rPr>
        <w:t>00-1900 cm</w:t>
      </w:r>
      <w:r>
        <w:rPr>
          <w:rFonts w:ascii="仿宋_GB2312" w:hAnsi="仿宋_GB2312" w:eastAsia="仿宋_GB2312" w:cs="宋体"/>
          <w:kern w:val="0"/>
          <w:szCs w:val="21"/>
          <w:vertAlign w:val="superscript"/>
        </w:rPr>
        <w:t>-</w:t>
      </w:r>
      <w:r>
        <w:rPr>
          <w:rFonts w:ascii="仿宋_GB2312" w:hAnsi="仿宋_GB2312" w:eastAsia="仿宋_GB2312"/>
          <w:szCs w:val="21"/>
          <w:vertAlign w:val="superscript"/>
        </w:rPr>
        <w:t>1</w:t>
      </w:r>
      <w:r>
        <w:rPr>
          <w:rFonts w:hint="eastAsia" w:ascii="仿宋_GB2312" w:hAnsi="仿宋_GB2312" w:eastAsia="仿宋_GB2312" w:cs="宋体"/>
          <w:kern w:val="0"/>
          <w:szCs w:val="21"/>
        </w:rPr>
        <w:t>（</w:t>
      </w:r>
      <w:r>
        <w:rPr>
          <w:rFonts w:ascii="仿宋_GB2312" w:hAnsi="仿宋_GB2312" w:eastAsia="仿宋_GB2312" w:cs="宋体"/>
          <w:kern w:val="0"/>
          <w:szCs w:val="21"/>
        </w:rPr>
        <w:t>99.5-100.5%τ</w:t>
      </w:r>
      <w:r>
        <w:rPr>
          <w:rFonts w:ascii="仿宋_GB2312" w:hAnsi="仿宋_GB2312" w:eastAsia="仿宋_GB2312"/>
          <w:szCs w:val="21"/>
        </w:rPr>
        <w:t>）</w:t>
      </w:r>
      <w:r>
        <w:rPr>
          <w:rFonts w:hint="eastAsia" w:ascii="仿宋_GB2312" w:hAnsi="仿宋_GB2312" w:eastAsia="仿宋_GB2312" w:cs="Times New Roman"/>
          <w:szCs w:val="21"/>
        </w:rPr>
        <w:t>；</w:t>
      </w:r>
    </w:p>
    <w:p w14:paraId="0467B1D6">
      <w:pPr>
        <w:numPr>
          <w:ilvl w:val="0"/>
          <w:numId w:val="8"/>
        </w:numPr>
        <w:spacing w:line="520" w:lineRule="exact"/>
        <w:rPr>
          <w:rFonts w:ascii="仿宋_GB2312" w:hAnsi="仿宋_GB2312" w:eastAsia="仿宋_GB2312" w:cs="宋体"/>
          <w:kern w:val="0"/>
          <w:szCs w:val="21"/>
        </w:rPr>
      </w:pPr>
      <w:r>
        <w:rPr>
          <w:rFonts w:hint="eastAsia" w:ascii="仿宋_GB2312" w:hAnsi="仿宋_GB2312" w:eastAsia="仿宋_GB2312" w:cs="宋体"/>
          <w:kern w:val="0"/>
          <w:szCs w:val="21"/>
        </w:rPr>
        <w:t>本地光谱能量分布：4000</w:t>
      </w:r>
      <w:r>
        <w:rPr>
          <w:rFonts w:hint="eastAsia" w:ascii="仿宋_GB2312" w:hAnsi="仿宋_GB2312" w:eastAsia="仿宋_GB2312"/>
          <w:color w:val="000000"/>
          <w:szCs w:val="21"/>
        </w:rPr>
        <w:t xml:space="preserve"> c</w:t>
      </w:r>
      <w:r>
        <w:rPr>
          <w:rFonts w:ascii="仿宋_GB2312" w:hAnsi="仿宋_GB2312" w:eastAsia="仿宋_GB2312"/>
          <w:color w:val="000000"/>
          <w:szCs w:val="21"/>
        </w:rPr>
        <w:t>m</w:t>
      </w:r>
      <w:r>
        <w:rPr>
          <w:rFonts w:hint="eastAsia" w:ascii="仿宋_GB2312" w:hAnsi="仿宋_GB2312" w:eastAsia="仿宋_GB2312"/>
          <w:color w:val="000000"/>
          <w:szCs w:val="21"/>
          <w:vertAlign w:val="superscript"/>
        </w:rPr>
        <w:t>-1</w:t>
      </w:r>
      <w:r>
        <w:rPr>
          <w:rFonts w:hint="eastAsia" w:ascii="仿宋_GB2312" w:hAnsi="仿宋_GB2312" w:eastAsia="仿宋_GB2312" w:cs="宋体"/>
          <w:kern w:val="0"/>
          <w:szCs w:val="21"/>
        </w:rPr>
        <w:t>处能量值应不小于最高点能量值的20%；</w:t>
      </w:r>
    </w:p>
    <w:p w14:paraId="1227CEA1">
      <w:pPr>
        <w:numPr>
          <w:ilvl w:val="0"/>
          <w:numId w:val="8"/>
        </w:numPr>
        <w:spacing w:line="520" w:lineRule="exact"/>
        <w:rPr>
          <w:rFonts w:ascii="仿宋_GB2312" w:hAnsi="仿宋_GB2312" w:eastAsia="仿宋_GB2312"/>
          <w:szCs w:val="21"/>
        </w:rPr>
      </w:pPr>
      <w:r>
        <w:rPr>
          <w:rFonts w:hint="eastAsia" w:ascii="仿宋_GB2312" w:hAnsi="仿宋_GB2312" w:eastAsia="仿宋_GB2312" w:cs="宋体"/>
          <w:kern w:val="0"/>
          <w:szCs w:val="21"/>
        </w:rPr>
        <w:t xml:space="preserve">波数准确度：仪器波数准确度≤±1.5 </w:t>
      </w:r>
      <w:r>
        <w:rPr>
          <w:rFonts w:ascii="仿宋_GB2312" w:hAnsi="仿宋_GB2312" w:eastAsia="仿宋_GB2312"/>
          <w:szCs w:val="21"/>
        </w:rPr>
        <w:t>cm</w:t>
      </w:r>
      <w:r>
        <w:rPr>
          <w:rFonts w:ascii="仿宋_GB2312" w:hAnsi="仿宋_GB2312" w:eastAsia="仿宋_GB2312"/>
          <w:szCs w:val="21"/>
          <w:vertAlign w:val="superscript"/>
        </w:rPr>
        <w:t>-1</w:t>
      </w:r>
      <w:r>
        <w:rPr>
          <w:rFonts w:hint="eastAsia" w:ascii="仿宋_GB2312" w:hAnsi="仿宋_GB2312" w:eastAsia="仿宋_GB2312" w:cs="Times New Roman"/>
          <w:szCs w:val="21"/>
        </w:rPr>
        <w:t>；</w:t>
      </w:r>
    </w:p>
    <w:p w14:paraId="69C03C8C">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szCs w:val="21"/>
        </w:rPr>
        <w:t>波数重复性：≤0.5</w:t>
      </w:r>
      <w:r>
        <w:rPr>
          <w:rFonts w:ascii="仿宋_GB2312" w:hAnsi="仿宋_GB2312" w:eastAsia="仿宋_GB2312"/>
          <w:szCs w:val="21"/>
        </w:rPr>
        <w:t>cm</w:t>
      </w:r>
      <w:r>
        <w:rPr>
          <w:rFonts w:ascii="仿宋_GB2312" w:hAnsi="仿宋_GB2312" w:eastAsia="仿宋_GB2312"/>
          <w:szCs w:val="21"/>
          <w:vertAlign w:val="superscript"/>
        </w:rPr>
        <w:t>-1</w:t>
      </w:r>
      <w:r>
        <w:rPr>
          <w:rFonts w:hint="eastAsia" w:ascii="仿宋_GB2312" w:hAnsi="仿宋_GB2312" w:eastAsia="仿宋_GB2312" w:cs="Times New Roman"/>
          <w:szCs w:val="21"/>
        </w:rPr>
        <w:t>；</w:t>
      </w:r>
    </w:p>
    <w:p w14:paraId="55AD461F">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检测器：高灵敏度DLATGS检测器；</w:t>
      </w:r>
    </w:p>
    <w:p w14:paraId="075571D3">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分束器：溴化钾基片镀锗（KBr/Ge）；</w:t>
      </w:r>
    </w:p>
    <w:p w14:paraId="07F89F77">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激光器：半导体激光器；</w:t>
      </w:r>
    </w:p>
    <w:p w14:paraId="75B3A292">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光源：红外光源；</w:t>
      </w:r>
    </w:p>
    <w:p w14:paraId="07257D00">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仪器自检：具备自诊断功能，生成评估报告，保证结果准确性，提供自检报告；</w:t>
      </w:r>
    </w:p>
    <w:p w14:paraId="5E1EAB7C">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运行环境：不低于Windows7操作系统（符合医院整体运行环境要求）；</w:t>
      </w:r>
    </w:p>
    <w:p w14:paraId="7A34D70C">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性能：自动分析结石的精准成分,自动提供对应的预防方案；</w:t>
      </w:r>
    </w:p>
    <w:p w14:paraId="1AB7FC1A">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图谱解析：完全自动解析红外谱图，自动得出具体精准成分；</w:t>
      </w:r>
    </w:p>
    <w:p w14:paraId="2436CA0E">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防治方案：规范化防治方案，更具临床实用性；</w:t>
      </w:r>
    </w:p>
    <w:p w14:paraId="159655E9">
      <w:pPr>
        <w:numPr>
          <w:ilvl w:val="0"/>
          <w:numId w:val="8"/>
        </w:numPr>
        <w:spacing w:line="520" w:lineRule="exact"/>
        <w:rPr>
          <w:rFonts w:ascii="仿宋_GB2312" w:hAnsi="仿宋_GB2312" w:eastAsia="仿宋_GB2312" w:cs="Times New Roman"/>
          <w:szCs w:val="21"/>
        </w:rPr>
      </w:pPr>
      <w:r>
        <w:rPr>
          <w:rFonts w:hint="eastAsia" w:ascii="仿宋_GB2312" w:hAnsi="仿宋_GB2312" w:eastAsia="仿宋_GB2312" w:cs="Times New Roman"/>
          <w:szCs w:val="21"/>
        </w:rPr>
        <w:t>可分析晶体成分、非晶体成分、无机化合物、有机化合物；</w:t>
      </w:r>
    </w:p>
    <w:p w14:paraId="29BE0921">
      <w:pPr>
        <w:numPr>
          <w:ilvl w:val="0"/>
          <w:numId w:val="8"/>
        </w:numPr>
        <w:spacing w:line="520" w:lineRule="exact"/>
        <w:rPr>
          <w:rFonts w:ascii="仿宋_GB2312" w:hAnsi="仿宋_GB2312" w:eastAsia="仿宋_GB2312" w:cs="Arial"/>
          <w:szCs w:val="21"/>
        </w:rPr>
      </w:pPr>
      <w:r>
        <w:rPr>
          <w:rFonts w:hint="eastAsia" w:ascii="仿宋_GB2312" w:hAnsi="仿宋_GB2312" w:eastAsia="仿宋_GB2312" w:cs="Times New Roman"/>
          <w:szCs w:val="21"/>
        </w:rPr>
        <w:t>远程维护：可对未检出成分进行远程指导分析，远程升级数据库；</w:t>
      </w:r>
    </w:p>
    <w:p w14:paraId="566BEA3F">
      <w:pPr>
        <w:numPr>
          <w:ilvl w:val="0"/>
          <w:numId w:val="8"/>
        </w:numPr>
        <w:spacing w:line="520" w:lineRule="exact"/>
        <w:rPr>
          <w:rFonts w:ascii="仿宋_GB2312" w:hAnsi="仿宋_GB2312" w:eastAsia="仿宋_GB2312" w:cs="Arial"/>
          <w:szCs w:val="21"/>
        </w:rPr>
      </w:pPr>
      <w:r>
        <w:rPr>
          <w:rFonts w:hint="eastAsia" w:ascii="仿宋_GB2312" w:hAnsi="仿宋_GB2312" w:eastAsia="仿宋_GB2312" w:cs="仿宋_GB2312"/>
          <w:sz w:val="24"/>
        </w:rPr>
        <w:t>★</w:t>
      </w:r>
      <w:r>
        <w:rPr>
          <w:rFonts w:hint="eastAsia" w:ascii="仿宋_GB2312" w:hAnsi="仿宋_GB2312" w:eastAsia="仿宋_GB2312" w:cs="Arial"/>
          <w:szCs w:val="21"/>
        </w:rPr>
        <w:t>配置：主机、计算机（20寸液晶</w:t>
      </w:r>
      <w:r>
        <w:rPr>
          <w:rFonts w:hint="eastAsia" w:ascii="仿宋_GB2312" w:hAnsi="仿宋_GB2312" w:eastAsia="仿宋_GB2312" w:cs="Arial"/>
          <w:color w:val="auto"/>
          <w:szCs w:val="21"/>
          <w:highlight w:val="none"/>
        </w:rPr>
        <w:t>品牌台式机）</w:t>
      </w:r>
      <w:r>
        <w:rPr>
          <w:rFonts w:hint="eastAsia" w:ascii="仿宋_GB2312" w:hAnsi="仿宋_GB2312" w:eastAsia="仿宋_GB2312" w:cs="Arial"/>
          <w:szCs w:val="21"/>
        </w:rPr>
        <w:t>、电源适配器、操作软件、使用说明书、工具、样品、电子干燥箱、微量天平、远程监控及仪器自检工具、干燥剂等。</w:t>
      </w:r>
    </w:p>
    <w:p w14:paraId="6878CECF">
      <w:pPr>
        <w:numPr>
          <w:ilvl w:val="0"/>
          <w:numId w:val="8"/>
        </w:numPr>
        <w:spacing w:line="520" w:lineRule="exact"/>
        <w:rPr>
          <w:rFonts w:ascii="仿宋_GB2312" w:hAnsi="仿宋_GB2312" w:eastAsia="仿宋_GB2312" w:cs="Arial"/>
          <w:szCs w:val="21"/>
        </w:rPr>
      </w:pPr>
      <w:r>
        <w:rPr>
          <w:rFonts w:hint="eastAsia" w:ascii="仿宋_GB2312" w:hAnsi="仿宋_GB2312" w:eastAsia="仿宋_GB2312" w:cs="仿宋_GB2312"/>
          <w:sz w:val="24"/>
        </w:rPr>
        <w:t>★</w:t>
      </w:r>
      <w:r>
        <w:rPr>
          <w:rFonts w:hint="eastAsia" w:ascii="仿宋_GB2312" w:hAnsi="仿宋_GB2312" w:eastAsia="仿宋_GB2312" w:cs="Arial"/>
          <w:szCs w:val="21"/>
        </w:rPr>
        <w:t>配备制样设备：压片机、玛瑙研钵、压片模具、烘箱、溴化钾和喷墨打印机。</w:t>
      </w:r>
    </w:p>
    <w:p w14:paraId="4F4C05B3">
      <w:pPr>
        <w:spacing w:line="520" w:lineRule="exact"/>
        <w:rPr>
          <w:rFonts w:ascii="仿宋_GB2312" w:hAnsi="仿宋_GB2312" w:eastAsia="仿宋_GB2312" w:cs="Arial"/>
          <w:szCs w:val="21"/>
        </w:rPr>
      </w:pPr>
    </w:p>
    <w:p w14:paraId="01C5C976">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项目其他要求：</w:t>
      </w:r>
    </w:p>
    <w:p w14:paraId="7C85FD21">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0C7A5619">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659FAF20">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676950E5">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全高清内镜摄像系统</w:t>
      </w:r>
    </w:p>
    <w:tbl>
      <w:tblPr>
        <w:tblStyle w:val="18"/>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418"/>
        <w:gridCol w:w="5237"/>
        <w:gridCol w:w="860"/>
      </w:tblGrid>
      <w:tr w14:paraId="0720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34D06A1A">
            <w:pPr>
              <w:spacing w:line="5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76F099B">
            <w:pPr>
              <w:spacing w:line="5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设备名称</w:t>
            </w:r>
          </w:p>
        </w:tc>
        <w:tc>
          <w:tcPr>
            <w:tcW w:w="5237" w:type="dxa"/>
            <w:tcBorders>
              <w:top w:val="single" w:color="auto" w:sz="4" w:space="0"/>
              <w:left w:val="single" w:color="auto" w:sz="4" w:space="0"/>
              <w:bottom w:val="single" w:color="auto" w:sz="4" w:space="0"/>
              <w:right w:val="single" w:color="auto" w:sz="4" w:space="0"/>
            </w:tcBorders>
            <w:noWrap w:val="0"/>
            <w:vAlign w:val="center"/>
          </w:tcPr>
          <w:p w14:paraId="3FCA951A">
            <w:pPr>
              <w:spacing w:line="5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50762B7">
            <w:pPr>
              <w:spacing w:line="5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r>
      <w:tr w14:paraId="40A6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14:paraId="54A39E44">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1</w:t>
            </w:r>
          </w:p>
          <w:p w14:paraId="5FA0B0B9">
            <w:pPr>
              <w:spacing w:line="520" w:lineRule="exact"/>
              <w:rPr>
                <w:rFonts w:hint="eastAsia" w:ascii="仿宋_GB2312" w:hAnsi="仿宋_GB2312" w:eastAsia="仿宋_GB2312" w:cs="仿宋_GB2312"/>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30D4F063">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全高清医用摄像机</w:t>
            </w:r>
          </w:p>
          <w:p w14:paraId="4A299021">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3COMS(三晶片高清)</w:t>
            </w:r>
          </w:p>
        </w:tc>
        <w:tc>
          <w:tcPr>
            <w:tcW w:w="5237" w:type="dxa"/>
            <w:tcBorders>
              <w:top w:val="single" w:color="auto" w:sz="4" w:space="0"/>
              <w:left w:val="single" w:color="auto" w:sz="4" w:space="0"/>
              <w:bottom w:val="single" w:color="auto" w:sz="4" w:space="0"/>
              <w:right w:val="single" w:color="auto" w:sz="4" w:space="0"/>
            </w:tcBorders>
            <w:noWrap w:val="0"/>
            <w:vAlign w:val="center"/>
          </w:tcPr>
          <w:p w14:paraId="4E445269">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SD-HD668P分辨率;1920X1080 </w:t>
            </w:r>
          </w:p>
          <w:p w14:paraId="7F279856">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解析度：1125线，带网络接口可实现手术影像转播</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65726CD">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1套</w:t>
            </w:r>
          </w:p>
        </w:tc>
      </w:tr>
      <w:tr w14:paraId="08CE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14:paraId="3308504E">
            <w:pPr>
              <w:spacing w:line="520" w:lineRule="exact"/>
              <w:rPr>
                <w:rFonts w:hint="eastAsia" w:ascii="仿宋_GB2312" w:hAnsi="仿宋_GB2312" w:eastAsia="仿宋_GB2312" w:cs="仿宋_GB2312"/>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13D7243D">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全高清摄像头及传输线</w:t>
            </w:r>
          </w:p>
        </w:tc>
        <w:tc>
          <w:tcPr>
            <w:tcW w:w="5237" w:type="dxa"/>
            <w:tcBorders>
              <w:top w:val="single" w:color="auto" w:sz="4" w:space="0"/>
              <w:left w:val="single" w:color="auto" w:sz="4" w:space="0"/>
              <w:bottom w:val="single" w:color="auto" w:sz="4" w:space="0"/>
              <w:right w:val="single" w:color="auto" w:sz="4" w:space="0"/>
            </w:tcBorders>
            <w:noWrap w:val="0"/>
            <w:vAlign w:val="center"/>
          </w:tcPr>
          <w:p w14:paraId="5922A646">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3CMOS、1920X1080P</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97B0896">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1个</w:t>
            </w:r>
          </w:p>
        </w:tc>
      </w:tr>
      <w:tr w14:paraId="485F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14:paraId="7982D37D">
            <w:pPr>
              <w:spacing w:line="520" w:lineRule="exact"/>
              <w:rPr>
                <w:rFonts w:hint="eastAsia" w:ascii="仿宋_GB2312" w:hAnsi="仿宋_GB2312" w:eastAsia="仿宋_GB2312" w:cs="仿宋_GB2312"/>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2D7D18FC">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光学变焦接口</w:t>
            </w:r>
          </w:p>
        </w:tc>
        <w:tc>
          <w:tcPr>
            <w:tcW w:w="5237" w:type="dxa"/>
            <w:tcBorders>
              <w:top w:val="single" w:color="auto" w:sz="4" w:space="0"/>
              <w:left w:val="single" w:color="auto" w:sz="4" w:space="0"/>
              <w:bottom w:val="single" w:color="auto" w:sz="4" w:space="0"/>
              <w:right w:val="single" w:color="auto" w:sz="4" w:space="0"/>
            </w:tcBorders>
            <w:noWrap w:val="0"/>
            <w:vAlign w:val="center"/>
          </w:tcPr>
          <w:p w14:paraId="7280F154">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F14-32mm</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D407A14">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1个</w:t>
            </w:r>
          </w:p>
        </w:tc>
      </w:tr>
      <w:tr w14:paraId="768C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50EAFC4C">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0318E1C3">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全高清液晶医用监视器</w:t>
            </w:r>
          </w:p>
        </w:tc>
        <w:tc>
          <w:tcPr>
            <w:tcW w:w="5237" w:type="dxa"/>
            <w:tcBorders>
              <w:top w:val="single" w:color="auto" w:sz="4" w:space="0"/>
              <w:left w:val="single" w:color="auto" w:sz="4" w:space="0"/>
              <w:bottom w:val="single" w:color="auto" w:sz="4" w:space="0"/>
              <w:right w:val="single" w:color="auto" w:sz="4" w:space="0"/>
            </w:tcBorders>
            <w:noWrap w:val="0"/>
            <w:vAlign w:val="center"/>
          </w:tcPr>
          <w:p w14:paraId="41978EFD">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27英寸分辨率1920*1080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A06D76C">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1台</w:t>
            </w:r>
          </w:p>
        </w:tc>
      </w:tr>
      <w:tr w14:paraId="6EE5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5FF4466A">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44F14168">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高亮度LED冷光源</w:t>
            </w:r>
          </w:p>
        </w:tc>
        <w:tc>
          <w:tcPr>
            <w:tcW w:w="5237" w:type="dxa"/>
            <w:tcBorders>
              <w:top w:val="single" w:color="auto" w:sz="4" w:space="0"/>
              <w:left w:val="single" w:color="auto" w:sz="4" w:space="0"/>
              <w:bottom w:val="single" w:color="auto" w:sz="4" w:space="0"/>
              <w:right w:val="single" w:color="auto" w:sz="4" w:space="0"/>
            </w:tcBorders>
            <w:noWrap w:val="0"/>
            <w:vAlign w:val="center"/>
          </w:tcPr>
          <w:p w14:paraId="79C7B6F3">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100瓦LED</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F6FC900">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1台</w:t>
            </w:r>
          </w:p>
        </w:tc>
      </w:tr>
      <w:tr w14:paraId="681A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52F01C2F">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E29B9B3">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腔镜专用台车</w:t>
            </w:r>
          </w:p>
        </w:tc>
        <w:tc>
          <w:tcPr>
            <w:tcW w:w="5237" w:type="dxa"/>
            <w:tcBorders>
              <w:top w:val="single" w:color="auto" w:sz="4" w:space="0"/>
              <w:left w:val="single" w:color="auto" w:sz="4" w:space="0"/>
              <w:bottom w:val="single" w:color="auto" w:sz="4" w:space="0"/>
              <w:right w:val="single" w:color="auto" w:sz="4" w:space="0"/>
            </w:tcBorders>
            <w:noWrap w:val="0"/>
            <w:vAlign w:val="center"/>
          </w:tcPr>
          <w:p w14:paraId="3483A76A">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排插线板一个、5层板面、可拆卸，移动方便</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F4B2C03">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1台</w:t>
            </w:r>
          </w:p>
        </w:tc>
      </w:tr>
    </w:tbl>
    <w:p w14:paraId="654FFB0B">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1、全高清摄像系统技术参数</w:t>
      </w:r>
    </w:p>
    <w:p w14:paraId="5553873E">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1.1、TV系统制式：PAL；制式可选PAL、NTSC，适应不同国家和地区。</w:t>
      </w:r>
    </w:p>
    <w:p w14:paraId="4558A371">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★1.2、传感器：3组1/≧2.8英寸高亮度逐行扫描CMOS或CCD传感器 ；</w:t>
      </w:r>
      <w:r>
        <w:rPr>
          <w:rFonts w:hint="eastAsia" w:ascii="仿宋_GB2312" w:hAnsi="仿宋_GB2312" w:eastAsia="仿宋_GB2312" w:cs="仿宋_GB2312"/>
          <w:color w:val="auto"/>
          <w:sz w:val="24"/>
          <w:highlight w:val="none"/>
        </w:rPr>
        <w:t>卓越的色彩</w:t>
      </w:r>
      <w:r>
        <w:rPr>
          <w:rFonts w:hint="eastAsia" w:ascii="仿宋_GB2312" w:hAnsi="仿宋_GB2312" w:eastAsia="仿宋_GB2312" w:cs="仿宋_GB2312"/>
          <w:sz w:val="24"/>
        </w:rPr>
        <w:t>还原能力，12轴色彩调节，使色彩还原更真实自然；最高防水级别（IPX8）摄像头，采用光学变焦14-32mm。</w:t>
      </w:r>
    </w:p>
    <w:p w14:paraId="0A61974B">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1.3、像素：总像素：2010（水平）×1108（垂直）；有效像素：1920（水平）×1080（垂直）(200万像素)</w:t>
      </w:r>
    </w:p>
    <w:p w14:paraId="7180A76A">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★1.4、扫描标准：≧1100线，50帧           </w:t>
      </w:r>
    </w:p>
    <w:p w14:paraId="6022E32B">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1.5、视频输出： HDMI、DVI 、LAN ；全接口输出，设备连接更自由方便。</w:t>
      </w:r>
    </w:p>
    <w:p w14:paraId="28C6472E">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1.6、最低照度： 5Lx at F5.5,          </w:t>
      </w:r>
    </w:p>
    <w:p w14:paraId="7E6F48EA">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1.7、视频输出清晰度：1080P ；超清晰1080P的图像效果，使手术区域纤毫毕现 ；具有纤维镜消除网格功能，主机具有同步液晶屏显示功能。</w:t>
      </w:r>
    </w:p>
    <w:p w14:paraId="63ED3F9A">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1.8、白平衡：AWC（自动白平衡控制）、ATW（自动追踪白平衡）和MANU(手动控制白配合)</w:t>
      </w:r>
    </w:p>
    <w:p w14:paraId="6C4E4EBF">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1.9、电子快门： AUTO：可调范围1/50-1/10000S；STEP：可调范围1/50（OFF），1/120，1/250，1/500，1/1000，1/2000，1/4000，1/10000S</w:t>
      </w:r>
    </w:p>
    <w:p w14:paraId="0C42E913">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1.10、增益选择：  AGC增益提高可选择</w:t>
      </w:r>
    </w:p>
    <w:p w14:paraId="638927A7">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1.11、灵敏度增强：OFF，AUTO（×2/×4/×8），MANU（×2/×4/×8）；图像颜色、锐度、消光强度等可匹配不同镜体。</w:t>
      </w:r>
    </w:p>
    <w:p w14:paraId="321353C6">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1.12、特殊功能：支持全数字存储（U盘存储1080P录像和图片），方便快捷的录制手术视频和图片；具备网络直播功能；</w:t>
      </w:r>
    </w:p>
    <w:p w14:paraId="67EEAAEC">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1.13、图像翻转和镜像：具有图像冻结（FREEZE）、图像放大、图像水平和垂直镜像功能；8倍电子放大（ZOOM）</w:t>
      </w:r>
    </w:p>
    <w:p w14:paraId="2A55C6D7">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1.14、功能控制：R增益，B增益和ELC LEVEL；菜单记忆功能，可随意切换不同科室；中英文菜单，快捷键可设置。</w:t>
      </w:r>
    </w:p>
    <w:p w14:paraId="2E8A4711">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1.15、电源：AC100～240V，FUSE 2×1A；功率：40VA，使用环境温度：0℃～ +45℃；使用环境湿度：30%～90%。</w:t>
      </w:r>
    </w:p>
    <w:p w14:paraId="64742414">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1.16、电气安全要求符合GB9706.1-2007标准要求。</w:t>
      </w:r>
    </w:p>
    <w:p w14:paraId="74F38A2D">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2、27寸高清液晶监视器技术参数 </w:t>
      </w:r>
    </w:p>
    <w:p w14:paraId="6BF5E4BF">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2.1、电源：外置电源 24V</w:t>
      </w:r>
    </w:p>
    <w:p w14:paraId="267DA50A">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2.2、分辨率：1920*1200</w:t>
      </w:r>
    </w:p>
    <w:p w14:paraId="21657BF2">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2.3、比例16:9</w:t>
      </w:r>
    </w:p>
    <w:p w14:paraId="5B90D2A6">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2.4、色彩：1.07B </w:t>
      </w:r>
    </w:p>
    <w:p w14:paraId="31CD5A60">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2.5、亮度：650±10% cd/m²；最高亮度：800 cd/m²</w:t>
      </w:r>
    </w:p>
    <w:p w14:paraId="220065FD">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2.6、对比度：1000:1</w:t>
      </w:r>
    </w:p>
    <w:p w14:paraId="76F614E3">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2.7、可视角度：178/178</w:t>
      </w:r>
    </w:p>
    <w:p w14:paraId="71C32541">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2.8、响应时间：16ms</w:t>
      </w:r>
    </w:p>
    <w:p w14:paraId="6FDA5DAB">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2.9、安装标准：VESA 100*100mm</w:t>
      </w:r>
    </w:p>
    <w:p w14:paraId="76F97E45">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2.10、内置曲线：十余种医疗显示曲线及显示模式</w:t>
      </w:r>
    </w:p>
    <w:p w14:paraId="37109815">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2.11、输入接口：DVI/VGA/VIDEO/S-VIDEO/YPBPR/HDMI/SDI（选配）；</w:t>
      </w:r>
    </w:p>
    <w:p w14:paraId="6D620E0B">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输出接口：DVI/YPBPR/VIDEO/S-VIDEO/HDMI/SDI（选配）</w:t>
      </w:r>
    </w:p>
    <w:p w14:paraId="24AC4725">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2.12、应用：腹腔镜、耳鼻喉内窥镜、电子胃肠镜、宫腔镜、经皮肾镜、关节镜、膀胱镜、输尿管镜等。</w:t>
      </w:r>
    </w:p>
    <w:p w14:paraId="5F687B4C">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2.13、专用台车1台，5层可拆卸，带有支撑臂。</w:t>
      </w:r>
    </w:p>
    <w:p w14:paraId="275E2811">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3、LED冷光源技术参数</w:t>
      </w:r>
    </w:p>
    <w:p w14:paraId="3FC8C179">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3.1、冷光源采用LED半导体发光灯珠，不含有害物质，亮度高、使用寿命长、启动没有延时，无频闪、不含红外线和紫外线等优点，亮度可调节。 </w:t>
      </w:r>
    </w:p>
    <w:p w14:paraId="021C56B3">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3.2、电源电压： 220V±10%，50HZ，保险丝：φ5×20mm ， </w:t>
      </w:r>
    </w:p>
    <w:p w14:paraId="15C8514A">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3.3、输入功率 150 VA，</w:t>
      </w:r>
    </w:p>
    <w:p w14:paraId="0AFB649F">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3.4、灯泡功率：LED ≧100W，电器安全标准：GB9706.1</w:t>
      </w:r>
    </w:p>
    <w:p w14:paraId="58D7102E">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3.5、色温：3000-7000 K，光谱性能：显色指数不小于90， </w:t>
      </w:r>
    </w:p>
    <w:p w14:paraId="3B961DBE">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3.6、灯泡寿命：≧40,000小时</w:t>
      </w:r>
    </w:p>
    <w:p w14:paraId="26A7BB34">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3.7、放置温度：-15℃- +50℃，操作温度：0℃-45℃ ，相对湿度：30-90%</w:t>
      </w:r>
    </w:p>
    <w:p w14:paraId="1C0795BF">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3.8、工作噪音：≤35dB</w:t>
      </w:r>
    </w:p>
    <w:p w14:paraId="42389AB1">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注明：为确保高清腹腔镜手术图像传输质量和手术效果更具有兼容性、稳定性、电器设备输出的安全性和售后的完整性，需满足高清摄像机系统、高清液晶监视器系统、LED冷光源、均为同一厂家品牌。</w:t>
      </w:r>
    </w:p>
    <w:p w14:paraId="0A3706B5">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项目其他要求：</w:t>
      </w:r>
    </w:p>
    <w:p w14:paraId="37B76AF1">
      <w:pPr>
        <w:numPr>
          <w:ilvl w:val="0"/>
          <w:numId w:val="7"/>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本项目采购设备安装后即能够正常使用，附件配置齐全。设备生产日期与实际供货日期在6个月以内。</w:t>
      </w:r>
    </w:p>
    <w:p w14:paraId="1F534A27">
      <w:pPr>
        <w:numPr>
          <w:ilvl w:val="0"/>
          <w:numId w:val="7"/>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此项目总金额包含所有运费、装卸费、安装费、税费等。</w:t>
      </w:r>
    </w:p>
    <w:p w14:paraId="7FB625D1">
      <w:pPr>
        <w:numPr>
          <w:ilvl w:val="0"/>
          <w:numId w:val="7"/>
        </w:num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每套设备（含附件）提供3年免费保修。</w:t>
      </w:r>
    </w:p>
    <w:p w14:paraId="25AD5555">
      <w:pPr>
        <w:snapToGrid w:val="0"/>
        <w:spacing w:before="120" w:line="0" w:lineRule="atLeast"/>
        <w:jc w:val="center"/>
        <w:rPr>
          <w:rFonts w:ascii="宋体" w:hAnsi="宋体"/>
          <w:b/>
          <w:bCs/>
          <w:sz w:val="24"/>
        </w:rPr>
      </w:pPr>
      <w:r>
        <w:rPr>
          <w:rFonts w:hint="eastAsia" w:ascii="宋体" w:hAnsi="宋体"/>
          <w:b/>
          <w:bCs/>
          <w:sz w:val="24"/>
        </w:rPr>
        <w:t>输尿管肾镜</w:t>
      </w:r>
    </w:p>
    <w:tbl>
      <w:tblPr>
        <w:tblStyle w:val="18"/>
        <w:tblW w:w="8250" w:type="dxa"/>
        <w:jc w:val="center"/>
        <w:tblLayout w:type="fixed"/>
        <w:tblCellMar>
          <w:top w:w="0" w:type="dxa"/>
          <w:left w:w="108" w:type="dxa"/>
          <w:bottom w:w="0" w:type="dxa"/>
          <w:right w:w="108" w:type="dxa"/>
        </w:tblCellMar>
      </w:tblPr>
      <w:tblGrid>
        <w:gridCol w:w="737"/>
        <w:gridCol w:w="2410"/>
        <w:gridCol w:w="4252"/>
        <w:gridCol w:w="851"/>
      </w:tblGrid>
      <w:tr w14:paraId="6B4511F0">
        <w:tblPrEx>
          <w:tblCellMar>
            <w:top w:w="0" w:type="dxa"/>
            <w:left w:w="108" w:type="dxa"/>
            <w:bottom w:w="0" w:type="dxa"/>
            <w:right w:w="108" w:type="dxa"/>
          </w:tblCellMar>
        </w:tblPrEx>
        <w:trPr>
          <w:trHeight w:val="433" w:hRule="atLeast"/>
          <w:jc w:val="center"/>
        </w:trPr>
        <w:tc>
          <w:tcPr>
            <w:tcW w:w="737" w:type="dxa"/>
            <w:tcBorders>
              <w:top w:val="single" w:color="auto" w:sz="6" w:space="0"/>
              <w:left w:val="single" w:color="auto" w:sz="6" w:space="0"/>
              <w:bottom w:val="single" w:color="auto" w:sz="6" w:space="0"/>
              <w:right w:val="single" w:color="auto" w:sz="6" w:space="0"/>
            </w:tcBorders>
            <w:noWrap w:val="0"/>
            <w:vAlign w:val="center"/>
          </w:tcPr>
          <w:p w14:paraId="574646FC">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序号</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66E39CAD">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名称</w:t>
            </w:r>
          </w:p>
        </w:tc>
        <w:tc>
          <w:tcPr>
            <w:tcW w:w="4252" w:type="dxa"/>
            <w:tcBorders>
              <w:top w:val="single" w:color="auto" w:sz="6" w:space="0"/>
              <w:left w:val="single" w:color="auto" w:sz="6" w:space="0"/>
              <w:bottom w:val="single" w:color="auto" w:sz="6" w:space="0"/>
              <w:right w:val="single" w:color="auto" w:sz="4" w:space="0"/>
            </w:tcBorders>
            <w:noWrap w:val="0"/>
            <w:vAlign w:val="center"/>
          </w:tcPr>
          <w:p w14:paraId="455091D3">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规格</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7B18E7">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数量</w:t>
            </w:r>
          </w:p>
        </w:tc>
      </w:tr>
      <w:tr w14:paraId="7A38C8D5">
        <w:tblPrEx>
          <w:tblCellMar>
            <w:top w:w="0" w:type="dxa"/>
            <w:left w:w="108" w:type="dxa"/>
            <w:bottom w:w="0" w:type="dxa"/>
            <w:right w:w="108" w:type="dxa"/>
          </w:tblCellMar>
        </w:tblPrEx>
        <w:trPr>
          <w:trHeight w:val="419" w:hRule="atLeast"/>
          <w:jc w:val="center"/>
        </w:trPr>
        <w:tc>
          <w:tcPr>
            <w:tcW w:w="737" w:type="dxa"/>
            <w:tcBorders>
              <w:top w:val="single" w:color="auto" w:sz="6" w:space="0"/>
              <w:left w:val="single" w:color="auto" w:sz="6" w:space="0"/>
              <w:bottom w:val="single" w:color="auto" w:sz="6" w:space="0"/>
              <w:right w:val="single" w:color="auto" w:sz="6" w:space="0"/>
            </w:tcBorders>
            <w:noWrap w:val="0"/>
            <w:vAlign w:val="center"/>
          </w:tcPr>
          <w:p w14:paraId="09377BF0">
            <w:pPr>
              <w:autoSpaceDE w:val="0"/>
              <w:autoSpaceDN w:val="0"/>
              <w:spacing w:line="440" w:lineRule="exact"/>
              <w:jc w:val="center"/>
              <w:rPr>
                <w:rFonts w:ascii="仿宋" w:hAnsi="仿宋" w:eastAsia="仿宋"/>
                <w:sz w:val="24"/>
              </w:rPr>
            </w:pPr>
            <w:r>
              <w:rPr>
                <w:rFonts w:hint="eastAsia" w:ascii="仿宋" w:hAnsi="仿宋" w:eastAsia="仿宋"/>
                <w:sz w:val="24"/>
              </w:rPr>
              <w:t>1</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36CEF068">
            <w:pPr>
              <w:autoSpaceDE w:val="0"/>
              <w:autoSpaceDN w:val="0"/>
              <w:spacing w:line="0" w:lineRule="atLeast"/>
              <w:rPr>
                <w:rFonts w:ascii="仿宋" w:hAnsi="仿宋" w:eastAsia="仿宋"/>
                <w:sz w:val="24"/>
              </w:rPr>
            </w:pPr>
            <w:r>
              <w:rPr>
                <w:rFonts w:hint="eastAsia" w:ascii="仿宋" w:hAnsi="仿宋" w:eastAsia="仿宋"/>
                <w:sz w:val="24"/>
              </w:rPr>
              <w:t>输尿管肾镜(成人型)</w:t>
            </w:r>
            <w:r>
              <w:rPr>
                <w:rFonts w:hint="eastAsia" w:ascii="宋体" w:hAnsi="宋体" w:cs="宋体"/>
                <w:sz w:val="24"/>
              </w:rPr>
              <w:t> </w:t>
            </w:r>
          </w:p>
        </w:tc>
        <w:tc>
          <w:tcPr>
            <w:tcW w:w="4252" w:type="dxa"/>
            <w:tcBorders>
              <w:top w:val="single" w:color="auto" w:sz="6" w:space="0"/>
              <w:left w:val="single" w:color="auto" w:sz="6" w:space="0"/>
              <w:bottom w:val="single" w:color="auto" w:sz="6" w:space="0"/>
              <w:right w:val="single" w:color="auto" w:sz="4" w:space="0"/>
            </w:tcBorders>
            <w:noWrap w:val="0"/>
            <w:vAlign w:val="center"/>
          </w:tcPr>
          <w:p w14:paraId="54199242">
            <w:pPr>
              <w:autoSpaceDE w:val="0"/>
              <w:autoSpaceDN w:val="0"/>
              <w:spacing w:line="440" w:lineRule="exact"/>
              <w:jc w:val="center"/>
              <w:rPr>
                <w:rFonts w:ascii="仿宋" w:hAnsi="仿宋" w:eastAsia="仿宋"/>
                <w:sz w:val="24"/>
              </w:rPr>
            </w:pPr>
            <w:r>
              <w:rPr>
                <w:rFonts w:hint="eastAsia" w:ascii="仿宋" w:hAnsi="仿宋" w:eastAsia="仿宋"/>
                <w:sz w:val="24"/>
              </w:rPr>
              <w:t>8-10.5Fr超广角、长约425mm、</w:t>
            </w:r>
            <w:r>
              <w:rPr>
                <w:rFonts w:hint="eastAsia" w:ascii="仿宋" w:hAnsi="仿宋" w:eastAsia="仿宋" w:cs="宋体"/>
                <w:bCs/>
                <w:color w:val="000000"/>
                <w:sz w:val="24"/>
              </w:rPr>
              <w:t>可容纳一个</w:t>
            </w:r>
            <w:r>
              <w:rPr>
                <w:rFonts w:ascii="仿宋" w:hAnsi="仿宋" w:eastAsia="仿宋"/>
                <w:bCs/>
                <w:color w:val="000000"/>
                <w:sz w:val="24"/>
              </w:rPr>
              <w:t>5Fr</w:t>
            </w:r>
            <w:r>
              <w:rPr>
                <w:rFonts w:hint="eastAsia" w:ascii="仿宋" w:hAnsi="仿宋" w:eastAsia="仿宋" w:cs="宋体"/>
                <w:bCs/>
                <w:color w:val="000000"/>
                <w:sz w:val="24"/>
              </w:rPr>
              <w:t>或两个</w:t>
            </w:r>
            <w:r>
              <w:rPr>
                <w:rFonts w:ascii="仿宋" w:hAnsi="仿宋" w:eastAsia="仿宋"/>
                <w:bCs/>
                <w:color w:val="000000"/>
                <w:sz w:val="24"/>
              </w:rPr>
              <w:t>3Fr</w:t>
            </w:r>
            <w:r>
              <w:rPr>
                <w:rFonts w:hint="eastAsia" w:ascii="仿宋" w:hAnsi="仿宋" w:eastAsia="仿宋" w:cs="宋体"/>
                <w:bCs/>
                <w:color w:val="000000"/>
                <w:sz w:val="24"/>
              </w:rPr>
              <w:t>的器械</w:t>
            </w:r>
            <w:r>
              <w:rPr>
                <w:rFonts w:ascii="仿宋" w:hAnsi="仿宋" w:eastAsia="仿宋"/>
                <w:bCs/>
                <w:color w:val="000000"/>
                <w:sz w:val="24"/>
              </w:rPr>
              <w:t>.</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1223B3F7">
            <w:pPr>
              <w:autoSpaceDE w:val="0"/>
              <w:autoSpaceDN w:val="0"/>
              <w:spacing w:line="440" w:lineRule="exact"/>
              <w:jc w:val="center"/>
              <w:rPr>
                <w:rFonts w:ascii="仿宋" w:hAnsi="仿宋" w:eastAsia="仿宋"/>
                <w:sz w:val="24"/>
              </w:rPr>
            </w:pPr>
            <w:r>
              <w:rPr>
                <w:rFonts w:hint="eastAsia" w:ascii="仿宋" w:hAnsi="仿宋" w:eastAsia="仿宋"/>
                <w:sz w:val="24"/>
              </w:rPr>
              <w:t>1支</w:t>
            </w:r>
          </w:p>
        </w:tc>
      </w:tr>
      <w:tr w14:paraId="46EB52D7">
        <w:tblPrEx>
          <w:tblCellMar>
            <w:top w:w="0" w:type="dxa"/>
            <w:left w:w="108" w:type="dxa"/>
            <w:bottom w:w="0" w:type="dxa"/>
            <w:right w:w="108" w:type="dxa"/>
          </w:tblCellMar>
        </w:tblPrEx>
        <w:trPr>
          <w:trHeight w:val="314" w:hRule="atLeast"/>
          <w:jc w:val="center"/>
        </w:trPr>
        <w:tc>
          <w:tcPr>
            <w:tcW w:w="737" w:type="dxa"/>
            <w:vMerge w:val="restart"/>
            <w:tcBorders>
              <w:top w:val="single" w:color="auto" w:sz="6" w:space="0"/>
              <w:left w:val="single" w:color="auto" w:sz="6" w:space="0"/>
              <w:right w:val="single" w:color="auto" w:sz="6" w:space="0"/>
            </w:tcBorders>
            <w:noWrap w:val="0"/>
            <w:vAlign w:val="center"/>
          </w:tcPr>
          <w:p w14:paraId="4C019B64">
            <w:pPr>
              <w:autoSpaceDE w:val="0"/>
              <w:autoSpaceDN w:val="0"/>
              <w:spacing w:line="440" w:lineRule="exact"/>
              <w:jc w:val="center"/>
              <w:rPr>
                <w:rFonts w:ascii="仿宋" w:hAnsi="仿宋" w:eastAsia="仿宋"/>
                <w:sz w:val="24"/>
              </w:rPr>
            </w:pPr>
            <w:r>
              <w:rPr>
                <w:rFonts w:hint="eastAsia" w:ascii="仿宋" w:hAnsi="仿宋" w:eastAsia="仿宋"/>
                <w:sz w:val="24"/>
              </w:rPr>
              <w:t>包括</w:t>
            </w:r>
          </w:p>
          <w:p w14:paraId="2914EDA5">
            <w:pPr>
              <w:autoSpaceDE w:val="0"/>
              <w:autoSpaceDN w:val="0"/>
              <w:spacing w:line="440" w:lineRule="exact"/>
              <w:jc w:val="center"/>
              <w:rPr>
                <w:rFonts w:ascii="仿宋" w:hAnsi="仿宋" w:eastAsia="仿宋"/>
                <w:sz w:val="24"/>
              </w:rPr>
            </w:pPr>
            <w:r>
              <w:rPr>
                <w:rFonts w:hint="eastAsia" w:ascii="仿宋" w:hAnsi="仿宋" w:eastAsia="仿宋"/>
                <w:sz w:val="24"/>
              </w:rPr>
              <w:t>附件</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E12E309">
            <w:pPr>
              <w:autoSpaceDE w:val="0"/>
              <w:autoSpaceDN w:val="0"/>
              <w:spacing w:line="440" w:lineRule="exact"/>
              <w:rPr>
                <w:rFonts w:ascii="仿宋" w:hAnsi="仿宋" w:eastAsia="仿宋"/>
                <w:sz w:val="24"/>
              </w:rPr>
            </w:pPr>
            <w:r>
              <w:rPr>
                <w:rFonts w:hint="eastAsia" w:ascii="仿宋" w:hAnsi="仿宋" w:eastAsia="仿宋"/>
                <w:sz w:val="24"/>
              </w:rPr>
              <w:t>硬性活检钳</w:t>
            </w:r>
          </w:p>
        </w:tc>
        <w:tc>
          <w:tcPr>
            <w:tcW w:w="4252" w:type="dxa"/>
            <w:tcBorders>
              <w:top w:val="single" w:color="auto" w:sz="6" w:space="0"/>
              <w:left w:val="single" w:color="auto" w:sz="6" w:space="0"/>
              <w:bottom w:val="single" w:color="auto" w:sz="6" w:space="0"/>
              <w:right w:val="single" w:color="auto" w:sz="4" w:space="0"/>
            </w:tcBorders>
            <w:noWrap w:val="0"/>
            <w:vAlign w:val="center"/>
          </w:tcPr>
          <w:p w14:paraId="190567B7">
            <w:pPr>
              <w:autoSpaceDE w:val="0"/>
              <w:autoSpaceDN w:val="0"/>
              <w:spacing w:line="440" w:lineRule="exact"/>
              <w:jc w:val="center"/>
              <w:rPr>
                <w:rFonts w:ascii="仿宋" w:hAnsi="仿宋" w:eastAsia="仿宋"/>
                <w:sz w:val="24"/>
              </w:rPr>
            </w:pPr>
            <w:r>
              <w:rPr>
                <w:rFonts w:hint="eastAsia" w:ascii="仿宋" w:hAnsi="仿宋" w:eastAsia="仿宋"/>
                <w:sz w:val="24"/>
              </w:rPr>
              <w:t>5Fr、工作长度大于550mm</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B2F4E2">
            <w:pPr>
              <w:autoSpaceDE w:val="0"/>
              <w:autoSpaceDN w:val="0"/>
              <w:spacing w:line="440" w:lineRule="exact"/>
              <w:jc w:val="center"/>
              <w:rPr>
                <w:rFonts w:ascii="仿宋" w:hAnsi="仿宋" w:eastAsia="仿宋"/>
                <w:sz w:val="24"/>
              </w:rPr>
            </w:pPr>
            <w:r>
              <w:rPr>
                <w:rFonts w:hint="eastAsia" w:ascii="仿宋" w:hAnsi="仿宋" w:eastAsia="仿宋"/>
                <w:sz w:val="24"/>
              </w:rPr>
              <w:t>1把</w:t>
            </w:r>
          </w:p>
        </w:tc>
      </w:tr>
      <w:tr w14:paraId="5ACA029A">
        <w:tblPrEx>
          <w:tblCellMar>
            <w:top w:w="0" w:type="dxa"/>
            <w:left w:w="108" w:type="dxa"/>
            <w:bottom w:w="0" w:type="dxa"/>
            <w:right w:w="108" w:type="dxa"/>
          </w:tblCellMar>
        </w:tblPrEx>
        <w:trPr>
          <w:trHeight w:val="314" w:hRule="atLeast"/>
          <w:jc w:val="center"/>
        </w:trPr>
        <w:tc>
          <w:tcPr>
            <w:tcW w:w="737" w:type="dxa"/>
            <w:vMerge w:val="continue"/>
            <w:tcBorders>
              <w:top w:val="single" w:color="auto" w:sz="6" w:space="0"/>
              <w:left w:val="single" w:color="auto" w:sz="6" w:space="0"/>
              <w:right w:val="single" w:color="auto" w:sz="6" w:space="0"/>
            </w:tcBorders>
            <w:noWrap w:val="0"/>
            <w:vAlign w:val="center"/>
          </w:tcPr>
          <w:p w14:paraId="03087D82">
            <w:pPr>
              <w:autoSpaceDE w:val="0"/>
              <w:autoSpaceDN w:val="0"/>
              <w:spacing w:line="440" w:lineRule="exact"/>
              <w:jc w:val="center"/>
              <w:rPr>
                <w:rFonts w:ascii="仿宋" w:hAnsi="仿宋" w:eastAsia="仿宋"/>
                <w:sz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4A6A626">
            <w:pPr>
              <w:autoSpaceDE w:val="0"/>
              <w:autoSpaceDN w:val="0"/>
              <w:spacing w:line="440" w:lineRule="exact"/>
              <w:rPr>
                <w:rFonts w:ascii="仿宋" w:hAnsi="仿宋" w:eastAsia="仿宋"/>
                <w:sz w:val="24"/>
              </w:rPr>
            </w:pPr>
            <w:r>
              <w:rPr>
                <w:rFonts w:hint="eastAsia" w:ascii="仿宋" w:hAnsi="仿宋" w:eastAsia="仿宋"/>
                <w:sz w:val="24"/>
              </w:rPr>
              <w:t>硬性异物钳</w:t>
            </w:r>
          </w:p>
        </w:tc>
        <w:tc>
          <w:tcPr>
            <w:tcW w:w="4252" w:type="dxa"/>
            <w:tcBorders>
              <w:top w:val="single" w:color="auto" w:sz="6" w:space="0"/>
              <w:left w:val="single" w:color="auto" w:sz="6" w:space="0"/>
              <w:bottom w:val="single" w:color="auto" w:sz="6" w:space="0"/>
              <w:right w:val="single" w:color="auto" w:sz="4" w:space="0"/>
            </w:tcBorders>
            <w:noWrap w:val="0"/>
            <w:vAlign w:val="center"/>
          </w:tcPr>
          <w:p w14:paraId="10E0EB56">
            <w:pPr>
              <w:autoSpaceDE w:val="0"/>
              <w:autoSpaceDN w:val="0"/>
              <w:spacing w:line="440" w:lineRule="exact"/>
              <w:jc w:val="center"/>
              <w:rPr>
                <w:rFonts w:ascii="仿宋" w:hAnsi="仿宋" w:eastAsia="仿宋"/>
                <w:sz w:val="24"/>
              </w:rPr>
            </w:pPr>
            <w:r>
              <w:rPr>
                <w:rFonts w:hint="eastAsia" w:ascii="仿宋" w:hAnsi="仿宋" w:eastAsia="仿宋"/>
                <w:sz w:val="24"/>
              </w:rPr>
              <w:t>5Fr、工作长度大于550mm</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839A51D">
            <w:pPr>
              <w:autoSpaceDE w:val="0"/>
              <w:autoSpaceDN w:val="0"/>
              <w:spacing w:line="440" w:lineRule="exact"/>
              <w:jc w:val="center"/>
              <w:rPr>
                <w:rFonts w:ascii="仿宋" w:hAnsi="仿宋" w:eastAsia="仿宋"/>
                <w:sz w:val="24"/>
              </w:rPr>
            </w:pPr>
            <w:r>
              <w:rPr>
                <w:rFonts w:hint="eastAsia" w:ascii="仿宋" w:hAnsi="仿宋" w:eastAsia="仿宋"/>
                <w:sz w:val="24"/>
              </w:rPr>
              <w:t>1把</w:t>
            </w:r>
          </w:p>
        </w:tc>
      </w:tr>
      <w:tr w14:paraId="7B554EE4">
        <w:tblPrEx>
          <w:tblCellMar>
            <w:top w:w="0" w:type="dxa"/>
            <w:left w:w="108" w:type="dxa"/>
            <w:bottom w:w="0" w:type="dxa"/>
            <w:right w:w="108" w:type="dxa"/>
          </w:tblCellMar>
        </w:tblPrEx>
        <w:trPr>
          <w:trHeight w:val="486" w:hRule="atLeast"/>
          <w:jc w:val="center"/>
        </w:trPr>
        <w:tc>
          <w:tcPr>
            <w:tcW w:w="737" w:type="dxa"/>
            <w:vMerge w:val="continue"/>
            <w:tcBorders>
              <w:left w:val="single" w:color="auto" w:sz="6" w:space="0"/>
              <w:bottom w:val="single" w:color="auto" w:sz="6" w:space="0"/>
              <w:right w:val="single" w:color="auto" w:sz="6" w:space="0"/>
            </w:tcBorders>
            <w:noWrap w:val="0"/>
            <w:vAlign w:val="center"/>
          </w:tcPr>
          <w:p w14:paraId="0673B206">
            <w:pPr>
              <w:autoSpaceDE w:val="0"/>
              <w:autoSpaceDN w:val="0"/>
              <w:spacing w:line="440" w:lineRule="exact"/>
              <w:jc w:val="center"/>
              <w:rPr>
                <w:rFonts w:ascii="仿宋" w:hAnsi="仿宋" w:eastAsia="仿宋"/>
                <w:sz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BEB2C1D">
            <w:pPr>
              <w:autoSpaceDE w:val="0"/>
              <w:autoSpaceDN w:val="0"/>
              <w:spacing w:line="440" w:lineRule="exact"/>
              <w:rPr>
                <w:rFonts w:ascii="仿宋" w:hAnsi="仿宋" w:eastAsia="仿宋"/>
                <w:sz w:val="24"/>
              </w:rPr>
            </w:pPr>
            <w:r>
              <w:rPr>
                <w:rFonts w:hint="eastAsia" w:ascii="仿宋" w:hAnsi="仿宋" w:eastAsia="仿宋"/>
                <w:sz w:val="24"/>
              </w:rPr>
              <w:t>专用消毒盒</w:t>
            </w:r>
          </w:p>
        </w:tc>
        <w:tc>
          <w:tcPr>
            <w:tcW w:w="4252" w:type="dxa"/>
            <w:tcBorders>
              <w:top w:val="single" w:color="auto" w:sz="6" w:space="0"/>
              <w:left w:val="single" w:color="auto" w:sz="6" w:space="0"/>
              <w:bottom w:val="single" w:color="auto" w:sz="6" w:space="0"/>
              <w:right w:val="single" w:color="auto" w:sz="4" w:space="0"/>
            </w:tcBorders>
            <w:noWrap w:val="0"/>
            <w:vAlign w:val="center"/>
          </w:tcPr>
          <w:p w14:paraId="70B9ECC7">
            <w:pPr>
              <w:ind w:left="588" w:hanging="588" w:hangingChars="245"/>
              <w:rPr>
                <w:rFonts w:ascii="仿宋" w:hAnsi="仿宋" w:eastAsia="仿宋"/>
                <w:b/>
                <w:bCs/>
                <w:sz w:val="24"/>
              </w:rPr>
            </w:pPr>
            <w:r>
              <w:rPr>
                <w:rFonts w:hint="eastAsia" w:ascii="仿宋" w:hAnsi="仿宋" w:eastAsia="仿宋"/>
                <w:sz w:val="24"/>
              </w:rPr>
              <w:t>约700mm*100mm*100mm、带固定硅胶架、有盖带2个旋转锁扣</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5914D21E">
            <w:pPr>
              <w:autoSpaceDE w:val="0"/>
              <w:autoSpaceDN w:val="0"/>
              <w:spacing w:line="440" w:lineRule="exact"/>
              <w:jc w:val="center"/>
              <w:rPr>
                <w:rFonts w:ascii="仿宋" w:hAnsi="仿宋" w:eastAsia="仿宋"/>
                <w:sz w:val="24"/>
              </w:rPr>
            </w:pPr>
            <w:r>
              <w:rPr>
                <w:rFonts w:hint="eastAsia" w:ascii="仿宋" w:hAnsi="仿宋" w:eastAsia="仿宋"/>
                <w:sz w:val="24"/>
              </w:rPr>
              <w:t>1个</w:t>
            </w:r>
          </w:p>
        </w:tc>
      </w:tr>
    </w:tbl>
    <w:p w14:paraId="1CEB148B">
      <w:pPr>
        <w:snapToGrid w:val="0"/>
        <w:spacing w:before="120" w:line="240" w:lineRule="atLeast"/>
        <w:jc w:val="left"/>
        <w:rPr>
          <w:rFonts w:ascii="仿宋" w:hAnsi="仿宋" w:eastAsia="仿宋"/>
          <w:b/>
          <w:bCs/>
          <w:sz w:val="24"/>
        </w:rPr>
      </w:pPr>
      <w:r>
        <w:rPr>
          <w:rFonts w:hint="eastAsia" w:ascii="仿宋" w:hAnsi="仿宋" w:eastAsia="仿宋"/>
          <w:b/>
          <w:bCs/>
          <w:sz w:val="24"/>
        </w:rPr>
        <w:t>输尿管肾镜技术参数（8-10.5Fr）</w:t>
      </w:r>
    </w:p>
    <w:p w14:paraId="51843EC6">
      <w:pPr>
        <w:snapToGrid w:val="0"/>
        <w:spacing w:line="0" w:lineRule="atLeast"/>
        <w:jc w:val="left"/>
        <w:rPr>
          <w:rFonts w:ascii="仿宋" w:hAnsi="仿宋" w:eastAsia="仿宋"/>
          <w:bCs/>
          <w:sz w:val="24"/>
        </w:rPr>
      </w:pPr>
      <w:r>
        <w:rPr>
          <w:rFonts w:hint="eastAsia" w:ascii="仿宋" w:hAnsi="仿宋" w:eastAsia="仿宋"/>
          <w:bCs/>
          <w:sz w:val="24"/>
        </w:rPr>
        <w:t>1、适用于泌尿外科输尿管检查及配合钬激光、气压弹道进行碎石手术。</w:t>
      </w:r>
    </w:p>
    <w:p w14:paraId="44E137D2">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2、输尿管肾镜，直径：8Fr(前端)—10 .5Fr（末端）。</w:t>
      </w:r>
    </w:p>
    <w:p w14:paraId="09C32955">
      <w:pPr>
        <w:snapToGrid w:val="0"/>
        <w:spacing w:line="0" w:lineRule="atLeast"/>
        <w:jc w:val="left"/>
        <w:rPr>
          <w:rFonts w:ascii="仿宋" w:hAnsi="仿宋" w:eastAsia="仿宋"/>
          <w:bCs/>
          <w:sz w:val="24"/>
        </w:rPr>
      </w:pPr>
      <w:r>
        <w:rPr>
          <w:rFonts w:hint="eastAsia" w:ascii="仿宋" w:hAnsi="仿宋" w:eastAsia="仿宋"/>
          <w:bCs/>
          <w:sz w:val="24"/>
        </w:rPr>
        <w:t>3、工作长度：约4</w:t>
      </w:r>
      <w:r>
        <w:rPr>
          <w:rFonts w:ascii="仿宋" w:hAnsi="仿宋" w:eastAsia="仿宋"/>
          <w:bCs/>
          <w:sz w:val="24"/>
        </w:rPr>
        <w:t>25</w:t>
      </w:r>
      <w:r>
        <w:rPr>
          <w:rFonts w:hint="eastAsia" w:ascii="仿宋" w:hAnsi="仿宋" w:eastAsia="仿宋"/>
          <w:bCs/>
          <w:sz w:val="24"/>
        </w:rPr>
        <w:t>mm。</w:t>
      </w:r>
    </w:p>
    <w:p w14:paraId="02961D8F">
      <w:pPr>
        <w:snapToGrid w:val="0"/>
        <w:spacing w:line="0" w:lineRule="atLeast"/>
        <w:jc w:val="left"/>
        <w:rPr>
          <w:rFonts w:ascii="仿宋" w:hAnsi="仿宋" w:eastAsia="仿宋"/>
          <w:bCs/>
          <w:sz w:val="24"/>
        </w:rPr>
      </w:pPr>
      <w:r>
        <w:rPr>
          <w:rFonts w:hint="eastAsia" w:ascii="仿宋" w:hAnsi="仿宋" w:eastAsia="仿宋"/>
          <w:bCs/>
          <w:sz w:val="24"/>
        </w:rPr>
        <w:t>4、工作通道：可下一个5Fr的器械或者两个3Fr的器械。</w:t>
      </w:r>
    </w:p>
    <w:p w14:paraId="09ADB120">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5、视向角：15°</w:t>
      </w:r>
    </w:p>
    <w:p w14:paraId="766AB884">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6、半软镜身：可向各个方向弯曲15°,且弯曲无图像损失、无需重新对焦。</w:t>
      </w:r>
    </w:p>
    <w:p w14:paraId="2E858FF3">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7、三级渐进式镜杆，前端防损伤设计可平滑进入输尿管，缓慢扩张。</w:t>
      </w:r>
    </w:p>
    <w:p w14:paraId="61EC3CDF">
      <w:pPr>
        <w:snapToGrid w:val="0"/>
        <w:spacing w:line="0" w:lineRule="atLeast"/>
        <w:jc w:val="left"/>
        <w:rPr>
          <w:rFonts w:ascii="仿宋" w:hAnsi="仿宋" w:eastAsia="仿宋"/>
          <w:bCs/>
          <w:sz w:val="24"/>
        </w:rPr>
      </w:pPr>
      <w:r>
        <w:rPr>
          <w:rFonts w:hint="eastAsia" w:ascii="仿宋" w:hAnsi="仿宋" w:eastAsia="仿宋"/>
          <w:bCs/>
          <w:sz w:val="24"/>
        </w:rPr>
        <w:t>8、镜桥一体式设计，含旋转式锁扣装置，及防水密封片，可以旋转开关紧锁。</w:t>
      </w:r>
    </w:p>
    <w:p w14:paraId="744774B9">
      <w:pPr>
        <w:snapToGrid w:val="0"/>
        <w:spacing w:line="0" w:lineRule="atLeast"/>
        <w:jc w:val="left"/>
        <w:rPr>
          <w:rFonts w:ascii="仿宋" w:hAnsi="仿宋" w:eastAsia="仿宋"/>
          <w:bCs/>
          <w:sz w:val="24"/>
        </w:rPr>
      </w:pPr>
      <w:r>
        <w:rPr>
          <w:rFonts w:hint="eastAsia" w:ascii="仿宋" w:hAnsi="仿宋" w:eastAsia="仿宋"/>
          <w:bCs/>
          <w:sz w:val="24"/>
        </w:rPr>
        <w:t>9、双冲洗通道，冲洗空间充分、流量大。</w:t>
      </w:r>
    </w:p>
    <w:p w14:paraId="6DB66190">
      <w:pPr>
        <w:snapToGrid w:val="0"/>
        <w:spacing w:line="0" w:lineRule="atLeast"/>
        <w:jc w:val="left"/>
        <w:rPr>
          <w:rFonts w:ascii="仿宋" w:hAnsi="仿宋" w:eastAsia="仿宋"/>
          <w:bCs/>
          <w:sz w:val="24"/>
        </w:rPr>
      </w:pPr>
      <w:r>
        <w:rPr>
          <w:rFonts w:hint="eastAsia" w:ascii="仿宋" w:hAnsi="仿宋" w:eastAsia="仿宋"/>
          <w:bCs/>
          <w:sz w:val="24"/>
        </w:rPr>
        <w:t>10、采用激光焊接技术，密封性强。</w:t>
      </w:r>
    </w:p>
    <w:p w14:paraId="3ED0F7FB">
      <w:pPr>
        <w:snapToGrid w:val="0"/>
        <w:spacing w:line="0" w:lineRule="atLeast"/>
        <w:jc w:val="left"/>
        <w:rPr>
          <w:rFonts w:ascii="仿宋" w:hAnsi="仿宋" w:eastAsia="仿宋"/>
          <w:bCs/>
          <w:sz w:val="24"/>
        </w:rPr>
      </w:pPr>
      <w:r>
        <w:rPr>
          <w:rFonts w:hint="eastAsia" w:ascii="仿宋" w:hAnsi="仿宋" w:eastAsia="仿宋"/>
          <w:bCs/>
          <w:sz w:val="24"/>
        </w:rPr>
        <w:t>11、目镜与镜端采用高品质蓝宝石镜面，无腐蚀性。</w:t>
      </w:r>
    </w:p>
    <w:p w14:paraId="3B1223CD">
      <w:pPr>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12、多种导光束接头，适配：</w:t>
      </w:r>
      <w:r>
        <w:rPr>
          <w:rFonts w:hint="eastAsia" w:ascii="仿宋" w:hAnsi="仿宋" w:eastAsia="仿宋"/>
          <w:bCs/>
          <w:sz w:val="24"/>
          <w:lang w:eastAsia="zh-CN"/>
        </w:rPr>
        <w:t>各类品牌</w:t>
      </w:r>
      <w:r>
        <w:rPr>
          <w:rFonts w:hint="eastAsia" w:ascii="仿宋" w:hAnsi="仿宋" w:eastAsia="仿宋"/>
          <w:bCs/>
          <w:sz w:val="24"/>
        </w:rPr>
        <w:t>等规格主机、光源，配置活检钳、异物钳各1把，消毒盒1个。</w:t>
      </w:r>
    </w:p>
    <w:p w14:paraId="132D2484">
      <w:pPr>
        <w:snapToGrid w:val="0"/>
        <w:spacing w:line="0" w:lineRule="atLeast"/>
        <w:jc w:val="left"/>
        <w:rPr>
          <w:rFonts w:ascii="仿宋" w:hAnsi="仿宋" w:eastAsia="仿宋"/>
          <w:b/>
          <w:bCs/>
          <w:sz w:val="24"/>
        </w:rPr>
      </w:pPr>
      <w:r>
        <w:rPr>
          <w:rFonts w:hint="eastAsia" w:ascii="仿宋" w:hAnsi="仿宋" w:eastAsia="仿宋"/>
          <w:bCs/>
          <w:sz w:val="24"/>
        </w:rPr>
        <w:t>13、可低温等离子、高温高压消毒</w:t>
      </w:r>
    </w:p>
    <w:p w14:paraId="53AAF7BB">
      <w:pPr>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项目其他要求：</w:t>
      </w:r>
    </w:p>
    <w:p w14:paraId="2A40FF38">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1.本项目采购设备安装后即能够正常使用，附件配置齐全。设备生产日期与实际供货日期在6个月以内。</w:t>
      </w:r>
    </w:p>
    <w:p w14:paraId="65BE5F31">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2.此项目总金额包含所有运费、装卸费、安装费、税费等。</w:t>
      </w:r>
    </w:p>
    <w:p w14:paraId="4EBAE364">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3.每套设备（含附件）提供3年免费保修。</w:t>
      </w:r>
    </w:p>
    <w:p w14:paraId="443B8675">
      <w:pPr>
        <w:snapToGrid w:val="0"/>
        <w:spacing w:before="120" w:line="0" w:lineRule="atLeast"/>
        <w:jc w:val="center"/>
        <w:rPr>
          <w:rFonts w:ascii="宋体" w:hAnsi="宋体"/>
          <w:b/>
          <w:bCs/>
          <w:sz w:val="24"/>
        </w:rPr>
      </w:pPr>
      <w:r>
        <w:rPr>
          <w:rFonts w:hint="eastAsia" w:ascii="宋体" w:hAnsi="宋体"/>
          <w:b/>
          <w:bCs/>
          <w:sz w:val="24"/>
        </w:rPr>
        <w:t>输尿管肾镜</w:t>
      </w:r>
    </w:p>
    <w:tbl>
      <w:tblPr>
        <w:tblStyle w:val="18"/>
        <w:tblW w:w="8330" w:type="dxa"/>
        <w:jc w:val="center"/>
        <w:tblLayout w:type="fixed"/>
        <w:tblCellMar>
          <w:top w:w="0" w:type="dxa"/>
          <w:left w:w="108" w:type="dxa"/>
          <w:bottom w:w="0" w:type="dxa"/>
          <w:right w:w="108" w:type="dxa"/>
        </w:tblCellMar>
      </w:tblPr>
      <w:tblGrid>
        <w:gridCol w:w="734"/>
        <w:gridCol w:w="2468"/>
        <w:gridCol w:w="4278"/>
        <w:gridCol w:w="850"/>
      </w:tblGrid>
      <w:tr w14:paraId="0EADD54C">
        <w:tblPrEx>
          <w:tblCellMar>
            <w:top w:w="0" w:type="dxa"/>
            <w:left w:w="108" w:type="dxa"/>
            <w:bottom w:w="0" w:type="dxa"/>
            <w:right w:w="108" w:type="dxa"/>
          </w:tblCellMar>
        </w:tblPrEx>
        <w:trPr>
          <w:trHeight w:val="503" w:hRule="atLeast"/>
          <w:jc w:val="center"/>
        </w:trPr>
        <w:tc>
          <w:tcPr>
            <w:tcW w:w="734" w:type="dxa"/>
            <w:tcBorders>
              <w:top w:val="single" w:color="auto" w:sz="6" w:space="0"/>
              <w:left w:val="single" w:color="auto" w:sz="6" w:space="0"/>
              <w:bottom w:val="single" w:color="auto" w:sz="6" w:space="0"/>
              <w:right w:val="single" w:color="auto" w:sz="6" w:space="0"/>
            </w:tcBorders>
            <w:noWrap w:val="0"/>
            <w:vAlign w:val="center"/>
          </w:tcPr>
          <w:p w14:paraId="37C21F9D">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序号</w:t>
            </w:r>
          </w:p>
        </w:tc>
        <w:tc>
          <w:tcPr>
            <w:tcW w:w="2468" w:type="dxa"/>
            <w:tcBorders>
              <w:top w:val="single" w:color="auto" w:sz="6" w:space="0"/>
              <w:left w:val="single" w:color="auto" w:sz="6" w:space="0"/>
              <w:bottom w:val="single" w:color="auto" w:sz="6" w:space="0"/>
              <w:right w:val="single" w:color="auto" w:sz="6" w:space="0"/>
            </w:tcBorders>
            <w:noWrap w:val="0"/>
            <w:vAlign w:val="center"/>
          </w:tcPr>
          <w:p w14:paraId="0F543521">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名称</w:t>
            </w:r>
          </w:p>
        </w:tc>
        <w:tc>
          <w:tcPr>
            <w:tcW w:w="4278" w:type="dxa"/>
            <w:tcBorders>
              <w:top w:val="single" w:color="auto" w:sz="6" w:space="0"/>
              <w:left w:val="single" w:color="auto" w:sz="6" w:space="0"/>
              <w:bottom w:val="single" w:color="auto" w:sz="6" w:space="0"/>
              <w:right w:val="single" w:color="auto" w:sz="4" w:space="0"/>
            </w:tcBorders>
            <w:noWrap w:val="0"/>
            <w:vAlign w:val="center"/>
          </w:tcPr>
          <w:p w14:paraId="0F4E5636">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规格</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BBFA209">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数量</w:t>
            </w:r>
          </w:p>
        </w:tc>
      </w:tr>
      <w:tr w14:paraId="4038E9A6">
        <w:tblPrEx>
          <w:tblCellMar>
            <w:top w:w="0" w:type="dxa"/>
            <w:left w:w="108" w:type="dxa"/>
            <w:bottom w:w="0" w:type="dxa"/>
            <w:right w:w="108" w:type="dxa"/>
          </w:tblCellMar>
        </w:tblPrEx>
        <w:trPr>
          <w:trHeight w:val="769" w:hRule="atLeast"/>
          <w:jc w:val="center"/>
        </w:trPr>
        <w:tc>
          <w:tcPr>
            <w:tcW w:w="734" w:type="dxa"/>
            <w:tcBorders>
              <w:top w:val="single" w:color="auto" w:sz="6" w:space="0"/>
              <w:left w:val="single" w:color="auto" w:sz="6" w:space="0"/>
              <w:bottom w:val="single" w:color="auto" w:sz="6" w:space="0"/>
              <w:right w:val="single" w:color="auto" w:sz="6" w:space="0"/>
            </w:tcBorders>
            <w:noWrap w:val="0"/>
            <w:vAlign w:val="center"/>
          </w:tcPr>
          <w:p w14:paraId="5490E526">
            <w:pPr>
              <w:autoSpaceDE w:val="0"/>
              <w:autoSpaceDN w:val="0"/>
              <w:spacing w:line="440" w:lineRule="exact"/>
              <w:jc w:val="center"/>
              <w:rPr>
                <w:rFonts w:ascii="仿宋" w:hAnsi="仿宋" w:eastAsia="仿宋"/>
                <w:sz w:val="24"/>
              </w:rPr>
            </w:pPr>
            <w:r>
              <w:rPr>
                <w:rFonts w:hint="eastAsia" w:ascii="仿宋" w:hAnsi="仿宋" w:eastAsia="仿宋"/>
                <w:sz w:val="24"/>
              </w:rPr>
              <w:t>1</w:t>
            </w:r>
          </w:p>
        </w:tc>
        <w:tc>
          <w:tcPr>
            <w:tcW w:w="2468" w:type="dxa"/>
            <w:tcBorders>
              <w:top w:val="single" w:color="auto" w:sz="6" w:space="0"/>
              <w:left w:val="single" w:color="auto" w:sz="6" w:space="0"/>
              <w:bottom w:val="single" w:color="auto" w:sz="6" w:space="0"/>
              <w:right w:val="single" w:color="auto" w:sz="6" w:space="0"/>
            </w:tcBorders>
            <w:noWrap w:val="0"/>
            <w:vAlign w:val="center"/>
          </w:tcPr>
          <w:p w14:paraId="0F64BF41">
            <w:pPr>
              <w:autoSpaceDE w:val="0"/>
              <w:autoSpaceDN w:val="0"/>
              <w:spacing w:line="440" w:lineRule="exact"/>
              <w:rPr>
                <w:rFonts w:ascii="仿宋" w:hAnsi="仿宋" w:eastAsia="仿宋" w:cs="黑体"/>
                <w:sz w:val="24"/>
              </w:rPr>
            </w:pPr>
            <w:r>
              <w:rPr>
                <w:rFonts w:hint="eastAsia" w:ascii="仿宋" w:hAnsi="仿宋" w:eastAsia="仿宋"/>
                <w:sz w:val="24"/>
              </w:rPr>
              <w:t>输尿管肾镜（小儿型）</w:t>
            </w:r>
          </w:p>
        </w:tc>
        <w:tc>
          <w:tcPr>
            <w:tcW w:w="4278" w:type="dxa"/>
            <w:tcBorders>
              <w:top w:val="single" w:color="auto" w:sz="6" w:space="0"/>
              <w:left w:val="single" w:color="auto" w:sz="6" w:space="0"/>
              <w:bottom w:val="single" w:color="auto" w:sz="6" w:space="0"/>
              <w:right w:val="single" w:color="auto" w:sz="4" w:space="0"/>
            </w:tcBorders>
            <w:noWrap w:val="0"/>
            <w:vAlign w:val="center"/>
          </w:tcPr>
          <w:p w14:paraId="6A4266F5">
            <w:pPr>
              <w:autoSpaceDE w:val="0"/>
              <w:autoSpaceDN w:val="0"/>
              <w:spacing w:line="440" w:lineRule="exact"/>
              <w:jc w:val="left"/>
              <w:rPr>
                <w:rFonts w:ascii="仿宋" w:hAnsi="仿宋" w:eastAsia="仿宋"/>
                <w:sz w:val="24"/>
              </w:rPr>
            </w:pPr>
            <w:r>
              <w:rPr>
                <w:rFonts w:hint="eastAsia" w:ascii="仿宋" w:hAnsi="仿宋" w:eastAsia="仿宋"/>
                <w:sz w:val="24"/>
              </w:rPr>
              <w:t>6-7.5Fr超广角、工作长度约425mm、</w:t>
            </w:r>
            <w:r>
              <w:rPr>
                <w:rFonts w:hint="eastAsia" w:ascii="仿宋" w:hAnsi="仿宋" w:eastAsia="仿宋" w:cs="宋体"/>
                <w:bCs/>
                <w:color w:val="000000"/>
                <w:sz w:val="24"/>
              </w:rPr>
              <w:t>可容纳一个</w:t>
            </w:r>
            <w:r>
              <w:rPr>
                <w:rFonts w:ascii="仿宋" w:hAnsi="仿宋" w:eastAsia="仿宋"/>
                <w:bCs/>
                <w:color w:val="000000"/>
                <w:sz w:val="24"/>
              </w:rPr>
              <w:t>4Fr</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344C3AE3">
            <w:pPr>
              <w:autoSpaceDE w:val="0"/>
              <w:autoSpaceDN w:val="0"/>
              <w:spacing w:line="440" w:lineRule="exact"/>
              <w:jc w:val="center"/>
              <w:rPr>
                <w:rFonts w:ascii="仿宋" w:hAnsi="仿宋" w:eastAsia="仿宋"/>
                <w:sz w:val="24"/>
              </w:rPr>
            </w:pPr>
            <w:r>
              <w:rPr>
                <w:rFonts w:hint="eastAsia" w:ascii="仿宋" w:hAnsi="仿宋" w:eastAsia="仿宋"/>
                <w:sz w:val="24"/>
              </w:rPr>
              <w:t>1条</w:t>
            </w:r>
          </w:p>
        </w:tc>
      </w:tr>
      <w:tr w14:paraId="15EF519E">
        <w:tblPrEx>
          <w:tblCellMar>
            <w:top w:w="0" w:type="dxa"/>
            <w:left w:w="108" w:type="dxa"/>
            <w:bottom w:w="0" w:type="dxa"/>
            <w:right w:w="108" w:type="dxa"/>
          </w:tblCellMar>
        </w:tblPrEx>
        <w:trPr>
          <w:trHeight w:val="314" w:hRule="atLeast"/>
          <w:jc w:val="center"/>
        </w:trPr>
        <w:tc>
          <w:tcPr>
            <w:tcW w:w="734" w:type="dxa"/>
            <w:vMerge w:val="restart"/>
            <w:tcBorders>
              <w:top w:val="single" w:color="auto" w:sz="6" w:space="0"/>
              <w:left w:val="single" w:color="auto" w:sz="6" w:space="0"/>
              <w:right w:val="single" w:color="auto" w:sz="6" w:space="0"/>
            </w:tcBorders>
            <w:noWrap w:val="0"/>
            <w:vAlign w:val="center"/>
          </w:tcPr>
          <w:p w14:paraId="66CB5FE5">
            <w:pPr>
              <w:autoSpaceDE w:val="0"/>
              <w:autoSpaceDN w:val="0"/>
              <w:spacing w:line="440" w:lineRule="exact"/>
              <w:jc w:val="center"/>
              <w:rPr>
                <w:rFonts w:ascii="仿宋" w:hAnsi="仿宋" w:eastAsia="仿宋"/>
                <w:sz w:val="24"/>
              </w:rPr>
            </w:pPr>
            <w:r>
              <w:rPr>
                <w:rFonts w:ascii="仿宋" w:hAnsi="仿宋" w:eastAsia="仿宋"/>
                <w:sz w:val="24"/>
              </w:rPr>
              <w:t>附件</w:t>
            </w:r>
          </w:p>
        </w:tc>
        <w:tc>
          <w:tcPr>
            <w:tcW w:w="2468" w:type="dxa"/>
            <w:tcBorders>
              <w:top w:val="single" w:color="auto" w:sz="6" w:space="0"/>
              <w:left w:val="single" w:color="auto" w:sz="6" w:space="0"/>
              <w:bottom w:val="single" w:color="auto" w:sz="6" w:space="0"/>
              <w:right w:val="single" w:color="auto" w:sz="6" w:space="0"/>
            </w:tcBorders>
            <w:noWrap w:val="0"/>
            <w:vAlign w:val="center"/>
          </w:tcPr>
          <w:p w14:paraId="76A0CBD5">
            <w:pPr>
              <w:autoSpaceDE w:val="0"/>
              <w:autoSpaceDN w:val="0"/>
              <w:spacing w:line="440" w:lineRule="exact"/>
              <w:rPr>
                <w:rFonts w:ascii="仿宋" w:hAnsi="仿宋" w:eastAsia="仿宋"/>
                <w:sz w:val="24"/>
              </w:rPr>
            </w:pPr>
            <w:r>
              <w:rPr>
                <w:rFonts w:hint="eastAsia" w:ascii="仿宋" w:hAnsi="仿宋" w:eastAsia="仿宋"/>
                <w:sz w:val="24"/>
              </w:rPr>
              <w:t>硬性抓钳</w:t>
            </w:r>
          </w:p>
        </w:tc>
        <w:tc>
          <w:tcPr>
            <w:tcW w:w="4278" w:type="dxa"/>
            <w:tcBorders>
              <w:top w:val="single" w:color="auto" w:sz="6" w:space="0"/>
              <w:left w:val="single" w:color="auto" w:sz="6" w:space="0"/>
              <w:bottom w:val="single" w:color="auto" w:sz="6" w:space="0"/>
              <w:right w:val="single" w:color="auto" w:sz="4" w:space="0"/>
            </w:tcBorders>
            <w:noWrap w:val="0"/>
            <w:vAlign w:val="center"/>
          </w:tcPr>
          <w:p w14:paraId="5256EC85">
            <w:pPr>
              <w:autoSpaceDE w:val="0"/>
              <w:autoSpaceDN w:val="0"/>
              <w:spacing w:line="440" w:lineRule="exact"/>
              <w:jc w:val="left"/>
              <w:rPr>
                <w:rFonts w:ascii="仿宋" w:hAnsi="仿宋" w:eastAsia="仿宋"/>
                <w:sz w:val="24"/>
              </w:rPr>
            </w:pPr>
            <w:r>
              <w:rPr>
                <w:rFonts w:hint="eastAsia" w:ascii="仿宋" w:hAnsi="仿宋" w:eastAsia="仿宋"/>
                <w:sz w:val="24"/>
              </w:rPr>
              <w:t>4Fr、工作长度约550mm</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44AEFBAC">
            <w:pPr>
              <w:autoSpaceDE w:val="0"/>
              <w:autoSpaceDN w:val="0"/>
              <w:spacing w:line="440" w:lineRule="exact"/>
              <w:jc w:val="center"/>
              <w:rPr>
                <w:rFonts w:ascii="仿宋" w:hAnsi="仿宋" w:eastAsia="仿宋"/>
                <w:sz w:val="24"/>
              </w:rPr>
            </w:pPr>
            <w:r>
              <w:rPr>
                <w:rFonts w:hint="eastAsia" w:ascii="仿宋" w:hAnsi="仿宋" w:eastAsia="仿宋"/>
                <w:sz w:val="24"/>
              </w:rPr>
              <w:t>1把</w:t>
            </w:r>
          </w:p>
        </w:tc>
      </w:tr>
      <w:tr w14:paraId="7AE14B83">
        <w:tblPrEx>
          <w:tblCellMar>
            <w:top w:w="0" w:type="dxa"/>
            <w:left w:w="108" w:type="dxa"/>
            <w:bottom w:w="0" w:type="dxa"/>
            <w:right w:w="108" w:type="dxa"/>
          </w:tblCellMar>
        </w:tblPrEx>
        <w:trPr>
          <w:trHeight w:val="314" w:hRule="atLeast"/>
          <w:jc w:val="center"/>
        </w:trPr>
        <w:tc>
          <w:tcPr>
            <w:tcW w:w="734" w:type="dxa"/>
            <w:vMerge w:val="continue"/>
            <w:tcBorders>
              <w:left w:val="single" w:color="auto" w:sz="6" w:space="0"/>
              <w:bottom w:val="single" w:color="auto" w:sz="6" w:space="0"/>
              <w:right w:val="single" w:color="auto" w:sz="6" w:space="0"/>
            </w:tcBorders>
            <w:noWrap w:val="0"/>
            <w:vAlign w:val="center"/>
          </w:tcPr>
          <w:p w14:paraId="43084E0C">
            <w:pPr>
              <w:autoSpaceDE w:val="0"/>
              <w:autoSpaceDN w:val="0"/>
              <w:spacing w:line="440" w:lineRule="exact"/>
              <w:jc w:val="center"/>
              <w:rPr>
                <w:rFonts w:ascii="仿宋" w:hAnsi="仿宋" w:eastAsia="仿宋"/>
                <w:sz w:val="24"/>
              </w:rPr>
            </w:pPr>
          </w:p>
        </w:tc>
        <w:tc>
          <w:tcPr>
            <w:tcW w:w="2468" w:type="dxa"/>
            <w:tcBorders>
              <w:top w:val="single" w:color="auto" w:sz="6" w:space="0"/>
              <w:left w:val="single" w:color="auto" w:sz="6" w:space="0"/>
              <w:bottom w:val="single" w:color="auto" w:sz="6" w:space="0"/>
              <w:right w:val="single" w:color="auto" w:sz="6" w:space="0"/>
            </w:tcBorders>
            <w:noWrap w:val="0"/>
            <w:vAlign w:val="center"/>
          </w:tcPr>
          <w:p w14:paraId="248976B1">
            <w:pPr>
              <w:autoSpaceDE w:val="0"/>
              <w:autoSpaceDN w:val="0"/>
              <w:spacing w:line="440" w:lineRule="exact"/>
              <w:rPr>
                <w:rFonts w:ascii="仿宋" w:hAnsi="仿宋" w:eastAsia="仿宋"/>
                <w:sz w:val="24"/>
              </w:rPr>
            </w:pPr>
            <w:r>
              <w:rPr>
                <w:rFonts w:hint="eastAsia" w:ascii="仿宋" w:hAnsi="仿宋" w:eastAsia="仿宋"/>
                <w:sz w:val="24"/>
              </w:rPr>
              <w:t>专用消毒盒</w:t>
            </w:r>
          </w:p>
        </w:tc>
        <w:tc>
          <w:tcPr>
            <w:tcW w:w="4278" w:type="dxa"/>
            <w:tcBorders>
              <w:top w:val="single" w:color="auto" w:sz="6" w:space="0"/>
              <w:left w:val="single" w:color="auto" w:sz="6" w:space="0"/>
              <w:bottom w:val="single" w:color="auto" w:sz="6" w:space="0"/>
              <w:right w:val="single" w:color="auto" w:sz="4" w:space="0"/>
            </w:tcBorders>
            <w:noWrap w:val="0"/>
            <w:vAlign w:val="center"/>
          </w:tcPr>
          <w:p w14:paraId="2B4BECD6">
            <w:pPr>
              <w:ind w:left="588" w:hanging="588" w:hangingChars="245"/>
              <w:jc w:val="left"/>
              <w:rPr>
                <w:rFonts w:ascii="仿宋" w:hAnsi="仿宋" w:eastAsia="仿宋"/>
                <w:b/>
                <w:bCs/>
                <w:sz w:val="24"/>
              </w:rPr>
            </w:pPr>
            <w:r>
              <w:rPr>
                <w:rFonts w:hint="eastAsia" w:ascii="仿宋" w:hAnsi="仿宋" w:eastAsia="仿宋"/>
                <w:sz w:val="24"/>
              </w:rPr>
              <w:t>大约700mm*100mm*100、带固定硅胶架、有盖带2个旋转锁扣</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56ABFC90">
            <w:pPr>
              <w:autoSpaceDE w:val="0"/>
              <w:autoSpaceDN w:val="0"/>
              <w:spacing w:line="440" w:lineRule="exact"/>
              <w:jc w:val="center"/>
              <w:rPr>
                <w:rFonts w:ascii="仿宋" w:hAnsi="仿宋" w:eastAsia="仿宋"/>
                <w:sz w:val="24"/>
              </w:rPr>
            </w:pPr>
            <w:r>
              <w:rPr>
                <w:rFonts w:hint="eastAsia" w:ascii="仿宋" w:hAnsi="仿宋" w:eastAsia="仿宋"/>
                <w:sz w:val="24"/>
              </w:rPr>
              <w:t>1个</w:t>
            </w:r>
          </w:p>
        </w:tc>
      </w:tr>
    </w:tbl>
    <w:p w14:paraId="5675BB02">
      <w:pPr>
        <w:snapToGrid w:val="0"/>
        <w:spacing w:before="120" w:line="240" w:lineRule="atLeast"/>
        <w:jc w:val="center"/>
        <w:rPr>
          <w:rFonts w:ascii="仿宋" w:hAnsi="仿宋" w:eastAsia="仿宋"/>
          <w:b/>
          <w:bCs/>
          <w:sz w:val="24"/>
        </w:rPr>
      </w:pPr>
      <w:r>
        <w:rPr>
          <w:rFonts w:hint="eastAsia" w:ascii="仿宋" w:hAnsi="仿宋" w:eastAsia="仿宋"/>
          <w:b/>
          <w:bCs/>
          <w:sz w:val="24"/>
        </w:rPr>
        <w:t>输尿管肾镜技术参数（6-7.5Fr）</w:t>
      </w:r>
    </w:p>
    <w:p w14:paraId="068678E6">
      <w:pPr>
        <w:snapToGrid w:val="0"/>
        <w:spacing w:line="0" w:lineRule="atLeast"/>
        <w:jc w:val="left"/>
        <w:rPr>
          <w:rFonts w:ascii="仿宋" w:hAnsi="仿宋" w:eastAsia="仿宋"/>
          <w:bCs/>
          <w:sz w:val="24"/>
        </w:rPr>
      </w:pPr>
      <w:r>
        <w:rPr>
          <w:rFonts w:hint="eastAsia" w:ascii="仿宋" w:hAnsi="仿宋" w:eastAsia="仿宋"/>
          <w:bCs/>
          <w:sz w:val="24"/>
        </w:rPr>
        <w:t>1、适用于泌尿外科输尿管检查及配合钬激光、气压弹道进行碎石手术。</w:t>
      </w:r>
    </w:p>
    <w:p w14:paraId="7915CFEF">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2、输尿管肾镜，直径：6Fr(前端)—7.5Fr（末端）。</w:t>
      </w:r>
    </w:p>
    <w:p w14:paraId="17DFFD14">
      <w:pPr>
        <w:snapToGrid w:val="0"/>
        <w:spacing w:line="0" w:lineRule="atLeast"/>
        <w:jc w:val="left"/>
        <w:rPr>
          <w:rFonts w:ascii="仿宋" w:hAnsi="仿宋" w:eastAsia="仿宋"/>
          <w:bCs/>
          <w:sz w:val="24"/>
        </w:rPr>
      </w:pPr>
      <w:r>
        <w:rPr>
          <w:rFonts w:hint="eastAsia" w:ascii="仿宋" w:hAnsi="仿宋" w:eastAsia="仿宋"/>
          <w:bCs/>
          <w:sz w:val="24"/>
        </w:rPr>
        <w:t>3、工作长度：约4</w:t>
      </w:r>
      <w:r>
        <w:rPr>
          <w:rFonts w:ascii="仿宋" w:hAnsi="仿宋" w:eastAsia="仿宋"/>
          <w:bCs/>
          <w:sz w:val="24"/>
        </w:rPr>
        <w:t>25</w:t>
      </w:r>
      <w:r>
        <w:rPr>
          <w:rFonts w:hint="eastAsia" w:ascii="仿宋" w:hAnsi="仿宋" w:eastAsia="仿宋"/>
          <w:bCs/>
          <w:sz w:val="24"/>
        </w:rPr>
        <w:t>mm。</w:t>
      </w:r>
    </w:p>
    <w:p w14:paraId="1E374E51">
      <w:pPr>
        <w:snapToGrid w:val="0"/>
        <w:spacing w:line="0" w:lineRule="atLeast"/>
        <w:jc w:val="left"/>
        <w:rPr>
          <w:rFonts w:ascii="仿宋" w:hAnsi="仿宋" w:eastAsia="仿宋"/>
          <w:bCs/>
          <w:sz w:val="24"/>
        </w:rPr>
      </w:pPr>
      <w:r>
        <w:rPr>
          <w:rFonts w:hint="eastAsia" w:ascii="仿宋" w:hAnsi="仿宋" w:eastAsia="仿宋"/>
          <w:bCs/>
          <w:sz w:val="24"/>
        </w:rPr>
        <w:t>4、工作通道：可下一个4Fr的器械或者两个2.4Fr的器械。</w:t>
      </w:r>
    </w:p>
    <w:p w14:paraId="30EFB008">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5、视向角：5°</w:t>
      </w:r>
    </w:p>
    <w:p w14:paraId="3505B3DD">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6、半软镜身：可向各个方向弯曲15°,且弯曲无图像损失、无需重新对焦。</w:t>
      </w:r>
    </w:p>
    <w:p w14:paraId="0BCC9BDF">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7、三级渐进式镜杆，前端防损伤设计可平滑进入输尿管，缓慢扩张。</w:t>
      </w:r>
    </w:p>
    <w:p w14:paraId="5D2A0D18">
      <w:pPr>
        <w:snapToGrid w:val="0"/>
        <w:spacing w:line="0" w:lineRule="atLeast"/>
        <w:jc w:val="left"/>
        <w:rPr>
          <w:rFonts w:ascii="仿宋" w:hAnsi="仿宋" w:eastAsia="仿宋"/>
          <w:bCs/>
          <w:sz w:val="24"/>
        </w:rPr>
      </w:pPr>
      <w:r>
        <w:rPr>
          <w:rFonts w:hint="eastAsia" w:ascii="仿宋" w:hAnsi="仿宋" w:eastAsia="仿宋"/>
          <w:bCs/>
          <w:sz w:val="24"/>
        </w:rPr>
        <w:t>8、镜桥一体式设计，含旋转式锁扣装置，及防水密封片，可以旋转开关紧锁。</w:t>
      </w:r>
    </w:p>
    <w:p w14:paraId="17CF1E11">
      <w:pPr>
        <w:snapToGrid w:val="0"/>
        <w:spacing w:line="0" w:lineRule="atLeast"/>
        <w:jc w:val="left"/>
        <w:rPr>
          <w:rFonts w:ascii="仿宋" w:hAnsi="仿宋" w:eastAsia="仿宋"/>
          <w:bCs/>
          <w:sz w:val="24"/>
        </w:rPr>
      </w:pPr>
      <w:r>
        <w:rPr>
          <w:rFonts w:hint="eastAsia" w:ascii="仿宋" w:hAnsi="仿宋" w:eastAsia="仿宋"/>
          <w:bCs/>
          <w:sz w:val="24"/>
        </w:rPr>
        <w:t>9、双冲洗通道，冲洗空间充分、流量大。</w:t>
      </w:r>
    </w:p>
    <w:p w14:paraId="1CAC4C54">
      <w:pPr>
        <w:snapToGrid w:val="0"/>
        <w:spacing w:line="0" w:lineRule="atLeast"/>
        <w:jc w:val="left"/>
        <w:rPr>
          <w:rFonts w:ascii="仿宋" w:hAnsi="仿宋" w:eastAsia="仿宋"/>
          <w:bCs/>
          <w:sz w:val="24"/>
        </w:rPr>
      </w:pPr>
      <w:r>
        <w:rPr>
          <w:rFonts w:hint="eastAsia" w:ascii="仿宋" w:hAnsi="仿宋" w:eastAsia="仿宋"/>
          <w:bCs/>
          <w:sz w:val="24"/>
        </w:rPr>
        <w:t>10、采用激光焊接技术，密封性强。</w:t>
      </w:r>
    </w:p>
    <w:p w14:paraId="2B24577F">
      <w:pPr>
        <w:snapToGrid w:val="0"/>
        <w:spacing w:line="0" w:lineRule="atLeast"/>
        <w:jc w:val="left"/>
        <w:rPr>
          <w:rFonts w:ascii="仿宋" w:hAnsi="仿宋" w:eastAsia="仿宋"/>
          <w:bCs/>
          <w:sz w:val="24"/>
        </w:rPr>
      </w:pPr>
      <w:r>
        <w:rPr>
          <w:rFonts w:hint="eastAsia" w:ascii="仿宋" w:hAnsi="仿宋" w:eastAsia="仿宋"/>
          <w:bCs/>
          <w:sz w:val="24"/>
        </w:rPr>
        <w:t>11、目镜与镜端采用高品质蓝宝石镜面，无腐蚀性。</w:t>
      </w:r>
    </w:p>
    <w:p w14:paraId="0056B506">
      <w:pPr>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12、多种导光束接头，适配：</w:t>
      </w:r>
      <w:r>
        <w:rPr>
          <w:rFonts w:hint="eastAsia" w:ascii="仿宋" w:hAnsi="仿宋" w:eastAsia="仿宋"/>
          <w:bCs/>
          <w:sz w:val="24"/>
          <w:lang w:eastAsia="zh-CN"/>
        </w:rPr>
        <w:t>各类品牌</w:t>
      </w:r>
      <w:r>
        <w:rPr>
          <w:rFonts w:hint="eastAsia" w:ascii="仿宋" w:hAnsi="仿宋" w:eastAsia="仿宋"/>
          <w:bCs/>
          <w:sz w:val="24"/>
        </w:rPr>
        <w:t>等规格主机、光源；配置异物钳各1把，消毒盒1个。</w:t>
      </w:r>
    </w:p>
    <w:p w14:paraId="743AC1BE">
      <w:pPr>
        <w:snapToGrid w:val="0"/>
        <w:spacing w:line="0" w:lineRule="atLeast"/>
        <w:jc w:val="left"/>
        <w:rPr>
          <w:rFonts w:ascii="仿宋" w:hAnsi="仿宋" w:eastAsia="仿宋"/>
          <w:b/>
          <w:bCs/>
          <w:sz w:val="24"/>
        </w:rPr>
      </w:pPr>
      <w:r>
        <w:rPr>
          <w:rFonts w:hint="eastAsia" w:ascii="仿宋" w:hAnsi="仿宋" w:eastAsia="仿宋"/>
          <w:bCs/>
          <w:sz w:val="24"/>
        </w:rPr>
        <w:t>13、可低温等离子、高温高压消毒</w:t>
      </w:r>
    </w:p>
    <w:p w14:paraId="5FC53716">
      <w:pPr>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项目其他要求：</w:t>
      </w:r>
    </w:p>
    <w:p w14:paraId="238FDD24">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1.本项目采购设备安装后即能够正常使用，附件配置齐全。设备生产日期与实际供货日期在6个月以内。</w:t>
      </w:r>
    </w:p>
    <w:p w14:paraId="184A31F1">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2.此项目总金额包含所有运费、装卸费、安装费、税费等。</w:t>
      </w:r>
    </w:p>
    <w:p w14:paraId="09AF88AE">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3.每套设备（含附件）提供3年免费保修。</w:t>
      </w:r>
    </w:p>
    <w:p w14:paraId="244F613A">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5F78D53F">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4F600E0B">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4EA6AE47">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125E10CF">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70DF0FF4">
      <w:pPr>
        <w:snapToGrid w:val="0"/>
        <w:spacing w:before="120" w:line="0" w:lineRule="atLeast"/>
        <w:jc w:val="center"/>
        <w:rPr>
          <w:rFonts w:ascii="宋体" w:hAnsi="宋体"/>
          <w:b/>
          <w:bCs/>
          <w:sz w:val="24"/>
        </w:rPr>
      </w:pPr>
      <w:r>
        <w:rPr>
          <w:rFonts w:hint="eastAsia" w:ascii="宋体" w:hAnsi="宋体"/>
          <w:b/>
          <w:bCs/>
          <w:sz w:val="24"/>
        </w:rPr>
        <w:t>超细小儿输尿管肾镜</w:t>
      </w:r>
    </w:p>
    <w:tbl>
      <w:tblPr>
        <w:tblStyle w:val="18"/>
        <w:tblW w:w="8330" w:type="dxa"/>
        <w:jc w:val="center"/>
        <w:tblLayout w:type="fixed"/>
        <w:tblCellMar>
          <w:top w:w="0" w:type="dxa"/>
          <w:left w:w="108" w:type="dxa"/>
          <w:bottom w:w="0" w:type="dxa"/>
          <w:right w:w="108" w:type="dxa"/>
        </w:tblCellMar>
      </w:tblPr>
      <w:tblGrid>
        <w:gridCol w:w="734"/>
        <w:gridCol w:w="2468"/>
        <w:gridCol w:w="4278"/>
        <w:gridCol w:w="850"/>
      </w:tblGrid>
      <w:tr w14:paraId="14FBEC26">
        <w:trPr>
          <w:trHeight w:val="503" w:hRule="atLeast"/>
          <w:jc w:val="center"/>
        </w:trPr>
        <w:tc>
          <w:tcPr>
            <w:tcW w:w="734" w:type="dxa"/>
            <w:tcBorders>
              <w:top w:val="single" w:color="auto" w:sz="6" w:space="0"/>
              <w:left w:val="single" w:color="auto" w:sz="6" w:space="0"/>
              <w:bottom w:val="single" w:color="auto" w:sz="6" w:space="0"/>
              <w:right w:val="single" w:color="auto" w:sz="6" w:space="0"/>
            </w:tcBorders>
            <w:noWrap w:val="0"/>
            <w:vAlign w:val="center"/>
          </w:tcPr>
          <w:p w14:paraId="572F99B0">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序号</w:t>
            </w:r>
          </w:p>
        </w:tc>
        <w:tc>
          <w:tcPr>
            <w:tcW w:w="2468" w:type="dxa"/>
            <w:tcBorders>
              <w:top w:val="single" w:color="auto" w:sz="6" w:space="0"/>
              <w:left w:val="single" w:color="auto" w:sz="6" w:space="0"/>
              <w:bottom w:val="single" w:color="auto" w:sz="6" w:space="0"/>
              <w:right w:val="single" w:color="auto" w:sz="6" w:space="0"/>
            </w:tcBorders>
            <w:noWrap w:val="0"/>
            <w:vAlign w:val="center"/>
          </w:tcPr>
          <w:p w14:paraId="55AD9BAF">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名称</w:t>
            </w:r>
          </w:p>
        </w:tc>
        <w:tc>
          <w:tcPr>
            <w:tcW w:w="4278" w:type="dxa"/>
            <w:tcBorders>
              <w:top w:val="single" w:color="auto" w:sz="6" w:space="0"/>
              <w:left w:val="single" w:color="auto" w:sz="6" w:space="0"/>
              <w:bottom w:val="single" w:color="auto" w:sz="6" w:space="0"/>
              <w:right w:val="single" w:color="auto" w:sz="4" w:space="0"/>
            </w:tcBorders>
            <w:noWrap w:val="0"/>
            <w:vAlign w:val="center"/>
          </w:tcPr>
          <w:p w14:paraId="08E1E529">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规格</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7154B3">
            <w:pPr>
              <w:autoSpaceDE w:val="0"/>
              <w:autoSpaceDN w:val="0"/>
              <w:spacing w:line="440" w:lineRule="exact"/>
              <w:jc w:val="center"/>
              <w:rPr>
                <w:rFonts w:ascii="仿宋" w:hAnsi="仿宋" w:eastAsia="仿宋"/>
                <w:color w:val="000000"/>
                <w:sz w:val="24"/>
                <w:lang w:val="zh-CN"/>
              </w:rPr>
            </w:pPr>
            <w:r>
              <w:rPr>
                <w:rFonts w:hint="eastAsia" w:ascii="仿宋" w:hAnsi="仿宋" w:eastAsia="仿宋"/>
                <w:color w:val="000000"/>
                <w:sz w:val="24"/>
                <w:lang w:val="zh-CN"/>
              </w:rPr>
              <w:t>数量</w:t>
            </w:r>
          </w:p>
        </w:tc>
      </w:tr>
      <w:tr w14:paraId="62AD8A36">
        <w:tblPrEx>
          <w:tblCellMar>
            <w:top w:w="0" w:type="dxa"/>
            <w:left w:w="108" w:type="dxa"/>
            <w:bottom w:w="0" w:type="dxa"/>
            <w:right w:w="108" w:type="dxa"/>
          </w:tblCellMar>
        </w:tblPrEx>
        <w:trPr>
          <w:trHeight w:val="769" w:hRule="atLeast"/>
          <w:jc w:val="center"/>
        </w:trPr>
        <w:tc>
          <w:tcPr>
            <w:tcW w:w="734" w:type="dxa"/>
            <w:tcBorders>
              <w:top w:val="single" w:color="auto" w:sz="6" w:space="0"/>
              <w:left w:val="single" w:color="auto" w:sz="6" w:space="0"/>
              <w:bottom w:val="single" w:color="auto" w:sz="6" w:space="0"/>
              <w:right w:val="single" w:color="auto" w:sz="6" w:space="0"/>
            </w:tcBorders>
            <w:noWrap w:val="0"/>
            <w:vAlign w:val="center"/>
          </w:tcPr>
          <w:p w14:paraId="7D18CB2F">
            <w:pPr>
              <w:autoSpaceDE w:val="0"/>
              <w:autoSpaceDN w:val="0"/>
              <w:spacing w:line="440" w:lineRule="exact"/>
              <w:jc w:val="center"/>
              <w:rPr>
                <w:rFonts w:ascii="仿宋" w:hAnsi="仿宋" w:eastAsia="仿宋"/>
                <w:sz w:val="24"/>
              </w:rPr>
            </w:pPr>
            <w:r>
              <w:rPr>
                <w:rFonts w:hint="eastAsia" w:ascii="仿宋" w:hAnsi="仿宋" w:eastAsia="仿宋"/>
                <w:sz w:val="24"/>
              </w:rPr>
              <w:t>1</w:t>
            </w:r>
          </w:p>
        </w:tc>
        <w:tc>
          <w:tcPr>
            <w:tcW w:w="2468" w:type="dxa"/>
            <w:tcBorders>
              <w:top w:val="single" w:color="auto" w:sz="6" w:space="0"/>
              <w:left w:val="single" w:color="auto" w:sz="6" w:space="0"/>
              <w:bottom w:val="single" w:color="auto" w:sz="6" w:space="0"/>
              <w:right w:val="single" w:color="auto" w:sz="6" w:space="0"/>
            </w:tcBorders>
            <w:noWrap w:val="0"/>
            <w:vAlign w:val="center"/>
          </w:tcPr>
          <w:p w14:paraId="3FE883AE">
            <w:pPr>
              <w:autoSpaceDE w:val="0"/>
              <w:autoSpaceDN w:val="0"/>
              <w:spacing w:line="440" w:lineRule="exact"/>
              <w:rPr>
                <w:rFonts w:ascii="仿宋" w:hAnsi="仿宋" w:eastAsia="仿宋" w:cs="黑体"/>
                <w:sz w:val="24"/>
              </w:rPr>
            </w:pPr>
            <w:r>
              <w:rPr>
                <w:rFonts w:hint="eastAsia" w:ascii="仿宋" w:hAnsi="仿宋" w:eastAsia="仿宋"/>
                <w:sz w:val="24"/>
              </w:rPr>
              <w:t>输尿管肾镜（小儿超细型）</w:t>
            </w:r>
          </w:p>
        </w:tc>
        <w:tc>
          <w:tcPr>
            <w:tcW w:w="4278" w:type="dxa"/>
            <w:tcBorders>
              <w:top w:val="single" w:color="auto" w:sz="6" w:space="0"/>
              <w:left w:val="single" w:color="auto" w:sz="6" w:space="0"/>
              <w:bottom w:val="single" w:color="auto" w:sz="6" w:space="0"/>
              <w:right w:val="single" w:color="auto" w:sz="4" w:space="0"/>
            </w:tcBorders>
            <w:noWrap w:val="0"/>
            <w:vAlign w:val="center"/>
          </w:tcPr>
          <w:p w14:paraId="4C94965D">
            <w:pPr>
              <w:autoSpaceDE w:val="0"/>
              <w:autoSpaceDN w:val="0"/>
              <w:spacing w:line="440" w:lineRule="exact"/>
              <w:jc w:val="left"/>
              <w:rPr>
                <w:rFonts w:ascii="仿宋" w:hAnsi="仿宋" w:eastAsia="仿宋"/>
                <w:sz w:val="24"/>
              </w:rPr>
            </w:pPr>
            <w:r>
              <w:rPr>
                <w:rFonts w:ascii="仿宋" w:hAnsi="仿宋" w:eastAsia="仿宋"/>
                <w:sz w:val="24"/>
              </w:rPr>
              <w:t>4.8</w:t>
            </w:r>
            <w:r>
              <w:rPr>
                <w:rFonts w:hint="eastAsia" w:ascii="仿宋" w:hAnsi="仿宋" w:eastAsia="仿宋"/>
                <w:sz w:val="24"/>
              </w:rPr>
              <w:t>-</w:t>
            </w:r>
            <w:r>
              <w:rPr>
                <w:rFonts w:ascii="仿宋" w:hAnsi="仿宋" w:eastAsia="仿宋"/>
                <w:sz w:val="24"/>
              </w:rPr>
              <w:t>6</w:t>
            </w:r>
            <w:r>
              <w:rPr>
                <w:rFonts w:hint="eastAsia" w:ascii="仿宋" w:hAnsi="仿宋" w:eastAsia="仿宋"/>
                <w:sz w:val="24"/>
              </w:rPr>
              <w:t>.5Fr超广角、工作长度约425mm、</w:t>
            </w:r>
            <w:r>
              <w:rPr>
                <w:rFonts w:hint="eastAsia" w:ascii="仿宋" w:hAnsi="仿宋" w:eastAsia="仿宋" w:cs="宋体"/>
                <w:bCs/>
                <w:color w:val="000000"/>
                <w:sz w:val="24"/>
              </w:rPr>
              <w:t>可容纳一个</w:t>
            </w:r>
            <w:r>
              <w:rPr>
                <w:rFonts w:ascii="仿宋" w:hAnsi="仿宋" w:eastAsia="仿宋"/>
                <w:bCs/>
                <w:color w:val="000000"/>
                <w:sz w:val="24"/>
              </w:rPr>
              <w:t>3Fr器械通道</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4BFABBC">
            <w:pPr>
              <w:autoSpaceDE w:val="0"/>
              <w:autoSpaceDN w:val="0"/>
              <w:spacing w:line="440" w:lineRule="exact"/>
              <w:jc w:val="center"/>
              <w:rPr>
                <w:rFonts w:ascii="仿宋" w:hAnsi="仿宋" w:eastAsia="仿宋"/>
                <w:sz w:val="24"/>
              </w:rPr>
            </w:pPr>
            <w:r>
              <w:rPr>
                <w:rFonts w:hint="eastAsia" w:ascii="仿宋" w:hAnsi="仿宋" w:eastAsia="仿宋"/>
                <w:sz w:val="24"/>
              </w:rPr>
              <w:t>1条</w:t>
            </w:r>
          </w:p>
        </w:tc>
      </w:tr>
      <w:tr w14:paraId="52FD14EA">
        <w:tblPrEx>
          <w:tblCellMar>
            <w:top w:w="0" w:type="dxa"/>
            <w:left w:w="108" w:type="dxa"/>
            <w:bottom w:w="0" w:type="dxa"/>
            <w:right w:w="108" w:type="dxa"/>
          </w:tblCellMar>
        </w:tblPrEx>
        <w:trPr>
          <w:trHeight w:val="314" w:hRule="atLeast"/>
          <w:jc w:val="center"/>
        </w:trPr>
        <w:tc>
          <w:tcPr>
            <w:tcW w:w="734" w:type="dxa"/>
            <w:tcBorders>
              <w:left w:val="single" w:color="auto" w:sz="6" w:space="0"/>
              <w:bottom w:val="single" w:color="auto" w:sz="6" w:space="0"/>
              <w:right w:val="single" w:color="auto" w:sz="6" w:space="0"/>
            </w:tcBorders>
            <w:noWrap w:val="0"/>
            <w:vAlign w:val="center"/>
          </w:tcPr>
          <w:p w14:paraId="6248FE12">
            <w:pPr>
              <w:autoSpaceDE w:val="0"/>
              <w:autoSpaceDN w:val="0"/>
              <w:spacing w:line="440" w:lineRule="exact"/>
              <w:jc w:val="center"/>
              <w:rPr>
                <w:rFonts w:ascii="仿宋" w:hAnsi="仿宋" w:eastAsia="仿宋"/>
                <w:sz w:val="24"/>
              </w:rPr>
            </w:pPr>
            <w:r>
              <w:rPr>
                <w:rFonts w:ascii="仿宋" w:hAnsi="仿宋" w:eastAsia="仿宋"/>
                <w:sz w:val="24"/>
              </w:rPr>
              <w:t>附件</w:t>
            </w:r>
          </w:p>
        </w:tc>
        <w:tc>
          <w:tcPr>
            <w:tcW w:w="2468" w:type="dxa"/>
            <w:tcBorders>
              <w:top w:val="single" w:color="auto" w:sz="6" w:space="0"/>
              <w:left w:val="single" w:color="auto" w:sz="6" w:space="0"/>
              <w:bottom w:val="single" w:color="auto" w:sz="6" w:space="0"/>
              <w:right w:val="single" w:color="auto" w:sz="6" w:space="0"/>
            </w:tcBorders>
            <w:noWrap w:val="0"/>
            <w:vAlign w:val="center"/>
          </w:tcPr>
          <w:p w14:paraId="318F3E24">
            <w:pPr>
              <w:autoSpaceDE w:val="0"/>
              <w:autoSpaceDN w:val="0"/>
              <w:spacing w:line="440" w:lineRule="exact"/>
              <w:rPr>
                <w:rFonts w:ascii="仿宋" w:hAnsi="仿宋" w:eastAsia="仿宋"/>
                <w:sz w:val="24"/>
              </w:rPr>
            </w:pPr>
            <w:r>
              <w:rPr>
                <w:rFonts w:hint="eastAsia" w:ascii="仿宋" w:hAnsi="仿宋" w:eastAsia="仿宋"/>
                <w:sz w:val="24"/>
              </w:rPr>
              <w:t>专用消毒盒</w:t>
            </w:r>
          </w:p>
        </w:tc>
        <w:tc>
          <w:tcPr>
            <w:tcW w:w="4278" w:type="dxa"/>
            <w:tcBorders>
              <w:top w:val="single" w:color="auto" w:sz="6" w:space="0"/>
              <w:left w:val="single" w:color="auto" w:sz="6" w:space="0"/>
              <w:bottom w:val="single" w:color="auto" w:sz="6" w:space="0"/>
              <w:right w:val="single" w:color="auto" w:sz="4" w:space="0"/>
            </w:tcBorders>
            <w:noWrap w:val="0"/>
            <w:vAlign w:val="center"/>
          </w:tcPr>
          <w:p w14:paraId="4CCC8356">
            <w:pPr>
              <w:ind w:left="588" w:hanging="588" w:hangingChars="245"/>
              <w:jc w:val="left"/>
              <w:rPr>
                <w:rFonts w:ascii="仿宋" w:hAnsi="仿宋" w:eastAsia="仿宋"/>
                <w:b/>
                <w:bCs/>
                <w:sz w:val="24"/>
              </w:rPr>
            </w:pPr>
            <w:r>
              <w:rPr>
                <w:rFonts w:hint="eastAsia" w:ascii="仿宋" w:hAnsi="仿宋" w:eastAsia="仿宋"/>
                <w:sz w:val="24"/>
              </w:rPr>
              <w:t>大约700mm*100mm*100、带固定硅胶架、有盖带2个旋转锁扣</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2BA179FF">
            <w:pPr>
              <w:autoSpaceDE w:val="0"/>
              <w:autoSpaceDN w:val="0"/>
              <w:spacing w:line="440" w:lineRule="exact"/>
              <w:jc w:val="center"/>
              <w:rPr>
                <w:rFonts w:ascii="仿宋" w:hAnsi="仿宋" w:eastAsia="仿宋"/>
                <w:sz w:val="24"/>
              </w:rPr>
            </w:pPr>
            <w:r>
              <w:rPr>
                <w:rFonts w:hint="eastAsia" w:ascii="仿宋" w:hAnsi="仿宋" w:eastAsia="仿宋"/>
                <w:sz w:val="24"/>
              </w:rPr>
              <w:t>1个</w:t>
            </w:r>
          </w:p>
        </w:tc>
      </w:tr>
    </w:tbl>
    <w:p w14:paraId="50750061">
      <w:pPr>
        <w:snapToGrid w:val="0"/>
        <w:spacing w:before="120" w:line="240" w:lineRule="atLeast"/>
        <w:jc w:val="left"/>
        <w:rPr>
          <w:rFonts w:ascii="仿宋" w:hAnsi="仿宋" w:eastAsia="仿宋"/>
          <w:b/>
          <w:bCs/>
          <w:sz w:val="24"/>
        </w:rPr>
      </w:pPr>
      <w:r>
        <w:rPr>
          <w:rFonts w:hint="eastAsia" w:ascii="仿宋" w:hAnsi="仿宋" w:eastAsia="仿宋"/>
          <w:b/>
          <w:bCs/>
          <w:sz w:val="24"/>
        </w:rPr>
        <w:t>输尿管肾镜技术参数（6-7.5Fr）</w:t>
      </w:r>
    </w:p>
    <w:p w14:paraId="3CE5E111">
      <w:pPr>
        <w:snapToGrid w:val="0"/>
        <w:spacing w:line="0" w:lineRule="atLeast"/>
        <w:jc w:val="left"/>
        <w:rPr>
          <w:rFonts w:ascii="仿宋" w:hAnsi="仿宋" w:eastAsia="仿宋"/>
          <w:bCs/>
          <w:sz w:val="24"/>
        </w:rPr>
      </w:pPr>
      <w:r>
        <w:rPr>
          <w:rFonts w:hint="eastAsia" w:ascii="仿宋" w:hAnsi="仿宋" w:eastAsia="仿宋"/>
          <w:bCs/>
          <w:sz w:val="24"/>
        </w:rPr>
        <w:t>1、适用于泌尿外科输尿管检查及配合钬激光、气压弹道进行碎石手术。</w:t>
      </w:r>
    </w:p>
    <w:p w14:paraId="66F5AF38">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2、输尿管肾镜，直径：</w:t>
      </w:r>
      <w:r>
        <w:rPr>
          <w:rFonts w:ascii="仿宋" w:hAnsi="仿宋" w:eastAsia="仿宋"/>
          <w:bCs/>
          <w:sz w:val="24"/>
        </w:rPr>
        <w:t>4.8</w:t>
      </w:r>
      <w:r>
        <w:rPr>
          <w:rFonts w:hint="eastAsia" w:ascii="仿宋" w:hAnsi="仿宋" w:eastAsia="仿宋"/>
          <w:bCs/>
          <w:sz w:val="24"/>
        </w:rPr>
        <w:t>Fr(前端)—</w:t>
      </w:r>
      <w:r>
        <w:rPr>
          <w:rFonts w:ascii="仿宋" w:hAnsi="仿宋" w:eastAsia="仿宋"/>
          <w:bCs/>
          <w:sz w:val="24"/>
        </w:rPr>
        <w:t>6</w:t>
      </w:r>
      <w:r>
        <w:rPr>
          <w:rFonts w:hint="eastAsia" w:ascii="仿宋" w:hAnsi="仿宋" w:eastAsia="仿宋"/>
          <w:bCs/>
          <w:sz w:val="24"/>
        </w:rPr>
        <w:t>.5Fr（末端）。</w:t>
      </w:r>
    </w:p>
    <w:p w14:paraId="347D5C4D">
      <w:pPr>
        <w:snapToGrid w:val="0"/>
        <w:spacing w:line="0" w:lineRule="atLeast"/>
        <w:jc w:val="left"/>
        <w:rPr>
          <w:rFonts w:ascii="仿宋" w:hAnsi="仿宋" w:eastAsia="仿宋"/>
          <w:bCs/>
          <w:sz w:val="24"/>
        </w:rPr>
      </w:pPr>
      <w:r>
        <w:rPr>
          <w:rFonts w:hint="eastAsia" w:ascii="仿宋" w:hAnsi="仿宋" w:eastAsia="仿宋"/>
          <w:bCs/>
          <w:sz w:val="24"/>
        </w:rPr>
        <w:t>3、工作长度：约4</w:t>
      </w:r>
      <w:r>
        <w:rPr>
          <w:rFonts w:ascii="仿宋" w:hAnsi="仿宋" w:eastAsia="仿宋"/>
          <w:bCs/>
          <w:sz w:val="24"/>
        </w:rPr>
        <w:t>25</w:t>
      </w:r>
      <w:r>
        <w:rPr>
          <w:rFonts w:hint="eastAsia" w:ascii="仿宋" w:hAnsi="仿宋" w:eastAsia="仿宋"/>
          <w:bCs/>
          <w:sz w:val="24"/>
        </w:rPr>
        <w:t>mm。</w:t>
      </w:r>
    </w:p>
    <w:p w14:paraId="243A4820">
      <w:pPr>
        <w:snapToGrid w:val="0"/>
        <w:spacing w:line="0" w:lineRule="atLeast"/>
        <w:jc w:val="left"/>
        <w:rPr>
          <w:rFonts w:ascii="仿宋" w:hAnsi="仿宋" w:eastAsia="仿宋"/>
          <w:bCs/>
          <w:sz w:val="24"/>
        </w:rPr>
      </w:pPr>
      <w:r>
        <w:rPr>
          <w:rFonts w:hint="eastAsia" w:ascii="仿宋" w:hAnsi="仿宋" w:eastAsia="仿宋"/>
          <w:bCs/>
          <w:sz w:val="24"/>
        </w:rPr>
        <w:t>4、工作通道：可下一个</w:t>
      </w:r>
      <w:r>
        <w:rPr>
          <w:rFonts w:ascii="仿宋" w:hAnsi="仿宋" w:eastAsia="仿宋"/>
          <w:bCs/>
          <w:sz w:val="24"/>
        </w:rPr>
        <w:t>3</w:t>
      </w:r>
      <w:r>
        <w:rPr>
          <w:rFonts w:hint="eastAsia" w:ascii="仿宋" w:hAnsi="仿宋" w:eastAsia="仿宋"/>
          <w:bCs/>
          <w:sz w:val="24"/>
        </w:rPr>
        <w:t>Fr的器械</w:t>
      </w:r>
    </w:p>
    <w:p w14:paraId="0594657F">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5、视向角：5°</w:t>
      </w:r>
    </w:p>
    <w:p w14:paraId="63DAFC40">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6、半软镜身：可向各个方向弯曲15°,且弯曲无图像损失、无需重新对焦。</w:t>
      </w:r>
    </w:p>
    <w:p w14:paraId="62BB8259">
      <w:pPr>
        <w:snapToGrid w:val="0"/>
        <w:spacing w:line="0" w:lineRule="atLeast"/>
        <w:jc w:val="left"/>
        <w:rPr>
          <w:rFonts w:ascii="仿宋" w:hAnsi="仿宋" w:eastAsia="仿宋"/>
          <w:bCs/>
          <w:sz w:val="24"/>
        </w:rPr>
      </w:pPr>
      <w:r>
        <w:rPr>
          <w:rFonts w:hint="eastAsia" w:ascii="仿宋" w:hAnsi="仿宋" w:eastAsia="仿宋"/>
          <w:sz w:val="24"/>
        </w:rPr>
        <w:t>★</w:t>
      </w:r>
      <w:r>
        <w:rPr>
          <w:rFonts w:hint="eastAsia" w:ascii="仿宋" w:hAnsi="仿宋" w:eastAsia="仿宋"/>
          <w:bCs/>
          <w:sz w:val="24"/>
        </w:rPr>
        <w:t>7、三级渐进式镜杆，前端防损伤设计可平滑进入输尿管，缓慢扩张。</w:t>
      </w:r>
    </w:p>
    <w:p w14:paraId="05990C4A">
      <w:pPr>
        <w:snapToGrid w:val="0"/>
        <w:spacing w:line="0" w:lineRule="atLeast"/>
        <w:jc w:val="left"/>
        <w:rPr>
          <w:rFonts w:ascii="仿宋" w:hAnsi="仿宋" w:eastAsia="仿宋"/>
          <w:bCs/>
          <w:sz w:val="24"/>
        </w:rPr>
      </w:pPr>
      <w:r>
        <w:rPr>
          <w:rFonts w:hint="eastAsia" w:ascii="仿宋" w:hAnsi="仿宋" w:eastAsia="仿宋"/>
          <w:bCs/>
          <w:sz w:val="24"/>
        </w:rPr>
        <w:t>8、镜桥一体式设计，含旋转式锁扣装置，及防水密封片，可以旋转开关紧锁。</w:t>
      </w:r>
    </w:p>
    <w:p w14:paraId="38BBD169">
      <w:pPr>
        <w:snapToGrid w:val="0"/>
        <w:spacing w:line="0" w:lineRule="atLeast"/>
        <w:jc w:val="left"/>
        <w:rPr>
          <w:rFonts w:ascii="仿宋" w:hAnsi="仿宋" w:eastAsia="仿宋"/>
          <w:bCs/>
          <w:sz w:val="24"/>
        </w:rPr>
      </w:pPr>
      <w:r>
        <w:rPr>
          <w:rFonts w:hint="eastAsia" w:ascii="仿宋" w:hAnsi="仿宋" w:eastAsia="仿宋"/>
          <w:bCs/>
          <w:sz w:val="24"/>
        </w:rPr>
        <w:t>9、双冲洗通道，冲洗空间充分、流量大。</w:t>
      </w:r>
    </w:p>
    <w:p w14:paraId="4A0BD777">
      <w:pPr>
        <w:snapToGrid w:val="0"/>
        <w:spacing w:line="0" w:lineRule="atLeast"/>
        <w:jc w:val="left"/>
        <w:rPr>
          <w:rFonts w:ascii="仿宋" w:hAnsi="仿宋" w:eastAsia="仿宋"/>
          <w:bCs/>
          <w:sz w:val="24"/>
        </w:rPr>
      </w:pPr>
      <w:r>
        <w:rPr>
          <w:rFonts w:hint="eastAsia" w:ascii="仿宋" w:hAnsi="仿宋" w:eastAsia="仿宋"/>
          <w:bCs/>
          <w:sz w:val="24"/>
        </w:rPr>
        <w:t>10、采用激光焊接技术，密封性强。</w:t>
      </w:r>
    </w:p>
    <w:p w14:paraId="75535805">
      <w:pPr>
        <w:snapToGrid w:val="0"/>
        <w:spacing w:line="0" w:lineRule="atLeast"/>
        <w:jc w:val="left"/>
        <w:rPr>
          <w:rFonts w:ascii="仿宋" w:hAnsi="仿宋" w:eastAsia="仿宋"/>
          <w:bCs/>
          <w:sz w:val="24"/>
        </w:rPr>
      </w:pPr>
      <w:r>
        <w:rPr>
          <w:rFonts w:hint="eastAsia" w:ascii="仿宋" w:hAnsi="仿宋" w:eastAsia="仿宋"/>
          <w:bCs/>
          <w:sz w:val="24"/>
        </w:rPr>
        <w:t>11、目镜与镜端采用高品质蓝宝石镜面，无腐蚀性。</w:t>
      </w:r>
    </w:p>
    <w:p w14:paraId="23B48ABA">
      <w:pPr>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12、多种导光束接头，适配：</w:t>
      </w:r>
      <w:r>
        <w:rPr>
          <w:rFonts w:hint="eastAsia" w:ascii="仿宋" w:hAnsi="仿宋" w:eastAsia="仿宋"/>
          <w:bCs/>
          <w:sz w:val="24"/>
          <w:lang w:eastAsia="zh-CN"/>
        </w:rPr>
        <w:t>各类品牌</w:t>
      </w:r>
      <w:r>
        <w:rPr>
          <w:rFonts w:hint="eastAsia" w:ascii="仿宋" w:hAnsi="仿宋" w:eastAsia="仿宋"/>
          <w:bCs/>
          <w:sz w:val="24"/>
        </w:rPr>
        <w:t>等规格主机、光源；配置消毒盒1个。</w:t>
      </w:r>
    </w:p>
    <w:p w14:paraId="206673E9">
      <w:pPr>
        <w:snapToGrid w:val="0"/>
        <w:spacing w:line="0" w:lineRule="atLeast"/>
        <w:jc w:val="left"/>
        <w:rPr>
          <w:rFonts w:ascii="仿宋" w:hAnsi="仿宋" w:eastAsia="仿宋"/>
          <w:b/>
          <w:bCs/>
          <w:sz w:val="24"/>
        </w:rPr>
      </w:pPr>
      <w:r>
        <w:rPr>
          <w:rFonts w:hint="eastAsia" w:ascii="仿宋" w:hAnsi="仿宋" w:eastAsia="仿宋"/>
          <w:bCs/>
          <w:sz w:val="24"/>
        </w:rPr>
        <w:t>13、可低温等离子、高温高压消毒</w:t>
      </w:r>
    </w:p>
    <w:p w14:paraId="1B60ADBA">
      <w:pPr>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项目其他要求：</w:t>
      </w:r>
    </w:p>
    <w:p w14:paraId="2CB0B2CE">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1.本项目采购设备安装后即能够正常使用，附件配置齐全。设备生产日期与实际供货日期在6个月以内。</w:t>
      </w:r>
    </w:p>
    <w:p w14:paraId="193733BE">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2.此项目总金额包含所有运费、装卸费、安装费、税费等。</w:t>
      </w:r>
    </w:p>
    <w:p w14:paraId="66C10C35">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3.每套设备（含附件）提供3年免费保修。</w:t>
      </w:r>
    </w:p>
    <w:p w14:paraId="2334B4A3">
      <w:pPr>
        <w:pStyle w:val="14"/>
        <w:jc w:val="center"/>
        <w:rPr>
          <w:rFonts w:ascii="宋体" w:hAnsi="宋体"/>
          <w:b/>
          <w:bCs/>
          <w:sz w:val="24"/>
        </w:rPr>
      </w:pPr>
      <w:r>
        <w:rPr>
          <w:rFonts w:hint="eastAsia" w:ascii="宋体" w:hAnsi="宋体"/>
          <w:b/>
          <w:bCs/>
          <w:sz w:val="24"/>
        </w:rPr>
        <w:t>经皮肾镜（李逊镜）</w:t>
      </w:r>
    </w:p>
    <w:tbl>
      <w:tblPr>
        <w:tblStyle w:val="18"/>
        <w:tblW w:w="8330" w:type="dxa"/>
        <w:jc w:val="center"/>
        <w:tblLayout w:type="fixed"/>
        <w:tblCellMar>
          <w:top w:w="0" w:type="dxa"/>
          <w:left w:w="108" w:type="dxa"/>
          <w:bottom w:w="0" w:type="dxa"/>
          <w:right w:w="108" w:type="dxa"/>
        </w:tblCellMar>
      </w:tblPr>
      <w:tblGrid>
        <w:gridCol w:w="734"/>
        <w:gridCol w:w="2468"/>
        <w:gridCol w:w="4278"/>
        <w:gridCol w:w="850"/>
      </w:tblGrid>
      <w:tr w14:paraId="14CC1783">
        <w:tblPrEx>
          <w:tblCellMar>
            <w:top w:w="0" w:type="dxa"/>
            <w:left w:w="108" w:type="dxa"/>
            <w:bottom w:w="0" w:type="dxa"/>
            <w:right w:w="108" w:type="dxa"/>
          </w:tblCellMar>
        </w:tblPrEx>
        <w:trPr>
          <w:trHeight w:val="503" w:hRule="atLeast"/>
          <w:jc w:val="center"/>
        </w:trPr>
        <w:tc>
          <w:tcPr>
            <w:tcW w:w="734" w:type="dxa"/>
            <w:tcBorders>
              <w:top w:val="single" w:color="auto" w:sz="6" w:space="0"/>
              <w:left w:val="single" w:color="auto" w:sz="6" w:space="0"/>
              <w:bottom w:val="single" w:color="auto" w:sz="6" w:space="0"/>
              <w:right w:val="single" w:color="auto" w:sz="6" w:space="0"/>
            </w:tcBorders>
            <w:noWrap w:val="0"/>
            <w:vAlign w:val="center"/>
          </w:tcPr>
          <w:p w14:paraId="010AE8E8">
            <w:pPr>
              <w:autoSpaceDE w:val="0"/>
              <w:autoSpaceDN w:val="0"/>
              <w:spacing w:line="0" w:lineRule="atLeast"/>
              <w:jc w:val="center"/>
              <w:rPr>
                <w:rFonts w:ascii="仿宋" w:hAnsi="仿宋" w:eastAsia="仿宋"/>
                <w:color w:val="000000"/>
                <w:sz w:val="24"/>
                <w:lang w:val="zh-CN"/>
              </w:rPr>
            </w:pPr>
            <w:r>
              <w:rPr>
                <w:rFonts w:hint="eastAsia" w:ascii="仿宋" w:hAnsi="仿宋" w:eastAsia="仿宋"/>
                <w:color w:val="000000"/>
                <w:sz w:val="24"/>
                <w:lang w:val="zh-CN"/>
              </w:rPr>
              <w:t>序号</w:t>
            </w:r>
          </w:p>
        </w:tc>
        <w:tc>
          <w:tcPr>
            <w:tcW w:w="2468" w:type="dxa"/>
            <w:tcBorders>
              <w:top w:val="single" w:color="auto" w:sz="6" w:space="0"/>
              <w:left w:val="single" w:color="auto" w:sz="6" w:space="0"/>
              <w:bottom w:val="single" w:color="auto" w:sz="6" w:space="0"/>
              <w:right w:val="single" w:color="auto" w:sz="6" w:space="0"/>
            </w:tcBorders>
            <w:noWrap w:val="0"/>
            <w:vAlign w:val="center"/>
          </w:tcPr>
          <w:p w14:paraId="741D3949">
            <w:pPr>
              <w:autoSpaceDE w:val="0"/>
              <w:autoSpaceDN w:val="0"/>
              <w:spacing w:line="0" w:lineRule="atLeast"/>
              <w:jc w:val="center"/>
              <w:rPr>
                <w:rFonts w:ascii="仿宋" w:hAnsi="仿宋" w:eastAsia="仿宋"/>
                <w:color w:val="000000"/>
                <w:sz w:val="24"/>
                <w:lang w:val="zh-CN"/>
              </w:rPr>
            </w:pPr>
            <w:r>
              <w:rPr>
                <w:rFonts w:hint="eastAsia" w:ascii="仿宋" w:hAnsi="仿宋" w:eastAsia="仿宋"/>
                <w:color w:val="000000"/>
                <w:sz w:val="24"/>
                <w:lang w:val="zh-CN"/>
              </w:rPr>
              <w:t>名称</w:t>
            </w:r>
          </w:p>
        </w:tc>
        <w:tc>
          <w:tcPr>
            <w:tcW w:w="4278" w:type="dxa"/>
            <w:tcBorders>
              <w:top w:val="single" w:color="auto" w:sz="6" w:space="0"/>
              <w:left w:val="single" w:color="auto" w:sz="6" w:space="0"/>
              <w:bottom w:val="single" w:color="auto" w:sz="6" w:space="0"/>
              <w:right w:val="single" w:color="auto" w:sz="4" w:space="0"/>
            </w:tcBorders>
            <w:noWrap w:val="0"/>
            <w:vAlign w:val="center"/>
          </w:tcPr>
          <w:p w14:paraId="5562554A">
            <w:pPr>
              <w:autoSpaceDE w:val="0"/>
              <w:autoSpaceDN w:val="0"/>
              <w:spacing w:line="0" w:lineRule="atLeast"/>
              <w:jc w:val="center"/>
              <w:rPr>
                <w:rFonts w:ascii="仿宋" w:hAnsi="仿宋" w:eastAsia="仿宋"/>
                <w:color w:val="000000"/>
                <w:sz w:val="24"/>
                <w:lang w:val="zh-CN"/>
              </w:rPr>
            </w:pPr>
            <w:r>
              <w:rPr>
                <w:rFonts w:hint="eastAsia" w:ascii="仿宋" w:hAnsi="仿宋" w:eastAsia="仿宋"/>
                <w:color w:val="000000"/>
                <w:sz w:val="24"/>
                <w:lang w:val="zh-CN"/>
              </w:rPr>
              <w:t>规格</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735FEAFE">
            <w:pPr>
              <w:autoSpaceDE w:val="0"/>
              <w:autoSpaceDN w:val="0"/>
              <w:spacing w:line="0" w:lineRule="atLeast"/>
              <w:jc w:val="center"/>
              <w:rPr>
                <w:rFonts w:ascii="仿宋" w:hAnsi="仿宋" w:eastAsia="仿宋"/>
                <w:color w:val="000000"/>
                <w:sz w:val="24"/>
                <w:lang w:val="zh-CN"/>
              </w:rPr>
            </w:pPr>
            <w:r>
              <w:rPr>
                <w:rFonts w:hint="eastAsia" w:ascii="仿宋" w:hAnsi="仿宋" w:eastAsia="仿宋"/>
                <w:color w:val="000000"/>
                <w:sz w:val="24"/>
                <w:lang w:val="zh-CN"/>
              </w:rPr>
              <w:t>数量</w:t>
            </w:r>
          </w:p>
        </w:tc>
      </w:tr>
      <w:tr w14:paraId="02DE02D3">
        <w:tblPrEx>
          <w:tblCellMar>
            <w:top w:w="0" w:type="dxa"/>
            <w:left w:w="108" w:type="dxa"/>
            <w:bottom w:w="0" w:type="dxa"/>
            <w:right w:w="108" w:type="dxa"/>
          </w:tblCellMar>
        </w:tblPrEx>
        <w:trPr>
          <w:trHeight w:val="538" w:hRule="atLeast"/>
          <w:jc w:val="center"/>
        </w:trPr>
        <w:tc>
          <w:tcPr>
            <w:tcW w:w="734" w:type="dxa"/>
            <w:tcBorders>
              <w:top w:val="single" w:color="auto" w:sz="6" w:space="0"/>
              <w:left w:val="single" w:color="auto" w:sz="6" w:space="0"/>
              <w:bottom w:val="single" w:color="auto" w:sz="6" w:space="0"/>
              <w:right w:val="single" w:color="auto" w:sz="6" w:space="0"/>
            </w:tcBorders>
            <w:noWrap w:val="0"/>
            <w:vAlign w:val="center"/>
          </w:tcPr>
          <w:p w14:paraId="06E7E6E9">
            <w:pPr>
              <w:autoSpaceDE w:val="0"/>
              <w:autoSpaceDN w:val="0"/>
              <w:spacing w:line="0" w:lineRule="atLeast"/>
              <w:jc w:val="center"/>
              <w:rPr>
                <w:rFonts w:ascii="仿宋" w:hAnsi="仿宋" w:eastAsia="仿宋"/>
                <w:sz w:val="24"/>
              </w:rPr>
            </w:pPr>
            <w:r>
              <w:rPr>
                <w:rFonts w:hint="eastAsia" w:ascii="仿宋" w:hAnsi="仿宋" w:eastAsia="仿宋"/>
                <w:sz w:val="24"/>
              </w:rPr>
              <w:t>1</w:t>
            </w:r>
          </w:p>
        </w:tc>
        <w:tc>
          <w:tcPr>
            <w:tcW w:w="2468" w:type="dxa"/>
            <w:tcBorders>
              <w:top w:val="single" w:color="auto" w:sz="6" w:space="0"/>
              <w:left w:val="single" w:color="auto" w:sz="6" w:space="0"/>
              <w:bottom w:val="single" w:color="auto" w:sz="6" w:space="0"/>
              <w:right w:val="single" w:color="auto" w:sz="6" w:space="0"/>
            </w:tcBorders>
            <w:noWrap w:val="0"/>
            <w:vAlign w:val="center"/>
          </w:tcPr>
          <w:p w14:paraId="28C30CA9">
            <w:pPr>
              <w:autoSpaceDE w:val="0"/>
              <w:autoSpaceDN w:val="0"/>
              <w:spacing w:line="0" w:lineRule="atLeast"/>
              <w:rPr>
                <w:rFonts w:ascii="仿宋" w:hAnsi="仿宋" w:eastAsia="仿宋" w:cs="黑体"/>
                <w:sz w:val="24"/>
              </w:rPr>
            </w:pPr>
            <w:r>
              <w:rPr>
                <w:rFonts w:hint="eastAsia" w:ascii="仿宋" w:hAnsi="仿宋" w:eastAsia="仿宋"/>
                <w:sz w:val="24"/>
              </w:rPr>
              <w:t>经皮肾镜</w:t>
            </w:r>
          </w:p>
        </w:tc>
        <w:tc>
          <w:tcPr>
            <w:tcW w:w="4278" w:type="dxa"/>
            <w:tcBorders>
              <w:top w:val="single" w:color="auto" w:sz="6" w:space="0"/>
              <w:left w:val="single" w:color="auto" w:sz="6" w:space="0"/>
              <w:bottom w:val="single" w:color="auto" w:sz="6" w:space="0"/>
              <w:right w:val="single" w:color="auto" w:sz="4" w:space="0"/>
            </w:tcBorders>
            <w:noWrap w:val="0"/>
            <w:vAlign w:val="center"/>
          </w:tcPr>
          <w:p w14:paraId="41844D7F">
            <w:pPr>
              <w:autoSpaceDE w:val="0"/>
              <w:autoSpaceDN w:val="0"/>
              <w:spacing w:line="0" w:lineRule="atLeast"/>
              <w:jc w:val="left"/>
              <w:rPr>
                <w:rFonts w:ascii="仿宋" w:hAnsi="仿宋" w:eastAsia="仿宋"/>
                <w:sz w:val="24"/>
              </w:rPr>
            </w:pPr>
            <w:r>
              <w:rPr>
                <w:rFonts w:ascii="仿宋" w:hAnsi="仿宋" w:eastAsia="仿宋"/>
                <w:sz w:val="24"/>
              </w:rPr>
              <w:t>12</w:t>
            </w:r>
            <w:r>
              <w:rPr>
                <w:rFonts w:hint="eastAsia" w:ascii="仿宋" w:hAnsi="仿宋" w:eastAsia="仿宋"/>
                <w:sz w:val="24"/>
              </w:rPr>
              <w:t>Fr超广角、工作长度约</w:t>
            </w:r>
            <w:r>
              <w:rPr>
                <w:rFonts w:ascii="仿宋" w:hAnsi="仿宋" w:eastAsia="仿宋"/>
                <w:sz w:val="24"/>
              </w:rPr>
              <w:t>280</w:t>
            </w:r>
            <w:r>
              <w:rPr>
                <w:rFonts w:hint="eastAsia" w:ascii="仿宋" w:hAnsi="仿宋" w:eastAsia="仿宋"/>
                <w:sz w:val="24"/>
              </w:rPr>
              <w:t>mm、</w:t>
            </w:r>
            <w:r>
              <w:rPr>
                <w:rFonts w:hint="eastAsia" w:ascii="仿宋" w:hAnsi="仿宋" w:eastAsia="仿宋" w:cs="宋体"/>
                <w:bCs/>
                <w:color w:val="000000"/>
                <w:sz w:val="24"/>
              </w:rPr>
              <w:t>可容纳一个</w:t>
            </w:r>
            <w:r>
              <w:rPr>
                <w:rFonts w:ascii="仿宋" w:hAnsi="仿宋" w:eastAsia="仿宋"/>
                <w:bCs/>
                <w:color w:val="000000"/>
                <w:sz w:val="24"/>
              </w:rPr>
              <w:t>4Fr器械通道</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3108C29D">
            <w:pPr>
              <w:autoSpaceDE w:val="0"/>
              <w:autoSpaceDN w:val="0"/>
              <w:spacing w:line="0" w:lineRule="atLeast"/>
              <w:jc w:val="center"/>
              <w:rPr>
                <w:rFonts w:ascii="仿宋" w:hAnsi="仿宋" w:eastAsia="仿宋"/>
                <w:sz w:val="24"/>
              </w:rPr>
            </w:pPr>
            <w:r>
              <w:rPr>
                <w:rFonts w:hint="eastAsia" w:ascii="仿宋" w:hAnsi="仿宋" w:eastAsia="仿宋"/>
                <w:sz w:val="24"/>
              </w:rPr>
              <w:t>1条</w:t>
            </w:r>
          </w:p>
        </w:tc>
      </w:tr>
      <w:tr w14:paraId="710626DE">
        <w:tblPrEx>
          <w:tblCellMar>
            <w:top w:w="0" w:type="dxa"/>
            <w:left w:w="108" w:type="dxa"/>
            <w:bottom w:w="0" w:type="dxa"/>
            <w:right w:w="108" w:type="dxa"/>
          </w:tblCellMar>
        </w:tblPrEx>
        <w:trPr>
          <w:trHeight w:val="269" w:hRule="atLeast"/>
          <w:jc w:val="center"/>
        </w:trPr>
        <w:tc>
          <w:tcPr>
            <w:tcW w:w="734" w:type="dxa"/>
            <w:vMerge w:val="restart"/>
            <w:tcBorders>
              <w:top w:val="single" w:color="auto" w:sz="6" w:space="0"/>
              <w:left w:val="single" w:color="auto" w:sz="6" w:space="0"/>
              <w:right w:val="single" w:color="auto" w:sz="6" w:space="0"/>
            </w:tcBorders>
            <w:noWrap w:val="0"/>
            <w:vAlign w:val="center"/>
          </w:tcPr>
          <w:p w14:paraId="345C952C">
            <w:pPr>
              <w:autoSpaceDE w:val="0"/>
              <w:autoSpaceDN w:val="0"/>
              <w:spacing w:line="0" w:lineRule="atLeast"/>
              <w:jc w:val="center"/>
              <w:rPr>
                <w:rFonts w:hint="eastAsia" w:ascii="仿宋" w:hAnsi="仿宋" w:eastAsia="仿宋"/>
                <w:sz w:val="24"/>
              </w:rPr>
            </w:pPr>
            <w:r>
              <w:rPr>
                <w:rFonts w:ascii="仿宋" w:hAnsi="仿宋" w:eastAsia="仿宋"/>
                <w:sz w:val="24"/>
              </w:rPr>
              <w:t>附件</w:t>
            </w:r>
          </w:p>
        </w:tc>
        <w:tc>
          <w:tcPr>
            <w:tcW w:w="2468" w:type="dxa"/>
            <w:tcBorders>
              <w:top w:val="nil"/>
              <w:left w:val="nil"/>
              <w:bottom w:val="single" w:color="auto" w:sz="4" w:space="0"/>
              <w:right w:val="single" w:color="auto" w:sz="4" w:space="0"/>
            </w:tcBorders>
            <w:noWrap w:val="0"/>
            <w:vAlign w:val="center"/>
          </w:tcPr>
          <w:p w14:paraId="7E01A643">
            <w:pPr>
              <w:widowControl/>
              <w:rPr>
                <w:rFonts w:hint="eastAsia" w:ascii="宋体" w:hAnsi="宋体" w:cs="宋体"/>
                <w:kern w:val="0"/>
                <w:sz w:val="24"/>
              </w:rPr>
            </w:pPr>
            <w:r>
              <w:rPr>
                <w:rFonts w:hint="eastAsia" w:ascii="宋体" w:hAnsi="宋体" w:cs="宋体"/>
                <w:kern w:val="0"/>
                <w:sz w:val="24"/>
              </w:rPr>
              <w:t>取石钳</w:t>
            </w:r>
          </w:p>
        </w:tc>
        <w:tc>
          <w:tcPr>
            <w:tcW w:w="4278" w:type="dxa"/>
            <w:tcBorders>
              <w:top w:val="nil"/>
              <w:left w:val="nil"/>
              <w:bottom w:val="single" w:color="auto" w:sz="4" w:space="0"/>
              <w:right w:val="single" w:color="auto" w:sz="4" w:space="0"/>
            </w:tcBorders>
            <w:noWrap w:val="0"/>
            <w:vAlign w:val="center"/>
          </w:tcPr>
          <w:p w14:paraId="63AC7172">
            <w:pPr>
              <w:widowControl/>
              <w:jc w:val="center"/>
              <w:rPr>
                <w:rFonts w:hint="eastAsia" w:ascii="宋体" w:hAnsi="宋体" w:cs="宋体"/>
                <w:kern w:val="0"/>
                <w:sz w:val="24"/>
              </w:rPr>
            </w:pPr>
            <w:r>
              <w:rPr>
                <w:rFonts w:hint="eastAsia" w:ascii="宋体" w:hAnsi="宋体" w:cs="宋体"/>
                <w:kern w:val="0"/>
                <w:sz w:val="24"/>
              </w:rPr>
              <w:t>3Frx400mm</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1B06BC08">
            <w:pPr>
              <w:autoSpaceDE w:val="0"/>
              <w:autoSpaceDN w:val="0"/>
              <w:spacing w:line="0" w:lineRule="atLeast"/>
              <w:jc w:val="center"/>
              <w:rPr>
                <w:rFonts w:hint="eastAsia" w:ascii="仿宋" w:hAnsi="仿宋" w:eastAsia="仿宋"/>
                <w:sz w:val="24"/>
              </w:rPr>
            </w:pPr>
            <w:r>
              <w:rPr>
                <w:rFonts w:hint="eastAsia" w:ascii="仿宋" w:hAnsi="仿宋" w:eastAsia="仿宋"/>
                <w:sz w:val="24"/>
              </w:rPr>
              <w:t>1把</w:t>
            </w:r>
          </w:p>
        </w:tc>
      </w:tr>
      <w:tr w14:paraId="3E25F4B6">
        <w:tblPrEx>
          <w:tblCellMar>
            <w:top w:w="0" w:type="dxa"/>
            <w:left w:w="108" w:type="dxa"/>
            <w:bottom w:w="0" w:type="dxa"/>
            <w:right w:w="108" w:type="dxa"/>
          </w:tblCellMar>
        </w:tblPrEx>
        <w:trPr>
          <w:trHeight w:val="314" w:hRule="atLeast"/>
          <w:jc w:val="center"/>
        </w:trPr>
        <w:tc>
          <w:tcPr>
            <w:tcW w:w="734" w:type="dxa"/>
            <w:vMerge w:val="continue"/>
            <w:tcBorders>
              <w:left w:val="single" w:color="auto" w:sz="6" w:space="0"/>
              <w:bottom w:val="single" w:color="auto" w:sz="6" w:space="0"/>
              <w:right w:val="single" w:color="auto" w:sz="6" w:space="0"/>
            </w:tcBorders>
            <w:noWrap w:val="0"/>
            <w:vAlign w:val="center"/>
          </w:tcPr>
          <w:p w14:paraId="6322C3A7">
            <w:pPr>
              <w:autoSpaceDE w:val="0"/>
              <w:autoSpaceDN w:val="0"/>
              <w:spacing w:line="0" w:lineRule="atLeast"/>
              <w:jc w:val="center"/>
              <w:rPr>
                <w:rFonts w:ascii="仿宋" w:hAnsi="仿宋" w:eastAsia="仿宋"/>
                <w:sz w:val="24"/>
              </w:rPr>
            </w:pPr>
          </w:p>
        </w:tc>
        <w:tc>
          <w:tcPr>
            <w:tcW w:w="2468" w:type="dxa"/>
            <w:tcBorders>
              <w:top w:val="single" w:color="auto" w:sz="6" w:space="0"/>
              <w:left w:val="single" w:color="auto" w:sz="6" w:space="0"/>
              <w:bottom w:val="single" w:color="auto" w:sz="6" w:space="0"/>
              <w:right w:val="single" w:color="auto" w:sz="6" w:space="0"/>
            </w:tcBorders>
            <w:noWrap w:val="0"/>
            <w:vAlign w:val="center"/>
          </w:tcPr>
          <w:p w14:paraId="28C387CF">
            <w:pPr>
              <w:autoSpaceDE w:val="0"/>
              <w:autoSpaceDN w:val="0"/>
              <w:spacing w:line="0" w:lineRule="atLeast"/>
              <w:rPr>
                <w:rFonts w:ascii="仿宋" w:hAnsi="仿宋" w:eastAsia="仿宋"/>
                <w:sz w:val="24"/>
              </w:rPr>
            </w:pPr>
            <w:r>
              <w:rPr>
                <w:rFonts w:hint="eastAsia" w:ascii="仿宋" w:hAnsi="仿宋" w:eastAsia="仿宋"/>
                <w:sz w:val="24"/>
              </w:rPr>
              <w:t>专用消毒盒</w:t>
            </w:r>
          </w:p>
        </w:tc>
        <w:tc>
          <w:tcPr>
            <w:tcW w:w="4278" w:type="dxa"/>
            <w:tcBorders>
              <w:top w:val="single" w:color="auto" w:sz="6" w:space="0"/>
              <w:left w:val="single" w:color="auto" w:sz="6" w:space="0"/>
              <w:bottom w:val="single" w:color="auto" w:sz="6" w:space="0"/>
              <w:right w:val="single" w:color="auto" w:sz="4" w:space="0"/>
            </w:tcBorders>
            <w:noWrap w:val="0"/>
            <w:vAlign w:val="center"/>
          </w:tcPr>
          <w:p w14:paraId="49F59B66">
            <w:pPr>
              <w:spacing w:line="0" w:lineRule="atLeast"/>
              <w:ind w:left="588" w:hanging="588"/>
              <w:jc w:val="left"/>
              <w:rPr>
                <w:rFonts w:ascii="仿宋" w:hAnsi="仿宋" w:eastAsia="仿宋"/>
                <w:b/>
                <w:bCs/>
                <w:sz w:val="24"/>
              </w:rPr>
            </w:pPr>
            <w:r>
              <w:rPr>
                <w:rFonts w:hint="eastAsia" w:ascii="仿宋" w:hAnsi="仿宋" w:eastAsia="仿宋"/>
                <w:sz w:val="24"/>
              </w:rPr>
              <w:t>大约700mm*100mm*100、带固定硅胶架、有盖带2个旋转锁扣</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3F8E933B">
            <w:pPr>
              <w:autoSpaceDE w:val="0"/>
              <w:autoSpaceDN w:val="0"/>
              <w:spacing w:line="0" w:lineRule="atLeast"/>
              <w:jc w:val="center"/>
              <w:rPr>
                <w:rFonts w:ascii="仿宋" w:hAnsi="仿宋" w:eastAsia="仿宋"/>
                <w:sz w:val="24"/>
              </w:rPr>
            </w:pPr>
            <w:r>
              <w:rPr>
                <w:rFonts w:hint="eastAsia" w:ascii="仿宋" w:hAnsi="仿宋" w:eastAsia="仿宋"/>
                <w:sz w:val="24"/>
              </w:rPr>
              <w:t>1个</w:t>
            </w:r>
          </w:p>
        </w:tc>
      </w:tr>
    </w:tbl>
    <w:p w14:paraId="01C99938">
      <w:pPr>
        <w:pStyle w:val="9"/>
        <w:spacing w:line="0" w:lineRule="atLeast"/>
        <w:rPr>
          <w:b/>
          <w:bCs/>
          <w:sz w:val="28"/>
          <w:szCs w:val="28"/>
        </w:rPr>
      </w:pPr>
      <w:r>
        <w:rPr>
          <w:rFonts w:hint="eastAsia"/>
          <w:b/>
          <w:bCs/>
          <w:sz w:val="28"/>
          <w:szCs w:val="28"/>
        </w:rPr>
        <w:t>小儿经皮肾镜技术参数</w:t>
      </w:r>
    </w:p>
    <w:p w14:paraId="2232C3DB">
      <w:pPr>
        <w:spacing w:line="0" w:lineRule="atLeast"/>
        <w:ind w:left="420" w:hanging="420" w:hangingChars="200"/>
        <w:rPr>
          <w:rFonts w:hint="eastAsia" w:ascii="宋体" w:hAnsi="宋体"/>
          <w:szCs w:val="21"/>
        </w:rPr>
      </w:pPr>
      <w:r>
        <w:rPr>
          <w:rFonts w:hint="eastAsia" w:ascii="宋体" w:hAnsi="宋体"/>
          <w:szCs w:val="21"/>
        </w:rPr>
        <w:t>1. 经皮肾镜镜体工作长度 280mm，窥镜采用光学玻璃、光纤、光锥；图像清晰，视场明亮；蓝宝石镜头。</w:t>
      </w:r>
    </w:p>
    <w:p w14:paraId="60619C09">
      <w:pPr>
        <w:spacing w:line="0" w:lineRule="atLeast"/>
        <w:ind w:left="420" w:hanging="420" w:hangingChars="200"/>
        <w:rPr>
          <w:rFonts w:hint="eastAsia" w:ascii="宋体" w:hAnsi="宋体"/>
          <w:szCs w:val="21"/>
        </w:rPr>
      </w:pPr>
      <w:r>
        <w:rPr>
          <w:rFonts w:hint="eastAsia" w:ascii="宋体" w:hAnsi="宋体"/>
          <w:szCs w:val="21"/>
        </w:rPr>
        <w:t>2. 视向角 7°；</w:t>
      </w:r>
    </w:p>
    <w:p w14:paraId="2427DBA9">
      <w:pPr>
        <w:spacing w:line="0" w:lineRule="atLeast"/>
        <w:ind w:left="420" w:hanging="420" w:hangingChars="200"/>
        <w:rPr>
          <w:rFonts w:hint="eastAsia" w:ascii="宋体" w:hAnsi="宋体"/>
          <w:szCs w:val="21"/>
        </w:rPr>
      </w:pPr>
      <w:r>
        <w:rPr>
          <w:rFonts w:hint="eastAsia" w:ascii="宋体" w:hAnsi="宋体"/>
          <w:szCs w:val="21"/>
        </w:rPr>
        <w:t>3. 视场角85°；</w:t>
      </w:r>
    </w:p>
    <w:p w14:paraId="27FECB58">
      <w:pPr>
        <w:spacing w:line="0" w:lineRule="atLeast"/>
        <w:ind w:left="420" w:hanging="420" w:hangingChars="200"/>
        <w:rPr>
          <w:rFonts w:hint="eastAsia" w:ascii="宋体" w:hAnsi="宋体"/>
          <w:szCs w:val="21"/>
        </w:rPr>
      </w:pPr>
      <w:r>
        <w:rPr>
          <w:rFonts w:hint="eastAsia" w:ascii="宋体" w:hAnsi="宋体"/>
          <w:szCs w:val="21"/>
        </w:rPr>
        <w:t>4.手术中视野观察景深 1-50mm；</w:t>
      </w:r>
    </w:p>
    <w:p w14:paraId="4DA607D5">
      <w:pPr>
        <w:spacing w:line="0" w:lineRule="atLeast"/>
        <w:ind w:left="420" w:hanging="420" w:hangingChars="200"/>
        <w:rPr>
          <w:rFonts w:hint="eastAsia" w:ascii="宋体" w:hAnsi="宋体"/>
          <w:szCs w:val="21"/>
        </w:rPr>
      </w:pPr>
      <w:r>
        <w:rPr>
          <w:rFonts w:hint="eastAsia" w:ascii="宋体" w:hAnsi="宋体"/>
          <w:szCs w:val="21"/>
        </w:rPr>
        <w:t>5. 放大倍数 6 倍；</w:t>
      </w:r>
    </w:p>
    <w:p w14:paraId="1ABCCFB0">
      <w:pPr>
        <w:spacing w:line="0" w:lineRule="atLeast"/>
        <w:ind w:left="420" w:hanging="420" w:hangingChars="200"/>
        <w:rPr>
          <w:rFonts w:hint="eastAsia" w:ascii="宋体" w:hAnsi="宋体"/>
          <w:szCs w:val="21"/>
        </w:rPr>
      </w:pPr>
      <w:r>
        <w:rPr>
          <w:rFonts w:hint="eastAsia" w:ascii="宋体" w:hAnsi="宋体"/>
          <w:szCs w:val="21"/>
        </w:rPr>
        <w:t>6. 分辨率7.02LP/mm（L=10mm）；</w:t>
      </w:r>
    </w:p>
    <w:p w14:paraId="06FEB7F1">
      <w:pPr>
        <w:spacing w:line="0" w:lineRule="atLeast"/>
        <w:ind w:left="420" w:hanging="420" w:hangingChars="200"/>
        <w:rPr>
          <w:rFonts w:hint="eastAsia" w:ascii="宋体" w:hAnsi="宋体"/>
          <w:szCs w:val="21"/>
        </w:rPr>
      </w:pPr>
      <w:r>
        <w:rPr>
          <w:rFonts w:hint="eastAsia" w:ascii="宋体" w:hAnsi="宋体"/>
          <w:szCs w:val="21"/>
        </w:rPr>
        <w:t>7. 镜体外径12Fr；器械通道4Fr，配有取石钳1把</w:t>
      </w:r>
    </w:p>
    <w:p w14:paraId="5AAA8548">
      <w:pPr>
        <w:spacing w:line="0" w:lineRule="atLeast"/>
        <w:ind w:left="420" w:hanging="420" w:hangingChars="200"/>
        <w:rPr>
          <w:rFonts w:hint="eastAsia" w:ascii="宋体" w:hAnsi="宋体"/>
          <w:szCs w:val="21"/>
        </w:rPr>
      </w:pPr>
      <w:r>
        <w:rPr>
          <w:rFonts w:hint="eastAsia" w:ascii="宋体" w:hAnsi="宋体"/>
          <w:szCs w:val="21"/>
        </w:rPr>
        <w:t>8. 可使用低温等离子、浸泡、熏蒸等进行消毒；配有标准消毒盒</w:t>
      </w:r>
      <w:r>
        <w:rPr>
          <w:rFonts w:ascii="宋体" w:hAnsi="宋体"/>
          <w:szCs w:val="21"/>
        </w:rPr>
        <w:t>400x140x70mm</w:t>
      </w:r>
      <w:r>
        <w:rPr>
          <w:rFonts w:hint="eastAsia" w:ascii="宋体" w:hAnsi="宋体"/>
          <w:szCs w:val="21"/>
        </w:rPr>
        <w:t xml:space="preserve"> 1个</w:t>
      </w:r>
    </w:p>
    <w:p w14:paraId="75A0D939">
      <w:pPr>
        <w:spacing w:line="0" w:lineRule="atLeast"/>
        <w:ind w:left="420" w:hanging="420" w:hangingChars="200"/>
        <w:rPr>
          <w:rFonts w:ascii="宋体" w:hAnsi="宋体"/>
          <w:bCs/>
          <w:szCs w:val="21"/>
        </w:rPr>
      </w:pPr>
      <w:r>
        <w:rPr>
          <w:rFonts w:hint="eastAsia" w:ascii="宋体" w:hAnsi="宋体"/>
          <w:szCs w:val="21"/>
        </w:rPr>
        <w:t>9. 多种导光束接头，可连接</w:t>
      </w:r>
      <w:r>
        <w:rPr>
          <w:rFonts w:ascii="宋体" w:hAnsi="宋体"/>
          <w:szCs w:val="21"/>
        </w:rPr>
        <w:t>Karl Stoss</w:t>
      </w:r>
      <w:r>
        <w:rPr>
          <w:rFonts w:hint="eastAsia" w:ascii="宋体" w:hAnsi="宋体"/>
          <w:szCs w:val="21"/>
        </w:rPr>
        <w:t>、</w:t>
      </w:r>
      <w:r>
        <w:rPr>
          <w:rFonts w:ascii="宋体" w:hAnsi="宋体"/>
          <w:szCs w:val="21"/>
        </w:rPr>
        <w:t>OLYMPUS</w:t>
      </w:r>
      <w:r>
        <w:rPr>
          <w:rFonts w:hint="eastAsia" w:ascii="宋体" w:hAnsi="宋体"/>
          <w:szCs w:val="21"/>
        </w:rPr>
        <w:t>、</w:t>
      </w:r>
      <w:r>
        <w:rPr>
          <w:rFonts w:ascii="宋体" w:hAnsi="宋体"/>
          <w:szCs w:val="21"/>
        </w:rPr>
        <w:t>Stryker</w:t>
      </w:r>
      <w:r>
        <w:rPr>
          <w:rFonts w:hint="eastAsia" w:ascii="宋体" w:hAnsi="宋体"/>
          <w:szCs w:val="21"/>
        </w:rPr>
        <w:t>、</w:t>
      </w:r>
      <w:r>
        <w:rPr>
          <w:rFonts w:ascii="宋体" w:hAnsi="宋体"/>
          <w:szCs w:val="21"/>
        </w:rPr>
        <w:t>WOLF</w:t>
      </w:r>
      <w:r>
        <w:rPr>
          <w:rFonts w:hint="eastAsia" w:ascii="宋体" w:hAnsi="宋体"/>
          <w:szCs w:val="21"/>
        </w:rPr>
        <w:t>等光源及摄像系统。</w:t>
      </w:r>
    </w:p>
    <w:p w14:paraId="39BCE4AA">
      <w:pPr>
        <w:jc w:val="left"/>
        <w:rPr>
          <w:rFonts w:ascii="宋体" w:hAnsi="宋体"/>
          <w:b/>
          <w:bCs/>
          <w:sz w:val="24"/>
        </w:rPr>
      </w:pPr>
    </w:p>
    <w:p w14:paraId="4C1CF0F5">
      <w:pPr>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项目其他要求：</w:t>
      </w:r>
    </w:p>
    <w:p w14:paraId="557E6E1A">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1.本项目采购设备安装后即能够正常使用，附件配置齐全。设备生产日期与实际供货日期在6个月以内。</w:t>
      </w:r>
    </w:p>
    <w:p w14:paraId="77980D3D">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2.此项目总金额包含所有运费、装卸费、安装费、税费等。</w:t>
      </w:r>
    </w:p>
    <w:p w14:paraId="65FD0F2B">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3.每套设备（含附件）提供3年免费保修。</w:t>
      </w:r>
    </w:p>
    <w:p w14:paraId="1C434FFA">
      <w:pPr>
        <w:jc w:val="center"/>
        <w:rPr>
          <w:rFonts w:ascii="Times New Roman" w:hAnsi="宋体"/>
          <w:sz w:val="24"/>
        </w:rPr>
      </w:pPr>
      <w:r>
        <w:rPr>
          <w:rFonts w:hint="eastAsia" w:ascii="Times New Roman" w:hAnsi="Times New Roman"/>
          <w:b/>
          <w:sz w:val="28"/>
          <w:szCs w:val="28"/>
        </w:rPr>
        <w:t>前列腺双极等离子电切镜</w:t>
      </w:r>
    </w:p>
    <w:tbl>
      <w:tblPr>
        <w:tblStyle w:val="18"/>
        <w:tblW w:w="8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247"/>
        <w:gridCol w:w="4117"/>
        <w:gridCol w:w="976"/>
      </w:tblGrid>
      <w:tr w14:paraId="30A6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6" w:type="dxa"/>
            <w:noWrap w:val="0"/>
            <w:vAlign w:val="top"/>
          </w:tcPr>
          <w:p w14:paraId="14D5F09A">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w:t>
            </w:r>
          </w:p>
        </w:tc>
        <w:tc>
          <w:tcPr>
            <w:tcW w:w="2247" w:type="dxa"/>
            <w:noWrap w:val="0"/>
            <w:vAlign w:val="top"/>
          </w:tcPr>
          <w:p w14:paraId="7A060923">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30°内窥镜</w:t>
            </w:r>
          </w:p>
        </w:tc>
        <w:tc>
          <w:tcPr>
            <w:tcW w:w="4117" w:type="dxa"/>
            <w:noWrap w:val="0"/>
            <w:vAlign w:val="top"/>
          </w:tcPr>
          <w:p w14:paraId="2E018E60">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Φ4*302mm</w:t>
            </w:r>
          </w:p>
        </w:tc>
        <w:tc>
          <w:tcPr>
            <w:tcW w:w="976" w:type="dxa"/>
            <w:noWrap w:val="0"/>
            <w:vAlign w:val="top"/>
          </w:tcPr>
          <w:p w14:paraId="640E2418">
            <w:pPr>
              <w:tabs>
                <w:tab w:val="left" w:pos="312"/>
              </w:tabs>
              <w:spacing w:line="0" w:lineRule="atLeast"/>
              <w:ind w:left="480" w:hanging="480" w:hangingChars="200"/>
              <w:jc w:val="left"/>
              <w:rPr>
                <w:rFonts w:ascii="仿宋" w:hAnsi="仿宋" w:eastAsia="仿宋"/>
                <w:bCs/>
                <w:sz w:val="24"/>
              </w:rPr>
            </w:pPr>
            <w:r>
              <w:rPr>
                <w:rFonts w:ascii="仿宋" w:hAnsi="仿宋" w:eastAsia="仿宋"/>
                <w:bCs/>
                <w:sz w:val="24"/>
              </w:rPr>
              <w:t>1</w:t>
            </w:r>
            <w:r>
              <w:rPr>
                <w:rFonts w:hint="eastAsia" w:ascii="仿宋" w:hAnsi="仿宋" w:eastAsia="仿宋"/>
                <w:bCs/>
                <w:sz w:val="24"/>
              </w:rPr>
              <w:t>支</w:t>
            </w:r>
          </w:p>
        </w:tc>
      </w:tr>
      <w:tr w14:paraId="6537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16" w:type="dxa"/>
            <w:noWrap w:val="0"/>
            <w:vAlign w:val="center"/>
          </w:tcPr>
          <w:p w14:paraId="3B8ED1F2">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2</w:t>
            </w:r>
          </w:p>
        </w:tc>
        <w:tc>
          <w:tcPr>
            <w:tcW w:w="2247" w:type="dxa"/>
            <w:noWrap w:val="0"/>
            <w:vAlign w:val="center"/>
          </w:tcPr>
          <w:p w14:paraId="2DF08F67">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操作器</w:t>
            </w:r>
          </w:p>
        </w:tc>
        <w:tc>
          <w:tcPr>
            <w:tcW w:w="4117" w:type="dxa"/>
            <w:noWrap w:val="0"/>
            <w:vAlign w:val="center"/>
          </w:tcPr>
          <w:p w14:paraId="02005C97">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被动式</w:t>
            </w:r>
          </w:p>
        </w:tc>
        <w:tc>
          <w:tcPr>
            <w:tcW w:w="976" w:type="dxa"/>
            <w:noWrap w:val="0"/>
            <w:vAlign w:val="center"/>
          </w:tcPr>
          <w:p w14:paraId="39F92A3C">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1把</w:t>
            </w:r>
          </w:p>
        </w:tc>
      </w:tr>
      <w:tr w14:paraId="64CA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6" w:type="dxa"/>
            <w:noWrap w:val="0"/>
            <w:vAlign w:val="center"/>
          </w:tcPr>
          <w:p w14:paraId="7795ADA3">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3</w:t>
            </w:r>
          </w:p>
        </w:tc>
        <w:tc>
          <w:tcPr>
            <w:tcW w:w="2247" w:type="dxa"/>
            <w:noWrap w:val="0"/>
            <w:vAlign w:val="center"/>
          </w:tcPr>
          <w:p w14:paraId="0D224F4A">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外鞘套</w:t>
            </w:r>
          </w:p>
        </w:tc>
        <w:tc>
          <w:tcPr>
            <w:tcW w:w="4117" w:type="dxa"/>
            <w:noWrap w:val="0"/>
            <w:vAlign w:val="center"/>
          </w:tcPr>
          <w:p w14:paraId="6204E5C9">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26Fr*180mm</w:t>
            </w:r>
          </w:p>
        </w:tc>
        <w:tc>
          <w:tcPr>
            <w:tcW w:w="976" w:type="dxa"/>
            <w:noWrap w:val="0"/>
            <w:vAlign w:val="center"/>
          </w:tcPr>
          <w:p w14:paraId="34D4E371">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1套</w:t>
            </w:r>
          </w:p>
        </w:tc>
      </w:tr>
      <w:tr w14:paraId="7304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16" w:type="dxa"/>
            <w:noWrap w:val="0"/>
            <w:vAlign w:val="center"/>
          </w:tcPr>
          <w:p w14:paraId="2FE8A7A8">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4</w:t>
            </w:r>
          </w:p>
        </w:tc>
        <w:tc>
          <w:tcPr>
            <w:tcW w:w="2247" w:type="dxa"/>
            <w:noWrap w:val="0"/>
            <w:vAlign w:val="center"/>
          </w:tcPr>
          <w:p w14:paraId="20098047">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内鞘套（带闭孔器）</w:t>
            </w:r>
          </w:p>
        </w:tc>
        <w:tc>
          <w:tcPr>
            <w:tcW w:w="4117" w:type="dxa"/>
            <w:noWrap w:val="0"/>
            <w:vAlign w:val="center"/>
          </w:tcPr>
          <w:p w14:paraId="46357C7D">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24Fr*196.5mm</w:t>
            </w:r>
          </w:p>
        </w:tc>
        <w:tc>
          <w:tcPr>
            <w:tcW w:w="976" w:type="dxa"/>
            <w:noWrap w:val="0"/>
            <w:vAlign w:val="center"/>
          </w:tcPr>
          <w:p w14:paraId="0B3EFDF7">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1套</w:t>
            </w:r>
          </w:p>
        </w:tc>
      </w:tr>
      <w:tr w14:paraId="2645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6" w:type="dxa"/>
            <w:noWrap w:val="0"/>
            <w:vAlign w:val="center"/>
          </w:tcPr>
          <w:p w14:paraId="2F4232C3">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5</w:t>
            </w:r>
          </w:p>
        </w:tc>
        <w:tc>
          <w:tcPr>
            <w:tcW w:w="2247" w:type="dxa"/>
            <w:noWrap w:val="0"/>
            <w:vAlign w:val="center"/>
          </w:tcPr>
          <w:p w14:paraId="174C1369">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单管阀座</w:t>
            </w:r>
          </w:p>
        </w:tc>
        <w:tc>
          <w:tcPr>
            <w:tcW w:w="4117" w:type="dxa"/>
            <w:noWrap w:val="0"/>
            <w:vAlign w:val="center"/>
          </w:tcPr>
          <w:p w14:paraId="47E5F3EB">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单独使用，内鞘时配套</w:t>
            </w:r>
          </w:p>
        </w:tc>
        <w:tc>
          <w:tcPr>
            <w:tcW w:w="976" w:type="dxa"/>
            <w:noWrap w:val="0"/>
            <w:vAlign w:val="center"/>
          </w:tcPr>
          <w:p w14:paraId="6A0BED6B">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1个</w:t>
            </w:r>
          </w:p>
        </w:tc>
      </w:tr>
      <w:tr w14:paraId="029A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16" w:type="dxa"/>
            <w:noWrap w:val="0"/>
            <w:vAlign w:val="center"/>
          </w:tcPr>
          <w:p w14:paraId="73947981">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6</w:t>
            </w:r>
          </w:p>
        </w:tc>
        <w:tc>
          <w:tcPr>
            <w:tcW w:w="2247" w:type="dxa"/>
            <w:noWrap w:val="0"/>
            <w:vAlign w:val="center"/>
          </w:tcPr>
          <w:p w14:paraId="2EC4162C">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冲洗接头</w:t>
            </w:r>
          </w:p>
        </w:tc>
        <w:tc>
          <w:tcPr>
            <w:tcW w:w="4117" w:type="dxa"/>
            <w:noWrap w:val="0"/>
            <w:vAlign w:val="center"/>
          </w:tcPr>
          <w:p w14:paraId="48992F81">
            <w:pPr>
              <w:tabs>
                <w:tab w:val="left" w:pos="312"/>
              </w:tabs>
              <w:spacing w:line="0" w:lineRule="atLeast"/>
              <w:ind w:left="480" w:hanging="480" w:hangingChars="200"/>
              <w:jc w:val="left"/>
              <w:rPr>
                <w:rFonts w:ascii="仿宋" w:hAnsi="仿宋" w:eastAsia="仿宋"/>
                <w:bCs/>
                <w:sz w:val="24"/>
              </w:rPr>
            </w:pPr>
          </w:p>
        </w:tc>
        <w:tc>
          <w:tcPr>
            <w:tcW w:w="976" w:type="dxa"/>
            <w:noWrap w:val="0"/>
            <w:vAlign w:val="center"/>
          </w:tcPr>
          <w:p w14:paraId="07A78AF9">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1个</w:t>
            </w:r>
          </w:p>
        </w:tc>
      </w:tr>
      <w:tr w14:paraId="3247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16" w:type="dxa"/>
            <w:noWrap w:val="0"/>
            <w:vAlign w:val="center"/>
          </w:tcPr>
          <w:p w14:paraId="510192D4">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7</w:t>
            </w:r>
          </w:p>
        </w:tc>
        <w:tc>
          <w:tcPr>
            <w:tcW w:w="2247" w:type="dxa"/>
            <w:noWrap w:val="0"/>
            <w:vAlign w:val="center"/>
          </w:tcPr>
          <w:p w14:paraId="19A92453">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进水接门</w:t>
            </w:r>
          </w:p>
        </w:tc>
        <w:tc>
          <w:tcPr>
            <w:tcW w:w="4117" w:type="dxa"/>
            <w:noWrap w:val="0"/>
            <w:vAlign w:val="center"/>
          </w:tcPr>
          <w:p w14:paraId="5C52F49C">
            <w:pPr>
              <w:tabs>
                <w:tab w:val="left" w:pos="312"/>
              </w:tabs>
              <w:spacing w:line="0" w:lineRule="atLeast"/>
              <w:ind w:left="480" w:hanging="480" w:hangingChars="200"/>
              <w:jc w:val="left"/>
              <w:rPr>
                <w:rFonts w:ascii="仿宋" w:hAnsi="仿宋" w:eastAsia="仿宋"/>
                <w:bCs/>
                <w:sz w:val="24"/>
              </w:rPr>
            </w:pPr>
          </w:p>
        </w:tc>
        <w:tc>
          <w:tcPr>
            <w:tcW w:w="976" w:type="dxa"/>
            <w:noWrap w:val="0"/>
            <w:vAlign w:val="center"/>
          </w:tcPr>
          <w:p w14:paraId="35594AD0">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1个</w:t>
            </w:r>
          </w:p>
        </w:tc>
      </w:tr>
      <w:tr w14:paraId="14BC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16" w:type="dxa"/>
            <w:noWrap w:val="0"/>
            <w:vAlign w:val="center"/>
          </w:tcPr>
          <w:p w14:paraId="639D2E9C">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8</w:t>
            </w:r>
          </w:p>
        </w:tc>
        <w:tc>
          <w:tcPr>
            <w:tcW w:w="2247" w:type="dxa"/>
            <w:noWrap w:val="0"/>
            <w:vAlign w:val="center"/>
          </w:tcPr>
          <w:p w14:paraId="14250820">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清洁杆</w:t>
            </w:r>
          </w:p>
        </w:tc>
        <w:tc>
          <w:tcPr>
            <w:tcW w:w="4117" w:type="dxa"/>
            <w:noWrap w:val="0"/>
            <w:vAlign w:val="center"/>
          </w:tcPr>
          <w:p w14:paraId="6FF7185E">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Φ3*340mm</w:t>
            </w:r>
          </w:p>
        </w:tc>
        <w:tc>
          <w:tcPr>
            <w:tcW w:w="976" w:type="dxa"/>
            <w:noWrap w:val="0"/>
            <w:vAlign w:val="center"/>
          </w:tcPr>
          <w:p w14:paraId="4062D726">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1个</w:t>
            </w:r>
          </w:p>
        </w:tc>
      </w:tr>
      <w:tr w14:paraId="79AC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16" w:type="dxa"/>
            <w:noWrap w:val="0"/>
            <w:vAlign w:val="center"/>
          </w:tcPr>
          <w:p w14:paraId="32D03FD4">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9</w:t>
            </w:r>
          </w:p>
        </w:tc>
        <w:tc>
          <w:tcPr>
            <w:tcW w:w="2247" w:type="dxa"/>
            <w:noWrap w:val="0"/>
            <w:vAlign w:val="center"/>
          </w:tcPr>
          <w:p w14:paraId="1AF5D349">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光缆</w:t>
            </w:r>
          </w:p>
        </w:tc>
        <w:tc>
          <w:tcPr>
            <w:tcW w:w="4117" w:type="dxa"/>
            <w:noWrap w:val="0"/>
            <w:vAlign w:val="center"/>
          </w:tcPr>
          <w:p w14:paraId="42EBB0F3">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Φ4*2m</w:t>
            </w:r>
          </w:p>
        </w:tc>
        <w:tc>
          <w:tcPr>
            <w:tcW w:w="976" w:type="dxa"/>
            <w:noWrap w:val="0"/>
            <w:vAlign w:val="center"/>
          </w:tcPr>
          <w:p w14:paraId="1DC295DE">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1条</w:t>
            </w:r>
          </w:p>
        </w:tc>
      </w:tr>
      <w:tr w14:paraId="3651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16" w:type="dxa"/>
            <w:noWrap w:val="0"/>
            <w:vAlign w:val="center"/>
          </w:tcPr>
          <w:p w14:paraId="3D3B12DE">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13</w:t>
            </w:r>
          </w:p>
        </w:tc>
        <w:tc>
          <w:tcPr>
            <w:tcW w:w="2247" w:type="dxa"/>
            <w:noWrap w:val="0"/>
            <w:vAlign w:val="center"/>
          </w:tcPr>
          <w:p w14:paraId="2FA48E67">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冲洗吸引器</w:t>
            </w:r>
          </w:p>
        </w:tc>
        <w:tc>
          <w:tcPr>
            <w:tcW w:w="4117" w:type="dxa"/>
            <w:noWrap w:val="0"/>
            <w:vAlign w:val="center"/>
          </w:tcPr>
          <w:p w14:paraId="2E272B36">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霍夫曼式</w:t>
            </w:r>
          </w:p>
        </w:tc>
        <w:tc>
          <w:tcPr>
            <w:tcW w:w="976" w:type="dxa"/>
            <w:noWrap w:val="0"/>
            <w:vAlign w:val="center"/>
          </w:tcPr>
          <w:p w14:paraId="2ED09440">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1套</w:t>
            </w:r>
          </w:p>
        </w:tc>
      </w:tr>
      <w:tr w14:paraId="45DF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16" w:type="dxa"/>
            <w:noWrap w:val="0"/>
            <w:vAlign w:val="center"/>
          </w:tcPr>
          <w:p w14:paraId="2649659A">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14</w:t>
            </w:r>
          </w:p>
        </w:tc>
        <w:tc>
          <w:tcPr>
            <w:tcW w:w="2247" w:type="dxa"/>
            <w:noWrap w:val="0"/>
            <w:vAlign w:val="center"/>
          </w:tcPr>
          <w:p w14:paraId="3B9BCAEA">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消毒盒</w:t>
            </w:r>
          </w:p>
        </w:tc>
        <w:tc>
          <w:tcPr>
            <w:tcW w:w="4117" w:type="dxa"/>
            <w:noWrap w:val="0"/>
            <w:vAlign w:val="center"/>
          </w:tcPr>
          <w:p w14:paraId="52114DD7">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420</w:t>
            </w:r>
            <w:r>
              <w:rPr>
                <w:rFonts w:ascii="仿宋" w:hAnsi="仿宋" w:eastAsia="仿宋"/>
                <w:bCs/>
                <w:sz w:val="24"/>
              </w:rPr>
              <w:t>mm</w:t>
            </w:r>
            <w:r>
              <w:rPr>
                <w:rFonts w:hint="eastAsia" w:ascii="仿宋" w:hAnsi="仿宋" w:eastAsia="仿宋"/>
                <w:bCs/>
                <w:sz w:val="24"/>
              </w:rPr>
              <w:t>x280</w:t>
            </w:r>
            <w:r>
              <w:rPr>
                <w:rFonts w:ascii="仿宋" w:hAnsi="仿宋" w:eastAsia="仿宋"/>
                <w:bCs/>
                <w:sz w:val="24"/>
              </w:rPr>
              <w:t>mm</w:t>
            </w:r>
            <w:r>
              <w:rPr>
                <w:rFonts w:hint="eastAsia" w:ascii="仿宋" w:hAnsi="仿宋" w:eastAsia="仿宋"/>
                <w:bCs/>
                <w:sz w:val="24"/>
              </w:rPr>
              <w:t>x90</w:t>
            </w:r>
            <w:r>
              <w:rPr>
                <w:rFonts w:ascii="仿宋" w:hAnsi="仿宋" w:eastAsia="仿宋"/>
                <w:bCs/>
                <w:sz w:val="24"/>
              </w:rPr>
              <w:t>mm</w:t>
            </w:r>
          </w:p>
        </w:tc>
        <w:tc>
          <w:tcPr>
            <w:tcW w:w="976" w:type="dxa"/>
            <w:noWrap w:val="0"/>
            <w:vAlign w:val="center"/>
          </w:tcPr>
          <w:p w14:paraId="2B3131C8">
            <w:pPr>
              <w:tabs>
                <w:tab w:val="left" w:pos="312"/>
              </w:tabs>
              <w:spacing w:line="0" w:lineRule="atLeast"/>
              <w:ind w:left="480" w:hanging="480" w:hangingChars="200"/>
              <w:jc w:val="left"/>
              <w:rPr>
                <w:rFonts w:ascii="仿宋" w:hAnsi="仿宋" w:eastAsia="仿宋"/>
                <w:bCs/>
                <w:sz w:val="24"/>
              </w:rPr>
            </w:pPr>
            <w:r>
              <w:rPr>
                <w:rFonts w:hint="eastAsia" w:ascii="仿宋" w:hAnsi="仿宋" w:eastAsia="仿宋"/>
                <w:bCs/>
                <w:sz w:val="24"/>
              </w:rPr>
              <w:t>1个</w:t>
            </w:r>
          </w:p>
        </w:tc>
      </w:tr>
      <w:tr w14:paraId="421B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56" w:type="dxa"/>
            <w:gridSpan w:val="4"/>
            <w:noWrap w:val="0"/>
            <w:vAlign w:val="center"/>
          </w:tcPr>
          <w:p w14:paraId="2403446B">
            <w:pPr>
              <w:spacing w:line="0" w:lineRule="atLeast"/>
              <w:rPr>
                <w:rFonts w:hint="eastAsia" w:ascii="宋体" w:hAnsi="宋体" w:cs="宋体"/>
                <w:sz w:val="24"/>
              </w:rPr>
            </w:pPr>
            <w:r>
              <w:rPr>
                <w:rFonts w:ascii="宋体" w:hAnsi="宋体" w:cs="宋体"/>
                <w:sz w:val="24"/>
              </w:rPr>
              <w:t>备注：要求匹配</w:t>
            </w:r>
            <w:r>
              <w:rPr>
                <w:rFonts w:hint="eastAsia" w:ascii="宋体" w:hAnsi="宋体" w:cs="宋体"/>
                <w:sz w:val="24"/>
                <w:lang w:eastAsia="zh-CN"/>
              </w:rPr>
              <w:t>院内</w:t>
            </w:r>
            <w:r>
              <w:rPr>
                <w:rFonts w:ascii="宋体" w:hAnsi="宋体" w:cs="宋体"/>
                <w:sz w:val="24"/>
              </w:rPr>
              <w:t>等离子电刀使用实现等离子电切模式</w:t>
            </w:r>
          </w:p>
        </w:tc>
      </w:tr>
    </w:tbl>
    <w:p w14:paraId="6A7BC511">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双极电切内窥镜技术参数：</w:t>
      </w:r>
    </w:p>
    <w:p w14:paraId="45DB477D">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1.1、内窥镜镜体全部采用不锈钢材质，柱状透镜技术，图像清晰，视场明亮，带有方向标，蓝宝石镜头，视向角30°，直径4mm，长度302mm,可低温等离子、高温高压消毒。</w:t>
      </w:r>
    </w:p>
    <w:p w14:paraId="02ADCDEF">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_GB2312" w:hAnsi="仿宋_GB2312" w:eastAsia="仿宋_GB2312" w:cs="仿宋_GB2312"/>
          <w:sz w:val="24"/>
        </w:rPr>
        <w:t>★</w:t>
      </w:r>
      <w:r>
        <w:rPr>
          <w:rFonts w:hint="eastAsia" w:ascii="仿宋" w:hAnsi="仿宋" w:eastAsia="仿宋"/>
          <w:bCs/>
          <w:sz w:val="24"/>
        </w:rPr>
        <w:t>1.2、 视场角60°</w:t>
      </w:r>
    </w:p>
    <w:p w14:paraId="092953C7">
      <w:pPr>
        <w:tabs>
          <w:tab w:val="left" w:pos="312"/>
        </w:tabs>
        <w:snapToGrid w:val="0"/>
        <w:spacing w:line="0" w:lineRule="atLeast"/>
        <w:ind w:left="480" w:hanging="480" w:hangingChars="200"/>
        <w:jc w:val="left"/>
        <w:rPr>
          <w:rFonts w:ascii="仿宋" w:hAnsi="仿宋" w:eastAsia="仿宋"/>
          <w:bCs/>
          <w:sz w:val="24"/>
        </w:rPr>
      </w:pPr>
      <w:r>
        <w:rPr>
          <w:rFonts w:hint="eastAsia" w:ascii="仿宋_GB2312" w:hAnsi="仿宋_GB2312" w:eastAsia="仿宋_GB2312" w:cs="仿宋_GB2312"/>
          <w:sz w:val="24"/>
        </w:rPr>
        <w:t>★</w:t>
      </w:r>
      <w:r>
        <w:rPr>
          <w:rFonts w:hint="eastAsia" w:ascii="仿宋" w:hAnsi="仿宋" w:eastAsia="仿宋"/>
          <w:bCs/>
          <w:sz w:val="24"/>
        </w:rPr>
        <w:t>1.3、分辨率11.1P/mm，放大倍率：≥1.5X</w:t>
      </w:r>
    </w:p>
    <w:p w14:paraId="60940115">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1.4、内窥镜景深范围3mm--50mm</w:t>
      </w:r>
    </w:p>
    <w:p w14:paraId="6473B68C">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1.5、 最大插入部外径≤Φ9mm</w:t>
      </w:r>
    </w:p>
    <w:p w14:paraId="1C4B2921">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1.6、工作长度180mm，双极手术电极行程24mm</w:t>
      </w:r>
    </w:p>
    <w:p w14:paraId="779BC623">
      <w:pPr>
        <w:tabs>
          <w:tab w:val="left" w:pos="312"/>
        </w:tabs>
        <w:snapToGrid w:val="0"/>
        <w:spacing w:line="0" w:lineRule="atLeast"/>
        <w:ind w:left="480" w:hanging="480" w:hangingChars="200"/>
        <w:jc w:val="left"/>
        <w:rPr>
          <w:rFonts w:ascii="仿宋" w:hAnsi="仿宋" w:eastAsia="仿宋"/>
          <w:bCs/>
          <w:sz w:val="24"/>
        </w:rPr>
      </w:pPr>
      <w:r>
        <w:rPr>
          <w:rFonts w:hint="eastAsia" w:ascii="仿宋_GB2312" w:hAnsi="仿宋_GB2312" w:eastAsia="仿宋_GB2312" w:cs="仿宋_GB2312"/>
          <w:sz w:val="24"/>
        </w:rPr>
        <w:t>★</w:t>
      </w:r>
      <w:r>
        <w:rPr>
          <w:rFonts w:hint="eastAsia" w:ascii="仿宋" w:hAnsi="仿宋" w:eastAsia="仿宋"/>
          <w:bCs/>
          <w:sz w:val="24"/>
        </w:rPr>
        <w:t>1.7、360°可旋转循环水外鞘套26Frx180mm,内鞘套及闭孔器24Frx196.5mm，采用耐高温高强度陶瓷；消毒盒1个。</w:t>
      </w:r>
    </w:p>
    <w:p w14:paraId="68A26FC6">
      <w:pPr>
        <w:tabs>
          <w:tab w:val="left" w:pos="312"/>
        </w:tabs>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1.8、光束接口可连接</w:t>
      </w:r>
      <w:r>
        <w:rPr>
          <w:rFonts w:ascii="仿宋" w:hAnsi="仿宋" w:eastAsia="仿宋"/>
          <w:bCs/>
          <w:sz w:val="24"/>
        </w:rPr>
        <w:t>Karl Stoss</w:t>
      </w:r>
      <w:r>
        <w:rPr>
          <w:rFonts w:hint="eastAsia" w:ascii="仿宋" w:hAnsi="仿宋" w:eastAsia="仿宋"/>
          <w:bCs/>
          <w:sz w:val="24"/>
        </w:rPr>
        <w:t>、</w:t>
      </w:r>
      <w:r>
        <w:rPr>
          <w:rFonts w:ascii="仿宋" w:hAnsi="仿宋" w:eastAsia="仿宋"/>
          <w:bCs/>
          <w:sz w:val="24"/>
        </w:rPr>
        <w:t>OLYMPUS</w:t>
      </w:r>
      <w:r>
        <w:rPr>
          <w:rFonts w:hint="eastAsia" w:ascii="仿宋" w:hAnsi="仿宋" w:eastAsia="仿宋"/>
          <w:bCs/>
          <w:sz w:val="24"/>
        </w:rPr>
        <w:t>、</w:t>
      </w:r>
      <w:r>
        <w:rPr>
          <w:rFonts w:ascii="仿宋" w:hAnsi="仿宋" w:eastAsia="仿宋"/>
          <w:bCs/>
          <w:sz w:val="24"/>
        </w:rPr>
        <w:t>Stryker</w:t>
      </w:r>
      <w:r>
        <w:rPr>
          <w:rFonts w:hint="eastAsia" w:ascii="仿宋" w:hAnsi="仿宋" w:eastAsia="仿宋"/>
          <w:bCs/>
          <w:sz w:val="24"/>
        </w:rPr>
        <w:t>、</w:t>
      </w:r>
      <w:r>
        <w:rPr>
          <w:rFonts w:ascii="仿宋" w:hAnsi="仿宋" w:eastAsia="仿宋"/>
          <w:bCs/>
          <w:sz w:val="24"/>
        </w:rPr>
        <w:t>WOLF</w:t>
      </w:r>
      <w:r>
        <w:rPr>
          <w:rFonts w:hint="eastAsia" w:ascii="仿宋" w:hAnsi="仿宋" w:eastAsia="仿宋"/>
          <w:bCs/>
          <w:sz w:val="24"/>
        </w:rPr>
        <w:t>等各品牌光源。</w:t>
      </w:r>
    </w:p>
    <w:p w14:paraId="64998031">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1.9、电切镜模块必须与现有院内</w:t>
      </w:r>
      <w:r>
        <w:rPr>
          <w:rFonts w:ascii="仿宋" w:hAnsi="仿宋" w:eastAsia="仿宋"/>
          <w:bCs/>
          <w:sz w:val="24"/>
        </w:rPr>
        <w:t>OLYMPUS</w:t>
      </w:r>
      <w:r>
        <w:rPr>
          <w:rFonts w:hint="eastAsia" w:ascii="仿宋" w:hAnsi="仿宋" w:eastAsia="仿宋"/>
          <w:bCs/>
          <w:sz w:val="24"/>
        </w:rPr>
        <w:t>电刀主机相匹配。</w:t>
      </w:r>
    </w:p>
    <w:p w14:paraId="49AC3978">
      <w:pPr>
        <w:snapToGrid w:val="0"/>
        <w:spacing w:line="0" w:lineRule="atLeast"/>
        <w:ind w:left="480" w:hanging="480" w:hangingChars="200"/>
        <w:jc w:val="left"/>
        <w:rPr>
          <w:rFonts w:ascii="仿宋" w:hAnsi="仿宋" w:eastAsia="仿宋"/>
          <w:bCs/>
          <w:sz w:val="24"/>
        </w:rPr>
      </w:pPr>
      <w:r>
        <w:rPr>
          <w:rFonts w:hint="eastAsia" w:ascii="仿宋" w:hAnsi="仿宋" w:eastAsia="仿宋"/>
          <w:bCs/>
          <w:sz w:val="24"/>
        </w:rPr>
        <w:t>项目其他要求：</w:t>
      </w:r>
    </w:p>
    <w:p w14:paraId="709F8A2B">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1.本项目采购设备安装后即能够正常使用，附件配置齐全。设备生产日期与实际供货日期在6个月以内。</w:t>
      </w:r>
    </w:p>
    <w:p w14:paraId="1D8FD56F">
      <w:pPr>
        <w:tabs>
          <w:tab w:val="left" w:pos="312"/>
        </w:tabs>
        <w:snapToGrid w:val="0"/>
        <w:spacing w:line="0" w:lineRule="atLeast"/>
        <w:ind w:left="480" w:hanging="480" w:hangingChars="200"/>
        <w:jc w:val="left"/>
        <w:rPr>
          <w:rFonts w:hint="eastAsia" w:ascii="仿宋" w:hAnsi="仿宋" w:eastAsia="仿宋"/>
          <w:bCs/>
          <w:sz w:val="24"/>
        </w:rPr>
      </w:pPr>
      <w:r>
        <w:rPr>
          <w:rFonts w:hint="eastAsia" w:ascii="仿宋" w:hAnsi="仿宋" w:eastAsia="仿宋"/>
          <w:bCs/>
          <w:sz w:val="24"/>
        </w:rPr>
        <w:t>2.此项目总金额包含所有运费、装卸费、安装费、税费等。</w:t>
      </w:r>
    </w:p>
    <w:p w14:paraId="7CC11BE2">
      <w:pPr>
        <w:pStyle w:val="6"/>
        <w:spacing w:line="360" w:lineRule="auto"/>
        <w:ind w:left="0" w:leftChars="0" w:firstLine="480" w:firstLineChars="200"/>
        <w:rPr>
          <w:rFonts w:hint="default" w:ascii="宋体" w:hAnsi="宋体" w:cs="宋体"/>
          <w:b/>
          <w:bCs/>
          <w:color w:val="auto"/>
          <w:sz w:val="24"/>
          <w:szCs w:val="24"/>
          <w:highlight w:val="none"/>
          <w:lang w:val="en-US" w:eastAsia="zh-CN"/>
        </w:rPr>
      </w:pPr>
      <w:r>
        <w:rPr>
          <w:rFonts w:hint="eastAsia" w:ascii="仿宋" w:hAnsi="仿宋" w:eastAsia="仿宋"/>
          <w:bCs/>
          <w:sz w:val="24"/>
        </w:rPr>
        <w:t>3.每套设备（含附件）提供3年免费保修。</w:t>
      </w:r>
    </w:p>
    <w:p w14:paraId="7DCAD880">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2F57673E">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1401C1A1">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30B7E9BD">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47D20774">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170325E2">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6A202FD6">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304A9E87">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5FF2FD00">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44518371">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783D4DE0">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6DE3467D">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0BE28B17">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2C945253">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64606A2C">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49E46784">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23C10A14">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6CFC4270">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2C2D9613">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71E4486F">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7FBE668C">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369FAE02">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54DA4928">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36FE0A1A">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7695ABAC">
      <w:pPr>
        <w:numPr>
          <w:ilvl w:val="0"/>
          <w:numId w:val="0"/>
        </w:numPr>
        <w:spacing w:afterLines="50" w:line="400" w:lineRule="exact"/>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第四章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 xml:space="preserve"> </w:t>
      </w:r>
      <w:bookmarkStart w:id="31" w:name="_Toc29057"/>
      <w:r>
        <w:rPr>
          <w:rFonts w:hint="eastAsia" w:ascii="宋体" w:hAnsi="宋体" w:eastAsia="宋体" w:cs="宋体"/>
          <w:b/>
          <w:bCs/>
          <w:color w:val="auto"/>
          <w:sz w:val="36"/>
          <w:szCs w:val="36"/>
          <w:highlight w:val="none"/>
        </w:rPr>
        <w:t>评标办法</w:t>
      </w:r>
      <w:bookmarkEnd w:id="31"/>
    </w:p>
    <w:p w14:paraId="159F9228">
      <w:pPr>
        <w:spacing w:afterLines="50" w:line="360" w:lineRule="auto"/>
        <w:ind w:firstLine="420" w:firstLineChars="200"/>
        <w:outlineLvl w:val="2"/>
        <w:rPr>
          <w:rFonts w:hint="eastAsia" w:ascii="宋体" w:hAnsi="宋体" w:eastAsia="宋体" w:cs="宋体"/>
          <w:color w:val="auto"/>
          <w:sz w:val="21"/>
          <w:szCs w:val="21"/>
          <w:highlight w:val="none"/>
        </w:rPr>
      </w:pPr>
      <w:bookmarkStart w:id="32" w:name="_Toc15783"/>
      <w:bookmarkStart w:id="33" w:name="_Toc10813"/>
      <w:bookmarkStart w:id="34" w:name="_Toc24667"/>
      <w:bookmarkStart w:id="35" w:name="_Toc22811"/>
      <w:bookmarkStart w:id="36" w:name="_Toc494455917"/>
      <w:bookmarkStart w:id="37" w:name="_Toc31066"/>
      <w:r>
        <w:rPr>
          <w:rFonts w:hint="eastAsia" w:ascii="宋体" w:hAnsi="宋体" w:eastAsia="宋体" w:cs="宋体"/>
          <w:color w:val="auto"/>
          <w:sz w:val="21"/>
          <w:szCs w:val="21"/>
          <w:highlight w:val="none"/>
        </w:rPr>
        <w:t>1.相关要求</w:t>
      </w:r>
      <w:bookmarkEnd w:id="32"/>
      <w:bookmarkEnd w:id="33"/>
      <w:bookmarkEnd w:id="34"/>
      <w:bookmarkEnd w:id="35"/>
      <w:bookmarkEnd w:id="36"/>
      <w:bookmarkEnd w:id="37"/>
    </w:p>
    <w:p w14:paraId="2BE12A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1.1当投标人未提供符合招标文件规定的技术支持资料时，其技术部分得0分。</w:t>
      </w:r>
    </w:p>
    <w:p w14:paraId="43EC3D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1.2技术汇总得分的计算方法：评标委员会成员技术评分的算术平均值。</w:t>
      </w:r>
    </w:p>
    <w:p w14:paraId="1FE7A6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1.3当投标人所投设备功能与招标文件要求相同，但其表述不同时不扣分。</w:t>
      </w:r>
    </w:p>
    <w:p w14:paraId="4C4120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1.4“同类项目”是指投标人已经完成的与本次采购要求相同或者类同的货物，并且签订合同一方必须是投标人，以相同或者类同部分的合同金额为准。</w:t>
      </w:r>
    </w:p>
    <w:p w14:paraId="657701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1.5执行国家统一定价标准和采用固定价格采购的项目，其价格不列为评审因素。</w:t>
      </w:r>
    </w:p>
    <w:p w14:paraId="232404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1.6中型、小型、微型企业应当同时符合以下条件：</w:t>
      </w:r>
    </w:p>
    <w:p w14:paraId="42C78E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1.6.1依据《关于印发&lt;统计上大中小微型企业划分办法(2017)&gt;的通知》规定，中型、小型和微型企业投标的须提供《中小企业声明函》原件并对声明函的真实性负责；</w:t>
      </w:r>
    </w:p>
    <w:p w14:paraId="29031D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按照《关于印发&lt;统计上大中小微型企业划分办法(2017)&gt;的通知》规定，投标人应符合中小企业划分标准；所称中小企业划分标准，是指国务院有关部门根据企业从业人员、营业收入、资产总额等指标制定的中小企业划型标准。</w:t>
      </w:r>
    </w:p>
    <w:p w14:paraId="09D958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1.6.3提供本企业制造的货物、承担的工程或者服务，或者提供其他中小企业制造的货物。本项所称货物不包括使用大型企业注册商标的货物。</w:t>
      </w:r>
    </w:p>
    <w:p w14:paraId="6DC292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1.7小型、微型企业提供中型企业制造的货物的，视同为中型企业。</w:t>
      </w:r>
    </w:p>
    <w:p w14:paraId="29F0A2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1.8小型和微型企业提供的货物中含有中型及以上企业的产品或者大中型企业提供货物中含有小型、微型企业产品的，均不给予价格扣除。</w:t>
      </w:r>
    </w:p>
    <w:p w14:paraId="08B49C24">
      <w:pPr>
        <w:spacing w:line="360" w:lineRule="auto"/>
        <w:ind w:firstLine="420" w:firstLineChars="200"/>
        <w:rPr>
          <w:rFonts w:hint="eastAsia" w:ascii="宋体" w:hAnsi="宋体" w:eastAsia="宋体" w:cs="宋体"/>
          <w:color w:val="auto"/>
          <w:sz w:val="21"/>
          <w:szCs w:val="21"/>
          <w:highlight w:val="none"/>
        </w:rPr>
      </w:pPr>
      <w:bookmarkStart w:id="38" w:name="_Toc494455918"/>
      <w:bookmarkStart w:id="39" w:name="_Toc16161"/>
      <w:bookmarkStart w:id="40" w:name="_Toc9251"/>
      <w:bookmarkStart w:id="41" w:name="_Toc3947"/>
      <w:bookmarkStart w:id="42" w:name="_Toc7269"/>
      <w:bookmarkStart w:id="43" w:name="_Toc29326"/>
      <w:r>
        <w:rPr>
          <w:rFonts w:hint="eastAsia"/>
          <w:color w:val="auto"/>
          <w:sz w:val="21"/>
          <w:szCs w:val="21"/>
          <w:highlight w:val="none"/>
          <w:lang w:val="en-US" w:eastAsia="zh-CN"/>
        </w:rPr>
        <w:t>1.9</w:t>
      </w:r>
      <w:r>
        <w:rPr>
          <w:color w:val="auto"/>
          <w:sz w:val="21"/>
          <w:szCs w:val="21"/>
          <w:highlight w:val="none"/>
        </w:rPr>
        <w:t>评分得分非整数的保留小数点后两位（小数点后第三位数四舍五入）</w:t>
      </w:r>
    </w:p>
    <w:p w14:paraId="76C55DAA">
      <w:pPr>
        <w:spacing w:before="312" w:beforeLines="100" w:after="156" w:afterLines="50" w:line="40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w:t>
      </w:r>
      <w:bookmarkEnd w:id="38"/>
      <w:r>
        <w:rPr>
          <w:rFonts w:hint="eastAsia" w:ascii="宋体" w:hAnsi="宋体" w:eastAsia="宋体" w:cs="宋体"/>
          <w:color w:val="auto"/>
          <w:sz w:val="21"/>
          <w:szCs w:val="21"/>
          <w:highlight w:val="none"/>
        </w:rPr>
        <w:t>标附表</w:t>
      </w:r>
      <w:bookmarkEnd w:id="39"/>
      <w:bookmarkEnd w:id="40"/>
      <w:bookmarkEnd w:id="41"/>
      <w:bookmarkEnd w:id="42"/>
      <w:bookmarkEnd w:id="43"/>
    </w:p>
    <w:p w14:paraId="2833CD6F">
      <w:pPr>
        <w:spacing w:after="156" w:afterLines="5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2.1评分因素以及分值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508"/>
        <w:gridCol w:w="2484"/>
        <w:gridCol w:w="2304"/>
      </w:tblGrid>
      <w:tr w14:paraId="4772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84" w:type="dxa"/>
            <w:noWrap w:val="0"/>
            <w:vAlign w:val="center"/>
          </w:tcPr>
          <w:p w14:paraId="354BF56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2508" w:type="dxa"/>
            <w:noWrap w:val="0"/>
            <w:vAlign w:val="center"/>
          </w:tcPr>
          <w:p w14:paraId="1842E16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tc>
        <w:tc>
          <w:tcPr>
            <w:tcW w:w="2484" w:type="dxa"/>
            <w:noWrap w:val="0"/>
            <w:vAlign w:val="center"/>
          </w:tcPr>
          <w:p w14:paraId="7327836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w:t>
            </w:r>
          </w:p>
        </w:tc>
        <w:tc>
          <w:tcPr>
            <w:tcW w:w="2304" w:type="dxa"/>
            <w:noWrap w:val="0"/>
            <w:vAlign w:val="center"/>
          </w:tcPr>
          <w:p w14:paraId="7A405E9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w:t>
            </w:r>
          </w:p>
        </w:tc>
      </w:tr>
      <w:tr w14:paraId="22F4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84" w:type="dxa"/>
            <w:noWrap w:val="0"/>
            <w:vAlign w:val="center"/>
          </w:tcPr>
          <w:p w14:paraId="32E3F57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分值比重</w:t>
            </w:r>
          </w:p>
        </w:tc>
        <w:tc>
          <w:tcPr>
            <w:tcW w:w="2508" w:type="dxa"/>
            <w:noWrap w:val="0"/>
            <w:vAlign w:val="center"/>
          </w:tcPr>
          <w:p w14:paraId="125D95A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2484" w:type="dxa"/>
            <w:noWrap w:val="0"/>
            <w:vAlign w:val="center"/>
          </w:tcPr>
          <w:p w14:paraId="059D6F0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分</w:t>
            </w:r>
          </w:p>
        </w:tc>
        <w:tc>
          <w:tcPr>
            <w:tcW w:w="2304" w:type="dxa"/>
            <w:noWrap w:val="0"/>
            <w:vAlign w:val="center"/>
          </w:tcPr>
          <w:p w14:paraId="6064DC2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100分</w:t>
            </w:r>
          </w:p>
        </w:tc>
      </w:tr>
    </w:tbl>
    <w:p w14:paraId="3B03C4FF">
      <w:pPr>
        <w:spacing w:after="156" w:afterLines="50" w:line="400" w:lineRule="exact"/>
        <w:ind w:firstLine="420" w:firstLineChars="200"/>
        <w:rPr>
          <w:rFonts w:hint="eastAsia" w:ascii="宋体" w:hAnsi="宋体" w:eastAsia="宋体" w:cs="宋体"/>
          <w:color w:val="auto"/>
          <w:szCs w:val="21"/>
          <w:highlight w:val="none"/>
        </w:rPr>
      </w:pPr>
      <w:bookmarkStart w:id="44" w:name="_Toc381951225"/>
      <w:bookmarkStart w:id="45" w:name="_Toc391306856"/>
      <w:r>
        <w:rPr>
          <w:rFonts w:hint="eastAsia" w:ascii="宋体" w:hAnsi="宋体" w:eastAsia="宋体" w:cs="宋体"/>
          <w:color w:val="auto"/>
          <w:szCs w:val="21"/>
          <w:highlight w:val="none"/>
        </w:rPr>
        <w:t>2.2初步评审表</w:t>
      </w:r>
      <w:bookmarkEnd w:id="44"/>
      <w:bookmarkEnd w:id="45"/>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
        <w:gridCol w:w="1732"/>
        <w:gridCol w:w="6497"/>
      </w:tblGrid>
      <w:tr w14:paraId="6F328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2719" w:type="dxa"/>
            <w:gridSpan w:val="2"/>
            <w:tcBorders>
              <w:top w:val="single" w:color="auto" w:sz="4" w:space="0"/>
              <w:left w:val="single" w:color="auto" w:sz="4" w:space="0"/>
              <w:bottom w:val="single" w:color="auto" w:sz="4" w:space="0"/>
              <w:right w:val="single" w:color="auto" w:sz="4" w:space="0"/>
            </w:tcBorders>
            <w:noWrap w:val="0"/>
            <w:vAlign w:val="center"/>
          </w:tcPr>
          <w:p w14:paraId="2FB829F0">
            <w:pPr>
              <w:spacing w:before="93" w:beforeLines="30" w:line="312"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83A8CD0">
            <w:pPr>
              <w:spacing w:before="93" w:beforeLines="30" w:line="312"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162D1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987" w:type="dxa"/>
            <w:vMerge w:val="restart"/>
            <w:tcBorders>
              <w:top w:val="single" w:color="auto" w:sz="4" w:space="0"/>
              <w:left w:val="single" w:color="auto" w:sz="4" w:space="0"/>
              <w:right w:val="single" w:color="auto" w:sz="4" w:space="0"/>
            </w:tcBorders>
            <w:noWrap w:val="0"/>
            <w:vAlign w:val="center"/>
          </w:tcPr>
          <w:p w14:paraId="1F2E8DEA">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732" w:type="dxa"/>
            <w:vMerge w:val="restart"/>
            <w:tcBorders>
              <w:top w:val="single" w:color="auto" w:sz="4" w:space="0"/>
              <w:left w:val="nil"/>
              <w:right w:val="single" w:color="auto" w:sz="4" w:space="0"/>
            </w:tcBorders>
            <w:noWrap w:val="0"/>
            <w:vAlign w:val="center"/>
          </w:tcPr>
          <w:p w14:paraId="55E34556">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资格性审查</w:t>
            </w:r>
          </w:p>
        </w:tc>
        <w:tc>
          <w:tcPr>
            <w:tcW w:w="6497" w:type="dxa"/>
            <w:tcBorders>
              <w:top w:val="single" w:color="auto" w:sz="4" w:space="0"/>
              <w:left w:val="single" w:color="auto" w:sz="4" w:space="0"/>
              <w:bottom w:val="single" w:color="auto" w:sz="4" w:space="0"/>
              <w:right w:val="single" w:color="auto" w:sz="4" w:space="0"/>
            </w:tcBorders>
            <w:noWrap w:val="0"/>
            <w:vAlign w:val="center"/>
          </w:tcPr>
          <w:p w14:paraId="232D017F">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具有有效经年检的三证合一营业执照原件扫描件（若投标人是企业（包括合伙企业）应提供营业执照；若投标人是事业单位应提供事业单位法人证书；若投标人是个体工商户应提供个体工商户营业执照；若投标人是自然人应提供自然人身份证明）;</w:t>
            </w:r>
          </w:p>
        </w:tc>
      </w:tr>
      <w:tr w14:paraId="27429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87" w:type="dxa"/>
            <w:vMerge w:val="continue"/>
            <w:tcBorders>
              <w:left w:val="single" w:color="auto" w:sz="4" w:space="0"/>
              <w:right w:val="single" w:color="auto" w:sz="4" w:space="0"/>
            </w:tcBorders>
            <w:noWrap w:val="0"/>
            <w:vAlign w:val="center"/>
          </w:tcPr>
          <w:p w14:paraId="792D634F">
            <w:pPr>
              <w:spacing w:before="93" w:beforeLines="30" w:line="312" w:lineRule="auto"/>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3D1073BB">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B16A781">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tc>
      </w:tr>
      <w:tr w14:paraId="684C4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87" w:type="dxa"/>
            <w:vMerge w:val="continue"/>
            <w:tcBorders>
              <w:left w:val="single" w:color="auto" w:sz="4" w:space="0"/>
              <w:right w:val="single" w:color="auto" w:sz="4" w:space="0"/>
            </w:tcBorders>
            <w:noWrap w:val="0"/>
            <w:vAlign w:val="center"/>
          </w:tcPr>
          <w:p w14:paraId="79DD22DE">
            <w:pPr>
              <w:spacing w:before="93" w:beforeLines="30" w:line="312" w:lineRule="auto"/>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2459D393">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E3B0614">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w:t>
            </w:r>
            <w:r>
              <w:rPr>
                <w:rFonts w:hint="eastAsia" w:ascii="宋体" w:hAnsi="宋体" w:cs="宋体"/>
                <w:color w:val="auto"/>
                <w:szCs w:val="21"/>
                <w:highlight w:val="none"/>
                <w:lang w:val="en-US" w:eastAsia="zh-CN"/>
              </w:rPr>
              <w:t>2023</w:t>
            </w:r>
            <w:r>
              <w:rPr>
                <w:rFonts w:hint="eastAsia" w:ascii="宋体" w:hAnsi="宋体" w:eastAsia="宋体" w:cs="宋体"/>
                <w:color w:val="auto"/>
                <w:szCs w:val="21"/>
                <w:highlight w:val="none"/>
                <w:lang w:val="en-US" w:eastAsia="zh-CN"/>
              </w:rPr>
              <w:t>年的财务审计报告或财务报表〔成立不足一年需提供成立至今财务报表）</w:t>
            </w:r>
          </w:p>
        </w:tc>
      </w:tr>
      <w:tr w14:paraId="0B70E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987" w:type="dxa"/>
            <w:vMerge w:val="continue"/>
            <w:tcBorders>
              <w:left w:val="single" w:color="auto" w:sz="4" w:space="0"/>
              <w:right w:val="single" w:color="auto" w:sz="4" w:space="0"/>
            </w:tcBorders>
            <w:noWrap w:val="0"/>
            <w:vAlign w:val="center"/>
          </w:tcPr>
          <w:p w14:paraId="03E5F416">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02C99628">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7C6D3770">
            <w:pPr>
              <w:spacing w:before="93" w:beforeLines="30" w:line="312" w:lineRule="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eastAsia="zh-CN"/>
              </w:rPr>
              <w:t>法定代表人参加应上传法定代表人身份证明和本人身份证；</w:t>
            </w:r>
            <w:r>
              <w:rPr>
                <w:rFonts w:hint="eastAsia" w:ascii="宋体" w:hAnsi="宋体" w:eastAsia="宋体" w:cs="宋体"/>
                <w:color w:val="auto"/>
                <w:szCs w:val="21"/>
                <w:highlight w:val="none"/>
                <w:lang w:val="en-US" w:eastAsia="zh-CN"/>
              </w:rPr>
              <w:t>委托代理人参加应上传法定代表人身份证明、授权委托书、本人身份证</w:t>
            </w:r>
            <w:r>
              <w:rPr>
                <w:rFonts w:hint="eastAsia" w:ascii="宋体" w:hAnsi="宋体" w:cs="宋体"/>
                <w:color w:val="auto"/>
                <w:szCs w:val="21"/>
                <w:highlight w:val="none"/>
                <w:lang w:val="en-US" w:eastAsia="zh-CN"/>
              </w:rPr>
              <w:t>明</w:t>
            </w:r>
          </w:p>
        </w:tc>
      </w:tr>
      <w:tr w14:paraId="234E6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987" w:type="dxa"/>
            <w:vMerge w:val="continue"/>
            <w:tcBorders>
              <w:left w:val="single" w:color="auto" w:sz="4" w:space="0"/>
              <w:right w:val="single" w:color="auto" w:sz="4" w:space="0"/>
            </w:tcBorders>
            <w:noWrap w:val="0"/>
            <w:vAlign w:val="center"/>
          </w:tcPr>
          <w:p w14:paraId="766E1475">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5D3F2805">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701C109">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w:t>
            </w:r>
          </w:p>
        </w:tc>
      </w:tr>
      <w:tr w14:paraId="6A785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0CB0FFEF">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2A3F83B4">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1590C0E">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近期依法缴纳税收的证明（税务局出具近半年之内任意三个月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r>
      <w:tr w14:paraId="7ADD9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6956784E">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03C48DAE">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6B48490F">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投标人如在“信用中国”网站、中国政府采购网被列入严重违法失信行为记录名单的（尚在处罚期内的），将拒绝其参加本次政府采购活动（开标现场查询）。此次招标项目不接受联合体投标;</w:t>
            </w:r>
          </w:p>
        </w:tc>
      </w:tr>
      <w:tr w14:paraId="51F39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66BE9DC8">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268ADF80">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6D764E4F">
            <w:pPr>
              <w:spacing w:before="93" w:beforeLines="30" w:line="312" w:lineRule="auto"/>
              <w:rPr>
                <w:rFonts w:hint="eastAsia"/>
                <w:color w:val="auto"/>
                <w:lang w:eastAsia="zh-CN"/>
              </w:rPr>
            </w:pPr>
            <w:r>
              <w:rPr>
                <w:rFonts w:hint="eastAsia"/>
                <w:color w:val="auto"/>
                <w:lang w:eastAsia="zh-CN"/>
              </w:rPr>
              <w:t>提供具有履行合同所必须的设备和专业技术能力的承诺函原件;</w:t>
            </w:r>
          </w:p>
        </w:tc>
      </w:tr>
      <w:tr w14:paraId="4424D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14948EE0">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43B6A9B0">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70DF2232">
            <w:pPr>
              <w:spacing w:before="93" w:beforeLines="30" w:line="312" w:lineRule="auto"/>
              <w:rPr>
                <w:rFonts w:hint="eastAsia"/>
                <w:color w:val="auto"/>
                <w:lang w:eastAsia="zh-CN"/>
              </w:rPr>
            </w:pPr>
            <w:r>
              <w:rPr>
                <w:rFonts w:hint="eastAsia"/>
                <w:color w:val="auto"/>
                <w:lang w:eastAsia="zh-CN"/>
              </w:rPr>
              <w:t>提供参加政府采购活动前三年内，在经营活动中没有重大违法记录(承诺函原件)</w:t>
            </w:r>
          </w:p>
        </w:tc>
      </w:tr>
      <w:tr w14:paraId="32733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bottom w:val="single" w:color="auto" w:sz="4" w:space="0"/>
              <w:right w:val="single" w:color="auto" w:sz="4" w:space="0"/>
            </w:tcBorders>
            <w:noWrap w:val="0"/>
            <w:vAlign w:val="center"/>
          </w:tcPr>
          <w:p w14:paraId="2F66C659">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bottom w:val="single" w:color="auto" w:sz="4" w:space="0"/>
              <w:right w:val="single" w:color="auto" w:sz="4" w:space="0"/>
            </w:tcBorders>
            <w:noWrap w:val="0"/>
            <w:vAlign w:val="center"/>
          </w:tcPr>
          <w:p w14:paraId="0D4E9B55">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87F0BDA">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政府采购诚信承诺书</w:t>
            </w:r>
          </w:p>
        </w:tc>
      </w:tr>
      <w:tr w14:paraId="3F63A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restart"/>
            <w:tcBorders>
              <w:top w:val="single" w:color="auto" w:sz="4" w:space="0"/>
              <w:left w:val="single" w:color="auto" w:sz="4" w:space="0"/>
              <w:right w:val="single" w:color="auto" w:sz="4" w:space="0"/>
            </w:tcBorders>
            <w:noWrap w:val="0"/>
            <w:vAlign w:val="center"/>
          </w:tcPr>
          <w:p w14:paraId="166DDB2C">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732" w:type="dxa"/>
            <w:vMerge w:val="restart"/>
            <w:tcBorders>
              <w:top w:val="single" w:color="auto" w:sz="4" w:space="0"/>
              <w:left w:val="nil"/>
              <w:right w:val="single" w:color="auto" w:sz="4" w:space="0"/>
            </w:tcBorders>
            <w:noWrap w:val="0"/>
            <w:vAlign w:val="center"/>
          </w:tcPr>
          <w:p w14:paraId="0C11D084">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tc>
        <w:tc>
          <w:tcPr>
            <w:tcW w:w="6497" w:type="dxa"/>
            <w:tcBorders>
              <w:top w:val="single" w:color="auto" w:sz="4" w:space="0"/>
              <w:left w:val="single" w:color="auto" w:sz="4" w:space="0"/>
              <w:bottom w:val="single" w:color="auto" w:sz="4" w:space="0"/>
              <w:right w:val="single" w:color="auto" w:sz="4" w:space="0"/>
            </w:tcBorders>
            <w:noWrap w:val="0"/>
            <w:vAlign w:val="center"/>
          </w:tcPr>
          <w:p w14:paraId="2C568A78">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应有法人代表或授权代表签署意见的文件、证明等，未经本人签署的；应加盖公章的证照、函件，而未加盖公章的;投标文件未按招标文件要求签署、盖章的;</w:t>
            </w:r>
          </w:p>
        </w:tc>
      </w:tr>
      <w:tr w14:paraId="2D788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7" w:type="dxa"/>
            <w:vMerge w:val="continue"/>
            <w:tcBorders>
              <w:left w:val="single" w:color="auto" w:sz="4" w:space="0"/>
              <w:right w:val="single" w:color="auto" w:sz="4" w:space="0"/>
            </w:tcBorders>
            <w:noWrap w:val="0"/>
            <w:vAlign w:val="center"/>
          </w:tcPr>
          <w:p w14:paraId="7B937642">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2EA9AEDB">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234DAF93">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对于有</w:t>
            </w:r>
            <w:r>
              <w:rPr>
                <w:rFonts w:hint="eastAsia" w:ascii="宋体" w:hAnsi="宋体" w:eastAsia="宋体" w:cs="宋体"/>
                <w:color w:val="auto"/>
                <w:szCs w:val="21"/>
                <w:highlight w:val="none"/>
                <w:lang w:eastAsia="zh-CN"/>
              </w:rPr>
              <w:t>特定</w:t>
            </w:r>
            <w:r>
              <w:rPr>
                <w:rFonts w:hint="eastAsia" w:ascii="宋体" w:hAnsi="宋体" w:eastAsia="宋体" w:cs="宋体"/>
                <w:color w:val="auto"/>
                <w:szCs w:val="21"/>
                <w:highlight w:val="none"/>
              </w:rPr>
              <w:t>格式要求的，不允许改动其内容</w:t>
            </w:r>
            <w:r>
              <w:rPr>
                <w:rFonts w:hint="eastAsia" w:ascii="宋体" w:hAnsi="宋体" w:eastAsia="宋体" w:cs="宋体"/>
                <w:color w:val="auto"/>
                <w:szCs w:val="21"/>
                <w:highlight w:val="none"/>
                <w:lang w:val="en-US" w:eastAsia="zh-CN"/>
              </w:rPr>
              <w:t>;</w:t>
            </w:r>
          </w:p>
        </w:tc>
      </w:tr>
      <w:tr w14:paraId="05FB0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0057D6E6">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68F324D9">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28DBF87">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超出招标文件要求的</w:t>
            </w:r>
            <w:r>
              <w:rPr>
                <w:rFonts w:hint="eastAsia" w:ascii="宋体" w:hAnsi="宋体" w:eastAsia="宋体" w:cs="宋体"/>
                <w:color w:val="auto"/>
                <w:szCs w:val="21"/>
                <w:highlight w:val="none"/>
                <w:lang w:eastAsia="zh-CN"/>
              </w:rPr>
              <w:t>供货</w:t>
            </w:r>
            <w:r>
              <w:rPr>
                <w:rFonts w:hint="eastAsia" w:ascii="宋体" w:hAnsi="宋体" w:eastAsia="宋体" w:cs="宋体"/>
                <w:color w:val="auto"/>
                <w:szCs w:val="21"/>
                <w:highlight w:val="none"/>
              </w:rPr>
              <w:t>期限时间的</w:t>
            </w:r>
            <w:r>
              <w:rPr>
                <w:rFonts w:hint="eastAsia" w:ascii="宋体" w:hAnsi="宋体" w:eastAsia="宋体" w:cs="宋体"/>
                <w:color w:val="auto"/>
                <w:szCs w:val="21"/>
                <w:highlight w:val="none"/>
                <w:lang w:val="en-US" w:eastAsia="zh-CN"/>
              </w:rPr>
              <w:t>;</w:t>
            </w:r>
          </w:p>
        </w:tc>
      </w:tr>
      <w:tr w14:paraId="541E5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24CEE906">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25550EB0">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AC472AB">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投标保证金缴纳凭证</w:t>
            </w:r>
          </w:p>
        </w:tc>
      </w:tr>
      <w:tr w14:paraId="1CA78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7C82C0A0">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06F47A3F">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8AA89B2">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投标文件是否对招标文件中的内容做出实质性和完整的投标，是否做出错误投标;</w:t>
            </w:r>
          </w:p>
        </w:tc>
      </w:tr>
      <w:tr w14:paraId="73843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4E17BA79">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629447E1">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5A1A14F7">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不符合法律、法规和招标文件中规定的其他要求的;</w:t>
            </w:r>
          </w:p>
        </w:tc>
      </w:tr>
      <w:tr w14:paraId="2E3E3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987" w:type="dxa"/>
            <w:vMerge w:val="continue"/>
            <w:tcBorders>
              <w:left w:val="single" w:color="auto" w:sz="4" w:space="0"/>
              <w:bottom w:val="single" w:color="auto" w:sz="4" w:space="0"/>
              <w:right w:val="single" w:color="auto" w:sz="4" w:space="0"/>
            </w:tcBorders>
            <w:noWrap w:val="0"/>
            <w:vAlign w:val="center"/>
          </w:tcPr>
          <w:p w14:paraId="73FE2911">
            <w:pPr>
              <w:spacing w:before="93" w:beforeLines="30" w:line="312" w:lineRule="auto"/>
              <w:jc w:val="center"/>
              <w:rPr>
                <w:rFonts w:hint="eastAsia" w:ascii="宋体" w:hAnsi="宋体" w:eastAsia="宋体" w:cs="宋体"/>
                <w:color w:val="auto"/>
                <w:szCs w:val="21"/>
                <w:highlight w:val="none"/>
              </w:rPr>
            </w:pPr>
          </w:p>
        </w:tc>
        <w:tc>
          <w:tcPr>
            <w:tcW w:w="1732" w:type="dxa"/>
            <w:vMerge w:val="continue"/>
            <w:tcBorders>
              <w:left w:val="nil"/>
              <w:bottom w:val="single" w:color="auto" w:sz="4" w:space="0"/>
              <w:right w:val="single" w:color="auto" w:sz="4" w:space="0"/>
            </w:tcBorders>
            <w:noWrap w:val="0"/>
            <w:vAlign w:val="center"/>
          </w:tcPr>
          <w:p w14:paraId="66017A51">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7021525A">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按照招标文件规定报价只有一个有效报价且没有漏项及超过采购预算</w:t>
            </w:r>
          </w:p>
        </w:tc>
      </w:tr>
      <w:tr w14:paraId="22FDF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216" w:type="dxa"/>
            <w:gridSpan w:val="3"/>
            <w:tcBorders>
              <w:top w:val="single" w:color="auto" w:sz="4" w:space="0"/>
              <w:left w:val="single" w:color="auto" w:sz="4" w:space="0"/>
              <w:right w:val="single" w:color="auto" w:sz="4" w:space="0"/>
            </w:tcBorders>
            <w:noWrap w:val="0"/>
            <w:vAlign w:val="center"/>
          </w:tcPr>
          <w:p w14:paraId="07438E60">
            <w:pPr>
              <w:spacing w:before="93" w:beforeLines="30" w:line="312" w:lineRule="auto"/>
              <w:jc w:val="center"/>
              <w:rPr>
                <w:rFonts w:hint="eastAsia" w:ascii="宋体" w:hAnsi="宋体" w:eastAsia="宋体" w:cs="宋体"/>
                <w:color w:val="auto"/>
                <w:szCs w:val="21"/>
                <w:highlight w:val="none"/>
              </w:rPr>
            </w:pPr>
            <w:bookmarkStart w:id="46" w:name="_Toc494455919"/>
            <w:bookmarkStart w:id="47" w:name="_Toc17295"/>
            <w:r>
              <w:rPr>
                <w:rFonts w:hint="eastAsia" w:ascii="宋体" w:hAnsi="宋体" w:cs="宋体"/>
                <w:b/>
                <w:bCs/>
                <w:color w:val="auto"/>
                <w:sz w:val="24"/>
                <w:highlight w:val="none"/>
              </w:rPr>
              <w:t>初步评审合格后方可进入详细评审阶段</w:t>
            </w:r>
          </w:p>
        </w:tc>
      </w:tr>
    </w:tbl>
    <w:p w14:paraId="66BBF485">
      <w:pPr>
        <w:spacing w:before="312" w:beforeLines="100" w:after="156" w:afterLines="50" w:line="400" w:lineRule="exact"/>
        <w:ind w:firstLine="420" w:firstLineChars="200"/>
        <w:rPr>
          <w:rFonts w:hint="eastAsia" w:ascii="宋体" w:hAnsi="宋体" w:eastAsia="宋体" w:cs="宋体"/>
          <w:color w:val="auto"/>
          <w:szCs w:val="21"/>
          <w:highlight w:val="none"/>
        </w:rPr>
      </w:pPr>
    </w:p>
    <w:p w14:paraId="1E33EC4D">
      <w:pPr>
        <w:spacing w:before="312" w:beforeLines="100" w:after="156" w:afterLines="50" w:line="400" w:lineRule="exact"/>
        <w:ind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2.3</w:t>
      </w:r>
      <w:r>
        <w:rPr>
          <w:rFonts w:hint="eastAsia" w:ascii="宋体" w:hAnsi="宋体" w:cs="宋体"/>
          <w:color w:val="auto"/>
          <w:szCs w:val="21"/>
          <w:highlight w:val="none"/>
          <w:lang w:val="en-US" w:eastAsia="zh-CN"/>
        </w:rPr>
        <w:t>评分标准</w:t>
      </w:r>
    </w:p>
    <w:p w14:paraId="0D550635">
      <w:pPr>
        <w:rPr>
          <w:rFonts w:hint="eastAsia" w:ascii="宋体" w:hAnsi="宋体" w:cs="宋体"/>
          <w:color w:val="auto"/>
          <w:szCs w:val="21"/>
          <w:highlight w:val="none"/>
          <w:lang w:val="en-US" w:eastAsia="zh-CN"/>
        </w:rPr>
      </w:pPr>
    </w:p>
    <w:p w14:paraId="0F7EBA65">
      <w:pPr>
        <w:spacing w:beforeLines="0" w:afterLines="0"/>
        <w:jc w:val="center"/>
        <w:rPr>
          <w:rFonts w:hint="eastAsia" w:ascii="宋体" w:hAnsi="宋体" w:eastAsia="宋体" w:cs="宋体"/>
          <w:b/>
          <w:sz w:val="32"/>
          <w:szCs w:val="32"/>
          <w:highlight w:val="none"/>
        </w:rPr>
      </w:pPr>
    </w:p>
    <w:p w14:paraId="34D1D53D">
      <w:pPr>
        <w:spacing w:beforeLines="0" w:afterLines="0"/>
        <w:jc w:val="center"/>
        <w:rPr>
          <w:rFonts w:hint="eastAsia" w:ascii="宋体" w:hAnsi="宋体" w:eastAsia="宋体" w:cs="宋体"/>
          <w:b/>
          <w:sz w:val="32"/>
          <w:szCs w:val="32"/>
          <w:highlight w:val="none"/>
        </w:rPr>
      </w:pPr>
    </w:p>
    <w:p w14:paraId="7B409177">
      <w:pPr>
        <w:spacing w:beforeLines="0" w:afterLines="0"/>
        <w:jc w:val="both"/>
        <w:rPr>
          <w:rFonts w:hint="default" w:ascii="宋体" w:hAnsi="宋体" w:eastAsia="宋体" w:cs="宋体"/>
          <w:b/>
          <w:sz w:val="32"/>
          <w:szCs w:val="32"/>
          <w:highlight w:val="none"/>
          <w:lang w:val="en-US" w:eastAsia="zh-CN"/>
        </w:rPr>
      </w:pPr>
      <w:r>
        <w:rPr>
          <w:rFonts w:hint="eastAsia" w:ascii="宋体" w:hAnsi="宋体" w:cs="宋体"/>
          <w:b/>
          <w:sz w:val="32"/>
          <w:szCs w:val="32"/>
          <w:highlight w:val="none"/>
          <w:lang w:val="en-US" w:eastAsia="zh-CN"/>
        </w:rPr>
        <w:t>附表二</w:t>
      </w:r>
    </w:p>
    <w:p w14:paraId="66B918C4">
      <w:pPr>
        <w:spacing w:beforeLines="0" w:afterLine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评分标准</w:t>
      </w:r>
    </w:p>
    <w:p w14:paraId="20AF9DFB">
      <w:pPr>
        <w:rPr>
          <w:rFonts w:hint="eastAsia"/>
        </w:rPr>
      </w:pPr>
      <w:bookmarkStart w:id="69" w:name="_GoBack"/>
      <w:bookmarkEnd w:id="69"/>
    </w:p>
    <w:tbl>
      <w:tblPr>
        <w:tblStyle w:val="18"/>
        <w:tblpPr w:leftFromText="180" w:rightFromText="180" w:vertAnchor="text" w:horzAnchor="page" w:tblpX="1004" w:tblpY="317"/>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87"/>
        <w:gridCol w:w="545"/>
        <w:gridCol w:w="5845"/>
        <w:gridCol w:w="1343"/>
      </w:tblGrid>
      <w:tr w14:paraId="0C93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78" w:type="dxa"/>
            <w:noWrap w:val="0"/>
            <w:vAlign w:val="center"/>
          </w:tcPr>
          <w:p w14:paraId="1C51FBE7">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1487" w:type="dxa"/>
            <w:noWrap w:val="0"/>
            <w:vAlign w:val="center"/>
          </w:tcPr>
          <w:p w14:paraId="475C9D57">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评分因素</w:t>
            </w:r>
          </w:p>
          <w:p w14:paraId="0886D6BD">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及权重</w:t>
            </w:r>
          </w:p>
        </w:tc>
        <w:tc>
          <w:tcPr>
            <w:tcW w:w="545" w:type="dxa"/>
            <w:noWrap w:val="0"/>
            <w:vAlign w:val="center"/>
          </w:tcPr>
          <w:p w14:paraId="0144089F">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分值</w:t>
            </w:r>
          </w:p>
        </w:tc>
        <w:tc>
          <w:tcPr>
            <w:tcW w:w="5845" w:type="dxa"/>
            <w:noWrap w:val="0"/>
            <w:vAlign w:val="center"/>
          </w:tcPr>
          <w:p w14:paraId="39F4D334">
            <w:pPr>
              <w:widowControl/>
              <w:spacing w:line="280" w:lineRule="exact"/>
              <w:ind w:firstLine="883" w:firstLineChars="400"/>
              <w:jc w:val="both"/>
              <w:rPr>
                <w:rFonts w:hint="eastAsia"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 xml:space="preserve">商  务  </w:t>
            </w:r>
            <w:r>
              <w:rPr>
                <w:rFonts w:hint="eastAsia" w:ascii="宋体" w:hAnsi="宋体" w:eastAsia="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30</w:t>
            </w:r>
            <w:r>
              <w:rPr>
                <w:rFonts w:hint="eastAsia" w:ascii="宋体" w:hAnsi="宋体" w:eastAsia="宋体" w:cs="宋体"/>
                <w:b/>
                <w:bCs/>
                <w:color w:val="auto"/>
                <w:kern w:val="0"/>
                <w:sz w:val="22"/>
                <w:szCs w:val="22"/>
                <w:highlight w:val="none"/>
              </w:rPr>
              <w:t xml:space="preserve">分              </w:t>
            </w:r>
          </w:p>
        </w:tc>
        <w:tc>
          <w:tcPr>
            <w:tcW w:w="1343" w:type="dxa"/>
            <w:noWrap w:val="0"/>
            <w:vAlign w:val="center"/>
          </w:tcPr>
          <w:p w14:paraId="0C316B05">
            <w:pPr>
              <w:pStyle w:val="27"/>
              <w:spacing w:line="2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说明</w:t>
            </w:r>
          </w:p>
        </w:tc>
      </w:tr>
      <w:tr w14:paraId="55C5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trPr>
        <w:tc>
          <w:tcPr>
            <w:tcW w:w="878" w:type="dxa"/>
            <w:noWrap w:val="0"/>
            <w:vAlign w:val="center"/>
          </w:tcPr>
          <w:p w14:paraId="33F604B0">
            <w:pPr>
              <w:widowControl/>
              <w:spacing w:line="280" w:lineRule="exact"/>
              <w:jc w:val="center"/>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w:t>
            </w:r>
          </w:p>
        </w:tc>
        <w:tc>
          <w:tcPr>
            <w:tcW w:w="1487" w:type="dxa"/>
            <w:noWrap w:val="0"/>
            <w:vAlign w:val="center"/>
          </w:tcPr>
          <w:p w14:paraId="534AF1CC">
            <w:pPr>
              <w:widowControl/>
              <w:spacing w:line="280" w:lineRule="exact"/>
              <w:jc w:val="center"/>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报价</w:t>
            </w:r>
          </w:p>
        </w:tc>
        <w:tc>
          <w:tcPr>
            <w:tcW w:w="545" w:type="dxa"/>
            <w:noWrap w:val="0"/>
            <w:vAlign w:val="center"/>
          </w:tcPr>
          <w:p w14:paraId="16EAA03F">
            <w:pPr>
              <w:widowControl/>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 xml:space="preserve">30分 </w:t>
            </w:r>
          </w:p>
        </w:tc>
        <w:tc>
          <w:tcPr>
            <w:tcW w:w="5845" w:type="dxa"/>
            <w:noWrap w:val="0"/>
            <w:vAlign w:val="center"/>
          </w:tcPr>
          <w:p w14:paraId="422A9E7E">
            <w:pPr>
              <w:widowControl/>
              <w:spacing w:line="280" w:lineRule="exact"/>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综合评分法中的价格分统一采用低价优先法计算，即满足招标文件要求且有效报价最低的投标人的价格为评标基准价，其价格分为满分。其他投标人的价格分统一按照下列公式计算：报价得分=（评标基准价/有效投标报价）×价格权值×100（小数点保留两位）</w:t>
            </w:r>
          </w:p>
        </w:tc>
        <w:tc>
          <w:tcPr>
            <w:tcW w:w="1343" w:type="dxa"/>
            <w:noWrap w:val="0"/>
            <w:vAlign w:val="center"/>
          </w:tcPr>
          <w:p w14:paraId="32ABDDDA">
            <w:pPr>
              <w:pStyle w:val="27"/>
              <w:spacing w:line="280" w:lineRule="exact"/>
              <w:rPr>
                <w:rFonts w:hint="eastAsia" w:ascii="宋体" w:hAnsi="宋体" w:eastAsia="宋体" w:cs="宋体"/>
                <w:bCs/>
                <w:color w:val="auto"/>
                <w:sz w:val="22"/>
                <w:szCs w:val="22"/>
                <w:highlight w:val="none"/>
              </w:rPr>
            </w:pPr>
          </w:p>
        </w:tc>
      </w:tr>
      <w:tr w14:paraId="4B0F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098" w:type="dxa"/>
            <w:gridSpan w:val="5"/>
            <w:noWrap w:val="0"/>
            <w:vAlign w:val="center"/>
          </w:tcPr>
          <w:p w14:paraId="63C6D2F1">
            <w:pPr>
              <w:pStyle w:val="27"/>
              <w:spacing w:line="280" w:lineRule="exact"/>
              <w:rPr>
                <w:rFonts w:hint="eastAsia" w:ascii="宋体" w:hAnsi="宋体" w:eastAsia="宋体" w:cs="宋体"/>
                <w:bCs/>
                <w:color w:val="auto"/>
                <w:sz w:val="22"/>
                <w:szCs w:val="22"/>
                <w:highlight w:val="none"/>
              </w:rPr>
            </w:pPr>
            <w:r>
              <w:rPr>
                <w:rFonts w:hint="eastAsia" w:ascii="宋体" w:hAnsi="宋体" w:cs="宋体"/>
                <w:b/>
                <w:bCs/>
                <w:color w:val="auto"/>
                <w:kern w:val="0"/>
                <w:sz w:val="22"/>
                <w:szCs w:val="22"/>
                <w:highlight w:val="none"/>
                <w:lang w:val="en-US" w:eastAsia="zh-CN"/>
              </w:rPr>
              <w:t>技术分:70分</w:t>
            </w:r>
          </w:p>
        </w:tc>
      </w:tr>
      <w:tr w14:paraId="0792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78" w:type="dxa"/>
            <w:vMerge w:val="restart"/>
            <w:noWrap w:val="0"/>
            <w:vAlign w:val="center"/>
          </w:tcPr>
          <w:p w14:paraId="3AF00F20">
            <w:pPr>
              <w:widowControl/>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p>
          <w:p w14:paraId="48E7F16E">
            <w:pPr>
              <w:widowControl/>
              <w:spacing w:line="280" w:lineRule="exact"/>
              <w:jc w:val="center"/>
              <w:rPr>
                <w:rFonts w:hint="eastAsia" w:ascii="宋体" w:hAnsi="宋体" w:eastAsia="宋体" w:cs="宋体"/>
                <w:b/>
                <w:bCs/>
                <w:color w:val="auto"/>
                <w:kern w:val="0"/>
                <w:sz w:val="22"/>
                <w:szCs w:val="22"/>
                <w:highlight w:val="none"/>
              </w:rPr>
            </w:pPr>
          </w:p>
          <w:p w14:paraId="390470ED">
            <w:pPr>
              <w:widowControl/>
              <w:spacing w:line="280" w:lineRule="exact"/>
              <w:jc w:val="center"/>
              <w:rPr>
                <w:rFonts w:hint="eastAsia" w:ascii="宋体" w:hAnsi="宋体" w:eastAsia="宋体" w:cs="宋体"/>
                <w:b/>
                <w:bCs/>
                <w:color w:val="auto"/>
                <w:kern w:val="0"/>
                <w:sz w:val="22"/>
                <w:szCs w:val="22"/>
                <w:highlight w:val="none"/>
              </w:rPr>
            </w:pPr>
          </w:p>
        </w:tc>
        <w:tc>
          <w:tcPr>
            <w:tcW w:w="1487" w:type="dxa"/>
            <w:shd w:val="clear" w:color="auto" w:fill="auto"/>
            <w:noWrap w:val="0"/>
            <w:vAlign w:val="center"/>
          </w:tcPr>
          <w:p w14:paraId="196999AB">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评分因素</w:t>
            </w:r>
          </w:p>
          <w:p w14:paraId="24B0149E">
            <w:pPr>
              <w:widowControl/>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及权重</w:t>
            </w:r>
          </w:p>
        </w:tc>
        <w:tc>
          <w:tcPr>
            <w:tcW w:w="545" w:type="dxa"/>
            <w:shd w:val="clear" w:color="auto" w:fill="auto"/>
            <w:noWrap w:val="0"/>
            <w:vAlign w:val="center"/>
          </w:tcPr>
          <w:p w14:paraId="798CE9C9">
            <w:pPr>
              <w:widowControl/>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分值</w:t>
            </w:r>
          </w:p>
        </w:tc>
        <w:tc>
          <w:tcPr>
            <w:tcW w:w="5845" w:type="dxa"/>
            <w:noWrap w:val="0"/>
            <w:vAlign w:val="center"/>
          </w:tcPr>
          <w:p w14:paraId="5FBEA3F7">
            <w:pPr>
              <w:widowControl/>
              <w:spacing w:line="280" w:lineRule="exact"/>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评分因素</w:t>
            </w:r>
          </w:p>
        </w:tc>
        <w:tc>
          <w:tcPr>
            <w:tcW w:w="1343" w:type="dxa"/>
            <w:noWrap w:val="0"/>
            <w:vAlign w:val="center"/>
          </w:tcPr>
          <w:p w14:paraId="1FEC6B06">
            <w:pPr>
              <w:pStyle w:val="27"/>
              <w:spacing w:line="280" w:lineRule="exact"/>
              <w:rPr>
                <w:rFonts w:hint="eastAsia" w:ascii="宋体" w:hAnsi="宋体" w:eastAsia="宋体" w:cs="宋体"/>
                <w:bCs/>
                <w:color w:val="auto"/>
                <w:sz w:val="22"/>
                <w:szCs w:val="22"/>
                <w:highlight w:val="none"/>
              </w:rPr>
            </w:pPr>
          </w:p>
        </w:tc>
      </w:tr>
      <w:tr w14:paraId="69BF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878" w:type="dxa"/>
            <w:vMerge w:val="continue"/>
            <w:noWrap w:val="0"/>
            <w:vAlign w:val="center"/>
          </w:tcPr>
          <w:p w14:paraId="0A1EA2E8">
            <w:pPr>
              <w:widowControl/>
              <w:spacing w:line="280" w:lineRule="exact"/>
              <w:jc w:val="center"/>
              <w:rPr>
                <w:rFonts w:hint="eastAsia" w:ascii="宋体" w:hAnsi="宋体" w:eastAsia="宋体" w:cs="宋体"/>
                <w:b/>
                <w:bCs/>
                <w:color w:val="auto"/>
                <w:kern w:val="0"/>
                <w:sz w:val="22"/>
                <w:szCs w:val="22"/>
                <w:highlight w:val="none"/>
                <w:lang w:eastAsia="zh-CN"/>
              </w:rPr>
            </w:pPr>
          </w:p>
        </w:tc>
        <w:tc>
          <w:tcPr>
            <w:tcW w:w="1487" w:type="dxa"/>
            <w:noWrap w:val="0"/>
            <w:vAlign w:val="center"/>
          </w:tcPr>
          <w:p w14:paraId="09697E8D">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供应商</w:t>
            </w:r>
            <w:r>
              <w:rPr>
                <w:rFonts w:hint="eastAsia" w:ascii="宋体" w:hAnsi="宋体" w:eastAsia="宋体" w:cs="宋体"/>
                <w:color w:val="auto"/>
                <w:kern w:val="0"/>
                <w:sz w:val="22"/>
                <w:szCs w:val="22"/>
                <w:highlight w:val="none"/>
              </w:rPr>
              <w:t>业绩</w:t>
            </w:r>
          </w:p>
        </w:tc>
        <w:tc>
          <w:tcPr>
            <w:tcW w:w="545" w:type="dxa"/>
            <w:noWrap w:val="0"/>
            <w:vAlign w:val="center"/>
          </w:tcPr>
          <w:p w14:paraId="24B8A8BA">
            <w:pPr>
              <w:widowControl/>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2分</w:t>
            </w:r>
          </w:p>
        </w:tc>
        <w:tc>
          <w:tcPr>
            <w:tcW w:w="5845" w:type="dxa"/>
            <w:tcBorders>
              <w:bottom w:val="single" w:color="auto" w:sz="4" w:space="0"/>
            </w:tcBorders>
            <w:noWrap w:val="0"/>
            <w:vAlign w:val="center"/>
          </w:tcPr>
          <w:p w14:paraId="1C2DAAAD">
            <w:pPr>
              <w:widowControl/>
              <w:spacing w:line="280" w:lineRule="exact"/>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制造商或投标人类似业绩,每提供一项业绩证明材料(中标通知书或合同)的得 1分；满分 </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 xml:space="preserve"> 分</w:t>
            </w:r>
          </w:p>
        </w:tc>
        <w:tc>
          <w:tcPr>
            <w:tcW w:w="1343" w:type="dxa"/>
            <w:tcBorders>
              <w:bottom w:val="single" w:color="auto" w:sz="4" w:space="0"/>
            </w:tcBorders>
            <w:noWrap w:val="0"/>
            <w:vAlign w:val="center"/>
          </w:tcPr>
          <w:p w14:paraId="28620944">
            <w:pPr>
              <w:spacing w:line="28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根据需求提供必要的证明资料</w:t>
            </w:r>
          </w:p>
        </w:tc>
      </w:tr>
      <w:tr w14:paraId="6538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878" w:type="dxa"/>
            <w:vMerge w:val="continue"/>
            <w:noWrap w:val="0"/>
            <w:vAlign w:val="center"/>
          </w:tcPr>
          <w:p w14:paraId="6EF74604">
            <w:pPr>
              <w:widowControl/>
              <w:spacing w:line="280" w:lineRule="exact"/>
              <w:jc w:val="center"/>
              <w:rPr>
                <w:rFonts w:hint="eastAsia" w:ascii="宋体" w:hAnsi="宋体" w:eastAsia="宋体" w:cs="宋体"/>
                <w:b/>
                <w:bCs/>
                <w:color w:val="auto"/>
                <w:kern w:val="0"/>
                <w:sz w:val="22"/>
                <w:szCs w:val="22"/>
                <w:highlight w:val="none"/>
                <w:lang w:eastAsia="zh-CN"/>
              </w:rPr>
            </w:pPr>
          </w:p>
        </w:tc>
        <w:tc>
          <w:tcPr>
            <w:tcW w:w="1487" w:type="dxa"/>
            <w:noWrap w:val="0"/>
            <w:vAlign w:val="center"/>
          </w:tcPr>
          <w:p w14:paraId="1140D819">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1"/>
                <w:szCs w:val="21"/>
                <w:highlight w:val="none"/>
              </w:rPr>
              <w:t>技术参数、配置及性能指标</w:t>
            </w:r>
          </w:p>
        </w:tc>
        <w:tc>
          <w:tcPr>
            <w:tcW w:w="545" w:type="dxa"/>
            <w:tcBorders>
              <w:right w:val="single" w:color="auto" w:sz="4" w:space="0"/>
            </w:tcBorders>
            <w:noWrap w:val="0"/>
            <w:vAlign w:val="center"/>
          </w:tcPr>
          <w:p w14:paraId="69811E6D">
            <w:pPr>
              <w:widowControl/>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30分</w:t>
            </w:r>
          </w:p>
        </w:tc>
        <w:tc>
          <w:tcPr>
            <w:tcW w:w="5845" w:type="dxa"/>
            <w:tcBorders>
              <w:top w:val="single" w:color="auto" w:sz="4" w:space="0"/>
              <w:left w:val="single" w:color="auto" w:sz="4" w:space="0"/>
              <w:bottom w:val="single" w:color="auto" w:sz="4" w:space="0"/>
              <w:right w:val="single" w:color="auto" w:sz="4" w:space="0"/>
            </w:tcBorders>
            <w:noWrap w:val="0"/>
            <w:vAlign w:val="center"/>
          </w:tcPr>
          <w:p w14:paraId="097D01E6">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根据供应商提供的技术指标进行评定，所投产品全部投标指标得</w:t>
            </w:r>
            <w:r>
              <w:rPr>
                <w:rFonts w:hint="eastAsia" w:ascii="宋体" w:hAnsi="宋体" w:cs="宋体"/>
                <w:color w:val="auto"/>
                <w:kern w:val="0"/>
                <w:sz w:val="22"/>
                <w:szCs w:val="22"/>
                <w:highlight w:val="none"/>
                <w:lang w:val="en-US" w:eastAsia="zh-CN"/>
              </w:rPr>
              <w:t>30</w:t>
            </w:r>
            <w:r>
              <w:rPr>
                <w:rFonts w:hint="eastAsia" w:ascii="宋体" w:hAnsi="宋体" w:eastAsia="宋体" w:cs="宋体"/>
                <w:color w:val="auto"/>
                <w:kern w:val="0"/>
                <w:sz w:val="22"/>
                <w:szCs w:val="22"/>
                <w:highlight w:val="none"/>
                <w:lang w:val="en-US" w:eastAsia="zh-CN"/>
              </w:rPr>
              <w:t>分；其中标注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的条款有一项负偏离的扣</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分(本项满分</w:t>
            </w:r>
            <w:r>
              <w:rPr>
                <w:rFonts w:hint="eastAsia" w:ascii="宋体" w:hAnsi="宋体" w:cs="宋体"/>
                <w:color w:val="auto"/>
                <w:kern w:val="0"/>
                <w:sz w:val="22"/>
                <w:szCs w:val="22"/>
                <w:highlight w:val="none"/>
                <w:lang w:val="en-US" w:eastAsia="zh-CN"/>
              </w:rPr>
              <w:t>18</w:t>
            </w:r>
            <w:r>
              <w:rPr>
                <w:rFonts w:hint="eastAsia" w:ascii="宋体" w:hAnsi="宋体" w:eastAsia="宋体" w:cs="宋体"/>
                <w:color w:val="auto"/>
                <w:kern w:val="0"/>
                <w:sz w:val="22"/>
                <w:szCs w:val="22"/>
                <w:highlight w:val="none"/>
                <w:lang w:val="en-US" w:eastAsia="zh-CN"/>
              </w:rPr>
              <w:t>分）；无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标识的非关键参数有一项负偏离的扣</w:t>
            </w:r>
            <w:r>
              <w:rPr>
                <w:rFonts w:hint="eastAsia" w:ascii="宋体" w:hAnsi="宋体" w:cs="宋体"/>
                <w:color w:val="auto"/>
                <w:kern w:val="0"/>
                <w:sz w:val="22"/>
                <w:szCs w:val="22"/>
                <w:highlight w:val="none"/>
                <w:lang w:val="en-US" w:eastAsia="zh-CN"/>
              </w:rPr>
              <w:t>0.5</w:t>
            </w:r>
            <w:r>
              <w:rPr>
                <w:rFonts w:hint="eastAsia" w:ascii="宋体" w:hAnsi="宋体" w:eastAsia="宋体" w:cs="宋体"/>
                <w:color w:val="auto"/>
                <w:kern w:val="0"/>
                <w:sz w:val="22"/>
                <w:szCs w:val="22"/>
                <w:highlight w:val="none"/>
                <w:lang w:val="en-US" w:eastAsia="zh-CN"/>
              </w:rPr>
              <w:t>分（本项满分</w:t>
            </w:r>
            <w:r>
              <w:rPr>
                <w:rFonts w:hint="eastAsia" w:ascii="宋体" w:hAnsi="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lang w:val="en-US" w:eastAsia="zh-CN"/>
              </w:rPr>
              <w:t>分）。</w:t>
            </w:r>
          </w:p>
        </w:tc>
        <w:tc>
          <w:tcPr>
            <w:tcW w:w="1343" w:type="dxa"/>
            <w:vMerge w:val="restart"/>
            <w:tcBorders>
              <w:top w:val="single" w:color="auto" w:sz="4" w:space="0"/>
              <w:left w:val="single" w:color="auto" w:sz="4" w:space="0"/>
              <w:bottom w:val="single" w:color="auto" w:sz="4" w:space="0"/>
              <w:right w:val="single" w:color="auto" w:sz="4" w:space="0"/>
            </w:tcBorders>
            <w:noWrap w:val="0"/>
            <w:vAlign w:val="center"/>
          </w:tcPr>
          <w:p w14:paraId="378A0CE2">
            <w:pPr>
              <w:spacing w:line="2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根据需求提供必要的证明资料</w:t>
            </w:r>
          </w:p>
          <w:p w14:paraId="11FA75DE">
            <w:pPr>
              <w:spacing w:line="280" w:lineRule="exact"/>
              <w:rPr>
                <w:rFonts w:hint="eastAsia" w:ascii="宋体" w:hAnsi="宋体" w:eastAsia="宋体" w:cs="宋体"/>
                <w:b/>
                <w:bCs/>
                <w:color w:val="auto"/>
                <w:sz w:val="22"/>
                <w:szCs w:val="22"/>
                <w:highlight w:val="none"/>
              </w:rPr>
            </w:pPr>
          </w:p>
          <w:p w14:paraId="2E5E666F">
            <w:pPr>
              <w:spacing w:line="280" w:lineRule="exact"/>
              <w:rPr>
                <w:rFonts w:hint="eastAsia" w:ascii="宋体" w:hAnsi="宋体" w:eastAsia="宋体" w:cs="宋体"/>
                <w:b/>
                <w:bCs/>
                <w:color w:val="auto"/>
                <w:sz w:val="22"/>
                <w:szCs w:val="22"/>
                <w:highlight w:val="none"/>
              </w:rPr>
            </w:pPr>
          </w:p>
          <w:p w14:paraId="3D46FC00">
            <w:pPr>
              <w:spacing w:line="280" w:lineRule="exact"/>
              <w:rPr>
                <w:rFonts w:hint="eastAsia" w:ascii="宋体" w:hAnsi="宋体" w:eastAsia="宋体" w:cs="宋体"/>
                <w:b/>
                <w:bCs/>
                <w:color w:val="auto"/>
                <w:sz w:val="22"/>
                <w:szCs w:val="22"/>
                <w:highlight w:val="none"/>
              </w:rPr>
            </w:pPr>
          </w:p>
        </w:tc>
      </w:tr>
      <w:tr w14:paraId="1133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878" w:type="dxa"/>
            <w:vMerge w:val="continue"/>
            <w:noWrap w:val="0"/>
            <w:vAlign w:val="center"/>
          </w:tcPr>
          <w:p w14:paraId="0B87EA95">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301630A4">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检测报告</w:t>
            </w:r>
          </w:p>
        </w:tc>
        <w:tc>
          <w:tcPr>
            <w:tcW w:w="545" w:type="dxa"/>
            <w:tcBorders>
              <w:right w:val="single" w:color="auto" w:sz="4" w:space="0"/>
            </w:tcBorders>
            <w:noWrap w:val="0"/>
            <w:vAlign w:val="center"/>
          </w:tcPr>
          <w:p w14:paraId="3672D0ED">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2分</w:t>
            </w:r>
          </w:p>
        </w:tc>
        <w:tc>
          <w:tcPr>
            <w:tcW w:w="5845" w:type="dxa"/>
            <w:tcBorders>
              <w:top w:val="single" w:color="auto" w:sz="4" w:space="0"/>
              <w:left w:val="single" w:color="auto" w:sz="4" w:space="0"/>
              <w:bottom w:val="single" w:color="auto" w:sz="4" w:space="0"/>
              <w:right w:val="single" w:color="auto" w:sz="4" w:space="0"/>
            </w:tcBorders>
            <w:noWrap w:val="0"/>
            <w:vAlign w:val="center"/>
          </w:tcPr>
          <w:p w14:paraId="65E1B9EC">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提供具备检测资质的第三方检测机构出具的检测报告，提供一个得 1 分，最高得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 xml:space="preserve"> 分，不提供不得分。</w:t>
            </w:r>
          </w:p>
        </w:tc>
        <w:tc>
          <w:tcPr>
            <w:tcW w:w="1343" w:type="dxa"/>
            <w:vMerge w:val="continue"/>
            <w:tcBorders>
              <w:top w:val="single" w:color="auto" w:sz="4" w:space="0"/>
              <w:left w:val="single" w:color="auto" w:sz="4" w:space="0"/>
              <w:bottom w:val="single" w:color="auto" w:sz="4" w:space="0"/>
              <w:right w:val="single" w:color="auto" w:sz="4" w:space="0"/>
            </w:tcBorders>
            <w:noWrap w:val="0"/>
            <w:vAlign w:val="center"/>
          </w:tcPr>
          <w:p w14:paraId="6E3BCFAB">
            <w:pPr>
              <w:spacing w:line="280" w:lineRule="exact"/>
              <w:rPr>
                <w:rFonts w:hint="eastAsia" w:ascii="宋体" w:hAnsi="宋体" w:eastAsia="宋体" w:cs="宋体"/>
                <w:color w:val="auto"/>
                <w:sz w:val="22"/>
                <w:szCs w:val="22"/>
                <w:highlight w:val="none"/>
              </w:rPr>
            </w:pPr>
          </w:p>
        </w:tc>
      </w:tr>
      <w:tr w14:paraId="11F0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8" w:type="dxa"/>
            <w:vMerge w:val="continue"/>
            <w:noWrap w:val="0"/>
            <w:vAlign w:val="center"/>
          </w:tcPr>
          <w:p w14:paraId="2CC1E686">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5C751CC4">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实施方案</w:t>
            </w:r>
          </w:p>
        </w:tc>
        <w:tc>
          <w:tcPr>
            <w:tcW w:w="545" w:type="dxa"/>
            <w:tcBorders>
              <w:right w:val="single" w:color="auto" w:sz="4" w:space="0"/>
            </w:tcBorders>
            <w:noWrap w:val="0"/>
            <w:vAlign w:val="center"/>
          </w:tcPr>
          <w:p w14:paraId="57864951">
            <w:pPr>
              <w:widowControl/>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15分</w:t>
            </w:r>
          </w:p>
        </w:tc>
        <w:tc>
          <w:tcPr>
            <w:tcW w:w="5845" w:type="dxa"/>
            <w:tcBorders>
              <w:top w:val="single" w:color="auto" w:sz="4" w:space="0"/>
              <w:left w:val="single" w:color="auto" w:sz="4" w:space="0"/>
              <w:bottom w:val="single" w:color="auto" w:sz="4" w:space="0"/>
              <w:right w:val="single" w:color="auto" w:sz="4" w:space="0"/>
            </w:tcBorders>
            <w:noWrap w:val="0"/>
            <w:vAlign w:val="center"/>
          </w:tcPr>
          <w:p w14:paraId="7E422586">
            <w:pPr>
              <w:widowControl/>
              <w:spacing w:line="28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包括:</w:t>
            </w:r>
          </w:p>
          <w:p w14:paraId="49A641BF">
            <w:pPr>
              <w:widowControl/>
              <w:numPr>
                <w:ilvl w:val="0"/>
                <w:numId w:val="9"/>
              </w:numPr>
              <w:spacing w:line="28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功能说明、性能指标、设备选型说明；</w:t>
            </w:r>
          </w:p>
          <w:p w14:paraId="6D55BA09">
            <w:pPr>
              <w:widowControl/>
              <w:numPr>
                <w:ilvl w:val="0"/>
                <w:numId w:val="9"/>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投标人的项目实施进度计划安排，且相关保障措施;</w:t>
            </w:r>
          </w:p>
          <w:p w14:paraId="3402F87C">
            <w:pPr>
              <w:widowControl/>
              <w:numPr>
                <w:ilvl w:val="0"/>
                <w:numId w:val="9"/>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对各项关键工作安排包含（品控、备货、发货、安装调试、验收）；</w:t>
            </w:r>
          </w:p>
          <w:p w14:paraId="66F5B5D6">
            <w:pPr>
              <w:widowControl/>
              <w:numPr>
                <w:ilvl w:val="0"/>
                <w:numId w:val="9"/>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对应急突发事件有应急保障措施和解决方案;</w:t>
            </w:r>
          </w:p>
          <w:p w14:paraId="576C1B6E">
            <w:pPr>
              <w:widowControl/>
              <w:numPr>
                <w:ilvl w:val="0"/>
                <w:numId w:val="9"/>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项目管理方案,组织机构完善，人员有保障。</w:t>
            </w:r>
          </w:p>
          <w:p w14:paraId="7FB06F7A">
            <w:pPr>
              <w:widowControl/>
              <w:numPr>
                <w:ilvl w:val="0"/>
                <w:numId w:val="0"/>
              </w:numPr>
              <w:spacing w:line="280" w:lineRule="exact"/>
              <w:ind w:lef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以上内容每项得0-3分，未提供不得分。</w:t>
            </w:r>
          </w:p>
        </w:tc>
        <w:tc>
          <w:tcPr>
            <w:tcW w:w="1343" w:type="dxa"/>
            <w:vMerge w:val="continue"/>
            <w:tcBorders>
              <w:top w:val="single" w:color="auto" w:sz="4" w:space="0"/>
              <w:left w:val="single" w:color="auto" w:sz="4" w:space="0"/>
              <w:bottom w:val="single" w:color="auto" w:sz="4" w:space="0"/>
              <w:right w:val="single" w:color="auto" w:sz="4" w:space="0"/>
            </w:tcBorders>
            <w:noWrap w:val="0"/>
            <w:vAlign w:val="center"/>
          </w:tcPr>
          <w:p w14:paraId="45328B4E">
            <w:pPr>
              <w:spacing w:line="280" w:lineRule="exact"/>
              <w:rPr>
                <w:rFonts w:hint="eastAsia" w:ascii="宋体" w:hAnsi="宋体" w:eastAsia="宋体" w:cs="宋体"/>
                <w:color w:val="auto"/>
                <w:sz w:val="22"/>
                <w:szCs w:val="22"/>
                <w:highlight w:val="none"/>
              </w:rPr>
            </w:pPr>
          </w:p>
        </w:tc>
      </w:tr>
      <w:tr w14:paraId="6662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878" w:type="dxa"/>
            <w:vMerge w:val="continue"/>
            <w:noWrap w:val="0"/>
            <w:vAlign w:val="center"/>
          </w:tcPr>
          <w:p w14:paraId="5ACE7EFA">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7827C7DA">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培训方案</w:t>
            </w:r>
          </w:p>
        </w:tc>
        <w:tc>
          <w:tcPr>
            <w:tcW w:w="545" w:type="dxa"/>
            <w:noWrap w:val="0"/>
            <w:vAlign w:val="center"/>
          </w:tcPr>
          <w:p w14:paraId="658579B6">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4分</w:t>
            </w:r>
          </w:p>
        </w:tc>
        <w:tc>
          <w:tcPr>
            <w:tcW w:w="5845" w:type="dxa"/>
            <w:tcBorders>
              <w:top w:val="single" w:color="auto" w:sz="4" w:space="0"/>
            </w:tcBorders>
            <w:noWrap w:val="0"/>
            <w:vAlign w:val="center"/>
          </w:tcPr>
          <w:p w14:paraId="361B8801">
            <w:pPr>
              <w:widowControl/>
              <w:spacing w:line="280" w:lineRule="exact"/>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根据投标人培训计划情况，应含详细合理的培训方案（包含：①培训</w:t>
            </w:r>
            <w:r>
              <w:rPr>
                <w:rFonts w:hint="eastAsia" w:ascii="宋体" w:hAnsi="宋体" w:cs="宋体"/>
                <w:color w:val="auto"/>
                <w:kern w:val="0"/>
                <w:sz w:val="22"/>
                <w:szCs w:val="22"/>
                <w:highlight w:val="none"/>
                <w:lang w:val="en-US" w:eastAsia="zh-CN"/>
              </w:rPr>
              <w:t>计划</w:t>
            </w:r>
            <w:r>
              <w:rPr>
                <w:rFonts w:hint="eastAsia" w:ascii="宋体" w:hAnsi="宋体" w:eastAsia="宋体" w:cs="宋体"/>
                <w:color w:val="auto"/>
                <w:kern w:val="0"/>
                <w:sz w:val="22"/>
                <w:szCs w:val="22"/>
                <w:highlight w:val="none"/>
              </w:rPr>
              <w:t>；②培训</w:t>
            </w:r>
            <w:r>
              <w:rPr>
                <w:rFonts w:hint="eastAsia" w:ascii="宋体" w:hAnsi="宋体" w:cs="宋体"/>
                <w:color w:val="auto"/>
                <w:kern w:val="0"/>
                <w:sz w:val="22"/>
                <w:szCs w:val="22"/>
                <w:highlight w:val="none"/>
                <w:lang w:val="en-US" w:eastAsia="zh-CN"/>
              </w:rPr>
              <w:t>讲师</w:t>
            </w:r>
            <w:r>
              <w:rPr>
                <w:rFonts w:hint="eastAsia" w:ascii="宋体" w:hAnsi="宋体" w:eastAsia="宋体" w:cs="宋体"/>
                <w:color w:val="auto"/>
                <w:kern w:val="0"/>
                <w:sz w:val="22"/>
                <w:szCs w:val="22"/>
                <w:highlight w:val="none"/>
              </w:rPr>
              <w:t>；③培训内容；④培训</w:t>
            </w:r>
            <w:r>
              <w:rPr>
                <w:rFonts w:hint="eastAsia" w:ascii="宋体" w:hAnsi="宋体" w:cs="宋体"/>
                <w:color w:val="auto"/>
                <w:kern w:val="0"/>
                <w:sz w:val="22"/>
                <w:szCs w:val="22"/>
                <w:highlight w:val="none"/>
                <w:lang w:val="en-US" w:eastAsia="zh-CN"/>
              </w:rPr>
              <w:t>方式等</w:t>
            </w:r>
            <w:r>
              <w:rPr>
                <w:rFonts w:hint="eastAsia" w:ascii="宋体" w:hAnsi="宋体" w:eastAsia="宋体" w:cs="宋体"/>
                <w:color w:val="auto"/>
                <w:kern w:val="0"/>
                <w:sz w:val="22"/>
                <w:szCs w:val="22"/>
                <w:highlight w:val="none"/>
              </w:rPr>
              <w:t>）：培训方案中包含以上每项内容，且方案切实可行得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分，其中每一项不详细、不完善、缺项或不能满足采购方需求的的扣1分，直到全部扣完为止</w:t>
            </w:r>
            <w:r>
              <w:rPr>
                <w:rFonts w:hint="eastAsia" w:ascii="宋体" w:hAnsi="宋体" w:cs="宋体"/>
                <w:color w:val="auto"/>
                <w:kern w:val="0"/>
                <w:sz w:val="22"/>
                <w:szCs w:val="22"/>
                <w:highlight w:val="none"/>
                <w:lang w:eastAsia="zh-CN"/>
              </w:rPr>
              <w:t>。</w:t>
            </w:r>
          </w:p>
        </w:tc>
        <w:tc>
          <w:tcPr>
            <w:tcW w:w="1343" w:type="dxa"/>
            <w:vMerge w:val="continue"/>
            <w:tcBorders>
              <w:top w:val="single" w:color="auto" w:sz="4" w:space="0"/>
              <w:right w:val="single" w:color="auto" w:sz="4" w:space="0"/>
            </w:tcBorders>
            <w:noWrap w:val="0"/>
            <w:vAlign w:val="center"/>
          </w:tcPr>
          <w:p w14:paraId="3C9B4E90">
            <w:pPr>
              <w:spacing w:line="280" w:lineRule="exact"/>
              <w:rPr>
                <w:rFonts w:hint="eastAsia" w:ascii="宋体" w:hAnsi="宋体" w:eastAsia="宋体" w:cs="宋体"/>
                <w:color w:val="auto"/>
                <w:sz w:val="22"/>
                <w:szCs w:val="22"/>
                <w:highlight w:val="none"/>
              </w:rPr>
            </w:pPr>
          </w:p>
        </w:tc>
      </w:tr>
      <w:tr w14:paraId="648E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878" w:type="dxa"/>
            <w:vMerge w:val="continue"/>
            <w:noWrap w:val="0"/>
            <w:vAlign w:val="center"/>
          </w:tcPr>
          <w:p w14:paraId="3F2F54B7">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32B7ACB0">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售后服务体系</w:t>
            </w:r>
          </w:p>
          <w:p w14:paraId="266BF11B">
            <w:pPr>
              <w:widowControl/>
              <w:spacing w:line="280" w:lineRule="exact"/>
              <w:jc w:val="center"/>
              <w:rPr>
                <w:rFonts w:hint="eastAsia" w:ascii="宋体" w:hAnsi="宋体" w:eastAsia="宋体" w:cs="宋体"/>
                <w:color w:val="auto"/>
                <w:kern w:val="0"/>
                <w:sz w:val="22"/>
                <w:szCs w:val="22"/>
                <w:highlight w:val="none"/>
              </w:rPr>
            </w:pPr>
          </w:p>
        </w:tc>
        <w:tc>
          <w:tcPr>
            <w:tcW w:w="545" w:type="dxa"/>
            <w:noWrap w:val="0"/>
            <w:vAlign w:val="center"/>
          </w:tcPr>
          <w:p w14:paraId="2A53FB9A">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5分</w:t>
            </w:r>
          </w:p>
        </w:tc>
        <w:tc>
          <w:tcPr>
            <w:tcW w:w="5845" w:type="dxa"/>
            <w:noWrap w:val="0"/>
            <w:vAlign w:val="center"/>
          </w:tcPr>
          <w:p w14:paraId="4CFBC837">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售后服务的内容：</w:t>
            </w:r>
          </w:p>
          <w:p w14:paraId="23652BE2">
            <w:pPr>
              <w:widowControl/>
              <w:numPr>
                <w:ilvl w:val="0"/>
                <w:numId w:val="10"/>
              </w:numPr>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售后维修人员组成；</w:t>
            </w:r>
          </w:p>
          <w:p w14:paraId="75C109E0">
            <w:pPr>
              <w:widowControl/>
              <w:numPr>
                <w:ilvl w:val="0"/>
                <w:numId w:val="10"/>
              </w:numPr>
              <w:spacing w:line="280" w:lineRule="exact"/>
              <w:ind w:left="0" w:leftChars="0"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免费维修时间及流程；</w:t>
            </w:r>
          </w:p>
          <w:p w14:paraId="29288DAA">
            <w:pPr>
              <w:widowControl/>
              <w:numPr>
                <w:ilvl w:val="0"/>
                <w:numId w:val="10"/>
              </w:numPr>
              <w:spacing w:line="280" w:lineRule="exact"/>
              <w:ind w:left="0" w:leftChars="0"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质量问题解决方案（含应急突发事件）</w:t>
            </w:r>
          </w:p>
          <w:p w14:paraId="49722708">
            <w:pPr>
              <w:widowControl/>
              <w:numPr>
                <w:ilvl w:val="0"/>
                <w:numId w:val="10"/>
              </w:numPr>
              <w:spacing w:line="280" w:lineRule="exact"/>
              <w:ind w:left="0" w:leftChars="0"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配用配件的供应；</w:t>
            </w:r>
          </w:p>
          <w:p w14:paraId="40AF994F">
            <w:pPr>
              <w:widowControl/>
              <w:numPr>
                <w:ilvl w:val="0"/>
                <w:numId w:val="0"/>
              </w:numPr>
              <w:spacing w:line="280" w:lineRule="exact"/>
              <w:ind w:left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5.售后维保等。以上内容每项0-1分，未提供不得分，满分5分。</w:t>
            </w:r>
          </w:p>
        </w:tc>
        <w:tc>
          <w:tcPr>
            <w:tcW w:w="1343" w:type="dxa"/>
            <w:vMerge w:val="continue"/>
            <w:tcBorders>
              <w:right w:val="single" w:color="auto" w:sz="4" w:space="0"/>
            </w:tcBorders>
            <w:noWrap w:val="0"/>
            <w:vAlign w:val="center"/>
          </w:tcPr>
          <w:p w14:paraId="1F72A0EB">
            <w:pPr>
              <w:spacing w:line="280" w:lineRule="exact"/>
              <w:rPr>
                <w:rFonts w:hint="eastAsia" w:ascii="宋体" w:hAnsi="宋体" w:eastAsia="宋体" w:cs="宋体"/>
                <w:color w:val="auto"/>
                <w:sz w:val="22"/>
                <w:szCs w:val="22"/>
                <w:highlight w:val="none"/>
              </w:rPr>
            </w:pPr>
          </w:p>
        </w:tc>
      </w:tr>
      <w:tr w14:paraId="73EA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878" w:type="dxa"/>
            <w:vMerge w:val="continue"/>
            <w:noWrap w:val="0"/>
            <w:vAlign w:val="center"/>
          </w:tcPr>
          <w:p w14:paraId="13F7C79E">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61EEBF9B">
            <w:pPr>
              <w:widowControl/>
              <w:spacing w:line="28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备品备件及应急保障</w:t>
            </w:r>
          </w:p>
          <w:p w14:paraId="20B24E76">
            <w:pPr>
              <w:widowControl/>
              <w:spacing w:line="280" w:lineRule="exact"/>
              <w:jc w:val="center"/>
              <w:rPr>
                <w:rFonts w:hint="eastAsia" w:ascii="宋体" w:hAnsi="宋体" w:eastAsia="宋体" w:cs="宋体"/>
                <w:color w:val="auto"/>
                <w:kern w:val="0"/>
                <w:sz w:val="22"/>
                <w:szCs w:val="22"/>
                <w:highlight w:val="none"/>
                <w:lang w:val="en-US" w:eastAsia="zh-CN"/>
              </w:rPr>
            </w:pPr>
          </w:p>
        </w:tc>
        <w:tc>
          <w:tcPr>
            <w:tcW w:w="545" w:type="dxa"/>
            <w:noWrap w:val="0"/>
            <w:vAlign w:val="center"/>
          </w:tcPr>
          <w:p w14:paraId="241F10BD">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5分</w:t>
            </w:r>
          </w:p>
        </w:tc>
        <w:tc>
          <w:tcPr>
            <w:tcW w:w="5845" w:type="dxa"/>
            <w:noWrap w:val="0"/>
            <w:vAlign w:val="center"/>
          </w:tcPr>
          <w:p w14:paraId="6F4A8DC2">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1、有详细的备品备件库（提供清单），当有紧急情况发生时，可保障采购人设备的使用，有应急保障能力，得 </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 xml:space="preserve">分，未提供不得分。 </w:t>
            </w:r>
          </w:p>
          <w:p w14:paraId="4BAF8FCE">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2、提供为设备专业维修人员缴纳社保证明的，得 </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分，未提供不得分。</w:t>
            </w:r>
          </w:p>
          <w:p w14:paraId="173AD6B2">
            <w:pPr>
              <w:widowControl/>
              <w:spacing w:line="280" w:lineRule="exact"/>
              <w:jc w:val="left"/>
              <w:rPr>
                <w:rFonts w:hint="eastAsia" w:ascii="宋体" w:hAnsi="宋体" w:eastAsia="宋体" w:cs="宋体"/>
                <w:color w:val="auto"/>
                <w:kern w:val="0"/>
                <w:sz w:val="22"/>
                <w:szCs w:val="22"/>
                <w:highlight w:val="none"/>
              </w:rPr>
            </w:pPr>
          </w:p>
        </w:tc>
        <w:tc>
          <w:tcPr>
            <w:tcW w:w="1343" w:type="dxa"/>
            <w:vMerge w:val="continue"/>
            <w:tcBorders>
              <w:right w:val="single" w:color="auto" w:sz="4" w:space="0"/>
            </w:tcBorders>
            <w:noWrap w:val="0"/>
            <w:vAlign w:val="center"/>
          </w:tcPr>
          <w:p w14:paraId="649F6BA1">
            <w:pPr>
              <w:spacing w:line="280" w:lineRule="exact"/>
              <w:rPr>
                <w:rFonts w:hint="eastAsia" w:ascii="宋体" w:hAnsi="宋体" w:eastAsia="宋体" w:cs="宋体"/>
                <w:color w:val="auto"/>
                <w:sz w:val="22"/>
                <w:szCs w:val="22"/>
                <w:highlight w:val="none"/>
              </w:rPr>
            </w:pPr>
          </w:p>
        </w:tc>
      </w:tr>
      <w:tr w14:paraId="1B60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878" w:type="dxa"/>
            <w:vMerge w:val="restart"/>
            <w:noWrap w:val="0"/>
            <w:vAlign w:val="center"/>
          </w:tcPr>
          <w:p w14:paraId="4CA2B028">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37E49772">
            <w:pPr>
              <w:widowControl/>
              <w:spacing w:line="28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响应速度</w:t>
            </w:r>
          </w:p>
          <w:p w14:paraId="429EB847">
            <w:pPr>
              <w:widowControl/>
              <w:spacing w:line="280" w:lineRule="exact"/>
              <w:jc w:val="center"/>
              <w:rPr>
                <w:rFonts w:hint="eastAsia" w:ascii="宋体" w:hAnsi="宋体" w:eastAsia="宋体" w:cs="宋体"/>
                <w:b w:val="0"/>
                <w:bCs w:val="0"/>
                <w:color w:val="auto"/>
                <w:kern w:val="0"/>
                <w:sz w:val="22"/>
                <w:szCs w:val="22"/>
                <w:highlight w:val="none"/>
                <w:lang w:val="en-US" w:eastAsia="zh-CN" w:bidi="ar-SA"/>
              </w:rPr>
            </w:pPr>
          </w:p>
        </w:tc>
        <w:tc>
          <w:tcPr>
            <w:tcW w:w="545" w:type="dxa"/>
            <w:noWrap w:val="0"/>
            <w:vAlign w:val="center"/>
          </w:tcPr>
          <w:p w14:paraId="30FC7CFA">
            <w:pPr>
              <w:widowControl/>
              <w:spacing w:line="280" w:lineRule="exact"/>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4分</w:t>
            </w:r>
          </w:p>
        </w:tc>
        <w:tc>
          <w:tcPr>
            <w:tcW w:w="5845" w:type="dxa"/>
            <w:noWrap w:val="0"/>
            <w:vAlign w:val="center"/>
          </w:tcPr>
          <w:p w14:paraId="00848122">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承诺在接到医院保修请求后 8 小时内维修工程师抵达医院的</w:t>
            </w:r>
          </w:p>
          <w:p w14:paraId="5C5781B7">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 xml:space="preserve"> 分，承诺 12 小时内的得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 xml:space="preserve"> 分，承诺 24 小时内的得 </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 xml:space="preserve"> 分无法承诺者或其他情况得 0 分。</w:t>
            </w:r>
          </w:p>
          <w:p w14:paraId="5F532ADD">
            <w:pPr>
              <w:widowControl/>
              <w:spacing w:line="280" w:lineRule="exact"/>
              <w:jc w:val="left"/>
              <w:rPr>
                <w:rFonts w:hint="eastAsia" w:ascii="宋体" w:hAnsi="宋体" w:eastAsia="宋体" w:cs="宋体"/>
                <w:color w:val="auto"/>
                <w:kern w:val="0"/>
                <w:sz w:val="22"/>
                <w:szCs w:val="22"/>
                <w:highlight w:val="none"/>
              </w:rPr>
            </w:pPr>
          </w:p>
        </w:tc>
        <w:tc>
          <w:tcPr>
            <w:tcW w:w="1343" w:type="dxa"/>
            <w:noWrap w:val="0"/>
            <w:vAlign w:val="center"/>
          </w:tcPr>
          <w:p w14:paraId="77EEAC03">
            <w:pPr>
              <w:spacing w:line="280" w:lineRule="exact"/>
              <w:rPr>
                <w:rFonts w:hint="eastAsia" w:ascii="宋体" w:hAnsi="宋体" w:eastAsia="宋体" w:cs="宋体"/>
                <w:color w:val="auto"/>
                <w:sz w:val="22"/>
                <w:szCs w:val="22"/>
                <w:highlight w:val="none"/>
              </w:rPr>
            </w:pPr>
          </w:p>
        </w:tc>
      </w:tr>
      <w:tr w14:paraId="21D5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878" w:type="dxa"/>
            <w:vMerge w:val="continue"/>
            <w:noWrap w:val="0"/>
            <w:vAlign w:val="center"/>
          </w:tcPr>
          <w:p w14:paraId="6B715227">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217AC8D9">
            <w:pPr>
              <w:widowControl/>
              <w:spacing w:line="280" w:lineRule="exact"/>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维保期外服务计划</w:t>
            </w:r>
          </w:p>
        </w:tc>
        <w:tc>
          <w:tcPr>
            <w:tcW w:w="545" w:type="dxa"/>
            <w:noWrap w:val="0"/>
            <w:vAlign w:val="center"/>
          </w:tcPr>
          <w:p w14:paraId="77BDD8F3">
            <w:pPr>
              <w:widowControl/>
              <w:spacing w:line="280" w:lineRule="exact"/>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3分</w:t>
            </w:r>
          </w:p>
        </w:tc>
        <w:tc>
          <w:tcPr>
            <w:tcW w:w="5845" w:type="dxa"/>
            <w:noWrap w:val="0"/>
            <w:vAlign w:val="center"/>
          </w:tcPr>
          <w:p w14:paraId="6F872B87">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项目维保期外服务计划（内容包括但不限于</w:t>
            </w:r>
            <w:r>
              <w:rPr>
                <w:rFonts w:hint="eastAsia" w:ascii="宋体" w:hAnsi="宋体" w:cs="宋体"/>
                <w:color w:val="auto"/>
                <w:kern w:val="0"/>
                <w:sz w:val="22"/>
                <w:szCs w:val="22"/>
                <w:highlight w:val="none"/>
                <w:lang w:val="en-US" w:eastAsia="zh-CN"/>
              </w:rPr>
              <w:t>维</w:t>
            </w:r>
            <w:r>
              <w:rPr>
                <w:rFonts w:hint="eastAsia" w:ascii="宋体" w:hAnsi="宋体" w:eastAsia="宋体" w:cs="宋体"/>
                <w:color w:val="auto"/>
                <w:kern w:val="0"/>
                <w:sz w:val="22"/>
                <w:szCs w:val="22"/>
                <w:highlight w:val="none"/>
                <w:lang w:val="en-US" w:eastAsia="zh-CN"/>
              </w:rPr>
              <w:t>保期外的投标时间、备品保障供应、巡检服务、软件升级（如有）或提供现场技术支持服务（包含电话、远程等其他方式）等）本项得0-</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分，未提供不得分。</w:t>
            </w:r>
          </w:p>
        </w:tc>
        <w:tc>
          <w:tcPr>
            <w:tcW w:w="1343" w:type="dxa"/>
            <w:noWrap w:val="0"/>
            <w:vAlign w:val="center"/>
          </w:tcPr>
          <w:p w14:paraId="5278F62D">
            <w:pPr>
              <w:spacing w:line="280" w:lineRule="exact"/>
              <w:rPr>
                <w:rFonts w:hint="eastAsia" w:ascii="宋体" w:hAnsi="宋体" w:eastAsia="宋体" w:cs="宋体"/>
                <w:color w:val="auto"/>
                <w:sz w:val="22"/>
                <w:szCs w:val="22"/>
                <w:highlight w:val="none"/>
              </w:rPr>
            </w:pPr>
          </w:p>
        </w:tc>
      </w:tr>
      <w:bookmarkEnd w:id="46"/>
      <w:bookmarkEnd w:id="47"/>
    </w:tbl>
    <w:p w14:paraId="0320D6BB">
      <w:pPr>
        <w:rPr>
          <w:rFonts w:hint="eastAsia" w:ascii="宋体" w:hAnsi="宋体" w:cs="宋体"/>
          <w:b w:val="0"/>
          <w:bCs w:val="0"/>
          <w:color w:val="auto"/>
          <w:sz w:val="24"/>
          <w:szCs w:val="24"/>
          <w:highlight w:val="none"/>
          <w:lang w:val="en-US" w:eastAsia="zh-CN"/>
        </w:rPr>
      </w:pPr>
      <w:bookmarkStart w:id="48" w:name="_Toc16306"/>
      <w:bookmarkStart w:id="49" w:name="_Toc20468"/>
      <w:bookmarkStart w:id="50" w:name="_Toc23460"/>
      <w:bookmarkStart w:id="51" w:name="_Toc9162"/>
      <w:bookmarkStart w:id="52" w:name="_Toc15307"/>
      <w:bookmarkStart w:id="53" w:name="_Toc11811"/>
      <w:bookmarkStart w:id="54" w:name="_Toc32220"/>
      <w:bookmarkStart w:id="55" w:name="_Toc12697"/>
      <w:bookmarkStart w:id="56" w:name="_Toc19385"/>
      <w:bookmarkStart w:id="57" w:name="_Toc30543"/>
      <w:r>
        <w:rPr>
          <w:rFonts w:hint="eastAsia" w:ascii="宋体" w:hAnsi="宋体" w:cs="宋体"/>
          <w:b w:val="0"/>
          <w:bCs w:val="0"/>
          <w:color w:val="auto"/>
          <w:sz w:val="24"/>
          <w:szCs w:val="24"/>
          <w:highlight w:val="none"/>
          <w:lang w:val="en-US" w:eastAsia="zh-CN"/>
        </w:rPr>
        <w:br w:type="page"/>
      </w:r>
    </w:p>
    <w:p w14:paraId="5CF238CD">
      <w:pPr>
        <w:spacing w:beforeLines="100" w:afterLines="50" w:line="400" w:lineRule="exact"/>
        <w:ind w:firstLine="480" w:firstLineChars="200"/>
        <w:outlineLvl w:val="2"/>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政策加分以及计算方法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6134"/>
      </w:tblGrid>
      <w:tr w14:paraId="48C8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9" w:hRule="atLeast"/>
        </w:trPr>
        <w:tc>
          <w:tcPr>
            <w:tcW w:w="9200" w:type="dxa"/>
            <w:gridSpan w:val="2"/>
            <w:noWrap w:val="0"/>
            <w:vAlign w:val="top"/>
          </w:tcPr>
          <w:p w14:paraId="37DE54CD">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rFonts w:hint="eastAsia"/>
                <w:b/>
                <w:color w:val="auto"/>
                <w:sz w:val="24"/>
                <w:highlight w:val="none"/>
                <w:lang w:eastAsia="zh-CN"/>
              </w:rPr>
              <w:t>中</w:t>
            </w:r>
            <w:r>
              <w:rPr>
                <w:b/>
                <w:color w:val="auto"/>
                <w:sz w:val="24"/>
                <w:highlight w:val="none"/>
              </w:rPr>
              <w:t>小型、微型企业和监狱企业产品价格扣除的要求：</w:t>
            </w:r>
          </w:p>
        </w:tc>
      </w:tr>
      <w:tr w14:paraId="7976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066" w:type="dxa"/>
            <w:noWrap w:val="0"/>
            <w:vAlign w:val="top"/>
          </w:tcPr>
          <w:p w14:paraId="4E78091B">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color w:val="auto"/>
                <w:sz w:val="24"/>
                <w:highlight w:val="none"/>
              </w:rPr>
              <w:t>评审内容</w:t>
            </w:r>
          </w:p>
        </w:tc>
        <w:tc>
          <w:tcPr>
            <w:tcW w:w="6134" w:type="dxa"/>
            <w:noWrap w:val="0"/>
            <w:vAlign w:val="top"/>
          </w:tcPr>
          <w:p w14:paraId="0A8237D1">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color w:val="auto"/>
                <w:sz w:val="24"/>
                <w:highlight w:val="none"/>
              </w:rPr>
              <w:t>评分标准</w:t>
            </w:r>
          </w:p>
        </w:tc>
      </w:tr>
      <w:tr w14:paraId="0510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trPr>
        <w:tc>
          <w:tcPr>
            <w:tcW w:w="3066" w:type="dxa"/>
            <w:noWrap w:val="0"/>
            <w:vAlign w:val="center"/>
          </w:tcPr>
          <w:p w14:paraId="2304F833">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color w:val="auto"/>
                <w:sz w:val="24"/>
                <w:highlight w:val="none"/>
              </w:rPr>
              <w:t>中小微型企业有关政策</w:t>
            </w:r>
          </w:p>
        </w:tc>
        <w:tc>
          <w:tcPr>
            <w:tcW w:w="6134" w:type="dxa"/>
            <w:noWrap w:val="0"/>
            <w:vAlign w:val="top"/>
          </w:tcPr>
          <w:p w14:paraId="6D95F21B">
            <w:pPr>
              <w:pStyle w:val="23"/>
              <w:spacing w:before="199"/>
              <w:ind w:left="106" w:right="-29"/>
              <w:rPr>
                <w:rFonts w:hint="eastAsia"/>
                <w:b/>
                <w:bCs/>
                <w:color w:val="auto"/>
                <w:sz w:val="21"/>
                <w:szCs w:val="21"/>
                <w:highlight w:val="none"/>
              </w:rPr>
            </w:pPr>
            <w:r>
              <w:rPr>
                <w:rFonts w:hint="eastAsia"/>
                <w:b/>
                <w:bCs/>
                <w:color w:val="auto"/>
                <w:sz w:val="21"/>
                <w:szCs w:val="21"/>
                <w:highlight w:val="none"/>
              </w:rPr>
              <w:t>1、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5D6D051">
            <w:pPr>
              <w:pStyle w:val="23"/>
              <w:spacing w:before="199"/>
              <w:ind w:left="106" w:right="-29"/>
              <w:rPr>
                <w:rFonts w:hint="eastAsia"/>
                <w:color w:val="auto"/>
                <w:sz w:val="24"/>
                <w:highlight w:val="none"/>
              </w:rPr>
            </w:pPr>
            <w:r>
              <w:rPr>
                <w:rFonts w:hint="eastAsia"/>
                <w:b/>
                <w:bCs/>
                <w:color w:val="auto"/>
                <w:sz w:val="21"/>
                <w:szCs w:val="21"/>
                <w:highlight w:val="none"/>
              </w:rPr>
              <w:t>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bl>
    <w:p w14:paraId="136802B1">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p w14:paraId="4DA3D10A">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14:paraId="734B4FC3">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以上评标标准中要求投标人提交相关证明材料原件（或复印件）的，未装订在投标文件中的不得分。</w:t>
      </w:r>
    </w:p>
    <w:p w14:paraId="7B94C70C">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投标单位以联合体的身份参与政府采购项目的，以商务部分加分最多的一家投标单位的加分为商务部分的加分。</w:t>
      </w:r>
    </w:p>
    <w:p w14:paraId="629D5FAC">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资产负债率=年末负债合计÷年末资产总计。</w:t>
      </w:r>
    </w:p>
    <w:p w14:paraId="198E8CF6">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给予小型和微型企业价格扣除</w:t>
      </w:r>
    </w:p>
    <w:p w14:paraId="0B8E088F">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给予小型和微型企业（包括相互之间组成的联合体）产品的价格 </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%的扣除； 计算方法是：</w:t>
      </w:r>
    </w:p>
    <w:p w14:paraId="2D9F5C2D">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最终价格＝投标报价×9</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%，按照最终价格计算其价格分得分。</w:t>
      </w:r>
    </w:p>
    <w:p w14:paraId="7269FBAB">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开标时，投标人须提供《中小企业声明函》原件并对声明函的真实性负责，否则不给予价格扣除。</w:t>
      </w:r>
    </w:p>
    <w:p w14:paraId="7BF0BB42">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大中型企业和其他自然人、法人或者其他组织与小型、微型企业组成联合体投标，联合协议中约定，小型、微型企业的协议合同金额占到联合体协议合同金额 30% 以上的，可给予联合体 </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%的价格扣除。</w:t>
      </w:r>
    </w:p>
    <w:p w14:paraId="22E03D9E">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开标时，投标人须提供《中小企业声明函》原件并对声明函的真实性负责和联合体协议原件，否则不给予价格扣除。</w:t>
      </w:r>
    </w:p>
    <w:p w14:paraId="7EFD3D05">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在政府采购活动中，供应商提供的货物、工程 或者服务符合下列情形的，享受本办法规定的中小企业扶持 政策：</w:t>
      </w:r>
    </w:p>
    <w:p w14:paraId="029E80B6">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（一）在货物采购项目中，货物由中小企业制造，即货 物由中小企业生产且使用该中小企业商号或者注册商标；</w:t>
      </w:r>
    </w:p>
    <w:p w14:paraId="59758635">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（二）在工程采购项目中，工程由中小企业承建，即工 程施工单位为中小企业；</w:t>
      </w:r>
    </w:p>
    <w:p w14:paraId="327EDBE0">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（三）在服务采购项目中，服务由中小企业承接，即提供服务的人员为中小企业依照《中华人民共和国劳动合同法》 订立劳动合同的从业人员。</w:t>
      </w:r>
    </w:p>
    <w:p w14:paraId="4FD0076A">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在货物采购项目中，供应商提供的货物既有中小企业制 造货物，也有大型企业制</w:t>
      </w:r>
    </w:p>
    <w:p w14:paraId="486929C5">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造货物的，不享受本办法规定的中 小企业扶持政策。</w:t>
      </w:r>
    </w:p>
    <w:p w14:paraId="007FC68A">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以联合体形式参加政府采购活动，联合体各方均为中小 企业的，联合体视同中小企业。其中，联合体各方均为小微 企业的，联合体视同小微企业。</w:t>
      </w:r>
    </w:p>
    <w:p w14:paraId="288D4644">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4.评标方法</w:t>
      </w:r>
      <w:bookmarkEnd w:id="48"/>
      <w:bookmarkEnd w:id="49"/>
      <w:bookmarkEnd w:id="50"/>
      <w:bookmarkEnd w:id="51"/>
      <w:bookmarkEnd w:id="52"/>
    </w:p>
    <w:p w14:paraId="0CCABE7F">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评标办法为综合评分法。评标委员会对满足招标文件实质性要求的投标文件，按照本章第2.3、2.4款规定的评分标准进行打分，并按综合得分由高到低顺序推荐中标候选人，或根据招标人授权直接确定中标人。综合评分相等时，以投标报价低的优先；投标报价也相等的，由招标人自行确定。</w:t>
      </w:r>
    </w:p>
    <w:p w14:paraId="5705298C">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bookmarkStart w:id="58" w:name="_Toc16439"/>
      <w:bookmarkStart w:id="59" w:name="_Toc7399"/>
      <w:bookmarkStart w:id="60" w:name="_Toc4664"/>
      <w:bookmarkStart w:id="61" w:name="_Toc22832"/>
      <w:r>
        <w:rPr>
          <w:rFonts w:hint="eastAsia" w:ascii="宋体" w:hAnsi="宋体" w:eastAsia="宋体" w:cs="宋体"/>
          <w:b w:val="0"/>
          <w:bCs w:val="0"/>
          <w:color w:val="auto"/>
          <w:sz w:val="21"/>
          <w:szCs w:val="21"/>
          <w:highlight w:val="none"/>
        </w:rPr>
        <w:t>5.评审标准</w:t>
      </w:r>
      <w:bookmarkEnd w:id="58"/>
      <w:bookmarkEnd w:id="59"/>
      <w:bookmarkEnd w:id="60"/>
      <w:bookmarkEnd w:id="61"/>
    </w:p>
    <w:p w14:paraId="7439198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5.1初步评审标准</w:t>
      </w:r>
    </w:p>
    <w:p w14:paraId="39E7ED1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5.1.1资格性审查：详见评标办法前附表；</w:t>
      </w:r>
    </w:p>
    <w:p w14:paraId="17F2773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5.1.2符合性审查：详见评标办法前附表。</w:t>
      </w:r>
    </w:p>
    <w:p w14:paraId="2BA2AAF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5.2分值构成与评分标准</w:t>
      </w:r>
    </w:p>
    <w:p w14:paraId="4821D14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5.2.1分值构成：详见评标办法前附表。</w:t>
      </w:r>
    </w:p>
    <w:p w14:paraId="4281CCA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5.2.2评标基准价的确定：满足招标要求且投标价格最低的投标报价为评标基准价。</w:t>
      </w:r>
    </w:p>
    <w:p w14:paraId="173A65A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有效报价：未超过最高限价的所以投标报价均为有效报价。</w:t>
      </w:r>
    </w:p>
    <w:p w14:paraId="2AC9501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5.2.3投标报价的得分计算</w:t>
      </w:r>
    </w:p>
    <w:p w14:paraId="674886A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投标商务得分：投标报价得分=(评标基准价／投标报价)×价格权值×100</w:t>
      </w:r>
    </w:p>
    <w:p w14:paraId="5421D0C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5.2.4发包人有权接受或拒绝投标人在投标文件中提出偏离、保留。发包人不接受投标人在开标后提出的优惠条件。</w:t>
      </w:r>
    </w:p>
    <w:p w14:paraId="07E3D56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5.2.5评分标准：详见评标附表。</w:t>
      </w:r>
    </w:p>
    <w:p w14:paraId="4AC2A696">
      <w:pPr>
        <w:spacing w:beforeLines="100" w:afterLines="50" w:line="40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6.评标程序</w:t>
      </w:r>
      <w:bookmarkEnd w:id="53"/>
      <w:bookmarkEnd w:id="54"/>
      <w:bookmarkEnd w:id="55"/>
      <w:bookmarkEnd w:id="56"/>
      <w:bookmarkEnd w:id="57"/>
    </w:p>
    <w:p w14:paraId="3D9173E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6.1初步评审</w:t>
      </w:r>
    </w:p>
    <w:p w14:paraId="714E2B5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6.1.1评标委员会可以要求投标人提交第二章“投标人须知”</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rPr>
        <w:t>规定的有关证明和证件的原件，以便核验。评标委员会依据本章第2.1款规定的标准对投标文件进行初步评审。有一项不符合评审标准的，作废标处理。</w:t>
      </w:r>
    </w:p>
    <w:p w14:paraId="1EA048C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6.1.2投标人有以下情形之一的，其投标作废标处理：</w:t>
      </w:r>
    </w:p>
    <w:p w14:paraId="7C18EF5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（1）串通投标或弄虚作假或有其他违法行为的；</w:t>
      </w:r>
    </w:p>
    <w:p w14:paraId="0B1B7B2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（2）不按评标委员会要求澄清、说明或补正的。</w:t>
      </w:r>
    </w:p>
    <w:p w14:paraId="30DECD0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（3）投标函中投标报价与采购清单汇总价不一致时投标文件作废标处理。</w:t>
      </w:r>
    </w:p>
    <w:p w14:paraId="6DF0B31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（4）提供虚假资料的其投标文件作废标处理。</w:t>
      </w:r>
    </w:p>
    <w:p w14:paraId="35C1C34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（5）投标人在开标时资格审查时递交的法人授权委托书公证件原件，其内容应与资格预审、投标文件的内容一致，其中委托代理人均为同一人，不一致作废标处理。</w:t>
      </w:r>
    </w:p>
    <w:p w14:paraId="5D6E52F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（6）评标委员会认定投标人以低于成本报价竞标的。</w:t>
      </w:r>
    </w:p>
    <w:p w14:paraId="2E47713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（7）投标人附有招标人不能接受的条件。</w:t>
      </w:r>
    </w:p>
    <w:p w14:paraId="68016D5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（8）投标文件偏离招标文件实质性要求和条件的。</w:t>
      </w:r>
    </w:p>
    <w:p w14:paraId="3C881AC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（9）一个投标人递交两份或多分内容不同的投标文件，或在一份投标文件中对同一招标项目有两个或多个报价，且未声明哪一个报价有效的。</w:t>
      </w:r>
    </w:p>
    <w:p w14:paraId="5E2ED17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6.1.3投标报价有算术错误的，评标委员会按以下原则对投标报价进行修正，修正的价格经投标人书面确认后具有约束力。投标人不接受修正价格的，其投标作废标处理。</w:t>
      </w:r>
    </w:p>
    <w:p w14:paraId="10A2A95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（1）投标文件中的大写金额与小写金额不一致的，以大写金额为准；</w:t>
      </w:r>
    </w:p>
    <w:p w14:paraId="3426D8F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（2）总价金额与依据单价计算出的结果不一致的，以单价金额为准修正总价，但单价金额小数点有明显错误的除外。</w:t>
      </w:r>
    </w:p>
    <w:p w14:paraId="47095C9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6.2详细评审</w:t>
      </w:r>
    </w:p>
    <w:p w14:paraId="03E1AA2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评标委员会分别进行技术评审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商务评审，在技术组评委技术评分表提交后，在进行商务评分汇总。</w:t>
      </w:r>
    </w:p>
    <w:p w14:paraId="773B343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6.2.1评标委员会按照本章第2</w:t>
      </w:r>
      <w:r>
        <w:rPr>
          <w:rFonts w:hint="eastAsia" w:ascii="宋体" w:hAnsi="宋体" w:eastAsia="宋体" w:cs="宋体"/>
          <w:color w:val="auto"/>
          <w:sz w:val="21"/>
          <w:szCs w:val="21"/>
          <w:highlight w:val="none"/>
          <w:lang w:val="en-US" w:eastAsia="zh-CN"/>
        </w:rPr>
        <w:t>.3及2.4</w:t>
      </w:r>
      <w:r>
        <w:rPr>
          <w:rFonts w:hint="eastAsia" w:ascii="宋体" w:hAnsi="宋体" w:eastAsia="宋体" w:cs="宋体"/>
          <w:color w:val="auto"/>
          <w:sz w:val="21"/>
          <w:szCs w:val="21"/>
          <w:highlight w:val="none"/>
        </w:rPr>
        <w:t>款规定的量化因素和分值进行打分,计算出综合评分得分,投标人的总得分等于评委评分的算术和的平均值。</w:t>
      </w:r>
    </w:p>
    <w:p w14:paraId="71918AF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（1）按本章规定的评审项目及内容对技术因素部分计算出得分∑1；</w:t>
      </w:r>
    </w:p>
    <w:p w14:paraId="3CA653A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（2）按本章规定的评审项目及内容对</w:t>
      </w:r>
      <w:r>
        <w:rPr>
          <w:rFonts w:hint="eastAsia" w:ascii="宋体" w:hAnsi="宋体" w:eastAsia="宋体" w:cs="宋体"/>
          <w:color w:val="auto"/>
          <w:sz w:val="21"/>
          <w:szCs w:val="21"/>
          <w:highlight w:val="none"/>
          <w:lang w:val="en-US" w:eastAsia="zh-CN"/>
        </w:rPr>
        <w:t>商务因素</w:t>
      </w:r>
      <w:r>
        <w:rPr>
          <w:rFonts w:hint="eastAsia" w:ascii="宋体" w:hAnsi="宋体" w:eastAsia="宋体" w:cs="宋体"/>
          <w:color w:val="auto"/>
          <w:sz w:val="21"/>
          <w:szCs w:val="21"/>
          <w:highlight w:val="none"/>
        </w:rPr>
        <w:t>部分计算出∑2；</w:t>
      </w:r>
    </w:p>
    <w:p w14:paraId="4F23683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6.2.2评分分值计算保留小数点后两位，小数点后第三位按“四舍五入”;</w:t>
      </w:r>
    </w:p>
    <w:p w14:paraId="08F838F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6.2.3投标人得分：∑1+∑2</w:t>
      </w:r>
    </w:p>
    <w:p w14:paraId="75CC485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6.3投标文件的澄清和补正</w:t>
      </w:r>
    </w:p>
    <w:p w14:paraId="617637D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6.3.1在评标过程中，评标委员会可以书面形式要求投标人对所提交投标文件中不明确的内容进行书面澄清或说明，或者对细微偏差进行补正。评标委员会不接受投标人主动提出的澄清、说明或补正。</w:t>
      </w:r>
    </w:p>
    <w:p w14:paraId="4AC74FA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6.3.2澄清、说明和补正不得改变投标文件的实质性内容（算术性错误修正的除外）。投标人的书面澄清、说明和补正属于投标文件的组成部分。</w:t>
      </w:r>
    </w:p>
    <w:p w14:paraId="78787BA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.3.3评标委员会对投标人提交的澄清、说明或补正有疑问的，可以要求投标人进一步澄清、说明或补正，直至满足评标委员会的要求。</w:t>
      </w:r>
    </w:p>
    <w:p w14:paraId="0461E38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6.4评标结果</w:t>
      </w:r>
    </w:p>
    <w:p w14:paraId="55A7EBD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6.4.1评标委员会依据本章第评分标准进行评分，按评标办法前附表的约定计算投标人最终得分，根据得分由高到低的顺序推荐3名中标候选人，并标明推荐顺序。</w:t>
      </w:r>
    </w:p>
    <w:p w14:paraId="34B8534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6.4.2评标委员会完成评标后，应当向招标人提交书面评标报告。</w:t>
      </w:r>
      <w:bookmarkStart w:id="62" w:name="_Toc15961"/>
    </w:p>
    <w:p w14:paraId="6CA5CC5B">
      <w:pPr>
        <w:spacing w:afterLines="50" w:line="440" w:lineRule="exact"/>
        <w:jc w:val="both"/>
        <w:outlineLvl w:val="1"/>
        <w:rPr>
          <w:rFonts w:hint="eastAsia" w:ascii="宋体" w:hAnsi="宋体" w:eastAsia="宋体" w:cs="宋体"/>
          <w:b/>
          <w:bCs/>
          <w:color w:val="auto"/>
          <w:sz w:val="32"/>
          <w:szCs w:val="32"/>
          <w:highlight w:val="none"/>
        </w:rPr>
      </w:pPr>
    </w:p>
    <w:p w14:paraId="7F28E7F4">
      <w:pPr>
        <w:spacing w:afterLines="50" w:line="440" w:lineRule="exact"/>
        <w:jc w:val="center"/>
        <w:outlineLvl w:val="1"/>
        <w:rPr>
          <w:rFonts w:hint="eastAsia" w:ascii="宋体" w:hAnsi="宋体" w:eastAsia="宋体" w:cs="宋体"/>
          <w:b/>
          <w:bCs/>
          <w:color w:val="auto"/>
          <w:sz w:val="32"/>
          <w:szCs w:val="32"/>
          <w:highlight w:val="none"/>
        </w:rPr>
      </w:pPr>
    </w:p>
    <w:p w14:paraId="1B30B691">
      <w:pPr>
        <w:spacing w:afterLines="50" w:line="440" w:lineRule="exact"/>
        <w:jc w:val="center"/>
        <w:outlineLvl w:val="1"/>
        <w:rPr>
          <w:rFonts w:hint="eastAsia" w:ascii="宋体" w:hAnsi="宋体" w:eastAsia="宋体" w:cs="宋体"/>
          <w:b/>
          <w:bCs/>
          <w:color w:val="auto"/>
          <w:sz w:val="32"/>
          <w:szCs w:val="32"/>
          <w:highlight w:val="none"/>
        </w:rPr>
      </w:pPr>
    </w:p>
    <w:p w14:paraId="2778E427">
      <w:pPr>
        <w:spacing w:afterLines="50" w:line="440" w:lineRule="exact"/>
        <w:jc w:val="center"/>
        <w:outlineLvl w:val="1"/>
        <w:rPr>
          <w:rFonts w:hint="eastAsia" w:ascii="宋体" w:hAnsi="宋体" w:eastAsia="宋体" w:cs="宋体"/>
          <w:b/>
          <w:bCs/>
          <w:color w:val="auto"/>
          <w:sz w:val="32"/>
          <w:szCs w:val="32"/>
          <w:highlight w:val="none"/>
        </w:rPr>
      </w:pPr>
    </w:p>
    <w:p w14:paraId="00DCDC54">
      <w:pPr>
        <w:spacing w:afterLines="50" w:line="440" w:lineRule="exact"/>
        <w:jc w:val="center"/>
        <w:outlineLvl w:val="1"/>
        <w:rPr>
          <w:rFonts w:hint="eastAsia" w:ascii="宋体" w:hAnsi="宋体" w:eastAsia="宋体" w:cs="宋体"/>
          <w:b/>
          <w:bCs/>
          <w:color w:val="auto"/>
          <w:sz w:val="32"/>
          <w:szCs w:val="32"/>
          <w:highlight w:val="none"/>
        </w:rPr>
      </w:pPr>
    </w:p>
    <w:p w14:paraId="437B9778">
      <w:pPr>
        <w:spacing w:afterLines="50" w:line="440" w:lineRule="exact"/>
        <w:jc w:val="center"/>
        <w:outlineLvl w:val="1"/>
        <w:rPr>
          <w:rFonts w:hint="eastAsia" w:ascii="宋体" w:hAnsi="宋体" w:eastAsia="宋体" w:cs="宋体"/>
          <w:b/>
          <w:bCs/>
          <w:color w:val="auto"/>
          <w:sz w:val="32"/>
          <w:szCs w:val="32"/>
          <w:highlight w:val="none"/>
        </w:rPr>
      </w:pPr>
    </w:p>
    <w:p w14:paraId="25E76BB4">
      <w:pPr>
        <w:spacing w:afterLines="50" w:line="440" w:lineRule="exact"/>
        <w:jc w:val="center"/>
        <w:outlineLvl w:val="1"/>
        <w:rPr>
          <w:rFonts w:hint="eastAsia" w:ascii="宋体" w:hAnsi="宋体" w:eastAsia="宋体" w:cs="宋体"/>
          <w:b/>
          <w:bCs/>
          <w:color w:val="auto"/>
          <w:sz w:val="32"/>
          <w:szCs w:val="32"/>
          <w:highlight w:val="none"/>
        </w:rPr>
      </w:pPr>
    </w:p>
    <w:p w14:paraId="7C085BF2">
      <w:pPr>
        <w:spacing w:afterLines="50" w:line="440" w:lineRule="exact"/>
        <w:jc w:val="center"/>
        <w:outlineLvl w:val="1"/>
        <w:rPr>
          <w:rFonts w:hint="eastAsia" w:ascii="宋体" w:hAnsi="宋体" w:eastAsia="宋体" w:cs="宋体"/>
          <w:b/>
          <w:bCs/>
          <w:color w:val="auto"/>
          <w:sz w:val="32"/>
          <w:szCs w:val="32"/>
          <w:highlight w:val="none"/>
        </w:rPr>
      </w:pPr>
    </w:p>
    <w:p w14:paraId="3DF73C8B">
      <w:pPr>
        <w:spacing w:afterLines="50" w:line="440" w:lineRule="exact"/>
        <w:jc w:val="center"/>
        <w:outlineLvl w:val="1"/>
        <w:rPr>
          <w:rFonts w:hint="eastAsia" w:ascii="宋体" w:hAnsi="宋体" w:eastAsia="宋体" w:cs="宋体"/>
          <w:b/>
          <w:bCs/>
          <w:color w:val="auto"/>
          <w:sz w:val="32"/>
          <w:szCs w:val="32"/>
          <w:highlight w:val="none"/>
        </w:rPr>
      </w:pPr>
    </w:p>
    <w:p w14:paraId="1FD19383">
      <w:pPr>
        <w:spacing w:afterLines="50" w:line="440" w:lineRule="exact"/>
        <w:jc w:val="center"/>
        <w:outlineLvl w:val="1"/>
        <w:rPr>
          <w:rFonts w:hint="eastAsia" w:ascii="宋体" w:hAnsi="宋体" w:eastAsia="宋体" w:cs="宋体"/>
          <w:b/>
          <w:bCs/>
          <w:color w:val="auto"/>
          <w:sz w:val="32"/>
          <w:szCs w:val="32"/>
          <w:highlight w:val="none"/>
        </w:rPr>
      </w:pPr>
    </w:p>
    <w:p w14:paraId="6A80620E">
      <w:pPr>
        <w:spacing w:afterLines="50" w:line="440" w:lineRule="exact"/>
        <w:jc w:val="center"/>
        <w:outlineLvl w:val="1"/>
        <w:rPr>
          <w:rFonts w:hint="eastAsia" w:ascii="宋体" w:hAnsi="宋体" w:eastAsia="宋体" w:cs="宋体"/>
          <w:b/>
          <w:bCs/>
          <w:color w:val="auto"/>
          <w:sz w:val="32"/>
          <w:szCs w:val="32"/>
          <w:highlight w:val="none"/>
        </w:rPr>
      </w:pPr>
    </w:p>
    <w:p w14:paraId="3BC029FF">
      <w:pPr>
        <w:spacing w:afterLines="50" w:line="440" w:lineRule="exact"/>
        <w:jc w:val="center"/>
        <w:outlineLvl w:val="1"/>
        <w:rPr>
          <w:rFonts w:hint="eastAsia" w:ascii="宋体" w:hAnsi="宋体" w:eastAsia="宋体" w:cs="宋体"/>
          <w:b/>
          <w:bCs/>
          <w:color w:val="auto"/>
          <w:sz w:val="32"/>
          <w:szCs w:val="32"/>
          <w:highlight w:val="none"/>
        </w:rPr>
      </w:pPr>
    </w:p>
    <w:p w14:paraId="4B241A82">
      <w:pPr>
        <w:spacing w:afterLines="50" w:line="440" w:lineRule="exact"/>
        <w:jc w:val="center"/>
        <w:outlineLvl w:val="1"/>
        <w:rPr>
          <w:rFonts w:hint="eastAsia" w:ascii="宋体" w:hAnsi="宋体" w:eastAsia="宋体" w:cs="宋体"/>
          <w:b/>
          <w:bCs/>
          <w:color w:val="auto"/>
          <w:sz w:val="32"/>
          <w:szCs w:val="32"/>
          <w:highlight w:val="none"/>
        </w:rPr>
      </w:pPr>
    </w:p>
    <w:p w14:paraId="4BB5C25A">
      <w:pPr>
        <w:spacing w:afterLines="50" w:line="440" w:lineRule="exact"/>
        <w:jc w:val="center"/>
        <w:outlineLvl w:val="1"/>
        <w:rPr>
          <w:rFonts w:hint="eastAsia" w:ascii="宋体" w:hAnsi="宋体" w:eastAsia="宋体" w:cs="宋体"/>
          <w:b/>
          <w:bCs/>
          <w:color w:val="auto"/>
          <w:sz w:val="32"/>
          <w:szCs w:val="32"/>
          <w:highlight w:val="none"/>
        </w:rPr>
      </w:pPr>
    </w:p>
    <w:p w14:paraId="5D530521">
      <w:pPr>
        <w:spacing w:afterLines="50" w:line="440" w:lineRule="exact"/>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第五章  签订合同、合同主要条款</w:t>
      </w:r>
      <w:bookmarkEnd w:id="22"/>
      <w:bookmarkEnd w:id="62"/>
    </w:p>
    <w:p w14:paraId="0743AF8B">
      <w:pPr>
        <w:pStyle w:val="6"/>
        <w:keepNext w:val="0"/>
        <w:keepLines w:val="0"/>
        <w:pageBreakBefore w:val="0"/>
        <w:wordWrap/>
        <w:overflowPunct/>
        <w:topLinePunct w:val="0"/>
        <w:bidi w:val="0"/>
        <w:adjustRightInd w:val="0"/>
        <w:spacing w:after="0" w:line="360" w:lineRule="auto"/>
        <w:jc w:val="center"/>
        <w:outlineLvl w:val="9"/>
        <w:rPr>
          <w:rFonts w:hint="eastAsia" w:ascii="宋体" w:hAnsi="宋体" w:eastAsia="宋体" w:cs="宋体"/>
          <w:b/>
          <w:bCs/>
          <w:color w:val="auto"/>
          <w:spacing w:val="-20"/>
          <w:kern w:val="44"/>
          <w:sz w:val="30"/>
          <w:szCs w:val="30"/>
          <w:highlight w:val="none"/>
        </w:rPr>
      </w:pPr>
      <w:bookmarkStart w:id="63" w:name="_Toc494455695"/>
      <w:bookmarkStart w:id="64" w:name="_Toc494455694"/>
      <w:r>
        <w:rPr>
          <w:rFonts w:hint="eastAsia" w:ascii="宋体" w:hAnsi="宋体" w:eastAsia="宋体" w:cs="宋体"/>
          <w:b/>
          <w:bCs/>
          <w:color w:val="auto"/>
          <w:spacing w:val="-20"/>
          <w:kern w:val="44"/>
          <w:sz w:val="30"/>
          <w:szCs w:val="30"/>
          <w:highlight w:val="none"/>
        </w:rPr>
        <w:t>政府采购货物买卖合同</w:t>
      </w:r>
    </w:p>
    <w:p w14:paraId="20AF9B21">
      <w:pPr>
        <w:pStyle w:val="6"/>
        <w:keepNext w:val="0"/>
        <w:keepLines w:val="0"/>
        <w:pageBreakBefore w:val="0"/>
        <w:wordWrap/>
        <w:overflowPunct/>
        <w:topLinePunct w:val="0"/>
        <w:bidi w:val="0"/>
        <w:adjustRightInd w:val="0"/>
        <w:spacing w:after="0" w:line="360" w:lineRule="auto"/>
        <w:jc w:val="center"/>
        <w:outlineLvl w:val="9"/>
        <w:rPr>
          <w:rFonts w:hint="eastAsia" w:ascii="宋体" w:hAnsi="宋体" w:eastAsia="宋体" w:cs="宋体"/>
          <w:b/>
          <w:bCs/>
          <w:color w:val="auto"/>
          <w:spacing w:val="-20"/>
          <w:kern w:val="44"/>
          <w:sz w:val="24"/>
          <w:szCs w:val="24"/>
          <w:highlight w:val="none"/>
        </w:rPr>
      </w:pPr>
    </w:p>
    <w:p w14:paraId="26DB81EF">
      <w:pPr>
        <w:pStyle w:val="6"/>
        <w:keepNext w:val="0"/>
        <w:keepLines w:val="0"/>
        <w:pageBreakBefore w:val="0"/>
        <w:wordWrap/>
        <w:overflowPunct/>
        <w:topLinePunct w:val="0"/>
        <w:bidi w:val="0"/>
        <w:adjustRightInd w:val="0"/>
        <w:spacing w:after="0" w:line="360" w:lineRule="auto"/>
        <w:jc w:val="center"/>
        <w:outlineLvl w:val="9"/>
        <w:rPr>
          <w:rFonts w:hint="eastAsia" w:ascii="宋体" w:hAnsi="宋体" w:eastAsia="宋体" w:cs="宋体"/>
          <w:b/>
          <w:bCs/>
          <w:color w:val="auto"/>
          <w:spacing w:val="-20"/>
          <w:kern w:val="44"/>
          <w:sz w:val="24"/>
          <w:szCs w:val="24"/>
          <w:highlight w:val="none"/>
        </w:rPr>
      </w:pPr>
      <w:r>
        <w:rPr>
          <w:rFonts w:hint="eastAsia" w:ascii="宋体" w:hAnsi="宋体" w:eastAsia="宋体" w:cs="宋体"/>
          <w:b/>
          <w:bCs/>
          <w:color w:val="auto"/>
          <w:spacing w:val="-20"/>
          <w:kern w:val="44"/>
          <w:sz w:val="24"/>
          <w:szCs w:val="24"/>
          <w:highlight w:val="none"/>
        </w:rPr>
        <w:t>（本合同仅供参考，具体以实际签订的合同为准）</w:t>
      </w:r>
    </w:p>
    <w:p w14:paraId="60066BDB">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pacing w:val="-20"/>
          <w:kern w:val="44"/>
          <w:sz w:val="24"/>
          <w:szCs w:val="24"/>
          <w:highlight w:val="none"/>
        </w:rPr>
      </w:pPr>
    </w:p>
    <w:p w14:paraId="75886DA3">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pacing w:val="-20"/>
          <w:kern w:val="44"/>
          <w:sz w:val="24"/>
          <w:szCs w:val="24"/>
          <w:highlight w:val="none"/>
        </w:rPr>
      </w:pPr>
    </w:p>
    <w:p w14:paraId="530C35B4">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pacing w:val="-20"/>
          <w:kern w:val="44"/>
          <w:sz w:val="24"/>
          <w:szCs w:val="24"/>
          <w:highlight w:val="none"/>
        </w:rPr>
      </w:pPr>
    </w:p>
    <w:p w14:paraId="3A38E745">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0DE486F">
      <w:pPr>
        <w:keepNext w:val="0"/>
        <w:keepLines w:val="0"/>
        <w:pageBreakBefore w:val="0"/>
        <w:wordWrap/>
        <w:overflowPunct/>
        <w:topLinePunct w:val="0"/>
        <w:bidi w:val="0"/>
        <w:adjustRightInd w:val="0"/>
        <w:spacing w:line="360" w:lineRule="auto"/>
        <w:ind w:firstLine="2880" w:firstLineChars="1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2664F513">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p>
    <w:p w14:paraId="2D4C662E">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14:paraId="1DD2146A">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61A60D1F">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p w14:paraId="2752C68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43D81A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p w14:paraId="27E7FC3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 用 说 明</w:t>
      </w:r>
    </w:p>
    <w:p w14:paraId="19C34B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p>
    <w:p w14:paraId="106D50A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68A9901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4B89C23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06A9B59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val="0"/>
          <w:bCs w:val="0"/>
          <w:color w:val="auto"/>
          <w:sz w:val="24"/>
          <w:szCs w:val="24"/>
          <w:highlight w:val="none"/>
        </w:rPr>
        <w:t>第一节 政府采购合同协议书</w:t>
      </w:r>
    </w:p>
    <w:p w14:paraId="4B3580D9">
      <w:pPr>
        <w:keepNext w:val="0"/>
        <w:keepLines w:val="0"/>
        <w:pageBreakBefore w:val="0"/>
        <w:wordWrap/>
        <w:overflowPunct/>
        <w:topLinePunct w:val="0"/>
        <w:bidi w:val="0"/>
        <w:adjustRightInd w:val="0"/>
        <w:spacing w:line="360" w:lineRule="auto"/>
        <w:outlineLvl w:val="9"/>
        <w:rPr>
          <w:rFonts w:hint="eastAsia" w:ascii="宋体" w:hAnsi="宋体" w:eastAsia="宋体" w:cs="宋体"/>
          <w:b w:val="0"/>
          <w:bCs w:val="0"/>
          <w:color w:val="auto"/>
          <w:sz w:val="24"/>
          <w:szCs w:val="24"/>
          <w:highlight w:val="none"/>
        </w:rPr>
      </w:pPr>
    </w:p>
    <w:p w14:paraId="0EC06DE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（采购人、受采购人委托签订合同的单位或采购</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文件约定的合同甲方）</w:t>
      </w:r>
    </w:p>
    <w:p w14:paraId="64BFC60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459C219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42C5C4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027DE05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p w14:paraId="0C42BBB8">
      <w:pPr>
        <w:pStyle w:val="7"/>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3D605A2">
      <w:pPr>
        <w:keepNext w:val="0"/>
        <w:keepLines w:val="0"/>
        <w:pageBreakBefore w:val="0"/>
        <w:numPr>
          <w:ilvl w:val="0"/>
          <w:numId w:val="11"/>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D5C59F2">
      <w:pPr>
        <w:pStyle w:val="7"/>
        <w:keepNext w:val="0"/>
        <w:keepLines w:val="0"/>
        <w:pageBreakBefore w:val="0"/>
        <w:numPr>
          <w:ilvl w:val="0"/>
          <w:numId w:val="12"/>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03E9A5E1">
      <w:pPr>
        <w:pStyle w:val="7"/>
        <w:keepNext w:val="0"/>
        <w:keepLines w:val="0"/>
        <w:pageBreakBefore w:val="0"/>
        <w:numPr>
          <w:ilvl w:val="255"/>
          <w:numId w:val="0"/>
        </w:numPr>
        <w:tabs>
          <w:tab w:val="left" w:pos="999"/>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70DD8E3C">
      <w:pPr>
        <w:pStyle w:val="7"/>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A26DC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4870F0B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950BA0">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132F854E">
      <w:pPr>
        <w:keepNext w:val="0"/>
        <w:keepLines w:val="0"/>
        <w:pageBreakBefore w:val="0"/>
        <w:wordWrap/>
        <w:overflowPunct/>
        <w:topLinePunct w:val="0"/>
        <w:bidi w:val="0"/>
        <w:adjustRightInd w:val="0"/>
        <w:spacing w:line="360" w:lineRule="auto"/>
        <w:ind w:firstLine="1080" w:firstLineChars="45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56233490">
      <w:pPr>
        <w:keepNext w:val="0"/>
        <w:keepLines w:val="0"/>
        <w:pageBreakBefore w:val="0"/>
        <w:numPr>
          <w:ilvl w:val="255"/>
          <w:numId w:val="0"/>
        </w:numPr>
        <w:wordWrap/>
        <w:overflowPunct/>
        <w:topLinePunct w:val="0"/>
        <w:bidi w:val="0"/>
        <w:adjustRightInd w:val="0"/>
        <w:spacing w:line="360" w:lineRule="auto"/>
        <w:ind w:firstLine="1080" w:firstLineChars="4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64F1EE19">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p>
    <w:p w14:paraId="7D908C95">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3DC5015">
      <w:pPr>
        <w:pStyle w:val="43"/>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BF79DBE">
      <w:pPr>
        <w:pStyle w:val="43"/>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145A9994">
      <w:pPr>
        <w:pStyle w:val="43"/>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218BAC2">
      <w:pPr>
        <w:pStyle w:val="43"/>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39DF4F78">
      <w:pPr>
        <w:pStyle w:val="43"/>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67FF0D">
      <w:pPr>
        <w:pStyle w:val="43"/>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49BFE0A1">
      <w:pPr>
        <w:pStyle w:val="43"/>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分散采购</w:t>
      </w:r>
    </w:p>
    <w:p w14:paraId="487D3226">
      <w:pPr>
        <w:pStyle w:val="43"/>
        <w:keepNext w:val="0"/>
        <w:keepLines w:val="0"/>
        <w:pageBreakBefore w:val="0"/>
        <w:numPr>
          <w:ilvl w:val="255"/>
          <w:numId w:val="0"/>
        </w:numPr>
        <w:wordWrap/>
        <w:overflowPunct/>
        <w:topLinePunct w:val="0"/>
        <w:bidi w:val="0"/>
        <w:adjustRightInd w:val="0"/>
        <w:snapToGrid w:val="0"/>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3A65FEB1">
      <w:pPr>
        <w:pStyle w:val="43"/>
        <w:keepNext w:val="0"/>
        <w:keepLines w:val="0"/>
        <w:pageBreakBefore w:val="0"/>
        <w:numPr>
          <w:ilvl w:val="255"/>
          <w:numId w:val="0"/>
        </w:numPr>
        <w:wordWrap/>
        <w:overflowPunct/>
        <w:topLinePunct w:val="0"/>
        <w:bidi w:val="0"/>
        <w:adjustRightInd w:val="0"/>
        <w:snapToGrid w:val="0"/>
        <w:spacing w:line="360" w:lineRule="auto"/>
        <w:ind w:firstLine="42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67201FA6">
      <w:pPr>
        <w:pStyle w:val="43"/>
        <w:keepNext w:val="0"/>
        <w:keepLines w:val="0"/>
        <w:pageBreakBefore w:val="0"/>
        <w:numPr>
          <w:ilvl w:val="255"/>
          <w:numId w:val="0"/>
        </w:numPr>
        <w:wordWrap/>
        <w:overflowPunct/>
        <w:topLinePunct w:val="0"/>
        <w:bidi w:val="0"/>
        <w:adjustRightInd w:val="0"/>
        <w:snapToGrid w:val="0"/>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7377E078">
      <w:pPr>
        <w:pStyle w:val="43"/>
        <w:keepNext w:val="0"/>
        <w:keepLines w:val="0"/>
        <w:pageBreakBefore w:val="0"/>
        <w:numPr>
          <w:ilvl w:val="255"/>
          <w:numId w:val="0"/>
        </w:numPr>
        <w:wordWrap/>
        <w:overflowPunct/>
        <w:topLinePunct w:val="0"/>
        <w:bidi w:val="0"/>
        <w:adjustRightInd w:val="0"/>
        <w:snapToGrid w:val="0"/>
        <w:spacing w:line="360" w:lineRule="auto"/>
        <w:ind w:firstLine="240" w:firstLineChars="10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3A783B3D">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BD3A739">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F25845F">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B4BF04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1FAAD2E7">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06A5F55">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w:t>
      </w:r>
    </w:p>
    <w:p w14:paraId="31DA7A20">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7B644A8E">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3AB8227B">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7E0CDD66">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2EFF1C87">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5A49064E">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82BEC50">
      <w:pPr>
        <w:pStyle w:val="43"/>
        <w:keepNext w:val="0"/>
        <w:keepLines w:val="0"/>
        <w:pageBreakBefore w:val="0"/>
        <w:tabs>
          <w:tab w:val="left" w:pos="1340"/>
        </w:tabs>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7D2CAEC8">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3A86C273">
      <w:pPr>
        <w:keepNext w:val="0"/>
        <w:keepLines w:val="0"/>
        <w:pageBreakBefore w:val="0"/>
        <w:numPr>
          <w:ilvl w:val="255"/>
          <w:numId w:val="0"/>
        </w:numPr>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w:t>
      </w:r>
    </w:p>
    <w:p w14:paraId="0FC21C09">
      <w:pPr>
        <w:keepNext w:val="0"/>
        <w:keepLines w:val="0"/>
        <w:pageBreakBefore w:val="0"/>
        <w:numPr>
          <w:ilvl w:val="255"/>
          <w:numId w:val="0"/>
        </w:numPr>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6244D70">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584A851A">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56FAED2C">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7CAC8758">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328A35A8">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1A86358C">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335C7A74">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0598927B">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3D14BF74">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783CAD73">
      <w:pPr>
        <w:pStyle w:val="43"/>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0D077B38">
      <w:pPr>
        <w:pStyle w:val="43"/>
        <w:keepNext w:val="0"/>
        <w:keepLines w:val="0"/>
        <w:pageBreakBefore w:val="0"/>
        <w:wordWrap/>
        <w:overflowPunct/>
        <w:topLinePunct w:val="0"/>
        <w:bidi w:val="0"/>
        <w:adjustRightInd w:val="0"/>
        <w:spacing w:line="360" w:lineRule="auto"/>
        <w:ind w:firstLine="420" w:firstLineChars="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0005E327">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68815292">
      <w:pPr>
        <w:pStyle w:val="43"/>
        <w:keepNext w:val="0"/>
        <w:keepLines w:val="0"/>
        <w:pageBreakBefore w:val="0"/>
        <w:wordWrap/>
        <w:overflowPunct/>
        <w:topLinePunct w:val="0"/>
        <w:bidi w:val="0"/>
        <w:adjustRightInd w:val="0"/>
        <w:spacing w:line="360" w:lineRule="auto"/>
        <w:ind w:firstLine="42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271B504C">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0BF036CB">
      <w:pPr>
        <w:keepNext w:val="0"/>
        <w:keepLines w:val="0"/>
        <w:pageBreakBefore w:val="0"/>
        <w:numPr>
          <w:ilvl w:val="255"/>
          <w:numId w:val="0"/>
        </w:numPr>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0E778BCA">
      <w:pPr>
        <w:keepNext w:val="0"/>
        <w:keepLines w:val="0"/>
        <w:pageBreakBefore w:val="0"/>
        <w:numPr>
          <w:ilvl w:val="0"/>
          <w:numId w:val="11"/>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2D890414">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694AD8A4">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6000EEC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w:t>
      </w:r>
    </w:p>
    <w:p w14:paraId="13AF8AE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1AD19F0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2C23DDCB">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21DD19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15C94D67">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533E6CCC">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（应明确一次性支付合同款项的条件）                    </w:t>
      </w:r>
    </w:p>
    <w:p w14:paraId="00469BB4">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（应明确分期支付合同款项的各期比例和支付条件，各期支付条件应与分期履约验收情况挂钩） </w:t>
      </w: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（应明确预付款的支付比例和支付条件） </w:t>
      </w:r>
    </w:p>
    <w:p w14:paraId="187CEF65">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535F2D2D">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4B5E62BA">
      <w:pPr>
        <w:keepNext w:val="0"/>
        <w:keepLines w:val="0"/>
        <w:pageBreakBefore w:val="0"/>
        <w:numPr>
          <w:ilvl w:val="0"/>
          <w:numId w:val="11"/>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0A13CB7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E4E00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09D448C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629CBBAB">
      <w:pPr>
        <w:pStyle w:val="43"/>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5927F500">
      <w:pPr>
        <w:pStyle w:val="43"/>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3AB036C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6296ACD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p>
    <w:p w14:paraId="278D1B0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w:t>
      </w:r>
    </w:p>
    <w:p w14:paraId="68AC1C3F">
      <w:pPr>
        <w:keepNext w:val="0"/>
        <w:keepLines w:val="0"/>
        <w:pageBreakBefore w:val="0"/>
        <w:numPr>
          <w:ilvl w:val="0"/>
          <w:numId w:val="11"/>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361D1579">
      <w:pPr>
        <w:keepNext w:val="0"/>
        <w:keepLines w:val="0"/>
        <w:pageBreakBefore w:val="0"/>
        <w:numPr>
          <w:ilvl w:val="0"/>
          <w:numId w:val="13"/>
        </w:numPr>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05A62A11">
      <w:pPr>
        <w:keepNext w:val="0"/>
        <w:keepLines w:val="0"/>
        <w:pageBreakBefore w:val="0"/>
        <w:wordWrap/>
        <w:overflowPunct/>
        <w:topLinePunct w:val="0"/>
        <w:bidi w:val="0"/>
        <w:adjustRightInd w:val="0"/>
        <w:spacing w:line="360" w:lineRule="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w:t>
      </w:r>
    </w:p>
    <w:p w14:paraId="1FF4EBBF">
      <w:pPr>
        <w:keepNext w:val="0"/>
        <w:keepLines w:val="0"/>
        <w:pageBreakBefore w:val="0"/>
        <w:wordWrap/>
        <w:overflowPunct/>
        <w:topLinePunct w:val="0"/>
        <w:bidi w:val="0"/>
        <w:adjustRightInd w:val="0"/>
        <w:spacing w:line="360" w:lineRule="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FBCBBAE">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E5DC7A4">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1DC035C">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2F61EBE">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F7C9CAD">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56FDDAB9">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A5D4FD4">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2D5CB42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（计划于何时验收/供应商提出验收申请之日起   日内组织验收） </w:t>
      </w:r>
    </w:p>
    <w:p w14:paraId="29D6160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5E599986">
      <w:pPr>
        <w:keepNext w:val="0"/>
        <w:keepLines w:val="0"/>
        <w:pageBreakBefore w:val="0"/>
        <w:wordWrap/>
        <w:overflowPunct/>
        <w:topLinePunct w:val="0"/>
        <w:bidi w:val="0"/>
        <w:adjustRightInd w:val="0"/>
        <w:spacing w:line="360" w:lineRule="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（应明确分期</w:t>
      </w:r>
      <w:r>
        <w:rPr>
          <w:rFonts w:hint="eastAsia" w:ascii="宋体" w:hAnsi="宋体" w:eastAsia="宋体" w:cs="宋体"/>
          <w:bCs/>
          <w:color w:val="auto"/>
          <w:sz w:val="24"/>
          <w:szCs w:val="24"/>
          <w:highlight w:val="none"/>
          <w:u w:val="single"/>
          <w:lang w:val="en"/>
        </w:rPr>
        <w:t>/分项验收的工作安排</w:t>
      </w:r>
      <w:r>
        <w:rPr>
          <w:rFonts w:hint="eastAsia" w:ascii="宋体" w:hAnsi="宋体" w:eastAsia="宋体" w:cs="宋体"/>
          <w:bCs/>
          <w:color w:val="auto"/>
          <w:sz w:val="24"/>
          <w:szCs w:val="24"/>
          <w:highlight w:val="none"/>
          <w:u w:val="single"/>
        </w:rPr>
        <w:t xml:space="preserve">）  </w:t>
      </w:r>
    </w:p>
    <w:p w14:paraId="595C6CE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7C3F607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4A81163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2AB2EB1E">
      <w:pPr>
        <w:pStyle w:val="43"/>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2EDB7DB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（产权过户登记等）          </w:t>
      </w:r>
    </w:p>
    <w:p w14:paraId="471BDA86">
      <w:pPr>
        <w:keepNext w:val="0"/>
        <w:keepLines w:val="0"/>
        <w:pageBreakBefore w:val="0"/>
        <w:numPr>
          <w:ilvl w:val="0"/>
          <w:numId w:val="11"/>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6303577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0B3B93E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C96A46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7F1B532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14BF32D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395D570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361F4FC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6A892704">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5D632C69">
      <w:pPr>
        <w:pStyle w:val="43"/>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0ADBA729">
      <w:pPr>
        <w:keepNext w:val="0"/>
        <w:keepLines w:val="0"/>
        <w:pageBreakBefore w:val="0"/>
        <w:numPr>
          <w:ilvl w:val="0"/>
          <w:numId w:val="11"/>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6C3DA0C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6769F9E7">
      <w:pPr>
        <w:keepNext w:val="0"/>
        <w:keepLines w:val="0"/>
        <w:pageBreakBefore w:val="0"/>
        <w:numPr>
          <w:ilvl w:val="0"/>
          <w:numId w:val="11"/>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70ED6EE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5FF9C2D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AA4E92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0DACC99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3E026DE9">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0F8B8D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64C263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169F5F6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179DC8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C458EB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53536C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965814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2A58CEC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497261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3DCCC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3E7B4A7">
            <w:pPr>
              <w:keepNext w:val="0"/>
              <w:keepLines w:val="0"/>
              <w:pageBreakBefore w:val="0"/>
              <w:wordWrap/>
              <w:overflowPunct/>
              <w:topLinePunct w:val="0"/>
              <w:bidi w:val="0"/>
              <w:adjustRightInd w:val="0"/>
              <w:spacing w:line="360" w:lineRule="auto"/>
              <w:ind w:firstLine="115" w:firstLineChars="48"/>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3BEB97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6BDA42D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2B9F01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6A3BD64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r>
      <w:tr w14:paraId="7CDF8F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BC370F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0821F51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E6611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5A8B40F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6D2F7B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305C9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77A972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DC72A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0570547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459A03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5B24C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FF60F2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E90D8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5A8C285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518438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5CE0D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1127D0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61EAEA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6853CC8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241CA1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2D183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5094BF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0922E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18F1713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239CEB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926D2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C5E8E1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B46FE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65E4014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382B48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5DA32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7CE390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D6BCE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6AA0DB2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33088B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EC9F4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0DA2B1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9CF9C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6E0145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7BAF6E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1E78E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290162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2B201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05F44C5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78B159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25E5B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12E06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B3682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2A6315E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5984DA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63A94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CF15B2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E1EDF9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246F39E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3A0F1F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AAA0076">
            <w:pPr>
              <w:pStyle w:val="7"/>
              <w:keepNext w:val="0"/>
              <w:keepLines w:val="0"/>
              <w:pageBreakBefore w:val="0"/>
              <w:wordWrap/>
              <w:overflowPunct/>
              <w:topLinePunct w:val="0"/>
              <w:bidi w:val="0"/>
              <w:adjustRightInd w:val="0"/>
              <w:spacing w:before="120" w:beforeLines="50" w:line="360" w:lineRule="auto"/>
              <w:ind w:firstLine="986"/>
              <w:jc w:val="left"/>
              <w:outlineLvl w:val="9"/>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353C4B1B">
      <w:pPr>
        <w:keepNext w:val="0"/>
        <w:keepLines w:val="0"/>
        <w:pageBreakBefore w:val="0"/>
        <w:wordWrap/>
        <w:overflowPunct/>
        <w:topLinePunct w:val="0"/>
        <w:bidi w:val="0"/>
        <w:adjustRightInd w:val="0"/>
        <w:spacing w:before="120" w:beforeLines="50"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r>
        <w:rPr>
          <w:rFonts w:hint="eastAsia" w:ascii="宋体" w:hAnsi="宋体" w:eastAsia="宋体" w:cs="宋体"/>
          <w:b w:val="0"/>
          <w:bCs w:val="0"/>
          <w:color w:val="auto"/>
          <w:sz w:val="24"/>
          <w:szCs w:val="24"/>
          <w:highlight w:val="none"/>
        </w:rPr>
        <w:t>第二节 政府采购合同通用条款</w:t>
      </w:r>
    </w:p>
    <w:p w14:paraId="6273C58B">
      <w:pPr>
        <w:keepNext w:val="0"/>
        <w:keepLines w:val="0"/>
        <w:pageBreakBefore w:val="0"/>
        <w:tabs>
          <w:tab w:val="left" w:pos="8820"/>
          <w:tab w:val="left" w:pos="9345"/>
          <w:tab w:val="left" w:pos="9765"/>
        </w:tabs>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2F03552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0EEB95E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73CC80F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0237109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5A90D7DD">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7F68166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auto"/>
          <w:kern w:val="2"/>
          <w:sz w:val="24"/>
          <w:szCs w:val="24"/>
          <w:highlight w:val="none"/>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7B71EB3F">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392A112F">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664DF61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630CDD2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35A24485">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25B99AE">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702965DC">
      <w:pPr>
        <w:keepNext w:val="0"/>
        <w:keepLines w:val="0"/>
        <w:pageBreakBefore w:val="0"/>
        <w:numPr>
          <w:ilvl w:val="0"/>
          <w:numId w:val="14"/>
        </w:numPr>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929701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1F7D380F">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17BDFC0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366A7D1B">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1D7935D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2CF04D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67C6F91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5E101C1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24EFDF4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29C9045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6036A672">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0DD985B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7F20562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97B1ADA">
      <w:pPr>
        <w:pStyle w:val="6"/>
        <w:keepNext w:val="0"/>
        <w:keepLines w:val="0"/>
        <w:pageBreakBefore w:val="0"/>
        <w:wordWrap/>
        <w:overflowPunct/>
        <w:topLinePunct w:val="0"/>
        <w:bidi w:val="0"/>
        <w:adjustRightInd w:val="0"/>
        <w:spacing w:after="0" w:line="360" w:lineRule="auto"/>
        <w:ind w:firstLine="422" w:firstLineChars="17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5.3乙方有权根据合同约定向甲方收取合同价款。</w:t>
      </w:r>
    </w:p>
    <w:p w14:paraId="59B10F25">
      <w:pPr>
        <w:pStyle w:val="6"/>
        <w:keepNext w:val="0"/>
        <w:keepLines w:val="0"/>
        <w:pageBreakBefore w:val="0"/>
        <w:wordWrap/>
        <w:overflowPunct/>
        <w:topLinePunct w:val="0"/>
        <w:bidi w:val="0"/>
        <w:adjustRightInd w:val="0"/>
        <w:spacing w:after="0" w:line="360" w:lineRule="auto"/>
        <w:ind w:firstLine="422" w:firstLineChars="17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约定应由乙方承担的其他义务和责任。</w:t>
      </w:r>
    </w:p>
    <w:p w14:paraId="2252671F">
      <w:pPr>
        <w:keepNext w:val="0"/>
        <w:keepLines w:val="0"/>
        <w:pageBreakBefore w:val="0"/>
        <w:numPr>
          <w:ilvl w:val="0"/>
          <w:numId w:val="15"/>
        </w:numPr>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7858A47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2A15063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0D1748F9">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40C5507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68A62BF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2565A4B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2285BC0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93B274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49D84C8D">
      <w:pPr>
        <w:pStyle w:val="43"/>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10028F3E">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7FF93F0A">
      <w:pPr>
        <w:pStyle w:val="8"/>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8.1 质量标准</w:t>
      </w:r>
    </w:p>
    <w:p w14:paraId="1E947B54">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1D882A">
      <w:pPr>
        <w:pStyle w:val="8"/>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30FB99C7">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2088EE6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7175EB0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4152135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48A3CAB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07AA937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75FC81A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756AA9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292F9D33">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12A0F10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0580DD7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13A569A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3542ACC2">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72525C9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1F5282C">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0F69B2A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BFF30F2">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34E6F4C8">
      <w:pPr>
        <w:keepNext w:val="0"/>
        <w:keepLines w:val="0"/>
        <w:pageBreakBefore w:val="0"/>
        <w:wordWrap/>
        <w:overflowPunct/>
        <w:topLinePunct w:val="0"/>
        <w:autoSpaceDE/>
        <w:autoSpaceDN/>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07B3526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 xml:space="preserve">12.2 </w:t>
      </w:r>
      <w:r>
        <w:rPr>
          <w:rFonts w:hint="eastAsia" w:ascii="宋体" w:hAnsi="宋体" w:eastAsia="宋体" w:cs="宋体"/>
          <w:b w:val="0"/>
          <w:bCs w:val="0"/>
          <w:color w:val="auto"/>
          <w:kern w:val="2"/>
          <w:sz w:val="24"/>
          <w:szCs w:val="24"/>
          <w:highlight w:val="none"/>
        </w:rPr>
        <w:t>对于满足合同约定支付条件的，甲方</w:t>
      </w:r>
      <w:r>
        <w:rPr>
          <w:rFonts w:hint="eastAsia" w:ascii="宋体" w:hAnsi="宋体" w:eastAsia="宋体" w:cs="宋体"/>
          <w:b w:val="0"/>
          <w:bCs w:val="0"/>
          <w:color w:val="auto"/>
          <w:sz w:val="24"/>
          <w:szCs w:val="24"/>
          <w:highlight w:val="no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】中约定。</w:t>
      </w:r>
    </w:p>
    <w:p w14:paraId="6A0773D5">
      <w:pPr>
        <w:pStyle w:val="6"/>
        <w:keepNext w:val="0"/>
        <w:keepLines w:val="0"/>
        <w:pageBreakBefore w:val="0"/>
        <w:wordWrap/>
        <w:overflowPunct/>
        <w:topLinePunct w:val="0"/>
        <w:bidi w:val="0"/>
        <w:adjustRightInd w:val="0"/>
        <w:spacing w:after="0"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履约保证金</w:t>
      </w:r>
    </w:p>
    <w:p w14:paraId="58DB584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07E865B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00330997">
      <w:pPr>
        <w:keepNext w:val="0"/>
        <w:keepLines w:val="0"/>
        <w:pageBreakBefore w:val="0"/>
        <w:wordWrap/>
        <w:overflowPunct/>
        <w:topLinePunct w:val="0"/>
        <w:bidi w:val="0"/>
        <w:adjustRightInd w:val="0"/>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1827EF4D">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14E9F24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6A38C38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6623A9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130FEDD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3A290DE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3340DE7F">
      <w:pPr>
        <w:pStyle w:val="43"/>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108E0F6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7575EB9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6B9ECF66">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365ABA9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501B186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1EF260D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67863E3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54A0D6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2CD7533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75561FE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0F633B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1386D52">
      <w:pPr>
        <w:keepNext w:val="0"/>
        <w:keepLines w:val="0"/>
        <w:pageBreakBefore w:val="0"/>
        <w:numPr>
          <w:ilvl w:val="0"/>
          <w:numId w:val="16"/>
        </w:numPr>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210B83B0">
      <w:pPr>
        <w:keepNext w:val="0"/>
        <w:keepLines w:val="0"/>
        <w:pageBreakBefore w:val="0"/>
        <w:wordWrap/>
        <w:overflowPunct/>
        <w:topLinePunct w:val="0"/>
        <w:autoSpaceDE/>
        <w:autoSpaceDN/>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3EEF600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3E0A49B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1E89A5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7D84102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16DB14">
      <w:pPr>
        <w:pStyle w:val="43"/>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59E9F1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798081C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1FE0E41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2E2B47C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293743A5">
      <w:pPr>
        <w:pStyle w:val="43"/>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40ADEE95">
      <w:pPr>
        <w:pStyle w:val="43"/>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0AA5B829">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399B5FF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26DB7A0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6F2E513F">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7F47C55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4E1A86A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024381F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E2EA109">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398E5062">
      <w:pPr>
        <w:pStyle w:val="43"/>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5A673C6">
      <w:pPr>
        <w:pStyle w:val="43"/>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5DE4D15">
      <w:pPr>
        <w:pStyle w:val="43"/>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08C2700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04A4F60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5B073DE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1A55AA1B">
      <w:pPr>
        <w:pStyle w:val="6"/>
        <w:keepNext w:val="0"/>
        <w:keepLines w:val="0"/>
        <w:pageBreakBefore w:val="0"/>
        <w:wordWrap/>
        <w:overflowPunct/>
        <w:topLinePunct w:val="0"/>
        <w:bidi w:val="0"/>
        <w:adjustRightInd w:val="0"/>
        <w:spacing w:after="0"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413ED5B">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7DFED9F8">
      <w:pPr>
        <w:pStyle w:val="43"/>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7BCE4ACE">
      <w:pPr>
        <w:pStyle w:val="43"/>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488CE3AC">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016CC4FA">
      <w:pPr>
        <w:pStyle w:val="43"/>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41C7D00D">
      <w:pPr>
        <w:pStyle w:val="43"/>
        <w:keepNext w:val="0"/>
        <w:keepLines w:val="0"/>
        <w:pageBreakBefore w:val="0"/>
        <w:wordWrap/>
        <w:overflowPunct/>
        <w:topLinePunct w:val="0"/>
        <w:bidi w:val="0"/>
        <w:adjustRightInd w:val="0"/>
        <w:spacing w:line="360" w:lineRule="auto"/>
        <w:ind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1F1BB02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7254E80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70F2E139">
      <w:pPr>
        <w:keepNext w:val="0"/>
        <w:keepLines w:val="0"/>
        <w:pageBreakBefore w:val="0"/>
        <w:numPr>
          <w:ilvl w:val="0"/>
          <w:numId w:val="17"/>
        </w:numPr>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0DD3987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004CA9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p>
    <w:p w14:paraId="551F25C9">
      <w:pPr>
        <w:keepNext w:val="0"/>
        <w:keepLines w:val="0"/>
        <w:pageBreakBefore w:val="0"/>
        <w:wordWrap/>
        <w:overflowPunct/>
        <w:topLinePunct w:val="0"/>
        <w:bidi w:val="0"/>
        <w:adjustRightInd w:val="0"/>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第三节 政府采购合同专用条款</w:t>
      </w:r>
    </w:p>
    <w:tbl>
      <w:tblPr>
        <w:tblStyle w:val="18"/>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2"/>
        <w:gridCol w:w="3840"/>
        <w:gridCol w:w="2687"/>
      </w:tblGrid>
      <w:tr w14:paraId="01BE2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757F61B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28478B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3840" w:type="dxa"/>
            <w:vAlign w:val="center"/>
          </w:tcPr>
          <w:p w14:paraId="5356A2E6">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2687" w:type="dxa"/>
            <w:vAlign w:val="center"/>
          </w:tcPr>
          <w:p w14:paraId="0D1CB6A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00340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992" w:type="dxa"/>
            <w:vAlign w:val="center"/>
          </w:tcPr>
          <w:p w14:paraId="5D80E6F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0F1581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第1.2（7）项</w:t>
            </w:r>
          </w:p>
        </w:tc>
        <w:tc>
          <w:tcPr>
            <w:tcW w:w="3840" w:type="dxa"/>
            <w:vAlign w:val="center"/>
          </w:tcPr>
          <w:p w14:paraId="4FE507E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其他术语解释</w:t>
            </w:r>
          </w:p>
        </w:tc>
        <w:tc>
          <w:tcPr>
            <w:tcW w:w="2687" w:type="dxa"/>
            <w:vAlign w:val="center"/>
          </w:tcPr>
          <w:p w14:paraId="11CA9AF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0EF2B1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199A8A22">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8AD427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3840" w:type="dxa"/>
            <w:vAlign w:val="center"/>
          </w:tcPr>
          <w:p w14:paraId="4FFF841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2687" w:type="dxa"/>
            <w:vAlign w:val="center"/>
          </w:tcPr>
          <w:p w14:paraId="41361E9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3FFC8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74B0B2D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BFA9A8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3840" w:type="dxa"/>
            <w:vAlign w:val="center"/>
          </w:tcPr>
          <w:p w14:paraId="0CC09CC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2687" w:type="dxa"/>
            <w:vAlign w:val="center"/>
          </w:tcPr>
          <w:p w14:paraId="192B89B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766B1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6E708792">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724093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3840" w:type="dxa"/>
            <w:vAlign w:val="center"/>
          </w:tcPr>
          <w:p w14:paraId="191961F4">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2687" w:type="dxa"/>
            <w:vAlign w:val="center"/>
          </w:tcPr>
          <w:p w14:paraId="6A3D7690">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11274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5D38D7F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723578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3840" w:type="dxa"/>
            <w:vAlign w:val="center"/>
          </w:tcPr>
          <w:p w14:paraId="3D5821A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2687" w:type="dxa"/>
            <w:vAlign w:val="center"/>
          </w:tcPr>
          <w:p w14:paraId="4C09E1EF">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08A77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992" w:type="dxa"/>
            <w:vMerge w:val="restart"/>
            <w:vAlign w:val="center"/>
          </w:tcPr>
          <w:p w14:paraId="5D58205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FA2F1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3840" w:type="dxa"/>
            <w:vAlign w:val="center"/>
          </w:tcPr>
          <w:p w14:paraId="76FC618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2687" w:type="dxa"/>
            <w:vAlign w:val="center"/>
          </w:tcPr>
          <w:p w14:paraId="05C0D31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5CD42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992" w:type="dxa"/>
            <w:vMerge w:val="continue"/>
            <w:vAlign w:val="center"/>
          </w:tcPr>
          <w:p w14:paraId="1CC5D84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3840" w:type="dxa"/>
            <w:vAlign w:val="center"/>
          </w:tcPr>
          <w:p w14:paraId="2BF49DC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2687" w:type="dxa"/>
            <w:vAlign w:val="center"/>
          </w:tcPr>
          <w:p w14:paraId="6DE72C3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62021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992" w:type="dxa"/>
            <w:vAlign w:val="center"/>
          </w:tcPr>
          <w:p w14:paraId="54801C0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A83573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3840" w:type="dxa"/>
            <w:vAlign w:val="center"/>
          </w:tcPr>
          <w:p w14:paraId="77BD1DC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2687" w:type="dxa"/>
            <w:vAlign w:val="center"/>
          </w:tcPr>
          <w:p w14:paraId="78F00E4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354FCF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992" w:type="dxa"/>
            <w:vAlign w:val="center"/>
          </w:tcPr>
          <w:p w14:paraId="039F833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ECB5C9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3840" w:type="dxa"/>
            <w:vAlign w:val="center"/>
          </w:tcPr>
          <w:p w14:paraId="7E912C5F">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2687" w:type="dxa"/>
            <w:vAlign w:val="center"/>
          </w:tcPr>
          <w:p w14:paraId="5C31B77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49FB2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366F840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EB9960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3840" w:type="dxa"/>
            <w:vAlign w:val="center"/>
          </w:tcPr>
          <w:p w14:paraId="7528B33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2687" w:type="dxa"/>
            <w:vAlign w:val="center"/>
          </w:tcPr>
          <w:p w14:paraId="3F11E7E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p>
        </w:tc>
      </w:tr>
      <w:tr w14:paraId="3B990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0CA60A3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D76610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3840" w:type="dxa"/>
            <w:vAlign w:val="center"/>
          </w:tcPr>
          <w:p w14:paraId="3D58E8A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65F0345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2687" w:type="dxa"/>
            <w:vAlign w:val="center"/>
          </w:tcPr>
          <w:p w14:paraId="01A25BD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1B4FD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5E0A955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98A03C5">
            <w:pPr>
              <w:pStyle w:val="43"/>
              <w:keepNext w:val="0"/>
              <w:keepLines w:val="0"/>
              <w:pageBreakBefore w:val="0"/>
              <w:wordWrap/>
              <w:overflowPunct/>
              <w:topLinePunct w:val="0"/>
              <w:bidi w:val="0"/>
              <w:adjustRightInd w:val="0"/>
              <w:spacing w:line="360" w:lineRule="auto"/>
              <w:ind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3840" w:type="dxa"/>
            <w:vAlign w:val="center"/>
          </w:tcPr>
          <w:p w14:paraId="7EC4F0BB">
            <w:pPr>
              <w:keepNext w:val="0"/>
              <w:keepLines w:val="0"/>
              <w:pageBreakBefore w:val="0"/>
              <w:wordWrap/>
              <w:overflowPunct/>
              <w:topLinePunct w:val="0"/>
              <w:bidi w:val="0"/>
              <w:adjustRightInd w:val="0"/>
              <w:spacing w:line="360" w:lineRule="auto"/>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2687" w:type="dxa"/>
            <w:vAlign w:val="center"/>
          </w:tcPr>
          <w:p w14:paraId="198BA46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3594C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992" w:type="dxa"/>
            <w:vAlign w:val="center"/>
          </w:tcPr>
          <w:p w14:paraId="5CE7B67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FEB89E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3840" w:type="dxa"/>
            <w:vAlign w:val="center"/>
          </w:tcPr>
          <w:p w14:paraId="29A93C5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2687" w:type="dxa"/>
            <w:vAlign w:val="center"/>
          </w:tcPr>
          <w:p w14:paraId="3A485E8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7F30C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992" w:type="dxa"/>
            <w:vAlign w:val="center"/>
          </w:tcPr>
          <w:p w14:paraId="095F9BF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51946F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3840" w:type="dxa"/>
            <w:vAlign w:val="center"/>
          </w:tcPr>
          <w:p w14:paraId="15EA48F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2687" w:type="dxa"/>
            <w:vAlign w:val="center"/>
          </w:tcPr>
          <w:p w14:paraId="557720F0">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71BF24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32A789D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616786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3840" w:type="dxa"/>
            <w:vAlign w:val="center"/>
          </w:tcPr>
          <w:p w14:paraId="5A1C775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2687" w:type="dxa"/>
            <w:vAlign w:val="center"/>
          </w:tcPr>
          <w:p w14:paraId="29EA8E7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1C533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992" w:type="dxa"/>
            <w:vAlign w:val="center"/>
          </w:tcPr>
          <w:p w14:paraId="590EC4C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E47C10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3840" w:type="dxa"/>
            <w:vAlign w:val="center"/>
          </w:tcPr>
          <w:p w14:paraId="3086084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2687" w:type="dxa"/>
            <w:vAlign w:val="center"/>
          </w:tcPr>
          <w:p w14:paraId="320F382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EBA94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992" w:type="dxa"/>
            <w:vAlign w:val="center"/>
          </w:tcPr>
          <w:p w14:paraId="5974CCA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6062CC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3840" w:type="dxa"/>
            <w:vAlign w:val="center"/>
          </w:tcPr>
          <w:p w14:paraId="6435B79E">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2687" w:type="dxa"/>
            <w:vAlign w:val="center"/>
          </w:tcPr>
          <w:p w14:paraId="5E2ED654">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35DFA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jc w:val="center"/>
        </w:trPr>
        <w:tc>
          <w:tcPr>
            <w:tcW w:w="1992" w:type="dxa"/>
            <w:vAlign w:val="center"/>
          </w:tcPr>
          <w:p w14:paraId="49A87FC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13A69E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3840" w:type="dxa"/>
            <w:vAlign w:val="center"/>
          </w:tcPr>
          <w:p w14:paraId="6E48010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2687" w:type="dxa"/>
            <w:vAlign w:val="center"/>
          </w:tcPr>
          <w:p w14:paraId="31AD286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8B158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6B1C29D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1892C6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3840" w:type="dxa"/>
            <w:vAlign w:val="center"/>
          </w:tcPr>
          <w:p w14:paraId="2C2B75C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2687" w:type="dxa"/>
            <w:vAlign w:val="center"/>
          </w:tcPr>
          <w:p w14:paraId="77C656D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4AEEC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3CCAC09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C88AB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3840" w:type="dxa"/>
            <w:vAlign w:val="center"/>
          </w:tcPr>
          <w:p w14:paraId="12B430A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2687" w:type="dxa"/>
            <w:vAlign w:val="center"/>
          </w:tcPr>
          <w:p w14:paraId="7E91552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p>
        </w:tc>
      </w:tr>
      <w:tr w14:paraId="0D307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7588F9D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64AD0C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3840" w:type="dxa"/>
            <w:vAlign w:val="center"/>
          </w:tcPr>
          <w:p w14:paraId="53A83E8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2687" w:type="dxa"/>
            <w:vAlign w:val="center"/>
          </w:tcPr>
          <w:p w14:paraId="337A09C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p>
        </w:tc>
      </w:tr>
      <w:tr w14:paraId="49B164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992" w:type="dxa"/>
            <w:tcBorders>
              <w:bottom w:val="single" w:color="auto" w:sz="2" w:space="0"/>
              <w:right w:val="single" w:color="auto" w:sz="2" w:space="0"/>
            </w:tcBorders>
            <w:vAlign w:val="center"/>
          </w:tcPr>
          <w:p w14:paraId="49FE98C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5D1CAB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3840" w:type="dxa"/>
            <w:tcBorders>
              <w:left w:val="single" w:color="auto" w:sz="2" w:space="0"/>
              <w:bottom w:val="single" w:color="auto" w:sz="2" w:space="0"/>
              <w:right w:val="single" w:color="auto" w:sz="2" w:space="0"/>
            </w:tcBorders>
            <w:vAlign w:val="center"/>
          </w:tcPr>
          <w:p w14:paraId="4DC4C37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2687" w:type="dxa"/>
            <w:tcBorders>
              <w:left w:val="single" w:color="auto" w:sz="2" w:space="0"/>
              <w:bottom w:val="single" w:color="auto" w:sz="2" w:space="0"/>
            </w:tcBorders>
            <w:vAlign w:val="center"/>
          </w:tcPr>
          <w:p w14:paraId="6FE55DD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p>
        </w:tc>
      </w:tr>
      <w:tr w14:paraId="59CB43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92" w:type="dxa"/>
            <w:tcBorders>
              <w:top w:val="single" w:color="auto" w:sz="2" w:space="0"/>
              <w:right w:val="single" w:color="auto" w:sz="2" w:space="0"/>
            </w:tcBorders>
            <w:vAlign w:val="center"/>
          </w:tcPr>
          <w:p w14:paraId="7CF854F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8976892">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3840" w:type="dxa"/>
            <w:tcBorders>
              <w:top w:val="single" w:color="auto" w:sz="2" w:space="0"/>
              <w:left w:val="single" w:color="auto" w:sz="2" w:space="0"/>
              <w:right w:val="single" w:color="auto" w:sz="2" w:space="0"/>
            </w:tcBorders>
            <w:vAlign w:val="center"/>
          </w:tcPr>
          <w:p w14:paraId="1F69C98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2687" w:type="dxa"/>
            <w:tcBorders>
              <w:top w:val="single" w:color="auto" w:sz="2" w:space="0"/>
              <w:left w:val="single" w:color="auto" w:sz="2" w:space="0"/>
            </w:tcBorders>
            <w:vAlign w:val="center"/>
          </w:tcPr>
          <w:p w14:paraId="7A31ADF5">
            <w:pPr>
              <w:keepNext w:val="0"/>
              <w:keepLines w:val="0"/>
              <w:pageBreakBefore w:val="0"/>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种方式解决：</w:t>
            </w:r>
          </w:p>
          <w:p w14:paraId="151B4412">
            <w:pPr>
              <w:keepNext w:val="0"/>
              <w:keepLines w:val="0"/>
              <w:pageBreakBefore w:val="0"/>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2306CE3E">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人民法院起诉。</w:t>
            </w:r>
          </w:p>
        </w:tc>
      </w:tr>
      <w:tr w14:paraId="20318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992" w:type="dxa"/>
            <w:vAlign w:val="center"/>
          </w:tcPr>
          <w:p w14:paraId="749C740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C8016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3840" w:type="dxa"/>
            <w:vAlign w:val="center"/>
          </w:tcPr>
          <w:p w14:paraId="56F6B80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其他专用条款</w:t>
            </w:r>
          </w:p>
        </w:tc>
        <w:tc>
          <w:tcPr>
            <w:tcW w:w="2687" w:type="dxa"/>
            <w:vAlign w:val="center"/>
          </w:tcPr>
          <w:p w14:paraId="66CD839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bl>
    <w:p w14:paraId="3BA311E0">
      <w:pPr>
        <w:widowControl/>
        <w:autoSpaceDE w:val="0"/>
        <w:autoSpaceDN w:val="0"/>
        <w:adjustRightInd w:val="0"/>
        <w:spacing w:line="440" w:lineRule="exact"/>
        <w:rPr>
          <w:rStyle w:val="24"/>
          <w:rFonts w:hint="eastAsia" w:ascii="宋体" w:hAnsi="宋体" w:eastAsia="宋体" w:cs="宋体"/>
          <w:color w:val="auto"/>
          <w:sz w:val="28"/>
          <w:szCs w:val="28"/>
          <w:highlight w:val="none"/>
          <w:lang w:val="en-GB"/>
        </w:rPr>
      </w:pPr>
    </w:p>
    <w:p w14:paraId="60A52B2B">
      <w:pPr>
        <w:spacing w:afterLines="50" w:line="440" w:lineRule="exact"/>
        <w:jc w:val="center"/>
        <w:outlineLvl w:val="1"/>
        <w:rPr>
          <w:rFonts w:hint="eastAsia" w:ascii="宋体" w:hAnsi="宋体" w:eastAsia="宋体" w:cs="宋体"/>
          <w:b/>
          <w:bCs/>
          <w:color w:val="auto"/>
          <w:sz w:val="32"/>
          <w:szCs w:val="32"/>
          <w:highlight w:val="none"/>
        </w:rPr>
      </w:pPr>
      <w:bookmarkStart w:id="65" w:name="_Toc20993"/>
    </w:p>
    <w:p w14:paraId="1E660073">
      <w:pPr>
        <w:spacing w:afterLines="50" w:line="440" w:lineRule="exact"/>
        <w:jc w:val="center"/>
        <w:outlineLvl w:val="1"/>
        <w:rPr>
          <w:rFonts w:hint="eastAsia" w:ascii="宋体" w:hAnsi="宋体" w:eastAsia="宋体" w:cs="宋体"/>
          <w:b/>
          <w:bCs/>
          <w:color w:val="auto"/>
          <w:sz w:val="32"/>
          <w:szCs w:val="32"/>
          <w:highlight w:val="none"/>
        </w:rPr>
      </w:pPr>
    </w:p>
    <w:p w14:paraId="67B4DAF1">
      <w:pPr>
        <w:spacing w:afterLines="50" w:line="440" w:lineRule="exact"/>
        <w:jc w:val="center"/>
        <w:outlineLvl w:val="1"/>
        <w:rPr>
          <w:rFonts w:hint="eastAsia" w:ascii="宋体" w:hAnsi="宋体" w:eastAsia="宋体" w:cs="宋体"/>
          <w:b/>
          <w:bCs/>
          <w:color w:val="auto"/>
          <w:sz w:val="32"/>
          <w:szCs w:val="32"/>
          <w:highlight w:val="none"/>
        </w:rPr>
      </w:pPr>
    </w:p>
    <w:p w14:paraId="78E394C5">
      <w:pPr>
        <w:spacing w:afterLines="50" w:line="440" w:lineRule="exact"/>
        <w:jc w:val="center"/>
        <w:outlineLvl w:val="1"/>
        <w:rPr>
          <w:rFonts w:hint="eastAsia" w:ascii="宋体" w:hAnsi="宋体" w:eastAsia="宋体" w:cs="宋体"/>
          <w:b/>
          <w:bCs/>
          <w:color w:val="auto"/>
          <w:sz w:val="32"/>
          <w:szCs w:val="32"/>
          <w:highlight w:val="none"/>
        </w:rPr>
      </w:pPr>
    </w:p>
    <w:p w14:paraId="74F5512B">
      <w:pPr>
        <w:spacing w:afterLines="50" w:line="440" w:lineRule="exact"/>
        <w:jc w:val="center"/>
        <w:outlineLvl w:val="1"/>
        <w:rPr>
          <w:rFonts w:hint="eastAsia" w:ascii="宋体" w:hAnsi="宋体" w:eastAsia="宋体" w:cs="宋体"/>
          <w:b/>
          <w:bCs/>
          <w:color w:val="auto"/>
          <w:sz w:val="32"/>
          <w:szCs w:val="32"/>
          <w:highlight w:val="none"/>
        </w:rPr>
      </w:pPr>
    </w:p>
    <w:p w14:paraId="17E81B0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822C2E4">
      <w:pPr>
        <w:spacing w:afterLines="50" w:line="44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w:t>
      </w:r>
      <w:bookmarkEnd w:id="63"/>
      <w:r>
        <w:rPr>
          <w:rFonts w:hint="eastAsia" w:ascii="宋体" w:hAnsi="宋体" w:eastAsia="宋体" w:cs="宋体"/>
          <w:b/>
          <w:bCs/>
          <w:color w:val="auto"/>
          <w:sz w:val="32"/>
          <w:szCs w:val="32"/>
          <w:highlight w:val="none"/>
        </w:rPr>
        <w:t>格式</w:t>
      </w:r>
      <w:bookmarkEnd w:id="65"/>
    </w:p>
    <w:p w14:paraId="7331BADE">
      <w:pPr>
        <w:spacing w:line="360" w:lineRule="auto"/>
        <w:jc w:val="both"/>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（投标文件标书封皮）</w:t>
      </w:r>
    </w:p>
    <w:p w14:paraId="5BCA8E92">
      <w:pPr>
        <w:spacing w:line="360" w:lineRule="auto"/>
        <w:jc w:val="right"/>
        <w:rPr>
          <w:rFonts w:hint="eastAsia" w:ascii="宋体" w:hAnsi="宋体" w:eastAsia="宋体" w:cs="宋体"/>
          <w:color w:val="auto"/>
          <w:highlight w:val="none"/>
        </w:rPr>
      </w:pPr>
      <w:r>
        <w:rPr>
          <w:rFonts w:hint="eastAsia" w:ascii="宋体" w:hAnsi="宋体" w:eastAsia="宋体" w:cs="宋体"/>
          <w:b/>
          <w:bCs/>
          <w:color w:val="auto"/>
          <w:kern w:val="1"/>
          <w:sz w:val="36"/>
          <w:szCs w:val="36"/>
          <w:highlight w:val="none"/>
        </w:rPr>
        <w:t>正（副）本</w:t>
      </w:r>
    </w:p>
    <w:p w14:paraId="66864908">
      <w:pPr>
        <w:spacing w:line="360" w:lineRule="auto"/>
        <w:rPr>
          <w:rFonts w:hint="eastAsia" w:ascii="宋体" w:hAnsi="宋体" w:eastAsia="宋体" w:cs="宋体"/>
          <w:color w:val="auto"/>
          <w:highlight w:val="none"/>
        </w:rPr>
      </w:pPr>
    </w:p>
    <w:p w14:paraId="30ACDBD7">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52"/>
          <w:szCs w:val="52"/>
          <w:highlight w:val="none"/>
          <w:u w:val="single"/>
        </w:rPr>
        <w:t xml:space="preserve">****          </w:t>
      </w:r>
      <w:r>
        <w:rPr>
          <w:rFonts w:hint="eastAsia" w:ascii="宋体" w:hAnsi="宋体" w:eastAsia="宋体" w:cs="宋体"/>
          <w:b/>
          <w:bCs/>
          <w:color w:val="auto"/>
          <w:sz w:val="52"/>
          <w:szCs w:val="52"/>
          <w:highlight w:val="none"/>
        </w:rPr>
        <w:t>项目</w:t>
      </w:r>
    </w:p>
    <w:p w14:paraId="0AF416CF">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项目编号：</w:t>
      </w:r>
    </w:p>
    <w:p w14:paraId="69293D01">
      <w:pPr>
        <w:spacing w:line="360" w:lineRule="auto"/>
        <w:rPr>
          <w:rFonts w:hint="eastAsia" w:ascii="宋体" w:hAnsi="宋体" w:eastAsia="宋体" w:cs="宋体"/>
          <w:color w:val="auto"/>
          <w:highlight w:val="none"/>
        </w:rPr>
      </w:pPr>
    </w:p>
    <w:p w14:paraId="29ABED11">
      <w:pPr>
        <w:spacing w:line="360" w:lineRule="auto"/>
        <w:rPr>
          <w:rFonts w:hint="eastAsia" w:ascii="宋体" w:hAnsi="宋体" w:eastAsia="宋体" w:cs="宋体"/>
          <w:color w:val="auto"/>
          <w:highlight w:val="none"/>
        </w:rPr>
      </w:pPr>
    </w:p>
    <w:p w14:paraId="261C7576">
      <w:pPr>
        <w:spacing w:line="360" w:lineRule="auto"/>
        <w:rPr>
          <w:rFonts w:hint="eastAsia" w:ascii="宋体" w:hAnsi="宋体" w:eastAsia="宋体" w:cs="宋体"/>
          <w:color w:val="auto"/>
          <w:highlight w:val="none"/>
        </w:rPr>
      </w:pPr>
    </w:p>
    <w:p w14:paraId="7D1EF74F">
      <w:pPr>
        <w:spacing w:line="360" w:lineRule="auto"/>
        <w:rPr>
          <w:rFonts w:hint="eastAsia" w:ascii="宋体" w:hAnsi="宋体" w:eastAsia="宋体" w:cs="宋体"/>
          <w:color w:val="auto"/>
          <w:highlight w:val="none"/>
        </w:rPr>
      </w:pPr>
    </w:p>
    <w:p w14:paraId="1F50AA24">
      <w:pPr>
        <w:spacing w:line="360" w:lineRule="auto"/>
        <w:rPr>
          <w:rFonts w:hint="eastAsia" w:ascii="宋体" w:hAnsi="宋体" w:eastAsia="宋体" w:cs="宋体"/>
          <w:color w:val="auto"/>
          <w:highlight w:val="none"/>
        </w:rPr>
      </w:pPr>
    </w:p>
    <w:p w14:paraId="38A43737">
      <w:pPr>
        <w:spacing w:line="360" w:lineRule="auto"/>
        <w:rPr>
          <w:rFonts w:hint="eastAsia" w:ascii="宋体" w:hAnsi="宋体" w:eastAsia="宋体" w:cs="宋体"/>
          <w:color w:val="auto"/>
          <w:highlight w:val="none"/>
        </w:rPr>
      </w:pPr>
    </w:p>
    <w:p w14:paraId="4699F6C7">
      <w:pPr>
        <w:spacing w:line="360" w:lineRule="auto"/>
        <w:rPr>
          <w:rFonts w:hint="eastAsia" w:ascii="宋体" w:hAnsi="宋体" w:eastAsia="宋体" w:cs="宋体"/>
          <w:color w:val="auto"/>
          <w:highlight w:val="none"/>
        </w:rPr>
      </w:pPr>
    </w:p>
    <w:p w14:paraId="3CB19EE2">
      <w:pPr>
        <w:spacing w:line="360" w:lineRule="auto"/>
        <w:jc w:val="center"/>
        <w:rPr>
          <w:rFonts w:hint="eastAsia" w:ascii="宋体" w:hAnsi="宋体" w:eastAsia="宋体" w:cs="宋体"/>
          <w:color w:val="auto"/>
          <w:sz w:val="28"/>
          <w:szCs w:val="28"/>
          <w:highlight w:val="none"/>
        </w:rPr>
      </w:pPr>
      <w:r>
        <w:rPr>
          <w:rFonts w:hint="eastAsia" w:ascii="宋体" w:hAnsi="宋体" w:cs="宋体"/>
          <w:b/>
          <w:bCs/>
          <w:color w:val="auto"/>
          <w:sz w:val="72"/>
          <w:szCs w:val="144"/>
          <w:highlight w:val="none"/>
          <w:lang w:val="en-US" w:eastAsia="zh-CN"/>
        </w:rPr>
        <w:t>投 标</w:t>
      </w:r>
      <w:r>
        <w:rPr>
          <w:rFonts w:hint="eastAsia" w:ascii="宋体" w:hAnsi="宋体" w:eastAsia="宋体" w:cs="宋体"/>
          <w:b/>
          <w:bCs/>
          <w:color w:val="auto"/>
          <w:sz w:val="72"/>
          <w:szCs w:val="144"/>
          <w:highlight w:val="none"/>
        </w:rPr>
        <w:t xml:space="preserve"> 文 件</w:t>
      </w:r>
    </w:p>
    <w:p w14:paraId="2A25444E">
      <w:pPr>
        <w:spacing w:line="360" w:lineRule="auto"/>
        <w:rPr>
          <w:rFonts w:hint="eastAsia" w:ascii="宋体" w:hAnsi="宋体" w:eastAsia="宋体" w:cs="宋体"/>
          <w:color w:val="auto"/>
          <w:sz w:val="28"/>
          <w:szCs w:val="28"/>
          <w:highlight w:val="none"/>
        </w:rPr>
      </w:pPr>
    </w:p>
    <w:p w14:paraId="2537C1BC">
      <w:pPr>
        <w:spacing w:line="360" w:lineRule="auto"/>
        <w:rPr>
          <w:rFonts w:hint="eastAsia" w:ascii="宋体" w:hAnsi="宋体" w:eastAsia="宋体" w:cs="宋体"/>
          <w:color w:val="auto"/>
          <w:sz w:val="28"/>
          <w:szCs w:val="28"/>
          <w:highlight w:val="none"/>
        </w:rPr>
      </w:pPr>
    </w:p>
    <w:p w14:paraId="2E6974F8">
      <w:pPr>
        <w:spacing w:line="360" w:lineRule="auto"/>
        <w:rPr>
          <w:rFonts w:hint="eastAsia" w:ascii="宋体" w:hAnsi="宋体" w:eastAsia="宋体" w:cs="宋体"/>
          <w:color w:val="auto"/>
          <w:sz w:val="28"/>
          <w:szCs w:val="28"/>
          <w:highlight w:val="none"/>
        </w:rPr>
      </w:pPr>
    </w:p>
    <w:p w14:paraId="00E9B9E3">
      <w:pPr>
        <w:spacing w:line="360" w:lineRule="auto"/>
        <w:rPr>
          <w:rFonts w:hint="eastAsia" w:ascii="宋体" w:hAnsi="宋体" w:eastAsia="宋体" w:cs="宋体"/>
          <w:color w:val="auto"/>
          <w:sz w:val="28"/>
          <w:szCs w:val="28"/>
          <w:highlight w:val="none"/>
        </w:rPr>
      </w:pPr>
    </w:p>
    <w:p w14:paraId="3920FB68">
      <w:pPr>
        <w:spacing w:line="360" w:lineRule="auto"/>
        <w:rPr>
          <w:rFonts w:hint="eastAsia" w:ascii="宋体" w:hAnsi="宋体" w:eastAsia="宋体" w:cs="宋体"/>
          <w:color w:val="auto"/>
          <w:sz w:val="28"/>
          <w:szCs w:val="28"/>
          <w:highlight w:val="none"/>
        </w:rPr>
      </w:pPr>
    </w:p>
    <w:p w14:paraId="71B9FCDB">
      <w:pPr>
        <w:spacing w:line="360" w:lineRule="auto"/>
        <w:rPr>
          <w:rFonts w:hint="eastAsia" w:ascii="宋体" w:hAnsi="宋体" w:eastAsia="宋体" w:cs="宋体"/>
          <w:color w:val="auto"/>
          <w:sz w:val="28"/>
          <w:szCs w:val="28"/>
          <w:highlight w:val="none"/>
        </w:rPr>
      </w:pPr>
      <w:bookmarkStart w:id="66" w:name="_Toc17052"/>
      <w:r>
        <w:rPr>
          <w:rFonts w:hint="eastAsia" w:ascii="宋体" w:hAnsi="宋体" w:eastAsia="宋体" w:cs="宋体"/>
          <w:color w:val="auto"/>
          <w:sz w:val="28"/>
          <w:szCs w:val="28"/>
          <w:highlight w:val="none"/>
        </w:rPr>
        <w:t>投标人名称：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bookmarkEnd w:id="66"/>
    </w:p>
    <w:p w14:paraId="318D9BAB">
      <w:pPr>
        <w:spacing w:line="360" w:lineRule="auto"/>
        <w:rPr>
          <w:rFonts w:hint="eastAsia" w:ascii="宋体" w:hAnsi="宋体" w:eastAsia="宋体" w:cs="宋体"/>
          <w:color w:val="auto"/>
          <w:sz w:val="28"/>
          <w:szCs w:val="28"/>
          <w:highlight w:val="none"/>
        </w:rPr>
      </w:pPr>
      <w:bookmarkStart w:id="67" w:name="_Toc21270"/>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并</w:t>
      </w:r>
      <w:r>
        <w:rPr>
          <w:rFonts w:hint="eastAsia" w:ascii="宋体" w:hAnsi="宋体" w:eastAsia="宋体" w:cs="宋体"/>
          <w:color w:val="auto"/>
          <w:sz w:val="28"/>
          <w:szCs w:val="28"/>
          <w:highlight w:val="none"/>
        </w:rPr>
        <w:t>盖章）</w:t>
      </w:r>
      <w:bookmarkEnd w:id="67"/>
    </w:p>
    <w:p w14:paraId="1DD08CD9">
      <w:pPr>
        <w:widowControl/>
        <w:autoSpaceDE w:val="0"/>
        <w:autoSpaceDN w:val="0"/>
        <w:adjustRightInd w:val="0"/>
        <w:spacing w:line="360" w:lineRule="auto"/>
        <w:ind w:firstLine="1120" w:firstLineChars="400"/>
        <w:jc w:val="center"/>
        <w:rPr>
          <w:rFonts w:hint="eastAsia" w:ascii="宋体" w:hAnsi="宋体" w:eastAsia="宋体" w:cs="宋体"/>
          <w:color w:val="auto"/>
          <w:kern w:val="1"/>
          <w:sz w:val="32"/>
          <w:szCs w:val="32"/>
          <w:highlight w:val="none"/>
        </w:rPr>
      </w:pPr>
      <w:bookmarkStart w:id="68" w:name="_Toc26551"/>
      <w:r>
        <w:rPr>
          <w:rFonts w:hint="eastAsia" w:ascii="宋体" w:hAnsi="宋体" w:eastAsia="宋体" w:cs="宋体"/>
          <w:color w:val="auto"/>
          <w:sz w:val="28"/>
          <w:szCs w:val="28"/>
          <w:highlight w:val="none"/>
        </w:rPr>
        <w:t>年     月     日</w:t>
      </w:r>
      <w:bookmarkEnd w:id="68"/>
    </w:p>
    <w:p w14:paraId="34C148C1">
      <w:pPr>
        <w:rPr>
          <w:rFonts w:hint="eastAsia" w:ascii="宋体" w:hAnsi="宋体" w:eastAsia="宋体" w:cs="宋体"/>
          <w:color w:val="auto"/>
          <w:kern w:val="1"/>
          <w:sz w:val="30"/>
          <w:szCs w:val="30"/>
          <w:highlight w:val="none"/>
        </w:rPr>
      </w:pPr>
      <w:r>
        <w:rPr>
          <w:rFonts w:hint="eastAsia" w:ascii="宋体" w:hAnsi="宋体" w:eastAsia="宋体" w:cs="宋体"/>
          <w:color w:val="auto"/>
          <w:kern w:val="1"/>
          <w:sz w:val="30"/>
          <w:szCs w:val="30"/>
          <w:highlight w:val="none"/>
        </w:rPr>
        <w:br w:type="page"/>
      </w:r>
    </w:p>
    <w:bookmarkEnd w:id="64"/>
    <w:p w14:paraId="66DE52B9">
      <w:pPr>
        <w:widowControl/>
        <w:autoSpaceDE w:val="0"/>
        <w:autoSpaceDN w:val="0"/>
        <w:adjustRightInd w:val="0"/>
        <w:spacing w:before="260" w:after="260"/>
        <w:ind w:right="-482"/>
        <w:jc w:val="center"/>
        <w:rPr>
          <w:rFonts w:hint="eastAsia" w:ascii="宋体" w:hAnsi="宋体" w:eastAsia="宋体" w:cs="宋体"/>
          <w:color w:val="auto"/>
          <w:kern w:val="1"/>
          <w:sz w:val="30"/>
          <w:szCs w:val="30"/>
          <w:highlight w:val="none"/>
        </w:rPr>
      </w:pPr>
      <w:r>
        <w:rPr>
          <w:rFonts w:hint="eastAsia" w:ascii="宋体" w:hAnsi="宋体" w:eastAsia="宋体" w:cs="宋体"/>
          <w:color w:val="auto"/>
          <w:kern w:val="1"/>
          <w:sz w:val="30"/>
          <w:szCs w:val="30"/>
          <w:highlight w:val="none"/>
        </w:rPr>
        <w:t>目 录</w:t>
      </w:r>
    </w:p>
    <w:p w14:paraId="3D7141C5">
      <w:pPr>
        <w:widowControl/>
        <w:autoSpaceDE w:val="0"/>
        <w:autoSpaceDN w:val="0"/>
        <w:adjustRightInd w:val="0"/>
        <w:spacing w:line="440" w:lineRule="exact"/>
        <w:ind w:right="-481"/>
        <w:rPr>
          <w:rFonts w:hint="eastAsia" w:ascii="宋体" w:hAnsi="宋体" w:eastAsia="宋体" w:cs="宋体"/>
          <w:color w:val="auto"/>
          <w:kern w:val="1"/>
          <w:sz w:val="24"/>
          <w:szCs w:val="24"/>
          <w:highlight w:val="none"/>
        </w:rPr>
      </w:pPr>
    </w:p>
    <w:p w14:paraId="675562AD">
      <w:pPr>
        <w:pStyle w:val="5"/>
        <w:numPr>
          <w:ilvl w:val="0"/>
          <w:numId w:val="0"/>
        </w:numPr>
        <w:rPr>
          <w:rFonts w:hint="eastAsia"/>
          <w:lang w:val="en-US" w:eastAsia="zh-CN"/>
        </w:rPr>
      </w:pPr>
      <w:r>
        <w:rPr>
          <w:rFonts w:hint="eastAsia"/>
          <w:lang w:val="en-US" w:eastAsia="zh-CN"/>
        </w:rPr>
        <w:t>1.投标函</w:t>
      </w:r>
    </w:p>
    <w:p w14:paraId="495556B8">
      <w:pPr>
        <w:pStyle w:val="5"/>
        <w:numPr>
          <w:ilvl w:val="0"/>
          <w:numId w:val="0"/>
        </w:numPr>
        <w:rPr>
          <w:rFonts w:hint="eastAsia"/>
          <w:lang w:val="en-US" w:eastAsia="zh-CN"/>
        </w:rPr>
      </w:pPr>
      <w:r>
        <w:rPr>
          <w:rFonts w:hint="eastAsia"/>
          <w:lang w:val="en-US" w:eastAsia="zh-CN"/>
        </w:rPr>
        <w:t>2.投标报价一览表</w:t>
      </w:r>
    </w:p>
    <w:p w14:paraId="76959117">
      <w:pPr>
        <w:pStyle w:val="5"/>
        <w:numPr>
          <w:ilvl w:val="0"/>
          <w:numId w:val="0"/>
        </w:numPr>
        <w:rPr>
          <w:rFonts w:hint="eastAsia"/>
          <w:lang w:val="en-US" w:eastAsia="zh-CN"/>
        </w:rPr>
      </w:pPr>
      <w:r>
        <w:rPr>
          <w:rFonts w:hint="eastAsia"/>
          <w:lang w:val="en-US" w:eastAsia="zh-CN"/>
        </w:rPr>
        <w:t>3.分项报价明细表</w:t>
      </w:r>
    </w:p>
    <w:p w14:paraId="6890D1AD">
      <w:pPr>
        <w:pStyle w:val="5"/>
        <w:numPr>
          <w:ilvl w:val="0"/>
          <w:numId w:val="0"/>
        </w:numPr>
        <w:rPr>
          <w:rFonts w:hint="eastAsia"/>
          <w:lang w:val="en-US" w:eastAsia="zh-CN"/>
        </w:rPr>
      </w:pPr>
      <w:r>
        <w:rPr>
          <w:rFonts w:hint="eastAsia"/>
          <w:lang w:val="en-US" w:eastAsia="zh-CN"/>
        </w:rPr>
        <w:t>4.投标货物（设备）技术、性能、质量具体明细及偏离表</w:t>
      </w:r>
    </w:p>
    <w:p w14:paraId="08453B5E">
      <w:pPr>
        <w:pStyle w:val="5"/>
        <w:numPr>
          <w:ilvl w:val="0"/>
          <w:numId w:val="0"/>
        </w:numPr>
        <w:rPr>
          <w:rFonts w:hint="eastAsia"/>
          <w:lang w:val="en-US" w:eastAsia="zh-CN"/>
        </w:rPr>
      </w:pPr>
      <w:r>
        <w:rPr>
          <w:rFonts w:hint="eastAsia"/>
          <w:lang w:val="en-US" w:eastAsia="zh-CN"/>
        </w:rPr>
        <w:t>5.法定代表人身份证明</w:t>
      </w:r>
    </w:p>
    <w:p w14:paraId="4A8270C0">
      <w:pPr>
        <w:pStyle w:val="5"/>
        <w:numPr>
          <w:ilvl w:val="0"/>
          <w:numId w:val="0"/>
        </w:numPr>
        <w:rPr>
          <w:rFonts w:hint="eastAsia"/>
          <w:lang w:val="en-US" w:eastAsia="zh-CN"/>
        </w:rPr>
      </w:pPr>
      <w:r>
        <w:rPr>
          <w:rFonts w:hint="eastAsia"/>
          <w:lang w:val="en-US" w:eastAsia="zh-CN"/>
        </w:rPr>
        <w:t>6.法定代表人授权委托书</w:t>
      </w:r>
    </w:p>
    <w:p w14:paraId="4E14839B">
      <w:pPr>
        <w:pStyle w:val="5"/>
        <w:numPr>
          <w:ilvl w:val="0"/>
          <w:numId w:val="0"/>
        </w:numPr>
        <w:rPr>
          <w:rFonts w:hint="eastAsia"/>
          <w:lang w:val="en-US" w:eastAsia="zh-CN"/>
        </w:rPr>
      </w:pPr>
      <w:r>
        <w:rPr>
          <w:rFonts w:hint="eastAsia"/>
          <w:lang w:val="en-US" w:eastAsia="zh-CN"/>
        </w:rPr>
        <w:t>7.投标人基本情况</w:t>
      </w:r>
    </w:p>
    <w:p w14:paraId="44737471">
      <w:pPr>
        <w:pStyle w:val="5"/>
        <w:numPr>
          <w:ilvl w:val="0"/>
          <w:numId w:val="0"/>
        </w:numPr>
        <w:rPr>
          <w:rFonts w:hint="eastAsia"/>
          <w:lang w:val="en-US" w:eastAsia="zh-CN"/>
        </w:rPr>
      </w:pPr>
      <w:r>
        <w:rPr>
          <w:rFonts w:hint="eastAsia"/>
          <w:lang w:val="en-US" w:eastAsia="zh-CN"/>
        </w:rPr>
        <w:t>8.近三年无重大违法记录声明</w:t>
      </w:r>
    </w:p>
    <w:p w14:paraId="4AC1410B">
      <w:pPr>
        <w:pStyle w:val="5"/>
        <w:numPr>
          <w:ilvl w:val="0"/>
          <w:numId w:val="0"/>
        </w:numPr>
        <w:rPr>
          <w:rFonts w:hint="eastAsia"/>
          <w:lang w:val="en-US" w:eastAsia="zh-CN"/>
        </w:rPr>
      </w:pPr>
      <w:r>
        <w:rPr>
          <w:rFonts w:hint="eastAsia"/>
          <w:lang w:val="en-US" w:eastAsia="zh-CN"/>
        </w:rPr>
        <w:t>9.具有履行合同所必须的设备和专业技术能力的承诺函</w:t>
      </w:r>
    </w:p>
    <w:p w14:paraId="5CDACDF1">
      <w:pPr>
        <w:pStyle w:val="5"/>
        <w:numPr>
          <w:ilvl w:val="0"/>
          <w:numId w:val="0"/>
        </w:numPr>
        <w:rPr>
          <w:rFonts w:hint="eastAsia"/>
          <w:lang w:val="en-US" w:eastAsia="zh-CN"/>
        </w:rPr>
      </w:pPr>
      <w:r>
        <w:rPr>
          <w:rFonts w:hint="eastAsia"/>
          <w:lang w:val="en-US" w:eastAsia="zh-CN"/>
        </w:rPr>
        <w:t>10.提供单位负责人为同一人或者存在直接控股、管理关系的不同投标人，不得参加同一合同项下的政府采购活动的书面声明（格式自拟）</w:t>
      </w:r>
    </w:p>
    <w:p w14:paraId="4A354B56">
      <w:pPr>
        <w:pStyle w:val="5"/>
        <w:numPr>
          <w:ilvl w:val="0"/>
          <w:numId w:val="0"/>
        </w:numPr>
        <w:rPr>
          <w:rFonts w:hint="eastAsia"/>
          <w:lang w:val="en-US" w:eastAsia="zh-CN"/>
        </w:rPr>
      </w:pPr>
      <w:r>
        <w:rPr>
          <w:rFonts w:hint="eastAsia"/>
          <w:lang w:val="en-US" w:eastAsia="zh-CN"/>
        </w:rPr>
        <w:t>11.拟投入本项目管理、服务、其他人员情况表</w:t>
      </w:r>
    </w:p>
    <w:p w14:paraId="100BDF66">
      <w:pPr>
        <w:pStyle w:val="5"/>
        <w:numPr>
          <w:ilvl w:val="0"/>
          <w:numId w:val="0"/>
        </w:numPr>
        <w:rPr>
          <w:rFonts w:hint="eastAsia"/>
          <w:lang w:val="en-US" w:eastAsia="zh-CN"/>
        </w:rPr>
      </w:pPr>
      <w:r>
        <w:rPr>
          <w:rFonts w:hint="eastAsia"/>
          <w:lang w:val="en-US" w:eastAsia="zh-CN"/>
        </w:rPr>
        <w:t>12.保证金缴存证明（符合招标文件要求）</w:t>
      </w:r>
    </w:p>
    <w:p w14:paraId="01DB96DE">
      <w:pPr>
        <w:pStyle w:val="5"/>
        <w:numPr>
          <w:ilvl w:val="0"/>
          <w:numId w:val="0"/>
        </w:numPr>
        <w:rPr>
          <w:rFonts w:hint="eastAsia"/>
          <w:lang w:val="en-US" w:eastAsia="zh-CN"/>
        </w:rPr>
      </w:pPr>
      <w:r>
        <w:rPr>
          <w:rFonts w:hint="eastAsia"/>
          <w:lang w:val="en-US" w:eastAsia="zh-CN"/>
        </w:rPr>
        <w:t>13.方案</w:t>
      </w:r>
    </w:p>
    <w:p w14:paraId="53135F6C">
      <w:pPr>
        <w:pStyle w:val="5"/>
        <w:numPr>
          <w:ilvl w:val="0"/>
          <w:numId w:val="0"/>
        </w:numPr>
        <w:rPr>
          <w:rFonts w:hint="eastAsia"/>
          <w:lang w:val="en-US" w:eastAsia="zh-CN"/>
        </w:rPr>
      </w:pPr>
      <w:r>
        <w:rPr>
          <w:rFonts w:hint="eastAsia"/>
          <w:lang w:val="en-US" w:eastAsia="zh-CN"/>
        </w:rPr>
        <w:t>14.其它证明材料</w:t>
      </w:r>
    </w:p>
    <w:p w14:paraId="78E10A0C">
      <w:pPr>
        <w:pStyle w:val="5"/>
        <w:numPr>
          <w:ilvl w:val="0"/>
          <w:numId w:val="0"/>
        </w:numPr>
        <w:rPr>
          <w:rFonts w:hint="eastAsia"/>
          <w:lang w:val="en-US" w:eastAsia="zh-CN"/>
        </w:rPr>
      </w:pPr>
      <w:r>
        <w:rPr>
          <w:rFonts w:hint="eastAsia"/>
          <w:lang w:val="en-US" w:eastAsia="zh-CN"/>
        </w:rPr>
        <w:t>15.声明函</w:t>
      </w:r>
    </w:p>
    <w:p w14:paraId="56088437">
      <w:pPr>
        <w:pStyle w:val="5"/>
        <w:numPr>
          <w:ilvl w:val="0"/>
          <w:numId w:val="0"/>
        </w:numPr>
        <w:rPr>
          <w:rFonts w:hint="eastAsia"/>
          <w:lang w:val="en-US" w:eastAsia="zh-CN"/>
        </w:rPr>
      </w:pPr>
    </w:p>
    <w:p w14:paraId="77AFC275">
      <w:pPr>
        <w:widowControl/>
        <w:autoSpaceDE w:val="0"/>
        <w:autoSpaceDN w:val="0"/>
        <w:adjustRightInd w:val="0"/>
        <w:spacing w:line="440" w:lineRule="exact"/>
        <w:ind w:right="-481"/>
        <w:jc w:val="left"/>
        <w:rPr>
          <w:rFonts w:hint="eastAsia" w:ascii="宋体" w:hAnsi="宋体" w:eastAsia="宋体" w:cs="宋体"/>
          <w:color w:val="auto"/>
          <w:kern w:val="1"/>
          <w:sz w:val="24"/>
          <w:szCs w:val="24"/>
          <w:highlight w:val="none"/>
        </w:rPr>
      </w:pPr>
    </w:p>
    <w:p w14:paraId="72CD7770">
      <w:pPr>
        <w:widowControl/>
        <w:autoSpaceDE w:val="0"/>
        <w:autoSpaceDN w:val="0"/>
        <w:adjustRightInd w:val="0"/>
        <w:spacing w:line="440" w:lineRule="exact"/>
        <w:ind w:right="-481"/>
        <w:jc w:val="center"/>
        <w:rPr>
          <w:rFonts w:hint="eastAsia" w:ascii="宋体" w:hAnsi="宋体" w:eastAsia="宋体" w:cs="宋体"/>
          <w:color w:val="auto"/>
          <w:kern w:val="1"/>
          <w:sz w:val="32"/>
          <w:szCs w:val="32"/>
          <w:highlight w:val="none"/>
        </w:rPr>
      </w:pPr>
    </w:p>
    <w:p w14:paraId="712A218D">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宋体" w:hAnsi="宋体" w:eastAsia="宋体" w:cs="宋体"/>
          <w:color w:val="auto"/>
          <w:kern w:val="1"/>
          <w:highlight w:val="none"/>
        </w:rPr>
        <w:br w:type="page"/>
      </w:r>
    </w:p>
    <w:p w14:paraId="50CBA781">
      <w:pPr>
        <w:keepLines w:val="0"/>
        <w:pageBreakBefore w:val="0"/>
        <w:kinsoku/>
        <w:wordWrap/>
        <w:overflowPunct/>
        <w:topLinePunct w:val="0"/>
        <w:bidi w:val="0"/>
        <w:spacing w:before="182" w:line="534" w:lineRule="exact"/>
        <w:rPr>
          <w:rFonts w:ascii="仿宋" w:hAnsi="仿宋" w:eastAsia="仿宋" w:cs="仿宋"/>
          <w:b/>
          <w:bCs/>
          <w:spacing w:val="1"/>
          <w:position w:val="15"/>
          <w:sz w:val="31"/>
          <w:szCs w:val="31"/>
        </w:rPr>
      </w:pPr>
    </w:p>
    <w:p w14:paraId="2191BCD4">
      <w:pPr>
        <w:keepLines w:val="0"/>
        <w:pageBreakBefore w:val="0"/>
        <w:kinsoku/>
        <w:wordWrap/>
        <w:overflowPunct/>
        <w:topLinePunct w:val="0"/>
        <w:bidi w:val="0"/>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14:paraId="335C861B">
      <w:pPr>
        <w:keepLines w:val="0"/>
        <w:pageBreakBefore w:val="0"/>
        <w:kinsoku/>
        <w:wordWrap/>
        <w:overflowPunct/>
        <w:topLinePunct w:val="0"/>
        <w:bidi w:val="0"/>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ascii="仿宋" w:hAnsi="仿宋" w:eastAsia="仿宋" w:cs="仿宋"/>
          <w:b/>
          <w:bCs/>
          <w:spacing w:val="-1"/>
          <w:sz w:val="24"/>
          <w:szCs w:val="24"/>
        </w:rPr>
        <w:t>投标函</w:t>
      </w:r>
    </w:p>
    <w:p w14:paraId="09FBD4A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14:paraId="560BAC5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项目名称</w:t>
      </w:r>
      <w:r>
        <w:rPr>
          <w:rFonts w:ascii="仿宋" w:hAnsi="仿宋" w:eastAsia="仿宋" w:cs="仿宋"/>
          <w:spacing w:val="7"/>
          <w:sz w:val="24"/>
          <w:szCs w:val="24"/>
          <w:u w:val="single"/>
        </w:rPr>
        <w:t>、项目编号）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投标人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投标人</w:t>
      </w:r>
      <w:r>
        <w:rPr>
          <w:rFonts w:ascii="仿宋" w:hAnsi="仿宋" w:eastAsia="仿宋" w:cs="仿宋"/>
          <w:spacing w:val="7"/>
          <w:sz w:val="24"/>
          <w:szCs w:val="24"/>
          <w:u w:val="single"/>
        </w:rPr>
        <w:t>名称、地址）</w:t>
      </w:r>
      <w:r>
        <w:rPr>
          <w:rFonts w:ascii="仿宋" w:hAnsi="仿宋" w:eastAsia="仿宋" w:cs="仿宋"/>
          <w:spacing w:val="7"/>
          <w:sz w:val="24"/>
          <w:szCs w:val="24"/>
        </w:rPr>
        <w:t>提交下述投标文件并在此声明，所递交的投标文件内容完整、真实。在此，签字代表承诺如下：</w:t>
      </w:r>
    </w:p>
    <w:p w14:paraId="113484DA">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1、我方在详细阅读招标文件各项要求，根据对应采购内容及采购要求规定愿以</w:t>
      </w:r>
      <w:r>
        <w:rPr>
          <w:rFonts w:hint="eastAsia" w:ascii="仿宋" w:hAnsi="仿宋" w:eastAsia="仿宋" w:cs="仿宋"/>
          <w:spacing w:val="7"/>
          <w:sz w:val="24"/>
          <w:szCs w:val="24"/>
          <w:lang w:eastAsia="zh-CN"/>
        </w:rPr>
        <w:t>投标总报价（元）</w:t>
      </w:r>
      <w:r>
        <w:rPr>
          <w:rFonts w:ascii="仿宋" w:hAnsi="仿宋" w:eastAsia="仿宋" w:cs="仿宋"/>
          <w:spacing w:val="7"/>
          <w:sz w:val="24"/>
          <w:szCs w:val="24"/>
        </w:rPr>
        <w:t>：</w:t>
      </w:r>
      <w:r>
        <w:rPr>
          <w:rFonts w:ascii="仿宋" w:hAnsi="仿宋" w:eastAsia="仿宋" w:cs="仿宋"/>
          <w:spacing w:val="7"/>
          <w:sz w:val="24"/>
          <w:szCs w:val="24"/>
          <w:u w:val="single"/>
        </w:rPr>
        <w:t>小写：           (大写：            )</w:t>
      </w:r>
      <w:r>
        <w:rPr>
          <w:rFonts w:ascii="仿宋" w:hAnsi="仿宋" w:eastAsia="仿宋" w:cs="仿宋"/>
          <w:spacing w:val="7"/>
          <w:sz w:val="24"/>
          <w:szCs w:val="24"/>
        </w:rPr>
        <w:t>完成本项目全部相关服务。</w:t>
      </w:r>
    </w:p>
    <w:p w14:paraId="25C840AB">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2、我方将按招标文件的规定履行合同责任和义务。</w:t>
      </w:r>
    </w:p>
    <w:p w14:paraId="36B3D8DE">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3、我方已详细审查全部招标文件，我们完全理解并同意放弃对这方面有不明及误解的权力。</w:t>
      </w:r>
    </w:p>
    <w:p w14:paraId="16EF5389">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4、若我方取得中标资格，愿以本项目招标文件规定，向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缴纳招标代理服务费。</w:t>
      </w:r>
    </w:p>
    <w:p w14:paraId="52FA8B05">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、我方同意提供贵方可能要求的与其投标有关的一切数据或资料。</w:t>
      </w:r>
    </w:p>
    <w:p w14:paraId="74882614">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（投标人认为需要的其他补充说明）。</w:t>
      </w:r>
    </w:p>
    <w:p w14:paraId="3BE67639">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7、与本投标有关的一切正式往来信函请寄：</w:t>
      </w:r>
    </w:p>
    <w:p w14:paraId="488E9F2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14:paraId="377F0BB0">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名称(盖公章)：</w:t>
      </w:r>
      <w:r>
        <w:rPr>
          <w:rFonts w:ascii="仿宋" w:hAnsi="仿宋" w:eastAsia="仿宋" w:cs="仿宋"/>
          <w:spacing w:val="7"/>
          <w:sz w:val="24"/>
          <w:szCs w:val="24"/>
          <w:u w:val="single"/>
        </w:rPr>
        <w:t xml:space="preserve">                              </w:t>
      </w:r>
    </w:p>
    <w:p w14:paraId="173A215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14:paraId="3984717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14:paraId="51671E13">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footerReference r:id="rId5" w:type="default"/>
          <w:pgSz w:w="11906" w:h="16839"/>
          <w:pgMar w:top="1440" w:right="1080" w:bottom="1440" w:left="1080" w:header="0" w:footer="989" w:gutter="0"/>
          <w:pgNumType w:fmt="decimal"/>
          <w:cols w:space="720" w:num="1"/>
        </w:sectPr>
      </w:pPr>
    </w:p>
    <w:p w14:paraId="2EFCBA6F">
      <w:pPr>
        <w:keepLines w:val="0"/>
        <w:pageBreakBefore w:val="0"/>
        <w:kinsoku/>
        <w:wordWrap/>
        <w:overflowPunct/>
        <w:topLinePunct w:val="0"/>
        <w:bidi w:val="0"/>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2.投标报价一览表</w:t>
      </w:r>
    </w:p>
    <w:p w14:paraId="52CB07D2">
      <w:pPr>
        <w:pStyle w:val="6"/>
        <w:keepLines w:val="0"/>
        <w:pageBreakBefore w:val="0"/>
        <w:kinsoku/>
        <w:wordWrap/>
        <w:overflowPunct/>
        <w:topLinePunct w:val="0"/>
        <w:bidi w:val="0"/>
        <w:spacing w:line="448" w:lineRule="auto"/>
      </w:pPr>
    </w:p>
    <w:p w14:paraId="75A2E39F">
      <w:pPr>
        <w:keepLines w:val="0"/>
        <w:pageBreakBefore w:val="0"/>
        <w:kinsoku/>
        <w:wordWrap/>
        <w:overflowPunct/>
        <w:topLinePunct w:val="0"/>
        <w:bidi w:val="0"/>
        <w:spacing w:before="78" w:line="221" w:lineRule="auto"/>
        <w:ind w:left="319"/>
        <w:rPr>
          <w:rFonts w:ascii="仿宋" w:hAnsi="仿宋" w:eastAsia="仿宋" w:cs="仿宋"/>
          <w:sz w:val="24"/>
          <w:szCs w:val="24"/>
        </w:rPr>
      </w:pPr>
      <w:r>
        <w:rPr>
          <w:rFonts w:hint="eastAsia" w:ascii="仿宋" w:hAnsi="仿宋" w:eastAsia="仿宋" w:cs="仿宋"/>
          <w:spacing w:val="-2"/>
          <w:sz w:val="24"/>
          <w:szCs w:val="24"/>
          <w:lang w:eastAsia="zh-CN"/>
        </w:rPr>
        <w:t>项目名称</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14:paraId="5DDDD891">
      <w:pPr>
        <w:keepLines w:val="0"/>
        <w:pageBreakBefore w:val="0"/>
        <w:kinsoku/>
        <w:wordWrap/>
        <w:overflowPunct/>
        <w:topLinePunct w:val="0"/>
        <w:bidi w:val="0"/>
        <w:spacing w:before="69"/>
      </w:pPr>
    </w:p>
    <w:p w14:paraId="4D5D36A6">
      <w:pPr>
        <w:keepLines w:val="0"/>
        <w:pageBreakBefore w:val="0"/>
        <w:kinsoku/>
        <w:wordWrap/>
        <w:overflowPunct/>
        <w:topLinePunct w:val="0"/>
        <w:bidi w:val="0"/>
        <w:spacing w:before="69"/>
      </w:pPr>
    </w:p>
    <w:p w14:paraId="40AE85B9">
      <w:pPr>
        <w:keepLines w:val="0"/>
        <w:pageBreakBefore w:val="0"/>
        <w:kinsoku/>
        <w:wordWrap/>
        <w:overflowPunct/>
        <w:topLinePunct w:val="0"/>
        <w:bidi w:val="0"/>
        <w:spacing w:before="68"/>
      </w:pPr>
    </w:p>
    <w:tbl>
      <w:tblPr>
        <w:tblStyle w:val="42"/>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523D7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77FD0937">
            <w:pPr>
              <w:keepLines w:val="0"/>
              <w:pageBreakBefore w:val="0"/>
              <w:kinsoku/>
              <w:wordWrap/>
              <w:overflowPunct/>
              <w:topLinePunct w:val="0"/>
              <w:bidi w:val="0"/>
              <w:spacing w:line="254" w:lineRule="auto"/>
              <w:rPr>
                <w:rFonts w:ascii="Arial"/>
                <w:sz w:val="24"/>
                <w:szCs w:val="24"/>
              </w:rPr>
            </w:pPr>
          </w:p>
          <w:p w14:paraId="3787B339">
            <w:pPr>
              <w:keepLines w:val="0"/>
              <w:pageBreakBefore w:val="0"/>
              <w:kinsoku/>
              <w:wordWrap/>
              <w:overflowPunct/>
              <w:topLinePunct w:val="0"/>
              <w:bidi w:val="0"/>
              <w:spacing w:line="254" w:lineRule="auto"/>
              <w:rPr>
                <w:rFonts w:ascii="Arial"/>
                <w:sz w:val="24"/>
                <w:szCs w:val="24"/>
              </w:rPr>
            </w:pPr>
          </w:p>
          <w:p w14:paraId="157A1B3D">
            <w:pPr>
              <w:keepLines w:val="0"/>
              <w:pageBreakBefore w:val="0"/>
              <w:kinsoku/>
              <w:wordWrap/>
              <w:overflowPunct/>
              <w:topLinePunct w:val="0"/>
              <w:bidi w:val="0"/>
              <w:spacing w:line="254" w:lineRule="auto"/>
              <w:rPr>
                <w:rFonts w:ascii="Arial"/>
                <w:sz w:val="24"/>
                <w:szCs w:val="24"/>
              </w:rPr>
            </w:pPr>
          </w:p>
          <w:p w14:paraId="469A13D0">
            <w:pPr>
              <w:keepLines w:val="0"/>
              <w:pageBreakBefore w:val="0"/>
              <w:kinsoku/>
              <w:wordWrap/>
              <w:overflowPunct/>
              <w:topLinePunct w:val="0"/>
              <w:bidi w:val="0"/>
              <w:spacing w:line="254" w:lineRule="auto"/>
              <w:rPr>
                <w:rFonts w:ascii="Arial"/>
                <w:sz w:val="24"/>
                <w:szCs w:val="24"/>
              </w:rPr>
            </w:pPr>
          </w:p>
          <w:p w14:paraId="47948D8D">
            <w:pPr>
              <w:keepLines w:val="0"/>
              <w:pageBreakBefore w:val="0"/>
              <w:kinsoku/>
              <w:wordWrap/>
              <w:overflowPunct/>
              <w:topLinePunct w:val="0"/>
              <w:bidi w:val="0"/>
              <w:spacing w:line="254" w:lineRule="auto"/>
              <w:rPr>
                <w:rFonts w:ascii="Arial"/>
                <w:sz w:val="24"/>
                <w:szCs w:val="24"/>
              </w:rPr>
            </w:pPr>
          </w:p>
          <w:p w14:paraId="457503B8">
            <w:pPr>
              <w:keepLines w:val="0"/>
              <w:pageBreakBefore w:val="0"/>
              <w:kinsoku/>
              <w:wordWrap/>
              <w:overflowPunct/>
              <w:topLinePunct w:val="0"/>
              <w:bidi w:val="0"/>
              <w:spacing w:line="255" w:lineRule="auto"/>
              <w:rPr>
                <w:rFonts w:ascii="Arial"/>
                <w:sz w:val="24"/>
                <w:szCs w:val="24"/>
              </w:rPr>
            </w:pPr>
          </w:p>
          <w:p w14:paraId="7FDE39FF">
            <w:pPr>
              <w:pStyle w:val="41"/>
              <w:keepLines w:val="0"/>
              <w:pageBreakBefore w:val="0"/>
              <w:kinsoku/>
              <w:wordWrap/>
              <w:overflowPunct/>
              <w:topLinePunct w:val="0"/>
              <w:bidi w:val="0"/>
              <w:spacing w:before="78" w:line="222" w:lineRule="auto"/>
              <w:jc w:val="center"/>
              <w:rPr>
                <w:sz w:val="24"/>
                <w:szCs w:val="24"/>
              </w:rPr>
            </w:pPr>
            <w:r>
              <w:rPr>
                <w:spacing w:val="-2"/>
                <w:sz w:val="24"/>
                <w:szCs w:val="24"/>
              </w:rPr>
              <w:t>投标</w:t>
            </w:r>
            <w:r>
              <w:rPr>
                <w:rFonts w:hint="eastAsia"/>
                <w:spacing w:val="-2"/>
                <w:sz w:val="24"/>
                <w:szCs w:val="24"/>
                <w:lang w:eastAsia="zh-CN"/>
              </w:rPr>
              <w:t>报价（元）</w:t>
            </w:r>
          </w:p>
        </w:tc>
        <w:tc>
          <w:tcPr>
            <w:tcW w:w="5939" w:type="dxa"/>
            <w:vAlign w:val="top"/>
          </w:tcPr>
          <w:p w14:paraId="36A9E43D">
            <w:pPr>
              <w:keepLines w:val="0"/>
              <w:pageBreakBefore w:val="0"/>
              <w:kinsoku/>
              <w:wordWrap/>
              <w:overflowPunct/>
              <w:topLinePunct w:val="0"/>
              <w:bidi w:val="0"/>
              <w:spacing w:line="341" w:lineRule="auto"/>
              <w:rPr>
                <w:rFonts w:ascii="Arial"/>
                <w:sz w:val="24"/>
                <w:szCs w:val="24"/>
              </w:rPr>
            </w:pPr>
          </w:p>
          <w:p w14:paraId="3981B3B6">
            <w:pPr>
              <w:keepLines w:val="0"/>
              <w:pageBreakBefore w:val="0"/>
              <w:kinsoku/>
              <w:wordWrap/>
              <w:overflowPunct/>
              <w:topLinePunct w:val="0"/>
              <w:bidi w:val="0"/>
              <w:spacing w:line="342" w:lineRule="auto"/>
              <w:rPr>
                <w:rFonts w:ascii="Arial"/>
                <w:sz w:val="24"/>
                <w:szCs w:val="24"/>
              </w:rPr>
            </w:pPr>
          </w:p>
          <w:p w14:paraId="06956AAB">
            <w:pPr>
              <w:pStyle w:val="41"/>
              <w:keepLines w:val="0"/>
              <w:pageBreakBefore w:val="0"/>
              <w:kinsoku/>
              <w:wordWrap/>
              <w:overflowPunct/>
              <w:topLinePunct w:val="0"/>
              <w:bidi w:val="0"/>
              <w:spacing w:before="78" w:line="224" w:lineRule="auto"/>
              <w:ind w:left="27"/>
              <w:rPr>
                <w:sz w:val="24"/>
                <w:szCs w:val="24"/>
              </w:rPr>
            </w:pPr>
            <w:r>
              <w:rPr>
                <w:spacing w:val="-6"/>
                <w:sz w:val="24"/>
                <w:szCs w:val="24"/>
              </w:rPr>
              <w:t>小写：</w:t>
            </w:r>
            <w:r>
              <w:rPr>
                <w:sz w:val="24"/>
                <w:szCs w:val="24"/>
                <w:u w:val="single" w:color="auto"/>
              </w:rPr>
              <w:t xml:space="preserve">                    </w:t>
            </w:r>
          </w:p>
        </w:tc>
      </w:tr>
      <w:tr w14:paraId="69641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69DBB773">
            <w:pPr>
              <w:keepLines w:val="0"/>
              <w:pageBreakBefore w:val="0"/>
              <w:kinsoku/>
              <w:wordWrap/>
              <w:overflowPunct/>
              <w:topLinePunct w:val="0"/>
              <w:bidi w:val="0"/>
              <w:rPr>
                <w:rFonts w:ascii="Arial"/>
                <w:sz w:val="24"/>
                <w:szCs w:val="24"/>
              </w:rPr>
            </w:pPr>
          </w:p>
        </w:tc>
        <w:tc>
          <w:tcPr>
            <w:tcW w:w="5939" w:type="dxa"/>
            <w:vAlign w:val="top"/>
          </w:tcPr>
          <w:p w14:paraId="3F06371E">
            <w:pPr>
              <w:keepLines w:val="0"/>
              <w:pageBreakBefore w:val="0"/>
              <w:kinsoku/>
              <w:wordWrap/>
              <w:overflowPunct/>
              <w:topLinePunct w:val="0"/>
              <w:bidi w:val="0"/>
              <w:spacing w:line="320" w:lineRule="auto"/>
              <w:rPr>
                <w:rFonts w:ascii="Arial"/>
                <w:sz w:val="24"/>
                <w:szCs w:val="24"/>
              </w:rPr>
            </w:pPr>
          </w:p>
          <w:p w14:paraId="28700A69">
            <w:pPr>
              <w:keepLines w:val="0"/>
              <w:pageBreakBefore w:val="0"/>
              <w:kinsoku/>
              <w:wordWrap/>
              <w:overflowPunct/>
              <w:topLinePunct w:val="0"/>
              <w:bidi w:val="0"/>
              <w:spacing w:line="320" w:lineRule="auto"/>
              <w:rPr>
                <w:rFonts w:ascii="Arial"/>
                <w:sz w:val="24"/>
                <w:szCs w:val="24"/>
              </w:rPr>
            </w:pPr>
          </w:p>
          <w:p w14:paraId="6A7EB380">
            <w:pPr>
              <w:pStyle w:val="41"/>
              <w:keepLines w:val="0"/>
              <w:pageBreakBefore w:val="0"/>
              <w:kinsoku/>
              <w:wordWrap/>
              <w:overflowPunct/>
              <w:topLinePunct w:val="0"/>
              <w:bidi w:val="0"/>
              <w:spacing w:before="78" w:line="224" w:lineRule="auto"/>
              <w:ind w:left="29"/>
              <w:rPr>
                <w:sz w:val="24"/>
                <w:szCs w:val="24"/>
              </w:rPr>
            </w:pPr>
            <w:r>
              <w:rPr>
                <w:spacing w:val="-7"/>
                <w:sz w:val="24"/>
                <w:szCs w:val="24"/>
              </w:rPr>
              <w:t>大写：</w:t>
            </w:r>
            <w:r>
              <w:rPr>
                <w:sz w:val="24"/>
                <w:szCs w:val="24"/>
                <w:u w:val="single" w:color="auto"/>
              </w:rPr>
              <w:t xml:space="preserve">                    </w:t>
            </w:r>
          </w:p>
        </w:tc>
      </w:tr>
      <w:tr w14:paraId="34825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5764CE3E">
            <w:pPr>
              <w:keepLines w:val="0"/>
              <w:pageBreakBefore w:val="0"/>
              <w:kinsoku/>
              <w:wordWrap/>
              <w:overflowPunct/>
              <w:topLinePunct w:val="0"/>
              <w:bidi w:val="0"/>
              <w:spacing w:line="404" w:lineRule="auto"/>
              <w:rPr>
                <w:rFonts w:ascii="Arial"/>
                <w:sz w:val="24"/>
                <w:szCs w:val="24"/>
              </w:rPr>
            </w:pPr>
          </w:p>
          <w:p w14:paraId="79E6F45C">
            <w:pPr>
              <w:pStyle w:val="41"/>
              <w:keepLines w:val="0"/>
              <w:pageBreakBefore w:val="0"/>
              <w:kinsoku/>
              <w:wordWrap/>
              <w:overflowPunct/>
              <w:topLinePunct w:val="0"/>
              <w:bidi w:val="0"/>
              <w:spacing w:before="78" w:line="222" w:lineRule="auto"/>
              <w:ind w:left="1014"/>
              <w:rPr>
                <w:sz w:val="24"/>
                <w:szCs w:val="24"/>
              </w:rPr>
            </w:pPr>
            <w:r>
              <w:rPr>
                <w:rFonts w:hint="eastAsia"/>
                <w:sz w:val="24"/>
                <w:szCs w:val="24"/>
                <w:lang w:eastAsia="zh-CN"/>
              </w:rPr>
              <w:t>供货</w:t>
            </w:r>
            <w:r>
              <w:rPr>
                <w:sz w:val="24"/>
                <w:szCs w:val="24"/>
              </w:rPr>
              <w:t>期限</w:t>
            </w:r>
          </w:p>
        </w:tc>
        <w:tc>
          <w:tcPr>
            <w:tcW w:w="5939" w:type="dxa"/>
            <w:vAlign w:val="top"/>
          </w:tcPr>
          <w:p w14:paraId="1DAF59C7">
            <w:pPr>
              <w:keepLines w:val="0"/>
              <w:pageBreakBefore w:val="0"/>
              <w:kinsoku/>
              <w:wordWrap/>
              <w:overflowPunct/>
              <w:topLinePunct w:val="0"/>
              <w:bidi w:val="0"/>
              <w:rPr>
                <w:rFonts w:ascii="Arial"/>
                <w:sz w:val="24"/>
                <w:szCs w:val="24"/>
              </w:rPr>
            </w:pPr>
          </w:p>
        </w:tc>
      </w:tr>
      <w:tr w14:paraId="3EC07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12B3E34F">
            <w:pPr>
              <w:keepLines w:val="0"/>
              <w:pageBreakBefore w:val="0"/>
              <w:kinsoku/>
              <w:wordWrap/>
              <w:overflowPunct/>
              <w:topLinePunct w:val="0"/>
              <w:bidi w:val="0"/>
              <w:spacing w:line="404" w:lineRule="auto"/>
              <w:rPr>
                <w:rFonts w:ascii="Arial"/>
                <w:sz w:val="24"/>
                <w:szCs w:val="24"/>
              </w:rPr>
            </w:pPr>
          </w:p>
          <w:p w14:paraId="3AFF3D30">
            <w:pPr>
              <w:pStyle w:val="41"/>
              <w:keepLines w:val="0"/>
              <w:pageBreakBefore w:val="0"/>
              <w:kinsoku/>
              <w:wordWrap/>
              <w:overflowPunct/>
              <w:topLinePunct w:val="0"/>
              <w:bidi w:val="0"/>
              <w:spacing w:before="78" w:line="223" w:lineRule="auto"/>
              <w:ind w:left="295"/>
              <w:rPr>
                <w:sz w:val="24"/>
                <w:szCs w:val="24"/>
              </w:rPr>
            </w:pPr>
            <w:r>
              <w:rPr>
                <w:spacing w:val="-2"/>
                <w:sz w:val="24"/>
                <w:szCs w:val="24"/>
              </w:rPr>
              <w:t>项目负责人及联系方式</w:t>
            </w:r>
          </w:p>
        </w:tc>
        <w:tc>
          <w:tcPr>
            <w:tcW w:w="5939" w:type="dxa"/>
            <w:vAlign w:val="top"/>
          </w:tcPr>
          <w:p w14:paraId="76E2AD0E">
            <w:pPr>
              <w:keepLines w:val="0"/>
              <w:pageBreakBefore w:val="0"/>
              <w:kinsoku/>
              <w:wordWrap/>
              <w:overflowPunct/>
              <w:topLinePunct w:val="0"/>
              <w:bidi w:val="0"/>
              <w:rPr>
                <w:rFonts w:ascii="Arial"/>
                <w:sz w:val="24"/>
                <w:szCs w:val="24"/>
              </w:rPr>
            </w:pPr>
          </w:p>
        </w:tc>
      </w:tr>
      <w:tr w14:paraId="38AE5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6F7EFE2A">
            <w:pPr>
              <w:keepLines w:val="0"/>
              <w:pageBreakBefore w:val="0"/>
              <w:kinsoku/>
              <w:wordWrap/>
              <w:overflowPunct/>
              <w:topLinePunct w:val="0"/>
              <w:bidi w:val="0"/>
              <w:spacing w:line="407" w:lineRule="auto"/>
              <w:rPr>
                <w:rFonts w:ascii="Arial"/>
                <w:sz w:val="24"/>
                <w:szCs w:val="24"/>
              </w:rPr>
            </w:pPr>
          </w:p>
          <w:p w14:paraId="72A2D982">
            <w:pPr>
              <w:pStyle w:val="41"/>
              <w:keepLines w:val="0"/>
              <w:pageBreakBefore w:val="0"/>
              <w:kinsoku/>
              <w:wordWrap/>
              <w:overflowPunct/>
              <w:topLinePunct w:val="0"/>
              <w:bidi w:val="0"/>
              <w:spacing w:before="78" w:line="224" w:lineRule="auto"/>
              <w:ind w:left="1256"/>
              <w:rPr>
                <w:sz w:val="24"/>
                <w:szCs w:val="24"/>
              </w:rPr>
            </w:pPr>
            <w:r>
              <w:rPr>
                <w:spacing w:val="-9"/>
                <w:sz w:val="24"/>
                <w:szCs w:val="24"/>
              </w:rPr>
              <w:t>备注</w:t>
            </w:r>
          </w:p>
        </w:tc>
        <w:tc>
          <w:tcPr>
            <w:tcW w:w="5939" w:type="dxa"/>
            <w:vAlign w:val="top"/>
          </w:tcPr>
          <w:p w14:paraId="2A6C3148">
            <w:pPr>
              <w:keepLines w:val="0"/>
              <w:pageBreakBefore w:val="0"/>
              <w:kinsoku/>
              <w:wordWrap/>
              <w:overflowPunct/>
              <w:topLinePunct w:val="0"/>
              <w:bidi w:val="0"/>
              <w:rPr>
                <w:rFonts w:ascii="Arial"/>
                <w:sz w:val="24"/>
                <w:szCs w:val="24"/>
              </w:rPr>
            </w:pPr>
          </w:p>
        </w:tc>
      </w:tr>
    </w:tbl>
    <w:p w14:paraId="578B8870">
      <w:pPr>
        <w:keepLines w:val="0"/>
        <w:pageBreakBefore w:val="0"/>
        <w:kinsoku/>
        <w:wordWrap/>
        <w:overflowPunct/>
        <w:topLinePunct w:val="0"/>
        <w:bidi w:val="0"/>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06C79415">
      <w:pPr>
        <w:keepLines w:val="0"/>
        <w:pageBreakBefore w:val="0"/>
        <w:kinsoku/>
        <w:wordWrap/>
        <w:overflowPunct/>
        <w:topLinePunct w:val="0"/>
        <w:bidi w:val="0"/>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12A6AD88">
      <w:pPr>
        <w:keepLines w:val="0"/>
        <w:pageBreakBefore w:val="0"/>
        <w:kinsoku/>
        <w:wordWrap/>
        <w:overflowPunct/>
        <w:topLinePunct w:val="0"/>
        <w:bidi w:val="0"/>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19DEF6BA">
      <w:pPr>
        <w:keepLines w:val="0"/>
        <w:pageBreakBefore w:val="0"/>
        <w:kinsoku/>
        <w:wordWrap/>
        <w:overflowPunct/>
        <w:topLinePunct w:val="0"/>
        <w:bidi w:val="0"/>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14:paraId="03FC4468">
      <w:pPr>
        <w:keepLines w:val="0"/>
        <w:pageBreakBefore w:val="0"/>
        <w:kinsoku/>
        <w:wordWrap/>
        <w:overflowPunct/>
        <w:topLinePunct w:val="0"/>
        <w:bidi w:val="0"/>
        <w:spacing w:before="65" w:line="253" w:lineRule="auto"/>
        <w:ind w:left="744" w:right="319" w:firstLine="3"/>
        <w:rPr>
          <w:rFonts w:ascii="仿宋" w:hAnsi="仿宋" w:eastAsia="仿宋" w:cs="仿宋"/>
          <w:sz w:val="24"/>
          <w:szCs w:val="24"/>
        </w:rPr>
      </w:pPr>
      <w:r>
        <w:rPr>
          <w:rFonts w:ascii="仿宋" w:hAnsi="仿宋" w:eastAsia="仿宋" w:cs="仿宋"/>
          <w:b/>
          <w:bCs/>
          <w:spacing w:val="-2"/>
          <w:sz w:val="24"/>
          <w:szCs w:val="24"/>
        </w:rPr>
        <w:t>1、请严格按此“投标报价一览表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投标人</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阅读招标文件报价要求并自行考</w:t>
      </w:r>
      <w:r>
        <w:rPr>
          <w:rFonts w:ascii="仿宋" w:hAnsi="仿宋" w:eastAsia="仿宋" w:cs="仿宋"/>
          <w:spacing w:val="-3"/>
          <w:sz w:val="24"/>
          <w:szCs w:val="24"/>
        </w:rPr>
        <w:t xml:space="preserve"> </w:t>
      </w:r>
      <w:r>
        <w:rPr>
          <w:rFonts w:ascii="仿宋" w:hAnsi="仿宋" w:eastAsia="仿宋" w:cs="仿宋"/>
          <w:b/>
          <w:bCs/>
          <w:spacing w:val="-3"/>
          <w:sz w:val="24"/>
          <w:szCs w:val="24"/>
        </w:rPr>
        <w:t>虑市场风险以及价格合理性。</w:t>
      </w:r>
    </w:p>
    <w:p w14:paraId="27BC29ED">
      <w:pPr>
        <w:keepLines w:val="0"/>
        <w:pageBreakBefore w:val="0"/>
        <w:kinsoku/>
        <w:wordWrap/>
        <w:overflowPunct/>
        <w:topLinePunct w:val="0"/>
        <w:bidi w:val="0"/>
        <w:spacing w:before="66" w:line="281" w:lineRule="exact"/>
        <w:ind w:left="736"/>
        <w:rPr>
          <w:rFonts w:ascii="仿宋" w:hAnsi="仿宋" w:eastAsia="仿宋" w:cs="仿宋"/>
          <w:sz w:val="24"/>
          <w:szCs w:val="24"/>
        </w:rPr>
      </w:pPr>
      <w:r>
        <w:rPr>
          <w:rFonts w:ascii="仿宋" w:hAnsi="仿宋" w:eastAsia="仿宋" w:cs="仿宋"/>
          <w:b/>
          <w:bCs/>
          <w:spacing w:val="-2"/>
          <w:position w:val="7"/>
          <w:sz w:val="24"/>
          <w:szCs w:val="24"/>
        </w:rPr>
        <w:t>2、合价之和即为投标总报价，合价依据为分项价格表计算得出。</w:t>
      </w:r>
    </w:p>
    <w:p w14:paraId="11730A9E">
      <w:pPr>
        <w:keepLines w:val="0"/>
        <w:pageBreakBefore w:val="0"/>
        <w:kinsoku/>
        <w:wordWrap/>
        <w:overflowPunct/>
        <w:topLinePunct w:val="0"/>
        <w:bidi w:val="0"/>
        <w:spacing w:line="222" w:lineRule="auto"/>
        <w:ind w:left="737"/>
        <w:rPr>
          <w:rFonts w:ascii="仿宋" w:hAnsi="仿宋" w:eastAsia="仿宋" w:cs="仿宋"/>
          <w:sz w:val="24"/>
          <w:szCs w:val="24"/>
        </w:rPr>
      </w:pPr>
      <w:r>
        <w:rPr>
          <w:rFonts w:ascii="仿宋" w:hAnsi="仿宋" w:eastAsia="仿宋" w:cs="仿宋"/>
          <w:b/>
          <w:bCs/>
          <w:spacing w:val="-2"/>
          <w:sz w:val="24"/>
          <w:szCs w:val="24"/>
        </w:rPr>
        <w:t>3、投标报价一览表中投标总报价应与投标函一致。</w:t>
      </w:r>
    </w:p>
    <w:p w14:paraId="2D4FFD15">
      <w:pPr>
        <w:keepLines w:val="0"/>
        <w:pageBreakBefore w:val="0"/>
        <w:kinsoku/>
        <w:wordWrap/>
        <w:overflowPunct/>
        <w:topLinePunct w:val="0"/>
        <w:bidi w:val="0"/>
        <w:spacing w:line="222" w:lineRule="auto"/>
        <w:rPr>
          <w:rFonts w:ascii="仿宋" w:hAnsi="仿宋" w:eastAsia="仿宋" w:cs="仿宋"/>
          <w:sz w:val="18"/>
          <w:szCs w:val="18"/>
        </w:rPr>
      </w:pPr>
    </w:p>
    <w:p w14:paraId="66773863">
      <w:pPr>
        <w:pStyle w:val="6"/>
        <w:keepLines w:val="0"/>
        <w:pageBreakBefore w:val="0"/>
        <w:kinsoku/>
        <w:wordWrap/>
        <w:overflowPunct/>
        <w:topLinePunct w:val="0"/>
        <w:bidi w:val="0"/>
        <w:sectPr>
          <w:footerReference r:id="rId6" w:type="default"/>
          <w:pgSz w:w="11906" w:h="16839"/>
          <w:pgMar w:top="1440" w:right="1080" w:bottom="1440" w:left="1080" w:header="0" w:footer="989" w:gutter="0"/>
          <w:pgNumType w:fmt="decimal"/>
          <w:cols w:space="720" w:num="1"/>
        </w:sectPr>
      </w:pPr>
    </w:p>
    <w:p w14:paraId="5FA3298C">
      <w:pPr>
        <w:keepLines w:val="0"/>
        <w:pageBreakBefore w:val="0"/>
        <w:kinsoku/>
        <w:wordWrap/>
        <w:overflowPunct/>
        <w:topLinePunct w:val="0"/>
        <w:bidi w:val="0"/>
        <w:spacing w:before="274" w:line="231" w:lineRule="auto"/>
        <w:jc w:val="center"/>
        <w:outlineLvl w:val="2"/>
        <w:rPr>
          <w:rFonts w:ascii="仿宋" w:hAnsi="仿宋" w:eastAsia="仿宋" w:cs="仿宋"/>
          <w:sz w:val="24"/>
          <w:szCs w:val="24"/>
        </w:rPr>
      </w:pPr>
      <w:r>
        <w:rPr>
          <w:rFonts w:ascii="仿宋" w:hAnsi="仿宋" w:eastAsia="仿宋" w:cs="仿宋"/>
          <w:b/>
          <w:bCs/>
          <w:spacing w:val="5"/>
          <w:sz w:val="24"/>
          <w:szCs w:val="24"/>
        </w:rPr>
        <w:t>3.分项报价明细表</w:t>
      </w:r>
    </w:p>
    <w:tbl>
      <w:tblPr>
        <w:tblStyle w:val="18"/>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81"/>
        <w:gridCol w:w="2894"/>
        <w:gridCol w:w="855"/>
        <w:gridCol w:w="967"/>
        <w:gridCol w:w="1242"/>
        <w:gridCol w:w="1242"/>
        <w:gridCol w:w="2629"/>
        <w:gridCol w:w="810"/>
      </w:tblGrid>
      <w:tr w14:paraId="2F22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0" w:type="dxa"/>
            <w:noWrap w:val="0"/>
            <w:vAlign w:val="center"/>
          </w:tcPr>
          <w:p w14:paraId="35EFD27A">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981" w:type="dxa"/>
            <w:noWrap w:val="0"/>
            <w:vAlign w:val="center"/>
          </w:tcPr>
          <w:p w14:paraId="7402B11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品名</w:t>
            </w:r>
          </w:p>
        </w:tc>
        <w:tc>
          <w:tcPr>
            <w:tcW w:w="2894" w:type="dxa"/>
            <w:noWrap w:val="0"/>
            <w:vAlign w:val="center"/>
          </w:tcPr>
          <w:p w14:paraId="3F021A8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规格参数及要求</w:t>
            </w:r>
          </w:p>
        </w:tc>
        <w:tc>
          <w:tcPr>
            <w:tcW w:w="855" w:type="dxa"/>
            <w:noWrap w:val="0"/>
            <w:vAlign w:val="center"/>
          </w:tcPr>
          <w:p w14:paraId="1579733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967" w:type="dxa"/>
            <w:noWrap w:val="0"/>
            <w:vAlign w:val="center"/>
          </w:tcPr>
          <w:p w14:paraId="7104A50D">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242" w:type="dxa"/>
            <w:noWrap w:val="0"/>
            <w:vAlign w:val="center"/>
          </w:tcPr>
          <w:p w14:paraId="2683EAC6">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242" w:type="dxa"/>
            <w:noWrap w:val="0"/>
            <w:vAlign w:val="center"/>
          </w:tcPr>
          <w:p w14:paraId="62E748E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总</w:t>
            </w:r>
            <w:r>
              <w:rPr>
                <w:rFonts w:hint="eastAsia" w:ascii="宋体" w:hAnsi="宋体" w:eastAsia="宋体" w:cs="宋体"/>
                <w:color w:val="auto"/>
                <w:kern w:val="0"/>
                <w:sz w:val="24"/>
                <w:szCs w:val="24"/>
                <w:highlight w:val="none"/>
              </w:rPr>
              <w:t>价（元）</w:t>
            </w:r>
          </w:p>
        </w:tc>
        <w:tc>
          <w:tcPr>
            <w:tcW w:w="2629" w:type="dxa"/>
            <w:noWrap w:val="0"/>
            <w:vAlign w:val="center"/>
          </w:tcPr>
          <w:p w14:paraId="343B552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品牌/型号/厂家</w:t>
            </w:r>
          </w:p>
        </w:tc>
        <w:tc>
          <w:tcPr>
            <w:tcW w:w="810" w:type="dxa"/>
            <w:noWrap w:val="0"/>
            <w:vAlign w:val="center"/>
          </w:tcPr>
          <w:p w14:paraId="7162B10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3678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noWrap w:val="0"/>
            <w:vAlign w:val="center"/>
          </w:tcPr>
          <w:p w14:paraId="5AB8389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p>
        </w:tc>
        <w:tc>
          <w:tcPr>
            <w:tcW w:w="2981" w:type="dxa"/>
            <w:noWrap w:val="0"/>
            <w:vAlign w:val="center"/>
          </w:tcPr>
          <w:p w14:paraId="3E8E3A32">
            <w:pPr>
              <w:keepNext w:val="0"/>
              <w:keepLines w:val="0"/>
              <w:pageBreakBefore w:val="0"/>
              <w:widowControl/>
              <w:kinsoku/>
              <w:wordWrap/>
              <w:overflowPunct/>
              <w:topLinePunct w:val="0"/>
              <w:bidi w:val="0"/>
              <w:snapToGrid/>
              <w:spacing w:line="340" w:lineRule="exact"/>
              <w:jc w:val="both"/>
              <w:rPr>
                <w:rFonts w:hint="default" w:ascii="宋体" w:hAnsi="宋体" w:eastAsia="宋体" w:cs="宋体"/>
                <w:color w:val="auto"/>
                <w:kern w:val="0"/>
                <w:sz w:val="24"/>
                <w:szCs w:val="24"/>
                <w:highlight w:val="none"/>
                <w:lang w:val="en-US" w:eastAsia="zh-CN"/>
              </w:rPr>
            </w:pPr>
          </w:p>
        </w:tc>
        <w:tc>
          <w:tcPr>
            <w:tcW w:w="2894" w:type="dxa"/>
            <w:noWrap w:val="0"/>
            <w:vAlign w:val="center"/>
          </w:tcPr>
          <w:p w14:paraId="14D637E0">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855" w:type="dxa"/>
            <w:noWrap w:val="0"/>
            <w:vAlign w:val="center"/>
          </w:tcPr>
          <w:p w14:paraId="5B8686E6">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48D08F6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44334D7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62CD462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7127C55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A8FB77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4A11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0" w:type="dxa"/>
            <w:noWrap w:val="0"/>
            <w:vAlign w:val="center"/>
          </w:tcPr>
          <w:p w14:paraId="5C170F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981" w:type="dxa"/>
            <w:noWrap w:val="0"/>
            <w:vAlign w:val="center"/>
          </w:tcPr>
          <w:p w14:paraId="15DA81D6">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7B2F309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6B5DA6F3">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3AF339C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4F82AC6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49B0A7D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59469C0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1387397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73F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noWrap w:val="0"/>
            <w:vAlign w:val="center"/>
          </w:tcPr>
          <w:p w14:paraId="6608998A">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981" w:type="dxa"/>
            <w:noWrap w:val="0"/>
            <w:vAlign w:val="center"/>
          </w:tcPr>
          <w:p w14:paraId="19690463">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07315C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5757D81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4C53AAE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03E1E3E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27EE9E7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1A78A29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7B89DD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1DB7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noWrap w:val="0"/>
            <w:vAlign w:val="center"/>
          </w:tcPr>
          <w:p w14:paraId="08225ED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981" w:type="dxa"/>
            <w:noWrap w:val="0"/>
            <w:vAlign w:val="center"/>
          </w:tcPr>
          <w:p w14:paraId="1BCE32E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50CF5D6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62D73328">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22F2897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7A61B55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1E39796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73AFC41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760EE22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4448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noWrap w:val="0"/>
            <w:vAlign w:val="center"/>
          </w:tcPr>
          <w:p w14:paraId="0E011F0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981" w:type="dxa"/>
            <w:noWrap w:val="0"/>
            <w:vAlign w:val="center"/>
          </w:tcPr>
          <w:p w14:paraId="0861490F">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40C8AB9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51D97B38">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23D35D5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2F7A4DE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0EF3079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61F1949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DE9757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248A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noWrap w:val="0"/>
            <w:vAlign w:val="center"/>
          </w:tcPr>
          <w:p w14:paraId="3F02BAE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p w14:paraId="7BD617F7">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p w14:paraId="3538521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2981" w:type="dxa"/>
            <w:noWrap w:val="0"/>
            <w:vAlign w:val="center"/>
          </w:tcPr>
          <w:p w14:paraId="6D08F804">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08E0E3B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52E28529">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25502CB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618107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34113AC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341A884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3548694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0A2A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4340" w:type="dxa"/>
            <w:gridSpan w:val="9"/>
            <w:noWrap w:val="0"/>
            <w:vAlign w:val="center"/>
          </w:tcPr>
          <w:p w14:paraId="2508BDCD">
            <w:pPr>
              <w:pStyle w:val="6"/>
              <w:keepNext w:val="0"/>
              <w:keepLines w:val="0"/>
              <w:pageBreakBefore w:val="0"/>
              <w:kinsoku/>
              <w:wordWrap/>
              <w:overflowPunct/>
              <w:topLinePunct w:val="0"/>
              <w:bidi w:val="0"/>
              <w:snapToGrid/>
              <w:spacing w:before="0" w:after="0" w:line="340" w:lineRule="exact"/>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合计</w:t>
            </w:r>
            <w:r>
              <w:rPr>
                <w:rFonts w:hint="eastAsia" w:ascii="宋体" w:hAnsi="宋体" w:eastAsia="宋体" w:cs="宋体"/>
                <w:color w:val="auto"/>
                <w:kern w:val="0"/>
                <w:sz w:val="24"/>
                <w:szCs w:val="24"/>
                <w:highlight w:val="none"/>
              </w:rPr>
              <w:t>（元）：小写：                           大写：</w:t>
            </w:r>
          </w:p>
        </w:tc>
      </w:tr>
    </w:tbl>
    <w:p w14:paraId="001796B7">
      <w:pPr>
        <w:keepLines w:val="0"/>
        <w:pageBreakBefore w:val="0"/>
        <w:kinsoku/>
        <w:wordWrap/>
        <w:overflowPunct/>
        <w:topLinePunct w:val="0"/>
        <w:bidi w:val="0"/>
        <w:spacing w:line="240" w:lineRule="atLeast"/>
        <w:rPr>
          <w:rFonts w:hint="eastAsia" w:ascii="仿宋_GB2312" w:eastAsia="仿宋_GB2312"/>
          <w:color w:val="auto"/>
          <w:sz w:val="28"/>
          <w:szCs w:val="28"/>
          <w:highlight w:val="none"/>
          <w:lang w:val="en-US" w:eastAsia="zh-CN"/>
        </w:rPr>
      </w:pPr>
      <w:r>
        <w:rPr>
          <w:rFonts w:hint="eastAsia" w:ascii="宋体" w:hAnsi="宋体" w:eastAsia="宋体" w:cs="宋体"/>
          <w:b/>
          <w:bCs/>
          <w:color w:val="auto"/>
          <w:kern w:val="0"/>
          <w:sz w:val="28"/>
          <w:szCs w:val="28"/>
          <w:highlight w:val="none"/>
          <w:lang w:val="en-US" w:eastAsia="zh-CN" w:bidi="ar-SA"/>
        </w:rPr>
        <w:t>★备注：1.按照采购清单提供的内容填报，不得改变其顺序、格式、内容等，如需补充，可在备注栏里进行补充说明。否则视为不投标招标文件规定。</w:t>
      </w:r>
      <w:r>
        <w:rPr>
          <w:rFonts w:hint="eastAsia" w:ascii="宋体" w:eastAsia="宋体" w:cs="宋体"/>
          <w:b/>
          <w:bCs/>
          <w:color w:val="auto"/>
          <w:kern w:val="0"/>
          <w:sz w:val="28"/>
          <w:szCs w:val="28"/>
          <w:highlight w:val="none"/>
          <w:lang w:val="en-US" w:eastAsia="zh-CN" w:bidi="ar-SA"/>
        </w:rPr>
        <w:t xml:space="preserve">   </w:t>
      </w:r>
      <w:r>
        <w:rPr>
          <w:rFonts w:hint="eastAsia" w:ascii="仿宋_GB2312" w:eastAsia="仿宋_GB2312"/>
          <w:color w:val="auto"/>
          <w:sz w:val="28"/>
          <w:szCs w:val="28"/>
          <w:highlight w:val="none"/>
          <w:lang w:val="en-US" w:eastAsia="zh-CN"/>
        </w:rPr>
        <w:t xml:space="preserve">                                        </w:t>
      </w:r>
    </w:p>
    <w:p w14:paraId="4835AA3C">
      <w:pPr>
        <w:keepLines w:val="0"/>
        <w:pageBreakBefore w:val="0"/>
        <w:kinsoku/>
        <w:wordWrap/>
        <w:overflowPunct/>
        <w:topLinePunct w:val="0"/>
        <w:bidi w:val="0"/>
        <w:spacing w:line="440" w:lineRule="exact"/>
        <w:ind w:firstLine="560" w:firstLineChars="200"/>
        <w:jc w:val="center"/>
        <w:rPr>
          <w:rFonts w:hint="eastAsia" w:ascii="仿宋_GB2312" w:eastAsia="仿宋_GB2312"/>
          <w:color w:val="auto"/>
          <w:sz w:val="26"/>
          <w:szCs w:val="26"/>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6"/>
          <w:szCs w:val="26"/>
          <w:highlight w:val="none"/>
        </w:rPr>
        <w:t>投标方：（单位盖章）</w:t>
      </w:r>
    </w:p>
    <w:p w14:paraId="085D0911">
      <w:pPr>
        <w:keepLines w:val="0"/>
        <w:pageBreakBefore w:val="0"/>
        <w:kinsoku/>
        <w:wordWrap/>
        <w:overflowPunct/>
        <w:topLinePunct w:val="0"/>
        <w:bidi w:val="0"/>
        <w:spacing w:line="440" w:lineRule="exact"/>
        <w:ind w:firstLine="520" w:firstLineChars="200"/>
        <w:jc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法定代表人或代理人：（签字或盖章）</w:t>
      </w:r>
    </w:p>
    <w:p w14:paraId="21A74B64">
      <w:pPr>
        <w:pStyle w:val="5"/>
        <w:keepLines w:val="0"/>
        <w:pageBreakBefore w:val="0"/>
        <w:kinsoku/>
        <w:wordWrap/>
        <w:overflowPunct/>
        <w:topLinePunct w:val="0"/>
        <w:bidi w:val="0"/>
        <w:ind w:firstLine="9880" w:firstLineChars="3800"/>
        <w:rPr>
          <w:rFonts w:hint="eastAsia" w:ascii="仿宋_GB2312" w:eastAsia="仿宋_GB2312"/>
          <w:b/>
          <w:bCs/>
          <w:color w:val="auto"/>
          <w:sz w:val="36"/>
          <w:szCs w:val="36"/>
          <w:highlight w:val="none"/>
        </w:rPr>
      </w:pPr>
      <w:r>
        <w:rPr>
          <w:rFonts w:hint="eastAsia" w:ascii="仿宋_GB2312" w:eastAsia="仿宋_GB2312"/>
          <w:color w:val="auto"/>
          <w:sz w:val="26"/>
          <w:szCs w:val="26"/>
          <w:highlight w:val="none"/>
          <w:lang w:eastAsia="zh-CN"/>
        </w:rPr>
        <w:t>年</w:t>
      </w:r>
      <w:r>
        <w:rPr>
          <w:rFonts w:hint="eastAsia" w:ascii="仿宋_GB2312" w:eastAsia="仿宋_GB2312"/>
          <w:color w:val="auto"/>
          <w:sz w:val="26"/>
          <w:szCs w:val="26"/>
          <w:highlight w:val="none"/>
          <w:lang w:val="en-US" w:eastAsia="zh-CN"/>
        </w:rPr>
        <w:t xml:space="preserve">   月   日 </w:t>
      </w:r>
    </w:p>
    <w:p w14:paraId="5B6DE66B">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3CF2C2E9">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投标货物（设备）技术、性能、质量具体明细及偏离表</w:t>
      </w:r>
    </w:p>
    <w:p w14:paraId="39ABEC22">
      <w:pPr>
        <w:pStyle w:val="6"/>
        <w:keepLines w:val="0"/>
        <w:pageBreakBefore w:val="0"/>
        <w:kinsoku/>
        <w:wordWrap/>
        <w:overflowPunct/>
        <w:topLinePunct w:val="0"/>
        <w:bidi w:val="0"/>
        <w:rPr>
          <w:rFonts w:hint="eastAsia"/>
        </w:rPr>
      </w:pPr>
    </w:p>
    <w:tbl>
      <w:tblPr>
        <w:tblStyle w:val="18"/>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0BF9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1F9DBA2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6A5E335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2B117EE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4B0236C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198ADEC9">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59876A5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4F18523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偏离说明</w:t>
            </w:r>
          </w:p>
        </w:tc>
      </w:tr>
      <w:tr w14:paraId="063C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70EB150E">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1B2CEF1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1A86EA3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45CB399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081491B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4D07EDB">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3E7283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31E26F26">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7538B0C3">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56C8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5DC7C4A0">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7F493309">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78C2D59C">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0A71E818">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189C9BD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A0A8FEE">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5B36B4D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7875DF9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257F88D0">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764636B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1264C23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3CDD9C5">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307A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3DC8090">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747" w:type="dxa"/>
            <w:tcBorders>
              <w:top w:val="single" w:color="auto" w:sz="4" w:space="0"/>
              <w:left w:val="single" w:color="auto" w:sz="4" w:space="0"/>
              <w:bottom w:val="single" w:color="auto" w:sz="4" w:space="0"/>
              <w:right w:val="single" w:color="auto" w:sz="4" w:space="0"/>
            </w:tcBorders>
            <w:vAlign w:val="center"/>
          </w:tcPr>
          <w:p w14:paraId="1744214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3835985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900" w:type="dxa"/>
            <w:tcBorders>
              <w:top w:val="single" w:color="auto" w:sz="4" w:space="0"/>
              <w:left w:val="single" w:color="auto" w:sz="4" w:space="0"/>
              <w:bottom w:val="single" w:color="auto" w:sz="4" w:space="0"/>
              <w:right w:val="single" w:color="auto" w:sz="4" w:space="0"/>
            </w:tcBorders>
            <w:vAlign w:val="center"/>
          </w:tcPr>
          <w:p w14:paraId="28D8F57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4959D5B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217DC74F">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6ECE1B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6604F18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7B31481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06B5837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901" w:type="dxa"/>
            <w:tcBorders>
              <w:top w:val="single" w:color="auto" w:sz="4" w:space="0"/>
              <w:left w:val="single" w:color="auto" w:sz="4" w:space="0"/>
              <w:bottom w:val="single" w:color="auto" w:sz="4" w:space="0"/>
              <w:right w:val="single" w:color="auto" w:sz="4" w:space="0"/>
            </w:tcBorders>
            <w:vAlign w:val="center"/>
          </w:tcPr>
          <w:p w14:paraId="7653514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B4DFBB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r>
      <w:tr w14:paraId="6C94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F6D8F3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25411FC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E8E0B8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7BDDFF8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BCB5DB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10AC722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603AC5B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73DCD227">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2A8DFE97">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12055F3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236EDCCF">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7A71AA0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r>
    </w:tbl>
    <w:p w14:paraId="1B692883">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(公章)：</w:t>
      </w:r>
    </w:p>
    <w:p w14:paraId="6ED3D87C">
      <w:pPr>
        <w:pStyle w:val="6"/>
        <w:keepLines w:val="0"/>
        <w:pageBreakBefore w:val="0"/>
        <w:kinsoku/>
        <w:wordWrap/>
        <w:overflowPunct/>
        <w:topLinePunct w:val="0"/>
        <w:bidi w:val="0"/>
        <w:ind w:left="0" w:leftChars="0" w:firstLine="0" w:firstLineChars="0"/>
        <w:rPr>
          <w:rFonts w:hint="eastAsia"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382A4C92">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2D64C82A">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4C2B8AF0">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备注：1、</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严格按照《采购</w:t>
      </w:r>
      <w:r>
        <w:rPr>
          <w:rFonts w:hint="eastAsia" w:asciiTheme="majorEastAsia" w:hAnsiTheme="majorEastAsia" w:eastAsiaTheme="majorEastAsia" w:cstheme="majorEastAsia"/>
          <w:color w:val="auto"/>
          <w:sz w:val="24"/>
          <w:szCs w:val="24"/>
          <w:lang w:eastAsia="zh-CN"/>
        </w:rPr>
        <w:t>需求</w:t>
      </w:r>
      <w:r>
        <w:rPr>
          <w:rFonts w:hint="eastAsia" w:asciiTheme="majorEastAsia" w:hAnsiTheme="majorEastAsia" w:eastAsiaTheme="majorEastAsia" w:cstheme="majorEastAsia"/>
          <w:color w:val="auto"/>
          <w:sz w:val="24"/>
          <w:szCs w:val="24"/>
        </w:rPr>
        <w:t>》所列的具体明细，进行报价。</w:t>
      </w:r>
    </w:p>
    <w:p w14:paraId="7073097D">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应对照招标货物（设备）技术、质量及要求，审慎准确填写此表，详细列明投标货物（设备）技术、质量状况，全面披露各项符合程度并标注确定字样。如不能确定的请在不能确定栏内填写不确定字样。</w:t>
      </w:r>
    </w:p>
    <w:p w14:paraId="12FEDF18">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3、填列不清楚、不全面的，使评审人员不能判明投标货物（设备）技术、质量而造成的废标、无效标，由</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自行承担。</w:t>
      </w:r>
    </w:p>
    <w:p w14:paraId="1739411E">
      <w:pPr>
        <w:keepLines w:val="0"/>
        <w:pageBreakBefore w:val="0"/>
        <w:kinsoku/>
        <w:wordWrap/>
        <w:overflowPunct/>
        <w:topLinePunct w:val="0"/>
        <w:bidi w:val="0"/>
        <w:spacing w:line="44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4"/>
          <w:szCs w:val="24"/>
          <w:lang w:eastAsia="zh-CN"/>
        </w:rPr>
        <w:t>无效投标处理</w:t>
      </w:r>
      <w:r>
        <w:rPr>
          <w:rFonts w:hint="eastAsia" w:asciiTheme="majorEastAsia" w:hAnsiTheme="majorEastAsia" w:eastAsiaTheme="majorEastAsia" w:cstheme="majorEastAsia"/>
          <w:color w:val="auto"/>
          <w:sz w:val="24"/>
          <w:szCs w:val="24"/>
        </w:rPr>
        <w:t>。</w:t>
      </w:r>
    </w:p>
    <w:p w14:paraId="4634C041">
      <w:pPr>
        <w:pStyle w:val="3"/>
        <w:keepLines w:val="0"/>
        <w:pageBreakBefore w:val="0"/>
        <w:kinsoku/>
        <w:wordWrap/>
        <w:overflowPunct/>
        <w:topLinePunct w:val="0"/>
        <w:bidi w:val="0"/>
        <w:rPr>
          <w:rFonts w:hint="eastAsia"/>
        </w:rPr>
        <w:sectPr>
          <w:footerReference r:id="rId7" w:type="default"/>
          <w:pgSz w:w="16838" w:h="11906" w:orient="landscape"/>
          <w:pgMar w:top="1440" w:right="1701" w:bottom="1440" w:left="1440" w:header="851" w:footer="992" w:gutter="0"/>
          <w:cols w:space="720" w:num="1"/>
          <w:docGrid w:linePitch="312" w:charSpace="0"/>
        </w:sectPr>
      </w:pPr>
    </w:p>
    <w:p w14:paraId="69185F13">
      <w:pPr>
        <w:keepLines w:val="0"/>
        <w:pageBreakBefore w:val="0"/>
        <w:kinsoku/>
        <w:wordWrap/>
        <w:overflowPunct/>
        <w:topLinePunct w:val="0"/>
        <w:bidi w:val="0"/>
        <w:spacing w:before="140" w:line="460" w:lineRule="exact"/>
        <w:ind w:left="3770"/>
        <w:rPr>
          <w:rFonts w:ascii="仿宋" w:hAnsi="仿宋" w:eastAsia="仿宋" w:cs="仿宋"/>
          <w:sz w:val="28"/>
          <w:szCs w:val="28"/>
        </w:rPr>
      </w:pPr>
      <w:r>
        <mc:AlternateContent>
          <mc:Choice Requires="wps">
            <w:drawing>
              <wp:anchor distT="0" distB="0" distL="114300" distR="114300" simplePos="0" relativeHeight="251661312" behindDoc="0" locked="0" layoutInCell="0" allowOverlap="1">
                <wp:simplePos x="0" y="0"/>
                <wp:positionH relativeFrom="page">
                  <wp:posOffset>968375</wp:posOffset>
                </wp:positionH>
                <wp:positionV relativeFrom="page">
                  <wp:posOffset>5436870</wp:posOffset>
                </wp:positionV>
                <wp:extent cx="2654300" cy="18256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54300" cy="1825625"/>
                        </a:xfrm>
                        <a:prstGeom prst="rect">
                          <a:avLst/>
                        </a:prstGeom>
                        <a:noFill/>
                        <a:ln>
                          <a:noFill/>
                        </a:ln>
                      </wps:spPr>
                      <wps:txbx>
                        <w:txbxContent>
                          <w:p w14:paraId="29629C36">
                            <w:pPr>
                              <w:spacing w:line="20" w:lineRule="exact"/>
                            </w:pPr>
                          </w:p>
                          <w:tbl>
                            <w:tblPr>
                              <w:tblStyle w:val="42"/>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71EEB9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6E195100">
                                  <w:pPr>
                                    <w:spacing w:line="260" w:lineRule="auto"/>
                                    <w:rPr>
                                      <w:rFonts w:ascii="Arial"/>
                                      <w:sz w:val="21"/>
                                    </w:rPr>
                                  </w:pPr>
                                </w:p>
                                <w:p w14:paraId="56162EDF">
                                  <w:pPr>
                                    <w:spacing w:line="260" w:lineRule="auto"/>
                                    <w:rPr>
                                      <w:rFonts w:ascii="Arial"/>
                                      <w:sz w:val="21"/>
                                    </w:rPr>
                                  </w:pPr>
                                </w:p>
                                <w:p w14:paraId="122050C6">
                                  <w:pPr>
                                    <w:spacing w:line="261" w:lineRule="auto"/>
                                    <w:rPr>
                                      <w:rFonts w:ascii="Arial"/>
                                      <w:sz w:val="21"/>
                                    </w:rPr>
                                  </w:pPr>
                                </w:p>
                                <w:p w14:paraId="190AC59E">
                                  <w:pPr>
                                    <w:spacing w:line="261" w:lineRule="auto"/>
                                    <w:rPr>
                                      <w:rFonts w:ascii="Arial"/>
                                      <w:sz w:val="21"/>
                                    </w:rPr>
                                  </w:pPr>
                                </w:p>
                                <w:p w14:paraId="7DAE3D0C">
                                  <w:pPr>
                                    <w:spacing w:line="261" w:lineRule="auto"/>
                                    <w:rPr>
                                      <w:rFonts w:ascii="Arial"/>
                                      <w:sz w:val="21"/>
                                    </w:rPr>
                                  </w:pPr>
                                </w:p>
                                <w:p w14:paraId="5793D20D">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20C589E7">
                            <w:pPr>
                              <w:pStyle w:val="6"/>
                            </w:pPr>
                          </w:p>
                        </w:txbxContent>
                      </wps:txbx>
                      <wps:bodyPr lIns="0" tIns="0" rIns="0" bIns="0" upright="1"/>
                    </wps:wsp>
                  </a:graphicData>
                </a:graphic>
              </wp:anchor>
            </w:drawing>
          </mc:Choice>
          <mc:Fallback>
            <w:pict>
              <v:shape id="_x0000_s1026" o:spid="_x0000_s1026" o:spt="202" type="#_x0000_t202" style="position:absolute;left:0pt;margin-left:76.25pt;margin-top:428.1pt;height:143.75pt;width:209pt;mso-position-horizontal-relative:page;mso-position-vertical-relative:page;z-index:251661312;mso-width-relative:page;mso-height-relative:page;" filled="f" stroked="f" coordsize="21600,21600" o:allowincell="f" o:gfxdata="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ZzkPaAAAADAEAAA8AAAAAAAAAAQAgAAAAIgAAAGRycy9kb3ducmV2LnhtbFBL&#10;AQIUABQAAAAIAIdO4kBV5r8QuwEAAHMDAAAOAAAAAAAAAAEAIAAAACkBAABkcnMvZTJvRG9jLnht&#10;bFBLBQYAAAAABgAGAFkBAABWBQAAAAA=&#10;">
                <v:fill on="f" focussize="0,0"/>
                <v:stroke on="f"/>
                <v:imagedata o:title=""/>
                <o:lock v:ext="edit" aspectratio="f"/>
                <v:textbox inset="0mm,0mm,0mm,0mm">
                  <w:txbxContent>
                    <w:p w14:paraId="29629C36">
                      <w:pPr>
                        <w:spacing w:line="20" w:lineRule="exact"/>
                      </w:pPr>
                    </w:p>
                    <w:tbl>
                      <w:tblPr>
                        <w:tblStyle w:val="42"/>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71EEB9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6E195100">
                            <w:pPr>
                              <w:spacing w:line="260" w:lineRule="auto"/>
                              <w:rPr>
                                <w:rFonts w:ascii="Arial"/>
                                <w:sz w:val="21"/>
                              </w:rPr>
                            </w:pPr>
                          </w:p>
                          <w:p w14:paraId="56162EDF">
                            <w:pPr>
                              <w:spacing w:line="260" w:lineRule="auto"/>
                              <w:rPr>
                                <w:rFonts w:ascii="Arial"/>
                                <w:sz w:val="21"/>
                              </w:rPr>
                            </w:pPr>
                          </w:p>
                          <w:p w14:paraId="122050C6">
                            <w:pPr>
                              <w:spacing w:line="261" w:lineRule="auto"/>
                              <w:rPr>
                                <w:rFonts w:ascii="Arial"/>
                                <w:sz w:val="21"/>
                              </w:rPr>
                            </w:pPr>
                          </w:p>
                          <w:p w14:paraId="190AC59E">
                            <w:pPr>
                              <w:spacing w:line="261" w:lineRule="auto"/>
                              <w:rPr>
                                <w:rFonts w:ascii="Arial"/>
                                <w:sz w:val="21"/>
                              </w:rPr>
                            </w:pPr>
                          </w:p>
                          <w:p w14:paraId="7DAE3D0C">
                            <w:pPr>
                              <w:spacing w:line="261" w:lineRule="auto"/>
                              <w:rPr>
                                <w:rFonts w:ascii="Arial"/>
                                <w:sz w:val="21"/>
                              </w:rPr>
                            </w:pPr>
                          </w:p>
                          <w:p w14:paraId="5793D20D">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20C589E7">
                      <w:pPr>
                        <w:pStyle w:val="6"/>
                      </w:pPr>
                    </w:p>
                  </w:txbxContent>
                </v:textbox>
              </v:shape>
            </w:pict>
          </mc:Fallback>
        </mc:AlternateContent>
      </w:r>
      <w:r>
        <w:rPr>
          <w:rFonts w:ascii="仿宋" w:hAnsi="仿宋" w:eastAsia="仿宋" w:cs="仿宋"/>
          <w:b/>
          <w:bCs/>
          <w:spacing w:val="-5"/>
          <w:position w:val="12"/>
          <w:sz w:val="28"/>
          <w:szCs w:val="28"/>
        </w:rPr>
        <w:t>（商务技术文件）</w:t>
      </w:r>
    </w:p>
    <w:p w14:paraId="47D98252">
      <w:pPr>
        <w:keepLines w:val="0"/>
        <w:pageBreakBefore w:val="0"/>
        <w:kinsoku/>
        <w:wordWrap/>
        <w:overflowPunct/>
        <w:topLinePunct w:val="0"/>
        <w:bidi w:val="0"/>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5</w:t>
      </w:r>
      <w:r>
        <w:rPr>
          <w:rFonts w:ascii="仿宋" w:hAnsi="仿宋" w:eastAsia="仿宋" w:cs="仿宋"/>
          <w:b/>
          <w:bCs/>
          <w:spacing w:val="7"/>
          <w:sz w:val="24"/>
          <w:szCs w:val="24"/>
        </w:rPr>
        <w:t>.法定代表人身份证明</w:t>
      </w:r>
    </w:p>
    <w:p w14:paraId="1AF63CD5">
      <w:pPr>
        <w:pStyle w:val="6"/>
        <w:keepLines w:val="0"/>
        <w:pageBreakBefore w:val="0"/>
        <w:kinsoku/>
        <w:wordWrap/>
        <w:overflowPunct/>
        <w:topLinePunct w:val="0"/>
        <w:bidi w:val="0"/>
        <w:spacing w:line="255" w:lineRule="auto"/>
        <w:rPr>
          <w:sz w:val="24"/>
          <w:szCs w:val="24"/>
        </w:rPr>
      </w:pPr>
    </w:p>
    <w:p w14:paraId="1E5A105E">
      <w:pPr>
        <w:pStyle w:val="6"/>
        <w:keepLines w:val="0"/>
        <w:pageBreakBefore w:val="0"/>
        <w:kinsoku/>
        <w:wordWrap/>
        <w:overflowPunct/>
        <w:topLinePunct w:val="0"/>
        <w:bidi w:val="0"/>
        <w:spacing w:line="255" w:lineRule="auto"/>
        <w:rPr>
          <w:sz w:val="24"/>
          <w:szCs w:val="24"/>
        </w:rPr>
      </w:pPr>
    </w:p>
    <w:p w14:paraId="72A4C3CA">
      <w:pPr>
        <w:pStyle w:val="6"/>
        <w:keepLines w:val="0"/>
        <w:pageBreakBefore w:val="0"/>
        <w:kinsoku/>
        <w:wordWrap/>
        <w:overflowPunct/>
        <w:topLinePunct w:val="0"/>
        <w:bidi w:val="0"/>
        <w:spacing w:line="256" w:lineRule="auto"/>
        <w:rPr>
          <w:sz w:val="24"/>
          <w:szCs w:val="24"/>
        </w:rPr>
      </w:pPr>
    </w:p>
    <w:p w14:paraId="5519451F">
      <w:pPr>
        <w:pStyle w:val="6"/>
        <w:keepLines w:val="0"/>
        <w:pageBreakBefore w:val="0"/>
        <w:kinsoku/>
        <w:wordWrap/>
        <w:overflowPunct/>
        <w:topLinePunct w:val="0"/>
        <w:bidi w:val="0"/>
        <w:spacing w:line="256" w:lineRule="auto"/>
        <w:rPr>
          <w:sz w:val="24"/>
          <w:szCs w:val="24"/>
        </w:rPr>
      </w:pPr>
    </w:p>
    <w:p w14:paraId="3BE19F3A">
      <w:pPr>
        <w:pStyle w:val="6"/>
        <w:keepLines w:val="0"/>
        <w:pageBreakBefore w:val="0"/>
        <w:kinsoku/>
        <w:wordWrap/>
        <w:overflowPunct/>
        <w:topLinePunct w:val="0"/>
        <w:bidi w:val="0"/>
        <w:spacing w:line="256" w:lineRule="auto"/>
        <w:rPr>
          <w:sz w:val="24"/>
          <w:szCs w:val="24"/>
        </w:rPr>
      </w:pPr>
    </w:p>
    <w:p w14:paraId="02032D86">
      <w:pPr>
        <w:keepLines w:val="0"/>
        <w:pageBreakBefore w:val="0"/>
        <w:kinsoku/>
        <w:wordWrap/>
        <w:overflowPunct/>
        <w:topLinePunct w:val="0"/>
        <w:bidi w:val="0"/>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42C98EC9">
      <w:pPr>
        <w:keepLines w:val="0"/>
        <w:pageBreakBefore w:val="0"/>
        <w:kinsoku/>
        <w:wordWrap/>
        <w:overflowPunct/>
        <w:topLinePunct w:val="0"/>
        <w:bidi w:val="0"/>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3032A81F">
      <w:pPr>
        <w:keepLines w:val="0"/>
        <w:pageBreakBefore w:val="0"/>
        <w:kinsoku/>
        <w:wordWrap/>
        <w:overflowPunct/>
        <w:topLinePunct w:val="0"/>
        <w:bidi w:val="0"/>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14:paraId="7255D3F3">
      <w:pPr>
        <w:keepLines w:val="0"/>
        <w:pageBreakBefore w:val="0"/>
        <w:kinsoku/>
        <w:wordWrap/>
        <w:overflowPunct/>
        <w:topLinePunct w:val="0"/>
        <w:bidi w:val="0"/>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5651DFEF">
      <w:pPr>
        <w:keepLines w:val="0"/>
        <w:pageBreakBefore w:val="0"/>
        <w:kinsoku/>
        <w:wordWrap/>
        <w:overflowPunct/>
        <w:topLinePunct w:val="0"/>
        <w:bidi w:val="0"/>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4B4815A1">
      <w:pPr>
        <w:keepLines w:val="0"/>
        <w:pageBreakBefore w:val="0"/>
        <w:kinsoku/>
        <w:wordWrap/>
        <w:overflowPunct/>
        <w:topLinePunct w:val="0"/>
        <w:bidi w:val="0"/>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14:paraId="1D7F1D20">
      <w:pPr>
        <w:keepLines w:val="0"/>
        <w:pageBreakBefore w:val="0"/>
        <w:kinsoku/>
        <w:wordWrap/>
        <w:overflowPunct/>
        <w:topLinePunct w:val="0"/>
        <w:bidi w:val="0"/>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74B96B60">
      <w:pPr>
        <w:keepLines w:val="0"/>
        <w:pageBreakBefore w:val="0"/>
        <w:kinsoku/>
        <w:wordWrap/>
        <w:overflowPunct/>
        <w:topLinePunct w:val="0"/>
        <w:bidi w:val="0"/>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投标人</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14:paraId="269603E2">
      <w:pPr>
        <w:pStyle w:val="6"/>
        <w:keepLines w:val="0"/>
        <w:pageBreakBefore w:val="0"/>
        <w:kinsoku/>
        <w:wordWrap/>
        <w:overflowPunct/>
        <w:topLinePunct w:val="0"/>
        <w:bidi w:val="0"/>
        <w:spacing w:line="241" w:lineRule="auto"/>
        <w:rPr>
          <w:sz w:val="24"/>
          <w:szCs w:val="24"/>
        </w:rPr>
      </w:pPr>
    </w:p>
    <w:p w14:paraId="75F6D1A5">
      <w:pPr>
        <w:pStyle w:val="6"/>
        <w:keepLines w:val="0"/>
        <w:pageBreakBefore w:val="0"/>
        <w:kinsoku/>
        <w:wordWrap/>
        <w:overflowPunct/>
        <w:topLinePunct w:val="0"/>
        <w:bidi w:val="0"/>
        <w:spacing w:line="241" w:lineRule="auto"/>
        <w:rPr>
          <w:sz w:val="24"/>
          <w:szCs w:val="24"/>
        </w:rPr>
      </w:pPr>
    </w:p>
    <w:p w14:paraId="32EB65C5">
      <w:pPr>
        <w:keepLines w:val="0"/>
        <w:pageBreakBefore w:val="0"/>
        <w:kinsoku/>
        <w:wordWrap/>
        <w:overflowPunct/>
        <w:topLinePunct w:val="0"/>
        <w:bidi w:val="0"/>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14:paraId="47CC8527">
      <w:pPr>
        <w:keepLines w:val="0"/>
        <w:pageBreakBefore w:val="0"/>
        <w:kinsoku/>
        <w:wordWrap/>
        <w:overflowPunct/>
        <w:topLinePunct w:val="0"/>
        <w:bidi w:val="0"/>
        <w:spacing w:before="25"/>
      </w:pPr>
    </w:p>
    <w:tbl>
      <w:tblPr>
        <w:tblStyle w:val="42"/>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1905C0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7ACE8BF1">
            <w:pPr>
              <w:keepLines w:val="0"/>
              <w:pageBreakBefore w:val="0"/>
              <w:kinsoku/>
              <w:wordWrap/>
              <w:overflowPunct/>
              <w:topLinePunct w:val="0"/>
              <w:bidi w:val="0"/>
              <w:spacing w:line="260" w:lineRule="auto"/>
              <w:rPr>
                <w:rFonts w:ascii="Arial"/>
                <w:sz w:val="21"/>
              </w:rPr>
            </w:pPr>
          </w:p>
          <w:p w14:paraId="239011E5">
            <w:pPr>
              <w:keepLines w:val="0"/>
              <w:pageBreakBefore w:val="0"/>
              <w:kinsoku/>
              <w:wordWrap/>
              <w:overflowPunct/>
              <w:topLinePunct w:val="0"/>
              <w:bidi w:val="0"/>
              <w:spacing w:line="260" w:lineRule="auto"/>
              <w:rPr>
                <w:rFonts w:ascii="Arial"/>
                <w:sz w:val="21"/>
              </w:rPr>
            </w:pPr>
          </w:p>
          <w:p w14:paraId="373C06B1">
            <w:pPr>
              <w:keepLines w:val="0"/>
              <w:pageBreakBefore w:val="0"/>
              <w:kinsoku/>
              <w:wordWrap/>
              <w:overflowPunct/>
              <w:topLinePunct w:val="0"/>
              <w:bidi w:val="0"/>
              <w:spacing w:line="261" w:lineRule="auto"/>
              <w:rPr>
                <w:rFonts w:ascii="Arial"/>
                <w:sz w:val="21"/>
              </w:rPr>
            </w:pPr>
          </w:p>
          <w:p w14:paraId="7958E4E5">
            <w:pPr>
              <w:keepLines w:val="0"/>
              <w:pageBreakBefore w:val="0"/>
              <w:kinsoku/>
              <w:wordWrap/>
              <w:overflowPunct/>
              <w:topLinePunct w:val="0"/>
              <w:bidi w:val="0"/>
              <w:spacing w:line="261" w:lineRule="auto"/>
              <w:rPr>
                <w:rFonts w:ascii="Arial"/>
                <w:sz w:val="21"/>
              </w:rPr>
            </w:pPr>
          </w:p>
          <w:p w14:paraId="12E66214">
            <w:pPr>
              <w:keepLines w:val="0"/>
              <w:pageBreakBefore w:val="0"/>
              <w:kinsoku/>
              <w:wordWrap/>
              <w:overflowPunct/>
              <w:topLinePunct w:val="0"/>
              <w:bidi w:val="0"/>
              <w:spacing w:line="261" w:lineRule="auto"/>
              <w:rPr>
                <w:rFonts w:ascii="Arial"/>
                <w:sz w:val="21"/>
              </w:rPr>
            </w:pPr>
          </w:p>
          <w:p w14:paraId="20EB0440">
            <w:pPr>
              <w:keepLines w:val="0"/>
              <w:pageBreakBefore w:val="0"/>
              <w:kinsoku/>
              <w:wordWrap/>
              <w:overflowPunct/>
              <w:topLinePunct w:val="0"/>
              <w:bidi w:val="0"/>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60BBF8A9">
      <w:pPr>
        <w:pStyle w:val="6"/>
        <w:keepLines w:val="0"/>
        <w:pageBreakBefore w:val="0"/>
        <w:kinsoku/>
        <w:wordWrap/>
        <w:overflowPunct/>
        <w:topLinePunct w:val="0"/>
        <w:bidi w:val="0"/>
        <w:spacing w:line="282" w:lineRule="auto"/>
      </w:pPr>
    </w:p>
    <w:p w14:paraId="25EFF2C7">
      <w:pPr>
        <w:pStyle w:val="6"/>
        <w:keepLines w:val="0"/>
        <w:pageBreakBefore w:val="0"/>
        <w:kinsoku/>
        <w:wordWrap/>
        <w:overflowPunct/>
        <w:topLinePunct w:val="0"/>
        <w:bidi w:val="0"/>
        <w:spacing w:line="283" w:lineRule="auto"/>
      </w:pPr>
    </w:p>
    <w:p w14:paraId="01F1B8EE">
      <w:pPr>
        <w:pStyle w:val="6"/>
        <w:keepLines w:val="0"/>
        <w:pageBreakBefore w:val="0"/>
        <w:kinsoku/>
        <w:wordWrap/>
        <w:overflowPunct/>
        <w:topLinePunct w:val="0"/>
        <w:bidi w:val="0"/>
        <w:spacing w:line="283" w:lineRule="auto"/>
      </w:pPr>
    </w:p>
    <w:p w14:paraId="7664BFF1">
      <w:pPr>
        <w:pStyle w:val="6"/>
        <w:keepLines w:val="0"/>
        <w:pageBreakBefore w:val="0"/>
        <w:kinsoku/>
        <w:wordWrap/>
        <w:overflowPunct/>
        <w:topLinePunct w:val="0"/>
        <w:bidi w:val="0"/>
        <w:spacing w:line="283" w:lineRule="auto"/>
      </w:pPr>
    </w:p>
    <w:p w14:paraId="367FD597">
      <w:pPr>
        <w:pStyle w:val="6"/>
        <w:keepLines w:val="0"/>
        <w:pageBreakBefore w:val="0"/>
        <w:kinsoku/>
        <w:wordWrap/>
        <w:overflowPunct/>
        <w:topLinePunct w:val="0"/>
        <w:bidi w:val="0"/>
        <w:spacing w:line="283" w:lineRule="auto"/>
        <w:rPr>
          <w:sz w:val="24"/>
          <w:szCs w:val="24"/>
        </w:rPr>
      </w:pPr>
    </w:p>
    <w:p w14:paraId="09BDD8B9">
      <w:pPr>
        <w:keepLines w:val="0"/>
        <w:pageBreakBefore w:val="0"/>
        <w:kinsoku/>
        <w:wordWrap/>
        <w:overflowPunct/>
        <w:topLinePunct w:val="0"/>
        <w:bidi w:val="0"/>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63C5282">
      <w:pPr>
        <w:keepLines w:val="0"/>
        <w:pageBreakBefore w:val="0"/>
        <w:kinsoku/>
        <w:wordWrap/>
        <w:overflowPunct/>
        <w:topLinePunct w:val="0"/>
        <w:bidi w:val="0"/>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08FA52E">
      <w:pPr>
        <w:keepLines w:val="0"/>
        <w:pageBreakBefore w:val="0"/>
        <w:kinsoku/>
        <w:wordWrap/>
        <w:overflowPunct/>
        <w:topLinePunct w:val="0"/>
        <w:bidi w:val="0"/>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14:paraId="49A793DF">
      <w:pPr>
        <w:keepLines w:val="0"/>
        <w:pageBreakBefore w:val="0"/>
        <w:kinsoku/>
        <w:wordWrap/>
        <w:overflowPunct/>
        <w:topLinePunct w:val="0"/>
        <w:bidi w:val="0"/>
        <w:spacing w:line="231" w:lineRule="auto"/>
        <w:rPr>
          <w:rFonts w:ascii="仿宋" w:hAnsi="仿宋" w:eastAsia="仿宋" w:cs="仿宋"/>
          <w:sz w:val="20"/>
          <w:szCs w:val="20"/>
        </w:rPr>
        <w:sectPr>
          <w:pgSz w:w="11906" w:h="16839"/>
          <w:pgMar w:top="1440" w:right="1080" w:bottom="1440" w:left="1080" w:header="0" w:footer="1054" w:gutter="0"/>
          <w:pgNumType w:fmt="decimal"/>
          <w:cols w:space="720" w:num="1"/>
        </w:sectPr>
      </w:pPr>
    </w:p>
    <w:p w14:paraId="732440CB">
      <w:pPr>
        <w:pStyle w:val="6"/>
        <w:keepLines w:val="0"/>
        <w:pageBreakBefore w:val="0"/>
        <w:kinsoku/>
        <w:wordWrap/>
        <w:overflowPunct/>
        <w:topLinePunct w:val="0"/>
        <w:bidi w:val="0"/>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6</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14:paraId="0B695B5A">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6D1EBCF5">
      <w:pPr>
        <w:pStyle w:val="6"/>
        <w:keepLines w:val="0"/>
        <w:pageBreakBefore w:val="0"/>
        <w:kinsoku/>
        <w:wordWrap/>
        <w:overflowPunct/>
        <w:topLinePunct w:val="0"/>
        <w:bidi w:val="0"/>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 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项目的投标活动。代理人签署的投标文件和参加整个招标投标活动中所签署的一切文件和处理与之有关的一切事物，我均予以承认。</w:t>
      </w:r>
    </w:p>
    <w:p w14:paraId="27E2D7EB">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028B9121">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18B5D00C">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14705DCF">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1004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981" w:type="dxa"/>
            <w:vAlign w:val="center"/>
          </w:tcPr>
          <w:p w14:paraId="7904338E">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14:paraId="61077277">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0412B221">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0E7E444A">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14:paraId="572D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11B14992">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14:paraId="01321A19">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23F3671D">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10F44555">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14:paraId="45C129E6">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5B74B894">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名称(公章)：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558AD397">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 xml:space="preserve">法人（签字或盖章）：  </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686921A2">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155DB557">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417F756B">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5FBA314B">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14:paraId="302D2678">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5498335C">
      <w:pPr>
        <w:pStyle w:val="6"/>
        <w:keepLines w:val="0"/>
        <w:pageBreakBefore w:val="0"/>
        <w:kinsoku/>
        <w:wordWrap/>
        <w:overflowPunct/>
        <w:topLinePunct w:val="0"/>
        <w:bidi w:val="0"/>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注：若公司法人前来参加投标的</w:t>
      </w: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14:paraId="70416C17">
      <w:pPr>
        <w:keepLines w:val="0"/>
        <w:pageBreakBefore w:val="0"/>
        <w:kinsoku/>
        <w:wordWrap/>
        <w:overflowPunct/>
        <w:topLinePunct w:val="0"/>
        <w:bidi w:val="0"/>
        <w:spacing w:before="42" w:line="231" w:lineRule="auto"/>
        <w:outlineLvl w:val="2"/>
        <w:rPr>
          <w:rFonts w:ascii="仿宋" w:hAnsi="仿宋" w:eastAsia="仿宋" w:cs="仿宋"/>
          <w:b/>
          <w:bCs/>
          <w:spacing w:val="6"/>
          <w:sz w:val="20"/>
          <w:szCs w:val="20"/>
        </w:rPr>
      </w:pPr>
    </w:p>
    <w:p w14:paraId="3A959A6B">
      <w:pPr>
        <w:keepLines w:val="0"/>
        <w:pageBreakBefore w:val="0"/>
        <w:kinsoku/>
        <w:wordWrap/>
        <w:overflowPunct/>
        <w:topLinePunct w:val="0"/>
        <w:bidi w:val="0"/>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投标人</w:t>
      </w:r>
      <w:r>
        <w:rPr>
          <w:rFonts w:ascii="仿宋" w:hAnsi="仿宋" w:eastAsia="仿宋" w:cs="仿宋"/>
          <w:b/>
          <w:bCs/>
          <w:spacing w:val="6"/>
          <w:sz w:val="24"/>
          <w:szCs w:val="24"/>
        </w:rPr>
        <w:t>基本情况</w:t>
      </w:r>
    </w:p>
    <w:p w14:paraId="1A60EAD4">
      <w:pPr>
        <w:keepLines w:val="0"/>
        <w:pageBreakBefore w:val="0"/>
        <w:kinsoku/>
        <w:wordWrap/>
        <w:overflowPunct/>
        <w:topLinePunct w:val="0"/>
        <w:bidi w:val="0"/>
        <w:spacing w:line="89" w:lineRule="exact"/>
        <w:rPr>
          <w:sz w:val="24"/>
          <w:szCs w:val="24"/>
        </w:rPr>
      </w:pPr>
    </w:p>
    <w:tbl>
      <w:tblPr>
        <w:tblStyle w:val="42"/>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30714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095DBD77">
            <w:pPr>
              <w:pStyle w:val="41"/>
              <w:keepLines w:val="0"/>
              <w:pageBreakBefore w:val="0"/>
              <w:kinsoku/>
              <w:wordWrap/>
              <w:overflowPunct/>
              <w:topLinePunct w:val="0"/>
              <w:bidi w:val="0"/>
              <w:spacing w:before="150" w:line="229" w:lineRule="auto"/>
              <w:ind w:left="531"/>
              <w:rPr>
                <w:sz w:val="24"/>
                <w:szCs w:val="24"/>
              </w:rPr>
            </w:pPr>
            <w:r>
              <w:rPr>
                <w:rFonts w:hint="eastAsia"/>
                <w:b/>
                <w:bCs/>
                <w:spacing w:val="5"/>
                <w:sz w:val="24"/>
                <w:szCs w:val="24"/>
                <w:lang w:eastAsia="zh-CN"/>
              </w:rPr>
              <w:t>投标人</w:t>
            </w:r>
            <w:r>
              <w:rPr>
                <w:b/>
                <w:bCs/>
                <w:spacing w:val="5"/>
                <w:sz w:val="24"/>
                <w:szCs w:val="24"/>
              </w:rPr>
              <w:t>名称</w:t>
            </w:r>
          </w:p>
        </w:tc>
        <w:tc>
          <w:tcPr>
            <w:tcW w:w="6512" w:type="dxa"/>
            <w:gridSpan w:val="4"/>
            <w:vAlign w:val="top"/>
          </w:tcPr>
          <w:p w14:paraId="296F71EC">
            <w:pPr>
              <w:keepLines w:val="0"/>
              <w:pageBreakBefore w:val="0"/>
              <w:kinsoku/>
              <w:wordWrap/>
              <w:overflowPunct/>
              <w:topLinePunct w:val="0"/>
              <w:bidi w:val="0"/>
              <w:rPr>
                <w:rFonts w:ascii="Arial"/>
                <w:sz w:val="24"/>
                <w:szCs w:val="24"/>
              </w:rPr>
            </w:pPr>
          </w:p>
        </w:tc>
      </w:tr>
      <w:tr w14:paraId="65B96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0FAA7A4A">
            <w:pPr>
              <w:pStyle w:val="41"/>
              <w:keepLines w:val="0"/>
              <w:pageBreakBefore w:val="0"/>
              <w:kinsoku/>
              <w:wordWrap/>
              <w:overflowPunct/>
              <w:topLinePunct w:val="0"/>
              <w:bidi w:val="0"/>
              <w:spacing w:before="147" w:line="232" w:lineRule="auto"/>
              <w:ind w:left="643"/>
              <w:rPr>
                <w:sz w:val="24"/>
                <w:szCs w:val="24"/>
              </w:rPr>
            </w:pPr>
            <w:r>
              <w:rPr>
                <w:b/>
                <w:bCs/>
                <w:spacing w:val="3"/>
                <w:sz w:val="24"/>
                <w:szCs w:val="24"/>
              </w:rPr>
              <w:t>注册地址</w:t>
            </w:r>
          </w:p>
        </w:tc>
        <w:tc>
          <w:tcPr>
            <w:tcW w:w="6512" w:type="dxa"/>
            <w:gridSpan w:val="4"/>
            <w:vAlign w:val="top"/>
          </w:tcPr>
          <w:p w14:paraId="63DFB459">
            <w:pPr>
              <w:keepLines w:val="0"/>
              <w:pageBreakBefore w:val="0"/>
              <w:kinsoku/>
              <w:wordWrap/>
              <w:overflowPunct/>
              <w:topLinePunct w:val="0"/>
              <w:bidi w:val="0"/>
              <w:rPr>
                <w:rFonts w:ascii="Arial"/>
                <w:sz w:val="24"/>
                <w:szCs w:val="24"/>
              </w:rPr>
            </w:pPr>
          </w:p>
        </w:tc>
      </w:tr>
      <w:tr w14:paraId="06B8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1158A7C0">
            <w:pPr>
              <w:keepLines w:val="0"/>
              <w:pageBreakBefore w:val="0"/>
              <w:kinsoku/>
              <w:wordWrap/>
              <w:overflowPunct/>
              <w:topLinePunct w:val="0"/>
              <w:bidi w:val="0"/>
              <w:spacing w:line="332" w:lineRule="auto"/>
              <w:rPr>
                <w:rFonts w:ascii="Arial"/>
                <w:sz w:val="24"/>
                <w:szCs w:val="24"/>
              </w:rPr>
            </w:pPr>
          </w:p>
          <w:p w14:paraId="522B08B6">
            <w:pPr>
              <w:pStyle w:val="41"/>
              <w:keepLines w:val="0"/>
              <w:pageBreakBefore w:val="0"/>
              <w:kinsoku/>
              <w:wordWrap/>
              <w:overflowPunct/>
              <w:topLinePunct w:val="0"/>
              <w:bidi w:val="0"/>
              <w:spacing w:before="65" w:line="232" w:lineRule="auto"/>
              <w:ind w:left="635"/>
              <w:rPr>
                <w:sz w:val="24"/>
                <w:szCs w:val="24"/>
              </w:rPr>
            </w:pPr>
            <w:r>
              <w:rPr>
                <w:b/>
                <w:bCs/>
                <w:spacing w:val="5"/>
                <w:sz w:val="24"/>
                <w:szCs w:val="24"/>
              </w:rPr>
              <w:t>联系方式</w:t>
            </w:r>
          </w:p>
        </w:tc>
        <w:tc>
          <w:tcPr>
            <w:tcW w:w="1765" w:type="dxa"/>
            <w:vAlign w:val="top"/>
          </w:tcPr>
          <w:p w14:paraId="79A92921">
            <w:pPr>
              <w:pStyle w:val="41"/>
              <w:keepLines w:val="0"/>
              <w:pageBreakBefore w:val="0"/>
              <w:kinsoku/>
              <w:wordWrap/>
              <w:overflowPunct/>
              <w:topLinePunct w:val="0"/>
              <w:bidi w:val="0"/>
              <w:spacing w:before="146" w:line="233" w:lineRule="auto"/>
              <w:ind w:left="574"/>
              <w:rPr>
                <w:sz w:val="24"/>
                <w:szCs w:val="24"/>
              </w:rPr>
            </w:pPr>
            <w:r>
              <w:rPr>
                <w:b/>
                <w:bCs/>
                <w:spacing w:val="4"/>
                <w:sz w:val="24"/>
                <w:szCs w:val="24"/>
              </w:rPr>
              <w:t>联系人</w:t>
            </w:r>
          </w:p>
        </w:tc>
        <w:tc>
          <w:tcPr>
            <w:tcW w:w="1210" w:type="dxa"/>
            <w:vAlign w:val="top"/>
          </w:tcPr>
          <w:p w14:paraId="5931C233">
            <w:pPr>
              <w:keepLines w:val="0"/>
              <w:pageBreakBefore w:val="0"/>
              <w:kinsoku/>
              <w:wordWrap/>
              <w:overflowPunct/>
              <w:topLinePunct w:val="0"/>
              <w:bidi w:val="0"/>
              <w:rPr>
                <w:rFonts w:ascii="Arial"/>
                <w:sz w:val="24"/>
                <w:szCs w:val="24"/>
              </w:rPr>
            </w:pPr>
          </w:p>
        </w:tc>
        <w:tc>
          <w:tcPr>
            <w:tcW w:w="1766" w:type="dxa"/>
            <w:vAlign w:val="top"/>
          </w:tcPr>
          <w:p w14:paraId="5E94A358">
            <w:pPr>
              <w:pStyle w:val="41"/>
              <w:keepLines w:val="0"/>
              <w:pageBreakBefore w:val="0"/>
              <w:kinsoku/>
              <w:wordWrap/>
              <w:overflowPunct/>
              <w:topLinePunct w:val="0"/>
              <w:bidi w:val="0"/>
              <w:spacing w:before="145" w:line="232" w:lineRule="auto"/>
              <w:ind w:left="706"/>
              <w:rPr>
                <w:sz w:val="24"/>
                <w:szCs w:val="24"/>
              </w:rPr>
            </w:pPr>
            <w:r>
              <w:rPr>
                <w:b/>
                <w:bCs/>
                <w:spacing w:val="-11"/>
                <w:sz w:val="24"/>
                <w:szCs w:val="24"/>
              </w:rPr>
              <w:t>电话</w:t>
            </w:r>
          </w:p>
        </w:tc>
        <w:tc>
          <w:tcPr>
            <w:tcW w:w="1771" w:type="dxa"/>
            <w:vAlign w:val="top"/>
          </w:tcPr>
          <w:p w14:paraId="7A666296">
            <w:pPr>
              <w:keepLines w:val="0"/>
              <w:pageBreakBefore w:val="0"/>
              <w:kinsoku/>
              <w:wordWrap/>
              <w:overflowPunct/>
              <w:topLinePunct w:val="0"/>
              <w:bidi w:val="0"/>
              <w:rPr>
                <w:rFonts w:ascii="Arial"/>
                <w:sz w:val="24"/>
                <w:szCs w:val="24"/>
              </w:rPr>
            </w:pPr>
          </w:p>
        </w:tc>
      </w:tr>
      <w:tr w14:paraId="30A68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208F307A">
            <w:pPr>
              <w:keepLines w:val="0"/>
              <w:pageBreakBefore w:val="0"/>
              <w:kinsoku/>
              <w:wordWrap/>
              <w:overflowPunct/>
              <w:topLinePunct w:val="0"/>
              <w:bidi w:val="0"/>
              <w:rPr>
                <w:rFonts w:ascii="Arial"/>
                <w:sz w:val="24"/>
                <w:szCs w:val="24"/>
              </w:rPr>
            </w:pPr>
          </w:p>
        </w:tc>
        <w:tc>
          <w:tcPr>
            <w:tcW w:w="1765" w:type="dxa"/>
            <w:vAlign w:val="top"/>
          </w:tcPr>
          <w:p w14:paraId="52D86B55">
            <w:pPr>
              <w:pStyle w:val="41"/>
              <w:keepLines w:val="0"/>
              <w:pageBreakBefore w:val="0"/>
              <w:kinsoku/>
              <w:wordWrap/>
              <w:overflowPunct/>
              <w:topLinePunct w:val="0"/>
              <w:bidi w:val="0"/>
              <w:spacing w:before="144" w:line="232" w:lineRule="auto"/>
              <w:ind w:left="685"/>
              <w:rPr>
                <w:sz w:val="24"/>
                <w:szCs w:val="24"/>
              </w:rPr>
            </w:pPr>
            <w:r>
              <w:rPr>
                <w:b/>
                <w:bCs/>
                <w:spacing w:val="-1"/>
                <w:sz w:val="24"/>
                <w:szCs w:val="24"/>
              </w:rPr>
              <w:t>传真</w:t>
            </w:r>
          </w:p>
        </w:tc>
        <w:tc>
          <w:tcPr>
            <w:tcW w:w="1210" w:type="dxa"/>
            <w:vAlign w:val="top"/>
          </w:tcPr>
          <w:p w14:paraId="0F31285C">
            <w:pPr>
              <w:keepLines w:val="0"/>
              <w:pageBreakBefore w:val="0"/>
              <w:kinsoku/>
              <w:wordWrap/>
              <w:overflowPunct/>
              <w:topLinePunct w:val="0"/>
              <w:bidi w:val="0"/>
              <w:rPr>
                <w:rFonts w:ascii="Arial"/>
                <w:sz w:val="24"/>
                <w:szCs w:val="24"/>
              </w:rPr>
            </w:pPr>
          </w:p>
        </w:tc>
        <w:tc>
          <w:tcPr>
            <w:tcW w:w="1766" w:type="dxa"/>
            <w:vAlign w:val="top"/>
          </w:tcPr>
          <w:p w14:paraId="67A3427C">
            <w:pPr>
              <w:pStyle w:val="41"/>
              <w:keepLines w:val="0"/>
              <w:pageBreakBefore w:val="0"/>
              <w:kinsoku/>
              <w:wordWrap/>
              <w:overflowPunct/>
              <w:topLinePunct w:val="0"/>
              <w:bidi w:val="0"/>
              <w:spacing w:before="145" w:line="229" w:lineRule="auto"/>
              <w:ind w:left="497"/>
              <w:rPr>
                <w:sz w:val="24"/>
                <w:szCs w:val="24"/>
              </w:rPr>
            </w:pPr>
            <w:r>
              <w:rPr>
                <w:b/>
                <w:bCs/>
                <w:spacing w:val="-1"/>
                <w:sz w:val="24"/>
                <w:szCs w:val="24"/>
              </w:rPr>
              <w:t>电子邮箱</w:t>
            </w:r>
          </w:p>
        </w:tc>
        <w:tc>
          <w:tcPr>
            <w:tcW w:w="1771" w:type="dxa"/>
            <w:vAlign w:val="top"/>
          </w:tcPr>
          <w:p w14:paraId="0012A6A6">
            <w:pPr>
              <w:keepLines w:val="0"/>
              <w:pageBreakBefore w:val="0"/>
              <w:kinsoku/>
              <w:wordWrap/>
              <w:overflowPunct/>
              <w:topLinePunct w:val="0"/>
              <w:bidi w:val="0"/>
              <w:rPr>
                <w:rFonts w:ascii="Arial"/>
                <w:sz w:val="24"/>
                <w:szCs w:val="24"/>
              </w:rPr>
            </w:pPr>
          </w:p>
        </w:tc>
      </w:tr>
      <w:tr w14:paraId="4C64D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56B72CD4">
            <w:pPr>
              <w:pStyle w:val="41"/>
              <w:keepLines w:val="0"/>
              <w:pageBreakBefore w:val="0"/>
              <w:kinsoku/>
              <w:wordWrap/>
              <w:overflowPunct/>
              <w:topLinePunct w:val="0"/>
              <w:bidi w:val="0"/>
              <w:spacing w:before="126" w:line="274" w:lineRule="exact"/>
              <w:ind w:left="538"/>
              <w:rPr>
                <w:sz w:val="24"/>
                <w:szCs w:val="24"/>
              </w:rPr>
            </w:pPr>
            <w:r>
              <w:rPr>
                <w:b/>
                <w:bCs/>
                <w:spacing w:val="4"/>
                <w:position w:val="4"/>
                <w:sz w:val="24"/>
                <w:szCs w:val="24"/>
              </w:rPr>
              <w:t>法定代表人</w:t>
            </w:r>
          </w:p>
          <w:p w14:paraId="31408634">
            <w:pPr>
              <w:pStyle w:val="41"/>
              <w:keepLines w:val="0"/>
              <w:pageBreakBefore w:val="0"/>
              <w:kinsoku/>
              <w:wordWrap/>
              <w:overflowPunct/>
              <w:topLinePunct w:val="0"/>
              <w:bidi w:val="0"/>
              <w:spacing w:line="232" w:lineRule="auto"/>
              <w:ind w:left="431"/>
              <w:rPr>
                <w:sz w:val="24"/>
                <w:szCs w:val="24"/>
              </w:rPr>
            </w:pPr>
            <w:r>
              <w:rPr>
                <w:b/>
                <w:bCs/>
                <w:spacing w:val="3"/>
                <w:sz w:val="24"/>
                <w:szCs w:val="24"/>
              </w:rPr>
              <w:t>（或负责人）</w:t>
            </w:r>
          </w:p>
        </w:tc>
        <w:tc>
          <w:tcPr>
            <w:tcW w:w="1765" w:type="dxa"/>
            <w:vAlign w:val="top"/>
          </w:tcPr>
          <w:p w14:paraId="2FCDB478">
            <w:pPr>
              <w:pStyle w:val="41"/>
              <w:keepLines w:val="0"/>
              <w:pageBreakBefore w:val="0"/>
              <w:kinsoku/>
              <w:wordWrap/>
              <w:overflowPunct/>
              <w:topLinePunct w:val="0"/>
              <w:bidi w:val="0"/>
              <w:spacing w:before="263" w:line="233" w:lineRule="auto"/>
              <w:ind w:left="682"/>
              <w:rPr>
                <w:sz w:val="24"/>
                <w:szCs w:val="24"/>
              </w:rPr>
            </w:pPr>
            <w:r>
              <w:rPr>
                <w:b/>
                <w:bCs/>
                <w:spacing w:val="1"/>
                <w:sz w:val="24"/>
                <w:szCs w:val="24"/>
              </w:rPr>
              <w:t>姓名</w:t>
            </w:r>
          </w:p>
        </w:tc>
        <w:tc>
          <w:tcPr>
            <w:tcW w:w="1210" w:type="dxa"/>
            <w:vAlign w:val="top"/>
          </w:tcPr>
          <w:p w14:paraId="1B836940">
            <w:pPr>
              <w:keepLines w:val="0"/>
              <w:pageBreakBefore w:val="0"/>
              <w:kinsoku/>
              <w:wordWrap/>
              <w:overflowPunct/>
              <w:topLinePunct w:val="0"/>
              <w:bidi w:val="0"/>
              <w:rPr>
                <w:rFonts w:ascii="Arial"/>
                <w:sz w:val="24"/>
                <w:szCs w:val="24"/>
              </w:rPr>
            </w:pPr>
          </w:p>
        </w:tc>
        <w:tc>
          <w:tcPr>
            <w:tcW w:w="1766" w:type="dxa"/>
            <w:vAlign w:val="top"/>
          </w:tcPr>
          <w:p w14:paraId="1336ED58">
            <w:pPr>
              <w:pStyle w:val="41"/>
              <w:keepLines w:val="0"/>
              <w:pageBreakBefore w:val="0"/>
              <w:kinsoku/>
              <w:wordWrap/>
              <w:overflowPunct/>
              <w:topLinePunct w:val="0"/>
              <w:bidi w:val="0"/>
              <w:spacing w:before="263" w:line="232" w:lineRule="auto"/>
              <w:ind w:left="706"/>
              <w:rPr>
                <w:sz w:val="24"/>
                <w:szCs w:val="24"/>
              </w:rPr>
            </w:pPr>
            <w:r>
              <w:rPr>
                <w:b/>
                <w:bCs/>
                <w:spacing w:val="-11"/>
                <w:sz w:val="24"/>
                <w:szCs w:val="24"/>
              </w:rPr>
              <w:t>电话</w:t>
            </w:r>
          </w:p>
        </w:tc>
        <w:tc>
          <w:tcPr>
            <w:tcW w:w="1771" w:type="dxa"/>
            <w:vAlign w:val="top"/>
          </w:tcPr>
          <w:p w14:paraId="3CEC2FD3">
            <w:pPr>
              <w:keepLines w:val="0"/>
              <w:pageBreakBefore w:val="0"/>
              <w:kinsoku/>
              <w:wordWrap/>
              <w:overflowPunct/>
              <w:topLinePunct w:val="0"/>
              <w:bidi w:val="0"/>
              <w:rPr>
                <w:rFonts w:ascii="Arial"/>
                <w:sz w:val="24"/>
                <w:szCs w:val="24"/>
              </w:rPr>
            </w:pPr>
          </w:p>
        </w:tc>
      </w:tr>
      <w:tr w14:paraId="4F4D7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7371FC93">
            <w:pPr>
              <w:pStyle w:val="41"/>
              <w:keepLines w:val="0"/>
              <w:pageBreakBefore w:val="0"/>
              <w:kinsoku/>
              <w:wordWrap/>
              <w:overflowPunct/>
              <w:topLinePunct w:val="0"/>
              <w:bidi w:val="0"/>
              <w:spacing w:before="147" w:line="230" w:lineRule="auto"/>
              <w:ind w:left="219"/>
              <w:rPr>
                <w:sz w:val="24"/>
                <w:szCs w:val="24"/>
              </w:rPr>
            </w:pPr>
            <w:r>
              <w:rPr>
                <w:b/>
                <w:bCs/>
                <w:spacing w:val="6"/>
                <w:sz w:val="24"/>
                <w:szCs w:val="24"/>
              </w:rPr>
              <w:t>统一社会信用代码</w:t>
            </w:r>
          </w:p>
        </w:tc>
        <w:tc>
          <w:tcPr>
            <w:tcW w:w="2975" w:type="dxa"/>
            <w:gridSpan w:val="2"/>
            <w:vAlign w:val="top"/>
          </w:tcPr>
          <w:p w14:paraId="5D5572A3">
            <w:pPr>
              <w:keepLines w:val="0"/>
              <w:pageBreakBefore w:val="0"/>
              <w:kinsoku/>
              <w:wordWrap/>
              <w:overflowPunct/>
              <w:topLinePunct w:val="0"/>
              <w:bidi w:val="0"/>
              <w:rPr>
                <w:rFonts w:ascii="Arial"/>
                <w:sz w:val="24"/>
                <w:szCs w:val="24"/>
              </w:rPr>
            </w:pPr>
          </w:p>
        </w:tc>
        <w:tc>
          <w:tcPr>
            <w:tcW w:w="1766" w:type="dxa"/>
            <w:vAlign w:val="top"/>
          </w:tcPr>
          <w:p w14:paraId="4575DA74">
            <w:pPr>
              <w:pStyle w:val="41"/>
              <w:keepLines w:val="0"/>
              <w:pageBreakBefore w:val="0"/>
              <w:kinsoku/>
              <w:wordWrap/>
              <w:overflowPunct/>
              <w:topLinePunct w:val="0"/>
              <w:bidi w:val="0"/>
              <w:spacing w:before="146" w:line="232" w:lineRule="auto"/>
              <w:ind w:left="385"/>
              <w:rPr>
                <w:sz w:val="24"/>
                <w:szCs w:val="24"/>
              </w:rPr>
            </w:pPr>
            <w:r>
              <w:rPr>
                <w:b/>
                <w:bCs/>
                <w:spacing w:val="2"/>
                <w:sz w:val="24"/>
                <w:szCs w:val="24"/>
              </w:rPr>
              <w:t>员工总人数</w:t>
            </w:r>
          </w:p>
        </w:tc>
        <w:tc>
          <w:tcPr>
            <w:tcW w:w="1771" w:type="dxa"/>
            <w:vAlign w:val="top"/>
          </w:tcPr>
          <w:p w14:paraId="01341D77">
            <w:pPr>
              <w:keepLines w:val="0"/>
              <w:pageBreakBefore w:val="0"/>
              <w:kinsoku/>
              <w:wordWrap/>
              <w:overflowPunct/>
              <w:topLinePunct w:val="0"/>
              <w:bidi w:val="0"/>
              <w:rPr>
                <w:rFonts w:ascii="Arial"/>
                <w:sz w:val="24"/>
                <w:szCs w:val="24"/>
              </w:rPr>
            </w:pPr>
          </w:p>
        </w:tc>
      </w:tr>
      <w:tr w14:paraId="4DEE0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43B66E8F">
            <w:pPr>
              <w:pStyle w:val="41"/>
              <w:keepLines w:val="0"/>
              <w:pageBreakBefore w:val="0"/>
              <w:kinsoku/>
              <w:wordWrap/>
              <w:overflowPunct/>
              <w:topLinePunct w:val="0"/>
              <w:bidi w:val="0"/>
              <w:spacing w:before="146" w:line="233" w:lineRule="auto"/>
              <w:ind w:left="851"/>
              <w:jc w:val="center"/>
              <w:rPr>
                <w:sz w:val="24"/>
                <w:szCs w:val="24"/>
              </w:rPr>
            </w:pPr>
            <w:r>
              <w:rPr>
                <w:b/>
                <w:bCs/>
                <w:spacing w:val="-1"/>
                <w:sz w:val="24"/>
                <w:szCs w:val="24"/>
              </w:rPr>
              <w:t>类型</w:t>
            </w:r>
          </w:p>
        </w:tc>
        <w:tc>
          <w:tcPr>
            <w:tcW w:w="1765" w:type="dxa"/>
            <w:vAlign w:val="center"/>
          </w:tcPr>
          <w:p w14:paraId="6339D703">
            <w:pPr>
              <w:keepLines w:val="0"/>
              <w:pageBreakBefore w:val="0"/>
              <w:kinsoku/>
              <w:wordWrap/>
              <w:overflowPunct/>
              <w:topLinePunct w:val="0"/>
              <w:bidi w:val="0"/>
              <w:jc w:val="center"/>
              <w:rPr>
                <w:rFonts w:ascii="Arial"/>
                <w:sz w:val="24"/>
                <w:szCs w:val="24"/>
              </w:rPr>
            </w:pPr>
          </w:p>
        </w:tc>
        <w:tc>
          <w:tcPr>
            <w:tcW w:w="1210" w:type="dxa"/>
            <w:vMerge w:val="restart"/>
            <w:tcBorders>
              <w:bottom w:val="nil"/>
            </w:tcBorders>
            <w:vAlign w:val="center"/>
          </w:tcPr>
          <w:p w14:paraId="1A347192">
            <w:pPr>
              <w:keepLines w:val="0"/>
              <w:pageBreakBefore w:val="0"/>
              <w:kinsoku/>
              <w:wordWrap/>
              <w:overflowPunct/>
              <w:topLinePunct w:val="0"/>
              <w:bidi w:val="0"/>
              <w:spacing w:line="273" w:lineRule="auto"/>
              <w:jc w:val="center"/>
              <w:rPr>
                <w:rFonts w:ascii="Arial"/>
                <w:sz w:val="24"/>
                <w:szCs w:val="24"/>
              </w:rPr>
            </w:pPr>
          </w:p>
          <w:p w14:paraId="3AF95DBF">
            <w:pPr>
              <w:keepLines w:val="0"/>
              <w:pageBreakBefore w:val="0"/>
              <w:kinsoku/>
              <w:wordWrap/>
              <w:overflowPunct/>
              <w:topLinePunct w:val="0"/>
              <w:bidi w:val="0"/>
              <w:spacing w:line="273" w:lineRule="auto"/>
              <w:jc w:val="center"/>
              <w:rPr>
                <w:rFonts w:ascii="Arial"/>
                <w:sz w:val="24"/>
                <w:szCs w:val="24"/>
              </w:rPr>
            </w:pPr>
          </w:p>
          <w:p w14:paraId="42EDA100">
            <w:pPr>
              <w:keepLines w:val="0"/>
              <w:pageBreakBefore w:val="0"/>
              <w:kinsoku/>
              <w:wordWrap/>
              <w:overflowPunct/>
              <w:topLinePunct w:val="0"/>
              <w:bidi w:val="0"/>
              <w:spacing w:line="274" w:lineRule="auto"/>
              <w:jc w:val="center"/>
              <w:rPr>
                <w:rFonts w:ascii="Arial"/>
                <w:sz w:val="24"/>
                <w:szCs w:val="24"/>
              </w:rPr>
            </w:pPr>
          </w:p>
          <w:p w14:paraId="2AC56474">
            <w:pPr>
              <w:keepLines w:val="0"/>
              <w:pageBreakBefore w:val="0"/>
              <w:kinsoku/>
              <w:wordWrap/>
              <w:overflowPunct/>
              <w:topLinePunct w:val="0"/>
              <w:bidi w:val="0"/>
              <w:spacing w:line="274" w:lineRule="auto"/>
              <w:jc w:val="center"/>
              <w:rPr>
                <w:rFonts w:ascii="Arial"/>
                <w:sz w:val="24"/>
                <w:szCs w:val="24"/>
              </w:rPr>
            </w:pPr>
          </w:p>
          <w:p w14:paraId="0414AF30">
            <w:pPr>
              <w:pStyle w:val="41"/>
              <w:keepLines w:val="0"/>
              <w:pageBreakBefore w:val="0"/>
              <w:kinsoku/>
              <w:wordWrap/>
              <w:overflowPunct/>
              <w:topLinePunct w:val="0"/>
              <w:bidi w:val="0"/>
              <w:spacing w:before="65" w:line="231" w:lineRule="auto"/>
              <w:ind w:left="407"/>
              <w:jc w:val="center"/>
              <w:rPr>
                <w:sz w:val="24"/>
                <w:szCs w:val="24"/>
              </w:rPr>
            </w:pPr>
            <w:r>
              <w:rPr>
                <w:b/>
                <w:bCs/>
                <w:sz w:val="24"/>
                <w:szCs w:val="24"/>
              </w:rPr>
              <w:t>其中</w:t>
            </w:r>
          </w:p>
        </w:tc>
        <w:tc>
          <w:tcPr>
            <w:tcW w:w="1766" w:type="dxa"/>
            <w:vMerge w:val="restart"/>
            <w:tcBorders>
              <w:bottom w:val="nil"/>
            </w:tcBorders>
            <w:vAlign w:val="center"/>
          </w:tcPr>
          <w:p w14:paraId="6F3975C8">
            <w:pPr>
              <w:pStyle w:val="41"/>
              <w:keepLines w:val="0"/>
              <w:pageBreakBefore w:val="0"/>
              <w:kinsoku/>
              <w:wordWrap/>
              <w:overflowPunct/>
              <w:topLinePunct w:val="0"/>
              <w:bidi w:val="0"/>
              <w:spacing w:before="65"/>
              <w:ind w:left="792" w:right="143" w:hanging="635"/>
              <w:jc w:val="both"/>
              <w:rPr>
                <w:sz w:val="24"/>
                <w:szCs w:val="24"/>
              </w:rPr>
            </w:pPr>
            <w:r>
              <w:rPr>
                <w:b/>
                <w:bCs/>
                <w:spacing w:val="6"/>
                <w:sz w:val="24"/>
                <w:szCs w:val="24"/>
              </w:rPr>
              <w:t>基本账户户银</w:t>
            </w:r>
            <w:r>
              <w:rPr>
                <w:b/>
                <w:bCs/>
                <w:spacing w:val="-3"/>
                <w:sz w:val="24"/>
                <w:szCs w:val="24"/>
              </w:rPr>
              <w:t>行</w:t>
            </w:r>
          </w:p>
        </w:tc>
        <w:tc>
          <w:tcPr>
            <w:tcW w:w="1771" w:type="dxa"/>
            <w:vMerge w:val="restart"/>
            <w:tcBorders>
              <w:bottom w:val="nil"/>
            </w:tcBorders>
            <w:vAlign w:val="center"/>
          </w:tcPr>
          <w:p w14:paraId="61CC606B">
            <w:pPr>
              <w:keepLines w:val="0"/>
              <w:pageBreakBefore w:val="0"/>
              <w:kinsoku/>
              <w:wordWrap/>
              <w:overflowPunct/>
              <w:topLinePunct w:val="0"/>
              <w:bidi w:val="0"/>
              <w:jc w:val="center"/>
              <w:rPr>
                <w:rFonts w:ascii="Arial"/>
                <w:sz w:val="24"/>
                <w:szCs w:val="24"/>
              </w:rPr>
            </w:pPr>
          </w:p>
        </w:tc>
      </w:tr>
      <w:tr w14:paraId="6DC3D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397A278C">
            <w:pPr>
              <w:pStyle w:val="41"/>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注册资本</w:t>
            </w:r>
          </w:p>
        </w:tc>
        <w:tc>
          <w:tcPr>
            <w:tcW w:w="1765" w:type="dxa"/>
            <w:vAlign w:val="center"/>
          </w:tcPr>
          <w:p w14:paraId="563F140A">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5BB993AE">
            <w:pPr>
              <w:keepLines w:val="0"/>
              <w:pageBreakBefore w:val="0"/>
              <w:kinsoku/>
              <w:wordWrap/>
              <w:overflowPunct/>
              <w:topLinePunct w:val="0"/>
              <w:bidi w:val="0"/>
              <w:jc w:val="center"/>
              <w:rPr>
                <w:rFonts w:ascii="Arial"/>
                <w:sz w:val="24"/>
                <w:szCs w:val="24"/>
              </w:rPr>
            </w:pPr>
          </w:p>
        </w:tc>
        <w:tc>
          <w:tcPr>
            <w:tcW w:w="1766" w:type="dxa"/>
            <w:vMerge w:val="continue"/>
            <w:tcBorders>
              <w:top w:val="nil"/>
              <w:bottom w:val="nil"/>
            </w:tcBorders>
            <w:vAlign w:val="center"/>
          </w:tcPr>
          <w:p w14:paraId="044F2CB3">
            <w:pPr>
              <w:keepLines w:val="0"/>
              <w:pageBreakBefore w:val="0"/>
              <w:kinsoku/>
              <w:wordWrap/>
              <w:overflowPunct/>
              <w:topLinePunct w:val="0"/>
              <w:bidi w:val="0"/>
              <w:jc w:val="both"/>
              <w:rPr>
                <w:rFonts w:ascii="Arial"/>
                <w:sz w:val="24"/>
                <w:szCs w:val="24"/>
              </w:rPr>
            </w:pPr>
          </w:p>
        </w:tc>
        <w:tc>
          <w:tcPr>
            <w:tcW w:w="1771" w:type="dxa"/>
            <w:vMerge w:val="continue"/>
            <w:tcBorders>
              <w:top w:val="nil"/>
              <w:bottom w:val="nil"/>
            </w:tcBorders>
            <w:vAlign w:val="center"/>
          </w:tcPr>
          <w:p w14:paraId="19054C63">
            <w:pPr>
              <w:keepLines w:val="0"/>
              <w:pageBreakBefore w:val="0"/>
              <w:kinsoku/>
              <w:wordWrap/>
              <w:overflowPunct/>
              <w:topLinePunct w:val="0"/>
              <w:bidi w:val="0"/>
              <w:jc w:val="center"/>
              <w:rPr>
                <w:rFonts w:ascii="Arial"/>
                <w:sz w:val="24"/>
                <w:szCs w:val="24"/>
              </w:rPr>
            </w:pPr>
          </w:p>
        </w:tc>
      </w:tr>
      <w:tr w14:paraId="5C5B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097980DE">
            <w:pPr>
              <w:pStyle w:val="41"/>
              <w:keepLines w:val="0"/>
              <w:pageBreakBefore w:val="0"/>
              <w:kinsoku/>
              <w:wordWrap/>
              <w:overflowPunct/>
              <w:topLinePunct w:val="0"/>
              <w:bidi w:val="0"/>
              <w:spacing w:before="145" w:line="232" w:lineRule="auto"/>
              <w:ind w:left="641"/>
              <w:jc w:val="center"/>
              <w:rPr>
                <w:sz w:val="24"/>
                <w:szCs w:val="24"/>
              </w:rPr>
            </w:pPr>
            <w:r>
              <w:rPr>
                <w:b/>
                <w:bCs/>
                <w:spacing w:val="4"/>
                <w:sz w:val="24"/>
                <w:szCs w:val="24"/>
              </w:rPr>
              <w:t>成立日期</w:t>
            </w:r>
          </w:p>
        </w:tc>
        <w:tc>
          <w:tcPr>
            <w:tcW w:w="1765" w:type="dxa"/>
            <w:vAlign w:val="center"/>
          </w:tcPr>
          <w:p w14:paraId="124CC594">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7A504783">
            <w:pPr>
              <w:keepLines w:val="0"/>
              <w:pageBreakBefore w:val="0"/>
              <w:kinsoku/>
              <w:wordWrap/>
              <w:overflowPunct/>
              <w:topLinePunct w:val="0"/>
              <w:bidi w:val="0"/>
              <w:jc w:val="center"/>
              <w:rPr>
                <w:rFonts w:ascii="Arial"/>
                <w:sz w:val="24"/>
                <w:szCs w:val="24"/>
              </w:rPr>
            </w:pPr>
          </w:p>
        </w:tc>
        <w:tc>
          <w:tcPr>
            <w:tcW w:w="1766" w:type="dxa"/>
            <w:vMerge w:val="continue"/>
            <w:tcBorders>
              <w:top w:val="nil"/>
            </w:tcBorders>
            <w:vAlign w:val="center"/>
          </w:tcPr>
          <w:p w14:paraId="46218268">
            <w:pPr>
              <w:keepLines w:val="0"/>
              <w:pageBreakBefore w:val="0"/>
              <w:kinsoku/>
              <w:wordWrap/>
              <w:overflowPunct/>
              <w:topLinePunct w:val="0"/>
              <w:bidi w:val="0"/>
              <w:jc w:val="both"/>
              <w:rPr>
                <w:rFonts w:ascii="Arial"/>
                <w:sz w:val="24"/>
                <w:szCs w:val="24"/>
              </w:rPr>
            </w:pPr>
          </w:p>
        </w:tc>
        <w:tc>
          <w:tcPr>
            <w:tcW w:w="1771" w:type="dxa"/>
            <w:vMerge w:val="continue"/>
            <w:tcBorders>
              <w:top w:val="nil"/>
            </w:tcBorders>
            <w:vAlign w:val="center"/>
          </w:tcPr>
          <w:p w14:paraId="624083B3">
            <w:pPr>
              <w:keepLines w:val="0"/>
              <w:pageBreakBefore w:val="0"/>
              <w:kinsoku/>
              <w:wordWrap/>
              <w:overflowPunct/>
              <w:topLinePunct w:val="0"/>
              <w:bidi w:val="0"/>
              <w:jc w:val="center"/>
              <w:rPr>
                <w:rFonts w:ascii="Arial"/>
                <w:sz w:val="24"/>
                <w:szCs w:val="24"/>
              </w:rPr>
            </w:pPr>
          </w:p>
        </w:tc>
      </w:tr>
      <w:tr w14:paraId="085AB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center"/>
          </w:tcPr>
          <w:p w14:paraId="79868DA4">
            <w:pPr>
              <w:pStyle w:val="41"/>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营业期限</w:t>
            </w:r>
          </w:p>
        </w:tc>
        <w:tc>
          <w:tcPr>
            <w:tcW w:w="1765" w:type="dxa"/>
            <w:vAlign w:val="center"/>
          </w:tcPr>
          <w:p w14:paraId="728C220D">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541358D8">
            <w:pPr>
              <w:keepLines w:val="0"/>
              <w:pageBreakBefore w:val="0"/>
              <w:kinsoku/>
              <w:wordWrap/>
              <w:overflowPunct/>
              <w:topLinePunct w:val="0"/>
              <w:bidi w:val="0"/>
              <w:jc w:val="center"/>
              <w:rPr>
                <w:rFonts w:ascii="Arial"/>
                <w:sz w:val="24"/>
                <w:szCs w:val="24"/>
              </w:rPr>
            </w:pPr>
          </w:p>
        </w:tc>
        <w:tc>
          <w:tcPr>
            <w:tcW w:w="1766" w:type="dxa"/>
            <w:vMerge w:val="restart"/>
            <w:tcBorders>
              <w:bottom w:val="nil"/>
            </w:tcBorders>
            <w:vAlign w:val="center"/>
          </w:tcPr>
          <w:p w14:paraId="1B97AE4C">
            <w:pPr>
              <w:pStyle w:val="41"/>
              <w:keepLines w:val="0"/>
              <w:pageBreakBefore w:val="0"/>
              <w:kinsoku/>
              <w:wordWrap/>
              <w:overflowPunct/>
              <w:topLinePunct w:val="0"/>
              <w:bidi w:val="0"/>
              <w:spacing w:before="265" w:line="241" w:lineRule="auto"/>
              <w:ind w:left="795" w:right="143" w:hanging="638"/>
              <w:jc w:val="both"/>
              <w:rPr>
                <w:sz w:val="24"/>
                <w:szCs w:val="24"/>
              </w:rPr>
            </w:pPr>
            <w:r>
              <w:rPr>
                <w:b/>
                <w:bCs/>
                <w:spacing w:val="6"/>
                <w:sz w:val="24"/>
                <w:szCs w:val="24"/>
              </w:rPr>
              <w:t>基本账户银行账</w:t>
            </w:r>
            <w:r>
              <w:rPr>
                <w:b/>
                <w:bCs/>
                <w:spacing w:val="-3"/>
                <w:sz w:val="24"/>
                <w:szCs w:val="24"/>
              </w:rPr>
              <w:t>号</w:t>
            </w:r>
          </w:p>
        </w:tc>
        <w:tc>
          <w:tcPr>
            <w:tcW w:w="1771" w:type="dxa"/>
            <w:vMerge w:val="restart"/>
            <w:tcBorders>
              <w:bottom w:val="nil"/>
            </w:tcBorders>
            <w:vAlign w:val="center"/>
          </w:tcPr>
          <w:p w14:paraId="1B4EFE04">
            <w:pPr>
              <w:keepLines w:val="0"/>
              <w:pageBreakBefore w:val="0"/>
              <w:kinsoku/>
              <w:wordWrap/>
              <w:overflowPunct/>
              <w:topLinePunct w:val="0"/>
              <w:bidi w:val="0"/>
              <w:jc w:val="center"/>
              <w:rPr>
                <w:rFonts w:ascii="Arial"/>
                <w:sz w:val="24"/>
                <w:szCs w:val="24"/>
              </w:rPr>
            </w:pPr>
          </w:p>
        </w:tc>
      </w:tr>
      <w:tr w14:paraId="29704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03D8901">
            <w:pPr>
              <w:pStyle w:val="41"/>
              <w:keepLines w:val="0"/>
              <w:pageBreakBefore w:val="0"/>
              <w:kinsoku/>
              <w:wordWrap/>
              <w:overflowPunct/>
              <w:topLinePunct w:val="0"/>
              <w:bidi w:val="0"/>
              <w:spacing w:before="147" w:line="231" w:lineRule="auto"/>
              <w:ind w:left="641"/>
              <w:rPr>
                <w:sz w:val="24"/>
                <w:szCs w:val="24"/>
              </w:rPr>
            </w:pPr>
            <w:r>
              <w:rPr>
                <w:b/>
                <w:bCs/>
                <w:spacing w:val="4"/>
                <w:sz w:val="24"/>
                <w:szCs w:val="24"/>
              </w:rPr>
              <w:t>登记机关</w:t>
            </w:r>
          </w:p>
        </w:tc>
        <w:tc>
          <w:tcPr>
            <w:tcW w:w="1765" w:type="dxa"/>
            <w:vAlign w:val="top"/>
          </w:tcPr>
          <w:p w14:paraId="339CB7FE">
            <w:pPr>
              <w:keepLines w:val="0"/>
              <w:pageBreakBefore w:val="0"/>
              <w:kinsoku/>
              <w:wordWrap/>
              <w:overflowPunct/>
              <w:topLinePunct w:val="0"/>
              <w:bidi w:val="0"/>
              <w:rPr>
                <w:rFonts w:ascii="Arial"/>
                <w:sz w:val="24"/>
                <w:szCs w:val="24"/>
              </w:rPr>
            </w:pPr>
          </w:p>
        </w:tc>
        <w:tc>
          <w:tcPr>
            <w:tcW w:w="1210" w:type="dxa"/>
            <w:vMerge w:val="continue"/>
            <w:tcBorders>
              <w:top w:val="nil"/>
            </w:tcBorders>
            <w:vAlign w:val="top"/>
          </w:tcPr>
          <w:p w14:paraId="7AF299AE">
            <w:pPr>
              <w:keepLines w:val="0"/>
              <w:pageBreakBefore w:val="0"/>
              <w:kinsoku/>
              <w:wordWrap/>
              <w:overflowPunct/>
              <w:topLinePunct w:val="0"/>
              <w:bidi w:val="0"/>
              <w:rPr>
                <w:rFonts w:ascii="Arial"/>
                <w:sz w:val="24"/>
                <w:szCs w:val="24"/>
              </w:rPr>
            </w:pPr>
          </w:p>
        </w:tc>
        <w:tc>
          <w:tcPr>
            <w:tcW w:w="1766" w:type="dxa"/>
            <w:vMerge w:val="continue"/>
            <w:tcBorders>
              <w:top w:val="nil"/>
            </w:tcBorders>
            <w:vAlign w:val="top"/>
          </w:tcPr>
          <w:p w14:paraId="241D1B47">
            <w:pPr>
              <w:keepLines w:val="0"/>
              <w:pageBreakBefore w:val="0"/>
              <w:kinsoku/>
              <w:wordWrap/>
              <w:overflowPunct/>
              <w:topLinePunct w:val="0"/>
              <w:bidi w:val="0"/>
              <w:rPr>
                <w:rFonts w:ascii="Arial"/>
                <w:sz w:val="24"/>
                <w:szCs w:val="24"/>
              </w:rPr>
            </w:pPr>
          </w:p>
        </w:tc>
        <w:tc>
          <w:tcPr>
            <w:tcW w:w="1771" w:type="dxa"/>
            <w:vMerge w:val="continue"/>
            <w:tcBorders>
              <w:top w:val="nil"/>
            </w:tcBorders>
            <w:vAlign w:val="top"/>
          </w:tcPr>
          <w:p w14:paraId="08CE3452">
            <w:pPr>
              <w:keepLines w:val="0"/>
              <w:pageBreakBefore w:val="0"/>
              <w:kinsoku/>
              <w:wordWrap/>
              <w:overflowPunct/>
              <w:topLinePunct w:val="0"/>
              <w:bidi w:val="0"/>
              <w:rPr>
                <w:rFonts w:ascii="Arial"/>
                <w:sz w:val="24"/>
                <w:szCs w:val="24"/>
              </w:rPr>
            </w:pPr>
          </w:p>
        </w:tc>
      </w:tr>
      <w:tr w14:paraId="4ACF6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70199367">
            <w:pPr>
              <w:keepLines w:val="0"/>
              <w:pageBreakBefore w:val="0"/>
              <w:kinsoku/>
              <w:wordWrap/>
              <w:overflowPunct/>
              <w:topLinePunct w:val="0"/>
              <w:bidi w:val="0"/>
              <w:spacing w:line="252" w:lineRule="auto"/>
              <w:rPr>
                <w:rFonts w:ascii="Arial"/>
                <w:sz w:val="24"/>
                <w:szCs w:val="24"/>
              </w:rPr>
            </w:pPr>
          </w:p>
          <w:p w14:paraId="19AB91F8">
            <w:pPr>
              <w:keepLines w:val="0"/>
              <w:pageBreakBefore w:val="0"/>
              <w:kinsoku/>
              <w:wordWrap/>
              <w:overflowPunct/>
              <w:topLinePunct w:val="0"/>
              <w:bidi w:val="0"/>
              <w:spacing w:line="252" w:lineRule="auto"/>
              <w:rPr>
                <w:rFonts w:ascii="Arial"/>
                <w:sz w:val="24"/>
                <w:szCs w:val="24"/>
              </w:rPr>
            </w:pPr>
          </w:p>
          <w:p w14:paraId="5C277C2E">
            <w:pPr>
              <w:keepLines w:val="0"/>
              <w:pageBreakBefore w:val="0"/>
              <w:kinsoku/>
              <w:wordWrap/>
              <w:overflowPunct/>
              <w:topLinePunct w:val="0"/>
              <w:bidi w:val="0"/>
              <w:spacing w:line="252" w:lineRule="auto"/>
              <w:rPr>
                <w:rFonts w:ascii="Arial"/>
                <w:sz w:val="24"/>
                <w:szCs w:val="24"/>
              </w:rPr>
            </w:pPr>
          </w:p>
          <w:p w14:paraId="0FF90516">
            <w:pPr>
              <w:keepLines w:val="0"/>
              <w:pageBreakBefore w:val="0"/>
              <w:kinsoku/>
              <w:wordWrap/>
              <w:overflowPunct/>
              <w:topLinePunct w:val="0"/>
              <w:bidi w:val="0"/>
              <w:spacing w:line="252" w:lineRule="auto"/>
              <w:rPr>
                <w:rFonts w:ascii="Arial"/>
                <w:sz w:val="24"/>
                <w:szCs w:val="24"/>
              </w:rPr>
            </w:pPr>
          </w:p>
          <w:p w14:paraId="7FD25708">
            <w:pPr>
              <w:keepLines w:val="0"/>
              <w:pageBreakBefore w:val="0"/>
              <w:kinsoku/>
              <w:wordWrap/>
              <w:overflowPunct/>
              <w:topLinePunct w:val="0"/>
              <w:bidi w:val="0"/>
              <w:spacing w:line="252" w:lineRule="auto"/>
              <w:rPr>
                <w:rFonts w:ascii="Arial"/>
                <w:sz w:val="24"/>
                <w:szCs w:val="24"/>
              </w:rPr>
            </w:pPr>
          </w:p>
          <w:p w14:paraId="7AF73327">
            <w:pPr>
              <w:keepLines w:val="0"/>
              <w:pageBreakBefore w:val="0"/>
              <w:kinsoku/>
              <w:wordWrap/>
              <w:overflowPunct/>
              <w:topLinePunct w:val="0"/>
              <w:bidi w:val="0"/>
              <w:spacing w:line="252" w:lineRule="auto"/>
              <w:rPr>
                <w:rFonts w:ascii="Arial"/>
                <w:sz w:val="24"/>
                <w:szCs w:val="24"/>
              </w:rPr>
            </w:pPr>
          </w:p>
          <w:p w14:paraId="1D145CB2">
            <w:pPr>
              <w:keepLines w:val="0"/>
              <w:pageBreakBefore w:val="0"/>
              <w:kinsoku/>
              <w:wordWrap/>
              <w:overflowPunct/>
              <w:topLinePunct w:val="0"/>
              <w:bidi w:val="0"/>
              <w:spacing w:line="252" w:lineRule="auto"/>
              <w:rPr>
                <w:rFonts w:ascii="Arial"/>
                <w:sz w:val="24"/>
                <w:szCs w:val="24"/>
              </w:rPr>
            </w:pPr>
          </w:p>
          <w:p w14:paraId="2B718AAF">
            <w:pPr>
              <w:keepLines w:val="0"/>
              <w:pageBreakBefore w:val="0"/>
              <w:kinsoku/>
              <w:wordWrap/>
              <w:overflowPunct/>
              <w:topLinePunct w:val="0"/>
              <w:bidi w:val="0"/>
              <w:spacing w:line="252" w:lineRule="auto"/>
              <w:rPr>
                <w:rFonts w:ascii="Arial"/>
                <w:sz w:val="24"/>
                <w:szCs w:val="24"/>
              </w:rPr>
            </w:pPr>
          </w:p>
          <w:p w14:paraId="0DEE2E03">
            <w:pPr>
              <w:keepLines w:val="0"/>
              <w:pageBreakBefore w:val="0"/>
              <w:kinsoku/>
              <w:wordWrap/>
              <w:overflowPunct/>
              <w:topLinePunct w:val="0"/>
              <w:bidi w:val="0"/>
              <w:spacing w:line="253" w:lineRule="auto"/>
              <w:rPr>
                <w:rFonts w:ascii="Arial"/>
                <w:sz w:val="24"/>
                <w:szCs w:val="24"/>
              </w:rPr>
            </w:pPr>
          </w:p>
          <w:p w14:paraId="4CCA81B2">
            <w:pPr>
              <w:pStyle w:val="41"/>
              <w:keepLines w:val="0"/>
              <w:pageBreakBefore w:val="0"/>
              <w:kinsoku/>
              <w:wordWrap/>
              <w:overflowPunct/>
              <w:topLinePunct w:val="0"/>
              <w:bidi w:val="0"/>
              <w:spacing w:before="65" w:line="232" w:lineRule="auto"/>
              <w:ind w:left="637"/>
              <w:rPr>
                <w:sz w:val="24"/>
                <w:szCs w:val="24"/>
              </w:rPr>
            </w:pPr>
            <w:r>
              <w:rPr>
                <w:b/>
                <w:bCs/>
                <w:spacing w:val="5"/>
                <w:sz w:val="24"/>
                <w:szCs w:val="24"/>
              </w:rPr>
              <w:t>经营范围</w:t>
            </w:r>
          </w:p>
        </w:tc>
        <w:tc>
          <w:tcPr>
            <w:tcW w:w="6512" w:type="dxa"/>
            <w:gridSpan w:val="4"/>
            <w:vAlign w:val="top"/>
          </w:tcPr>
          <w:p w14:paraId="6DA73ED9">
            <w:pPr>
              <w:keepLines w:val="0"/>
              <w:pageBreakBefore w:val="0"/>
              <w:kinsoku/>
              <w:wordWrap/>
              <w:overflowPunct/>
              <w:topLinePunct w:val="0"/>
              <w:bidi w:val="0"/>
              <w:rPr>
                <w:rFonts w:ascii="Arial"/>
                <w:sz w:val="24"/>
                <w:szCs w:val="24"/>
              </w:rPr>
            </w:pPr>
          </w:p>
        </w:tc>
      </w:tr>
    </w:tbl>
    <w:p w14:paraId="54501F83">
      <w:pPr>
        <w:keepLines w:val="0"/>
        <w:pageBreakBefore w:val="0"/>
        <w:kinsoku/>
        <w:wordWrap/>
        <w:overflowPunct/>
        <w:topLinePunct w:val="0"/>
        <w:bidi w:val="0"/>
        <w:spacing w:before="188" w:line="229" w:lineRule="auto"/>
        <w:jc w:val="righ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w:t>
      </w:r>
    </w:p>
    <w:p w14:paraId="2B740180">
      <w:pPr>
        <w:keepLines w:val="0"/>
        <w:pageBreakBefore w:val="0"/>
        <w:kinsoku/>
        <w:wordWrap/>
        <w:overflowPunct/>
        <w:topLinePunct w:val="0"/>
        <w:bidi w:val="0"/>
        <w:spacing w:before="188" w:line="229" w:lineRule="auto"/>
        <w:jc w:val="righ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投标人</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14:paraId="58E3934B">
      <w:pPr>
        <w:pStyle w:val="6"/>
        <w:keepLines w:val="0"/>
        <w:pageBreakBefore w:val="0"/>
        <w:kinsoku/>
        <w:wordWrap/>
        <w:overflowPunct/>
        <w:topLinePunct w:val="0"/>
        <w:bidi w:val="0"/>
        <w:spacing w:line="262" w:lineRule="auto"/>
      </w:pPr>
    </w:p>
    <w:p w14:paraId="384BB25C">
      <w:pPr>
        <w:pStyle w:val="6"/>
        <w:keepLines w:val="0"/>
        <w:pageBreakBefore w:val="0"/>
        <w:kinsoku/>
        <w:wordWrap/>
        <w:overflowPunct/>
        <w:topLinePunct w:val="0"/>
        <w:bidi w:val="0"/>
        <w:spacing w:line="263" w:lineRule="auto"/>
        <w:ind w:left="0" w:leftChars="0" w:firstLine="0" w:firstLineChars="0"/>
      </w:pPr>
    </w:p>
    <w:p w14:paraId="48B6DA49">
      <w:pPr>
        <w:pStyle w:val="6"/>
        <w:keepLines w:val="0"/>
        <w:pageBreakBefore w:val="0"/>
        <w:kinsoku/>
        <w:wordWrap/>
        <w:overflowPunct/>
        <w:topLinePunct w:val="0"/>
        <w:bidi w:val="0"/>
        <w:spacing w:line="263" w:lineRule="auto"/>
      </w:pPr>
    </w:p>
    <w:p w14:paraId="70AAF0E9">
      <w:pPr>
        <w:keepLines w:val="0"/>
        <w:pageBreakBefore w:val="0"/>
        <w:kinsoku/>
        <w:wordWrap/>
        <w:overflowPunct/>
        <w:topLinePunct w:val="0"/>
        <w:bidi w:val="0"/>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8</w:t>
      </w:r>
      <w:r>
        <w:rPr>
          <w:rFonts w:ascii="仿宋" w:hAnsi="仿宋" w:eastAsia="仿宋" w:cs="仿宋"/>
          <w:b/>
          <w:bCs/>
          <w:spacing w:val="6"/>
          <w:sz w:val="24"/>
          <w:szCs w:val="24"/>
        </w:rPr>
        <w:t>.近三年无重大违法记录声明</w:t>
      </w:r>
    </w:p>
    <w:p w14:paraId="67C34905">
      <w:pPr>
        <w:pStyle w:val="6"/>
        <w:keepLines w:val="0"/>
        <w:pageBreakBefore w:val="0"/>
        <w:kinsoku/>
        <w:wordWrap/>
        <w:overflowPunct/>
        <w:topLinePunct w:val="0"/>
        <w:bidi w:val="0"/>
        <w:spacing w:line="295" w:lineRule="auto"/>
        <w:rPr>
          <w:sz w:val="24"/>
          <w:szCs w:val="24"/>
        </w:rPr>
      </w:pPr>
    </w:p>
    <w:p w14:paraId="6AF87071">
      <w:pPr>
        <w:pStyle w:val="6"/>
        <w:keepLines w:val="0"/>
        <w:pageBreakBefore w:val="0"/>
        <w:kinsoku/>
        <w:wordWrap/>
        <w:overflowPunct/>
        <w:topLinePunct w:val="0"/>
        <w:bidi w:val="0"/>
        <w:spacing w:line="295" w:lineRule="auto"/>
        <w:rPr>
          <w:sz w:val="24"/>
          <w:szCs w:val="24"/>
        </w:rPr>
      </w:pPr>
    </w:p>
    <w:p w14:paraId="2E964988">
      <w:pPr>
        <w:keepLines w:val="0"/>
        <w:pageBreakBefore w:val="0"/>
        <w:kinsoku/>
        <w:wordWrap/>
        <w:overflowPunct/>
        <w:topLinePunct w:val="0"/>
        <w:bidi w:val="0"/>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7B41BD9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14:paraId="051FEE1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14:paraId="0C6FE81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二、在本次政府采购活动前三年内，我公司在信用中国、中国政府采购网平台及国家企业信用查询系统中，无任何重大违法记录。</w:t>
      </w:r>
    </w:p>
    <w:p w14:paraId="0C6799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14:paraId="3988D92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14:paraId="6FDA6973">
      <w:pPr>
        <w:pStyle w:val="6"/>
        <w:keepLines w:val="0"/>
        <w:pageBreakBefore w:val="0"/>
        <w:kinsoku/>
        <w:wordWrap/>
        <w:overflowPunct/>
        <w:topLinePunct w:val="0"/>
        <w:bidi w:val="0"/>
        <w:spacing w:line="284" w:lineRule="auto"/>
        <w:rPr>
          <w:sz w:val="24"/>
          <w:szCs w:val="24"/>
        </w:rPr>
      </w:pPr>
    </w:p>
    <w:p w14:paraId="55ED29A5">
      <w:pPr>
        <w:pStyle w:val="6"/>
        <w:keepLines w:val="0"/>
        <w:pageBreakBefore w:val="0"/>
        <w:kinsoku/>
        <w:wordWrap/>
        <w:overflowPunct/>
        <w:topLinePunct w:val="0"/>
        <w:bidi w:val="0"/>
        <w:spacing w:line="285" w:lineRule="auto"/>
        <w:rPr>
          <w:sz w:val="24"/>
          <w:szCs w:val="24"/>
        </w:rPr>
      </w:pPr>
    </w:p>
    <w:p w14:paraId="1FF7F7FD">
      <w:pPr>
        <w:pStyle w:val="6"/>
        <w:keepLines w:val="0"/>
        <w:pageBreakBefore w:val="0"/>
        <w:kinsoku/>
        <w:wordWrap/>
        <w:overflowPunct/>
        <w:topLinePunct w:val="0"/>
        <w:bidi w:val="0"/>
        <w:spacing w:line="285" w:lineRule="auto"/>
        <w:rPr>
          <w:sz w:val="24"/>
          <w:szCs w:val="24"/>
        </w:rPr>
      </w:pPr>
    </w:p>
    <w:p w14:paraId="60AB50F5">
      <w:pPr>
        <w:pStyle w:val="6"/>
        <w:keepLines w:val="0"/>
        <w:pageBreakBefore w:val="0"/>
        <w:kinsoku/>
        <w:wordWrap/>
        <w:overflowPunct/>
        <w:topLinePunct w:val="0"/>
        <w:bidi w:val="0"/>
        <w:spacing w:line="285" w:lineRule="auto"/>
        <w:rPr>
          <w:sz w:val="24"/>
          <w:szCs w:val="24"/>
        </w:rPr>
      </w:pPr>
    </w:p>
    <w:p w14:paraId="5EAA8E50">
      <w:pPr>
        <w:keepLines w:val="0"/>
        <w:pageBreakBefore w:val="0"/>
        <w:kinsoku/>
        <w:wordWrap/>
        <w:overflowPunct/>
        <w:topLinePunct w:val="0"/>
        <w:bidi w:val="0"/>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03C6B61F">
      <w:pPr>
        <w:keepLines w:val="0"/>
        <w:pageBreakBefore w:val="0"/>
        <w:kinsoku/>
        <w:wordWrap/>
        <w:overflowPunct/>
        <w:topLinePunct w:val="0"/>
        <w:bidi w:val="0"/>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0D80F923">
      <w:pPr>
        <w:pStyle w:val="6"/>
        <w:keepLines w:val="0"/>
        <w:pageBreakBefore w:val="0"/>
        <w:kinsoku/>
        <w:wordWrap/>
        <w:overflowPunct/>
        <w:topLinePunct w:val="0"/>
        <w:bidi w:val="0"/>
        <w:spacing w:line="464" w:lineRule="auto"/>
        <w:rPr>
          <w:sz w:val="24"/>
          <w:szCs w:val="24"/>
        </w:rPr>
      </w:pPr>
    </w:p>
    <w:p w14:paraId="1EC48406">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17422CAC">
      <w:pPr>
        <w:keepLines w:val="0"/>
        <w:pageBreakBefore w:val="0"/>
        <w:kinsoku/>
        <w:wordWrap/>
        <w:overflowPunct/>
        <w:topLinePunct w:val="0"/>
        <w:bidi w:val="0"/>
        <w:spacing w:line="231" w:lineRule="auto"/>
        <w:rPr>
          <w:rFonts w:ascii="仿宋" w:hAnsi="仿宋" w:eastAsia="仿宋" w:cs="仿宋"/>
          <w:sz w:val="24"/>
          <w:szCs w:val="24"/>
        </w:rPr>
        <w:sectPr>
          <w:footerReference r:id="rId8" w:type="default"/>
          <w:pgSz w:w="11906" w:h="16839"/>
          <w:pgMar w:top="1440" w:right="1080" w:bottom="1440" w:left="1080" w:header="0" w:footer="1054" w:gutter="0"/>
          <w:pgNumType w:fmt="decimal"/>
          <w:cols w:space="720" w:num="1"/>
        </w:sectPr>
      </w:pPr>
    </w:p>
    <w:p w14:paraId="58E2AB98">
      <w:pPr>
        <w:keepLines w:val="0"/>
        <w:pageBreakBefore w:val="0"/>
        <w:kinsoku/>
        <w:wordWrap/>
        <w:overflowPunct/>
        <w:topLinePunct w:val="0"/>
        <w:bidi w:val="0"/>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9</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0DF3C01A">
      <w:pPr>
        <w:keepLines w:val="0"/>
        <w:pageBreakBefore w:val="0"/>
        <w:kinsoku/>
        <w:wordWrap/>
        <w:overflowPunct/>
        <w:topLinePunct w:val="0"/>
        <w:bidi w:val="0"/>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B6E5B59">
      <w:pPr>
        <w:pStyle w:val="6"/>
        <w:keepLines w:val="0"/>
        <w:pageBreakBefore w:val="0"/>
        <w:kinsoku/>
        <w:wordWrap/>
        <w:overflowPunct/>
        <w:topLinePunct w:val="0"/>
        <w:bidi w:val="0"/>
        <w:spacing w:line="257" w:lineRule="auto"/>
      </w:pPr>
    </w:p>
    <w:p w14:paraId="3CCFCE28">
      <w:pPr>
        <w:pStyle w:val="6"/>
        <w:keepLines w:val="0"/>
        <w:pageBreakBefore w:val="0"/>
        <w:kinsoku/>
        <w:wordWrap/>
        <w:overflowPunct/>
        <w:topLinePunct w:val="0"/>
        <w:bidi w:val="0"/>
        <w:spacing w:line="257" w:lineRule="auto"/>
      </w:pPr>
    </w:p>
    <w:p w14:paraId="154D476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项目(项目编号：    )</w:t>
      </w:r>
      <w:r>
        <w:rPr>
          <w:rFonts w:ascii="仿宋" w:hAnsi="仿宋" w:eastAsia="仿宋" w:cs="仿宋"/>
          <w:spacing w:val="7"/>
          <w:sz w:val="24"/>
          <w:szCs w:val="24"/>
        </w:rPr>
        <w:t>的招标文件，在完全理解本项目 招标的技术要求、商务条款及其他内容后，决定参与该项目的投标活动。并承诺，我公司具有履行合同所必须的设备和专业技术能力。如我方中标，我公司将提供足够的设备和专业技术能力保证本合同履行。</w:t>
      </w:r>
    </w:p>
    <w:p w14:paraId="6600D87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14:paraId="2F37CBED">
      <w:pPr>
        <w:pStyle w:val="6"/>
        <w:keepLines w:val="0"/>
        <w:pageBreakBefore w:val="0"/>
        <w:kinsoku/>
        <w:wordWrap/>
        <w:overflowPunct/>
        <w:topLinePunct w:val="0"/>
        <w:bidi w:val="0"/>
        <w:spacing w:line="259" w:lineRule="auto"/>
        <w:rPr>
          <w:sz w:val="24"/>
          <w:szCs w:val="24"/>
        </w:rPr>
      </w:pPr>
    </w:p>
    <w:p w14:paraId="3552FD77">
      <w:pPr>
        <w:pStyle w:val="6"/>
        <w:keepLines w:val="0"/>
        <w:pageBreakBefore w:val="0"/>
        <w:kinsoku/>
        <w:wordWrap/>
        <w:overflowPunct/>
        <w:topLinePunct w:val="0"/>
        <w:bidi w:val="0"/>
        <w:spacing w:line="260" w:lineRule="auto"/>
        <w:rPr>
          <w:sz w:val="24"/>
          <w:szCs w:val="24"/>
        </w:rPr>
      </w:pPr>
    </w:p>
    <w:p w14:paraId="38D679D4">
      <w:pPr>
        <w:keepLines w:val="0"/>
        <w:pageBreakBefore w:val="0"/>
        <w:kinsoku/>
        <w:wordWrap/>
        <w:overflowPunct/>
        <w:topLinePunct w:val="0"/>
        <w:bidi w:val="0"/>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3FA50D7">
      <w:pPr>
        <w:keepLines w:val="0"/>
        <w:pageBreakBefore w:val="0"/>
        <w:kinsoku/>
        <w:wordWrap/>
        <w:overflowPunct/>
        <w:topLinePunct w:val="0"/>
        <w:bidi w:val="0"/>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E458D43">
      <w:pPr>
        <w:pStyle w:val="6"/>
        <w:keepLines w:val="0"/>
        <w:pageBreakBefore w:val="0"/>
        <w:kinsoku/>
        <w:wordWrap/>
        <w:overflowPunct/>
        <w:topLinePunct w:val="0"/>
        <w:bidi w:val="0"/>
        <w:spacing w:line="464" w:lineRule="auto"/>
        <w:rPr>
          <w:sz w:val="24"/>
          <w:szCs w:val="24"/>
        </w:rPr>
      </w:pPr>
    </w:p>
    <w:p w14:paraId="2C7B1234">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34AA5442">
      <w:pPr>
        <w:keepLines w:val="0"/>
        <w:pageBreakBefore w:val="0"/>
        <w:kinsoku/>
        <w:wordWrap/>
        <w:overflowPunct/>
        <w:topLinePunct w:val="0"/>
        <w:bidi w:val="0"/>
        <w:spacing w:line="231" w:lineRule="auto"/>
        <w:rPr>
          <w:rFonts w:ascii="仿宋" w:hAnsi="仿宋" w:eastAsia="仿宋" w:cs="仿宋"/>
          <w:sz w:val="20"/>
          <w:szCs w:val="20"/>
        </w:rPr>
        <w:sectPr>
          <w:footerReference r:id="rId9" w:type="default"/>
          <w:pgSz w:w="11906" w:h="16839"/>
          <w:pgMar w:top="1440" w:right="1080" w:bottom="1440" w:left="1080" w:header="0" w:footer="1054" w:gutter="0"/>
          <w:pgNumType w:fmt="decimal"/>
          <w:cols w:space="720" w:num="1"/>
        </w:sectPr>
      </w:pPr>
    </w:p>
    <w:p w14:paraId="3E9CBD92">
      <w:pPr>
        <w:pStyle w:val="6"/>
        <w:keepLines w:val="0"/>
        <w:pageBreakBefore w:val="0"/>
        <w:kinsoku/>
        <w:wordWrap/>
        <w:overflowPunct/>
        <w:topLinePunct w:val="0"/>
        <w:bidi w:val="0"/>
        <w:spacing w:line="346" w:lineRule="auto"/>
      </w:pPr>
    </w:p>
    <w:p w14:paraId="2676D8AE">
      <w:pPr>
        <w:keepLines w:val="0"/>
        <w:pageBreakBefore w:val="0"/>
        <w:kinsoku/>
        <w:wordWrap/>
        <w:overflowPunct/>
        <w:topLinePunct w:val="0"/>
        <w:bidi w:val="0"/>
        <w:spacing w:before="42" w:line="230" w:lineRule="auto"/>
        <w:jc w:val="center"/>
        <w:outlineLvl w:val="2"/>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10</w:t>
      </w:r>
      <w:r>
        <w:rPr>
          <w:rFonts w:ascii="仿宋" w:hAnsi="仿宋" w:eastAsia="仿宋" w:cs="仿宋"/>
          <w:b/>
          <w:bCs/>
          <w:spacing w:val="7"/>
          <w:sz w:val="24"/>
          <w:szCs w:val="24"/>
        </w:rPr>
        <w:t>.</w:t>
      </w:r>
      <w:r>
        <w:rPr>
          <w:rFonts w:hint="eastAsia" w:ascii="仿宋" w:hAnsi="仿宋" w:eastAsia="仿宋" w:cs="仿宋"/>
          <w:b/>
          <w:bCs/>
          <w:spacing w:val="7"/>
          <w:sz w:val="24"/>
          <w:szCs w:val="24"/>
          <w:lang w:val="en-US" w:eastAsia="zh-CN"/>
        </w:rPr>
        <w:t>提供单位负责人为同一人或者存在直接控股、管理关系的不同</w:t>
      </w:r>
      <w:r>
        <w:rPr>
          <w:rFonts w:hint="eastAsia" w:ascii="仿宋" w:hAnsi="仿宋" w:eastAsia="仿宋" w:cs="仿宋"/>
          <w:b/>
          <w:bCs/>
          <w:spacing w:val="7"/>
          <w:sz w:val="24"/>
          <w:szCs w:val="24"/>
          <w:lang w:eastAsia="zh-CN"/>
        </w:rPr>
        <w:t>投标人</w:t>
      </w:r>
      <w:r>
        <w:rPr>
          <w:rFonts w:hint="eastAsia" w:ascii="仿宋" w:hAnsi="仿宋" w:eastAsia="仿宋" w:cs="仿宋"/>
          <w:b/>
          <w:bCs/>
          <w:spacing w:val="7"/>
          <w:sz w:val="24"/>
          <w:szCs w:val="24"/>
          <w:lang w:val="en-US" w:eastAsia="zh-CN"/>
        </w:rPr>
        <w:t>，不得参加同一合同项下的政府采购活动的书面声明（格式自拟）</w:t>
      </w:r>
    </w:p>
    <w:p w14:paraId="08D287D5">
      <w:pPr>
        <w:keepLines w:val="0"/>
        <w:pageBreakBefore w:val="0"/>
        <w:kinsoku/>
        <w:wordWrap/>
        <w:overflowPunct/>
        <w:topLinePunct w:val="0"/>
        <w:bidi w:val="0"/>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br w:type="page"/>
      </w:r>
    </w:p>
    <w:p w14:paraId="3A9EE2B7">
      <w:pPr>
        <w:keepLines w:val="0"/>
        <w:pageBreakBefore w:val="0"/>
        <w:kinsoku/>
        <w:wordWrap/>
        <w:overflowPunct/>
        <w:topLinePunct w:val="0"/>
        <w:bidi w:val="0"/>
        <w:spacing w:before="42" w:line="230" w:lineRule="auto"/>
        <w:ind w:left="2684"/>
        <w:outlineLvl w:val="2"/>
        <w:rPr>
          <w:rFonts w:ascii="仿宋" w:hAnsi="仿宋" w:eastAsia="仿宋" w:cs="仿宋"/>
          <w:sz w:val="24"/>
          <w:szCs w:val="24"/>
        </w:rPr>
      </w:pPr>
      <w:r>
        <w:rPr>
          <w:rFonts w:ascii="仿宋" w:hAnsi="仿宋" w:eastAsia="仿宋" w:cs="仿宋"/>
          <w:b/>
          <w:bCs/>
          <w:spacing w:val="7"/>
          <w:sz w:val="24"/>
          <w:szCs w:val="24"/>
        </w:rPr>
        <w:t>11、拟投入本项目管理、服务、其他人员情况表</w:t>
      </w:r>
    </w:p>
    <w:p w14:paraId="48050D34">
      <w:pPr>
        <w:keepLines w:val="0"/>
        <w:pageBreakBefore w:val="0"/>
        <w:kinsoku/>
        <w:wordWrap/>
        <w:overflowPunct/>
        <w:topLinePunct w:val="0"/>
        <w:bidi w:val="0"/>
        <w:spacing w:line="90" w:lineRule="exact"/>
        <w:rPr>
          <w:sz w:val="24"/>
          <w:szCs w:val="24"/>
        </w:rPr>
      </w:pPr>
    </w:p>
    <w:tbl>
      <w:tblPr>
        <w:tblStyle w:val="42"/>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14:paraId="65AB7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restart"/>
            <w:tcBorders>
              <w:bottom w:val="nil"/>
            </w:tcBorders>
            <w:vAlign w:val="top"/>
          </w:tcPr>
          <w:p w14:paraId="0D07DC87">
            <w:pPr>
              <w:keepLines w:val="0"/>
              <w:pageBreakBefore w:val="0"/>
              <w:kinsoku/>
              <w:wordWrap/>
              <w:overflowPunct/>
              <w:topLinePunct w:val="0"/>
              <w:bidi w:val="0"/>
              <w:spacing w:line="477" w:lineRule="auto"/>
              <w:rPr>
                <w:rFonts w:ascii="Arial"/>
                <w:sz w:val="24"/>
                <w:szCs w:val="24"/>
              </w:rPr>
            </w:pPr>
          </w:p>
          <w:p w14:paraId="54836178">
            <w:pPr>
              <w:pStyle w:val="41"/>
              <w:keepLines w:val="0"/>
              <w:pageBreakBefore w:val="0"/>
              <w:kinsoku/>
              <w:wordWrap/>
              <w:overflowPunct/>
              <w:topLinePunct w:val="0"/>
              <w:bidi w:val="0"/>
              <w:spacing w:before="65" w:line="232" w:lineRule="auto"/>
              <w:ind w:left="399"/>
              <w:rPr>
                <w:sz w:val="24"/>
                <w:szCs w:val="24"/>
              </w:rPr>
            </w:pPr>
            <w:r>
              <w:rPr>
                <w:sz w:val="24"/>
                <w:szCs w:val="24"/>
              </w:rPr>
              <w:t>类别</w:t>
            </w:r>
          </w:p>
        </w:tc>
        <w:tc>
          <w:tcPr>
            <w:tcW w:w="1023" w:type="dxa"/>
            <w:vMerge w:val="restart"/>
            <w:tcBorders>
              <w:bottom w:val="nil"/>
            </w:tcBorders>
            <w:vAlign w:val="top"/>
          </w:tcPr>
          <w:p w14:paraId="3FF5B476">
            <w:pPr>
              <w:keepLines w:val="0"/>
              <w:pageBreakBefore w:val="0"/>
              <w:kinsoku/>
              <w:wordWrap/>
              <w:overflowPunct/>
              <w:topLinePunct w:val="0"/>
              <w:bidi w:val="0"/>
              <w:spacing w:line="478" w:lineRule="auto"/>
              <w:rPr>
                <w:rFonts w:ascii="Arial"/>
                <w:sz w:val="24"/>
                <w:szCs w:val="24"/>
              </w:rPr>
            </w:pPr>
          </w:p>
          <w:p w14:paraId="0C38CDA2">
            <w:pPr>
              <w:pStyle w:val="41"/>
              <w:keepLines w:val="0"/>
              <w:pageBreakBefore w:val="0"/>
              <w:kinsoku/>
              <w:wordWrap/>
              <w:overflowPunct/>
              <w:topLinePunct w:val="0"/>
              <w:bidi w:val="0"/>
              <w:spacing w:before="65" w:line="233" w:lineRule="auto"/>
              <w:ind w:left="310"/>
              <w:rPr>
                <w:sz w:val="24"/>
                <w:szCs w:val="24"/>
              </w:rPr>
            </w:pPr>
            <w:r>
              <w:rPr>
                <w:spacing w:val="2"/>
                <w:sz w:val="24"/>
                <w:szCs w:val="24"/>
              </w:rPr>
              <w:t>姓名</w:t>
            </w:r>
          </w:p>
        </w:tc>
        <w:tc>
          <w:tcPr>
            <w:tcW w:w="1024" w:type="dxa"/>
            <w:vMerge w:val="restart"/>
            <w:tcBorders>
              <w:bottom w:val="nil"/>
            </w:tcBorders>
            <w:vAlign w:val="top"/>
          </w:tcPr>
          <w:p w14:paraId="4BF4B733">
            <w:pPr>
              <w:keepLines w:val="0"/>
              <w:pageBreakBefore w:val="0"/>
              <w:kinsoku/>
              <w:wordWrap/>
              <w:overflowPunct/>
              <w:topLinePunct w:val="0"/>
              <w:bidi w:val="0"/>
              <w:spacing w:line="277" w:lineRule="auto"/>
              <w:rPr>
                <w:rFonts w:ascii="Arial"/>
                <w:sz w:val="24"/>
                <w:szCs w:val="24"/>
              </w:rPr>
            </w:pPr>
          </w:p>
          <w:p w14:paraId="06DA6665">
            <w:pPr>
              <w:pStyle w:val="41"/>
              <w:keepLines w:val="0"/>
              <w:pageBreakBefore w:val="0"/>
              <w:kinsoku/>
              <w:wordWrap/>
              <w:overflowPunct/>
              <w:topLinePunct w:val="0"/>
              <w:bidi w:val="0"/>
              <w:spacing w:before="65" w:line="401" w:lineRule="exact"/>
              <w:ind w:left="204"/>
              <w:rPr>
                <w:sz w:val="24"/>
                <w:szCs w:val="24"/>
              </w:rPr>
            </w:pPr>
            <w:r>
              <w:rPr>
                <w:spacing w:val="5"/>
                <w:position w:val="14"/>
                <w:sz w:val="24"/>
                <w:szCs w:val="24"/>
              </w:rPr>
              <w:t>联系方</w:t>
            </w:r>
          </w:p>
          <w:p w14:paraId="2CC76B89">
            <w:pPr>
              <w:pStyle w:val="41"/>
              <w:keepLines w:val="0"/>
              <w:pageBreakBefore w:val="0"/>
              <w:kinsoku/>
              <w:wordWrap/>
              <w:overflowPunct/>
              <w:topLinePunct w:val="0"/>
              <w:bidi w:val="0"/>
              <w:spacing w:line="231" w:lineRule="auto"/>
              <w:ind w:left="421"/>
              <w:rPr>
                <w:sz w:val="24"/>
                <w:szCs w:val="24"/>
              </w:rPr>
            </w:pPr>
            <w:r>
              <w:rPr>
                <w:sz w:val="24"/>
                <w:szCs w:val="24"/>
              </w:rPr>
              <w:t>式</w:t>
            </w:r>
          </w:p>
        </w:tc>
        <w:tc>
          <w:tcPr>
            <w:tcW w:w="1024" w:type="dxa"/>
            <w:vMerge w:val="restart"/>
            <w:tcBorders>
              <w:bottom w:val="nil"/>
            </w:tcBorders>
            <w:vAlign w:val="top"/>
          </w:tcPr>
          <w:p w14:paraId="6AD37B14">
            <w:pPr>
              <w:keepLines w:val="0"/>
              <w:pageBreakBefore w:val="0"/>
              <w:kinsoku/>
              <w:wordWrap/>
              <w:overflowPunct/>
              <w:topLinePunct w:val="0"/>
              <w:bidi w:val="0"/>
              <w:spacing w:line="277" w:lineRule="auto"/>
              <w:rPr>
                <w:rFonts w:ascii="Arial"/>
                <w:sz w:val="24"/>
                <w:szCs w:val="24"/>
              </w:rPr>
            </w:pPr>
          </w:p>
          <w:p w14:paraId="7D17CF9A">
            <w:pPr>
              <w:pStyle w:val="41"/>
              <w:keepLines w:val="0"/>
              <w:pageBreakBefore w:val="0"/>
              <w:kinsoku/>
              <w:wordWrap/>
              <w:overflowPunct/>
              <w:topLinePunct w:val="0"/>
              <w:bidi w:val="0"/>
              <w:spacing w:before="65" w:line="401" w:lineRule="exact"/>
              <w:ind w:left="207"/>
              <w:rPr>
                <w:sz w:val="24"/>
                <w:szCs w:val="24"/>
              </w:rPr>
            </w:pPr>
            <w:r>
              <w:rPr>
                <w:spacing w:val="5"/>
                <w:position w:val="14"/>
                <w:sz w:val="24"/>
                <w:szCs w:val="24"/>
              </w:rPr>
              <w:t>职称或</w:t>
            </w:r>
          </w:p>
          <w:p w14:paraId="46864BF1">
            <w:pPr>
              <w:pStyle w:val="41"/>
              <w:keepLines w:val="0"/>
              <w:pageBreakBefore w:val="0"/>
              <w:kinsoku/>
              <w:wordWrap/>
              <w:overflowPunct/>
              <w:topLinePunct w:val="0"/>
              <w:bidi w:val="0"/>
              <w:spacing w:line="231" w:lineRule="auto"/>
              <w:ind w:left="312"/>
              <w:rPr>
                <w:sz w:val="24"/>
                <w:szCs w:val="24"/>
              </w:rPr>
            </w:pPr>
            <w:r>
              <w:rPr>
                <w:spacing w:val="2"/>
                <w:sz w:val="24"/>
                <w:szCs w:val="24"/>
              </w:rPr>
              <w:t>职务</w:t>
            </w:r>
          </w:p>
        </w:tc>
        <w:tc>
          <w:tcPr>
            <w:tcW w:w="1025" w:type="dxa"/>
            <w:vMerge w:val="restart"/>
            <w:tcBorders>
              <w:bottom w:val="nil"/>
            </w:tcBorders>
            <w:vAlign w:val="top"/>
          </w:tcPr>
          <w:p w14:paraId="25DF7137">
            <w:pPr>
              <w:keepLines w:val="0"/>
              <w:pageBreakBefore w:val="0"/>
              <w:kinsoku/>
              <w:wordWrap/>
              <w:overflowPunct/>
              <w:topLinePunct w:val="0"/>
              <w:bidi w:val="0"/>
              <w:spacing w:line="478" w:lineRule="auto"/>
              <w:rPr>
                <w:rFonts w:ascii="Arial"/>
                <w:sz w:val="24"/>
                <w:szCs w:val="24"/>
              </w:rPr>
            </w:pPr>
          </w:p>
          <w:p w14:paraId="1F0F50B3">
            <w:pPr>
              <w:pStyle w:val="41"/>
              <w:keepLines w:val="0"/>
              <w:pageBreakBefore w:val="0"/>
              <w:kinsoku/>
              <w:wordWrap/>
              <w:overflowPunct/>
              <w:topLinePunct w:val="0"/>
              <w:bidi w:val="0"/>
              <w:spacing w:before="65" w:line="230" w:lineRule="auto"/>
              <w:ind w:left="220"/>
              <w:rPr>
                <w:sz w:val="24"/>
                <w:szCs w:val="24"/>
              </w:rPr>
            </w:pPr>
            <w:r>
              <w:rPr>
                <w:spacing w:val="1"/>
                <w:sz w:val="24"/>
                <w:szCs w:val="24"/>
              </w:rPr>
              <w:t>常住地</w:t>
            </w:r>
          </w:p>
        </w:tc>
        <w:tc>
          <w:tcPr>
            <w:tcW w:w="4291" w:type="dxa"/>
            <w:gridSpan w:val="4"/>
            <w:vAlign w:val="top"/>
          </w:tcPr>
          <w:p w14:paraId="2AD564CE">
            <w:pPr>
              <w:pStyle w:val="41"/>
              <w:keepLines w:val="0"/>
              <w:pageBreakBefore w:val="0"/>
              <w:kinsoku/>
              <w:wordWrap/>
              <w:overflowPunct/>
              <w:topLinePunct w:val="0"/>
              <w:bidi w:val="0"/>
              <w:spacing w:before="241" w:line="231" w:lineRule="auto"/>
              <w:ind w:left="1745"/>
              <w:rPr>
                <w:sz w:val="24"/>
                <w:szCs w:val="24"/>
              </w:rPr>
            </w:pPr>
            <w:r>
              <w:rPr>
                <w:spacing w:val="3"/>
                <w:sz w:val="24"/>
                <w:szCs w:val="24"/>
              </w:rPr>
              <w:t>资格证明</w:t>
            </w:r>
          </w:p>
        </w:tc>
      </w:tr>
      <w:tr w14:paraId="3387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vAlign w:val="top"/>
          </w:tcPr>
          <w:p w14:paraId="1067978C">
            <w:pPr>
              <w:keepLines w:val="0"/>
              <w:pageBreakBefore w:val="0"/>
              <w:kinsoku/>
              <w:wordWrap/>
              <w:overflowPunct/>
              <w:topLinePunct w:val="0"/>
              <w:bidi w:val="0"/>
              <w:rPr>
                <w:rFonts w:ascii="Arial"/>
                <w:sz w:val="24"/>
                <w:szCs w:val="24"/>
              </w:rPr>
            </w:pPr>
          </w:p>
        </w:tc>
        <w:tc>
          <w:tcPr>
            <w:tcW w:w="1023" w:type="dxa"/>
            <w:vMerge w:val="continue"/>
            <w:tcBorders>
              <w:top w:val="nil"/>
            </w:tcBorders>
            <w:vAlign w:val="top"/>
          </w:tcPr>
          <w:p w14:paraId="70724FAA">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3478E26C">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26A63EA1">
            <w:pPr>
              <w:keepLines w:val="0"/>
              <w:pageBreakBefore w:val="0"/>
              <w:kinsoku/>
              <w:wordWrap/>
              <w:overflowPunct/>
              <w:topLinePunct w:val="0"/>
              <w:bidi w:val="0"/>
              <w:rPr>
                <w:rFonts w:ascii="Arial"/>
                <w:sz w:val="24"/>
                <w:szCs w:val="24"/>
              </w:rPr>
            </w:pPr>
          </w:p>
        </w:tc>
        <w:tc>
          <w:tcPr>
            <w:tcW w:w="1025" w:type="dxa"/>
            <w:vMerge w:val="continue"/>
            <w:tcBorders>
              <w:top w:val="nil"/>
            </w:tcBorders>
            <w:vAlign w:val="top"/>
          </w:tcPr>
          <w:p w14:paraId="6F730611">
            <w:pPr>
              <w:keepLines w:val="0"/>
              <w:pageBreakBefore w:val="0"/>
              <w:kinsoku/>
              <w:wordWrap/>
              <w:overflowPunct/>
              <w:topLinePunct w:val="0"/>
              <w:bidi w:val="0"/>
              <w:rPr>
                <w:rFonts w:ascii="Arial"/>
                <w:sz w:val="24"/>
                <w:szCs w:val="24"/>
              </w:rPr>
            </w:pPr>
          </w:p>
        </w:tc>
        <w:tc>
          <w:tcPr>
            <w:tcW w:w="1334" w:type="dxa"/>
            <w:vAlign w:val="top"/>
          </w:tcPr>
          <w:p w14:paraId="4AC6B1CF">
            <w:pPr>
              <w:pStyle w:val="41"/>
              <w:keepLines w:val="0"/>
              <w:pageBreakBefore w:val="0"/>
              <w:kinsoku/>
              <w:wordWrap/>
              <w:overflowPunct/>
              <w:topLinePunct w:val="0"/>
              <w:bidi w:val="0"/>
              <w:spacing w:before="239" w:line="229" w:lineRule="auto"/>
              <w:ind w:left="258"/>
              <w:rPr>
                <w:sz w:val="24"/>
                <w:szCs w:val="24"/>
              </w:rPr>
            </w:pPr>
            <w:r>
              <w:rPr>
                <w:spacing w:val="6"/>
                <w:sz w:val="24"/>
                <w:szCs w:val="24"/>
              </w:rPr>
              <w:t>证书名称</w:t>
            </w:r>
          </w:p>
        </w:tc>
        <w:tc>
          <w:tcPr>
            <w:tcW w:w="939" w:type="dxa"/>
            <w:vAlign w:val="top"/>
          </w:tcPr>
          <w:p w14:paraId="73013E39">
            <w:pPr>
              <w:pStyle w:val="41"/>
              <w:keepLines w:val="0"/>
              <w:pageBreakBefore w:val="0"/>
              <w:kinsoku/>
              <w:wordWrap/>
              <w:overflowPunct/>
              <w:topLinePunct w:val="0"/>
              <w:bidi w:val="0"/>
              <w:spacing w:before="238" w:line="232" w:lineRule="auto"/>
              <w:ind w:left="273"/>
              <w:rPr>
                <w:sz w:val="24"/>
                <w:szCs w:val="24"/>
              </w:rPr>
            </w:pPr>
            <w:r>
              <w:rPr>
                <w:sz w:val="24"/>
                <w:szCs w:val="24"/>
              </w:rPr>
              <w:t>级别</w:t>
            </w:r>
          </w:p>
        </w:tc>
        <w:tc>
          <w:tcPr>
            <w:tcW w:w="1068" w:type="dxa"/>
            <w:vAlign w:val="top"/>
          </w:tcPr>
          <w:p w14:paraId="4C904E1D">
            <w:pPr>
              <w:pStyle w:val="41"/>
              <w:keepLines w:val="0"/>
              <w:pageBreakBefore w:val="0"/>
              <w:kinsoku/>
              <w:wordWrap/>
              <w:overflowPunct/>
              <w:topLinePunct w:val="0"/>
              <w:bidi w:val="0"/>
              <w:spacing w:before="239" w:line="232" w:lineRule="auto"/>
              <w:ind w:left="334"/>
              <w:rPr>
                <w:sz w:val="24"/>
                <w:szCs w:val="24"/>
              </w:rPr>
            </w:pPr>
            <w:r>
              <w:rPr>
                <w:spacing w:val="2"/>
                <w:sz w:val="24"/>
                <w:szCs w:val="24"/>
              </w:rPr>
              <w:t>证号</w:t>
            </w:r>
          </w:p>
        </w:tc>
        <w:tc>
          <w:tcPr>
            <w:tcW w:w="950" w:type="dxa"/>
            <w:vAlign w:val="top"/>
          </w:tcPr>
          <w:p w14:paraId="6CC1858A">
            <w:pPr>
              <w:pStyle w:val="41"/>
              <w:keepLines w:val="0"/>
              <w:pageBreakBefore w:val="0"/>
              <w:kinsoku/>
              <w:wordWrap/>
              <w:overflowPunct/>
              <w:topLinePunct w:val="0"/>
              <w:bidi w:val="0"/>
              <w:spacing w:before="239" w:line="232" w:lineRule="auto"/>
              <w:ind w:left="278"/>
              <w:rPr>
                <w:sz w:val="24"/>
                <w:szCs w:val="24"/>
              </w:rPr>
            </w:pPr>
            <w:r>
              <w:rPr>
                <w:sz w:val="24"/>
                <w:szCs w:val="24"/>
              </w:rPr>
              <w:t>专业</w:t>
            </w:r>
          </w:p>
        </w:tc>
      </w:tr>
      <w:tr w14:paraId="2E7A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restart"/>
            <w:tcBorders>
              <w:bottom w:val="nil"/>
            </w:tcBorders>
            <w:textDirection w:val="tbRlV"/>
            <w:vAlign w:val="top"/>
          </w:tcPr>
          <w:p w14:paraId="3FE533D4">
            <w:pPr>
              <w:keepLines w:val="0"/>
              <w:pageBreakBefore w:val="0"/>
              <w:kinsoku/>
              <w:wordWrap/>
              <w:overflowPunct/>
              <w:topLinePunct w:val="0"/>
              <w:bidi w:val="0"/>
              <w:spacing w:line="410" w:lineRule="auto"/>
              <w:rPr>
                <w:rFonts w:ascii="Arial"/>
                <w:sz w:val="24"/>
                <w:szCs w:val="24"/>
              </w:rPr>
            </w:pPr>
          </w:p>
          <w:p w14:paraId="13DCFE6A">
            <w:pPr>
              <w:pStyle w:val="41"/>
              <w:keepLines w:val="0"/>
              <w:pageBreakBefore w:val="0"/>
              <w:kinsoku/>
              <w:wordWrap/>
              <w:overflowPunct/>
              <w:topLinePunct w:val="0"/>
              <w:bidi w:val="0"/>
              <w:spacing w:before="66" w:line="209" w:lineRule="auto"/>
              <w:ind w:left="141"/>
              <w:rPr>
                <w:sz w:val="24"/>
                <w:szCs w:val="24"/>
              </w:rPr>
            </w:pPr>
            <w:r>
              <w:rPr>
                <w:spacing w:val="13"/>
                <w:sz w:val="24"/>
                <w:szCs w:val="24"/>
              </w:rPr>
              <w:t>管</w:t>
            </w:r>
            <w:r>
              <w:rPr>
                <w:spacing w:val="89"/>
                <w:sz w:val="24"/>
                <w:szCs w:val="24"/>
              </w:rPr>
              <w:t xml:space="preserve"> </w:t>
            </w:r>
            <w:r>
              <w:rPr>
                <w:spacing w:val="13"/>
                <w:sz w:val="24"/>
                <w:szCs w:val="24"/>
              </w:rPr>
              <w:t>理</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4460040E">
            <w:pPr>
              <w:keepLines w:val="0"/>
              <w:pageBreakBefore w:val="0"/>
              <w:kinsoku/>
              <w:wordWrap/>
              <w:overflowPunct/>
              <w:topLinePunct w:val="0"/>
              <w:bidi w:val="0"/>
              <w:rPr>
                <w:rFonts w:ascii="Arial"/>
                <w:sz w:val="24"/>
                <w:szCs w:val="24"/>
              </w:rPr>
            </w:pPr>
          </w:p>
        </w:tc>
        <w:tc>
          <w:tcPr>
            <w:tcW w:w="1024" w:type="dxa"/>
            <w:vAlign w:val="top"/>
          </w:tcPr>
          <w:p w14:paraId="5C09D09C">
            <w:pPr>
              <w:keepLines w:val="0"/>
              <w:pageBreakBefore w:val="0"/>
              <w:kinsoku/>
              <w:wordWrap/>
              <w:overflowPunct/>
              <w:topLinePunct w:val="0"/>
              <w:bidi w:val="0"/>
              <w:rPr>
                <w:rFonts w:ascii="Arial"/>
                <w:sz w:val="24"/>
                <w:szCs w:val="24"/>
              </w:rPr>
            </w:pPr>
          </w:p>
        </w:tc>
        <w:tc>
          <w:tcPr>
            <w:tcW w:w="1024" w:type="dxa"/>
            <w:vAlign w:val="top"/>
          </w:tcPr>
          <w:p w14:paraId="290E5E53">
            <w:pPr>
              <w:keepLines w:val="0"/>
              <w:pageBreakBefore w:val="0"/>
              <w:kinsoku/>
              <w:wordWrap/>
              <w:overflowPunct/>
              <w:topLinePunct w:val="0"/>
              <w:bidi w:val="0"/>
              <w:rPr>
                <w:rFonts w:ascii="Arial"/>
                <w:sz w:val="24"/>
                <w:szCs w:val="24"/>
              </w:rPr>
            </w:pPr>
          </w:p>
        </w:tc>
        <w:tc>
          <w:tcPr>
            <w:tcW w:w="1025" w:type="dxa"/>
            <w:vAlign w:val="top"/>
          </w:tcPr>
          <w:p w14:paraId="3C3BCE93">
            <w:pPr>
              <w:keepLines w:val="0"/>
              <w:pageBreakBefore w:val="0"/>
              <w:kinsoku/>
              <w:wordWrap/>
              <w:overflowPunct/>
              <w:topLinePunct w:val="0"/>
              <w:bidi w:val="0"/>
              <w:rPr>
                <w:rFonts w:ascii="Arial"/>
                <w:sz w:val="24"/>
                <w:szCs w:val="24"/>
              </w:rPr>
            </w:pPr>
          </w:p>
        </w:tc>
        <w:tc>
          <w:tcPr>
            <w:tcW w:w="1334" w:type="dxa"/>
            <w:vAlign w:val="top"/>
          </w:tcPr>
          <w:p w14:paraId="457B441B">
            <w:pPr>
              <w:keepLines w:val="0"/>
              <w:pageBreakBefore w:val="0"/>
              <w:kinsoku/>
              <w:wordWrap/>
              <w:overflowPunct/>
              <w:topLinePunct w:val="0"/>
              <w:bidi w:val="0"/>
              <w:rPr>
                <w:rFonts w:ascii="Arial"/>
                <w:sz w:val="24"/>
                <w:szCs w:val="24"/>
              </w:rPr>
            </w:pPr>
          </w:p>
        </w:tc>
        <w:tc>
          <w:tcPr>
            <w:tcW w:w="939" w:type="dxa"/>
            <w:vAlign w:val="top"/>
          </w:tcPr>
          <w:p w14:paraId="1AB9DA1B">
            <w:pPr>
              <w:keepLines w:val="0"/>
              <w:pageBreakBefore w:val="0"/>
              <w:kinsoku/>
              <w:wordWrap/>
              <w:overflowPunct/>
              <w:topLinePunct w:val="0"/>
              <w:bidi w:val="0"/>
              <w:rPr>
                <w:rFonts w:ascii="Arial"/>
                <w:sz w:val="24"/>
                <w:szCs w:val="24"/>
              </w:rPr>
            </w:pPr>
          </w:p>
        </w:tc>
        <w:tc>
          <w:tcPr>
            <w:tcW w:w="1068" w:type="dxa"/>
            <w:vAlign w:val="top"/>
          </w:tcPr>
          <w:p w14:paraId="38C25E6C">
            <w:pPr>
              <w:keepLines w:val="0"/>
              <w:pageBreakBefore w:val="0"/>
              <w:kinsoku/>
              <w:wordWrap/>
              <w:overflowPunct/>
              <w:topLinePunct w:val="0"/>
              <w:bidi w:val="0"/>
              <w:rPr>
                <w:rFonts w:ascii="Arial"/>
                <w:sz w:val="24"/>
                <w:szCs w:val="24"/>
              </w:rPr>
            </w:pPr>
          </w:p>
        </w:tc>
        <w:tc>
          <w:tcPr>
            <w:tcW w:w="950" w:type="dxa"/>
            <w:vAlign w:val="top"/>
          </w:tcPr>
          <w:p w14:paraId="465B48F8">
            <w:pPr>
              <w:keepLines w:val="0"/>
              <w:pageBreakBefore w:val="0"/>
              <w:kinsoku/>
              <w:wordWrap/>
              <w:overflowPunct/>
              <w:topLinePunct w:val="0"/>
              <w:bidi w:val="0"/>
              <w:rPr>
                <w:rFonts w:ascii="Arial"/>
                <w:sz w:val="24"/>
                <w:szCs w:val="24"/>
              </w:rPr>
            </w:pPr>
          </w:p>
        </w:tc>
      </w:tr>
      <w:tr w14:paraId="0CA4D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bottom w:val="nil"/>
            </w:tcBorders>
            <w:textDirection w:val="tbRlV"/>
            <w:vAlign w:val="top"/>
          </w:tcPr>
          <w:p w14:paraId="05547430">
            <w:pPr>
              <w:keepLines w:val="0"/>
              <w:pageBreakBefore w:val="0"/>
              <w:kinsoku/>
              <w:wordWrap/>
              <w:overflowPunct/>
              <w:topLinePunct w:val="0"/>
              <w:bidi w:val="0"/>
              <w:rPr>
                <w:rFonts w:ascii="Arial"/>
                <w:sz w:val="24"/>
                <w:szCs w:val="24"/>
              </w:rPr>
            </w:pPr>
          </w:p>
        </w:tc>
        <w:tc>
          <w:tcPr>
            <w:tcW w:w="1023" w:type="dxa"/>
            <w:vAlign w:val="top"/>
          </w:tcPr>
          <w:p w14:paraId="731DD1DB">
            <w:pPr>
              <w:keepLines w:val="0"/>
              <w:pageBreakBefore w:val="0"/>
              <w:kinsoku/>
              <w:wordWrap/>
              <w:overflowPunct/>
              <w:topLinePunct w:val="0"/>
              <w:bidi w:val="0"/>
              <w:rPr>
                <w:rFonts w:ascii="Arial"/>
                <w:sz w:val="24"/>
                <w:szCs w:val="24"/>
              </w:rPr>
            </w:pPr>
          </w:p>
        </w:tc>
        <w:tc>
          <w:tcPr>
            <w:tcW w:w="1024" w:type="dxa"/>
            <w:vAlign w:val="top"/>
          </w:tcPr>
          <w:p w14:paraId="257149D2">
            <w:pPr>
              <w:keepLines w:val="0"/>
              <w:pageBreakBefore w:val="0"/>
              <w:kinsoku/>
              <w:wordWrap/>
              <w:overflowPunct/>
              <w:topLinePunct w:val="0"/>
              <w:bidi w:val="0"/>
              <w:rPr>
                <w:rFonts w:ascii="Arial"/>
                <w:sz w:val="24"/>
                <w:szCs w:val="24"/>
              </w:rPr>
            </w:pPr>
          </w:p>
        </w:tc>
        <w:tc>
          <w:tcPr>
            <w:tcW w:w="1024" w:type="dxa"/>
            <w:vAlign w:val="top"/>
          </w:tcPr>
          <w:p w14:paraId="52421122">
            <w:pPr>
              <w:keepLines w:val="0"/>
              <w:pageBreakBefore w:val="0"/>
              <w:kinsoku/>
              <w:wordWrap/>
              <w:overflowPunct/>
              <w:topLinePunct w:val="0"/>
              <w:bidi w:val="0"/>
              <w:rPr>
                <w:rFonts w:ascii="Arial"/>
                <w:sz w:val="24"/>
                <w:szCs w:val="24"/>
              </w:rPr>
            </w:pPr>
          </w:p>
        </w:tc>
        <w:tc>
          <w:tcPr>
            <w:tcW w:w="1025" w:type="dxa"/>
            <w:vAlign w:val="top"/>
          </w:tcPr>
          <w:p w14:paraId="5BD527D1">
            <w:pPr>
              <w:keepLines w:val="0"/>
              <w:pageBreakBefore w:val="0"/>
              <w:kinsoku/>
              <w:wordWrap/>
              <w:overflowPunct/>
              <w:topLinePunct w:val="0"/>
              <w:bidi w:val="0"/>
              <w:rPr>
                <w:rFonts w:ascii="Arial"/>
                <w:sz w:val="24"/>
                <w:szCs w:val="24"/>
              </w:rPr>
            </w:pPr>
          </w:p>
        </w:tc>
        <w:tc>
          <w:tcPr>
            <w:tcW w:w="1334" w:type="dxa"/>
            <w:vAlign w:val="top"/>
          </w:tcPr>
          <w:p w14:paraId="6851B675">
            <w:pPr>
              <w:keepLines w:val="0"/>
              <w:pageBreakBefore w:val="0"/>
              <w:kinsoku/>
              <w:wordWrap/>
              <w:overflowPunct/>
              <w:topLinePunct w:val="0"/>
              <w:bidi w:val="0"/>
              <w:rPr>
                <w:rFonts w:ascii="Arial"/>
                <w:sz w:val="24"/>
                <w:szCs w:val="24"/>
              </w:rPr>
            </w:pPr>
          </w:p>
        </w:tc>
        <w:tc>
          <w:tcPr>
            <w:tcW w:w="939" w:type="dxa"/>
            <w:vAlign w:val="top"/>
          </w:tcPr>
          <w:p w14:paraId="573410BA">
            <w:pPr>
              <w:keepLines w:val="0"/>
              <w:pageBreakBefore w:val="0"/>
              <w:kinsoku/>
              <w:wordWrap/>
              <w:overflowPunct/>
              <w:topLinePunct w:val="0"/>
              <w:bidi w:val="0"/>
              <w:rPr>
                <w:rFonts w:ascii="Arial"/>
                <w:sz w:val="24"/>
                <w:szCs w:val="24"/>
              </w:rPr>
            </w:pPr>
          </w:p>
        </w:tc>
        <w:tc>
          <w:tcPr>
            <w:tcW w:w="1068" w:type="dxa"/>
            <w:vAlign w:val="top"/>
          </w:tcPr>
          <w:p w14:paraId="730FA773">
            <w:pPr>
              <w:keepLines w:val="0"/>
              <w:pageBreakBefore w:val="0"/>
              <w:kinsoku/>
              <w:wordWrap/>
              <w:overflowPunct/>
              <w:topLinePunct w:val="0"/>
              <w:bidi w:val="0"/>
              <w:rPr>
                <w:rFonts w:ascii="Arial"/>
                <w:sz w:val="24"/>
                <w:szCs w:val="24"/>
              </w:rPr>
            </w:pPr>
          </w:p>
        </w:tc>
        <w:tc>
          <w:tcPr>
            <w:tcW w:w="950" w:type="dxa"/>
            <w:vAlign w:val="top"/>
          </w:tcPr>
          <w:p w14:paraId="0AF626D9">
            <w:pPr>
              <w:keepLines w:val="0"/>
              <w:pageBreakBefore w:val="0"/>
              <w:kinsoku/>
              <w:wordWrap/>
              <w:overflowPunct/>
              <w:topLinePunct w:val="0"/>
              <w:bidi w:val="0"/>
              <w:rPr>
                <w:rFonts w:ascii="Arial"/>
                <w:sz w:val="24"/>
                <w:szCs w:val="24"/>
              </w:rPr>
            </w:pPr>
          </w:p>
        </w:tc>
      </w:tr>
      <w:tr w14:paraId="62E07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192" w:type="dxa"/>
            <w:vMerge w:val="continue"/>
            <w:tcBorders>
              <w:top w:val="nil"/>
            </w:tcBorders>
            <w:textDirection w:val="tbRlV"/>
            <w:vAlign w:val="top"/>
          </w:tcPr>
          <w:p w14:paraId="6C1A51F8">
            <w:pPr>
              <w:keepLines w:val="0"/>
              <w:pageBreakBefore w:val="0"/>
              <w:kinsoku/>
              <w:wordWrap/>
              <w:overflowPunct/>
              <w:topLinePunct w:val="0"/>
              <w:bidi w:val="0"/>
              <w:rPr>
                <w:rFonts w:ascii="Arial"/>
                <w:sz w:val="24"/>
                <w:szCs w:val="24"/>
              </w:rPr>
            </w:pPr>
          </w:p>
        </w:tc>
        <w:tc>
          <w:tcPr>
            <w:tcW w:w="1023" w:type="dxa"/>
            <w:vAlign w:val="top"/>
          </w:tcPr>
          <w:p w14:paraId="0F485D68">
            <w:pPr>
              <w:keepLines w:val="0"/>
              <w:pageBreakBefore w:val="0"/>
              <w:kinsoku/>
              <w:wordWrap/>
              <w:overflowPunct/>
              <w:topLinePunct w:val="0"/>
              <w:bidi w:val="0"/>
              <w:rPr>
                <w:rFonts w:ascii="Arial"/>
                <w:sz w:val="24"/>
                <w:szCs w:val="24"/>
              </w:rPr>
            </w:pPr>
          </w:p>
        </w:tc>
        <w:tc>
          <w:tcPr>
            <w:tcW w:w="1024" w:type="dxa"/>
            <w:vAlign w:val="top"/>
          </w:tcPr>
          <w:p w14:paraId="126FADDB">
            <w:pPr>
              <w:keepLines w:val="0"/>
              <w:pageBreakBefore w:val="0"/>
              <w:kinsoku/>
              <w:wordWrap/>
              <w:overflowPunct/>
              <w:topLinePunct w:val="0"/>
              <w:bidi w:val="0"/>
              <w:rPr>
                <w:rFonts w:ascii="Arial"/>
                <w:sz w:val="24"/>
                <w:szCs w:val="24"/>
              </w:rPr>
            </w:pPr>
          </w:p>
        </w:tc>
        <w:tc>
          <w:tcPr>
            <w:tcW w:w="1024" w:type="dxa"/>
            <w:vAlign w:val="top"/>
          </w:tcPr>
          <w:p w14:paraId="4AB6A70A">
            <w:pPr>
              <w:keepLines w:val="0"/>
              <w:pageBreakBefore w:val="0"/>
              <w:kinsoku/>
              <w:wordWrap/>
              <w:overflowPunct/>
              <w:topLinePunct w:val="0"/>
              <w:bidi w:val="0"/>
              <w:rPr>
                <w:rFonts w:ascii="Arial"/>
                <w:sz w:val="24"/>
                <w:szCs w:val="24"/>
              </w:rPr>
            </w:pPr>
          </w:p>
        </w:tc>
        <w:tc>
          <w:tcPr>
            <w:tcW w:w="1025" w:type="dxa"/>
            <w:vAlign w:val="top"/>
          </w:tcPr>
          <w:p w14:paraId="2C287347">
            <w:pPr>
              <w:keepLines w:val="0"/>
              <w:pageBreakBefore w:val="0"/>
              <w:kinsoku/>
              <w:wordWrap/>
              <w:overflowPunct/>
              <w:topLinePunct w:val="0"/>
              <w:bidi w:val="0"/>
              <w:rPr>
                <w:rFonts w:ascii="Arial"/>
                <w:sz w:val="24"/>
                <w:szCs w:val="24"/>
              </w:rPr>
            </w:pPr>
          </w:p>
        </w:tc>
        <w:tc>
          <w:tcPr>
            <w:tcW w:w="1334" w:type="dxa"/>
            <w:vAlign w:val="top"/>
          </w:tcPr>
          <w:p w14:paraId="3B8CE7CB">
            <w:pPr>
              <w:keepLines w:val="0"/>
              <w:pageBreakBefore w:val="0"/>
              <w:kinsoku/>
              <w:wordWrap/>
              <w:overflowPunct/>
              <w:topLinePunct w:val="0"/>
              <w:bidi w:val="0"/>
              <w:rPr>
                <w:rFonts w:ascii="Arial"/>
                <w:sz w:val="24"/>
                <w:szCs w:val="24"/>
              </w:rPr>
            </w:pPr>
          </w:p>
        </w:tc>
        <w:tc>
          <w:tcPr>
            <w:tcW w:w="939" w:type="dxa"/>
            <w:vAlign w:val="top"/>
          </w:tcPr>
          <w:p w14:paraId="0E278EE4">
            <w:pPr>
              <w:keepLines w:val="0"/>
              <w:pageBreakBefore w:val="0"/>
              <w:kinsoku/>
              <w:wordWrap/>
              <w:overflowPunct/>
              <w:topLinePunct w:val="0"/>
              <w:bidi w:val="0"/>
              <w:rPr>
                <w:rFonts w:ascii="Arial"/>
                <w:sz w:val="24"/>
                <w:szCs w:val="24"/>
              </w:rPr>
            </w:pPr>
          </w:p>
        </w:tc>
        <w:tc>
          <w:tcPr>
            <w:tcW w:w="1068" w:type="dxa"/>
            <w:vAlign w:val="top"/>
          </w:tcPr>
          <w:p w14:paraId="4F8A36CB">
            <w:pPr>
              <w:keepLines w:val="0"/>
              <w:pageBreakBefore w:val="0"/>
              <w:kinsoku/>
              <w:wordWrap/>
              <w:overflowPunct/>
              <w:topLinePunct w:val="0"/>
              <w:bidi w:val="0"/>
              <w:rPr>
                <w:rFonts w:ascii="Arial"/>
                <w:sz w:val="24"/>
                <w:szCs w:val="24"/>
              </w:rPr>
            </w:pPr>
          </w:p>
        </w:tc>
        <w:tc>
          <w:tcPr>
            <w:tcW w:w="950" w:type="dxa"/>
            <w:vAlign w:val="top"/>
          </w:tcPr>
          <w:p w14:paraId="3D2EC908">
            <w:pPr>
              <w:keepLines w:val="0"/>
              <w:pageBreakBefore w:val="0"/>
              <w:kinsoku/>
              <w:wordWrap/>
              <w:overflowPunct/>
              <w:topLinePunct w:val="0"/>
              <w:bidi w:val="0"/>
              <w:rPr>
                <w:rFonts w:ascii="Arial"/>
                <w:sz w:val="24"/>
                <w:szCs w:val="24"/>
              </w:rPr>
            </w:pPr>
          </w:p>
        </w:tc>
      </w:tr>
      <w:tr w14:paraId="5FE0F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660D1E60">
            <w:pPr>
              <w:keepLines w:val="0"/>
              <w:pageBreakBefore w:val="0"/>
              <w:kinsoku/>
              <w:wordWrap/>
              <w:overflowPunct/>
              <w:topLinePunct w:val="0"/>
              <w:bidi w:val="0"/>
              <w:spacing w:line="409" w:lineRule="auto"/>
              <w:rPr>
                <w:rFonts w:ascii="Arial"/>
                <w:sz w:val="24"/>
                <w:szCs w:val="24"/>
              </w:rPr>
            </w:pPr>
          </w:p>
          <w:p w14:paraId="2580763D">
            <w:pPr>
              <w:pStyle w:val="41"/>
              <w:keepLines w:val="0"/>
              <w:pageBreakBefore w:val="0"/>
              <w:kinsoku/>
              <w:wordWrap/>
              <w:overflowPunct/>
              <w:topLinePunct w:val="0"/>
              <w:bidi w:val="0"/>
              <w:spacing w:before="67" w:line="210" w:lineRule="auto"/>
              <w:ind w:left="143"/>
              <w:rPr>
                <w:sz w:val="24"/>
                <w:szCs w:val="24"/>
              </w:rPr>
            </w:pPr>
            <w:r>
              <w:rPr>
                <w:spacing w:val="13"/>
                <w:sz w:val="24"/>
                <w:szCs w:val="24"/>
              </w:rPr>
              <w:t>服</w:t>
            </w:r>
            <w:r>
              <w:rPr>
                <w:spacing w:val="89"/>
                <w:sz w:val="24"/>
                <w:szCs w:val="24"/>
              </w:rPr>
              <w:t xml:space="preserve"> </w:t>
            </w:r>
            <w:r>
              <w:rPr>
                <w:spacing w:val="13"/>
                <w:sz w:val="24"/>
                <w:szCs w:val="24"/>
              </w:rPr>
              <w:t>务</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0DEA6B55">
            <w:pPr>
              <w:keepLines w:val="0"/>
              <w:pageBreakBefore w:val="0"/>
              <w:kinsoku/>
              <w:wordWrap/>
              <w:overflowPunct/>
              <w:topLinePunct w:val="0"/>
              <w:bidi w:val="0"/>
              <w:rPr>
                <w:rFonts w:ascii="Arial"/>
                <w:sz w:val="24"/>
                <w:szCs w:val="24"/>
              </w:rPr>
            </w:pPr>
          </w:p>
        </w:tc>
        <w:tc>
          <w:tcPr>
            <w:tcW w:w="1024" w:type="dxa"/>
            <w:vAlign w:val="top"/>
          </w:tcPr>
          <w:p w14:paraId="545C2529">
            <w:pPr>
              <w:keepLines w:val="0"/>
              <w:pageBreakBefore w:val="0"/>
              <w:kinsoku/>
              <w:wordWrap/>
              <w:overflowPunct/>
              <w:topLinePunct w:val="0"/>
              <w:bidi w:val="0"/>
              <w:rPr>
                <w:rFonts w:ascii="Arial"/>
                <w:sz w:val="24"/>
                <w:szCs w:val="24"/>
              </w:rPr>
            </w:pPr>
          </w:p>
        </w:tc>
        <w:tc>
          <w:tcPr>
            <w:tcW w:w="1024" w:type="dxa"/>
            <w:vAlign w:val="top"/>
          </w:tcPr>
          <w:p w14:paraId="0D32F29E">
            <w:pPr>
              <w:keepLines w:val="0"/>
              <w:pageBreakBefore w:val="0"/>
              <w:kinsoku/>
              <w:wordWrap/>
              <w:overflowPunct/>
              <w:topLinePunct w:val="0"/>
              <w:bidi w:val="0"/>
              <w:rPr>
                <w:rFonts w:ascii="Arial"/>
                <w:sz w:val="24"/>
                <w:szCs w:val="24"/>
              </w:rPr>
            </w:pPr>
          </w:p>
        </w:tc>
        <w:tc>
          <w:tcPr>
            <w:tcW w:w="1025" w:type="dxa"/>
            <w:vAlign w:val="top"/>
          </w:tcPr>
          <w:p w14:paraId="671B0850">
            <w:pPr>
              <w:keepLines w:val="0"/>
              <w:pageBreakBefore w:val="0"/>
              <w:kinsoku/>
              <w:wordWrap/>
              <w:overflowPunct/>
              <w:topLinePunct w:val="0"/>
              <w:bidi w:val="0"/>
              <w:rPr>
                <w:rFonts w:ascii="Arial"/>
                <w:sz w:val="24"/>
                <w:szCs w:val="24"/>
              </w:rPr>
            </w:pPr>
          </w:p>
        </w:tc>
        <w:tc>
          <w:tcPr>
            <w:tcW w:w="1334" w:type="dxa"/>
            <w:vAlign w:val="top"/>
          </w:tcPr>
          <w:p w14:paraId="009200A1">
            <w:pPr>
              <w:keepLines w:val="0"/>
              <w:pageBreakBefore w:val="0"/>
              <w:kinsoku/>
              <w:wordWrap/>
              <w:overflowPunct/>
              <w:topLinePunct w:val="0"/>
              <w:bidi w:val="0"/>
              <w:rPr>
                <w:rFonts w:ascii="Arial"/>
                <w:sz w:val="24"/>
                <w:szCs w:val="24"/>
              </w:rPr>
            </w:pPr>
          </w:p>
        </w:tc>
        <w:tc>
          <w:tcPr>
            <w:tcW w:w="939" w:type="dxa"/>
            <w:vAlign w:val="top"/>
          </w:tcPr>
          <w:p w14:paraId="5D244430">
            <w:pPr>
              <w:keepLines w:val="0"/>
              <w:pageBreakBefore w:val="0"/>
              <w:kinsoku/>
              <w:wordWrap/>
              <w:overflowPunct/>
              <w:topLinePunct w:val="0"/>
              <w:bidi w:val="0"/>
              <w:rPr>
                <w:rFonts w:ascii="Arial"/>
                <w:sz w:val="24"/>
                <w:szCs w:val="24"/>
              </w:rPr>
            </w:pPr>
          </w:p>
        </w:tc>
        <w:tc>
          <w:tcPr>
            <w:tcW w:w="1068" w:type="dxa"/>
            <w:vAlign w:val="top"/>
          </w:tcPr>
          <w:p w14:paraId="4B6003FB">
            <w:pPr>
              <w:keepLines w:val="0"/>
              <w:pageBreakBefore w:val="0"/>
              <w:kinsoku/>
              <w:wordWrap/>
              <w:overflowPunct/>
              <w:topLinePunct w:val="0"/>
              <w:bidi w:val="0"/>
              <w:rPr>
                <w:rFonts w:ascii="Arial"/>
                <w:sz w:val="24"/>
                <w:szCs w:val="24"/>
              </w:rPr>
            </w:pPr>
          </w:p>
        </w:tc>
        <w:tc>
          <w:tcPr>
            <w:tcW w:w="950" w:type="dxa"/>
            <w:vAlign w:val="top"/>
          </w:tcPr>
          <w:p w14:paraId="5E236158">
            <w:pPr>
              <w:keepLines w:val="0"/>
              <w:pageBreakBefore w:val="0"/>
              <w:kinsoku/>
              <w:wordWrap/>
              <w:overflowPunct/>
              <w:topLinePunct w:val="0"/>
              <w:bidi w:val="0"/>
              <w:rPr>
                <w:rFonts w:ascii="Arial"/>
                <w:sz w:val="24"/>
                <w:szCs w:val="24"/>
              </w:rPr>
            </w:pPr>
          </w:p>
        </w:tc>
      </w:tr>
      <w:tr w14:paraId="317E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continue"/>
            <w:tcBorders>
              <w:top w:val="nil"/>
              <w:bottom w:val="nil"/>
            </w:tcBorders>
            <w:textDirection w:val="tbRlV"/>
            <w:vAlign w:val="top"/>
          </w:tcPr>
          <w:p w14:paraId="08711C3B">
            <w:pPr>
              <w:keepLines w:val="0"/>
              <w:pageBreakBefore w:val="0"/>
              <w:kinsoku/>
              <w:wordWrap/>
              <w:overflowPunct/>
              <w:topLinePunct w:val="0"/>
              <w:bidi w:val="0"/>
              <w:rPr>
                <w:rFonts w:ascii="Arial"/>
                <w:sz w:val="24"/>
                <w:szCs w:val="24"/>
              </w:rPr>
            </w:pPr>
          </w:p>
        </w:tc>
        <w:tc>
          <w:tcPr>
            <w:tcW w:w="1023" w:type="dxa"/>
            <w:vAlign w:val="top"/>
          </w:tcPr>
          <w:p w14:paraId="2793B813">
            <w:pPr>
              <w:keepLines w:val="0"/>
              <w:pageBreakBefore w:val="0"/>
              <w:kinsoku/>
              <w:wordWrap/>
              <w:overflowPunct/>
              <w:topLinePunct w:val="0"/>
              <w:bidi w:val="0"/>
              <w:rPr>
                <w:rFonts w:ascii="Arial"/>
                <w:sz w:val="24"/>
                <w:szCs w:val="24"/>
              </w:rPr>
            </w:pPr>
          </w:p>
        </w:tc>
        <w:tc>
          <w:tcPr>
            <w:tcW w:w="1024" w:type="dxa"/>
            <w:vAlign w:val="top"/>
          </w:tcPr>
          <w:p w14:paraId="4B779EA1">
            <w:pPr>
              <w:keepLines w:val="0"/>
              <w:pageBreakBefore w:val="0"/>
              <w:kinsoku/>
              <w:wordWrap/>
              <w:overflowPunct/>
              <w:topLinePunct w:val="0"/>
              <w:bidi w:val="0"/>
              <w:rPr>
                <w:rFonts w:ascii="Arial"/>
                <w:sz w:val="24"/>
                <w:szCs w:val="24"/>
              </w:rPr>
            </w:pPr>
          </w:p>
        </w:tc>
        <w:tc>
          <w:tcPr>
            <w:tcW w:w="1024" w:type="dxa"/>
            <w:vAlign w:val="top"/>
          </w:tcPr>
          <w:p w14:paraId="24980754">
            <w:pPr>
              <w:keepLines w:val="0"/>
              <w:pageBreakBefore w:val="0"/>
              <w:kinsoku/>
              <w:wordWrap/>
              <w:overflowPunct/>
              <w:topLinePunct w:val="0"/>
              <w:bidi w:val="0"/>
              <w:rPr>
                <w:rFonts w:ascii="Arial"/>
                <w:sz w:val="24"/>
                <w:szCs w:val="24"/>
              </w:rPr>
            </w:pPr>
          </w:p>
        </w:tc>
        <w:tc>
          <w:tcPr>
            <w:tcW w:w="1025" w:type="dxa"/>
            <w:vAlign w:val="top"/>
          </w:tcPr>
          <w:p w14:paraId="0D8C5967">
            <w:pPr>
              <w:keepLines w:val="0"/>
              <w:pageBreakBefore w:val="0"/>
              <w:kinsoku/>
              <w:wordWrap/>
              <w:overflowPunct/>
              <w:topLinePunct w:val="0"/>
              <w:bidi w:val="0"/>
              <w:rPr>
                <w:rFonts w:ascii="Arial"/>
                <w:sz w:val="24"/>
                <w:szCs w:val="24"/>
              </w:rPr>
            </w:pPr>
          </w:p>
        </w:tc>
        <w:tc>
          <w:tcPr>
            <w:tcW w:w="1334" w:type="dxa"/>
            <w:vAlign w:val="top"/>
          </w:tcPr>
          <w:p w14:paraId="3AFC2751">
            <w:pPr>
              <w:keepLines w:val="0"/>
              <w:pageBreakBefore w:val="0"/>
              <w:kinsoku/>
              <w:wordWrap/>
              <w:overflowPunct/>
              <w:topLinePunct w:val="0"/>
              <w:bidi w:val="0"/>
              <w:rPr>
                <w:rFonts w:ascii="Arial"/>
                <w:sz w:val="24"/>
                <w:szCs w:val="24"/>
              </w:rPr>
            </w:pPr>
          </w:p>
        </w:tc>
        <w:tc>
          <w:tcPr>
            <w:tcW w:w="939" w:type="dxa"/>
            <w:vAlign w:val="top"/>
          </w:tcPr>
          <w:p w14:paraId="5D04C2E0">
            <w:pPr>
              <w:keepLines w:val="0"/>
              <w:pageBreakBefore w:val="0"/>
              <w:kinsoku/>
              <w:wordWrap/>
              <w:overflowPunct/>
              <w:topLinePunct w:val="0"/>
              <w:bidi w:val="0"/>
              <w:rPr>
                <w:rFonts w:ascii="Arial"/>
                <w:sz w:val="24"/>
                <w:szCs w:val="24"/>
              </w:rPr>
            </w:pPr>
          </w:p>
        </w:tc>
        <w:tc>
          <w:tcPr>
            <w:tcW w:w="1068" w:type="dxa"/>
            <w:vAlign w:val="top"/>
          </w:tcPr>
          <w:p w14:paraId="5AD4851B">
            <w:pPr>
              <w:keepLines w:val="0"/>
              <w:pageBreakBefore w:val="0"/>
              <w:kinsoku/>
              <w:wordWrap/>
              <w:overflowPunct/>
              <w:topLinePunct w:val="0"/>
              <w:bidi w:val="0"/>
              <w:rPr>
                <w:rFonts w:ascii="Arial"/>
                <w:sz w:val="24"/>
                <w:szCs w:val="24"/>
              </w:rPr>
            </w:pPr>
          </w:p>
        </w:tc>
        <w:tc>
          <w:tcPr>
            <w:tcW w:w="950" w:type="dxa"/>
            <w:vAlign w:val="top"/>
          </w:tcPr>
          <w:p w14:paraId="786AB985">
            <w:pPr>
              <w:keepLines w:val="0"/>
              <w:pageBreakBefore w:val="0"/>
              <w:kinsoku/>
              <w:wordWrap/>
              <w:overflowPunct/>
              <w:topLinePunct w:val="0"/>
              <w:bidi w:val="0"/>
              <w:rPr>
                <w:rFonts w:ascii="Arial"/>
                <w:sz w:val="24"/>
                <w:szCs w:val="24"/>
              </w:rPr>
            </w:pPr>
          </w:p>
        </w:tc>
      </w:tr>
      <w:tr w14:paraId="5B0ED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192" w:type="dxa"/>
            <w:vMerge w:val="continue"/>
            <w:tcBorders>
              <w:top w:val="nil"/>
            </w:tcBorders>
            <w:textDirection w:val="tbRlV"/>
            <w:vAlign w:val="top"/>
          </w:tcPr>
          <w:p w14:paraId="6F6F0B2B">
            <w:pPr>
              <w:keepLines w:val="0"/>
              <w:pageBreakBefore w:val="0"/>
              <w:kinsoku/>
              <w:wordWrap/>
              <w:overflowPunct/>
              <w:topLinePunct w:val="0"/>
              <w:bidi w:val="0"/>
              <w:rPr>
                <w:rFonts w:ascii="Arial"/>
                <w:sz w:val="24"/>
                <w:szCs w:val="24"/>
              </w:rPr>
            </w:pPr>
          </w:p>
        </w:tc>
        <w:tc>
          <w:tcPr>
            <w:tcW w:w="1023" w:type="dxa"/>
            <w:vAlign w:val="top"/>
          </w:tcPr>
          <w:p w14:paraId="12D6202F">
            <w:pPr>
              <w:keepLines w:val="0"/>
              <w:pageBreakBefore w:val="0"/>
              <w:kinsoku/>
              <w:wordWrap/>
              <w:overflowPunct/>
              <w:topLinePunct w:val="0"/>
              <w:bidi w:val="0"/>
              <w:rPr>
                <w:rFonts w:ascii="Arial"/>
                <w:sz w:val="24"/>
                <w:szCs w:val="24"/>
              </w:rPr>
            </w:pPr>
          </w:p>
        </w:tc>
        <w:tc>
          <w:tcPr>
            <w:tcW w:w="1024" w:type="dxa"/>
            <w:vAlign w:val="top"/>
          </w:tcPr>
          <w:p w14:paraId="373D2F91">
            <w:pPr>
              <w:keepLines w:val="0"/>
              <w:pageBreakBefore w:val="0"/>
              <w:kinsoku/>
              <w:wordWrap/>
              <w:overflowPunct/>
              <w:topLinePunct w:val="0"/>
              <w:bidi w:val="0"/>
              <w:rPr>
                <w:rFonts w:ascii="Arial"/>
                <w:sz w:val="24"/>
                <w:szCs w:val="24"/>
              </w:rPr>
            </w:pPr>
          </w:p>
        </w:tc>
        <w:tc>
          <w:tcPr>
            <w:tcW w:w="1024" w:type="dxa"/>
            <w:vAlign w:val="top"/>
          </w:tcPr>
          <w:p w14:paraId="41EB4209">
            <w:pPr>
              <w:keepLines w:val="0"/>
              <w:pageBreakBefore w:val="0"/>
              <w:kinsoku/>
              <w:wordWrap/>
              <w:overflowPunct/>
              <w:topLinePunct w:val="0"/>
              <w:bidi w:val="0"/>
              <w:rPr>
                <w:rFonts w:ascii="Arial"/>
                <w:sz w:val="24"/>
                <w:szCs w:val="24"/>
              </w:rPr>
            </w:pPr>
          </w:p>
        </w:tc>
        <w:tc>
          <w:tcPr>
            <w:tcW w:w="1025" w:type="dxa"/>
            <w:vAlign w:val="top"/>
          </w:tcPr>
          <w:p w14:paraId="30873EDE">
            <w:pPr>
              <w:keepLines w:val="0"/>
              <w:pageBreakBefore w:val="0"/>
              <w:kinsoku/>
              <w:wordWrap/>
              <w:overflowPunct/>
              <w:topLinePunct w:val="0"/>
              <w:bidi w:val="0"/>
              <w:rPr>
                <w:rFonts w:ascii="Arial"/>
                <w:sz w:val="24"/>
                <w:szCs w:val="24"/>
              </w:rPr>
            </w:pPr>
          </w:p>
        </w:tc>
        <w:tc>
          <w:tcPr>
            <w:tcW w:w="1334" w:type="dxa"/>
            <w:vAlign w:val="top"/>
          </w:tcPr>
          <w:p w14:paraId="7D25FA0C">
            <w:pPr>
              <w:keepLines w:val="0"/>
              <w:pageBreakBefore w:val="0"/>
              <w:kinsoku/>
              <w:wordWrap/>
              <w:overflowPunct/>
              <w:topLinePunct w:val="0"/>
              <w:bidi w:val="0"/>
              <w:rPr>
                <w:rFonts w:ascii="Arial"/>
                <w:sz w:val="24"/>
                <w:szCs w:val="24"/>
              </w:rPr>
            </w:pPr>
          </w:p>
        </w:tc>
        <w:tc>
          <w:tcPr>
            <w:tcW w:w="939" w:type="dxa"/>
            <w:vAlign w:val="top"/>
          </w:tcPr>
          <w:p w14:paraId="6FAE26FC">
            <w:pPr>
              <w:keepLines w:val="0"/>
              <w:pageBreakBefore w:val="0"/>
              <w:kinsoku/>
              <w:wordWrap/>
              <w:overflowPunct/>
              <w:topLinePunct w:val="0"/>
              <w:bidi w:val="0"/>
              <w:rPr>
                <w:rFonts w:ascii="Arial"/>
                <w:sz w:val="24"/>
                <w:szCs w:val="24"/>
              </w:rPr>
            </w:pPr>
          </w:p>
        </w:tc>
        <w:tc>
          <w:tcPr>
            <w:tcW w:w="1068" w:type="dxa"/>
            <w:vAlign w:val="top"/>
          </w:tcPr>
          <w:p w14:paraId="3241982B">
            <w:pPr>
              <w:keepLines w:val="0"/>
              <w:pageBreakBefore w:val="0"/>
              <w:kinsoku/>
              <w:wordWrap/>
              <w:overflowPunct/>
              <w:topLinePunct w:val="0"/>
              <w:bidi w:val="0"/>
              <w:rPr>
                <w:rFonts w:ascii="Arial"/>
                <w:sz w:val="24"/>
                <w:szCs w:val="24"/>
              </w:rPr>
            </w:pPr>
          </w:p>
        </w:tc>
        <w:tc>
          <w:tcPr>
            <w:tcW w:w="950" w:type="dxa"/>
            <w:vAlign w:val="top"/>
          </w:tcPr>
          <w:p w14:paraId="235C03EA">
            <w:pPr>
              <w:keepLines w:val="0"/>
              <w:pageBreakBefore w:val="0"/>
              <w:kinsoku/>
              <w:wordWrap/>
              <w:overflowPunct/>
              <w:topLinePunct w:val="0"/>
              <w:bidi w:val="0"/>
              <w:rPr>
                <w:rFonts w:ascii="Arial"/>
                <w:sz w:val="24"/>
                <w:szCs w:val="24"/>
              </w:rPr>
            </w:pPr>
          </w:p>
        </w:tc>
      </w:tr>
      <w:tr w14:paraId="5C32C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73140D12">
            <w:pPr>
              <w:keepLines w:val="0"/>
              <w:pageBreakBefore w:val="0"/>
              <w:kinsoku/>
              <w:wordWrap/>
              <w:overflowPunct/>
              <w:topLinePunct w:val="0"/>
              <w:bidi w:val="0"/>
              <w:spacing w:line="409" w:lineRule="auto"/>
              <w:rPr>
                <w:rFonts w:ascii="Arial"/>
                <w:sz w:val="24"/>
                <w:szCs w:val="24"/>
              </w:rPr>
            </w:pPr>
          </w:p>
          <w:p w14:paraId="4B14C7B8">
            <w:pPr>
              <w:pStyle w:val="41"/>
              <w:keepLines w:val="0"/>
              <w:pageBreakBefore w:val="0"/>
              <w:kinsoku/>
              <w:wordWrap/>
              <w:overflowPunct/>
              <w:topLinePunct w:val="0"/>
              <w:bidi w:val="0"/>
              <w:spacing w:before="67" w:line="208" w:lineRule="auto"/>
              <w:ind w:left="144"/>
              <w:rPr>
                <w:sz w:val="24"/>
                <w:szCs w:val="24"/>
              </w:rPr>
            </w:pPr>
            <w:r>
              <w:rPr>
                <w:spacing w:val="13"/>
                <w:sz w:val="24"/>
                <w:szCs w:val="24"/>
              </w:rPr>
              <w:t>其</w:t>
            </w:r>
            <w:r>
              <w:rPr>
                <w:spacing w:val="89"/>
                <w:sz w:val="24"/>
                <w:szCs w:val="24"/>
              </w:rPr>
              <w:t xml:space="preserve"> </w:t>
            </w:r>
            <w:r>
              <w:rPr>
                <w:spacing w:val="13"/>
                <w:sz w:val="24"/>
                <w:szCs w:val="24"/>
              </w:rPr>
              <w:t>他</w:t>
            </w:r>
            <w:r>
              <w:rPr>
                <w:spacing w:val="84"/>
                <w:sz w:val="24"/>
                <w:szCs w:val="24"/>
              </w:rPr>
              <w:t xml:space="preserve"> </w:t>
            </w:r>
            <w:r>
              <w:rPr>
                <w:spacing w:val="13"/>
                <w:sz w:val="24"/>
                <w:szCs w:val="24"/>
              </w:rPr>
              <w:t>人</w:t>
            </w:r>
            <w:r>
              <w:rPr>
                <w:spacing w:val="87"/>
                <w:sz w:val="24"/>
                <w:szCs w:val="24"/>
              </w:rPr>
              <w:t xml:space="preserve"> </w:t>
            </w:r>
            <w:r>
              <w:rPr>
                <w:spacing w:val="13"/>
                <w:sz w:val="24"/>
                <w:szCs w:val="24"/>
              </w:rPr>
              <w:t>员</w:t>
            </w:r>
          </w:p>
        </w:tc>
        <w:tc>
          <w:tcPr>
            <w:tcW w:w="1023" w:type="dxa"/>
            <w:vAlign w:val="top"/>
          </w:tcPr>
          <w:p w14:paraId="3EC2B4C2">
            <w:pPr>
              <w:keepLines w:val="0"/>
              <w:pageBreakBefore w:val="0"/>
              <w:kinsoku/>
              <w:wordWrap/>
              <w:overflowPunct/>
              <w:topLinePunct w:val="0"/>
              <w:bidi w:val="0"/>
              <w:rPr>
                <w:rFonts w:ascii="Arial"/>
                <w:sz w:val="24"/>
                <w:szCs w:val="24"/>
              </w:rPr>
            </w:pPr>
          </w:p>
        </w:tc>
        <w:tc>
          <w:tcPr>
            <w:tcW w:w="1024" w:type="dxa"/>
            <w:vAlign w:val="top"/>
          </w:tcPr>
          <w:p w14:paraId="2452E7FB">
            <w:pPr>
              <w:keepLines w:val="0"/>
              <w:pageBreakBefore w:val="0"/>
              <w:kinsoku/>
              <w:wordWrap/>
              <w:overflowPunct/>
              <w:topLinePunct w:val="0"/>
              <w:bidi w:val="0"/>
              <w:rPr>
                <w:rFonts w:ascii="Arial"/>
                <w:sz w:val="24"/>
                <w:szCs w:val="24"/>
              </w:rPr>
            </w:pPr>
          </w:p>
        </w:tc>
        <w:tc>
          <w:tcPr>
            <w:tcW w:w="1024" w:type="dxa"/>
            <w:vAlign w:val="top"/>
          </w:tcPr>
          <w:p w14:paraId="55989B70">
            <w:pPr>
              <w:keepLines w:val="0"/>
              <w:pageBreakBefore w:val="0"/>
              <w:kinsoku/>
              <w:wordWrap/>
              <w:overflowPunct/>
              <w:topLinePunct w:val="0"/>
              <w:bidi w:val="0"/>
              <w:rPr>
                <w:rFonts w:ascii="Arial"/>
                <w:sz w:val="24"/>
                <w:szCs w:val="24"/>
              </w:rPr>
            </w:pPr>
          </w:p>
        </w:tc>
        <w:tc>
          <w:tcPr>
            <w:tcW w:w="1025" w:type="dxa"/>
            <w:vAlign w:val="top"/>
          </w:tcPr>
          <w:p w14:paraId="48EDA78E">
            <w:pPr>
              <w:keepLines w:val="0"/>
              <w:pageBreakBefore w:val="0"/>
              <w:kinsoku/>
              <w:wordWrap/>
              <w:overflowPunct/>
              <w:topLinePunct w:val="0"/>
              <w:bidi w:val="0"/>
              <w:rPr>
                <w:rFonts w:ascii="Arial"/>
                <w:sz w:val="24"/>
                <w:szCs w:val="24"/>
              </w:rPr>
            </w:pPr>
          </w:p>
        </w:tc>
        <w:tc>
          <w:tcPr>
            <w:tcW w:w="1334" w:type="dxa"/>
            <w:vAlign w:val="top"/>
          </w:tcPr>
          <w:p w14:paraId="79543E7A">
            <w:pPr>
              <w:keepLines w:val="0"/>
              <w:pageBreakBefore w:val="0"/>
              <w:kinsoku/>
              <w:wordWrap/>
              <w:overflowPunct/>
              <w:topLinePunct w:val="0"/>
              <w:bidi w:val="0"/>
              <w:rPr>
                <w:rFonts w:ascii="Arial"/>
                <w:sz w:val="24"/>
                <w:szCs w:val="24"/>
              </w:rPr>
            </w:pPr>
          </w:p>
        </w:tc>
        <w:tc>
          <w:tcPr>
            <w:tcW w:w="939" w:type="dxa"/>
            <w:vAlign w:val="top"/>
          </w:tcPr>
          <w:p w14:paraId="500CB27E">
            <w:pPr>
              <w:keepLines w:val="0"/>
              <w:pageBreakBefore w:val="0"/>
              <w:kinsoku/>
              <w:wordWrap/>
              <w:overflowPunct/>
              <w:topLinePunct w:val="0"/>
              <w:bidi w:val="0"/>
              <w:rPr>
                <w:rFonts w:ascii="Arial"/>
                <w:sz w:val="24"/>
                <w:szCs w:val="24"/>
              </w:rPr>
            </w:pPr>
          </w:p>
        </w:tc>
        <w:tc>
          <w:tcPr>
            <w:tcW w:w="1068" w:type="dxa"/>
            <w:vAlign w:val="top"/>
          </w:tcPr>
          <w:p w14:paraId="39392CC3">
            <w:pPr>
              <w:keepLines w:val="0"/>
              <w:pageBreakBefore w:val="0"/>
              <w:kinsoku/>
              <w:wordWrap/>
              <w:overflowPunct/>
              <w:topLinePunct w:val="0"/>
              <w:bidi w:val="0"/>
              <w:rPr>
                <w:rFonts w:ascii="Arial"/>
                <w:sz w:val="24"/>
                <w:szCs w:val="24"/>
              </w:rPr>
            </w:pPr>
          </w:p>
        </w:tc>
        <w:tc>
          <w:tcPr>
            <w:tcW w:w="950" w:type="dxa"/>
            <w:vAlign w:val="top"/>
          </w:tcPr>
          <w:p w14:paraId="7502CC2B">
            <w:pPr>
              <w:keepLines w:val="0"/>
              <w:pageBreakBefore w:val="0"/>
              <w:kinsoku/>
              <w:wordWrap/>
              <w:overflowPunct/>
              <w:topLinePunct w:val="0"/>
              <w:bidi w:val="0"/>
              <w:rPr>
                <w:rFonts w:ascii="Arial"/>
                <w:sz w:val="24"/>
                <w:szCs w:val="24"/>
              </w:rPr>
            </w:pPr>
          </w:p>
        </w:tc>
      </w:tr>
      <w:tr w14:paraId="264A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bottom w:val="nil"/>
            </w:tcBorders>
            <w:textDirection w:val="tbRlV"/>
            <w:vAlign w:val="top"/>
          </w:tcPr>
          <w:p w14:paraId="3A5332FA">
            <w:pPr>
              <w:keepLines w:val="0"/>
              <w:pageBreakBefore w:val="0"/>
              <w:kinsoku/>
              <w:wordWrap/>
              <w:overflowPunct/>
              <w:topLinePunct w:val="0"/>
              <w:bidi w:val="0"/>
              <w:rPr>
                <w:rFonts w:ascii="Arial"/>
                <w:sz w:val="24"/>
                <w:szCs w:val="24"/>
              </w:rPr>
            </w:pPr>
          </w:p>
        </w:tc>
        <w:tc>
          <w:tcPr>
            <w:tcW w:w="1023" w:type="dxa"/>
            <w:vAlign w:val="top"/>
          </w:tcPr>
          <w:p w14:paraId="38ECFCC2">
            <w:pPr>
              <w:keepLines w:val="0"/>
              <w:pageBreakBefore w:val="0"/>
              <w:kinsoku/>
              <w:wordWrap/>
              <w:overflowPunct/>
              <w:topLinePunct w:val="0"/>
              <w:bidi w:val="0"/>
              <w:rPr>
                <w:rFonts w:ascii="Arial"/>
                <w:sz w:val="24"/>
                <w:szCs w:val="24"/>
              </w:rPr>
            </w:pPr>
          </w:p>
        </w:tc>
        <w:tc>
          <w:tcPr>
            <w:tcW w:w="1024" w:type="dxa"/>
            <w:vAlign w:val="top"/>
          </w:tcPr>
          <w:p w14:paraId="2F476820">
            <w:pPr>
              <w:keepLines w:val="0"/>
              <w:pageBreakBefore w:val="0"/>
              <w:kinsoku/>
              <w:wordWrap/>
              <w:overflowPunct/>
              <w:topLinePunct w:val="0"/>
              <w:bidi w:val="0"/>
              <w:rPr>
                <w:rFonts w:ascii="Arial"/>
                <w:sz w:val="24"/>
                <w:szCs w:val="24"/>
              </w:rPr>
            </w:pPr>
          </w:p>
        </w:tc>
        <w:tc>
          <w:tcPr>
            <w:tcW w:w="1024" w:type="dxa"/>
            <w:vAlign w:val="top"/>
          </w:tcPr>
          <w:p w14:paraId="7CD8285D">
            <w:pPr>
              <w:keepLines w:val="0"/>
              <w:pageBreakBefore w:val="0"/>
              <w:kinsoku/>
              <w:wordWrap/>
              <w:overflowPunct/>
              <w:topLinePunct w:val="0"/>
              <w:bidi w:val="0"/>
              <w:rPr>
                <w:rFonts w:ascii="Arial"/>
                <w:sz w:val="24"/>
                <w:szCs w:val="24"/>
              </w:rPr>
            </w:pPr>
          </w:p>
        </w:tc>
        <w:tc>
          <w:tcPr>
            <w:tcW w:w="1025" w:type="dxa"/>
            <w:vAlign w:val="top"/>
          </w:tcPr>
          <w:p w14:paraId="650983DA">
            <w:pPr>
              <w:keepLines w:val="0"/>
              <w:pageBreakBefore w:val="0"/>
              <w:kinsoku/>
              <w:wordWrap/>
              <w:overflowPunct/>
              <w:topLinePunct w:val="0"/>
              <w:bidi w:val="0"/>
              <w:rPr>
                <w:rFonts w:ascii="Arial"/>
                <w:sz w:val="24"/>
                <w:szCs w:val="24"/>
              </w:rPr>
            </w:pPr>
          </w:p>
        </w:tc>
        <w:tc>
          <w:tcPr>
            <w:tcW w:w="1334" w:type="dxa"/>
            <w:vAlign w:val="top"/>
          </w:tcPr>
          <w:p w14:paraId="14C2A53A">
            <w:pPr>
              <w:keepLines w:val="0"/>
              <w:pageBreakBefore w:val="0"/>
              <w:kinsoku/>
              <w:wordWrap/>
              <w:overflowPunct/>
              <w:topLinePunct w:val="0"/>
              <w:bidi w:val="0"/>
              <w:rPr>
                <w:rFonts w:ascii="Arial"/>
                <w:sz w:val="24"/>
                <w:szCs w:val="24"/>
              </w:rPr>
            </w:pPr>
          </w:p>
        </w:tc>
        <w:tc>
          <w:tcPr>
            <w:tcW w:w="939" w:type="dxa"/>
            <w:vAlign w:val="top"/>
          </w:tcPr>
          <w:p w14:paraId="5A6F172B">
            <w:pPr>
              <w:keepLines w:val="0"/>
              <w:pageBreakBefore w:val="0"/>
              <w:kinsoku/>
              <w:wordWrap/>
              <w:overflowPunct/>
              <w:topLinePunct w:val="0"/>
              <w:bidi w:val="0"/>
              <w:rPr>
                <w:rFonts w:ascii="Arial"/>
                <w:sz w:val="24"/>
                <w:szCs w:val="24"/>
              </w:rPr>
            </w:pPr>
          </w:p>
        </w:tc>
        <w:tc>
          <w:tcPr>
            <w:tcW w:w="1068" w:type="dxa"/>
            <w:vAlign w:val="top"/>
          </w:tcPr>
          <w:p w14:paraId="39E675F0">
            <w:pPr>
              <w:keepLines w:val="0"/>
              <w:pageBreakBefore w:val="0"/>
              <w:kinsoku/>
              <w:wordWrap/>
              <w:overflowPunct/>
              <w:topLinePunct w:val="0"/>
              <w:bidi w:val="0"/>
              <w:rPr>
                <w:rFonts w:ascii="Arial"/>
                <w:sz w:val="24"/>
                <w:szCs w:val="24"/>
              </w:rPr>
            </w:pPr>
          </w:p>
        </w:tc>
        <w:tc>
          <w:tcPr>
            <w:tcW w:w="950" w:type="dxa"/>
            <w:vAlign w:val="top"/>
          </w:tcPr>
          <w:p w14:paraId="4F494CFA">
            <w:pPr>
              <w:keepLines w:val="0"/>
              <w:pageBreakBefore w:val="0"/>
              <w:kinsoku/>
              <w:wordWrap/>
              <w:overflowPunct/>
              <w:topLinePunct w:val="0"/>
              <w:bidi w:val="0"/>
              <w:rPr>
                <w:rFonts w:ascii="Arial"/>
                <w:sz w:val="24"/>
                <w:szCs w:val="24"/>
              </w:rPr>
            </w:pPr>
          </w:p>
        </w:tc>
      </w:tr>
      <w:tr w14:paraId="79C5D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1192" w:type="dxa"/>
            <w:vMerge w:val="continue"/>
            <w:tcBorders>
              <w:top w:val="nil"/>
            </w:tcBorders>
            <w:textDirection w:val="tbRlV"/>
            <w:vAlign w:val="top"/>
          </w:tcPr>
          <w:p w14:paraId="3B3E3839">
            <w:pPr>
              <w:keepLines w:val="0"/>
              <w:pageBreakBefore w:val="0"/>
              <w:kinsoku/>
              <w:wordWrap/>
              <w:overflowPunct/>
              <w:topLinePunct w:val="0"/>
              <w:bidi w:val="0"/>
              <w:rPr>
                <w:rFonts w:ascii="Arial"/>
                <w:sz w:val="24"/>
                <w:szCs w:val="24"/>
              </w:rPr>
            </w:pPr>
          </w:p>
        </w:tc>
        <w:tc>
          <w:tcPr>
            <w:tcW w:w="1023" w:type="dxa"/>
            <w:vAlign w:val="top"/>
          </w:tcPr>
          <w:p w14:paraId="33B022E1">
            <w:pPr>
              <w:keepLines w:val="0"/>
              <w:pageBreakBefore w:val="0"/>
              <w:kinsoku/>
              <w:wordWrap/>
              <w:overflowPunct/>
              <w:topLinePunct w:val="0"/>
              <w:bidi w:val="0"/>
              <w:rPr>
                <w:rFonts w:ascii="Arial"/>
                <w:sz w:val="24"/>
                <w:szCs w:val="24"/>
              </w:rPr>
            </w:pPr>
          </w:p>
        </w:tc>
        <w:tc>
          <w:tcPr>
            <w:tcW w:w="1024" w:type="dxa"/>
            <w:vAlign w:val="top"/>
          </w:tcPr>
          <w:p w14:paraId="514DA4DB">
            <w:pPr>
              <w:keepLines w:val="0"/>
              <w:pageBreakBefore w:val="0"/>
              <w:kinsoku/>
              <w:wordWrap/>
              <w:overflowPunct/>
              <w:topLinePunct w:val="0"/>
              <w:bidi w:val="0"/>
              <w:rPr>
                <w:rFonts w:ascii="Arial"/>
                <w:sz w:val="24"/>
                <w:szCs w:val="24"/>
              </w:rPr>
            </w:pPr>
          </w:p>
        </w:tc>
        <w:tc>
          <w:tcPr>
            <w:tcW w:w="1024" w:type="dxa"/>
            <w:vAlign w:val="top"/>
          </w:tcPr>
          <w:p w14:paraId="2AEBE708">
            <w:pPr>
              <w:keepLines w:val="0"/>
              <w:pageBreakBefore w:val="0"/>
              <w:kinsoku/>
              <w:wordWrap/>
              <w:overflowPunct/>
              <w:topLinePunct w:val="0"/>
              <w:bidi w:val="0"/>
              <w:rPr>
                <w:rFonts w:ascii="Arial"/>
                <w:sz w:val="24"/>
                <w:szCs w:val="24"/>
              </w:rPr>
            </w:pPr>
          </w:p>
        </w:tc>
        <w:tc>
          <w:tcPr>
            <w:tcW w:w="1025" w:type="dxa"/>
            <w:vAlign w:val="top"/>
          </w:tcPr>
          <w:p w14:paraId="5FB2131D">
            <w:pPr>
              <w:keepLines w:val="0"/>
              <w:pageBreakBefore w:val="0"/>
              <w:kinsoku/>
              <w:wordWrap/>
              <w:overflowPunct/>
              <w:topLinePunct w:val="0"/>
              <w:bidi w:val="0"/>
              <w:rPr>
                <w:rFonts w:ascii="Arial"/>
                <w:sz w:val="24"/>
                <w:szCs w:val="24"/>
              </w:rPr>
            </w:pPr>
          </w:p>
        </w:tc>
        <w:tc>
          <w:tcPr>
            <w:tcW w:w="1334" w:type="dxa"/>
            <w:vAlign w:val="top"/>
          </w:tcPr>
          <w:p w14:paraId="20CFA226">
            <w:pPr>
              <w:keepLines w:val="0"/>
              <w:pageBreakBefore w:val="0"/>
              <w:kinsoku/>
              <w:wordWrap/>
              <w:overflowPunct/>
              <w:topLinePunct w:val="0"/>
              <w:bidi w:val="0"/>
              <w:rPr>
                <w:rFonts w:ascii="Arial"/>
                <w:sz w:val="24"/>
                <w:szCs w:val="24"/>
              </w:rPr>
            </w:pPr>
          </w:p>
        </w:tc>
        <w:tc>
          <w:tcPr>
            <w:tcW w:w="939" w:type="dxa"/>
            <w:vAlign w:val="top"/>
          </w:tcPr>
          <w:p w14:paraId="54652448">
            <w:pPr>
              <w:keepLines w:val="0"/>
              <w:pageBreakBefore w:val="0"/>
              <w:kinsoku/>
              <w:wordWrap/>
              <w:overflowPunct/>
              <w:topLinePunct w:val="0"/>
              <w:bidi w:val="0"/>
              <w:rPr>
                <w:rFonts w:ascii="Arial"/>
                <w:sz w:val="24"/>
                <w:szCs w:val="24"/>
              </w:rPr>
            </w:pPr>
          </w:p>
        </w:tc>
        <w:tc>
          <w:tcPr>
            <w:tcW w:w="1068" w:type="dxa"/>
            <w:vAlign w:val="top"/>
          </w:tcPr>
          <w:p w14:paraId="6EEC6840">
            <w:pPr>
              <w:keepLines w:val="0"/>
              <w:pageBreakBefore w:val="0"/>
              <w:kinsoku/>
              <w:wordWrap/>
              <w:overflowPunct/>
              <w:topLinePunct w:val="0"/>
              <w:bidi w:val="0"/>
              <w:rPr>
                <w:rFonts w:ascii="Arial"/>
                <w:sz w:val="24"/>
                <w:szCs w:val="24"/>
              </w:rPr>
            </w:pPr>
          </w:p>
        </w:tc>
        <w:tc>
          <w:tcPr>
            <w:tcW w:w="950" w:type="dxa"/>
            <w:vAlign w:val="top"/>
          </w:tcPr>
          <w:p w14:paraId="0242B22F">
            <w:pPr>
              <w:keepLines w:val="0"/>
              <w:pageBreakBefore w:val="0"/>
              <w:kinsoku/>
              <w:wordWrap/>
              <w:overflowPunct/>
              <w:topLinePunct w:val="0"/>
              <w:bidi w:val="0"/>
              <w:rPr>
                <w:rFonts w:ascii="Arial"/>
                <w:sz w:val="24"/>
                <w:szCs w:val="24"/>
              </w:rPr>
            </w:pPr>
          </w:p>
        </w:tc>
      </w:tr>
    </w:tbl>
    <w:p w14:paraId="33D16AF5">
      <w:pPr>
        <w:keepLines w:val="0"/>
        <w:pageBreakBefore w:val="0"/>
        <w:kinsoku/>
        <w:wordWrap/>
        <w:overflowPunct/>
        <w:topLinePunct w:val="0"/>
        <w:bidi w:val="0"/>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后附相关证书扫描件</w:t>
      </w:r>
    </w:p>
    <w:p w14:paraId="230BA4E6">
      <w:pPr>
        <w:pStyle w:val="6"/>
        <w:keepLines w:val="0"/>
        <w:pageBreakBefore w:val="0"/>
        <w:kinsoku/>
        <w:wordWrap/>
        <w:overflowPunct/>
        <w:topLinePunct w:val="0"/>
        <w:bidi w:val="0"/>
        <w:spacing w:line="270" w:lineRule="auto"/>
        <w:rPr>
          <w:sz w:val="24"/>
          <w:szCs w:val="24"/>
        </w:rPr>
      </w:pPr>
    </w:p>
    <w:p w14:paraId="32581D79">
      <w:pPr>
        <w:pStyle w:val="6"/>
        <w:keepLines w:val="0"/>
        <w:pageBreakBefore w:val="0"/>
        <w:kinsoku/>
        <w:wordWrap/>
        <w:overflowPunct/>
        <w:topLinePunct w:val="0"/>
        <w:bidi w:val="0"/>
        <w:spacing w:line="270" w:lineRule="auto"/>
        <w:rPr>
          <w:sz w:val="24"/>
          <w:szCs w:val="24"/>
        </w:rPr>
      </w:pPr>
    </w:p>
    <w:p w14:paraId="42D0CDBA">
      <w:pPr>
        <w:pStyle w:val="6"/>
        <w:keepLines w:val="0"/>
        <w:pageBreakBefore w:val="0"/>
        <w:kinsoku/>
        <w:wordWrap/>
        <w:overflowPunct/>
        <w:topLinePunct w:val="0"/>
        <w:bidi w:val="0"/>
        <w:spacing w:line="270" w:lineRule="auto"/>
        <w:rPr>
          <w:sz w:val="24"/>
          <w:szCs w:val="24"/>
        </w:rPr>
      </w:pPr>
    </w:p>
    <w:p w14:paraId="3C4F0408">
      <w:pPr>
        <w:pStyle w:val="6"/>
        <w:keepLines w:val="0"/>
        <w:pageBreakBefore w:val="0"/>
        <w:kinsoku/>
        <w:wordWrap/>
        <w:overflowPunct/>
        <w:topLinePunct w:val="0"/>
        <w:bidi w:val="0"/>
        <w:spacing w:line="270" w:lineRule="auto"/>
        <w:rPr>
          <w:sz w:val="24"/>
          <w:szCs w:val="24"/>
        </w:rPr>
      </w:pPr>
    </w:p>
    <w:p w14:paraId="3C1A7CA0">
      <w:pPr>
        <w:pStyle w:val="6"/>
        <w:keepLines w:val="0"/>
        <w:pageBreakBefore w:val="0"/>
        <w:kinsoku/>
        <w:wordWrap/>
        <w:overflowPunct/>
        <w:topLinePunct w:val="0"/>
        <w:bidi w:val="0"/>
        <w:spacing w:line="270" w:lineRule="auto"/>
        <w:rPr>
          <w:sz w:val="24"/>
          <w:szCs w:val="24"/>
        </w:rPr>
      </w:pPr>
    </w:p>
    <w:p w14:paraId="02BFB712">
      <w:pPr>
        <w:pStyle w:val="6"/>
        <w:keepLines w:val="0"/>
        <w:pageBreakBefore w:val="0"/>
        <w:kinsoku/>
        <w:wordWrap/>
        <w:overflowPunct/>
        <w:topLinePunct w:val="0"/>
        <w:bidi w:val="0"/>
        <w:spacing w:line="270" w:lineRule="auto"/>
        <w:rPr>
          <w:sz w:val="24"/>
          <w:szCs w:val="24"/>
        </w:rPr>
      </w:pPr>
    </w:p>
    <w:p w14:paraId="2EFA7E7E">
      <w:pPr>
        <w:pStyle w:val="6"/>
        <w:keepLines w:val="0"/>
        <w:pageBreakBefore w:val="0"/>
        <w:kinsoku/>
        <w:wordWrap/>
        <w:overflowPunct/>
        <w:topLinePunct w:val="0"/>
        <w:bidi w:val="0"/>
        <w:spacing w:line="271" w:lineRule="auto"/>
        <w:rPr>
          <w:sz w:val="24"/>
          <w:szCs w:val="24"/>
        </w:rPr>
      </w:pPr>
    </w:p>
    <w:p w14:paraId="337796C7">
      <w:pPr>
        <w:keepLines w:val="0"/>
        <w:pageBreakBefore w:val="0"/>
        <w:kinsoku/>
        <w:wordWrap/>
        <w:overflowPunct/>
        <w:topLinePunct w:val="0"/>
        <w:bidi w:val="0"/>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8"/>
          <w:sz w:val="24"/>
          <w:szCs w:val="24"/>
        </w:rPr>
        <w:t>_</w:t>
      </w:r>
    </w:p>
    <w:p w14:paraId="40942356">
      <w:pPr>
        <w:keepLines w:val="0"/>
        <w:pageBreakBefore w:val="0"/>
        <w:kinsoku/>
        <w:wordWrap/>
        <w:overflowPunct/>
        <w:topLinePunct w:val="0"/>
        <w:bidi w:val="0"/>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4793034B">
      <w:pPr>
        <w:keepLines w:val="0"/>
        <w:pageBreakBefore w:val="0"/>
        <w:kinsoku/>
        <w:wordWrap/>
        <w:overflowPunct/>
        <w:topLinePunct w:val="0"/>
        <w:bidi w:val="0"/>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14:paraId="131CA993">
      <w:pPr>
        <w:pStyle w:val="6"/>
        <w:keepLines w:val="0"/>
        <w:pageBreakBefore w:val="0"/>
        <w:kinsoku/>
        <w:wordWrap/>
        <w:overflowPunct/>
        <w:topLinePunct w:val="0"/>
        <w:bidi w:val="0"/>
        <w:spacing w:line="245" w:lineRule="auto"/>
        <w:rPr>
          <w:sz w:val="24"/>
          <w:szCs w:val="24"/>
        </w:rPr>
      </w:pPr>
    </w:p>
    <w:p w14:paraId="6DF058A6">
      <w:pPr>
        <w:pStyle w:val="6"/>
        <w:keepLines w:val="0"/>
        <w:pageBreakBefore w:val="0"/>
        <w:kinsoku/>
        <w:wordWrap/>
        <w:overflowPunct/>
        <w:topLinePunct w:val="0"/>
        <w:bidi w:val="0"/>
        <w:spacing w:line="245" w:lineRule="auto"/>
      </w:pPr>
    </w:p>
    <w:p w14:paraId="6CEE397A">
      <w:pPr>
        <w:pStyle w:val="6"/>
        <w:keepLines w:val="0"/>
        <w:pageBreakBefore w:val="0"/>
        <w:kinsoku/>
        <w:wordWrap/>
        <w:overflowPunct/>
        <w:topLinePunct w:val="0"/>
        <w:bidi w:val="0"/>
        <w:spacing w:line="245" w:lineRule="auto"/>
      </w:pPr>
    </w:p>
    <w:p w14:paraId="49B0DC6F">
      <w:pPr>
        <w:pStyle w:val="6"/>
        <w:keepLines w:val="0"/>
        <w:pageBreakBefore w:val="0"/>
        <w:kinsoku/>
        <w:wordWrap/>
        <w:overflowPunct/>
        <w:topLinePunct w:val="0"/>
        <w:bidi w:val="0"/>
        <w:spacing w:line="245" w:lineRule="auto"/>
      </w:pPr>
    </w:p>
    <w:p w14:paraId="1DB5A919">
      <w:pPr>
        <w:pStyle w:val="6"/>
        <w:keepLines w:val="0"/>
        <w:pageBreakBefore w:val="0"/>
        <w:kinsoku/>
        <w:wordWrap/>
        <w:overflowPunct/>
        <w:topLinePunct w:val="0"/>
        <w:bidi w:val="0"/>
        <w:spacing w:line="245" w:lineRule="auto"/>
      </w:pPr>
    </w:p>
    <w:p w14:paraId="5A92ABCF">
      <w:pPr>
        <w:pStyle w:val="6"/>
        <w:keepLines w:val="0"/>
        <w:pageBreakBefore w:val="0"/>
        <w:kinsoku/>
        <w:wordWrap/>
        <w:overflowPunct/>
        <w:topLinePunct w:val="0"/>
        <w:bidi w:val="0"/>
        <w:spacing w:line="245" w:lineRule="auto"/>
      </w:pPr>
    </w:p>
    <w:p w14:paraId="30C030D5">
      <w:pPr>
        <w:pStyle w:val="6"/>
        <w:keepLines w:val="0"/>
        <w:pageBreakBefore w:val="0"/>
        <w:kinsoku/>
        <w:wordWrap/>
        <w:overflowPunct/>
        <w:topLinePunct w:val="0"/>
        <w:bidi w:val="0"/>
        <w:spacing w:line="245" w:lineRule="auto"/>
      </w:pPr>
    </w:p>
    <w:p w14:paraId="1392F22E">
      <w:pPr>
        <w:pStyle w:val="6"/>
        <w:keepLines w:val="0"/>
        <w:pageBreakBefore w:val="0"/>
        <w:kinsoku/>
        <w:wordWrap/>
        <w:overflowPunct/>
        <w:topLinePunct w:val="0"/>
        <w:bidi w:val="0"/>
        <w:spacing w:line="246" w:lineRule="auto"/>
      </w:pPr>
    </w:p>
    <w:p w14:paraId="5ED81666">
      <w:pPr>
        <w:pStyle w:val="6"/>
        <w:keepLines w:val="0"/>
        <w:pageBreakBefore w:val="0"/>
        <w:kinsoku/>
        <w:wordWrap/>
        <w:overflowPunct/>
        <w:topLinePunct w:val="0"/>
        <w:bidi w:val="0"/>
        <w:spacing w:line="246" w:lineRule="auto"/>
      </w:pPr>
    </w:p>
    <w:p w14:paraId="47256DCD">
      <w:pPr>
        <w:pStyle w:val="6"/>
        <w:keepLines w:val="0"/>
        <w:pageBreakBefore w:val="0"/>
        <w:kinsoku/>
        <w:wordWrap/>
        <w:overflowPunct/>
        <w:topLinePunct w:val="0"/>
        <w:bidi w:val="0"/>
        <w:spacing w:line="246" w:lineRule="auto"/>
      </w:pPr>
    </w:p>
    <w:p w14:paraId="5CD03123">
      <w:pPr>
        <w:pStyle w:val="6"/>
        <w:keepLines w:val="0"/>
        <w:pageBreakBefore w:val="0"/>
        <w:kinsoku/>
        <w:wordWrap/>
        <w:overflowPunct/>
        <w:topLinePunct w:val="0"/>
        <w:bidi w:val="0"/>
        <w:spacing w:line="253" w:lineRule="auto"/>
      </w:pPr>
    </w:p>
    <w:p w14:paraId="38F4C44C">
      <w:pPr>
        <w:keepLines w:val="0"/>
        <w:pageBreakBefore w:val="0"/>
        <w:kinsoku/>
        <w:wordWrap/>
        <w:overflowPunct/>
        <w:topLinePunct w:val="0"/>
        <w:bidi w:val="0"/>
        <w:spacing w:before="65" w:line="231" w:lineRule="auto"/>
        <w:jc w:val="center"/>
        <w:outlineLvl w:val="3"/>
        <w:rPr>
          <w:rFonts w:ascii="仿宋" w:hAnsi="仿宋" w:eastAsia="仿宋" w:cs="仿宋"/>
          <w:b/>
          <w:bCs/>
          <w:spacing w:val="3"/>
          <w:sz w:val="24"/>
          <w:szCs w:val="24"/>
        </w:rPr>
      </w:pPr>
      <w:r>
        <w:rPr>
          <w:rFonts w:ascii="仿宋" w:hAnsi="仿宋" w:eastAsia="仿宋" w:cs="仿宋"/>
          <w:b/>
          <w:bCs/>
          <w:spacing w:val="3"/>
          <w:sz w:val="24"/>
          <w:szCs w:val="24"/>
        </w:rPr>
        <w:t>12.</w:t>
      </w:r>
      <w:r>
        <w:rPr>
          <w:rFonts w:hint="eastAsia" w:ascii="仿宋" w:hAnsi="仿宋" w:eastAsia="仿宋" w:cs="仿宋"/>
          <w:b/>
          <w:bCs/>
          <w:spacing w:val="3"/>
          <w:sz w:val="24"/>
          <w:szCs w:val="24"/>
          <w:lang w:val="en-US" w:eastAsia="zh-CN"/>
        </w:rPr>
        <w:t>保证金缴存证明（符合招标文件要求）</w:t>
      </w:r>
    </w:p>
    <w:p w14:paraId="72DE1219">
      <w:pPr>
        <w:keepLines w:val="0"/>
        <w:pageBreakBefore w:val="0"/>
        <w:kinsoku/>
        <w:wordWrap/>
        <w:overflowPunct/>
        <w:topLinePunct w:val="0"/>
        <w:bidi w:val="0"/>
        <w:rPr>
          <w:rFonts w:hint="eastAsia" w:ascii="仿宋" w:hAnsi="仿宋" w:eastAsia="仿宋" w:cs="仿宋"/>
          <w:b/>
          <w:bCs/>
          <w:spacing w:val="3"/>
          <w:sz w:val="20"/>
          <w:szCs w:val="20"/>
          <w:lang w:val="en-US" w:eastAsia="zh-CN"/>
        </w:rPr>
      </w:pPr>
      <w:r>
        <w:rPr>
          <w:rFonts w:hint="eastAsia" w:ascii="仿宋" w:hAnsi="仿宋" w:eastAsia="仿宋" w:cs="仿宋"/>
          <w:b/>
          <w:bCs/>
          <w:spacing w:val="3"/>
          <w:sz w:val="20"/>
          <w:szCs w:val="20"/>
          <w:lang w:val="en-US" w:eastAsia="zh-CN"/>
        </w:rPr>
        <w:br w:type="page"/>
      </w:r>
    </w:p>
    <w:p w14:paraId="6EE21759">
      <w:pPr>
        <w:keepLines w:val="0"/>
        <w:pageBreakBefore w:val="0"/>
        <w:kinsoku/>
        <w:wordWrap/>
        <w:overflowPunct/>
        <w:topLinePunct w:val="0"/>
        <w:bidi w:val="0"/>
        <w:spacing w:before="65" w:line="231" w:lineRule="auto"/>
        <w:ind w:left="4316"/>
        <w:outlineLvl w:val="3"/>
        <w:rPr>
          <w:rFonts w:ascii="仿宋" w:hAnsi="仿宋" w:eastAsia="仿宋" w:cs="仿宋"/>
          <w:sz w:val="24"/>
          <w:szCs w:val="24"/>
        </w:rPr>
      </w:pPr>
      <w:r>
        <w:rPr>
          <w:rFonts w:hint="eastAsia" w:ascii="仿宋" w:hAnsi="仿宋" w:eastAsia="仿宋" w:cs="仿宋"/>
          <w:b/>
          <w:bCs/>
          <w:spacing w:val="3"/>
          <w:sz w:val="24"/>
          <w:szCs w:val="24"/>
          <w:lang w:val="en-US" w:eastAsia="zh-CN"/>
        </w:rPr>
        <w:t>13.</w:t>
      </w:r>
      <w:r>
        <w:rPr>
          <w:rFonts w:ascii="仿宋" w:hAnsi="仿宋" w:eastAsia="仿宋" w:cs="仿宋"/>
          <w:b/>
          <w:bCs/>
          <w:spacing w:val="3"/>
          <w:sz w:val="24"/>
          <w:szCs w:val="24"/>
        </w:rPr>
        <w:t>方案</w:t>
      </w:r>
    </w:p>
    <w:p w14:paraId="62FED695">
      <w:pPr>
        <w:keepLines w:val="0"/>
        <w:pageBreakBefore w:val="0"/>
        <w:kinsoku/>
        <w:wordWrap/>
        <w:overflowPunct/>
        <w:topLinePunct w:val="0"/>
        <w:bidi w:val="0"/>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投标人结合详细评分标准表自附（格式自拟）</w:t>
      </w:r>
    </w:p>
    <w:p w14:paraId="225965F3">
      <w:pPr>
        <w:pStyle w:val="6"/>
        <w:keepLines w:val="0"/>
        <w:pageBreakBefore w:val="0"/>
        <w:kinsoku/>
        <w:wordWrap/>
        <w:overflowPunct/>
        <w:topLinePunct w:val="0"/>
        <w:bidi w:val="0"/>
        <w:spacing w:line="245" w:lineRule="auto"/>
        <w:rPr>
          <w:sz w:val="24"/>
          <w:szCs w:val="24"/>
        </w:rPr>
      </w:pPr>
    </w:p>
    <w:p w14:paraId="058B007A">
      <w:pPr>
        <w:pStyle w:val="6"/>
        <w:keepLines w:val="0"/>
        <w:pageBreakBefore w:val="0"/>
        <w:kinsoku/>
        <w:wordWrap/>
        <w:overflowPunct/>
        <w:topLinePunct w:val="0"/>
        <w:bidi w:val="0"/>
        <w:spacing w:line="245" w:lineRule="auto"/>
      </w:pPr>
    </w:p>
    <w:p w14:paraId="47F8751A">
      <w:pPr>
        <w:pStyle w:val="6"/>
        <w:keepLines w:val="0"/>
        <w:pageBreakBefore w:val="0"/>
        <w:kinsoku/>
        <w:wordWrap/>
        <w:overflowPunct/>
        <w:topLinePunct w:val="0"/>
        <w:bidi w:val="0"/>
        <w:spacing w:line="245" w:lineRule="auto"/>
      </w:pPr>
    </w:p>
    <w:p w14:paraId="173CBB84">
      <w:pPr>
        <w:pStyle w:val="6"/>
        <w:keepLines w:val="0"/>
        <w:pageBreakBefore w:val="0"/>
        <w:kinsoku/>
        <w:wordWrap/>
        <w:overflowPunct/>
        <w:topLinePunct w:val="0"/>
        <w:bidi w:val="0"/>
        <w:spacing w:line="245" w:lineRule="auto"/>
      </w:pPr>
    </w:p>
    <w:p w14:paraId="297AA5C5">
      <w:pPr>
        <w:pStyle w:val="6"/>
        <w:keepLines w:val="0"/>
        <w:pageBreakBefore w:val="0"/>
        <w:kinsoku/>
        <w:wordWrap/>
        <w:overflowPunct/>
        <w:topLinePunct w:val="0"/>
        <w:bidi w:val="0"/>
        <w:spacing w:line="245" w:lineRule="auto"/>
      </w:pPr>
    </w:p>
    <w:p w14:paraId="5C3F6EA2">
      <w:pPr>
        <w:pStyle w:val="6"/>
        <w:keepLines w:val="0"/>
        <w:pageBreakBefore w:val="0"/>
        <w:kinsoku/>
        <w:wordWrap/>
        <w:overflowPunct/>
        <w:topLinePunct w:val="0"/>
        <w:bidi w:val="0"/>
        <w:spacing w:line="245" w:lineRule="auto"/>
      </w:pPr>
    </w:p>
    <w:p w14:paraId="1F858203">
      <w:pPr>
        <w:pStyle w:val="6"/>
        <w:keepLines w:val="0"/>
        <w:pageBreakBefore w:val="0"/>
        <w:kinsoku/>
        <w:wordWrap/>
        <w:overflowPunct/>
        <w:topLinePunct w:val="0"/>
        <w:bidi w:val="0"/>
        <w:spacing w:line="245" w:lineRule="auto"/>
      </w:pPr>
    </w:p>
    <w:p w14:paraId="58195D82">
      <w:pPr>
        <w:pStyle w:val="6"/>
        <w:keepLines w:val="0"/>
        <w:pageBreakBefore w:val="0"/>
        <w:kinsoku/>
        <w:wordWrap/>
        <w:overflowPunct/>
        <w:topLinePunct w:val="0"/>
        <w:bidi w:val="0"/>
        <w:spacing w:line="245" w:lineRule="auto"/>
      </w:pPr>
    </w:p>
    <w:p w14:paraId="5AE2CCF7">
      <w:pPr>
        <w:pStyle w:val="6"/>
        <w:keepLines w:val="0"/>
        <w:pageBreakBefore w:val="0"/>
        <w:kinsoku/>
        <w:wordWrap/>
        <w:overflowPunct/>
        <w:topLinePunct w:val="0"/>
        <w:bidi w:val="0"/>
        <w:spacing w:line="245" w:lineRule="auto"/>
      </w:pPr>
    </w:p>
    <w:p w14:paraId="660B7B8A">
      <w:pPr>
        <w:pStyle w:val="6"/>
        <w:keepLines w:val="0"/>
        <w:pageBreakBefore w:val="0"/>
        <w:kinsoku/>
        <w:wordWrap/>
        <w:overflowPunct/>
        <w:topLinePunct w:val="0"/>
        <w:bidi w:val="0"/>
        <w:spacing w:line="245" w:lineRule="auto"/>
      </w:pPr>
    </w:p>
    <w:p w14:paraId="1AEBC7F2">
      <w:pPr>
        <w:pStyle w:val="6"/>
        <w:keepLines w:val="0"/>
        <w:pageBreakBefore w:val="0"/>
        <w:kinsoku/>
        <w:wordWrap/>
        <w:overflowPunct/>
        <w:topLinePunct w:val="0"/>
        <w:bidi w:val="0"/>
        <w:spacing w:line="245" w:lineRule="auto"/>
      </w:pPr>
    </w:p>
    <w:p w14:paraId="40EB53D8">
      <w:pPr>
        <w:pStyle w:val="6"/>
        <w:keepLines w:val="0"/>
        <w:pageBreakBefore w:val="0"/>
        <w:kinsoku/>
        <w:wordWrap/>
        <w:overflowPunct/>
        <w:topLinePunct w:val="0"/>
        <w:bidi w:val="0"/>
        <w:spacing w:line="245" w:lineRule="auto"/>
      </w:pPr>
    </w:p>
    <w:p w14:paraId="0B76F22D">
      <w:pPr>
        <w:pStyle w:val="6"/>
        <w:keepLines w:val="0"/>
        <w:pageBreakBefore w:val="0"/>
        <w:kinsoku/>
        <w:wordWrap/>
        <w:overflowPunct/>
        <w:topLinePunct w:val="0"/>
        <w:bidi w:val="0"/>
        <w:spacing w:line="245" w:lineRule="auto"/>
      </w:pPr>
    </w:p>
    <w:p w14:paraId="4A3702B4">
      <w:pPr>
        <w:pStyle w:val="6"/>
        <w:keepLines w:val="0"/>
        <w:pageBreakBefore w:val="0"/>
        <w:kinsoku/>
        <w:wordWrap/>
        <w:overflowPunct/>
        <w:topLinePunct w:val="0"/>
        <w:bidi w:val="0"/>
        <w:spacing w:line="245" w:lineRule="auto"/>
      </w:pPr>
    </w:p>
    <w:p w14:paraId="633E9371">
      <w:pPr>
        <w:pStyle w:val="6"/>
        <w:keepLines w:val="0"/>
        <w:pageBreakBefore w:val="0"/>
        <w:kinsoku/>
        <w:wordWrap/>
        <w:overflowPunct/>
        <w:topLinePunct w:val="0"/>
        <w:bidi w:val="0"/>
        <w:spacing w:line="245" w:lineRule="auto"/>
      </w:pPr>
    </w:p>
    <w:p w14:paraId="665D2954">
      <w:pPr>
        <w:pStyle w:val="6"/>
        <w:keepLines w:val="0"/>
        <w:pageBreakBefore w:val="0"/>
        <w:kinsoku/>
        <w:wordWrap/>
        <w:overflowPunct/>
        <w:topLinePunct w:val="0"/>
        <w:bidi w:val="0"/>
        <w:spacing w:line="245" w:lineRule="auto"/>
      </w:pPr>
    </w:p>
    <w:p w14:paraId="646EF643">
      <w:pPr>
        <w:pStyle w:val="6"/>
        <w:keepLines w:val="0"/>
        <w:pageBreakBefore w:val="0"/>
        <w:kinsoku/>
        <w:wordWrap/>
        <w:overflowPunct/>
        <w:topLinePunct w:val="0"/>
        <w:bidi w:val="0"/>
        <w:spacing w:line="245" w:lineRule="auto"/>
      </w:pPr>
    </w:p>
    <w:p w14:paraId="531F07D3">
      <w:pPr>
        <w:pStyle w:val="6"/>
        <w:keepLines w:val="0"/>
        <w:pageBreakBefore w:val="0"/>
        <w:kinsoku/>
        <w:wordWrap/>
        <w:overflowPunct/>
        <w:topLinePunct w:val="0"/>
        <w:bidi w:val="0"/>
        <w:spacing w:line="246" w:lineRule="auto"/>
      </w:pPr>
    </w:p>
    <w:p w14:paraId="5A4CDFFA">
      <w:pPr>
        <w:pStyle w:val="6"/>
        <w:keepLines w:val="0"/>
        <w:pageBreakBefore w:val="0"/>
        <w:kinsoku/>
        <w:wordWrap/>
        <w:overflowPunct/>
        <w:topLinePunct w:val="0"/>
        <w:bidi w:val="0"/>
        <w:spacing w:line="246" w:lineRule="auto"/>
      </w:pPr>
    </w:p>
    <w:p w14:paraId="20B14181">
      <w:pPr>
        <w:pStyle w:val="6"/>
        <w:keepLines w:val="0"/>
        <w:pageBreakBefore w:val="0"/>
        <w:kinsoku/>
        <w:wordWrap/>
        <w:overflowPunct/>
        <w:topLinePunct w:val="0"/>
        <w:bidi w:val="0"/>
        <w:spacing w:line="246" w:lineRule="auto"/>
      </w:pPr>
    </w:p>
    <w:p w14:paraId="0BF938B7">
      <w:pPr>
        <w:pStyle w:val="6"/>
        <w:keepLines w:val="0"/>
        <w:pageBreakBefore w:val="0"/>
        <w:kinsoku/>
        <w:wordWrap/>
        <w:overflowPunct/>
        <w:topLinePunct w:val="0"/>
        <w:bidi w:val="0"/>
        <w:spacing w:line="246" w:lineRule="auto"/>
      </w:pPr>
    </w:p>
    <w:p w14:paraId="5B8E47DD">
      <w:pPr>
        <w:keepLines w:val="0"/>
        <w:pageBreakBefore w:val="0"/>
        <w:kinsoku/>
        <w:wordWrap/>
        <w:overflowPunct/>
        <w:topLinePunct w:val="0"/>
        <w:bidi w:val="0"/>
      </w:pPr>
      <w:r>
        <w:br w:type="page"/>
      </w:r>
    </w:p>
    <w:p w14:paraId="1BDECF0D">
      <w:pPr>
        <w:pStyle w:val="6"/>
        <w:keepLines w:val="0"/>
        <w:pageBreakBefore w:val="0"/>
        <w:kinsoku/>
        <w:wordWrap/>
        <w:overflowPunct/>
        <w:topLinePunct w:val="0"/>
        <w:bidi w:val="0"/>
        <w:spacing w:line="246" w:lineRule="auto"/>
      </w:pPr>
    </w:p>
    <w:p w14:paraId="52E6E23D">
      <w:pPr>
        <w:keepLines w:val="0"/>
        <w:pageBreakBefore w:val="0"/>
        <w:kinsoku/>
        <w:wordWrap/>
        <w:overflowPunct/>
        <w:topLinePunct w:val="0"/>
        <w:bidi w:val="0"/>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4</w:t>
      </w:r>
      <w:r>
        <w:rPr>
          <w:rFonts w:ascii="仿宋" w:hAnsi="仿宋" w:eastAsia="仿宋" w:cs="仿宋"/>
          <w:b/>
          <w:bCs/>
          <w:spacing w:val="4"/>
          <w:sz w:val="24"/>
          <w:szCs w:val="24"/>
        </w:rPr>
        <w:t>.其它证明材料</w:t>
      </w:r>
    </w:p>
    <w:p w14:paraId="367ADE26">
      <w:pPr>
        <w:keepLines w:val="0"/>
        <w:pageBreakBefore w:val="0"/>
        <w:kinsoku/>
        <w:wordWrap/>
        <w:overflowPunct/>
        <w:topLinePunct w:val="0"/>
        <w:bidi w:val="0"/>
        <w:spacing w:before="143" w:line="229" w:lineRule="auto"/>
        <w:ind w:left="642"/>
        <w:jc w:val="center"/>
        <w:rPr>
          <w:rFonts w:ascii="仿宋" w:hAnsi="仿宋" w:eastAsia="仿宋" w:cs="仿宋"/>
          <w:sz w:val="24"/>
          <w:szCs w:val="24"/>
        </w:rPr>
        <w:sectPr>
          <w:footerReference r:id="rId10" w:type="default"/>
          <w:pgSz w:w="11906" w:h="16839"/>
          <w:pgMar w:top="1440" w:right="1080" w:bottom="1440" w:left="1080" w:header="0" w:footer="1054" w:gutter="0"/>
          <w:pgNumType w:fmt="decimal"/>
          <w:cols w:space="720" w:num="1"/>
        </w:sectPr>
      </w:pPr>
      <w:r>
        <w:rPr>
          <w:rFonts w:hint="eastAsia" w:ascii="仿宋" w:hAnsi="仿宋" w:eastAsia="仿宋" w:cs="仿宋"/>
          <w:spacing w:val="9"/>
          <w:sz w:val="24"/>
          <w:szCs w:val="24"/>
          <w:lang w:eastAsia="zh-CN"/>
        </w:rPr>
        <w:t>投标人</w:t>
      </w:r>
      <w:r>
        <w:rPr>
          <w:rFonts w:ascii="仿宋" w:hAnsi="仿宋" w:eastAsia="仿宋" w:cs="仿宋"/>
          <w:spacing w:val="9"/>
          <w:sz w:val="24"/>
          <w:szCs w:val="24"/>
        </w:rPr>
        <w:t>根据评标办法认为对其参与评审有利的其它证明材料（格式自</w:t>
      </w:r>
      <w:r>
        <w:rPr>
          <w:rFonts w:ascii="仿宋" w:hAnsi="仿宋" w:eastAsia="仿宋" w:cs="仿宋"/>
          <w:spacing w:val="8"/>
          <w:sz w:val="24"/>
          <w:szCs w:val="24"/>
        </w:rPr>
        <w:t>拟）。</w:t>
      </w:r>
    </w:p>
    <w:p w14:paraId="7D40DAA2">
      <w:pPr>
        <w:keepLines w:val="0"/>
        <w:pageBreakBefore w:val="0"/>
        <w:kinsoku/>
        <w:wordWrap/>
        <w:overflowPunct/>
        <w:topLinePunct w:val="0"/>
        <w:bidi w:val="0"/>
        <w:spacing w:before="42" w:line="232" w:lineRule="auto"/>
        <w:jc w:val="center"/>
        <w:outlineLvl w:val="3"/>
        <w:rPr>
          <w:rFonts w:ascii="仿宋" w:hAnsi="仿宋" w:eastAsia="仿宋" w:cs="仿宋"/>
          <w:sz w:val="24"/>
          <w:szCs w:val="24"/>
        </w:rPr>
      </w:pPr>
      <w:r>
        <w:rPr>
          <w:rFonts w:ascii="仿宋" w:hAnsi="仿宋" w:eastAsia="仿宋" w:cs="仿宋"/>
          <w:b/>
          <w:bCs/>
          <w:spacing w:val="2"/>
          <w:sz w:val="24"/>
          <w:szCs w:val="24"/>
        </w:rPr>
        <w:t>1</w:t>
      </w:r>
      <w:r>
        <w:rPr>
          <w:rFonts w:hint="eastAsia" w:ascii="仿宋" w:hAnsi="仿宋" w:eastAsia="仿宋" w:cs="仿宋"/>
          <w:b/>
          <w:bCs/>
          <w:spacing w:val="2"/>
          <w:sz w:val="24"/>
          <w:szCs w:val="24"/>
          <w:lang w:val="en-US" w:eastAsia="zh-CN"/>
        </w:rPr>
        <w:t>5</w:t>
      </w:r>
      <w:r>
        <w:rPr>
          <w:rFonts w:ascii="仿宋" w:hAnsi="仿宋" w:eastAsia="仿宋" w:cs="仿宋"/>
          <w:b/>
          <w:bCs/>
          <w:spacing w:val="2"/>
          <w:sz w:val="24"/>
          <w:szCs w:val="24"/>
        </w:rPr>
        <w:t>.声明函</w:t>
      </w:r>
    </w:p>
    <w:p w14:paraId="4AF6C468">
      <w:pPr>
        <w:pStyle w:val="6"/>
        <w:keepLines w:val="0"/>
        <w:pageBreakBefore w:val="0"/>
        <w:kinsoku/>
        <w:wordWrap/>
        <w:overflowPunct/>
        <w:topLinePunct w:val="0"/>
        <w:bidi w:val="0"/>
        <w:spacing w:line="388" w:lineRule="auto"/>
      </w:pPr>
    </w:p>
    <w:p w14:paraId="6F3EF5BC">
      <w:pPr>
        <w:keepNext w:val="0"/>
        <w:keepLines w:val="0"/>
        <w:pageBreakBefore w:val="0"/>
        <w:widowControl/>
        <w:suppressLineNumbers w:val="0"/>
        <w:kinsoku/>
        <w:wordWrap/>
        <w:overflowPunct/>
        <w:topLinePunct w:val="0"/>
        <w:bidi w:val="0"/>
        <w:snapToGrid/>
        <w:spacing w:line="520" w:lineRule="exact"/>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lang w:val="en-US" w:eastAsia="zh-CN" w:bidi="ar"/>
        </w:rPr>
        <w:t>中小企业声明函（货物）</w:t>
      </w:r>
    </w:p>
    <w:p w14:paraId="24B0DDD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7AC7FE5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）行业</w:t>
      </w:r>
      <w:r>
        <w:rPr>
          <w:rFonts w:hint="eastAsia" w:ascii="宋体" w:hAnsi="宋体" w:eastAsia="宋体" w:cs="宋体"/>
          <w:color w:val="000000"/>
          <w:kern w:val="0"/>
          <w:sz w:val="24"/>
          <w:szCs w:val="24"/>
          <w:lang w:val="en-US" w:eastAsia="zh-CN" w:bidi="ar"/>
        </w:rPr>
        <w:t xml:space="preserve"> ；制造商为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65A6915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 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 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 企业、微型企业）</w:t>
      </w:r>
      <w:r>
        <w:rPr>
          <w:rFonts w:hint="eastAsia" w:ascii="宋体" w:hAnsi="宋体" w:eastAsia="宋体" w:cs="宋体"/>
          <w:color w:val="000000"/>
          <w:kern w:val="0"/>
          <w:sz w:val="24"/>
          <w:szCs w:val="24"/>
          <w:lang w:val="en-US" w:eastAsia="zh-CN" w:bidi="ar"/>
        </w:rPr>
        <w:t xml:space="preserve">； </w:t>
      </w:r>
    </w:p>
    <w:p w14:paraId="44F1330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1774ADD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6A603427">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74E2AC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企业名称（盖章）： </w:t>
      </w:r>
    </w:p>
    <w:p w14:paraId="5CAD6D7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3660" w:firstLineChars="1525"/>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 期： </w:t>
      </w:r>
    </w:p>
    <w:p w14:paraId="328864A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1从业人员、营业收入、资产总额填报上一年度数据，无上一年度数据的新成立企业可不填报。</w:t>
      </w:r>
    </w:p>
    <w:p w14:paraId="489F4A4E">
      <w:pPr>
        <w:pStyle w:val="6"/>
        <w:keepLines w:val="0"/>
        <w:pageBreakBefore w:val="0"/>
        <w:kinsoku/>
        <w:wordWrap/>
        <w:overflowPunct/>
        <w:topLinePunct w:val="0"/>
        <w:bidi w:val="0"/>
        <w:spacing w:line="257" w:lineRule="auto"/>
      </w:pPr>
    </w:p>
    <w:p w14:paraId="741FE22A">
      <w:pPr>
        <w:pStyle w:val="6"/>
        <w:keepLines w:val="0"/>
        <w:pageBreakBefore w:val="0"/>
        <w:kinsoku/>
        <w:wordWrap/>
        <w:overflowPunct/>
        <w:topLinePunct w:val="0"/>
        <w:bidi w:val="0"/>
        <w:spacing w:line="257" w:lineRule="auto"/>
      </w:pPr>
    </w:p>
    <w:p w14:paraId="31DA4718">
      <w:pPr>
        <w:pStyle w:val="6"/>
        <w:keepLines w:val="0"/>
        <w:pageBreakBefore w:val="0"/>
        <w:kinsoku/>
        <w:wordWrap/>
        <w:overflowPunct/>
        <w:topLinePunct w:val="0"/>
        <w:bidi w:val="0"/>
        <w:spacing w:line="257" w:lineRule="auto"/>
      </w:pPr>
    </w:p>
    <w:p w14:paraId="782F866F">
      <w:pPr>
        <w:pStyle w:val="6"/>
        <w:keepLines w:val="0"/>
        <w:pageBreakBefore w:val="0"/>
        <w:kinsoku/>
        <w:wordWrap/>
        <w:overflowPunct/>
        <w:topLinePunct w:val="0"/>
        <w:bidi w:val="0"/>
        <w:spacing w:line="257" w:lineRule="auto"/>
      </w:pPr>
    </w:p>
    <w:p w14:paraId="59BEA114">
      <w:pPr>
        <w:pStyle w:val="26"/>
        <w:keepLines w:val="0"/>
        <w:pageBreakBefore w:val="0"/>
        <w:kinsoku/>
        <w:wordWrap/>
        <w:overflowPunct/>
        <w:topLinePunct w:val="0"/>
        <w:bidi w:val="0"/>
      </w:pPr>
    </w:p>
    <w:p w14:paraId="03E38319">
      <w:pPr>
        <w:keepLines w:val="0"/>
        <w:pageBreakBefore w:val="0"/>
        <w:kinsoku/>
        <w:wordWrap/>
        <w:overflowPunct/>
        <w:topLinePunct w:val="0"/>
        <w:bidi w:val="0"/>
      </w:pPr>
    </w:p>
    <w:p w14:paraId="7A693F64">
      <w:pPr>
        <w:keepLines w:val="0"/>
        <w:pageBreakBefore w:val="0"/>
        <w:kinsoku/>
        <w:wordWrap/>
        <w:overflowPunct/>
        <w:topLinePunct w:val="0"/>
        <w:bidi w:val="0"/>
      </w:pPr>
    </w:p>
    <w:p w14:paraId="741F2CB6">
      <w:pPr>
        <w:pStyle w:val="6"/>
        <w:keepLines w:val="0"/>
        <w:pageBreakBefore w:val="0"/>
        <w:kinsoku/>
        <w:wordWrap/>
        <w:overflowPunct/>
        <w:topLinePunct w:val="0"/>
        <w:bidi w:val="0"/>
        <w:spacing w:line="257" w:lineRule="auto"/>
      </w:pPr>
    </w:p>
    <w:p w14:paraId="490DA212">
      <w:pPr>
        <w:pStyle w:val="6"/>
        <w:keepLines w:val="0"/>
        <w:pageBreakBefore w:val="0"/>
        <w:kinsoku/>
        <w:wordWrap/>
        <w:overflowPunct/>
        <w:topLinePunct w:val="0"/>
        <w:bidi w:val="0"/>
        <w:spacing w:line="257" w:lineRule="auto"/>
      </w:pPr>
    </w:p>
    <w:p w14:paraId="3E4427C8">
      <w:pPr>
        <w:pStyle w:val="6"/>
        <w:keepLines w:val="0"/>
        <w:pageBreakBefore w:val="0"/>
        <w:kinsoku/>
        <w:wordWrap/>
        <w:overflowPunct/>
        <w:topLinePunct w:val="0"/>
        <w:bidi w:val="0"/>
        <w:spacing w:line="257" w:lineRule="auto"/>
        <w:rPr>
          <w:rFonts w:hint="eastAsia" w:ascii="仿宋" w:hAnsi="仿宋" w:eastAsia="仿宋" w:cs="仿宋"/>
        </w:rPr>
      </w:pPr>
    </w:p>
    <w:p w14:paraId="214F266C">
      <w:pPr>
        <w:pStyle w:val="26"/>
        <w:keepLines w:val="0"/>
        <w:pageBreakBefore w:val="0"/>
        <w:kinsoku/>
        <w:wordWrap/>
        <w:overflowPunct/>
        <w:topLinePunct w:val="0"/>
        <w:bidi w:val="0"/>
        <w:rPr>
          <w:rFonts w:hint="eastAsia"/>
        </w:rPr>
      </w:pPr>
    </w:p>
    <w:p w14:paraId="67D4E6DD">
      <w:pPr>
        <w:keepLines w:val="0"/>
        <w:pageBreakBefore w:val="0"/>
        <w:kinsoku/>
        <w:wordWrap/>
        <w:overflowPunct/>
        <w:topLinePunct w:val="0"/>
        <w:bidi w:val="0"/>
        <w:rPr>
          <w:rFonts w:hint="eastAsia"/>
        </w:rPr>
      </w:pPr>
    </w:p>
    <w:p w14:paraId="7B016CB2">
      <w:pPr>
        <w:keepLines w:val="0"/>
        <w:pageBreakBefore w:val="0"/>
        <w:kinsoku/>
        <w:wordWrap/>
        <w:overflowPunct/>
        <w:topLinePunct w:val="0"/>
        <w:bidi w:val="0"/>
        <w:rPr>
          <w:rFonts w:hint="eastAsia"/>
        </w:rPr>
      </w:pPr>
    </w:p>
    <w:p w14:paraId="44B3668A">
      <w:pPr>
        <w:keepLines w:val="0"/>
        <w:pageBreakBefore w:val="0"/>
        <w:kinsoku/>
        <w:wordWrap/>
        <w:overflowPunct/>
        <w:topLinePunct w:val="0"/>
        <w:bidi w:val="0"/>
        <w:spacing w:before="136" w:line="219" w:lineRule="auto"/>
        <w:ind w:left="2763"/>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14:paraId="1021C0BF">
      <w:pPr>
        <w:pStyle w:val="6"/>
        <w:keepLines w:val="0"/>
        <w:pageBreakBefore w:val="0"/>
        <w:kinsoku/>
        <w:wordWrap/>
        <w:overflowPunct/>
        <w:topLinePunct w:val="0"/>
        <w:bidi w:val="0"/>
        <w:spacing w:line="245" w:lineRule="auto"/>
        <w:rPr>
          <w:rFonts w:hint="eastAsia" w:ascii="仿宋" w:hAnsi="仿宋" w:eastAsia="仿宋" w:cs="仿宋"/>
          <w:sz w:val="24"/>
          <w:szCs w:val="24"/>
        </w:rPr>
      </w:pPr>
    </w:p>
    <w:p w14:paraId="399F4692">
      <w:pPr>
        <w:pStyle w:val="6"/>
        <w:keepLines w:val="0"/>
        <w:pageBreakBefore w:val="0"/>
        <w:kinsoku/>
        <w:wordWrap/>
        <w:overflowPunct/>
        <w:topLinePunct w:val="0"/>
        <w:bidi w:val="0"/>
        <w:spacing w:line="245" w:lineRule="auto"/>
        <w:rPr>
          <w:rFonts w:hint="eastAsia" w:ascii="仿宋" w:hAnsi="仿宋" w:eastAsia="仿宋" w:cs="仿宋"/>
          <w:sz w:val="24"/>
          <w:szCs w:val="24"/>
        </w:rPr>
      </w:pPr>
    </w:p>
    <w:p w14:paraId="6A1F2159">
      <w:pPr>
        <w:keepLines w:val="0"/>
        <w:pageBreakBefore w:val="0"/>
        <w:kinsoku/>
        <w:wordWrap/>
        <w:overflowPunct/>
        <w:topLinePunct w:val="0"/>
        <w:bidi w:val="0"/>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8"/>
          <w:sz w:val="24"/>
          <w:szCs w:val="24"/>
        </w:rPr>
        <w:t xml:space="preserve"> </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（财库〔2017〕141号）的规定，本单位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14:paraId="5C1F4451">
      <w:pPr>
        <w:pStyle w:val="6"/>
        <w:keepLines w:val="0"/>
        <w:pageBreakBefore w:val="0"/>
        <w:kinsoku/>
        <w:wordWrap/>
        <w:overflowPunct/>
        <w:topLinePunct w:val="0"/>
        <w:bidi w:val="0"/>
        <w:spacing w:line="275" w:lineRule="auto"/>
        <w:rPr>
          <w:rFonts w:hint="eastAsia" w:ascii="仿宋" w:hAnsi="仿宋" w:eastAsia="仿宋" w:cs="仿宋"/>
          <w:sz w:val="24"/>
          <w:szCs w:val="24"/>
        </w:rPr>
      </w:pPr>
    </w:p>
    <w:p w14:paraId="46A52D00">
      <w:pPr>
        <w:keepLines w:val="0"/>
        <w:pageBreakBefore w:val="0"/>
        <w:kinsoku/>
        <w:wordWrap/>
        <w:overflowPunct/>
        <w:topLinePunct w:val="0"/>
        <w:bidi w:val="0"/>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14:paraId="27D0C29A">
      <w:pPr>
        <w:pStyle w:val="6"/>
        <w:keepLines w:val="0"/>
        <w:pageBreakBefore w:val="0"/>
        <w:kinsoku/>
        <w:wordWrap/>
        <w:overflowPunct/>
        <w:topLinePunct w:val="0"/>
        <w:bidi w:val="0"/>
        <w:spacing w:line="296" w:lineRule="auto"/>
        <w:rPr>
          <w:rFonts w:hint="eastAsia" w:ascii="仿宋" w:hAnsi="仿宋" w:eastAsia="仿宋" w:cs="仿宋"/>
          <w:sz w:val="24"/>
          <w:szCs w:val="24"/>
        </w:rPr>
      </w:pPr>
    </w:p>
    <w:p w14:paraId="249CC016">
      <w:pPr>
        <w:pStyle w:val="6"/>
        <w:keepLines w:val="0"/>
        <w:pageBreakBefore w:val="0"/>
        <w:kinsoku/>
        <w:wordWrap/>
        <w:overflowPunct/>
        <w:topLinePunct w:val="0"/>
        <w:bidi w:val="0"/>
        <w:spacing w:line="296" w:lineRule="auto"/>
        <w:rPr>
          <w:rFonts w:hint="eastAsia" w:ascii="仿宋" w:hAnsi="仿宋" w:eastAsia="仿宋" w:cs="仿宋"/>
          <w:sz w:val="24"/>
          <w:szCs w:val="24"/>
        </w:rPr>
      </w:pPr>
    </w:p>
    <w:p w14:paraId="361F805C">
      <w:pPr>
        <w:pStyle w:val="6"/>
        <w:keepLines w:val="0"/>
        <w:pageBreakBefore w:val="0"/>
        <w:kinsoku/>
        <w:wordWrap/>
        <w:overflowPunct/>
        <w:topLinePunct w:val="0"/>
        <w:bidi w:val="0"/>
        <w:spacing w:line="297" w:lineRule="auto"/>
        <w:rPr>
          <w:rFonts w:hint="eastAsia" w:ascii="仿宋" w:hAnsi="仿宋" w:eastAsia="仿宋" w:cs="仿宋"/>
          <w:sz w:val="24"/>
          <w:szCs w:val="24"/>
        </w:rPr>
      </w:pPr>
    </w:p>
    <w:p w14:paraId="0D46FA58">
      <w:pPr>
        <w:pStyle w:val="6"/>
        <w:keepLines w:val="0"/>
        <w:pageBreakBefore w:val="0"/>
        <w:kinsoku/>
        <w:wordWrap/>
        <w:overflowPunct/>
        <w:topLinePunct w:val="0"/>
        <w:bidi w:val="0"/>
        <w:spacing w:line="297" w:lineRule="auto"/>
        <w:rPr>
          <w:rFonts w:hint="eastAsia" w:ascii="仿宋" w:hAnsi="仿宋" w:eastAsia="仿宋" w:cs="仿宋"/>
          <w:sz w:val="24"/>
          <w:szCs w:val="24"/>
        </w:rPr>
      </w:pPr>
    </w:p>
    <w:p w14:paraId="4A805AF5">
      <w:pPr>
        <w:keepLines w:val="0"/>
        <w:pageBreakBefore w:val="0"/>
        <w:kinsoku/>
        <w:wordWrap/>
        <w:overflowPunct/>
        <w:topLinePunct w:val="0"/>
        <w:bidi w:val="0"/>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lang w:eastAsia="zh-CN"/>
        </w:rPr>
        <w:t>投标人</w:t>
      </w:r>
      <w:r>
        <w:rPr>
          <w:rFonts w:hint="eastAsia" w:ascii="仿宋" w:hAnsi="仿宋" w:eastAsia="仿宋" w:cs="仿宋"/>
          <w:spacing w:val="19"/>
          <w:sz w:val="24"/>
          <w:szCs w:val="24"/>
        </w:rPr>
        <w:t>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14:paraId="3620FA69">
      <w:pPr>
        <w:keepLines w:val="0"/>
        <w:pageBreakBefore w:val="0"/>
        <w:kinsoku/>
        <w:wordWrap/>
        <w:overflowPunct/>
        <w:topLinePunct w:val="0"/>
        <w:bidi w:val="0"/>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法定代表人或其授权委托人(签字)：</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14:paraId="40672B23">
      <w:pPr>
        <w:keepLines w:val="0"/>
        <w:pageBreakBefore w:val="0"/>
        <w:tabs>
          <w:tab w:val="left" w:pos="4665"/>
        </w:tabs>
        <w:kinsoku/>
        <w:wordWrap/>
        <w:overflowPunct/>
        <w:topLinePunct w:val="0"/>
        <w:bidi w:val="0"/>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14:paraId="0D0961BB">
      <w:pPr>
        <w:pStyle w:val="6"/>
        <w:keepLines w:val="0"/>
        <w:pageBreakBefore w:val="0"/>
        <w:kinsoku/>
        <w:wordWrap/>
        <w:overflowPunct/>
        <w:topLinePunct w:val="0"/>
        <w:bidi w:val="0"/>
        <w:spacing w:line="262" w:lineRule="auto"/>
        <w:rPr>
          <w:rFonts w:hint="eastAsia" w:ascii="仿宋" w:hAnsi="仿宋" w:eastAsia="仿宋" w:cs="仿宋"/>
          <w:sz w:val="24"/>
          <w:szCs w:val="24"/>
        </w:rPr>
      </w:pPr>
    </w:p>
    <w:p w14:paraId="7281A026">
      <w:pPr>
        <w:pStyle w:val="6"/>
        <w:keepLines w:val="0"/>
        <w:pageBreakBefore w:val="0"/>
        <w:kinsoku/>
        <w:wordWrap/>
        <w:overflowPunct/>
        <w:topLinePunct w:val="0"/>
        <w:bidi w:val="0"/>
        <w:spacing w:line="262" w:lineRule="auto"/>
        <w:rPr>
          <w:rFonts w:hint="eastAsia" w:ascii="仿宋" w:hAnsi="仿宋" w:eastAsia="仿宋" w:cs="仿宋"/>
          <w:sz w:val="24"/>
          <w:szCs w:val="24"/>
        </w:rPr>
      </w:pPr>
    </w:p>
    <w:p w14:paraId="3DCAB42F">
      <w:pPr>
        <w:pStyle w:val="6"/>
        <w:keepLines w:val="0"/>
        <w:pageBreakBefore w:val="0"/>
        <w:kinsoku/>
        <w:wordWrap/>
        <w:overflowPunct/>
        <w:topLinePunct w:val="0"/>
        <w:bidi w:val="0"/>
        <w:spacing w:line="263" w:lineRule="auto"/>
        <w:rPr>
          <w:rFonts w:hint="eastAsia" w:ascii="仿宋" w:hAnsi="仿宋" w:eastAsia="仿宋" w:cs="仿宋"/>
          <w:sz w:val="24"/>
          <w:szCs w:val="24"/>
        </w:rPr>
      </w:pPr>
    </w:p>
    <w:p w14:paraId="7A6AAD80">
      <w:pPr>
        <w:keepLines w:val="0"/>
        <w:pageBreakBefore w:val="0"/>
        <w:kinsoku/>
        <w:wordWrap/>
        <w:overflowPunct/>
        <w:topLinePunct w:val="0"/>
        <w:bidi w:val="0"/>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w:t>
      </w:r>
      <w:r>
        <w:rPr>
          <w:rFonts w:hint="eastAsia" w:ascii="仿宋" w:hAnsi="仿宋" w:eastAsia="仿宋" w:cs="仿宋"/>
          <w:sz w:val="24"/>
          <w:szCs w:val="24"/>
        </w:rPr>
        <w:t xml:space="preserve"> </w:t>
      </w:r>
      <w:r>
        <w:rPr>
          <w:rFonts w:hint="eastAsia" w:ascii="仿宋" w:hAnsi="仿宋" w:eastAsia="仿宋" w:cs="仿宋"/>
          <w:spacing w:val="-1"/>
          <w:sz w:val="24"/>
          <w:szCs w:val="24"/>
        </w:rPr>
        <w:t>通知》（财库〔2017〕 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不满足此要求则无须提供，一旦提供将视为满足其要求，如有虚假，将</w:t>
      </w:r>
      <w:r>
        <w:rPr>
          <w:rFonts w:hint="eastAsia" w:ascii="仿宋" w:hAnsi="仿宋" w:eastAsia="仿宋" w:cs="仿宋"/>
          <w:sz w:val="24"/>
          <w:szCs w:val="24"/>
        </w:rPr>
        <w:t xml:space="preserve"> </w:t>
      </w:r>
      <w:r>
        <w:rPr>
          <w:rFonts w:hint="eastAsia" w:ascii="仿宋" w:hAnsi="仿宋" w:eastAsia="仿宋" w:cs="仿宋"/>
          <w:spacing w:val="-1"/>
          <w:sz w:val="24"/>
          <w:szCs w:val="24"/>
        </w:rPr>
        <w:t>依法承担相应责任。</w:t>
      </w:r>
    </w:p>
    <w:p w14:paraId="57C073B9">
      <w:pPr>
        <w:keepLines w:val="0"/>
        <w:pageBreakBefore w:val="0"/>
        <w:kinsoku/>
        <w:wordWrap/>
        <w:overflowPunct/>
        <w:topLinePunct w:val="0"/>
        <w:bidi w:val="0"/>
        <w:spacing w:line="233" w:lineRule="auto"/>
        <w:rPr>
          <w:rFonts w:ascii="宋体" w:hAnsi="宋体" w:eastAsia="宋体" w:cs="宋体"/>
          <w:sz w:val="24"/>
          <w:szCs w:val="24"/>
        </w:rPr>
        <w:sectPr>
          <w:footerReference r:id="rId11" w:type="default"/>
          <w:pgSz w:w="11905" w:h="16838"/>
          <w:pgMar w:top="1440" w:right="1786" w:bottom="1440" w:left="1786" w:header="850" w:footer="850" w:gutter="0"/>
          <w:pgNumType w:fmt="decimal"/>
          <w:cols w:space="0" w:num="1"/>
          <w:rtlGutter w:val="0"/>
          <w:docGrid w:linePitch="0" w:charSpace="0"/>
        </w:sectPr>
      </w:pPr>
    </w:p>
    <w:p w14:paraId="7FA61931">
      <w:pPr>
        <w:keepLines w:val="0"/>
        <w:pageBreakBefore w:val="0"/>
        <w:kinsoku/>
        <w:wordWrap/>
        <w:overflowPunct/>
        <w:topLinePunct w:val="0"/>
        <w:bidi w:val="0"/>
        <w:spacing w:before="49" w:line="223" w:lineRule="auto"/>
        <w:ind w:left="3695"/>
        <w:rPr>
          <w:rFonts w:ascii="仿宋" w:hAnsi="仿宋" w:eastAsia="仿宋" w:cs="仿宋"/>
          <w:sz w:val="24"/>
          <w:szCs w:val="24"/>
        </w:rPr>
      </w:pPr>
      <w:r>
        <w:rPr>
          <w:rFonts w:ascii="仿宋" w:hAnsi="仿宋" w:eastAsia="仿宋" w:cs="仿宋"/>
          <w:spacing w:val="-3"/>
          <w:sz w:val="24"/>
          <w:szCs w:val="24"/>
        </w:rPr>
        <w:t>（三）监狱企业声明函</w:t>
      </w:r>
    </w:p>
    <w:p w14:paraId="0D5D3598">
      <w:pPr>
        <w:pStyle w:val="6"/>
        <w:keepLines w:val="0"/>
        <w:pageBreakBefore w:val="0"/>
        <w:kinsoku/>
        <w:wordWrap/>
        <w:overflowPunct/>
        <w:topLinePunct w:val="0"/>
        <w:bidi w:val="0"/>
        <w:spacing w:line="296" w:lineRule="auto"/>
        <w:rPr>
          <w:sz w:val="24"/>
          <w:szCs w:val="24"/>
        </w:rPr>
      </w:pPr>
    </w:p>
    <w:p w14:paraId="4F403C29">
      <w:pPr>
        <w:pStyle w:val="6"/>
        <w:keepLines w:val="0"/>
        <w:pageBreakBefore w:val="0"/>
        <w:kinsoku/>
        <w:wordWrap/>
        <w:overflowPunct/>
        <w:topLinePunct w:val="0"/>
        <w:bidi w:val="0"/>
        <w:spacing w:line="296" w:lineRule="auto"/>
        <w:rPr>
          <w:sz w:val="24"/>
          <w:szCs w:val="24"/>
        </w:rPr>
      </w:pPr>
    </w:p>
    <w:p w14:paraId="1A1F685E">
      <w:pPr>
        <w:keepLines w:val="0"/>
        <w:pageBreakBefore w:val="0"/>
        <w:kinsoku/>
        <w:wordWrap/>
        <w:overflowPunct/>
        <w:topLinePunct w:val="0"/>
        <w:bidi w:val="0"/>
        <w:spacing w:before="65" w:line="576" w:lineRule="auto"/>
        <w:ind w:left="26" w:firstLine="432"/>
        <w:jc w:val="both"/>
        <w:rPr>
          <w:rFonts w:ascii="仿宋" w:hAnsi="仿宋" w:eastAsia="仿宋" w:cs="仿宋"/>
          <w:sz w:val="24"/>
          <w:szCs w:val="24"/>
        </w:rPr>
      </w:pPr>
      <w:r>
        <w:rPr>
          <w:rFonts w:ascii="仿宋" w:hAnsi="仿宋" w:eastAsia="仿宋" w:cs="仿宋"/>
          <w:spacing w:val="11"/>
          <w:sz w:val="24"/>
          <w:szCs w:val="24"/>
        </w:rPr>
        <w:t>本单位郑重声明，根据《关于政府采购支持监狱企业发展有关问题的通知》（财</w:t>
      </w:r>
      <w:r>
        <w:rPr>
          <w:rFonts w:ascii="仿宋" w:hAnsi="仿宋" w:eastAsia="仿宋" w:cs="仿宋"/>
          <w:spacing w:val="10"/>
          <w:sz w:val="24"/>
          <w:szCs w:val="24"/>
        </w:rPr>
        <w:t>库〔2014〕68号</w:t>
      </w:r>
      <w:r>
        <w:rPr>
          <w:rFonts w:ascii="仿宋" w:hAnsi="仿宋" w:eastAsia="仿宋" w:cs="仿宋"/>
          <w:sz w:val="24"/>
          <w:szCs w:val="24"/>
        </w:rPr>
        <w:t xml:space="preserve"> </w:t>
      </w:r>
      <w:r>
        <w:rPr>
          <w:rFonts w:ascii="仿宋" w:hAnsi="仿宋" w:eastAsia="仿宋" w:cs="仿宋"/>
          <w:spacing w:val="17"/>
          <w:sz w:val="24"/>
          <w:szCs w:val="24"/>
        </w:rPr>
        <w:t>的规定，本单位为符合条件的监狱单位，且本单位参加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14:paraId="240B6DC7">
      <w:pPr>
        <w:pStyle w:val="6"/>
        <w:keepLines w:val="0"/>
        <w:pageBreakBefore w:val="0"/>
        <w:kinsoku/>
        <w:wordWrap/>
        <w:overflowPunct/>
        <w:topLinePunct w:val="0"/>
        <w:bidi w:val="0"/>
        <w:spacing w:line="308" w:lineRule="auto"/>
        <w:rPr>
          <w:sz w:val="24"/>
          <w:szCs w:val="24"/>
        </w:rPr>
      </w:pPr>
    </w:p>
    <w:p w14:paraId="6C5A6284">
      <w:pPr>
        <w:keepLines w:val="0"/>
        <w:pageBreakBefore w:val="0"/>
        <w:kinsoku/>
        <w:wordWrap/>
        <w:overflowPunct/>
        <w:topLinePunct w:val="0"/>
        <w:bidi w:val="0"/>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本单位对上述声明的真实性负责。如有虚假，将依法承担相应责任。</w:t>
      </w:r>
    </w:p>
    <w:p w14:paraId="41599108">
      <w:pPr>
        <w:pStyle w:val="6"/>
        <w:keepLines w:val="0"/>
        <w:pageBreakBefore w:val="0"/>
        <w:kinsoku/>
        <w:wordWrap/>
        <w:overflowPunct/>
        <w:topLinePunct w:val="0"/>
        <w:bidi w:val="0"/>
        <w:spacing w:line="242" w:lineRule="auto"/>
        <w:rPr>
          <w:sz w:val="24"/>
          <w:szCs w:val="24"/>
        </w:rPr>
      </w:pPr>
    </w:p>
    <w:p w14:paraId="16C7A7DE">
      <w:pPr>
        <w:pStyle w:val="6"/>
        <w:keepLines w:val="0"/>
        <w:pageBreakBefore w:val="0"/>
        <w:kinsoku/>
        <w:wordWrap/>
        <w:overflowPunct/>
        <w:topLinePunct w:val="0"/>
        <w:bidi w:val="0"/>
        <w:spacing w:line="243" w:lineRule="auto"/>
        <w:rPr>
          <w:sz w:val="24"/>
          <w:szCs w:val="24"/>
        </w:rPr>
      </w:pPr>
    </w:p>
    <w:p w14:paraId="5FCA92A4">
      <w:pPr>
        <w:pStyle w:val="6"/>
        <w:keepLines w:val="0"/>
        <w:pageBreakBefore w:val="0"/>
        <w:kinsoku/>
        <w:wordWrap/>
        <w:overflowPunct/>
        <w:topLinePunct w:val="0"/>
        <w:bidi w:val="0"/>
        <w:spacing w:line="243" w:lineRule="auto"/>
        <w:rPr>
          <w:sz w:val="24"/>
          <w:szCs w:val="24"/>
        </w:rPr>
      </w:pPr>
    </w:p>
    <w:p w14:paraId="62C37E41">
      <w:pPr>
        <w:pStyle w:val="6"/>
        <w:keepLines w:val="0"/>
        <w:pageBreakBefore w:val="0"/>
        <w:kinsoku/>
        <w:wordWrap/>
        <w:overflowPunct/>
        <w:topLinePunct w:val="0"/>
        <w:bidi w:val="0"/>
        <w:spacing w:line="243" w:lineRule="auto"/>
        <w:rPr>
          <w:sz w:val="24"/>
          <w:szCs w:val="24"/>
        </w:rPr>
      </w:pPr>
    </w:p>
    <w:p w14:paraId="6D40A750">
      <w:pPr>
        <w:pStyle w:val="6"/>
        <w:keepLines w:val="0"/>
        <w:pageBreakBefore w:val="0"/>
        <w:kinsoku/>
        <w:wordWrap/>
        <w:overflowPunct/>
        <w:topLinePunct w:val="0"/>
        <w:bidi w:val="0"/>
        <w:spacing w:line="243" w:lineRule="auto"/>
        <w:rPr>
          <w:sz w:val="24"/>
          <w:szCs w:val="24"/>
        </w:rPr>
      </w:pPr>
    </w:p>
    <w:p w14:paraId="0CA7F4E0">
      <w:pPr>
        <w:pStyle w:val="6"/>
        <w:keepLines w:val="0"/>
        <w:pageBreakBefore w:val="0"/>
        <w:kinsoku/>
        <w:wordWrap/>
        <w:overflowPunct/>
        <w:topLinePunct w:val="0"/>
        <w:bidi w:val="0"/>
        <w:spacing w:line="243" w:lineRule="auto"/>
        <w:rPr>
          <w:sz w:val="24"/>
          <w:szCs w:val="24"/>
        </w:rPr>
      </w:pPr>
    </w:p>
    <w:p w14:paraId="02690060">
      <w:pPr>
        <w:pStyle w:val="6"/>
        <w:keepLines w:val="0"/>
        <w:pageBreakBefore w:val="0"/>
        <w:kinsoku/>
        <w:wordWrap/>
        <w:overflowPunct/>
        <w:topLinePunct w:val="0"/>
        <w:bidi w:val="0"/>
        <w:spacing w:line="243" w:lineRule="auto"/>
        <w:rPr>
          <w:sz w:val="24"/>
          <w:szCs w:val="24"/>
        </w:rPr>
      </w:pPr>
    </w:p>
    <w:p w14:paraId="1D347FC8">
      <w:pPr>
        <w:pStyle w:val="6"/>
        <w:keepLines w:val="0"/>
        <w:pageBreakBefore w:val="0"/>
        <w:kinsoku/>
        <w:wordWrap/>
        <w:overflowPunct/>
        <w:topLinePunct w:val="0"/>
        <w:bidi w:val="0"/>
        <w:spacing w:line="243" w:lineRule="auto"/>
        <w:rPr>
          <w:sz w:val="24"/>
          <w:szCs w:val="24"/>
        </w:rPr>
      </w:pPr>
    </w:p>
    <w:p w14:paraId="5301B1C8">
      <w:pPr>
        <w:keepLines w:val="0"/>
        <w:pageBreakBefore w:val="0"/>
        <w:kinsoku/>
        <w:wordWrap/>
        <w:overflowPunct/>
        <w:topLinePunct w:val="0"/>
        <w:bidi w:val="0"/>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投标人</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1"/>
          <w:sz w:val="24"/>
          <w:szCs w:val="24"/>
        </w:rPr>
        <w:t>_</w:t>
      </w:r>
    </w:p>
    <w:p w14:paraId="7B1FE41E">
      <w:pPr>
        <w:keepLines w:val="0"/>
        <w:pageBreakBefore w:val="0"/>
        <w:kinsoku/>
        <w:wordWrap/>
        <w:overflowPunct/>
        <w:topLinePunct w:val="0"/>
        <w:bidi w:val="0"/>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67982CA4">
      <w:pPr>
        <w:keepLines w:val="0"/>
        <w:pageBreakBefore w:val="0"/>
        <w:tabs>
          <w:tab w:val="left" w:pos="4495"/>
        </w:tabs>
        <w:kinsoku/>
        <w:wordWrap/>
        <w:overflowPunct/>
        <w:topLinePunct w:val="0"/>
        <w:bidi w:val="0"/>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14:paraId="12C90171">
      <w:pPr>
        <w:pStyle w:val="6"/>
        <w:keepLines w:val="0"/>
        <w:pageBreakBefore w:val="0"/>
        <w:kinsoku/>
        <w:wordWrap/>
        <w:overflowPunct/>
        <w:topLinePunct w:val="0"/>
        <w:bidi w:val="0"/>
        <w:spacing w:line="255" w:lineRule="auto"/>
        <w:rPr>
          <w:sz w:val="24"/>
          <w:szCs w:val="24"/>
        </w:rPr>
      </w:pPr>
    </w:p>
    <w:p w14:paraId="1D789B8F">
      <w:pPr>
        <w:pStyle w:val="6"/>
        <w:keepLines w:val="0"/>
        <w:pageBreakBefore w:val="0"/>
        <w:kinsoku/>
        <w:wordWrap/>
        <w:overflowPunct/>
        <w:topLinePunct w:val="0"/>
        <w:bidi w:val="0"/>
        <w:spacing w:line="255" w:lineRule="auto"/>
        <w:rPr>
          <w:sz w:val="24"/>
          <w:szCs w:val="24"/>
        </w:rPr>
      </w:pPr>
    </w:p>
    <w:p w14:paraId="431268A0">
      <w:pPr>
        <w:pStyle w:val="6"/>
        <w:keepLines w:val="0"/>
        <w:pageBreakBefore w:val="0"/>
        <w:kinsoku/>
        <w:wordWrap/>
        <w:overflowPunct/>
        <w:topLinePunct w:val="0"/>
        <w:bidi w:val="0"/>
        <w:spacing w:line="255" w:lineRule="auto"/>
        <w:rPr>
          <w:sz w:val="24"/>
          <w:szCs w:val="24"/>
        </w:rPr>
      </w:pPr>
    </w:p>
    <w:p w14:paraId="33C8B412">
      <w:pPr>
        <w:pStyle w:val="6"/>
        <w:keepLines w:val="0"/>
        <w:pageBreakBefore w:val="0"/>
        <w:kinsoku/>
        <w:wordWrap/>
        <w:overflowPunct/>
        <w:topLinePunct w:val="0"/>
        <w:bidi w:val="0"/>
        <w:spacing w:line="256" w:lineRule="auto"/>
        <w:rPr>
          <w:sz w:val="24"/>
          <w:szCs w:val="24"/>
        </w:rPr>
      </w:pPr>
    </w:p>
    <w:p w14:paraId="4F02D9B1">
      <w:pPr>
        <w:pStyle w:val="6"/>
        <w:keepLines w:val="0"/>
        <w:pageBreakBefore w:val="0"/>
        <w:kinsoku/>
        <w:wordWrap/>
        <w:overflowPunct/>
        <w:topLinePunct w:val="0"/>
        <w:bidi w:val="0"/>
        <w:spacing w:line="256" w:lineRule="auto"/>
        <w:rPr>
          <w:sz w:val="24"/>
          <w:szCs w:val="24"/>
        </w:rPr>
      </w:pPr>
    </w:p>
    <w:p w14:paraId="38BC2AC7">
      <w:pPr>
        <w:pStyle w:val="6"/>
        <w:keepLines w:val="0"/>
        <w:pageBreakBefore w:val="0"/>
        <w:kinsoku/>
        <w:wordWrap/>
        <w:overflowPunct/>
        <w:topLinePunct w:val="0"/>
        <w:bidi w:val="0"/>
        <w:spacing w:line="256" w:lineRule="auto"/>
        <w:rPr>
          <w:sz w:val="24"/>
          <w:szCs w:val="24"/>
        </w:rPr>
      </w:pPr>
    </w:p>
    <w:p w14:paraId="4E302E52">
      <w:pPr>
        <w:widowControl/>
        <w:autoSpaceDE w:val="0"/>
        <w:autoSpaceDN w:val="0"/>
        <w:adjustRightInd w:val="0"/>
        <w:spacing w:before="120" w:after="120" w:line="440" w:lineRule="exact"/>
        <w:ind w:right="-481"/>
        <w:rPr>
          <w:rFonts w:hint="eastAsia" w:ascii="宋体" w:hAnsi="宋体" w:eastAsia="宋体" w:cs="宋体"/>
          <w:color w:val="auto"/>
          <w:kern w:val="1"/>
          <w:sz w:val="28"/>
          <w:szCs w:val="28"/>
          <w:highlight w:val="none"/>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 68 号），</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w:t>
      </w:r>
    </w:p>
    <w:p w14:paraId="37B103EF">
      <w:pPr>
        <w:rPr>
          <w:color w:val="auto"/>
          <w:highlight w:val="none"/>
        </w:rPr>
      </w:pPr>
    </w:p>
    <w:p w14:paraId="7742B530">
      <w:pPr>
        <w:rPr>
          <w:color w:val="auto"/>
          <w:highlight w:val="none"/>
        </w:rPr>
      </w:pPr>
    </w:p>
    <w:sectPr>
      <w:footerReference r:id="rId12" w:type="default"/>
      <w:pgSz w:w="11906" w:h="16838"/>
      <w:pgMar w:top="1440" w:right="1440" w:bottom="1440" w:left="1440" w:header="851" w:footer="992" w:gutter="0"/>
      <w:pgNumType w:fmt="decimal"/>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300F">
    <w:pPr>
      <w:pStyle w:val="11"/>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14A0FD">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5114A0F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037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5E0C8A">
                          <w:pPr>
                            <w:pStyle w:val="11"/>
                            <w:rPr>
                              <w:highlight w:val="none"/>
                            </w:rPr>
                          </w:pPr>
                          <w:r>
                            <w:rPr>
                              <w:highlight w:val="none"/>
                            </w:rPr>
                            <w:fldChar w:fldCharType="begin"/>
                          </w:r>
                          <w:r>
                            <w:rPr>
                              <w:highlight w:val="none"/>
                            </w:rPr>
                            <w:instrText xml:space="preserve"> PAGE  \* MERGEFORMAT </w:instrText>
                          </w:r>
                          <w:r>
                            <w:rPr>
                              <w:highlight w:val="none"/>
                            </w:rPr>
                            <w:fldChar w:fldCharType="separate"/>
                          </w:r>
                          <w:r>
                            <w:rPr>
                              <w:highlight w:val="none"/>
                            </w:rPr>
                            <w:t>2</w:t>
                          </w:r>
                          <w:r>
                            <w:rPr>
                              <w:highlight w:val="none"/>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315E0C8A">
                    <w:pPr>
                      <w:pStyle w:val="11"/>
                      <w:rPr>
                        <w:highlight w:val="none"/>
                      </w:rPr>
                    </w:pPr>
                    <w:r>
                      <w:rPr>
                        <w:highlight w:val="none"/>
                      </w:rPr>
                      <w:fldChar w:fldCharType="begin"/>
                    </w:r>
                    <w:r>
                      <w:rPr>
                        <w:highlight w:val="none"/>
                      </w:rPr>
                      <w:instrText xml:space="preserve"> PAGE  \* MERGEFORMAT </w:instrText>
                    </w:r>
                    <w:r>
                      <w:rPr>
                        <w:highlight w:val="none"/>
                      </w:rPr>
                      <w:fldChar w:fldCharType="separate"/>
                    </w:r>
                    <w:r>
                      <w:rPr>
                        <w:highlight w:val="none"/>
                      </w:rPr>
                      <w:t>2</w:t>
                    </w:r>
                    <w:r>
                      <w:rPr>
                        <w:highlight w:val="none"/>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9F01">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6CF4B">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46CF4B">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E6B3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40881">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F40881">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8B1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7D511">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27D511">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0257">
    <w:pPr>
      <w:spacing w:after="168" w:line="43"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62279">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662279">
                    <w:pPr>
                      <w:pStyle w:val="11"/>
                    </w:pPr>
                    <w:r>
                      <w:fldChar w:fldCharType="begin"/>
                    </w:r>
                    <w:r>
                      <w:instrText xml:space="preserve"> PAGE  \* MERGEFORMAT </w:instrText>
                    </w:r>
                    <w:r>
                      <w:fldChar w:fldCharType="separate"/>
                    </w:r>
                    <w:r>
                      <w:t>64</w:t>
                    </w:r>
                    <w:r>
                      <w:fldChar w:fldCharType="end"/>
                    </w:r>
                  </w:p>
                </w:txbxContent>
              </v:textbox>
            </v:shape>
          </w:pict>
        </mc:Fallback>
      </mc:AlternateContent>
    </w:r>
  </w:p>
  <w:p w14:paraId="6F2BC802">
    <w:pPr>
      <w:spacing w:line="176" w:lineRule="auto"/>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D722">
    <w:pPr>
      <w:spacing w:after="168" w:line="43"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A4494">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0A4494">
                    <w:pPr>
                      <w:pStyle w:val="11"/>
                    </w:pPr>
                    <w:r>
                      <w:fldChar w:fldCharType="begin"/>
                    </w:r>
                    <w:r>
                      <w:instrText xml:space="preserve"> PAGE  \* MERGEFORMAT </w:instrText>
                    </w:r>
                    <w:r>
                      <w:fldChar w:fldCharType="separate"/>
                    </w:r>
                    <w:r>
                      <w:t>65</w:t>
                    </w:r>
                    <w:r>
                      <w:fldChar w:fldCharType="end"/>
                    </w:r>
                  </w:p>
                </w:txbxContent>
              </v:textbox>
            </v:shape>
          </w:pict>
        </mc:Fallback>
      </mc:AlternateContent>
    </w:r>
  </w:p>
  <w:p w14:paraId="7895F1D0">
    <w:pPr>
      <w:spacing w:line="176" w:lineRule="auto"/>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D4F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0B124">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910B124">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6F63F">
    <w:pPr>
      <w:spacing w:after="170" w:line="43"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BCFC9">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EBCFC9">
                    <w:pPr>
                      <w:pStyle w:val="11"/>
                    </w:pPr>
                    <w:r>
                      <w:fldChar w:fldCharType="begin"/>
                    </w:r>
                    <w:r>
                      <w:instrText xml:space="preserve"> PAGE  \* MERGEFORMAT </w:instrText>
                    </w:r>
                    <w:r>
                      <w:fldChar w:fldCharType="separate"/>
                    </w:r>
                    <w:r>
                      <w:t>71</w:t>
                    </w:r>
                    <w:r>
                      <w:fldChar w:fldCharType="end"/>
                    </w:r>
                  </w:p>
                </w:txbxContent>
              </v:textbox>
            </v:shape>
          </w:pict>
        </mc:Fallback>
      </mc:AlternateContent>
    </w:r>
  </w:p>
  <w:p w14:paraId="02D72AF0">
    <w:pPr>
      <w:spacing w:line="173" w:lineRule="auto"/>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7DE6">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531A8">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2E531A8">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C37CF"/>
    <w:multiLevelType w:val="singleLevel"/>
    <w:tmpl w:val="899C37CF"/>
    <w:lvl w:ilvl="0" w:tentative="0">
      <w:start w:val="1"/>
      <w:numFmt w:val="decimal"/>
      <w:suff w:val="nothing"/>
      <w:lvlText w:val="%1、"/>
      <w:lvlJc w:val="left"/>
    </w:lvl>
  </w:abstractNum>
  <w:abstractNum w:abstractNumId="1">
    <w:nsid w:val="AA5411B2"/>
    <w:multiLevelType w:val="singleLevel"/>
    <w:tmpl w:val="AA5411B2"/>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C9AB3D3"/>
    <w:multiLevelType w:val="singleLevel"/>
    <w:tmpl w:val="CC9AB3D3"/>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3882C9D"/>
    <w:multiLevelType w:val="singleLevel"/>
    <w:tmpl w:val="E3882C9D"/>
    <w:lvl w:ilvl="0" w:tentative="0">
      <w:start w:val="1"/>
      <w:numFmt w:val="decimal"/>
      <w:lvlText w:val="%1."/>
      <w:lvlJc w:val="left"/>
      <w:pPr>
        <w:tabs>
          <w:tab w:val="left" w:pos="312"/>
        </w:tabs>
      </w:pPr>
    </w:lvl>
  </w:abstractNum>
  <w:abstractNum w:abstractNumId="9">
    <w:nsid w:val="F6657D5D"/>
    <w:multiLevelType w:val="singleLevel"/>
    <w:tmpl w:val="F6657D5D"/>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1A879F7"/>
    <w:multiLevelType w:val="singleLevel"/>
    <w:tmpl w:val="01A879F7"/>
    <w:lvl w:ilvl="0" w:tentative="0">
      <w:start w:val="1"/>
      <w:numFmt w:val="decimal"/>
      <w:lvlText w:val="%1."/>
      <w:lvlJc w:val="left"/>
      <w:pPr>
        <w:tabs>
          <w:tab w:val="left" w:pos="312"/>
        </w:tabs>
      </w:pPr>
    </w:lvl>
  </w:abstractNum>
  <w:abstractNum w:abstractNumId="12">
    <w:nsid w:val="066AAE65"/>
    <w:multiLevelType w:val="singleLevel"/>
    <w:tmpl w:val="066AAE65"/>
    <w:lvl w:ilvl="0" w:tentative="0">
      <w:start w:val="1"/>
      <w:numFmt w:val="chineseCounting"/>
      <w:suff w:val="space"/>
      <w:lvlText w:val="第%1章"/>
      <w:lvlJc w:val="left"/>
      <w:rPr>
        <w:rFonts w:hint="eastAsia"/>
      </w:rPr>
    </w:lvl>
  </w:abstractNum>
  <w:abstractNum w:abstractNumId="13">
    <w:nsid w:val="282C349D"/>
    <w:multiLevelType w:val="singleLevel"/>
    <w:tmpl w:val="282C349D"/>
    <w:lvl w:ilvl="0" w:tentative="0">
      <w:start w:val="1"/>
      <w:numFmt w:val="decimal"/>
      <w:lvlText w:val="%1."/>
      <w:lvlJc w:val="left"/>
      <w:pPr>
        <w:ind w:left="425" w:hanging="425"/>
      </w:pPr>
      <w:rPr>
        <w:rFonts w:hint="default"/>
      </w:rPr>
    </w:lvl>
  </w:abstractNum>
  <w:abstractNum w:abstractNumId="14">
    <w:nsid w:val="3C7ACC91"/>
    <w:multiLevelType w:val="singleLevel"/>
    <w:tmpl w:val="3C7ACC91"/>
    <w:lvl w:ilvl="0" w:tentative="0">
      <w:start w:val="4"/>
      <w:numFmt w:val="decimal"/>
      <w:suff w:val="nothing"/>
      <w:lvlText w:val="（%1）"/>
      <w:lvlJc w:val="left"/>
    </w:lvl>
  </w:abstractNum>
  <w:abstractNum w:abstractNumId="15">
    <w:nsid w:val="69794E73"/>
    <w:multiLevelType w:val="singleLevel"/>
    <w:tmpl w:val="69794E73"/>
    <w:lvl w:ilvl="0" w:tentative="0">
      <w:start w:val="1"/>
      <w:numFmt w:val="decimal"/>
      <w:suff w:val="nothing"/>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2"/>
  </w:num>
  <w:num w:numId="2">
    <w:abstractNumId w:val="0"/>
  </w:num>
  <w:num w:numId="3">
    <w:abstractNumId w:val="14"/>
  </w:num>
  <w:num w:numId="4">
    <w:abstractNumId w:val="9"/>
  </w:num>
  <w:num w:numId="5">
    <w:abstractNumId w:val="3"/>
  </w:num>
  <w:num w:numId="6">
    <w:abstractNumId w:val="15"/>
  </w:num>
  <w:num w:numId="7">
    <w:abstractNumId w:val="11"/>
  </w:num>
  <w:num w:numId="8">
    <w:abstractNumId w:val="13"/>
  </w:num>
  <w:num w:numId="9">
    <w:abstractNumId w:val="1"/>
  </w:num>
  <w:num w:numId="10">
    <w:abstractNumId w:val="8"/>
  </w:num>
  <w:num w:numId="11">
    <w:abstractNumId w:val="16"/>
  </w:num>
  <w:num w:numId="12">
    <w:abstractNumId w:val="4"/>
  </w:num>
  <w:num w:numId="13">
    <w:abstractNumId w:val="10"/>
  </w:num>
  <w:num w:numId="14">
    <w:abstractNumId w:val="6"/>
  </w:num>
  <w:num w:numId="15">
    <w:abstractNumId w:val="5"/>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NzhjNmE5YmFjZDdiNjEwNzcwZjQ4ZTJiNzg4Y2YifQ=="/>
    <w:docVar w:name="KSO_WPS_MARK_KEY" w:val="d97d7703-70ef-4d1b-942d-67ad18ff2826"/>
  </w:docVars>
  <w:rsids>
    <w:rsidRoot w:val="00172A27"/>
    <w:rsid w:val="005C4D2E"/>
    <w:rsid w:val="011D2710"/>
    <w:rsid w:val="02967A05"/>
    <w:rsid w:val="02987B74"/>
    <w:rsid w:val="046C096A"/>
    <w:rsid w:val="05984C85"/>
    <w:rsid w:val="05AF3CFC"/>
    <w:rsid w:val="05C0366A"/>
    <w:rsid w:val="05F61781"/>
    <w:rsid w:val="06222576"/>
    <w:rsid w:val="067A4160"/>
    <w:rsid w:val="072916E2"/>
    <w:rsid w:val="07483F8C"/>
    <w:rsid w:val="08AA5FFC"/>
    <w:rsid w:val="097441D8"/>
    <w:rsid w:val="0A2D31B8"/>
    <w:rsid w:val="0AA57867"/>
    <w:rsid w:val="0AC05EBA"/>
    <w:rsid w:val="0B935039"/>
    <w:rsid w:val="0CC223BD"/>
    <w:rsid w:val="0D453E7D"/>
    <w:rsid w:val="0E05293B"/>
    <w:rsid w:val="0E3C619F"/>
    <w:rsid w:val="0E6B25E0"/>
    <w:rsid w:val="0F0B728D"/>
    <w:rsid w:val="0FCB3337"/>
    <w:rsid w:val="1000031F"/>
    <w:rsid w:val="103E7FAD"/>
    <w:rsid w:val="10F578D5"/>
    <w:rsid w:val="11C90E8F"/>
    <w:rsid w:val="120B2110"/>
    <w:rsid w:val="122B0752"/>
    <w:rsid w:val="12AA03A5"/>
    <w:rsid w:val="12CF75E2"/>
    <w:rsid w:val="13C7625B"/>
    <w:rsid w:val="153C0833"/>
    <w:rsid w:val="157F52EF"/>
    <w:rsid w:val="15F958D1"/>
    <w:rsid w:val="16027A14"/>
    <w:rsid w:val="1630488E"/>
    <w:rsid w:val="16EC3902"/>
    <w:rsid w:val="17D336D0"/>
    <w:rsid w:val="182431D7"/>
    <w:rsid w:val="18AE0EEC"/>
    <w:rsid w:val="19636CD6"/>
    <w:rsid w:val="19EC6410"/>
    <w:rsid w:val="1A230935"/>
    <w:rsid w:val="1A295829"/>
    <w:rsid w:val="1B214753"/>
    <w:rsid w:val="1BD516D4"/>
    <w:rsid w:val="1DBC1951"/>
    <w:rsid w:val="1DC420A5"/>
    <w:rsid w:val="1F7E2174"/>
    <w:rsid w:val="20823EE5"/>
    <w:rsid w:val="2122631F"/>
    <w:rsid w:val="21696E53"/>
    <w:rsid w:val="219666A8"/>
    <w:rsid w:val="21E81D77"/>
    <w:rsid w:val="21F0160C"/>
    <w:rsid w:val="235025A7"/>
    <w:rsid w:val="241C1F5B"/>
    <w:rsid w:val="24245C24"/>
    <w:rsid w:val="246F33B4"/>
    <w:rsid w:val="247A1DBE"/>
    <w:rsid w:val="25E82A3D"/>
    <w:rsid w:val="25EE5B79"/>
    <w:rsid w:val="2607591B"/>
    <w:rsid w:val="26393298"/>
    <w:rsid w:val="26632AEE"/>
    <w:rsid w:val="26A010EB"/>
    <w:rsid w:val="26D949F2"/>
    <w:rsid w:val="27582398"/>
    <w:rsid w:val="27B2675E"/>
    <w:rsid w:val="27C45C71"/>
    <w:rsid w:val="27E92A9C"/>
    <w:rsid w:val="284161B2"/>
    <w:rsid w:val="28A77E19"/>
    <w:rsid w:val="29A535AC"/>
    <w:rsid w:val="29BE4B50"/>
    <w:rsid w:val="2A391522"/>
    <w:rsid w:val="2B74700E"/>
    <w:rsid w:val="2BA271EA"/>
    <w:rsid w:val="2BC944D4"/>
    <w:rsid w:val="2C217445"/>
    <w:rsid w:val="2CDB33F0"/>
    <w:rsid w:val="2CFE0F49"/>
    <w:rsid w:val="2D216834"/>
    <w:rsid w:val="2D546C0A"/>
    <w:rsid w:val="2D8017AD"/>
    <w:rsid w:val="2DC2698A"/>
    <w:rsid w:val="2E232138"/>
    <w:rsid w:val="2EB163B6"/>
    <w:rsid w:val="2EFE0BDB"/>
    <w:rsid w:val="2F566C69"/>
    <w:rsid w:val="2F7B5388"/>
    <w:rsid w:val="2FA268B6"/>
    <w:rsid w:val="2FB614B6"/>
    <w:rsid w:val="301A65FA"/>
    <w:rsid w:val="30FC739C"/>
    <w:rsid w:val="315F792B"/>
    <w:rsid w:val="31692558"/>
    <w:rsid w:val="32801614"/>
    <w:rsid w:val="32B207B9"/>
    <w:rsid w:val="335A65FC"/>
    <w:rsid w:val="35614DFC"/>
    <w:rsid w:val="35F44C18"/>
    <w:rsid w:val="360A2973"/>
    <w:rsid w:val="367E6177"/>
    <w:rsid w:val="36BF2DA8"/>
    <w:rsid w:val="377457E5"/>
    <w:rsid w:val="38454CBB"/>
    <w:rsid w:val="388F4F9A"/>
    <w:rsid w:val="38ED3A6E"/>
    <w:rsid w:val="38ED7091"/>
    <w:rsid w:val="390F246A"/>
    <w:rsid w:val="398268AC"/>
    <w:rsid w:val="3A176FF5"/>
    <w:rsid w:val="3A5C0EAC"/>
    <w:rsid w:val="3AF13BD5"/>
    <w:rsid w:val="3B111C96"/>
    <w:rsid w:val="3B5E2A01"/>
    <w:rsid w:val="3BCC49BB"/>
    <w:rsid w:val="3C0D4BF8"/>
    <w:rsid w:val="3C5D73ED"/>
    <w:rsid w:val="3D033860"/>
    <w:rsid w:val="3F6C7DE3"/>
    <w:rsid w:val="3F7E55F7"/>
    <w:rsid w:val="41B811FB"/>
    <w:rsid w:val="42A53C7E"/>
    <w:rsid w:val="42ED6BF8"/>
    <w:rsid w:val="438576C5"/>
    <w:rsid w:val="43942C85"/>
    <w:rsid w:val="43E14954"/>
    <w:rsid w:val="43FA3C0F"/>
    <w:rsid w:val="44856D68"/>
    <w:rsid w:val="458B5722"/>
    <w:rsid w:val="466A6C06"/>
    <w:rsid w:val="46E14C12"/>
    <w:rsid w:val="47213A74"/>
    <w:rsid w:val="476475F1"/>
    <w:rsid w:val="48E43FA6"/>
    <w:rsid w:val="49646ED5"/>
    <w:rsid w:val="49BC54C3"/>
    <w:rsid w:val="49D06C42"/>
    <w:rsid w:val="4AA37DE0"/>
    <w:rsid w:val="4B014931"/>
    <w:rsid w:val="4B125CE2"/>
    <w:rsid w:val="4B7E07A8"/>
    <w:rsid w:val="4C03387D"/>
    <w:rsid w:val="4D301049"/>
    <w:rsid w:val="4DA24B34"/>
    <w:rsid w:val="4DD57C4D"/>
    <w:rsid w:val="4DD7273C"/>
    <w:rsid w:val="4E233CBF"/>
    <w:rsid w:val="4E362315"/>
    <w:rsid w:val="4E7D5888"/>
    <w:rsid w:val="4FBE0907"/>
    <w:rsid w:val="501632F8"/>
    <w:rsid w:val="502B4751"/>
    <w:rsid w:val="5154578A"/>
    <w:rsid w:val="51854803"/>
    <w:rsid w:val="518A40F8"/>
    <w:rsid w:val="51D92DED"/>
    <w:rsid w:val="521D1BB2"/>
    <w:rsid w:val="52F87084"/>
    <w:rsid w:val="53187698"/>
    <w:rsid w:val="531F50D5"/>
    <w:rsid w:val="535E75EB"/>
    <w:rsid w:val="543547EF"/>
    <w:rsid w:val="554A66D1"/>
    <w:rsid w:val="55527E63"/>
    <w:rsid w:val="55AE6DC0"/>
    <w:rsid w:val="561C7028"/>
    <w:rsid w:val="56B43E19"/>
    <w:rsid w:val="56CE6835"/>
    <w:rsid w:val="57753A2B"/>
    <w:rsid w:val="57C42DA3"/>
    <w:rsid w:val="57D612F9"/>
    <w:rsid w:val="57DB56AE"/>
    <w:rsid w:val="58781513"/>
    <w:rsid w:val="58EC00A8"/>
    <w:rsid w:val="59491BA9"/>
    <w:rsid w:val="59966531"/>
    <w:rsid w:val="59EF2443"/>
    <w:rsid w:val="5A026F22"/>
    <w:rsid w:val="5A1F7AD4"/>
    <w:rsid w:val="5A731374"/>
    <w:rsid w:val="5AA004E9"/>
    <w:rsid w:val="5B101B12"/>
    <w:rsid w:val="5B5715DD"/>
    <w:rsid w:val="5BD668B8"/>
    <w:rsid w:val="5BE51D65"/>
    <w:rsid w:val="5CAE513F"/>
    <w:rsid w:val="5D174927"/>
    <w:rsid w:val="5D494E68"/>
    <w:rsid w:val="5E7B3747"/>
    <w:rsid w:val="5EBB730F"/>
    <w:rsid w:val="5EBD7C86"/>
    <w:rsid w:val="5EFB1854"/>
    <w:rsid w:val="5F16521D"/>
    <w:rsid w:val="5F296CFF"/>
    <w:rsid w:val="5F8A5914"/>
    <w:rsid w:val="5F8B0E4E"/>
    <w:rsid w:val="5FD42E21"/>
    <w:rsid w:val="5FDE21DF"/>
    <w:rsid w:val="607F233F"/>
    <w:rsid w:val="61136F37"/>
    <w:rsid w:val="61483DB4"/>
    <w:rsid w:val="614E735B"/>
    <w:rsid w:val="61AF71AB"/>
    <w:rsid w:val="620121B5"/>
    <w:rsid w:val="62080D87"/>
    <w:rsid w:val="62CF7BBD"/>
    <w:rsid w:val="63075C5D"/>
    <w:rsid w:val="63193333"/>
    <w:rsid w:val="63194313"/>
    <w:rsid w:val="631D18BC"/>
    <w:rsid w:val="635F3637"/>
    <w:rsid w:val="63F54691"/>
    <w:rsid w:val="6403447F"/>
    <w:rsid w:val="655404F1"/>
    <w:rsid w:val="65921AA2"/>
    <w:rsid w:val="664A787D"/>
    <w:rsid w:val="669870E7"/>
    <w:rsid w:val="671D183F"/>
    <w:rsid w:val="6A22429B"/>
    <w:rsid w:val="6A486BD3"/>
    <w:rsid w:val="6BAB0428"/>
    <w:rsid w:val="6BCB2BFD"/>
    <w:rsid w:val="6BDD239F"/>
    <w:rsid w:val="6C0076EC"/>
    <w:rsid w:val="6CD0141F"/>
    <w:rsid w:val="6CF93441"/>
    <w:rsid w:val="6CFF30DB"/>
    <w:rsid w:val="6D6D6950"/>
    <w:rsid w:val="6D804DF8"/>
    <w:rsid w:val="6DAA3854"/>
    <w:rsid w:val="6E634029"/>
    <w:rsid w:val="6E931777"/>
    <w:rsid w:val="6E9D3265"/>
    <w:rsid w:val="6EC12BEB"/>
    <w:rsid w:val="6EDC04F7"/>
    <w:rsid w:val="6EE24BC0"/>
    <w:rsid w:val="6EE52D15"/>
    <w:rsid w:val="6F345978"/>
    <w:rsid w:val="6F490CF7"/>
    <w:rsid w:val="6F8A509E"/>
    <w:rsid w:val="6F8C57B4"/>
    <w:rsid w:val="6FB50DC7"/>
    <w:rsid w:val="715A5403"/>
    <w:rsid w:val="71A861A9"/>
    <w:rsid w:val="71D739AD"/>
    <w:rsid w:val="724D0AFE"/>
    <w:rsid w:val="72870751"/>
    <w:rsid w:val="72F94F1A"/>
    <w:rsid w:val="73143E91"/>
    <w:rsid w:val="73261A7B"/>
    <w:rsid w:val="73F456D6"/>
    <w:rsid w:val="73F722CF"/>
    <w:rsid w:val="740C7251"/>
    <w:rsid w:val="74DD616A"/>
    <w:rsid w:val="74F900F2"/>
    <w:rsid w:val="759656D7"/>
    <w:rsid w:val="76614049"/>
    <w:rsid w:val="77876243"/>
    <w:rsid w:val="77DB72D8"/>
    <w:rsid w:val="781E41ED"/>
    <w:rsid w:val="782D692C"/>
    <w:rsid w:val="7858084F"/>
    <w:rsid w:val="78D10B24"/>
    <w:rsid w:val="79272682"/>
    <w:rsid w:val="79621F41"/>
    <w:rsid w:val="79851F8A"/>
    <w:rsid w:val="798968C0"/>
    <w:rsid w:val="7A5C3B37"/>
    <w:rsid w:val="7ADD378E"/>
    <w:rsid w:val="7AE5476B"/>
    <w:rsid w:val="7B144B9A"/>
    <w:rsid w:val="7B7B62F4"/>
    <w:rsid w:val="7C2D4CE7"/>
    <w:rsid w:val="7C5D46FB"/>
    <w:rsid w:val="7CFD7DE5"/>
    <w:rsid w:val="7DED61BF"/>
    <w:rsid w:val="7E4E4CA4"/>
    <w:rsid w:val="7EF63676"/>
    <w:rsid w:val="7F51362F"/>
    <w:rsid w:val="7F856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qFormat/>
    <w:uiPriority w:val="1"/>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rPr>
      <w:rFonts w:ascii="Times New Roman" w:hAnsi="Times New Roman" w:cs="Times New Roman"/>
      <w:sz w:val="21"/>
      <w:szCs w:val="21"/>
    </w:rPr>
  </w:style>
  <w:style w:type="paragraph" w:styleId="5">
    <w:name w:val="toa heading"/>
    <w:basedOn w:val="1"/>
    <w:next w:val="1"/>
    <w:autoRedefine/>
    <w:semiHidden/>
    <w:qFormat/>
    <w:uiPriority w:val="0"/>
    <w:pPr>
      <w:spacing w:before="120"/>
    </w:pPr>
    <w:rPr>
      <w:rFonts w:ascii="Arial" w:hAnsi="Arial" w:cs="Arial"/>
      <w:sz w:val="24"/>
      <w:szCs w:val="24"/>
    </w:rPr>
  </w:style>
  <w:style w:type="paragraph" w:styleId="6">
    <w:name w:val="Body Text"/>
    <w:basedOn w:val="1"/>
    <w:autoRedefine/>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styleId="7">
    <w:name w:val="Body Text Indent"/>
    <w:basedOn w:val="1"/>
    <w:autoRedefine/>
    <w:qFormat/>
    <w:uiPriority w:val="0"/>
    <w:pPr>
      <w:spacing w:line="440" w:lineRule="exact"/>
      <w:ind w:firstLine="480" w:firstLineChars="200"/>
    </w:pPr>
    <w:rPr>
      <w:sz w:val="24"/>
    </w:rPr>
  </w:style>
  <w:style w:type="paragraph" w:styleId="8">
    <w:name w:val="Plain Text"/>
    <w:basedOn w:val="1"/>
    <w:autoRedefine/>
    <w:qFormat/>
    <w:uiPriority w:val="0"/>
    <w:rPr>
      <w:rFonts w:ascii="宋体" w:hAnsi="Courier New" w:cs="宋体"/>
      <w:szCs w:val="21"/>
    </w:rPr>
  </w:style>
  <w:style w:type="paragraph" w:styleId="9">
    <w:name w:val="Date"/>
    <w:basedOn w:val="1"/>
    <w:next w:val="1"/>
    <w:qFormat/>
    <w:uiPriority w:val="0"/>
    <w:pPr>
      <w:adjustRightInd w:val="0"/>
      <w:spacing w:line="312" w:lineRule="atLeast"/>
    </w:pPr>
    <w:rPr>
      <w:kern w:val="0"/>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footnote text"/>
    <w:basedOn w:val="1"/>
    <w:autoRedefine/>
    <w:qFormat/>
    <w:uiPriority w:val="99"/>
    <w:pPr>
      <w:adjustRightInd w:val="0"/>
      <w:snapToGrid w:val="0"/>
      <w:spacing w:line="360" w:lineRule="atLeast"/>
      <w:jc w:val="left"/>
      <w:textAlignment w:val="baseline"/>
    </w:pPr>
    <w:rPr>
      <w:kern w:val="0"/>
      <w:sz w:val="18"/>
      <w:szCs w:val="18"/>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100" w:beforeAutospacing="1" w:after="100" w:afterAutospacing="1"/>
      <w:jc w:val="left"/>
    </w:pPr>
    <w:rPr>
      <w:kern w:val="0"/>
      <w:sz w:val="24"/>
    </w:rPr>
  </w:style>
  <w:style w:type="paragraph" w:styleId="17">
    <w:name w:val="Body Text First Indent 2"/>
    <w:basedOn w:val="7"/>
    <w:next w:val="1"/>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格式"/>
    <w:basedOn w:val="1"/>
    <w:autoRedefine/>
    <w:unhideWhenUsed/>
    <w:qFormat/>
    <w:uiPriority w:val="99"/>
    <w:pPr>
      <w:widowControl/>
      <w:adjustRightInd w:val="0"/>
      <w:snapToGrid w:val="0"/>
      <w:spacing w:beforeLines="0" w:afterLines="0" w:line="400" w:lineRule="atLeast"/>
      <w:ind w:firstLine="482"/>
      <w:textAlignment w:val="baseline"/>
    </w:pPr>
    <w:rPr>
      <w:rFonts w:hint="default" w:ascii="Times New Roman" w:hAnsi="Times New Roman"/>
      <w:kern w:val="0"/>
      <w:sz w:val="24"/>
      <w:szCs w:val="24"/>
    </w:rPr>
  </w:style>
  <w:style w:type="paragraph" w:styleId="22">
    <w:name w:val="No Spacing"/>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3">
    <w:name w:val="Table Paragraph"/>
    <w:basedOn w:val="1"/>
    <w:autoRedefine/>
    <w:qFormat/>
    <w:uiPriority w:val="1"/>
    <w:pPr>
      <w:jc w:val="left"/>
    </w:pPr>
    <w:rPr>
      <w:rFonts w:ascii="宋体" w:hAnsi="宋体" w:cs="宋体"/>
      <w:sz w:val="22"/>
      <w:szCs w:val="22"/>
      <w:lang w:eastAsia="en-US"/>
    </w:rPr>
  </w:style>
  <w:style w:type="character" w:customStyle="1" w:styleId="24">
    <w:name w:val="样式 仿宋"/>
    <w:autoRedefine/>
    <w:qFormat/>
    <w:uiPriority w:val="0"/>
    <w:rPr>
      <w:rFonts w:ascii="仿宋" w:hAnsi="仿宋" w:eastAsia="仿宋"/>
      <w:kern w:val="1"/>
    </w:rPr>
  </w:style>
  <w:style w:type="paragraph" w:customStyle="1" w:styleId="25">
    <w:name w:val="列表段落1"/>
    <w:basedOn w:val="1"/>
    <w:autoRedefine/>
    <w:qFormat/>
    <w:uiPriority w:val="34"/>
    <w:pPr>
      <w:ind w:firstLine="420" w:firstLineChars="200"/>
    </w:pPr>
  </w:style>
  <w:style w:type="paragraph" w:customStyle="1" w:styleId="26">
    <w:name w:val="Default"/>
    <w:autoRedefine/>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27">
    <w:name w:val="图例"/>
    <w:basedOn w:val="1"/>
    <w:autoRedefine/>
    <w:qFormat/>
    <w:uiPriority w:val="0"/>
    <w:pPr>
      <w:spacing w:before="120" w:after="120" w:line="360" w:lineRule="auto"/>
      <w:jc w:val="center"/>
    </w:pPr>
    <w:rPr>
      <w:rFonts w:eastAsia="仿宋_GB2312"/>
      <w:b/>
      <w:sz w:val="24"/>
    </w:rPr>
  </w:style>
  <w:style w:type="paragraph" w:customStyle="1" w:styleId="28">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29">
    <w:name w:val="Normal_11"/>
    <w:autoRedefine/>
    <w:qFormat/>
    <w:uiPriority w:val="0"/>
    <w:rPr>
      <w:rFonts w:ascii="黑体" w:hAnsi="黑体" w:eastAsia="黑体" w:cs="Times New Roman"/>
      <w:b/>
      <w:sz w:val="32"/>
      <w:szCs w:val="24"/>
      <w:lang w:bidi="ar-SA"/>
    </w:rPr>
  </w:style>
  <w:style w:type="character" w:customStyle="1" w:styleId="30">
    <w:name w:val="font01"/>
    <w:basedOn w:val="20"/>
    <w:autoRedefine/>
    <w:qFormat/>
    <w:uiPriority w:val="0"/>
    <w:rPr>
      <w:rFonts w:hint="eastAsia" w:ascii="宋体" w:hAnsi="宋体" w:eastAsia="宋体" w:cs="宋体"/>
      <w:color w:val="000000"/>
      <w:sz w:val="20"/>
      <w:szCs w:val="20"/>
      <w:u w:val="none"/>
    </w:rPr>
  </w:style>
  <w:style w:type="character" w:customStyle="1" w:styleId="31">
    <w:name w:val="font21"/>
    <w:basedOn w:val="20"/>
    <w:autoRedefine/>
    <w:qFormat/>
    <w:uiPriority w:val="0"/>
    <w:rPr>
      <w:rFonts w:hint="eastAsia" w:ascii="宋体" w:hAnsi="宋体" w:eastAsia="宋体" w:cs="宋体"/>
      <w:color w:val="000000"/>
      <w:sz w:val="20"/>
      <w:szCs w:val="20"/>
      <w:u w:val="none"/>
    </w:rPr>
  </w:style>
  <w:style w:type="character" w:customStyle="1" w:styleId="32">
    <w:name w:val="font91"/>
    <w:basedOn w:val="20"/>
    <w:autoRedefine/>
    <w:qFormat/>
    <w:uiPriority w:val="0"/>
    <w:rPr>
      <w:rFonts w:ascii="MS Gothic" w:hAnsi="MS Gothic" w:eastAsia="MS Gothic" w:cs="MS Gothic"/>
      <w:color w:val="000000"/>
      <w:sz w:val="20"/>
      <w:szCs w:val="20"/>
      <w:u w:val="none"/>
    </w:rPr>
  </w:style>
  <w:style w:type="character" w:customStyle="1" w:styleId="33">
    <w:name w:val="font101"/>
    <w:basedOn w:val="20"/>
    <w:autoRedefine/>
    <w:qFormat/>
    <w:uiPriority w:val="0"/>
    <w:rPr>
      <w:rFonts w:ascii="Arial" w:hAnsi="Arial" w:cs="Arial"/>
      <w:color w:val="000000"/>
      <w:sz w:val="20"/>
      <w:szCs w:val="20"/>
      <w:u w:val="none"/>
    </w:rPr>
  </w:style>
  <w:style w:type="character" w:customStyle="1" w:styleId="34">
    <w:name w:val="font11"/>
    <w:basedOn w:val="20"/>
    <w:autoRedefine/>
    <w:qFormat/>
    <w:uiPriority w:val="0"/>
    <w:rPr>
      <w:rFonts w:hint="eastAsia" w:ascii="宋体" w:hAnsi="宋体" w:eastAsia="宋体" w:cs="宋体"/>
      <w:color w:val="000000"/>
      <w:sz w:val="40"/>
      <w:szCs w:val="40"/>
      <w:u w:val="none"/>
    </w:rPr>
  </w:style>
  <w:style w:type="character" w:customStyle="1" w:styleId="35">
    <w:name w:val="font31"/>
    <w:basedOn w:val="20"/>
    <w:autoRedefine/>
    <w:qFormat/>
    <w:uiPriority w:val="0"/>
    <w:rPr>
      <w:rFonts w:hint="eastAsia" w:ascii="宋体" w:hAnsi="宋体" w:eastAsia="宋体" w:cs="宋体"/>
      <w:color w:val="000000"/>
      <w:sz w:val="20"/>
      <w:szCs w:val="20"/>
      <w:u w:val="none"/>
    </w:rPr>
  </w:style>
  <w:style w:type="character" w:customStyle="1" w:styleId="36">
    <w:name w:val="font41"/>
    <w:basedOn w:val="20"/>
    <w:autoRedefine/>
    <w:qFormat/>
    <w:uiPriority w:val="0"/>
    <w:rPr>
      <w:rFonts w:hint="eastAsia" w:ascii="宋体" w:hAnsi="宋体" w:eastAsia="宋体" w:cs="宋体"/>
      <w:b/>
      <w:bCs/>
      <w:color w:val="000000"/>
      <w:sz w:val="20"/>
      <w:szCs w:val="20"/>
      <w:u w:val="none"/>
    </w:rPr>
  </w:style>
  <w:style w:type="paragraph" w:customStyle="1" w:styleId="37">
    <w:name w:val="WPS Plain"/>
    <w:autoRedefine/>
    <w:unhideWhenUsed/>
    <w:qFormat/>
    <w:uiPriority w:val="0"/>
    <w:pPr>
      <w:spacing w:beforeLines="0" w:afterLines="0"/>
    </w:pPr>
    <w:rPr>
      <w:rFonts w:hint="default" w:ascii="Times New Roman" w:hAnsi="Times New Roman" w:eastAsia="宋体" w:cs="Times New Roman"/>
      <w:sz w:val="24"/>
      <w:szCs w:val="24"/>
      <w:lang w:val="en-US" w:eastAsia="zh-CN" w:bidi="ar-SA"/>
    </w:rPr>
  </w:style>
  <w:style w:type="paragraph" w:customStyle="1" w:styleId="38">
    <w:name w:val="标书正文"/>
    <w:basedOn w:val="1"/>
    <w:autoRedefine/>
    <w:unhideWhenUsed/>
    <w:qFormat/>
    <w:uiPriority w:val="0"/>
    <w:pPr>
      <w:spacing w:beforeLines="0" w:afterLines="0" w:line="360" w:lineRule="auto"/>
      <w:ind w:firstLine="497" w:firstLineChars="207"/>
    </w:pPr>
    <w:rPr>
      <w:rFonts w:hint="default"/>
      <w:sz w:val="24"/>
      <w:szCs w:val="20"/>
    </w:rPr>
  </w:style>
  <w:style w:type="paragraph" w:customStyle="1" w:styleId="39">
    <w:name w:val="样式 样式 样式 左侧:  2 字符1 + 首行缩进:  2 字符1 + 首行缩进:  2 字符"/>
    <w:basedOn w:val="1"/>
    <w:autoRedefine/>
    <w:unhideWhenUsed/>
    <w:qFormat/>
    <w:uiPriority w:val="0"/>
    <w:pPr>
      <w:widowControl/>
      <w:spacing w:before="60" w:beforeLines="0" w:after="120" w:afterLines="0" w:line="440" w:lineRule="atLeast"/>
      <w:ind w:firstLine="480"/>
    </w:pPr>
    <w:rPr>
      <w:rFonts w:hint="eastAsia"/>
      <w:sz w:val="24"/>
      <w:szCs w:val="24"/>
    </w:rPr>
  </w:style>
  <w:style w:type="paragraph" w:customStyle="1" w:styleId="40">
    <w:name w:val="Default Text"/>
    <w:autoRedefine/>
    <w:unhideWhenUsed/>
    <w:qFormat/>
    <w:uiPriority w:val="0"/>
    <w:pPr>
      <w:widowControl w:val="0"/>
      <w:autoSpaceDE w:val="0"/>
      <w:autoSpaceDN w:val="0"/>
      <w:adjustRightInd w:val="0"/>
      <w:spacing w:beforeLines="0" w:afterLines="0"/>
    </w:pPr>
    <w:rPr>
      <w:rFonts w:hint="default" w:ascii="Times New Roman" w:hAnsi="Times New Roman" w:eastAsia="宋体" w:cs="Times New Roman"/>
      <w:color w:val="000000"/>
      <w:sz w:val="24"/>
      <w:szCs w:val="24"/>
      <w:lang w:val="en-US" w:eastAsia="zh-CN" w:bidi="ar-SA"/>
    </w:rPr>
  </w:style>
  <w:style w:type="paragraph" w:customStyle="1" w:styleId="41">
    <w:name w:val="Table Text"/>
    <w:basedOn w:val="1"/>
    <w:semiHidden/>
    <w:qFormat/>
    <w:uiPriority w:val="0"/>
    <w:rPr>
      <w:rFonts w:ascii="宋体" w:hAnsi="宋体" w:eastAsia="宋体" w:cs="宋体"/>
      <w:sz w:val="24"/>
      <w:szCs w:val="24"/>
      <w:lang w:val="en-US" w:eastAsia="en-US" w:bidi="ar-SA"/>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4">
    <w:name w:val="列出段落1"/>
    <w:basedOn w:val="1"/>
    <w:qFormat/>
    <w:uiPriority w:val="34"/>
    <w:pPr>
      <w:ind w:firstLine="420" w:firstLineChars="200"/>
    </w:pPr>
  </w:style>
  <w:style w:type="paragraph" w:customStyle="1" w:styleId="45">
    <w:name w:val="大标题"/>
    <w:basedOn w:val="1"/>
    <w:next w:val="17"/>
    <w:qFormat/>
    <w:uiPriority w:val="0"/>
    <w:pPr>
      <w:jc w:val="center"/>
    </w:pPr>
    <w:rPr>
      <w:rFonts w:ascii="Arial" w:hAnsi="Arial"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7.png"/><Relationship Id="rId3" Type="http://schemas.openxmlformats.org/officeDocument/2006/relationships/footer" Target="foot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3150</Words>
  <Characters>3574</Characters>
  <Lines>0</Lines>
  <Paragraphs>0</Paragraphs>
  <TotalTime>0</TotalTime>
  <ScaleCrop>false</ScaleCrop>
  <LinksUpToDate>false</LinksUpToDate>
  <CharactersWithSpaces>3842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2023-01-17T01:23:00Z</dcterms:created>
  <dc:creator>Administrator</dc:creator>
  <cp:lastModifiedBy>WPS_1704449864</cp:lastModifiedBy>
  <cp:lastPrinted>2024-05-24T09:19:00Z</cp:lastPrinted>
  <dcterms:modified xsi:type="dcterms:W3CDTF">2025-01-08T12:25:08Z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46C15B8160B54C3AA7F07F3788CAEDE2_13</vt:lpwstr>
  </property>
  <property fmtid="{D5CDD505-2E9C-101B-9397-08002B2CF9AE}" pid="4" name="KSOTemplateDocerSaveRecord">
    <vt:lpwstr>eyJoZGlkIjoiMTA3YzdlMTdlNzJjNDZkYzFjNjFhZDIwNDdmNjI2ZTYiLCJ1c2VySWQiOiIxNTczMjE1MDY0In0=</vt:lpwstr>
  </property>
</Properties>
</file>