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5EA05">
      <w:pPr>
        <w:spacing w:before="111" w:line="226" w:lineRule="auto"/>
        <w:jc w:val="center"/>
        <w:rPr>
          <w:rFonts w:hint="eastAsia" w:ascii="黑体" w:hAnsi="黑体" w:eastAsia="黑体" w:cs="黑体"/>
          <w:b/>
          <w:bCs/>
          <w:spacing w:val="3"/>
          <w:sz w:val="56"/>
          <w:szCs w:val="56"/>
          <w:lang w:eastAsia="zh-CN"/>
        </w:rPr>
      </w:pPr>
      <w:r>
        <w:rPr>
          <w:rFonts w:hint="eastAsia" w:ascii="黑体" w:hAnsi="黑体" w:eastAsia="黑体" w:cs="黑体"/>
          <w:b/>
          <w:bCs/>
          <w:spacing w:val="3"/>
          <w:sz w:val="56"/>
          <w:szCs w:val="56"/>
          <w:lang w:eastAsia="zh-CN"/>
        </w:rPr>
        <w:t>温宿县水稻农场农机采购项目</w:t>
      </w:r>
    </w:p>
    <w:p w14:paraId="4D9852E8">
      <w:pPr>
        <w:pStyle w:val="7"/>
        <w:keepLines w:val="0"/>
        <w:pageBreakBefore w:val="0"/>
        <w:kinsoku/>
        <w:wordWrap/>
        <w:overflowPunct/>
        <w:topLinePunct w:val="0"/>
        <w:bidi w:val="0"/>
        <w:spacing w:line="275" w:lineRule="auto"/>
      </w:pPr>
    </w:p>
    <w:p w14:paraId="227B890C">
      <w:pPr>
        <w:pStyle w:val="7"/>
        <w:keepLines w:val="0"/>
        <w:pageBreakBefore w:val="0"/>
        <w:kinsoku/>
        <w:wordWrap/>
        <w:overflowPunct/>
        <w:topLinePunct w:val="0"/>
        <w:bidi w:val="0"/>
        <w:spacing w:line="275" w:lineRule="auto"/>
      </w:pPr>
    </w:p>
    <w:p w14:paraId="048163B4">
      <w:pPr>
        <w:pStyle w:val="7"/>
        <w:keepLines w:val="0"/>
        <w:pageBreakBefore w:val="0"/>
        <w:kinsoku/>
        <w:wordWrap/>
        <w:overflowPunct/>
        <w:topLinePunct w:val="0"/>
        <w:bidi w:val="0"/>
        <w:spacing w:line="275" w:lineRule="auto"/>
        <w:jc w:val="center"/>
        <w:rPr>
          <w:rFonts w:hint="eastAsia" w:eastAsia="宋体"/>
          <w:b/>
          <w:bCs/>
          <w:sz w:val="36"/>
          <w:szCs w:val="36"/>
          <w:lang w:eastAsia="zh-CN"/>
        </w:rPr>
      </w:pPr>
      <w:r>
        <w:rPr>
          <w:rFonts w:hint="eastAsia" w:eastAsia="宋体"/>
          <w:b/>
          <w:bCs/>
          <w:sz w:val="36"/>
          <w:szCs w:val="36"/>
          <w:lang w:eastAsia="zh-CN"/>
        </w:rPr>
        <w:t>（</w:t>
      </w:r>
      <w:r>
        <w:rPr>
          <w:rFonts w:hint="eastAsia" w:eastAsia="宋体"/>
          <w:b/>
          <w:bCs/>
          <w:sz w:val="36"/>
          <w:szCs w:val="36"/>
          <w:lang w:val="en-US" w:eastAsia="zh-CN"/>
        </w:rPr>
        <w:t>公开招标</w:t>
      </w:r>
      <w:r>
        <w:rPr>
          <w:rFonts w:hint="eastAsia" w:eastAsia="宋体"/>
          <w:b/>
          <w:bCs/>
          <w:sz w:val="36"/>
          <w:szCs w:val="36"/>
          <w:lang w:eastAsia="zh-CN"/>
        </w:rPr>
        <w:t>）</w:t>
      </w:r>
    </w:p>
    <w:p w14:paraId="4650915E">
      <w:pPr>
        <w:keepLines w:val="0"/>
        <w:pageBreakBefore w:val="0"/>
        <w:kinsoku/>
        <w:wordWrap/>
        <w:overflowPunct/>
        <w:topLinePunct w:val="0"/>
        <w:bidi w:val="0"/>
      </w:pPr>
    </w:p>
    <w:p w14:paraId="6498A231">
      <w:pPr>
        <w:keepLines w:val="0"/>
        <w:pageBreakBefore w:val="0"/>
        <w:kinsoku/>
        <w:wordWrap/>
        <w:overflowPunct/>
        <w:topLinePunct w:val="0"/>
        <w:bidi w:val="0"/>
      </w:pPr>
    </w:p>
    <w:p w14:paraId="192B9B49">
      <w:pPr>
        <w:pStyle w:val="7"/>
        <w:keepLines w:val="0"/>
        <w:pageBreakBefore w:val="0"/>
        <w:kinsoku/>
        <w:wordWrap/>
        <w:overflowPunct/>
        <w:topLinePunct w:val="0"/>
        <w:bidi w:val="0"/>
        <w:spacing w:line="275" w:lineRule="auto"/>
      </w:pPr>
    </w:p>
    <w:p w14:paraId="3F0D8D43">
      <w:pPr>
        <w:keepLines w:val="0"/>
        <w:pageBreakBefore w:val="0"/>
        <w:kinsoku/>
        <w:wordWrap/>
        <w:overflowPunct/>
        <w:topLinePunct w:val="0"/>
        <w:bidi w:val="0"/>
        <w:spacing w:before="208" w:line="222" w:lineRule="auto"/>
        <w:jc w:val="center"/>
        <w:outlineLvl w:val="0"/>
        <w:rPr>
          <w:rFonts w:ascii="仿宋" w:hAnsi="仿宋" w:eastAsia="仿宋" w:cs="仿宋"/>
          <w:b/>
          <w:bCs/>
          <w:spacing w:val="-38"/>
          <w:sz w:val="64"/>
          <w:szCs w:val="64"/>
        </w:rPr>
      </w:pPr>
    </w:p>
    <w:p w14:paraId="1C5D08B0">
      <w:pPr>
        <w:keepLines w:val="0"/>
        <w:pageBreakBefore w:val="0"/>
        <w:kinsoku/>
        <w:wordWrap/>
        <w:overflowPunct/>
        <w:topLinePunct w:val="0"/>
        <w:bidi w:val="0"/>
        <w:spacing w:before="208" w:line="222" w:lineRule="auto"/>
        <w:jc w:val="center"/>
        <w:outlineLvl w:val="0"/>
        <w:rPr>
          <w:rFonts w:ascii="仿宋" w:hAnsi="仿宋" w:eastAsia="仿宋" w:cs="仿宋"/>
          <w:sz w:val="64"/>
          <w:szCs w:val="64"/>
        </w:rPr>
      </w:pPr>
      <w:r>
        <w:rPr>
          <w:rFonts w:ascii="仿宋" w:hAnsi="仿宋" w:eastAsia="仿宋" w:cs="仿宋"/>
          <w:b/>
          <w:bCs/>
          <w:spacing w:val="-38"/>
          <w:sz w:val="64"/>
          <w:szCs w:val="64"/>
        </w:rPr>
        <w:t>招</w:t>
      </w:r>
      <w:r>
        <w:rPr>
          <w:rFonts w:ascii="仿宋" w:hAnsi="仿宋" w:eastAsia="仿宋" w:cs="仿宋"/>
          <w:spacing w:val="169"/>
          <w:sz w:val="64"/>
          <w:szCs w:val="64"/>
        </w:rPr>
        <w:t xml:space="preserve"> </w:t>
      </w:r>
      <w:r>
        <w:rPr>
          <w:rFonts w:ascii="仿宋" w:hAnsi="仿宋" w:eastAsia="仿宋" w:cs="仿宋"/>
          <w:b/>
          <w:bCs/>
          <w:spacing w:val="-38"/>
          <w:sz w:val="64"/>
          <w:szCs w:val="64"/>
        </w:rPr>
        <w:t>标</w:t>
      </w:r>
      <w:r>
        <w:rPr>
          <w:rFonts w:ascii="仿宋" w:hAnsi="仿宋" w:eastAsia="仿宋" w:cs="仿宋"/>
          <w:spacing w:val="171"/>
          <w:sz w:val="64"/>
          <w:szCs w:val="64"/>
        </w:rPr>
        <w:t xml:space="preserve"> </w:t>
      </w:r>
      <w:r>
        <w:rPr>
          <w:rFonts w:ascii="仿宋" w:hAnsi="仿宋" w:eastAsia="仿宋" w:cs="仿宋"/>
          <w:b/>
          <w:bCs/>
          <w:spacing w:val="-38"/>
          <w:sz w:val="64"/>
          <w:szCs w:val="64"/>
        </w:rPr>
        <w:t>文</w:t>
      </w:r>
      <w:r>
        <w:rPr>
          <w:rFonts w:ascii="仿宋" w:hAnsi="仿宋" w:eastAsia="仿宋" w:cs="仿宋"/>
          <w:spacing w:val="170"/>
          <w:sz w:val="64"/>
          <w:szCs w:val="64"/>
        </w:rPr>
        <w:t xml:space="preserve"> </w:t>
      </w:r>
      <w:r>
        <w:rPr>
          <w:rFonts w:ascii="仿宋" w:hAnsi="仿宋" w:eastAsia="仿宋" w:cs="仿宋"/>
          <w:b/>
          <w:bCs/>
          <w:spacing w:val="-38"/>
          <w:sz w:val="64"/>
          <w:szCs w:val="64"/>
        </w:rPr>
        <w:t>件</w:t>
      </w:r>
    </w:p>
    <w:p w14:paraId="128A56F2">
      <w:pPr>
        <w:pStyle w:val="7"/>
        <w:keepLines w:val="0"/>
        <w:pageBreakBefore w:val="0"/>
        <w:kinsoku/>
        <w:wordWrap/>
        <w:overflowPunct/>
        <w:topLinePunct w:val="0"/>
        <w:bidi w:val="0"/>
        <w:spacing w:line="287" w:lineRule="auto"/>
      </w:pPr>
    </w:p>
    <w:p w14:paraId="2518AA19">
      <w:pPr>
        <w:pStyle w:val="7"/>
        <w:keepLines w:val="0"/>
        <w:pageBreakBefore w:val="0"/>
        <w:kinsoku/>
        <w:wordWrap/>
        <w:overflowPunct/>
        <w:topLinePunct w:val="0"/>
        <w:bidi w:val="0"/>
        <w:spacing w:line="287" w:lineRule="auto"/>
      </w:pPr>
    </w:p>
    <w:p w14:paraId="0F588961">
      <w:pPr>
        <w:pStyle w:val="7"/>
        <w:keepLines w:val="0"/>
        <w:pageBreakBefore w:val="0"/>
        <w:kinsoku/>
        <w:wordWrap/>
        <w:overflowPunct/>
        <w:topLinePunct w:val="0"/>
        <w:bidi w:val="0"/>
        <w:spacing w:line="288" w:lineRule="auto"/>
      </w:pPr>
    </w:p>
    <w:p w14:paraId="687A5155">
      <w:pPr>
        <w:pStyle w:val="7"/>
        <w:keepLines w:val="0"/>
        <w:pageBreakBefore w:val="0"/>
        <w:kinsoku/>
        <w:wordWrap/>
        <w:overflowPunct/>
        <w:topLinePunct w:val="0"/>
        <w:bidi w:val="0"/>
        <w:spacing w:line="288" w:lineRule="auto"/>
      </w:pPr>
    </w:p>
    <w:p w14:paraId="6D8FA3CE">
      <w:pPr>
        <w:pStyle w:val="7"/>
        <w:keepLines w:val="0"/>
        <w:pageBreakBefore w:val="0"/>
        <w:kinsoku/>
        <w:wordWrap/>
        <w:overflowPunct/>
        <w:topLinePunct w:val="0"/>
        <w:bidi w:val="0"/>
        <w:spacing w:line="288" w:lineRule="auto"/>
      </w:pPr>
    </w:p>
    <w:p w14:paraId="7C62AEFB">
      <w:pPr>
        <w:pStyle w:val="7"/>
        <w:keepLines w:val="0"/>
        <w:pageBreakBefore w:val="0"/>
        <w:kinsoku/>
        <w:wordWrap/>
        <w:overflowPunct/>
        <w:topLinePunct w:val="0"/>
        <w:bidi w:val="0"/>
        <w:spacing w:line="255" w:lineRule="auto"/>
      </w:pPr>
    </w:p>
    <w:p w14:paraId="59E29495">
      <w:pPr>
        <w:pStyle w:val="7"/>
        <w:keepLines w:val="0"/>
        <w:pageBreakBefore w:val="0"/>
        <w:kinsoku/>
        <w:wordWrap/>
        <w:overflowPunct/>
        <w:topLinePunct w:val="0"/>
        <w:bidi w:val="0"/>
        <w:spacing w:line="255" w:lineRule="auto"/>
      </w:pPr>
    </w:p>
    <w:p w14:paraId="1D07EF59">
      <w:pPr>
        <w:keepLines w:val="0"/>
        <w:pageBreakBefore w:val="0"/>
        <w:kinsoku/>
        <w:wordWrap/>
        <w:overflowPunct/>
        <w:topLinePunct w:val="0"/>
        <w:bidi w:val="0"/>
      </w:pPr>
    </w:p>
    <w:p w14:paraId="72B89540">
      <w:pPr>
        <w:keepLines w:val="0"/>
        <w:pageBreakBefore w:val="0"/>
        <w:kinsoku/>
        <w:wordWrap/>
        <w:overflowPunct/>
        <w:topLinePunct w:val="0"/>
        <w:bidi w:val="0"/>
      </w:pPr>
    </w:p>
    <w:p w14:paraId="4620B2A8">
      <w:pPr>
        <w:pStyle w:val="7"/>
        <w:keepLines w:val="0"/>
        <w:pageBreakBefore w:val="0"/>
        <w:kinsoku/>
        <w:wordWrap/>
        <w:overflowPunct/>
        <w:topLinePunct w:val="0"/>
        <w:bidi w:val="0"/>
        <w:spacing w:line="255" w:lineRule="auto"/>
      </w:pPr>
    </w:p>
    <w:p w14:paraId="588206EA">
      <w:pPr>
        <w:pStyle w:val="7"/>
        <w:keepLines w:val="0"/>
        <w:pageBreakBefore w:val="0"/>
        <w:kinsoku/>
        <w:wordWrap/>
        <w:overflowPunct/>
        <w:topLinePunct w:val="0"/>
        <w:bidi w:val="0"/>
        <w:spacing w:line="255" w:lineRule="auto"/>
      </w:pPr>
    </w:p>
    <w:p w14:paraId="3E262D39">
      <w:pPr>
        <w:pStyle w:val="7"/>
        <w:keepLines w:val="0"/>
        <w:pageBreakBefore w:val="0"/>
        <w:kinsoku/>
        <w:wordWrap/>
        <w:overflowPunct/>
        <w:topLinePunct w:val="0"/>
        <w:bidi w:val="0"/>
        <w:spacing w:line="255" w:lineRule="auto"/>
      </w:pPr>
    </w:p>
    <w:p w14:paraId="50E5234B">
      <w:pPr>
        <w:pStyle w:val="7"/>
        <w:keepLines w:val="0"/>
        <w:pageBreakBefore w:val="0"/>
        <w:kinsoku/>
        <w:wordWrap/>
        <w:overflowPunct/>
        <w:topLinePunct w:val="0"/>
        <w:bidi w:val="0"/>
        <w:spacing w:line="255" w:lineRule="auto"/>
      </w:pPr>
    </w:p>
    <w:p w14:paraId="51727360">
      <w:pPr>
        <w:keepLines w:val="0"/>
        <w:pageBreakBefore w:val="0"/>
        <w:kinsoku/>
        <w:wordWrap/>
        <w:overflowPunct/>
        <w:topLinePunct w:val="0"/>
        <w:bidi w:val="0"/>
        <w:spacing w:before="108" w:line="224" w:lineRule="auto"/>
        <w:ind w:left="924"/>
        <w:rPr>
          <w:rFonts w:hint="default" w:ascii="仿宋" w:hAnsi="仿宋" w:eastAsia="仿宋" w:cs="仿宋"/>
          <w:sz w:val="33"/>
          <w:szCs w:val="33"/>
          <w:lang w:val="en-US" w:eastAsia="zh-CN"/>
        </w:rPr>
      </w:pPr>
      <w:r>
        <w:rPr>
          <w:rFonts w:ascii="仿宋" w:hAnsi="仿宋" w:eastAsia="仿宋" w:cs="仿宋"/>
          <w:b/>
          <w:bCs/>
          <w:spacing w:val="23"/>
          <w:sz w:val="33"/>
          <w:szCs w:val="33"/>
        </w:rPr>
        <w:t>项目编号：</w:t>
      </w:r>
      <w:r>
        <w:rPr>
          <w:rFonts w:hint="eastAsia" w:ascii="仿宋" w:hAnsi="仿宋" w:eastAsia="仿宋" w:cs="仿宋"/>
          <w:b/>
          <w:bCs/>
          <w:spacing w:val="23"/>
          <w:sz w:val="33"/>
          <w:szCs w:val="33"/>
        </w:rPr>
        <w:t>wsfs-2024-144</w:t>
      </w:r>
      <w:r>
        <w:rPr>
          <w:rFonts w:hint="eastAsia" w:ascii="仿宋" w:hAnsi="仿宋" w:eastAsia="仿宋" w:cs="仿宋"/>
          <w:b/>
          <w:bCs/>
          <w:spacing w:val="23"/>
          <w:sz w:val="33"/>
          <w:szCs w:val="33"/>
          <w:lang w:val="en-US" w:eastAsia="zh-CN"/>
        </w:rPr>
        <w:t>-1</w:t>
      </w:r>
    </w:p>
    <w:p w14:paraId="37932407">
      <w:pPr>
        <w:pStyle w:val="7"/>
        <w:keepLines w:val="0"/>
        <w:pageBreakBefore w:val="0"/>
        <w:kinsoku/>
        <w:wordWrap/>
        <w:overflowPunct/>
        <w:topLinePunct w:val="0"/>
        <w:bidi w:val="0"/>
        <w:spacing w:line="415" w:lineRule="auto"/>
      </w:pPr>
    </w:p>
    <w:p w14:paraId="6D93F798">
      <w:pPr>
        <w:keepLines w:val="0"/>
        <w:pageBreakBefore w:val="0"/>
        <w:kinsoku/>
        <w:wordWrap/>
        <w:overflowPunct/>
        <w:topLinePunct w:val="0"/>
        <w:bidi w:val="0"/>
        <w:spacing w:before="108" w:line="221" w:lineRule="auto"/>
        <w:ind w:left="924"/>
        <w:rPr>
          <w:rFonts w:hint="eastAsia" w:eastAsia="仿宋"/>
          <w:lang w:val="en-US" w:eastAsia="zh-CN"/>
        </w:rPr>
      </w:pPr>
      <w:r>
        <w:rPr>
          <w:rFonts w:ascii="仿宋" w:hAnsi="仿宋" w:eastAsia="仿宋" w:cs="仿宋"/>
          <w:b/>
          <w:bCs/>
          <w:spacing w:val="37"/>
          <w:sz w:val="33"/>
          <w:szCs w:val="33"/>
        </w:rPr>
        <w:t>采购人：</w:t>
      </w:r>
      <w:r>
        <w:rPr>
          <w:rFonts w:hint="eastAsia" w:ascii="仿宋" w:hAnsi="仿宋" w:eastAsia="仿宋" w:cs="仿宋"/>
          <w:b/>
          <w:bCs/>
          <w:spacing w:val="37"/>
          <w:sz w:val="33"/>
          <w:szCs w:val="33"/>
        </w:rPr>
        <w:t>温宿县乡村振兴服务中心</w:t>
      </w:r>
    </w:p>
    <w:p w14:paraId="00A2ED64">
      <w:pPr>
        <w:keepLines w:val="0"/>
        <w:pageBreakBefore w:val="0"/>
        <w:kinsoku/>
        <w:wordWrap/>
        <w:overflowPunct/>
        <w:topLinePunct w:val="0"/>
        <w:bidi w:val="0"/>
        <w:spacing w:before="107" w:line="222" w:lineRule="auto"/>
        <w:ind w:left="924"/>
        <w:rPr>
          <w:rFonts w:hint="eastAsia" w:ascii="仿宋" w:hAnsi="仿宋" w:eastAsia="仿宋" w:cs="仿宋"/>
          <w:b/>
          <w:bCs/>
          <w:spacing w:val="24"/>
          <w:sz w:val="33"/>
          <w:szCs w:val="33"/>
          <w:lang w:eastAsia="zh-CN"/>
        </w:rPr>
      </w:pPr>
    </w:p>
    <w:p w14:paraId="4E3D6E3F">
      <w:pPr>
        <w:keepLines w:val="0"/>
        <w:pageBreakBefore w:val="0"/>
        <w:kinsoku/>
        <w:wordWrap/>
        <w:overflowPunct/>
        <w:topLinePunct w:val="0"/>
        <w:bidi w:val="0"/>
        <w:spacing w:before="107" w:line="222" w:lineRule="auto"/>
        <w:ind w:left="924"/>
        <w:rPr>
          <w:rFonts w:hint="eastAsia" w:ascii="仿宋" w:hAnsi="仿宋" w:eastAsia="仿宋" w:cs="仿宋"/>
          <w:sz w:val="33"/>
          <w:szCs w:val="33"/>
          <w:lang w:eastAsia="zh-CN"/>
        </w:rPr>
      </w:pPr>
      <w:r>
        <w:rPr>
          <w:rFonts w:hint="eastAsia" w:ascii="仿宋" w:hAnsi="仿宋" w:eastAsia="仿宋" w:cs="仿宋"/>
          <w:b/>
          <w:bCs/>
          <w:spacing w:val="24"/>
          <w:sz w:val="33"/>
          <w:szCs w:val="33"/>
          <w:lang w:eastAsia="zh-CN"/>
        </w:rPr>
        <w:t>采购</w:t>
      </w:r>
      <w:r>
        <w:rPr>
          <w:rFonts w:ascii="仿宋" w:hAnsi="仿宋" w:eastAsia="仿宋" w:cs="仿宋"/>
          <w:b/>
          <w:bCs/>
          <w:spacing w:val="24"/>
          <w:sz w:val="33"/>
          <w:szCs w:val="33"/>
        </w:rPr>
        <w:t>代理机构：</w:t>
      </w:r>
      <w:r>
        <w:rPr>
          <w:rFonts w:hint="eastAsia" w:ascii="仿宋" w:hAnsi="仿宋" w:eastAsia="仿宋" w:cs="仿宋"/>
          <w:b/>
          <w:bCs/>
          <w:spacing w:val="24"/>
          <w:sz w:val="33"/>
          <w:szCs w:val="33"/>
          <w:lang w:eastAsia="zh-CN"/>
        </w:rPr>
        <w:t>阿克苏地区振远项目咨询管理有限公司</w:t>
      </w:r>
    </w:p>
    <w:p w14:paraId="686850B6">
      <w:pPr>
        <w:pStyle w:val="7"/>
        <w:keepLines w:val="0"/>
        <w:pageBreakBefore w:val="0"/>
        <w:kinsoku/>
        <w:wordWrap/>
        <w:overflowPunct/>
        <w:topLinePunct w:val="0"/>
        <w:bidi w:val="0"/>
        <w:spacing w:line="423" w:lineRule="auto"/>
      </w:pPr>
    </w:p>
    <w:p w14:paraId="4CF8B3B7">
      <w:pPr>
        <w:keepLines w:val="0"/>
        <w:pageBreakBefore w:val="0"/>
        <w:kinsoku/>
        <w:wordWrap/>
        <w:overflowPunct/>
        <w:topLinePunct w:val="0"/>
        <w:bidi w:val="0"/>
        <w:spacing w:before="108" w:line="222" w:lineRule="auto"/>
        <w:ind w:left="984"/>
        <w:rPr>
          <w:rFonts w:ascii="仿宋" w:hAnsi="仿宋" w:eastAsia="仿宋" w:cs="仿宋"/>
          <w:sz w:val="33"/>
          <w:szCs w:val="33"/>
        </w:rPr>
      </w:pPr>
      <w:r>
        <w:rPr>
          <w:rFonts w:ascii="仿宋" w:hAnsi="仿宋" w:eastAsia="仿宋" w:cs="仿宋"/>
          <w:b/>
          <w:bCs/>
          <w:spacing w:val="23"/>
          <w:sz w:val="33"/>
          <w:szCs w:val="33"/>
        </w:rPr>
        <w:t>日</w:t>
      </w:r>
      <w:r>
        <w:rPr>
          <w:rFonts w:ascii="仿宋" w:hAnsi="仿宋" w:eastAsia="仿宋" w:cs="仿宋"/>
          <w:spacing w:val="23"/>
          <w:sz w:val="33"/>
          <w:szCs w:val="33"/>
        </w:rPr>
        <w:t xml:space="preserve">    </w:t>
      </w:r>
      <w:r>
        <w:rPr>
          <w:rFonts w:ascii="宋体" w:hAnsi="宋体" w:eastAsia="宋体" w:cs="宋体"/>
          <w:b/>
          <w:bCs/>
          <w:spacing w:val="23"/>
          <w:sz w:val="33"/>
          <w:szCs w:val="33"/>
        </w:rPr>
        <w:t>期</w:t>
      </w:r>
      <w:r>
        <w:rPr>
          <w:rFonts w:ascii="仿宋" w:hAnsi="仿宋" w:eastAsia="仿宋" w:cs="仿宋"/>
          <w:b/>
          <w:bCs/>
          <w:spacing w:val="23"/>
          <w:sz w:val="33"/>
          <w:szCs w:val="33"/>
        </w:rPr>
        <w:t>：</w:t>
      </w:r>
      <w:r>
        <w:rPr>
          <w:rFonts w:hint="eastAsia" w:ascii="仿宋" w:hAnsi="仿宋" w:eastAsia="仿宋" w:cs="仿宋"/>
          <w:b/>
          <w:bCs/>
          <w:spacing w:val="23"/>
          <w:sz w:val="33"/>
          <w:szCs w:val="33"/>
          <w:lang w:val="en-US" w:eastAsia="zh-CN"/>
        </w:rPr>
        <w:t>2025</w:t>
      </w:r>
      <w:r>
        <w:rPr>
          <w:rFonts w:ascii="仿宋" w:hAnsi="仿宋" w:eastAsia="仿宋" w:cs="仿宋"/>
          <w:b/>
          <w:bCs/>
          <w:spacing w:val="23"/>
          <w:sz w:val="33"/>
          <w:szCs w:val="33"/>
        </w:rPr>
        <w:t>年</w:t>
      </w:r>
      <w:r>
        <w:rPr>
          <w:rFonts w:hint="eastAsia" w:ascii="仿宋" w:hAnsi="仿宋" w:eastAsia="仿宋" w:cs="仿宋"/>
          <w:b/>
          <w:bCs/>
          <w:spacing w:val="23"/>
          <w:sz w:val="33"/>
          <w:szCs w:val="33"/>
          <w:lang w:val="en-US" w:eastAsia="zh-CN"/>
        </w:rPr>
        <w:t>01</w:t>
      </w:r>
      <w:r>
        <w:rPr>
          <w:rFonts w:ascii="仿宋" w:hAnsi="仿宋" w:eastAsia="仿宋" w:cs="仿宋"/>
          <w:b/>
          <w:bCs/>
          <w:spacing w:val="23"/>
          <w:sz w:val="33"/>
          <w:szCs w:val="33"/>
        </w:rPr>
        <w:t>月</w:t>
      </w:r>
    </w:p>
    <w:p w14:paraId="0EE6B31E">
      <w:pPr>
        <w:keepLines w:val="0"/>
        <w:pageBreakBefore w:val="0"/>
        <w:kinsoku/>
        <w:wordWrap/>
        <w:overflowPunct/>
        <w:topLinePunct w:val="0"/>
        <w:bidi w:val="0"/>
        <w:spacing w:line="222" w:lineRule="auto"/>
        <w:rPr>
          <w:rFonts w:ascii="仿宋" w:hAnsi="仿宋" w:eastAsia="仿宋" w:cs="仿宋"/>
          <w:sz w:val="33"/>
          <w:szCs w:val="33"/>
        </w:rPr>
        <w:sectPr>
          <w:footerReference r:id="rId5" w:type="default"/>
          <w:pgSz w:w="11910" w:h="16840"/>
          <w:pgMar w:top="1440" w:right="1080" w:bottom="1440" w:left="1080" w:header="850" w:footer="850" w:gutter="0"/>
          <w:cols w:space="720" w:num="1"/>
        </w:sectPr>
      </w:pPr>
    </w:p>
    <w:sdt>
      <w:sdtPr>
        <w:rPr>
          <w:rFonts w:ascii="仿宋" w:hAnsi="仿宋" w:eastAsia="仿宋" w:cs="仿宋"/>
          <w:sz w:val="28"/>
          <w:szCs w:val="28"/>
        </w:rPr>
        <w:id w:val="9"/>
      </w:sdtPr>
      <w:sdtEndPr>
        <w:rPr>
          <w:rFonts w:ascii="仿宋" w:hAnsi="仿宋" w:eastAsia="仿宋" w:cs="仿宋"/>
          <w:sz w:val="24"/>
          <w:szCs w:val="24"/>
        </w:rPr>
      </w:sdtEndPr>
      <w:sdtContent>
        <w:p w14:paraId="67213634">
          <w:pPr>
            <w:keepLines w:val="0"/>
            <w:pageBreakBefore w:val="0"/>
            <w:kinsoku/>
            <w:wordWrap/>
            <w:overflowPunct/>
            <w:topLinePunct w:val="0"/>
            <w:bidi w:val="0"/>
            <w:spacing w:before="91" w:line="224" w:lineRule="auto"/>
            <w:ind w:left="4109"/>
            <w:rPr>
              <w:rFonts w:ascii="仿宋" w:hAnsi="仿宋" w:eastAsia="仿宋" w:cs="仿宋"/>
              <w:sz w:val="28"/>
              <w:szCs w:val="28"/>
            </w:rPr>
          </w:pPr>
          <w:r>
            <w:rPr>
              <w:rFonts w:ascii="仿宋" w:hAnsi="仿宋" w:eastAsia="仿宋" w:cs="仿宋"/>
              <w:b/>
              <w:bCs/>
              <w:spacing w:val="-37"/>
              <w:sz w:val="28"/>
              <w:szCs w:val="28"/>
            </w:rPr>
            <w:t>目</w:t>
          </w:r>
          <w:r>
            <w:rPr>
              <w:rFonts w:ascii="仿宋" w:hAnsi="仿宋" w:eastAsia="仿宋" w:cs="仿宋"/>
              <w:spacing w:val="27"/>
              <w:sz w:val="28"/>
              <w:szCs w:val="28"/>
            </w:rPr>
            <w:t xml:space="preserve"> </w:t>
          </w:r>
          <w:r>
            <w:rPr>
              <w:rFonts w:ascii="仿宋" w:hAnsi="仿宋" w:eastAsia="仿宋" w:cs="仿宋"/>
              <w:b/>
              <w:bCs/>
              <w:spacing w:val="-37"/>
              <w:sz w:val="28"/>
              <w:szCs w:val="28"/>
            </w:rPr>
            <w:t>录</w:t>
          </w:r>
        </w:p>
        <w:p w14:paraId="212A9E8F">
          <w:pPr>
            <w:pStyle w:val="7"/>
            <w:keepLines w:val="0"/>
            <w:pageBreakBefore w:val="0"/>
            <w:kinsoku/>
            <w:wordWrap/>
            <w:overflowPunct/>
            <w:topLinePunct w:val="0"/>
            <w:bidi w:val="0"/>
            <w:spacing w:line="286" w:lineRule="auto"/>
          </w:pPr>
        </w:p>
        <w:p w14:paraId="6B9A9B64">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"bookmark1" </w:instrText>
          </w:r>
          <w:r>
            <w:rPr>
              <w:sz w:val="28"/>
              <w:szCs w:val="28"/>
            </w:rPr>
            <w:fldChar w:fldCharType="separate"/>
          </w:r>
          <w:r>
            <w:rPr>
              <w:sz w:val="28"/>
              <w:szCs w:val="28"/>
            </w:rPr>
            <w:t>第一章 招标公告</w:t>
          </w:r>
          <w:r>
            <w:rPr>
              <w:sz w:val="28"/>
              <w:szCs w:val="28"/>
            </w:rPr>
            <w:fldChar w:fldCharType="end"/>
          </w:r>
        </w:p>
        <w:p w14:paraId="5E547A89">
          <w:pPr>
            <w:keepLines w:val="0"/>
            <w:pageBreakBefore w:val="0"/>
            <w:tabs>
              <w:tab w:val="right" w:leader="dot" w:pos="8542"/>
            </w:tabs>
            <w:kinsoku/>
            <w:wordWrap/>
            <w:overflowPunct/>
            <w:topLinePunct w:val="0"/>
            <w:bidi w:val="0"/>
            <w:spacing w:before="65" w:line="231" w:lineRule="auto"/>
            <w:ind w:left="265"/>
            <w:rPr>
              <w:sz w:val="28"/>
              <w:szCs w:val="28"/>
            </w:rPr>
          </w:pPr>
        </w:p>
        <w:p w14:paraId="11B019D7">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"bookmark2" </w:instrText>
          </w:r>
          <w:r>
            <w:rPr>
              <w:sz w:val="28"/>
              <w:szCs w:val="28"/>
            </w:rPr>
            <w:fldChar w:fldCharType="separate"/>
          </w:r>
          <w:r>
            <w:rPr>
              <w:sz w:val="28"/>
              <w:szCs w:val="28"/>
            </w:rPr>
            <w:t xml:space="preserve">第二章  </w:t>
          </w:r>
          <w:r>
            <w:rPr>
              <w:rFonts w:hint="eastAsia" w:eastAsia="宋体"/>
              <w:sz w:val="28"/>
              <w:szCs w:val="28"/>
              <w:lang w:eastAsia="zh-CN"/>
            </w:rPr>
            <w:t>投标人</w:t>
          </w:r>
          <w:r>
            <w:rPr>
              <w:sz w:val="28"/>
              <w:szCs w:val="28"/>
            </w:rPr>
            <w:t xml:space="preserve">须知 </w:t>
          </w:r>
          <w:r>
            <w:rPr>
              <w:sz w:val="28"/>
              <w:szCs w:val="28"/>
            </w:rPr>
            <w:fldChar w:fldCharType="end"/>
          </w:r>
        </w:p>
        <w:p w14:paraId="7B429BB0">
          <w:pPr>
            <w:keepLines w:val="0"/>
            <w:pageBreakBefore w:val="0"/>
            <w:tabs>
              <w:tab w:val="right" w:leader="dot" w:pos="8542"/>
            </w:tabs>
            <w:kinsoku/>
            <w:wordWrap/>
            <w:overflowPunct/>
            <w:topLinePunct w:val="0"/>
            <w:bidi w:val="0"/>
            <w:spacing w:before="65" w:line="231" w:lineRule="auto"/>
            <w:ind w:left="265"/>
            <w:rPr>
              <w:sz w:val="28"/>
              <w:szCs w:val="28"/>
            </w:rPr>
          </w:pPr>
        </w:p>
        <w:p w14:paraId="4A88AE9E">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"bookmark3" </w:instrText>
          </w:r>
          <w:r>
            <w:rPr>
              <w:sz w:val="28"/>
              <w:szCs w:val="28"/>
            </w:rPr>
            <w:fldChar w:fldCharType="separate"/>
          </w:r>
          <w:r>
            <w:rPr>
              <w:sz w:val="28"/>
              <w:szCs w:val="28"/>
            </w:rPr>
            <w:t>第三章  评标办法</w:t>
          </w:r>
          <w:r>
            <w:rPr>
              <w:sz w:val="28"/>
              <w:szCs w:val="28"/>
            </w:rPr>
            <w:fldChar w:fldCharType="end"/>
          </w:r>
        </w:p>
        <w:p w14:paraId="3C26860E">
          <w:pPr>
            <w:keepLines w:val="0"/>
            <w:pageBreakBefore w:val="0"/>
            <w:tabs>
              <w:tab w:val="right" w:leader="dot" w:pos="8542"/>
            </w:tabs>
            <w:kinsoku/>
            <w:wordWrap/>
            <w:overflowPunct/>
            <w:topLinePunct w:val="0"/>
            <w:bidi w:val="0"/>
            <w:spacing w:before="65" w:line="231" w:lineRule="auto"/>
            <w:ind w:left="265"/>
            <w:rPr>
              <w:sz w:val="28"/>
              <w:szCs w:val="28"/>
            </w:rPr>
          </w:pPr>
        </w:p>
        <w:p w14:paraId="2B886C18">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"bookmark4" </w:instrText>
          </w:r>
          <w:r>
            <w:rPr>
              <w:sz w:val="28"/>
              <w:szCs w:val="28"/>
            </w:rPr>
            <w:fldChar w:fldCharType="separate"/>
          </w:r>
          <w:r>
            <w:rPr>
              <w:sz w:val="28"/>
              <w:szCs w:val="28"/>
            </w:rPr>
            <w:t xml:space="preserve">第四章  合同条款 </w:t>
          </w:r>
          <w:r>
            <w:rPr>
              <w:sz w:val="28"/>
              <w:szCs w:val="28"/>
            </w:rPr>
            <w:fldChar w:fldCharType="end"/>
          </w:r>
        </w:p>
        <w:p w14:paraId="1F2404EE">
          <w:pPr>
            <w:keepLines w:val="0"/>
            <w:pageBreakBefore w:val="0"/>
            <w:tabs>
              <w:tab w:val="right" w:leader="dot" w:pos="8542"/>
            </w:tabs>
            <w:kinsoku/>
            <w:wordWrap/>
            <w:overflowPunct/>
            <w:topLinePunct w:val="0"/>
            <w:bidi w:val="0"/>
            <w:spacing w:before="65" w:line="231" w:lineRule="auto"/>
            <w:ind w:left="265"/>
            <w:rPr>
              <w:sz w:val="28"/>
              <w:szCs w:val="28"/>
            </w:rPr>
          </w:pPr>
        </w:p>
        <w:p w14:paraId="5A0A49BE">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"bookmark5" </w:instrText>
          </w:r>
          <w:r>
            <w:rPr>
              <w:sz w:val="28"/>
              <w:szCs w:val="28"/>
            </w:rPr>
            <w:fldChar w:fldCharType="separate"/>
          </w:r>
          <w:r>
            <w:rPr>
              <w:sz w:val="28"/>
              <w:szCs w:val="28"/>
            </w:rPr>
            <w:t>第五章  采购需求及技术</w:t>
          </w:r>
          <w:r>
            <w:rPr>
              <w:rFonts w:hint="eastAsia" w:eastAsia="宋体"/>
              <w:sz w:val="28"/>
              <w:szCs w:val="28"/>
              <w:lang w:eastAsia="zh-CN"/>
            </w:rPr>
            <w:t>要求</w:t>
          </w:r>
          <w:r>
            <w:rPr>
              <w:sz w:val="28"/>
              <w:szCs w:val="28"/>
            </w:rPr>
            <w:fldChar w:fldCharType="end"/>
          </w:r>
        </w:p>
        <w:p w14:paraId="11FF0FC7">
          <w:pPr>
            <w:keepLines w:val="0"/>
            <w:pageBreakBefore w:val="0"/>
            <w:tabs>
              <w:tab w:val="right" w:leader="dot" w:pos="8542"/>
            </w:tabs>
            <w:kinsoku/>
            <w:wordWrap/>
            <w:overflowPunct/>
            <w:topLinePunct w:val="0"/>
            <w:bidi w:val="0"/>
            <w:spacing w:before="65" w:line="231" w:lineRule="auto"/>
            <w:ind w:left="265"/>
            <w:rPr>
              <w:sz w:val="28"/>
              <w:szCs w:val="28"/>
            </w:rPr>
          </w:pPr>
        </w:p>
        <w:p w14:paraId="01F4908C">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"bookmark6" </w:instrText>
          </w:r>
          <w:r>
            <w:rPr>
              <w:sz w:val="28"/>
              <w:szCs w:val="28"/>
            </w:rPr>
            <w:fldChar w:fldCharType="separate"/>
          </w:r>
          <w:r>
            <w:rPr>
              <w:sz w:val="28"/>
              <w:szCs w:val="28"/>
            </w:rPr>
            <w:t>第六章 投标文件格式</w:t>
          </w:r>
          <w:r>
            <w:rPr>
              <w:sz w:val="28"/>
              <w:szCs w:val="28"/>
            </w:rPr>
            <w:fldChar w:fldCharType="end"/>
          </w:r>
        </w:p>
        <w:p w14:paraId="6F2ACAED">
          <w:pPr>
            <w:keepLines w:val="0"/>
            <w:pageBreakBefore w:val="0"/>
            <w:tabs>
              <w:tab w:val="right" w:leader="dot" w:pos="8542"/>
            </w:tabs>
            <w:kinsoku/>
            <w:wordWrap/>
            <w:overflowPunct/>
            <w:topLinePunct w:val="0"/>
            <w:bidi w:val="0"/>
            <w:spacing w:before="65" w:line="231" w:lineRule="auto"/>
            <w:ind w:left="265"/>
            <w:rPr>
              <w:rFonts w:hint="eastAsia"/>
              <w:sz w:val="28"/>
              <w:szCs w:val="28"/>
              <w:lang w:val="en-US" w:eastAsia="zh-CN"/>
            </w:rPr>
          </w:pPr>
        </w:p>
        <w:p w14:paraId="0E5A4CB8">
          <w:pPr>
            <w:keepLines w:val="0"/>
            <w:pageBreakBefore w:val="0"/>
            <w:tabs>
              <w:tab w:val="right" w:leader="dot" w:pos="8542"/>
            </w:tabs>
            <w:kinsoku/>
            <w:wordWrap/>
            <w:overflowPunct/>
            <w:topLinePunct w:val="0"/>
            <w:bidi w:val="0"/>
            <w:spacing w:before="65" w:line="231" w:lineRule="auto"/>
            <w:ind w:left="265"/>
            <w:rPr>
              <w:rFonts w:ascii="仿宋" w:hAnsi="仿宋" w:eastAsia="仿宋" w:cs="仿宋"/>
              <w:sz w:val="24"/>
              <w:szCs w:val="24"/>
            </w:rPr>
          </w:pPr>
        </w:p>
      </w:sdtContent>
    </w:sdt>
    <w:p w14:paraId="614DA28E">
      <w:pPr>
        <w:keepLines w:val="0"/>
        <w:pageBreakBefore w:val="0"/>
        <w:kinsoku/>
        <w:wordWrap/>
        <w:overflowPunct/>
        <w:topLinePunct w:val="0"/>
        <w:bidi w:val="0"/>
        <w:rPr>
          <w:rFonts w:ascii="Arial" w:hAnsi="Arial" w:eastAsia="Arial" w:cs="Arial"/>
          <w:snapToGrid w:val="0"/>
          <w:color w:val="000000"/>
          <w:kern w:val="0"/>
          <w:sz w:val="21"/>
          <w:szCs w:val="21"/>
          <w:lang w:val="en-US" w:eastAsia="en-US" w:bidi="ar-SA"/>
        </w:rPr>
      </w:pPr>
    </w:p>
    <w:p w14:paraId="2D51E992">
      <w:pPr>
        <w:keepLines w:val="0"/>
        <w:pageBreakBefore w:val="0"/>
        <w:kinsoku/>
        <w:wordWrap/>
        <w:overflowPunct/>
        <w:topLinePunct w:val="0"/>
        <w:bidi w:val="0"/>
        <w:rPr>
          <w:lang w:val="en-US" w:eastAsia="en-US"/>
        </w:rPr>
      </w:pPr>
    </w:p>
    <w:p w14:paraId="44CDC496">
      <w:pPr>
        <w:keepLines w:val="0"/>
        <w:pageBreakBefore w:val="0"/>
        <w:kinsoku/>
        <w:wordWrap/>
        <w:overflowPunct/>
        <w:topLinePunct w:val="0"/>
        <w:bidi w:val="0"/>
        <w:rPr>
          <w:lang w:val="en-US" w:eastAsia="en-US"/>
        </w:rPr>
      </w:pPr>
    </w:p>
    <w:p w14:paraId="07FD873F">
      <w:pPr>
        <w:keepLines w:val="0"/>
        <w:pageBreakBefore w:val="0"/>
        <w:kinsoku/>
        <w:wordWrap/>
        <w:overflowPunct/>
        <w:topLinePunct w:val="0"/>
        <w:bidi w:val="0"/>
        <w:rPr>
          <w:lang w:val="en-US" w:eastAsia="en-US"/>
        </w:rPr>
      </w:pPr>
    </w:p>
    <w:p w14:paraId="0E553F85">
      <w:pPr>
        <w:keepLines w:val="0"/>
        <w:pageBreakBefore w:val="0"/>
        <w:kinsoku/>
        <w:wordWrap/>
        <w:overflowPunct/>
        <w:topLinePunct w:val="0"/>
        <w:bidi w:val="0"/>
        <w:rPr>
          <w:lang w:val="en-US" w:eastAsia="en-US"/>
        </w:rPr>
      </w:pPr>
    </w:p>
    <w:p w14:paraId="33192979">
      <w:pPr>
        <w:keepLines w:val="0"/>
        <w:pageBreakBefore w:val="0"/>
        <w:kinsoku/>
        <w:wordWrap/>
        <w:overflowPunct/>
        <w:topLinePunct w:val="0"/>
        <w:bidi w:val="0"/>
        <w:rPr>
          <w:lang w:val="en-US" w:eastAsia="en-US"/>
        </w:rPr>
      </w:pPr>
    </w:p>
    <w:p w14:paraId="3EAD803D">
      <w:pPr>
        <w:keepLines w:val="0"/>
        <w:pageBreakBefore w:val="0"/>
        <w:kinsoku/>
        <w:wordWrap/>
        <w:overflowPunct/>
        <w:topLinePunct w:val="0"/>
        <w:bidi w:val="0"/>
        <w:rPr>
          <w:lang w:val="en-US" w:eastAsia="en-US"/>
        </w:rPr>
      </w:pPr>
    </w:p>
    <w:p w14:paraId="6EEA03A9">
      <w:pPr>
        <w:keepLines w:val="0"/>
        <w:pageBreakBefore w:val="0"/>
        <w:kinsoku/>
        <w:wordWrap/>
        <w:overflowPunct/>
        <w:topLinePunct w:val="0"/>
        <w:bidi w:val="0"/>
        <w:rPr>
          <w:lang w:val="en-US" w:eastAsia="en-US"/>
        </w:rPr>
      </w:pPr>
    </w:p>
    <w:p w14:paraId="7B861662">
      <w:pPr>
        <w:keepLines w:val="0"/>
        <w:pageBreakBefore w:val="0"/>
        <w:kinsoku/>
        <w:wordWrap/>
        <w:overflowPunct/>
        <w:topLinePunct w:val="0"/>
        <w:bidi w:val="0"/>
        <w:rPr>
          <w:lang w:val="en-US" w:eastAsia="en-US"/>
        </w:rPr>
      </w:pPr>
    </w:p>
    <w:p w14:paraId="22E06334">
      <w:pPr>
        <w:keepLines w:val="0"/>
        <w:pageBreakBefore w:val="0"/>
        <w:kinsoku/>
        <w:wordWrap/>
        <w:overflowPunct/>
        <w:topLinePunct w:val="0"/>
        <w:bidi w:val="0"/>
        <w:rPr>
          <w:lang w:val="en-US" w:eastAsia="en-US"/>
        </w:rPr>
      </w:pPr>
    </w:p>
    <w:p w14:paraId="109E0C8F">
      <w:pPr>
        <w:keepLines w:val="0"/>
        <w:pageBreakBefore w:val="0"/>
        <w:kinsoku/>
        <w:wordWrap/>
        <w:overflowPunct/>
        <w:topLinePunct w:val="0"/>
        <w:bidi w:val="0"/>
        <w:rPr>
          <w:lang w:val="en-US" w:eastAsia="en-US"/>
        </w:rPr>
      </w:pPr>
    </w:p>
    <w:p w14:paraId="677BE06D">
      <w:pPr>
        <w:keepLines w:val="0"/>
        <w:pageBreakBefore w:val="0"/>
        <w:kinsoku/>
        <w:wordWrap/>
        <w:overflowPunct/>
        <w:topLinePunct w:val="0"/>
        <w:bidi w:val="0"/>
        <w:rPr>
          <w:lang w:val="en-US" w:eastAsia="en-US"/>
        </w:rPr>
      </w:pPr>
    </w:p>
    <w:p w14:paraId="240BCD1B">
      <w:pPr>
        <w:keepLines w:val="0"/>
        <w:pageBreakBefore w:val="0"/>
        <w:kinsoku/>
        <w:wordWrap/>
        <w:overflowPunct/>
        <w:topLinePunct w:val="0"/>
        <w:bidi w:val="0"/>
        <w:rPr>
          <w:lang w:val="en-US" w:eastAsia="en-US"/>
        </w:rPr>
      </w:pPr>
    </w:p>
    <w:p w14:paraId="70FA7DEC">
      <w:pPr>
        <w:keepLines w:val="0"/>
        <w:pageBreakBefore w:val="0"/>
        <w:kinsoku/>
        <w:wordWrap/>
        <w:overflowPunct/>
        <w:topLinePunct w:val="0"/>
        <w:bidi w:val="0"/>
        <w:rPr>
          <w:lang w:val="en-US" w:eastAsia="en-US"/>
        </w:rPr>
      </w:pPr>
    </w:p>
    <w:p w14:paraId="416BE6A2">
      <w:pPr>
        <w:keepLines w:val="0"/>
        <w:pageBreakBefore w:val="0"/>
        <w:kinsoku/>
        <w:wordWrap/>
        <w:overflowPunct/>
        <w:topLinePunct w:val="0"/>
        <w:bidi w:val="0"/>
        <w:rPr>
          <w:lang w:val="en-US" w:eastAsia="en-US"/>
        </w:rPr>
      </w:pPr>
    </w:p>
    <w:p w14:paraId="3E4B0EF9">
      <w:pPr>
        <w:keepLines w:val="0"/>
        <w:pageBreakBefore w:val="0"/>
        <w:kinsoku/>
        <w:wordWrap/>
        <w:overflowPunct/>
        <w:topLinePunct w:val="0"/>
        <w:bidi w:val="0"/>
        <w:rPr>
          <w:lang w:val="en-US" w:eastAsia="en-US"/>
        </w:rPr>
      </w:pPr>
    </w:p>
    <w:p w14:paraId="056445F7">
      <w:pPr>
        <w:keepLines w:val="0"/>
        <w:pageBreakBefore w:val="0"/>
        <w:kinsoku/>
        <w:wordWrap/>
        <w:overflowPunct/>
        <w:topLinePunct w:val="0"/>
        <w:bidi w:val="0"/>
        <w:rPr>
          <w:lang w:val="en-US" w:eastAsia="en-US"/>
        </w:rPr>
      </w:pPr>
    </w:p>
    <w:p w14:paraId="2BA7A9EE">
      <w:pPr>
        <w:keepLines w:val="0"/>
        <w:pageBreakBefore w:val="0"/>
        <w:kinsoku/>
        <w:wordWrap/>
        <w:overflowPunct/>
        <w:topLinePunct w:val="0"/>
        <w:bidi w:val="0"/>
        <w:rPr>
          <w:lang w:val="en-US" w:eastAsia="en-US"/>
        </w:rPr>
      </w:pPr>
    </w:p>
    <w:p w14:paraId="3015456C">
      <w:pPr>
        <w:keepLines w:val="0"/>
        <w:pageBreakBefore w:val="0"/>
        <w:kinsoku/>
        <w:wordWrap/>
        <w:overflowPunct/>
        <w:topLinePunct w:val="0"/>
        <w:bidi w:val="0"/>
        <w:rPr>
          <w:lang w:val="en-US" w:eastAsia="en-US"/>
        </w:rPr>
      </w:pPr>
    </w:p>
    <w:p w14:paraId="4651DB23">
      <w:pPr>
        <w:keepLines w:val="0"/>
        <w:pageBreakBefore w:val="0"/>
        <w:kinsoku/>
        <w:wordWrap/>
        <w:overflowPunct/>
        <w:topLinePunct w:val="0"/>
        <w:bidi w:val="0"/>
        <w:rPr>
          <w:lang w:val="en-US" w:eastAsia="en-US"/>
        </w:rPr>
      </w:pPr>
    </w:p>
    <w:p w14:paraId="20E03E51">
      <w:pPr>
        <w:keepLines w:val="0"/>
        <w:pageBreakBefore w:val="0"/>
        <w:kinsoku/>
        <w:wordWrap/>
        <w:overflowPunct/>
        <w:topLinePunct w:val="0"/>
        <w:bidi w:val="0"/>
        <w:rPr>
          <w:lang w:val="en-US" w:eastAsia="en-US"/>
        </w:rPr>
      </w:pPr>
    </w:p>
    <w:p w14:paraId="28AE89F7">
      <w:pPr>
        <w:keepLines w:val="0"/>
        <w:pageBreakBefore w:val="0"/>
        <w:kinsoku/>
        <w:wordWrap/>
        <w:overflowPunct/>
        <w:topLinePunct w:val="0"/>
        <w:bidi w:val="0"/>
        <w:rPr>
          <w:lang w:val="en-US" w:eastAsia="en-US"/>
        </w:rPr>
      </w:pPr>
    </w:p>
    <w:p w14:paraId="57305982">
      <w:pPr>
        <w:keepLines w:val="0"/>
        <w:pageBreakBefore w:val="0"/>
        <w:kinsoku/>
        <w:wordWrap/>
        <w:overflowPunct/>
        <w:topLinePunct w:val="0"/>
        <w:bidi w:val="0"/>
        <w:rPr>
          <w:lang w:val="en-US" w:eastAsia="en-US"/>
        </w:rPr>
      </w:pPr>
    </w:p>
    <w:p w14:paraId="74CB3DB3">
      <w:pPr>
        <w:keepLines w:val="0"/>
        <w:pageBreakBefore w:val="0"/>
        <w:tabs>
          <w:tab w:val="center" w:pos="4873"/>
        </w:tabs>
        <w:kinsoku/>
        <w:wordWrap/>
        <w:overflowPunct/>
        <w:topLinePunct w:val="0"/>
        <w:bidi w:val="0"/>
        <w:jc w:val="left"/>
        <w:rPr>
          <w:rFonts w:hint="eastAsia" w:eastAsia="宋体"/>
          <w:lang w:val="en-US" w:eastAsia="zh-CN"/>
        </w:rPr>
        <w:sectPr>
          <w:pgSz w:w="11906" w:h="16839"/>
          <w:pgMar w:top="1440" w:right="1080" w:bottom="1440" w:left="1080" w:header="850" w:footer="850" w:gutter="0"/>
          <w:cols w:space="720" w:num="1"/>
        </w:sectPr>
      </w:pPr>
    </w:p>
    <w:p w14:paraId="06BC440D">
      <w:pPr>
        <w:pStyle w:val="7"/>
        <w:keepLines w:val="0"/>
        <w:pageBreakBefore w:val="0"/>
        <w:kinsoku/>
        <w:wordWrap/>
        <w:overflowPunct/>
        <w:topLinePunct w:val="0"/>
        <w:bidi w:val="0"/>
        <w:spacing w:line="364" w:lineRule="auto"/>
      </w:pPr>
    </w:p>
    <w:p w14:paraId="7298BD4F">
      <w:pPr>
        <w:keepLines w:val="0"/>
        <w:pageBreakBefore w:val="0"/>
        <w:numPr>
          <w:ilvl w:val="0"/>
          <w:numId w:val="0"/>
        </w:numPr>
        <w:kinsoku/>
        <w:wordWrap/>
        <w:overflowPunct/>
        <w:topLinePunct w:val="0"/>
        <w:autoSpaceDE w:val="0"/>
        <w:autoSpaceDN w:val="0"/>
        <w:bidi w:val="0"/>
        <w:adjustRightInd w:val="0"/>
        <w:snapToGrid w:val="0"/>
        <w:spacing w:before="97" w:line="222" w:lineRule="auto"/>
        <w:jc w:val="center"/>
        <w:textAlignment w:val="baseline"/>
        <w:rPr>
          <w:rFonts w:hint="eastAsia" w:ascii="仿宋" w:hAnsi="仿宋" w:eastAsia="仿宋" w:cs="仿宋"/>
          <w:b/>
          <w:bCs/>
          <w:i w:val="0"/>
          <w:iCs w:val="0"/>
          <w:caps w:val="0"/>
          <w:color w:val="000000"/>
          <w:spacing w:val="0"/>
          <w:sz w:val="36"/>
          <w:szCs w:val="36"/>
          <w:lang w:val="en-US" w:eastAsia="zh-CN"/>
        </w:rPr>
      </w:pPr>
      <w:r>
        <w:rPr>
          <w:rFonts w:hint="eastAsia" w:ascii="仿宋" w:hAnsi="仿宋" w:eastAsia="仿宋" w:cs="仿宋"/>
          <w:b/>
          <w:bCs/>
          <w:i w:val="0"/>
          <w:iCs w:val="0"/>
          <w:caps w:val="0"/>
          <w:color w:val="000000"/>
          <w:spacing w:val="0"/>
          <w:sz w:val="36"/>
          <w:szCs w:val="36"/>
          <w:lang w:val="en-US" w:eastAsia="zh-CN"/>
        </w:rPr>
        <w:t>第一章 招标公告</w:t>
      </w:r>
    </w:p>
    <w:p w14:paraId="578DEFF4">
      <w:pPr>
        <w:keepLines w:val="0"/>
        <w:pageBreakBefore w:val="0"/>
        <w:numPr>
          <w:ilvl w:val="0"/>
          <w:numId w:val="0"/>
        </w:numPr>
        <w:kinsoku/>
        <w:wordWrap/>
        <w:overflowPunct/>
        <w:topLinePunct w:val="0"/>
        <w:autoSpaceDE w:val="0"/>
        <w:autoSpaceDN w:val="0"/>
        <w:bidi w:val="0"/>
        <w:adjustRightInd w:val="0"/>
        <w:snapToGrid w:val="0"/>
        <w:spacing w:before="97" w:line="222" w:lineRule="auto"/>
        <w:jc w:val="center"/>
        <w:textAlignment w:val="baseline"/>
        <w:rPr>
          <w:rFonts w:ascii="仿宋" w:hAnsi="仿宋" w:eastAsia="仿宋" w:cs="仿宋"/>
          <w:b/>
          <w:bCs/>
          <w:spacing w:val="-10"/>
          <w:sz w:val="36"/>
          <w:szCs w:val="36"/>
        </w:rPr>
      </w:pPr>
      <w:r>
        <w:rPr>
          <w:rFonts w:hint="eastAsia" w:ascii="仿宋" w:hAnsi="仿宋" w:eastAsia="仿宋" w:cs="仿宋"/>
          <w:b/>
          <w:bCs/>
          <w:i w:val="0"/>
          <w:iCs w:val="0"/>
          <w:caps w:val="0"/>
          <w:color w:val="000000"/>
          <w:spacing w:val="0"/>
          <w:sz w:val="36"/>
          <w:szCs w:val="36"/>
          <w:lang w:eastAsia="zh-CN"/>
        </w:rPr>
        <w:t>温宿县水稻农场农机采购项目公开招标公告</w:t>
      </w:r>
    </w:p>
    <w:p w14:paraId="132AD27C">
      <w:pPr>
        <w:keepLines w:val="0"/>
        <w:pageBreakBefore w:val="0"/>
        <w:kinsoku/>
        <w:wordWrap/>
        <w:overflowPunct/>
        <w:topLinePunct w:val="0"/>
        <w:bidi w:val="0"/>
        <w:spacing w:before="26"/>
      </w:pPr>
    </w:p>
    <w:tbl>
      <w:tblPr>
        <w:tblStyle w:val="28"/>
        <w:tblW w:w="95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14:paraId="392FC0C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0" w:hRule="atLeast"/>
          <w:jc w:val="center"/>
        </w:trPr>
        <w:tc>
          <w:tcPr>
            <w:tcW w:w="9520" w:type="dxa"/>
            <w:vAlign w:val="top"/>
          </w:tcPr>
          <w:p w14:paraId="4118FCEB">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项目概况</w:t>
            </w:r>
          </w:p>
          <w:p w14:paraId="1568B19A">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540" w:firstLineChars="200"/>
            </w:pPr>
            <w:r>
              <w:rPr>
                <w:rFonts w:hint="eastAsia" w:ascii="仿宋" w:hAnsi="仿宋" w:eastAsia="仿宋" w:cs="仿宋"/>
                <w:i w:val="0"/>
                <w:iCs w:val="0"/>
                <w:caps w:val="0"/>
                <w:color w:val="000000"/>
                <w:spacing w:val="0"/>
                <w:sz w:val="27"/>
                <w:szCs w:val="27"/>
              </w:rPr>
              <w:t>温宿县水稻农场农机采购项目的潜在</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应在政采云平台线上获取招标文件，并于</w:t>
            </w:r>
            <w:r>
              <w:rPr>
                <w:rFonts w:hint="eastAsia" w:ascii="仿宋" w:hAnsi="仿宋" w:eastAsia="仿宋" w:cs="仿宋"/>
                <w:i w:val="0"/>
                <w:iCs w:val="0"/>
                <w:caps w:val="0"/>
                <w:color w:val="0000FF"/>
                <w:spacing w:val="0"/>
                <w:sz w:val="27"/>
                <w:szCs w:val="27"/>
                <w:highlight w:val="none"/>
                <w:u w:val="single"/>
                <w:lang w:eastAsia="zh-CN"/>
              </w:rPr>
              <w:t>2025年0</w:t>
            </w:r>
            <w:r>
              <w:rPr>
                <w:rFonts w:hint="eastAsia" w:ascii="仿宋" w:hAnsi="仿宋" w:eastAsia="仿宋" w:cs="仿宋"/>
                <w:i w:val="0"/>
                <w:iCs w:val="0"/>
                <w:caps w:val="0"/>
                <w:color w:val="0000FF"/>
                <w:spacing w:val="0"/>
                <w:sz w:val="27"/>
                <w:szCs w:val="27"/>
                <w:highlight w:val="none"/>
                <w:u w:val="single"/>
                <w:lang w:val="en-US" w:eastAsia="zh-CN"/>
              </w:rPr>
              <w:t>2</w:t>
            </w:r>
            <w:r>
              <w:rPr>
                <w:rFonts w:hint="eastAsia" w:ascii="仿宋" w:hAnsi="仿宋" w:eastAsia="仿宋" w:cs="仿宋"/>
                <w:i w:val="0"/>
                <w:iCs w:val="0"/>
                <w:caps w:val="0"/>
                <w:color w:val="0000FF"/>
                <w:spacing w:val="0"/>
                <w:sz w:val="27"/>
                <w:szCs w:val="27"/>
                <w:highlight w:val="none"/>
                <w:u w:val="single"/>
                <w:lang w:eastAsia="zh-CN"/>
              </w:rPr>
              <w:t>月</w:t>
            </w:r>
            <w:r>
              <w:rPr>
                <w:rFonts w:hint="eastAsia" w:ascii="仿宋" w:hAnsi="仿宋" w:eastAsia="仿宋" w:cs="仿宋"/>
                <w:i w:val="0"/>
                <w:iCs w:val="0"/>
                <w:caps w:val="0"/>
                <w:color w:val="0000FF"/>
                <w:spacing w:val="0"/>
                <w:sz w:val="27"/>
                <w:szCs w:val="27"/>
                <w:highlight w:val="none"/>
                <w:u w:val="single"/>
                <w:lang w:val="en-US" w:eastAsia="zh-CN"/>
              </w:rPr>
              <w:t>20</w:t>
            </w:r>
            <w:r>
              <w:rPr>
                <w:rFonts w:hint="eastAsia" w:ascii="仿宋" w:hAnsi="仿宋" w:eastAsia="仿宋" w:cs="仿宋"/>
                <w:i w:val="0"/>
                <w:iCs w:val="0"/>
                <w:caps w:val="0"/>
                <w:color w:val="0000FF"/>
                <w:spacing w:val="0"/>
                <w:sz w:val="27"/>
                <w:szCs w:val="27"/>
                <w:highlight w:val="none"/>
                <w:u w:val="single"/>
                <w:lang w:eastAsia="zh-CN"/>
              </w:rPr>
              <w:t>日</w:t>
            </w:r>
            <w:r>
              <w:rPr>
                <w:rFonts w:hint="eastAsia" w:ascii="仿宋" w:hAnsi="仿宋" w:eastAsia="仿宋" w:cs="仿宋"/>
                <w:i w:val="0"/>
                <w:iCs w:val="0"/>
                <w:caps w:val="0"/>
                <w:color w:val="0000FF"/>
                <w:spacing w:val="0"/>
                <w:sz w:val="27"/>
                <w:szCs w:val="27"/>
                <w:highlight w:val="none"/>
                <w:u w:val="single"/>
                <w:lang w:val="en-US" w:eastAsia="zh-CN"/>
              </w:rPr>
              <w:t>11</w:t>
            </w:r>
            <w:r>
              <w:rPr>
                <w:rFonts w:hint="eastAsia" w:ascii="仿宋" w:hAnsi="仿宋" w:eastAsia="仿宋" w:cs="仿宋"/>
                <w:i w:val="0"/>
                <w:iCs w:val="0"/>
                <w:caps w:val="0"/>
                <w:color w:val="0000FF"/>
                <w:spacing w:val="0"/>
                <w:sz w:val="27"/>
                <w:szCs w:val="27"/>
                <w:highlight w:val="none"/>
                <w:u w:val="single"/>
                <w:lang w:eastAsia="zh-CN"/>
              </w:rPr>
              <w:t>:</w:t>
            </w:r>
            <w:r>
              <w:rPr>
                <w:rFonts w:hint="eastAsia" w:ascii="仿宋" w:hAnsi="仿宋" w:eastAsia="仿宋" w:cs="仿宋"/>
                <w:i w:val="0"/>
                <w:iCs w:val="0"/>
                <w:caps w:val="0"/>
                <w:color w:val="0000FF"/>
                <w:spacing w:val="0"/>
                <w:sz w:val="27"/>
                <w:szCs w:val="27"/>
                <w:highlight w:val="none"/>
                <w:u w:val="single"/>
                <w:lang w:val="en-US" w:eastAsia="zh-CN"/>
              </w:rPr>
              <w:t>0</w:t>
            </w:r>
            <w:r>
              <w:rPr>
                <w:rFonts w:hint="eastAsia" w:ascii="仿宋" w:hAnsi="仿宋" w:eastAsia="仿宋" w:cs="仿宋"/>
                <w:i w:val="0"/>
                <w:iCs w:val="0"/>
                <w:caps w:val="0"/>
                <w:color w:val="0000FF"/>
                <w:spacing w:val="0"/>
                <w:sz w:val="27"/>
                <w:szCs w:val="27"/>
                <w:highlight w:val="none"/>
                <w:u w:val="single"/>
                <w:lang w:eastAsia="zh-CN"/>
              </w:rPr>
              <w:t>0</w:t>
            </w:r>
            <w:r>
              <w:rPr>
                <w:rFonts w:hint="eastAsia" w:ascii="仿宋" w:hAnsi="仿宋" w:eastAsia="仿宋" w:cs="仿宋"/>
                <w:i w:val="0"/>
                <w:iCs w:val="0"/>
                <w:caps w:val="0"/>
                <w:color w:val="0000FF"/>
                <w:spacing w:val="0"/>
                <w:sz w:val="27"/>
                <w:szCs w:val="27"/>
              </w:rPr>
              <w:t>（北京时间）</w:t>
            </w:r>
            <w:r>
              <w:rPr>
                <w:rFonts w:hint="eastAsia" w:ascii="仿宋" w:hAnsi="仿宋" w:eastAsia="仿宋" w:cs="仿宋"/>
                <w:i w:val="0"/>
                <w:iCs w:val="0"/>
                <w:caps w:val="0"/>
                <w:color w:val="000000"/>
                <w:spacing w:val="0"/>
                <w:sz w:val="27"/>
                <w:szCs w:val="27"/>
              </w:rPr>
              <w:t>前递交投标文件。</w:t>
            </w:r>
          </w:p>
        </w:tc>
      </w:tr>
    </w:tbl>
    <w:p w14:paraId="55280586">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一、项目基本情况</w:t>
      </w:r>
    </w:p>
    <w:p w14:paraId="7DCB0D7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rPr>
        <w:t>wsfs-2024-144</w:t>
      </w:r>
      <w:r>
        <w:rPr>
          <w:rFonts w:hint="eastAsia" w:ascii="仿宋" w:hAnsi="仿宋" w:eastAsia="仿宋" w:cs="仿宋"/>
          <w:i w:val="0"/>
          <w:iCs w:val="0"/>
          <w:caps w:val="0"/>
          <w:color w:val="000000"/>
          <w:spacing w:val="0"/>
          <w:sz w:val="27"/>
          <w:szCs w:val="27"/>
          <w:lang w:val="en-US" w:eastAsia="zh-CN"/>
        </w:rPr>
        <w:t>-1</w:t>
      </w:r>
    </w:p>
    <w:p w14:paraId="40CD709D">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项目名称：温宿县水稻农场农机采购项目</w:t>
      </w:r>
    </w:p>
    <w:p w14:paraId="5E308DC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14:paraId="4448B3B1">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750000.00</w:t>
      </w:r>
    </w:p>
    <w:p w14:paraId="2E346802">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750000.00</w:t>
      </w:r>
    </w:p>
    <w:p w14:paraId="17B30F24">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w:t>
      </w:r>
    </w:p>
    <w:p w14:paraId="3BDA3DE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snapToGrid w:val="0"/>
          <w:color w:val="000000"/>
          <w:spacing w:val="0"/>
          <w:kern w:val="0"/>
          <w:sz w:val="28"/>
          <w:szCs w:val="28"/>
          <w:lang w:val="en-US" w:eastAsia="zh-CN" w:bidi="ar"/>
        </w:rPr>
        <w:t>标项一   </w:t>
      </w:r>
    </w:p>
    <w:p w14:paraId="31F1C22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标项名称</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温宿县水稻农场农机采购项目</w:t>
      </w:r>
    </w:p>
    <w:p w14:paraId="23AA90C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数量</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1</w:t>
      </w:r>
    </w:p>
    <w:p w14:paraId="00218E7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750000.00</w:t>
      </w:r>
    </w:p>
    <w:p w14:paraId="534D4C62">
      <w:pPr>
        <w:pStyle w:val="14"/>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810" w:firstLineChars="30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单位：批</w:t>
      </w:r>
    </w:p>
    <w:p w14:paraId="4E36D48C">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FF"/>
          <w:spacing w:val="0"/>
          <w:sz w:val="27"/>
          <w:szCs w:val="27"/>
          <w:lang w:val="en-US" w:eastAsia="zh-CN"/>
        </w:rPr>
      </w:pPr>
      <w:r>
        <w:rPr>
          <w:rFonts w:hint="eastAsia" w:ascii="仿宋" w:hAnsi="仿宋" w:eastAsia="仿宋" w:cs="仿宋"/>
          <w:i w:val="0"/>
          <w:iCs w:val="0"/>
          <w:caps w:val="0"/>
          <w:color w:val="000000"/>
          <w:spacing w:val="0"/>
          <w:sz w:val="27"/>
          <w:szCs w:val="27"/>
        </w:rPr>
        <w:t>   简要规格描述或项目基本概况介绍、用途：</w:t>
      </w:r>
      <w:r>
        <w:rPr>
          <w:rFonts w:ascii="仿宋" w:hAnsi="仿宋" w:eastAsia="仿宋" w:cs="仿宋"/>
          <w:color w:val="auto"/>
          <w:spacing w:val="-1"/>
          <w:sz w:val="24"/>
          <w:szCs w:val="24"/>
        </w:rPr>
        <w:t>采购一台2204机型拖拉机（配套6.8米组合耙、四铧犁）、一台504机型拖拉机（配套1.6米旋耕机、车兜）</w:t>
      </w:r>
      <w:r>
        <w:rPr>
          <w:rFonts w:hint="eastAsia" w:ascii="仿宋" w:hAnsi="仿宋" w:eastAsia="仿宋" w:cs="仿宋"/>
          <w:color w:val="auto"/>
          <w:spacing w:val="-1"/>
          <w:sz w:val="24"/>
          <w:szCs w:val="24"/>
        </w:rPr>
        <w:t>（详见招标文件及采购需求）</w:t>
      </w:r>
    </w:p>
    <w:p w14:paraId="541F82F3">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备注：/</w:t>
      </w:r>
    </w:p>
    <w:p w14:paraId="64895452">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合同履约期限</w:t>
      </w:r>
      <w:r>
        <w:rPr>
          <w:rFonts w:hint="eastAsia" w:ascii="仿宋" w:hAnsi="仿宋" w:eastAsia="仿宋" w:cs="仿宋"/>
          <w:i w:val="0"/>
          <w:iCs w:val="0"/>
          <w:caps w:val="0"/>
          <w:color w:val="auto"/>
          <w:spacing w:val="0"/>
          <w:sz w:val="27"/>
          <w:szCs w:val="27"/>
          <w:highlight w:val="none"/>
          <w:lang w:eastAsia="zh-CN"/>
        </w:rPr>
        <w:t>：标项 1，签订合同</w:t>
      </w:r>
      <w:r>
        <w:rPr>
          <w:rFonts w:hint="eastAsia" w:ascii="仿宋" w:hAnsi="仿宋" w:eastAsia="仿宋" w:cs="仿宋"/>
          <w:i w:val="0"/>
          <w:iCs w:val="0"/>
          <w:caps w:val="0"/>
          <w:color w:val="auto"/>
          <w:spacing w:val="0"/>
          <w:sz w:val="27"/>
          <w:szCs w:val="27"/>
          <w:highlight w:val="none"/>
          <w:lang w:val="en-US" w:eastAsia="zh-CN"/>
        </w:rPr>
        <w:t>之日起</w:t>
      </w:r>
      <w:r>
        <w:rPr>
          <w:rFonts w:hint="eastAsia" w:ascii="仿宋" w:hAnsi="仿宋" w:eastAsia="仿宋" w:cs="仿宋"/>
          <w:i w:val="0"/>
          <w:iCs w:val="0"/>
          <w:caps w:val="0"/>
          <w:color w:val="auto"/>
          <w:spacing w:val="0"/>
          <w:sz w:val="27"/>
          <w:szCs w:val="27"/>
          <w:highlight w:val="none"/>
          <w:lang w:eastAsia="zh-CN"/>
        </w:rPr>
        <w:t xml:space="preserve"> 30 日历天内</w:t>
      </w:r>
      <w:r>
        <w:rPr>
          <w:rFonts w:hint="eastAsia" w:ascii="仿宋" w:hAnsi="仿宋" w:eastAsia="仿宋" w:cs="仿宋"/>
          <w:i w:val="0"/>
          <w:iCs w:val="0"/>
          <w:caps w:val="0"/>
          <w:color w:val="auto"/>
          <w:spacing w:val="0"/>
          <w:sz w:val="27"/>
          <w:szCs w:val="27"/>
          <w:highlight w:val="none"/>
          <w:lang w:val="en-US" w:eastAsia="zh-CN"/>
        </w:rPr>
        <w:t>完成供货</w:t>
      </w:r>
      <w:r>
        <w:rPr>
          <w:rFonts w:hint="eastAsia" w:ascii="仿宋" w:hAnsi="仿宋" w:eastAsia="仿宋" w:cs="仿宋"/>
          <w:i w:val="0"/>
          <w:iCs w:val="0"/>
          <w:caps w:val="0"/>
          <w:color w:val="auto"/>
          <w:spacing w:val="0"/>
          <w:sz w:val="27"/>
          <w:szCs w:val="27"/>
          <w:highlight w:val="none"/>
          <w:lang w:eastAsia="zh-CN"/>
        </w:rPr>
        <w:t>。</w:t>
      </w:r>
    </w:p>
    <w:p w14:paraId="4C9144B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14:paraId="338F9B58">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pPr>
      <w:r>
        <w:rPr>
          <w:rStyle w:val="20"/>
          <w:rFonts w:ascii="黑体" w:hAnsi="宋体" w:eastAsia="黑体" w:cs="黑体"/>
          <w:i w:val="0"/>
          <w:iCs w:val="0"/>
          <w:caps w:val="0"/>
          <w:color w:val="000000"/>
          <w:spacing w:val="0"/>
          <w:sz w:val="27"/>
          <w:szCs w:val="27"/>
        </w:rPr>
        <w:t>二、申请人的资格要求：</w:t>
      </w:r>
    </w:p>
    <w:p w14:paraId="50ED0F7B">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14:paraId="1CADF7C2">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000000"/>
          <w:spacing w:val="0"/>
          <w:sz w:val="27"/>
          <w:szCs w:val="27"/>
        </w:rPr>
        <w:t>2.落实政府采购政策需满足的资格要求</w:t>
      </w:r>
      <w:r>
        <w:rPr>
          <w:rFonts w:hint="eastAsia" w:ascii="仿宋" w:hAnsi="仿宋" w:eastAsia="仿宋" w:cs="仿宋"/>
          <w:i w:val="0"/>
          <w:iCs w:val="0"/>
          <w:caps w:val="0"/>
          <w:color w:val="auto"/>
          <w:spacing w:val="0"/>
          <w:sz w:val="27"/>
          <w:szCs w:val="27"/>
        </w:rPr>
        <w:t>：</w:t>
      </w:r>
      <w:r>
        <w:rPr>
          <w:rFonts w:ascii="仿宋" w:hAnsi="仿宋" w:eastAsia="仿宋" w:cs="仿宋"/>
          <w:i w:val="0"/>
          <w:iCs w:val="0"/>
          <w:caps w:val="0"/>
          <w:color w:val="auto"/>
          <w:spacing w:val="0"/>
          <w:sz w:val="27"/>
          <w:szCs w:val="27"/>
        </w:rPr>
        <w:t>本项目</w:t>
      </w:r>
      <w:r>
        <w:rPr>
          <w:rFonts w:hint="eastAsia" w:ascii="仿宋" w:hAnsi="仿宋" w:eastAsia="仿宋" w:cs="仿宋"/>
          <w:i w:val="0"/>
          <w:iCs w:val="0"/>
          <w:caps w:val="0"/>
          <w:color w:val="auto"/>
          <w:spacing w:val="0"/>
          <w:sz w:val="27"/>
          <w:szCs w:val="27"/>
          <w:lang w:eastAsia="zh-CN"/>
        </w:rPr>
        <w:t>不</w:t>
      </w:r>
      <w:r>
        <w:rPr>
          <w:rFonts w:ascii="仿宋" w:hAnsi="仿宋" w:eastAsia="仿宋" w:cs="仿宋"/>
          <w:i w:val="0"/>
          <w:iCs w:val="0"/>
          <w:caps w:val="0"/>
          <w:color w:val="auto"/>
          <w:spacing w:val="0"/>
          <w:sz w:val="27"/>
          <w:szCs w:val="27"/>
        </w:rPr>
        <w:t>专门面向中小企业</w:t>
      </w:r>
    </w:p>
    <w:p w14:paraId="7261C86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auto"/>
          <w:spacing w:val="0"/>
          <w:sz w:val="27"/>
          <w:szCs w:val="27"/>
          <w:highlight w:val="yellow"/>
          <w:lang w:eastAsia="zh-CN"/>
        </w:rPr>
      </w:pPr>
      <w:r>
        <w:rPr>
          <w:rFonts w:hint="eastAsia" w:ascii="仿宋" w:hAnsi="仿宋" w:eastAsia="仿宋" w:cs="仿宋"/>
          <w:i w:val="0"/>
          <w:iCs w:val="0"/>
          <w:caps w:val="0"/>
          <w:color w:val="000000"/>
          <w:spacing w:val="0"/>
          <w:sz w:val="27"/>
          <w:szCs w:val="27"/>
        </w:rPr>
        <w:t>3.本项目的特定资格要求</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无</w:t>
      </w:r>
    </w:p>
    <w:p w14:paraId="71637969">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lang w:val="en-US" w:eastAsia="zh-CN"/>
        </w:rPr>
        <w:t>4、</w:t>
      </w:r>
      <w:r>
        <w:rPr>
          <w:rFonts w:hint="eastAsia" w:ascii="仿宋" w:hAnsi="仿宋" w:eastAsia="仿宋" w:cs="仿宋"/>
          <w:i w:val="0"/>
          <w:iCs w:val="0"/>
          <w:caps w:val="0"/>
          <w:color w:val="auto"/>
          <w:spacing w:val="0"/>
          <w:sz w:val="27"/>
          <w:szCs w:val="27"/>
          <w:lang w:eastAsia="zh-CN"/>
        </w:rPr>
        <w:t>本项目不接受联合体</w:t>
      </w:r>
    </w:p>
    <w:p w14:paraId="1E185D97">
      <w:pPr>
        <w:pStyle w:val="14"/>
        <w:keepNext w:val="0"/>
        <w:keepLines w:val="0"/>
        <w:pageBreakBefore w:val="0"/>
        <w:widowControl/>
        <w:suppressLineNumbers w:val="0"/>
        <w:kinsoku/>
        <w:wordWrap/>
        <w:overflowPunct/>
        <w:topLinePunct w:val="0"/>
        <w:bidi w:val="0"/>
        <w:spacing w:before="255" w:beforeAutospacing="0" w:after="255" w:afterAutospacing="0" w:line="360" w:lineRule="auto"/>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三、获取招标文件</w:t>
      </w:r>
    </w:p>
    <w:p w14:paraId="6C3AE2A7">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时间：</w:t>
      </w:r>
      <w:r>
        <w:rPr>
          <w:rFonts w:hint="eastAsia" w:ascii="仿宋" w:hAnsi="仿宋" w:eastAsia="仿宋" w:cs="仿宋"/>
          <w:i w:val="0"/>
          <w:iCs w:val="0"/>
          <w:caps w:val="0"/>
          <w:color w:val="auto"/>
          <w:spacing w:val="0"/>
          <w:sz w:val="27"/>
          <w:szCs w:val="27"/>
        </w:rPr>
        <w:t>202</w:t>
      </w:r>
      <w:r>
        <w:rPr>
          <w:rFonts w:hint="eastAsia" w:ascii="仿宋" w:hAnsi="仿宋" w:eastAsia="仿宋" w:cs="仿宋"/>
          <w:i w:val="0"/>
          <w:iCs w:val="0"/>
          <w:caps w:val="0"/>
          <w:color w:val="auto"/>
          <w:spacing w:val="0"/>
          <w:sz w:val="27"/>
          <w:szCs w:val="27"/>
          <w:lang w:val="en-US" w:eastAsia="zh-CN"/>
        </w:rPr>
        <w:t>5</w:t>
      </w:r>
      <w:r>
        <w:rPr>
          <w:rFonts w:hint="eastAsia" w:ascii="仿宋" w:hAnsi="仿宋" w:eastAsia="仿宋" w:cs="仿宋"/>
          <w:i w:val="0"/>
          <w:iCs w:val="0"/>
          <w:caps w:val="0"/>
          <w:color w:val="auto"/>
          <w:spacing w:val="0"/>
          <w:sz w:val="27"/>
          <w:szCs w:val="27"/>
          <w:u w:val="single"/>
        </w:rPr>
        <w:t>年</w:t>
      </w:r>
      <w:r>
        <w:rPr>
          <w:rFonts w:hint="eastAsia" w:ascii="仿宋" w:hAnsi="仿宋" w:eastAsia="仿宋" w:cs="仿宋"/>
          <w:i w:val="0"/>
          <w:iCs w:val="0"/>
          <w:caps w:val="0"/>
          <w:color w:val="auto"/>
          <w:spacing w:val="0"/>
          <w:sz w:val="27"/>
          <w:szCs w:val="27"/>
          <w:u w:val="single"/>
          <w:lang w:val="en-US" w:eastAsia="zh-CN"/>
        </w:rPr>
        <w:t>01</w:t>
      </w:r>
      <w:r>
        <w:rPr>
          <w:rFonts w:hint="eastAsia" w:ascii="仿宋" w:hAnsi="仿宋" w:eastAsia="仿宋" w:cs="仿宋"/>
          <w:i w:val="0"/>
          <w:iCs w:val="0"/>
          <w:caps w:val="0"/>
          <w:color w:val="auto"/>
          <w:spacing w:val="0"/>
          <w:sz w:val="27"/>
          <w:szCs w:val="27"/>
          <w:u w:val="single"/>
        </w:rPr>
        <w:t>月</w:t>
      </w:r>
      <w:r>
        <w:rPr>
          <w:rFonts w:hint="eastAsia" w:ascii="仿宋" w:hAnsi="仿宋" w:eastAsia="仿宋" w:cs="仿宋"/>
          <w:i w:val="0"/>
          <w:iCs w:val="0"/>
          <w:caps w:val="0"/>
          <w:color w:val="auto"/>
          <w:spacing w:val="0"/>
          <w:sz w:val="27"/>
          <w:szCs w:val="27"/>
          <w:u w:val="single"/>
          <w:lang w:val="en-US" w:eastAsia="zh-CN"/>
        </w:rPr>
        <w:t>27</w:t>
      </w:r>
      <w:r>
        <w:rPr>
          <w:rFonts w:hint="eastAsia" w:ascii="仿宋" w:hAnsi="仿宋" w:eastAsia="仿宋" w:cs="仿宋"/>
          <w:i w:val="0"/>
          <w:iCs w:val="0"/>
          <w:caps w:val="0"/>
          <w:color w:val="auto"/>
          <w:spacing w:val="0"/>
          <w:sz w:val="27"/>
          <w:szCs w:val="27"/>
          <w:u w:val="single"/>
        </w:rPr>
        <w:t>日至202</w:t>
      </w:r>
      <w:r>
        <w:rPr>
          <w:rFonts w:hint="eastAsia" w:ascii="仿宋" w:hAnsi="仿宋" w:eastAsia="仿宋" w:cs="仿宋"/>
          <w:i w:val="0"/>
          <w:iCs w:val="0"/>
          <w:caps w:val="0"/>
          <w:color w:val="auto"/>
          <w:spacing w:val="0"/>
          <w:sz w:val="27"/>
          <w:szCs w:val="27"/>
          <w:u w:val="single"/>
          <w:lang w:val="en-US" w:eastAsia="zh-CN"/>
        </w:rPr>
        <w:t>5</w:t>
      </w:r>
      <w:r>
        <w:rPr>
          <w:rFonts w:hint="eastAsia" w:ascii="仿宋" w:hAnsi="仿宋" w:eastAsia="仿宋" w:cs="仿宋"/>
          <w:i w:val="0"/>
          <w:iCs w:val="0"/>
          <w:caps w:val="0"/>
          <w:color w:val="auto"/>
          <w:spacing w:val="0"/>
          <w:sz w:val="27"/>
          <w:szCs w:val="27"/>
          <w:u w:val="single"/>
        </w:rPr>
        <w:t>年</w:t>
      </w:r>
      <w:r>
        <w:rPr>
          <w:rFonts w:hint="eastAsia" w:ascii="仿宋" w:hAnsi="仿宋" w:eastAsia="仿宋" w:cs="仿宋"/>
          <w:i w:val="0"/>
          <w:iCs w:val="0"/>
          <w:caps w:val="0"/>
          <w:color w:val="auto"/>
          <w:spacing w:val="0"/>
          <w:sz w:val="27"/>
          <w:szCs w:val="27"/>
          <w:u w:val="single"/>
          <w:lang w:val="en-US" w:eastAsia="zh-CN"/>
        </w:rPr>
        <w:t>02</w:t>
      </w:r>
      <w:r>
        <w:rPr>
          <w:rFonts w:hint="eastAsia" w:ascii="仿宋" w:hAnsi="仿宋" w:eastAsia="仿宋" w:cs="仿宋"/>
          <w:i w:val="0"/>
          <w:iCs w:val="0"/>
          <w:caps w:val="0"/>
          <w:color w:val="auto"/>
          <w:spacing w:val="0"/>
          <w:sz w:val="27"/>
          <w:szCs w:val="27"/>
          <w:u w:val="single"/>
        </w:rPr>
        <w:t>月</w:t>
      </w:r>
      <w:r>
        <w:rPr>
          <w:rFonts w:hint="eastAsia" w:ascii="仿宋" w:hAnsi="仿宋" w:eastAsia="仿宋" w:cs="仿宋"/>
          <w:i w:val="0"/>
          <w:iCs w:val="0"/>
          <w:caps w:val="0"/>
          <w:color w:val="auto"/>
          <w:spacing w:val="0"/>
          <w:sz w:val="27"/>
          <w:szCs w:val="27"/>
          <w:u w:val="single"/>
          <w:lang w:val="en-US" w:eastAsia="zh-CN"/>
        </w:rPr>
        <w:t>10</w:t>
      </w:r>
      <w:r>
        <w:rPr>
          <w:rFonts w:hint="eastAsia" w:ascii="仿宋" w:hAnsi="仿宋" w:eastAsia="仿宋" w:cs="仿宋"/>
          <w:i w:val="0"/>
          <w:iCs w:val="0"/>
          <w:caps w:val="0"/>
          <w:color w:val="auto"/>
          <w:spacing w:val="0"/>
          <w:sz w:val="27"/>
          <w:szCs w:val="27"/>
          <w:u w:val="single"/>
        </w:rPr>
        <w:t>日</w:t>
      </w:r>
      <w:r>
        <w:rPr>
          <w:rFonts w:hint="eastAsia" w:ascii="仿宋" w:hAnsi="仿宋" w:eastAsia="仿宋" w:cs="仿宋"/>
          <w:i w:val="0"/>
          <w:iCs w:val="0"/>
          <w:caps w:val="0"/>
          <w:color w:val="auto"/>
          <w:spacing w:val="0"/>
          <w:sz w:val="27"/>
          <w:szCs w:val="27"/>
        </w:rPr>
        <w:t>，每天上午10:00至14:00，下午1</w:t>
      </w:r>
      <w:r>
        <w:rPr>
          <w:rFonts w:hint="eastAsia" w:ascii="仿宋" w:hAnsi="仿宋" w:eastAsia="仿宋" w:cs="仿宋"/>
          <w:i w:val="0"/>
          <w:iCs w:val="0"/>
          <w:caps w:val="0"/>
          <w:color w:val="auto"/>
          <w:spacing w:val="0"/>
          <w:sz w:val="27"/>
          <w:szCs w:val="27"/>
          <w:lang w:val="en-US" w:eastAsia="zh-CN"/>
        </w:rPr>
        <w:t>5</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rPr>
        <w:t>0至</w:t>
      </w:r>
      <w:r>
        <w:rPr>
          <w:rFonts w:hint="eastAsia" w:ascii="仿宋" w:hAnsi="仿宋" w:eastAsia="仿宋" w:cs="仿宋"/>
          <w:i w:val="0"/>
          <w:iCs w:val="0"/>
          <w:caps w:val="0"/>
          <w:color w:val="auto"/>
          <w:spacing w:val="0"/>
          <w:sz w:val="27"/>
          <w:szCs w:val="27"/>
          <w:lang w:val="en-US" w:eastAsia="zh-CN"/>
        </w:rPr>
        <w:t>19</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30</w:t>
      </w:r>
      <w:r>
        <w:rPr>
          <w:rFonts w:hint="eastAsia" w:ascii="仿宋" w:hAnsi="仿宋" w:eastAsia="仿宋" w:cs="仿宋"/>
          <w:i w:val="0"/>
          <w:iCs w:val="0"/>
          <w:caps w:val="0"/>
          <w:color w:val="auto"/>
          <w:spacing w:val="0"/>
          <w:sz w:val="27"/>
          <w:szCs w:val="27"/>
        </w:rPr>
        <w:t>（北京时间，法定</w:t>
      </w:r>
      <w:r>
        <w:rPr>
          <w:rFonts w:hint="eastAsia" w:ascii="仿宋" w:hAnsi="仿宋" w:eastAsia="仿宋" w:cs="仿宋"/>
          <w:i w:val="0"/>
          <w:iCs w:val="0"/>
          <w:caps w:val="0"/>
          <w:color w:val="000000"/>
          <w:spacing w:val="0"/>
          <w:sz w:val="27"/>
          <w:szCs w:val="27"/>
        </w:rPr>
        <w:t>节假日除外）</w:t>
      </w:r>
    </w:p>
    <w:p w14:paraId="592CD87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地点：政采云平台线上</w:t>
      </w:r>
    </w:p>
    <w:p w14:paraId="0C65923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方式：</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登录政采云平台https://www.zcygov.cn/在线申请获取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（进入“项目采购”应用，在获取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菜单中选择项目，申请获取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），或者点击采购公告底部潜在</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”，页面跳转后</w:t>
      </w:r>
      <w:r>
        <w:rPr>
          <w:rFonts w:hint="eastAsia" w:ascii="仿宋" w:hAnsi="仿宋" w:eastAsia="仿宋" w:cs="仿宋"/>
          <w:i w:val="0"/>
          <w:iCs w:val="0"/>
          <w:caps w:val="0"/>
          <w:color w:val="000000"/>
          <w:spacing w:val="0"/>
          <w:sz w:val="27"/>
          <w:szCs w:val="27"/>
          <w:lang w:eastAsia="zh-CN"/>
        </w:rPr>
        <w:t>登录</w:t>
      </w:r>
      <w:r>
        <w:rPr>
          <w:rFonts w:hint="eastAsia" w:ascii="仿宋" w:hAnsi="仿宋" w:eastAsia="仿宋" w:cs="仿宋"/>
          <w:i w:val="0"/>
          <w:iCs w:val="0"/>
          <w:caps w:val="0"/>
          <w:color w:val="000000"/>
          <w:spacing w:val="0"/>
          <w:sz w:val="27"/>
          <w:szCs w:val="27"/>
        </w:rPr>
        <w:t>，直接获取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w:t>
      </w:r>
    </w:p>
    <w:p w14:paraId="1A1CCF1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售价（元）：0</w:t>
      </w:r>
    </w:p>
    <w:p w14:paraId="53A1A7E4">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四、提交投标文件截止时间、开标时间和地点</w:t>
      </w:r>
    </w:p>
    <w:p w14:paraId="6B6FEADB">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color w:val="auto"/>
        </w:rPr>
      </w:pPr>
      <w:r>
        <w:rPr>
          <w:rFonts w:hint="eastAsia" w:ascii="仿宋" w:hAnsi="仿宋" w:eastAsia="仿宋" w:cs="仿宋"/>
          <w:i w:val="0"/>
          <w:iCs w:val="0"/>
          <w:caps w:val="0"/>
          <w:color w:val="000000"/>
          <w:spacing w:val="0"/>
          <w:sz w:val="27"/>
          <w:szCs w:val="27"/>
        </w:rPr>
        <w:t>提交投标文件截止时间</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highlight w:val="none"/>
          <w:u w:val="single"/>
          <w:lang w:eastAsia="zh-CN"/>
        </w:rPr>
        <w:t>2025年</w:t>
      </w:r>
      <w:r>
        <w:rPr>
          <w:rFonts w:hint="eastAsia" w:ascii="仿宋" w:hAnsi="仿宋" w:eastAsia="仿宋" w:cs="仿宋"/>
          <w:i w:val="0"/>
          <w:iCs w:val="0"/>
          <w:caps w:val="0"/>
          <w:color w:val="auto"/>
          <w:spacing w:val="0"/>
          <w:sz w:val="27"/>
          <w:szCs w:val="27"/>
          <w:highlight w:val="none"/>
          <w:u w:val="single"/>
          <w:lang w:val="en-US" w:eastAsia="zh-CN"/>
        </w:rPr>
        <w:t>02</w:t>
      </w:r>
      <w:r>
        <w:rPr>
          <w:rFonts w:hint="eastAsia" w:ascii="仿宋" w:hAnsi="仿宋" w:eastAsia="仿宋" w:cs="仿宋"/>
          <w:i w:val="0"/>
          <w:iCs w:val="0"/>
          <w:caps w:val="0"/>
          <w:color w:val="auto"/>
          <w:spacing w:val="0"/>
          <w:sz w:val="27"/>
          <w:szCs w:val="27"/>
          <w:highlight w:val="none"/>
          <w:u w:val="single"/>
          <w:lang w:eastAsia="zh-CN"/>
        </w:rPr>
        <w:t>月</w:t>
      </w:r>
      <w:r>
        <w:rPr>
          <w:rFonts w:hint="eastAsia" w:ascii="仿宋" w:hAnsi="仿宋" w:eastAsia="仿宋" w:cs="仿宋"/>
          <w:i w:val="0"/>
          <w:iCs w:val="0"/>
          <w:caps w:val="0"/>
          <w:color w:val="auto"/>
          <w:spacing w:val="0"/>
          <w:sz w:val="27"/>
          <w:szCs w:val="27"/>
          <w:highlight w:val="none"/>
          <w:u w:val="single"/>
          <w:lang w:val="en-US" w:eastAsia="zh-CN"/>
        </w:rPr>
        <w:t>20</w:t>
      </w:r>
      <w:r>
        <w:rPr>
          <w:rFonts w:hint="eastAsia" w:ascii="仿宋" w:hAnsi="仿宋" w:eastAsia="仿宋" w:cs="仿宋"/>
          <w:i w:val="0"/>
          <w:iCs w:val="0"/>
          <w:caps w:val="0"/>
          <w:color w:val="auto"/>
          <w:spacing w:val="0"/>
          <w:sz w:val="27"/>
          <w:szCs w:val="27"/>
          <w:highlight w:val="none"/>
          <w:u w:val="single"/>
          <w:lang w:eastAsia="zh-CN"/>
        </w:rPr>
        <w:t>日</w:t>
      </w:r>
      <w:r>
        <w:rPr>
          <w:rFonts w:hint="eastAsia" w:ascii="仿宋" w:hAnsi="仿宋" w:eastAsia="仿宋" w:cs="仿宋"/>
          <w:i w:val="0"/>
          <w:iCs w:val="0"/>
          <w:caps w:val="0"/>
          <w:color w:val="auto"/>
          <w:spacing w:val="0"/>
          <w:sz w:val="27"/>
          <w:szCs w:val="27"/>
          <w:highlight w:val="none"/>
          <w:u w:val="single"/>
        </w:rPr>
        <w:t>1</w:t>
      </w:r>
      <w:r>
        <w:rPr>
          <w:rFonts w:hint="eastAsia" w:ascii="仿宋" w:hAnsi="仿宋" w:eastAsia="仿宋" w:cs="仿宋"/>
          <w:i w:val="0"/>
          <w:iCs w:val="0"/>
          <w:caps w:val="0"/>
          <w:color w:val="auto"/>
          <w:spacing w:val="0"/>
          <w:sz w:val="27"/>
          <w:szCs w:val="27"/>
          <w:highlight w:val="none"/>
          <w:u w:val="single"/>
          <w:lang w:val="en-US" w:eastAsia="zh-CN"/>
        </w:rPr>
        <w:t>1</w:t>
      </w:r>
      <w:r>
        <w:rPr>
          <w:rFonts w:hint="eastAsia" w:ascii="仿宋" w:hAnsi="仿宋" w:eastAsia="仿宋" w:cs="仿宋"/>
          <w:i w:val="0"/>
          <w:iCs w:val="0"/>
          <w:caps w:val="0"/>
          <w:color w:val="auto"/>
          <w:spacing w:val="0"/>
          <w:sz w:val="27"/>
          <w:szCs w:val="27"/>
          <w:highlight w:val="none"/>
          <w:u w:val="single"/>
        </w:rPr>
        <w:t>:</w:t>
      </w:r>
      <w:r>
        <w:rPr>
          <w:rFonts w:hint="eastAsia" w:ascii="仿宋" w:hAnsi="仿宋" w:eastAsia="仿宋" w:cs="仿宋"/>
          <w:i w:val="0"/>
          <w:iCs w:val="0"/>
          <w:caps w:val="0"/>
          <w:color w:val="auto"/>
          <w:spacing w:val="0"/>
          <w:sz w:val="27"/>
          <w:szCs w:val="27"/>
          <w:highlight w:val="none"/>
          <w:u w:val="single"/>
          <w:lang w:val="en-US" w:eastAsia="zh-CN"/>
        </w:rPr>
        <w:t>0</w:t>
      </w:r>
      <w:r>
        <w:rPr>
          <w:rFonts w:hint="eastAsia" w:ascii="仿宋" w:hAnsi="仿宋" w:eastAsia="仿宋" w:cs="仿宋"/>
          <w:i w:val="0"/>
          <w:iCs w:val="0"/>
          <w:caps w:val="0"/>
          <w:color w:val="auto"/>
          <w:spacing w:val="0"/>
          <w:sz w:val="27"/>
          <w:szCs w:val="27"/>
          <w:highlight w:val="none"/>
          <w:u w:val="single"/>
        </w:rPr>
        <w:t>0</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rPr>
        <w:t>北京时间）</w:t>
      </w:r>
    </w:p>
    <w:p w14:paraId="3BD8FCB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color w:val="auto"/>
        </w:rPr>
      </w:pPr>
      <w:r>
        <w:rPr>
          <w:rFonts w:hint="eastAsia" w:ascii="仿宋" w:hAnsi="仿宋" w:eastAsia="仿宋" w:cs="仿宋"/>
          <w:i w:val="0"/>
          <w:iCs w:val="0"/>
          <w:caps w:val="0"/>
          <w:color w:val="auto"/>
          <w:spacing w:val="0"/>
          <w:sz w:val="27"/>
          <w:szCs w:val="27"/>
        </w:rPr>
        <w:t>投标地点：请登录政采云投标客户端投标</w:t>
      </w:r>
    </w:p>
    <w:p w14:paraId="012771E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auto"/>
          <w:spacing w:val="0"/>
          <w:sz w:val="27"/>
          <w:szCs w:val="27"/>
        </w:rPr>
        <w:t>开标时间</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u w:val="single"/>
          <w:lang w:eastAsia="zh-CN"/>
        </w:rPr>
        <w:t>2025年</w:t>
      </w:r>
      <w:r>
        <w:rPr>
          <w:rFonts w:hint="eastAsia" w:ascii="仿宋" w:hAnsi="仿宋" w:eastAsia="仿宋" w:cs="仿宋"/>
          <w:i w:val="0"/>
          <w:iCs w:val="0"/>
          <w:caps w:val="0"/>
          <w:color w:val="auto"/>
          <w:spacing w:val="0"/>
          <w:sz w:val="27"/>
          <w:szCs w:val="27"/>
          <w:highlight w:val="none"/>
          <w:u w:val="single"/>
          <w:lang w:val="en-US" w:eastAsia="zh-CN"/>
        </w:rPr>
        <w:t>02</w:t>
      </w:r>
      <w:r>
        <w:rPr>
          <w:rFonts w:hint="eastAsia" w:ascii="仿宋" w:hAnsi="仿宋" w:eastAsia="仿宋" w:cs="仿宋"/>
          <w:i w:val="0"/>
          <w:iCs w:val="0"/>
          <w:caps w:val="0"/>
          <w:color w:val="auto"/>
          <w:spacing w:val="0"/>
          <w:sz w:val="27"/>
          <w:szCs w:val="27"/>
          <w:highlight w:val="none"/>
          <w:u w:val="single"/>
          <w:lang w:eastAsia="zh-CN"/>
        </w:rPr>
        <w:t>月</w:t>
      </w:r>
      <w:r>
        <w:rPr>
          <w:rFonts w:hint="eastAsia" w:ascii="仿宋" w:hAnsi="仿宋" w:eastAsia="仿宋" w:cs="仿宋"/>
          <w:i w:val="0"/>
          <w:iCs w:val="0"/>
          <w:caps w:val="0"/>
          <w:color w:val="auto"/>
          <w:spacing w:val="0"/>
          <w:sz w:val="27"/>
          <w:szCs w:val="27"/>
          <w:highlight w:val="none"/>
          <w:u w:val="single"/>
          <w:lang w:val="en-US" w:eastAsia="zh-CN"/>
        </w:rPr>
        <w:t>20</w:t>
      </w:r>
      <w:r>
        <w:rPr>
          <w:rFonts w:hint="eastAsia" w:ascii="仿宋" w:hAnsi="仿宋" w:eastAsia="仿宋" w:cs="仿宋"/>
          <w:i w:val="0"/>
          <w:iCs w:val="0"/>
          <w:caps w:val="0"/>
          <w:color w:val="auto"/>
          <w:spacing w:val="0"/>
          <w:sz w:val="27"/>
          <w:szCs w:val="27"/>
          <w:highlight w:val="none"/>
          <w:u w:val="single"/>
          <w:lang w:eastAsia="zh-CN"/>
        </w:rPr>
        <w:t>日</w:t>
      </w:r>
      <w:r>
        <w:rPr>
          <w:rFonts w:hint="eastAsia" w:ascii="仿宋" w:hAnsi="仿宋" w:eastAsia="仿宋" w:cs="仿宋"/>
          <w:i w:val="0"/>
          <w:iCs w:val="0"/>
          <w:caps w:val="0"/>
          <w:color w:val="auto"/>
          <w:spacing w:val="0"/>
          <w:sz w:val="27"/>
          <w:szCs w:val="27"/>
          <w:highlight w:val="none"/>
          <w:u w:val="single"/>
        </w:rPr>
        <w:t>1</w:t>
      </w:r>
      <w:r>
        <w:rPr>
          <w:rFonts w:hint="eastAsia" w:ascii="仿宋" w:hAnsi="仿宋" w:eastAsia="仿宋" w:cs="仿宋"/>
          <w:i w:val="0"/>
          <w:iCs w:val="0"/>
          <w:caps w:val="0"/>
          <w:color w:val="auto"/>
          <w:spacing w:val="0"/>
          <w:sz w:val="27"/>
          <w:szCs w:val="27"/>
          <w:highlight w:val="none"/>
          <w:u w:val="single"/>
          <w:lang w:val="en-US" w:eastAsia="zh-CN"/>
        </w:rPr>
        <w:t>1</w:t>
      </w:r>
      <w:r>
        <w:rPr>
          <w:rFonts w:hint="eastAsia" w:ascii="仿宋" w:hAnsi="仿宋" w:eastAsia="仿宋" w:cs="仿宋"/>
          <w:i w:val="0"/>
          <w:iCs w:val="0"/>
          <w:caps w:val="0"/>
          <w:color w:val="auto"/>
          <w:spacing w:val="0"/>
          <w:sz w:val="27"/>
          <w:szCs w:val="27"/>
          <w:highlight w:val="none"/>
          <w:u w:val="single"/>
        </w:rPr>
        <w:t>:</w:t>
      </w:r>
      <w:r>
        <w:rPr>
          <w:rFonts w:hint="eastAsia" w:ascii="仿宋" w:hAnsi="仿宋" w:eastAsia="仿宋" w:cs="仿宋"/>
          <w:i w:val="0"/>
          <w:iCs w:val="0"/>
          <w:caps w:val="0"/>
          <w:color w:val="auto"/>
          <w:spacing w:val="0"/>
          <w:sz w:val="27"/>
          <w:szCs w:val="27"/>
          <w:highlight w:val="none"/>
          <w:u w:val="single"/>
          <w:lang w:val="en-US" w:eastAsia="zh-CN"/>
        </w:rPr>
        <w:t>0</w:t>
      </w:r>
      <w:r>
        <w:rPr>
          <w:rFonts w:hint="eastAsia" w:ascii="仿宋" w:hAnsi="仿宋" w:eastAsia="仿宋" w:cs="仿宋"/>
          <w:i w:val="0"/>
          <w:iCs w:val="0"/>
          <w:caps w:val="0"/>
          <w:color w:val="auto"/>
          <w:spacing w:val="0"/>
          <w:sz w:val="27"/>
          <w:szCs w:val="27"/>
          <w:highlight w:val="none"/>
          <w:u w:val="single"/>
        </w:rPr>
        <w:t>0</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000000"/>
          <w:spacing w:val="0"/>
          <w:sz w:val="27"/>
          <w:szCs w:val="27"/>
        </w:rPr>
        <w:t>北京时间）</w:t>
      </w:r>
    </w:p>
    <w:p w14:paraId="12DE3DBD">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开标地点：</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登录政采云平台https://www.zcygov.cn/，进入“项目采购-开标评标-右边选择对应项目点击“进入项目”进入开标大厅。</w:t>
      </w:r>
    </w:p>
    <w:p w14:paraId="6E75B39B">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20"/>
          <w:rFonts w:ascii="黑体" w:hAnsi="宋体" w:eastAsia="黑体" w:cs="黑体"/>
          <w:i w:val="0"/>
          <w:iCs w:val="0"/>
          <w:caps w:val="0"/>
          <w:color w:val="000000"/>
          <w:spacing w:val="0"/>
          <w:sz w:val="27"/>
          <w:szCs w:val="27"/>
        </w:rPr>
        <w:t>五、公告期限</w:t>
      </w:r>
    </w:p>
    <w:p w14:paraId="0C253480">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自本公告发布之日起</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个工作日。</w:t>
      </w:r>
    </w:p>
    <w:p w14:paraId="061C6B5F">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六、其他补充事宜</w:t>
      </w:r>
    </w:p>
    <w:p w14:paraId="3EDE4B09">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ascii="仿宋" w:hAnsi="仿宋" w:eastAsia="仿宋" w:cs="仿宋"/>
          <w:i w:val="0"/>
          <w:iCs w:val="0"/>
          <w:caps w:val="0"/>
          <w:color w:val="000000"/>
          <w:spacing w:val="0"/>
          <w:sz w:val="27"/>
          <w:szCs w:val="27"/>
        </w:rPr>
        <w:t>1、本公告在新疆政府采购网发布和阿克苏地区行政公署网上发布。</w:t>
      </w:r>
    </w:p>
    <w:p w14:paraId="7AF6F29A">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2、请各投标人随时关注本项目的变更、答疑、澄清文件。</w:t>
      </w:r>
    </w:p>
    <w:p w14:paraId="737FFBFA">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3、本项目实行电子招投标，投标人须登录政采云平台申请获取招标文件，并通过政采云电子投标客户端制作投标文件，同时自行承担与投标有关的一切费用。　</w:t>
      </w:r>
    </w:p>
    <w:p w14:paraId="322BF0AD">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4、各投标人应在开标前确保成为新疆维吾尔自治区政府采购网正式注册入库供应商，并完成CA数字证书申领。因未注册入库、未办理CA数字证书等原因造成无法投标或投标失败等后果由供应商自行承担。　</w:t>
      </w:r>
    </w:p>
    <w:p w14:paraId="0C831B54">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5、投标人可前往新疆政府采购网（http://www.ccgp-xinjiang.gov.cn/）下载专区，下载政采云电子投标客户端，安装完成后，可通过账号密码或CA登录客户端进行投标文件制作。在使用政采云电子投标客户端时，建议使用WIN7及以上操作系统。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7502CDF">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6、本项目采用不见面开标，投标人须在投标截止时间前通过CA在政采云平台上传加密的电子投标文件。</w:t>
      </w:r>
    </w:p>
    <w:p w14:paraId="56EFDCE3">
      <w:pPr>
        <w:pStyle w:val="14"/>
        <w:keepNext w:val="0"/>
        <w:keepLines w:val="0"/>
        <w:widowControl/>
        <w:suppressLineNumbers w:val="0"/>
        <w:spacing w:before="75" w:beforeAutospacing="0" w:after="75" w:afterAutospacing="0" w:line="360" w:lineRule="auto"/>
        <w:ind w:left="0" w:right="0" w:firstLine="42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7、投标人在开标前须提前配置好电脑浏览器（建议使用360浏览器或谷歌浏览器），开标时请使用制作加密电子投标文件的CA锁进行解密。本项目投标文件解密时间定为30分钟，如因自身原因导致无法正常解密，后果由投标人自行承担。</w:t>
      </w:r>
    </w:p>
    <w:p w14:paraId="47A12B1C">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特别提示：</w:t>
      </w:r>
    </w:p>
    <w:p w14:paraId="22BF7FD3">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1、采购限额标准以上，200万元以下的货物和服务采购项目、400万元以下的工程采购项目，适宜由中小企业提供的，采购人应当专门面向中小企业采购。</w:t>
      </w:r>
    </w:p>
    <w:p w14:paraId="02EECBBE">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2、超过200万元的货物和服务采购项目，预留该部分采购项目预算总额的30%以上专门面向中小企业采购，其中预留给小微企业的比例不低于60%。</w:t>
      </w:r>
    </w:p>
    <w:p w14:paraId="65FA9A94">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3、超过400万元的工程采购项目中适宜由中小企业提供的，预留该部分采购项目预算总额的40%以上专门面向中小企业采购，其中预留给小微企业的比例不低于60%。</w:t>
      </w:r>
    </w:p>
    <w:p w14:paraId="02FB39C0">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30298E">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20"/>
          <w:szCs w:val="20"/>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6D7337E">
      <w:pPr>
        <w:pStyle w:val="14"/>
        <w:keepNext w:val="0"/>
        <w:keepLines w:val="0"/>
        <w:pageBreakBefore w:val="0"/>
        <w:widowControl/>
        <w:suppressLineNumbers w:val="0"/>
        <w:kinsoku/>
        <w:wordWrap/>
        <w:overflowPunct/>
        <w:topLinePunct w:val="0"/>
        <w:bidi w:val="0"/>
        <w:spacing w:before="255" w:beforeAutospacing="0" w:after="255" w:afterAutospacing="0" w:line="480" w:lineRule="atLeast"/>
        <w:ind w:left="0" w:right="0" w:firstLine="0"/>
        <w:jc w:val="both"/>
        <w:rPr>
          <w:rFonts w:ascii="黑体" w:hAnsi="宋体" w:eastAsia="黑体" w:cs="黑体"/>
          <w:i w:val="0"/>
          <w:iCs w:val="0"/>
          <w:caps w:val="0"/>
          <w:color w:val="000000"/>
          <w:spacing w:val="0"/>
          <w:sz w:val="31"/>
          <w:szCs w:val="31"/>
        </w:rPr>
      </w:pPr>
      <w:r>
        <w:rPr>
          <w:rStyle w:val="20"/>
          <w:rFonts w:ascii="黑体" w:hAnsi="宋体" w:eastAsia="黑体" w:cs="黑体"/>
          <w:i w:val="0"/>
          <w:iCs w:val="0"/>
          <w:caps w:val="0"/>
          <w:color w:val="000000"/>
          <w:spacing w:val="0"/>
          <w:sz w:val="27"/>
          <w:szCs w:val="27"/>
        </w:rPr>
        <w:t>七、对本次采购提出询问，请按以下方式联系</w:t>
      </w:r>
    </w:p>
    <w:p w14:paraId="1CDA52A4">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1.采购人信息</w:t>
      </w:r>
    </w:p>
    <w:p w14:paraId="6EC5C4FF">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eastAsia="zh-CN"/>
        </w:rPr>
        <w:t>温宿县乡村振兴服务中心</w:t>
      </w:r>
    </w:p>
    <w:p w14:paraId="49669027">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温宿县</w:t>
      </w:r>
    </w:p>
    <w:p w14:paraId="437E989E">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default" w:ascii="仿宋" w:hAnsi="仿宋" w:eastAsia="仿宋" w:cs="仿宋"/>
          <w:i w:val="0"/>
          <w:iCs w:val="0"/>
          <w:caps w:val="0"/>
          <w:color w:val="000000"/>
          <w:spacing w:val="0"/>
          <w:sz w:val="27"/>
          <w:szCs w:val="27"/>
          <w:lang w:val="en-US"/>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18197547679</w:t>
      </w:r>
    </w:p>
    <w:p w14:paraId="4FD9ADB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2.采购代理机构信息</w:t>
      </w:r>
    </w:p>
    <w:p w14:paraId="0734A91E">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阿克苏地区振远项目咨询管理有限公司</w:t>
      </w:r>
    </w:p>
    <w:p w14:paraId="1E12121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阿克苏市第四家属院1号楼2单元19B01号</w:t>
      </w:r>
    </w:p>
    <w:p w14:paraId="101B7A83">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15569365500</w:t>
      </w:r>
    </w:p>
    <w:p w14:paraId="5B56E08D">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3.项目联系方式</w:t>
      </w:r>
    </w:p>
    <w:p w14:paraId="682DDCB0">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Style w:val="23"/>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项目联系人：</w:t>
      </w:r>
      <w:r>
        <w:rPr>
          <w:rStyle w:val="23"/>
          <w:rFonts w:hint="eastAsia" w:ascii="仿宋" w:hAnsi="仿宋" w:eastAsia="仿宋" w:cs="仿宋"/>
          <w:i w:val="0"/>
          <w:iCs w:val="0"/>
          <w:caps w:val="0"/>
          <w:color w:val="000000"/>
          <w:spacing w:val="0"/>
          <w:sz w:val="27"/>
          <w:szCs w:val="27"/>
          <w:lang w:eastAsia="zh-CN"/>
        </w:rPr>
        <w:t>胡丹</w:t>
      </w:r>
    </w:p>
    <w:p w14:paraId="28BA83BC">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default" w:ascii="仿宋" w:hAnsi="仿宋" w:eastAsia="仿宋" w:cs="仿宋"/>
          <w:sz w:val="24"/>
          <w:szCs w:val="24"/>
          <w:lang w:val="en-US"/>
        </w:rPr>
        <w:sectPr>
          <w:footerReference r:id="rId6" w:type="default"/>
          <w:pgSz w:w="11906" w:h="16839"/>
          <w:pgMar w:top="1440" w:right="1080" w:bottom="1440" w:left="1080" w:header="850" w:footer="850" w:gutter="0"/>
          <w:pgNumType w:fmt="decimal" w:start="1"/>
          <w:cols w:space="720" w:num="1"/>
        </w:sectPr>
      </w:pPr>
      <w:r>
        <w:rPr>
          <w:rFonts w:hint="eastAsia" w:ascii="仿宋" w:hAnsi="仿宋" w:eastAsia="仿宋" w:cs="仿宋"/>
          <w:i w:val="0"/>
          <w:iCs w:val="0"/>
          <w:caps w:val="0"/>
          <w:color w:val="000000"/>
          <w:spacing w:val="0"/>
          <w:sz w:val="27"/>
          <w:szCs w:val="27"/>
        </w:rPr>
        <w:t>电 话：</w:t>
      </w:r>
      <w:r>
        <w:rPr>
          <w:rFonts w:hint="eastAsia" w:ascii="仿宋" w:hAnsi="仿宋" w:eastAsia="仿宋" w:cs="仿宋"/>
          <w:i w:val="0"/>
          <w:iCs w:val="0"/>
          <w:caps w:val="0"/>
          <w:color w:val="000000"/>
          <w:spacing w:val="0"/>
          <w:sz w:val="27"/>
          <w:szCs w:val="27"/>
          <w:lang w:val="en-US" w:eastAsia="zh-CN"/>
        </w:rPr>
        <w:t>15569365500</w:t>
      </w:r>
    </w:p>
    <w:p w14:paraId="700B45F0">
      <w:pPr>
        <w:keepLines w:val="0"/>
        <w:pageBreakBefore w:val="0"/>
        <w:kinsoku/>
        <w:wordWrap/>
        <w:overflowPunct/>
        <w:topLinePunct w:val="0"/>
        <w:bidi w:val="0"/>
        <w:spacing w:before="117" w:line="360" w:lineRule="auto"/>
        <w:jc w:val="center"/>
        <w:rPr>
          <w:rFonts w:ascii="仿宋" w:hAnsi="仿宋" w:eastAsia="仿宋" w:cs="仿宋"/>
          <w:sz w:val="31"/>
          <w:szCs w:val="31"/>
        </w:rPr>
      </w:pPr>
      <w:r>
        <w:rPr>
          <w:rFonts w:ascii="仿宋" w:hAnsi="仿宋" w:eastAsia="仿宋" w:cs="仿宋"/>
          <w:b/>
          <w:bCs/>
          <w:sz w:val="31"/>
          <w:szCs w:val="31"/>
        </w:rPr>
        <w:t>第二章</w:t>
      </w:r>
      <w:r>
        <w:rPr>
          <w:rFonts w:ascii="仿宋" w:hAnsi="仿宋" w:eastAsia="仿宋" w:cs="仿宋"/>
          <w:spacing w:val="17"/>
          <w:sz w:val="31"/>
          <w:szCs w:val="31"/>
        </w:rPr>
        <w:t xml:space="preserve">  </w:t>
      </w:r>
      <w:r>
        <w:rPr>
          <w:rFonts w:hint="eastAsia" w:ascii="仿宋" w:hAnsi="仿宋" w:eastAsia="仿宋" w:cs="仿宋"/>
          <w:b/>
          <w:bCs/>
          <w:sz w:val="31"/>
          <w:szCs w:val="31"/>
          <w:lang w:eastAsia="zh-CN"/>
        </w:rPr>
        <w:t>投标人</w:t>
      </w:r>
      <w:r>
        <w:rPr>
          <w:rFonts w:ascii="仿宋" w:hAnsi="仿宋" w:eastAsia="仿宋" w:cs="仿宋"/>
          <w:b/>
          <w:bCs/>
          <w:sz w:val="31"/>
          <w:szCs w:val="31"/>
        </w:rPr>
        <w:t>须知</w:t>
      </w:r>
    </w:p>
    <w:p w14:paraId="58949AAD">
      <w:pPr>
        <w:keepLines w:val="0"/>
        <w:pageBreakBefore w:val="0"/>
        <w:kinsoku/>
        <w:wordWrap/>
        <w:overflowPunct/>
        <w:topLinePunct w:val="0"/>
        <w:bidi w:val="0"/>
        <w:spacing w:line="360" w:lineRule="auto"/>
        <w:ind w:left="3792"/>
        <w:rPr>
          <w:rFonts w:ascii="仿宋" w:hAnsi="仿宋" w:eastAsia="仿宋" w:cs="仿宋"/>
          <w:sz w:val="28"/>
          <w:szCs w:val="28"/>
        </w:rPr>
      </w:pPr>
      <w:r>
        <w:rPr>
          <w:rFonts w:hint="eastAsia" w:ascii="仿宋" w:hAnsi="仿宋" w:eastAsia="仿宋" w:cs="仿宋"/>
          <w:b/>
          <w:bCs/>
          <w:spacing w:val="-5"/>
          <w:sz w:val="28"/>
          <w:szCs w:val="28"/>
          <w:lang w:eastAsia="zh-CN"/>
        </w:rPr>
        <w:t>投标人</w:t>
      </w:r>
      <w:r>
        <w:rPr>
          <w:rFonts w:ascii="仿宋" w:hAnsi="仿宋" w:eastAsia="仿宋" w:cs="仿宋"/>
          <w:b/>
          <w:bCs/>
          <w:spacing w:val="-5"/>
          <w:sz w:val="28"/>
          <w:szCs w:val="28"/>
        </w:rPr>
        <w:t>须知前附表</w:t>
      </w:r>
    </w:p>
    <w:p w14:paraId="4792372C">
      <w:pPr>
        <w:keepLines w:val="0"/>
        <w:pageBreakBefore w:val="0"/>
        <w:kinsoku/>
        <w:wordWrap/>
        <w:overflowPunct/>
        <w:topLinePunct w:val="0"/>
        <w:bidi w:val="0"/>
        <w:spacing w:line="40" w:lineRule="exact"/>
      </w:pPr>
    </w:p>
    <w:tbl>
      <w:tblPr>
        <w:tblStyle w:val="28"/>
        <w:tblW w:w="974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0"/>
        <w:gridCol w:w="1485"/>
        <w:gridCol w:w="7831"/>
      </w:tblGrid>
      <w:tr w14:paraId="28997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tcBorders>
            <w:vAlign w:val="top"/>
          </w:tcPr>
          <w:p w14:paraId="3F778F43">
            <w:pPr>
              <w:pStyle w:val="29"/>
              <w:keepLines w:val="0"/>
              <w:pageBreakBefore w:val="0"/>
              <w:kinsoku/>
              <w:wordWrap/>
              <w:overflowPunct/>
              <w:topLinePunct w:val="0"/>
              <w:bidi w:val="0"/>
              <w:spacing w:before="185" w:line="222" w:lineRule="auto"/>
              <w:ind w:left="151"/>
            </w:pPr>
            <w:r>
              <w:rPr>
                <w:b/>
                <w:bCs/>
                <w:spacing w:val="-11"/>
              </w:rPr>
              <w:t>序号</w:t>
            </w:r>
          </w:p>
        </w:tc>
        <w:tc>
          <w:tcPr>
            <w:tcW w:w="1485" w:type="dxa"/>
            <w:tcBorders>
              <w:top w:val="single" w:color="000000" w:sz="4" w:space="0"/>
            </w:tcBorders>
            <w:vAlign w:val="top"/>
          </w:tcPr>
          <w:p w14:paraId="696184AD">
            <w:pPr>
              <w:pStyle w:val="29"/>
              <w:keepLines w:val="0"/>
              <w:pageBreakBefore w:val="0"/>
              <w:kinsoku/>
              <w:wordWrap/>
              <w:overflowPunct/>
              <w:topLinePunct w:val="0"/>
              <w:bidi w:val="0"/>
              <w:spacing w:before="185" w:line="221" w:lineRule="auto"/>
              <w:ind w:left="524"/>
            </w:pPr>
            <w:r>
              <w:rPr>
                <w:b/>
                <w:bCs/>
                <w:spacing w:val="-7"/>
              </w:rPr>
              <w:t>条款名称</w:t>
            </w:r>
          </w:p>
        </w:tc>
        <w:tc>
          <w:tcPr>
            <w:tcW w:w="7831" w:type="dxa"/>
            <w:tcBorders>
              <w:top w:val="single" w:color="000000" w:sz="4" w:space="0"/>
              <w:right w:val="single" w:color="000000" w:sz="4" w:space="0"/>
            </w:tcBorders>
            <w:vAlign w:val="center"/>
          </w:tcPr>
          <w:p w14:paraId="63ED08F1">
            <w:pPr>
              <w:pStyle w:val="29"/>
              <w:keepLines w:val="0"/>
              <w:pageBreakBefore w:val="0"/>
              <w:kinsoku/>
              <w:wordWrap/>
              <w:overflowPunct/>
              <w:topLinePunct w:val="0"/>
              <w:bidi w:val="0"/>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5FFDF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0" w:type="auto"/>
            <w:tcBorders>
              <w:left w:val="single" w:color="000000" w:sz="4" w:space="0"/>
            </w:tcBorders>
            <w:vAlign w:val="center"/>
          </w:tcPr>
          <w:p w14:paraId="26EFFBC0">
            <w:pPr>
              <w:pStyle w:val="29"/>
              <w:keepLines w:val="0"/>
              <w:pageBreakBefore w:val="0"/>
              <w:kinsoku/>
              <w:wordWrap/>
              <w:overflowPunct/>
              <w:topLinePunct w:val="0"/>
              <w:bidi w:val="0"/>
              <w:spacing w:before="78" w:line="181" w:lineRule="auto"/>
              <w:jc w:val="center"/>
            </w:pPr>
            <w:r>
              <w:t>1</w:t>
            </w:r>
          </w:p>
        </w:tc>
        <w:tc>
          <w:tcPr>
            <w:tcW w:w="1485" w:type="dxa"/>
            <w:vAlign w:val="center"/>
          </w:tcPr>
          <w:p w14:paraId="0C087F6E">
            <w:pPr>
              <w:keepLines w:val="0"/>
              <w:pageBreakBefore w:val="0"/>
              <w:kinsoku/>
              <w:wordWrap/>
              <w:overflowPunct/>
              <w:topLinePunct w:val="0"/>
              <w:bidi w:val="0"/>
              <w:spacing w:before="247" w:line="220" w:lineRule="auto"/>
              <w:jc w:val="center"/>
            </w:pPr>
            <w:r>
              <w:rPr>
                <w:rFonts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7831" w:type="dxa"/>
            <w:tcBorders>
              <w:right w:val="single" w:color="000000" w:sz="4" w:space="0"/>
            </w:tcBorders>
            <w:vAlign w:val="center"/>
          </w:tcPr>
          <w:p w14:paraId="6819E53F">
            <w:pPr>
              <w:keepLines w:val="0"/>
              <w:pageBreakBefore w:val="0"/>
              <w:kinsoku/>
              <w:wordWrap/>
              <w:overflowPunct/>
              <w:topLinePunct w:val="0"/>
              <w:bidi w:val="0"/>
              <w:spacing w:before="65" w:line="250" w:lineRule="auto"/>
              <w:ind w:left="120" w:right="119" w:firstLine="3"/>
              <w:jc w:val="both"/>
              <w:rPr>
                <w:rFonts w:hint="eastAsia" w:eastAsia="仿宋"/>
                <w:lang w:eastAsia="zh-CN"/>
              </w:rPr>
            </w:pPr>
            <w:r>
              <w:rPr>
                <w:rFonts w:hint="eastAsia" w:ascii="仿宋" w:hAnsi="仿宋" w:eastAsia="仿宋" w:cs="仿宋"/>
                <w:spacing w:val="-1"/>
                <w:sz w:val="24"/>
                <w:szCs w:val="24"/>
              </w:rPr>
              <w:t>温宿县水稻农场农机采购项目</w:t>
            </w:r>
          </w:p>
        </w:tc>
      </w:tr>
      <w:tr w14:paraId="2959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0" w:type="auto"/>
            <w:tcBorders>
              <w:left w:val="single" w:color="000000" w:sz="4" w:space="0"/>
            </w:tcBorders>
            <w:vAlign w:val="center"/>
          </w:tcPr>
          <w:p w14:paraId="483EBD09">
            <w:pPr>
              <w:pStyle w:val="29"/>
              <w:keepLines w:val="0"/>
              <w:pageBreakBefore w:val="0"/>
              <w:kinsoku/>
              <w:wordWrap/>
              <w:overflowPunct/>
              <w:topLinePunct w:val="0"/>
              <w:bidi w:val="0"/>
              <w:spacing w:before="78" w:line="180" w:lineRule="auto"/>
              <w:jc w:val="center"/>
            </w:pPr>
            <w:r>
              <w:t>2</w:t>
            </w:r>
          </w:p>
        </w:tc>
        <w:tc>
          <w:tcPr>
            <w:tcW w:w="1485" w:type="dxa"/>
            <w:vAlign w:val="center"/>
          </w:tcPr>
          <w:p w14:paraId="6F09DDB3">
            <w:pPr>
              <w:pStyle w:val="29"/>
              <w:keepLines w:val="0"/>
              <w:pageBreakBefore w:val="0"/>
              <w:kinsoku/>
              <w:wordWrap/>
              <w:overflowPunct/>
              <w:topLinePunct w:val="0"/>
              <w:bidi w:val="0"/>
              <w:spacing w:before="78" w:line="224" w:lineRule="auto"/>
              <w:jc w:val="center"/>
            </w:pPr>
            <w:r>
              <w:rPr>
                <w:b/>
                <w:bCs/>
                <w:spacing w:val="-7"/>
              </w:rPr>
              <w:t>项目编号</w:t>
            </w:r>
          </w:p>
        </w:tc>
        <w:tc>
          <w:tcPr>
            <w:tcW w:w="7831" w:type="dxa"/>
            <w:tcBorders>
              <w:right w:val="single" w:color="000000" w:sz="4" w:space="0"/>
            </w:tcBorders>
            <w:vAlign w:val="center"/>
          </w:tcPr>
          <w:p w14:paraId="6C0E7A7E">
            <w:pPr>
              <w:pStyle w:val="29"/>
              <w:keepLines w:val="0"/>
              <w:pageBreakBefore w:val="0"/>
              <w:kinsoku/>
              <w:wordWrap/>
              <w:overflowPunct/>
              <w:topLinePunct w:val="0"/>
              <w:bidi w:val="0"/>
              <w:spacing w:before="66" w:line="222" w:lineRule="auto"/>
              <w:ind w:left="118"/>
              <w:jc w:val="both"/>
              <w:rPr>
                <w:rFonts w:hint="default" w:eastAsia="仿宋"/>
                <w:lang w:val="en-US" w:eastAsia="zh-CN"/>
              </w:rPr>
            </w:pPr>
            <w:r>
              <w:rPr>
                <w:rFonts w:hint="eastAsia" w:eastAsia="仿宋"/>
                <w:lang w:val="en-US" w:eastAsia="zh-CN"/>
              </w:rPr>
              <w:t>wsfs-2024-144</w:t>
            </w:r>
            <w:r>
              <w:rPr>
                <w:rFonts w:hint="eastAsia"/>
                <w:lang w:val="en-US" w:eastAsia="zh-CN"/>
              </w:rPr>
              <w:t>-1</w:t>
            </w:r>
          </w:p>
        </w:tc>
      </w:tr>
      <w:tr w14:paraId="10742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0" w:type="auto"/>
            <w:tcBorders>
              <w:left w:val="single" w:color="000000" w:sz="4" w:space="0"/>
            </w:tcBorders>
            <w:vAlign w:val="center"/>
          </w:tcPr>
          <w:p w14:paraId="3F9263B6">
            <w:pPr>
              <w:pStyle w:val="29"/>
              <w:keepLines w:val="0"/>
              <w:pageBreakBefore w:val="0"/>
              <w:kinsoku/>
              <w:wordWrap/>
              <w:overflowPunct/>
              <w:topLinePunct w:val="0"/>
              <w:bidi w:val="0"/>
              <w:spacing w:before="78" w:line="180" w:lineRule="auto"/>
              <w:jc w:val="center"/>
            </w:pPr>
            <w:r>
              <w:t>3</w:t>
            </w:r>
          </w:p>
        </w:tc>
        <w:tc>
          <w:tcPr>
            <w:tcW w:w="1485" w:type="dxa"/>
            <w:vAlign w:val="center"/>
          </w:tcPr>
          <w:p w14:paraId="39712C91">
            <w:pPr>
              <w:pStyle w:val="29"/>
              <w:keepLines w:val="0"/>
              <w:pageBreakBefore w:val="0"/>
              <w:kinsoku/>
              <w:wordWrap/>
              <w:overflowPunct/>
              <w:topLinePunct w:val="0"/>
              <w:bidi w:val="0"/>
              <w:spacing w:before="78" w:line="222" w:lineRule="auto"/>
              <w:jc w:val="center"/>
              <w:rPr>
                <w:rFonts w:hint="eastAsia" w:eastAsia="仿宋"/>
                <w:lang w:eastAsia="zh-CN"/>
              </w:rPr>
            </w:pPr>
            <w:r>
              <w:rPr>
                <w:rFonts w:hint="eastAsia"/>
                <w:b/>
                <w:bCs/>
                <w:spacing w:val="-8"/>
                <w:lang w:eastAsia="zh-CN"/>
              </w:rPr>
              <w:t>采购人</w:t>
            </w:r>
          </w:p>
        </w:tc>
        <w:tc>
          <w:tcPr>
            <w:tcW w:w="7831" w:type="dxa"/>
            <w:tcBorders>
              <w:right w:val="single" w:color="000000" w:sz="4" w:space="0"/>
            </w:tcBorders>
            <w:vAlign w:val="center"/>
          </w:tcPr>
          <w:p w14:paraId="13E7137F">
            <w:pPr>
              <w:pStyle w:val="29"/>
              <w:keepLines w:val="0"/>
              <w:pageBreakBefore w:val="0"/>
              <w:kinsoku/>
              <w:wordWrap/>
              <w:overflowPunct/>
              <w:topLinePunct w:val="0"/>
              <w:bidi w:val="0"/>
              <w:spacing w:before="66" w:line="360" w:lineRule="auto"/>
              <w:ind w:left="119"/>
              <w:jc w:val="both"/>
              <w:rPr>
                <w:rFonts w:hint="eastAsia" w:eastAsia="仿宋"/>
                <w:lang w:eastAsia="zh-CN"/>
              </w:rPr>
            </w:pPr>
            <w:r>
              <w:rPr>
                <w:spacing w:val="-2"/>
              </w:rPr>
              <w:t>名 称：</w:t>
            </w:r>
            <w:r>
              <w:rPr>
                <w:rFonts w:hint="eastAsia"/>
                <w:spacing w:val="-2"/>
                <w:lang w:eastAsia="zh-CN"/>
              </w:rPr>
              <w:t>温宿县乡村振兴服务中心</w:t>
            </w:r>
          </w:p>
          <w:p w14:paraId="49B28E2C">
            <w:pPr>
              <w:pStyle w:val="29"/>
              <w:keepLines w:val="0"/>
              <w:pageBreakBefore w:val="0"/>
              <w:kinsoku/>
              <w:wordWrap/>
              <w:overflowPunct/>
              <w:topLinePunct w:val="0"/>
              <w:bidi w:val="0"/>
              <w:spacing w:before="77" w:line="360" w:lineRule="auto"/>
              <w:ind w:left="119"/>
              <w:jc w:val="both"/>
              <w:rPr>
                <w:rFonts w:hint="eastAsia" w:eastAsia="仿宋"/>
                <w:lang w:eastAsia="zh-CN"/>
              </w:rPr>
            </w:pPr>
            <w:r>
              <w:rPr>
                <w:spacing w:val="-2"/>
              </w:rPr>
              <w:t>地 址：</w:t>
            </w:r>
            <w:r>
              <w:rPr>
                <w:rFonts w:hint="eastAsia"/>
                <w:spacing w:val="-2"/>
                <w:lang w:val="en-US" w:eastAsia="zh-CN"/>
              </w:rPr>
              <w:t>温宿县</w:t>
            </w:r>
          </w:p>
          <w:p w14:paraId="00A3865A">
            <w:pPr>
              <w:pStyle w:val="29"/>
              <w:keepLines w:val="0"/>
              <w:pageBreakBefore w:val="0"/>
              <w:kinsoku/>
              <w:wordWrap/>
              <w:overflowPunct/>
              <w:topLinePunct w:val="0"/>
              <w:bidi w:val="0"/>
              <w:spacing w:before="80" w:line="360" w:lineRule="auto"/>
              <w:ind w:left="116"/>
              <w:jc w:val="both"/>
              <w:rPr>
                <w:rFonts w:hint="eastAsia" w:eastAsia="仿宋"/>
                <w:lang w:eastAsia="zh-CN"/>
              </w:rPr>
            </w:pPr>
            <w:r>
              <w:rPr>
                <w:spacing w:val="-3"/>
              </w:rPr>
              <w:t>联系人：</w:t>
            </w:r>
            <w:r>
              <w:rPr>
                <w:rFonts w:hint="eastAsia"/>
                <w:spacing w:val="-3"/>
              </w:rPr>
              <w:t>闵立龙</w:t>
            </w:r>
          </w:p>
          <w:p w14:paraId="45D8C7DA">
            <w:pPr>
              <w:pStyle w:val="29"/>
              <w:keepLines w:val="0"/>
              <w:pageBreakBefore w:val="0"/>
              <w:kinsoku/>
              <w:wordWrap/>
              <w:overflowPunct/>
              <w:topLinePunct w:val="0"/>
              <w:bidi w:val="0"/>
              <w:spacing w:before="75" w:line="360" w:lineRule="auto"/>
              <w:ind w:left="145"/>
              <w:jc w:val="both"/>
            </w:pPr>
            <w:r>
              <w:rPr>
                <w:spacing w:val="-3"/>
              </w:rPr>
              <w:t>电 话：</w:t>
            </w:r>
            <w:r>
              <w:rPr>
                <w:rFonts w:hint="eastAsia"/>
                <w:spacing w:val="-3"/>
                <w:lang w:val="en-US" w:eastAsia="zh-CN"/>
              </w:rPr>
              <w:t>18197547679</w:t>
            </w:r>
          </w:p>
        </w:tc>
      </w:tr>
      <w:tr w14:paraId="505C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7D5C93A8">
            <w:pPr>
              <w:pStyle w:val="29"/>
              <w:keepLines w:val="0"/>
              <w:pageBreakBefore w:val="0"/>
              <w:kinsoku/>
              <w:wordWrap/>
              <w:overflowPunct/>
              <w:topLinePunct w:val="0"/>
              <w:bidi w:val="0"/>
              <w:spacing w:before="78" w:line="180" w:lineRule="auto"/>
              <w:jc w:val="center"/>
            </w:pPr>
            <w:r>
              <w:t>4</w:t>
            </w:r>
          </w:p>
        </w:tc>
        <w:tc>
          <w:tcPr>
            <w:tcW w:w="1485" w:type="dxa"/>
            <w:vAlign w:val="center"/>
          </w:tcPr>
          <w:p w14:paraId="0930FA9D">
            <w:pPr>
              <w:pStyle w:val="29"/>
              <w:keepLines w:val="0"/>
              <w:pageBreakBefore w:val="0"/>
              <w:kinsoku/>
              <w:wordWrap/>
              <w:overflowPunct/>
              <w:topLinePunct w:val="0"/>
              <w:bidi w:val="0"/>
              <w:spacing w:before="78" w:line="222" w:lineRule="auto"/>
              <w:jc w:val="center"/>
            </w:pPr>
            <w:r>
              <w:rPr>
                <w:b/>
                <w:bCs/>
                <w:spacing w:val="-8"/>
              </w:rPr>
              <w:t>代理机构</w:t>
            </w:r>
          </w:p>
        </w:tc>
        <w:tc>
          <w:tcPr>
            <w:tcW w:w="7831" w:type="dxa"/>
            <w:tcBorders>
              <w:right w:val="single" w:color="000000" w:sz="4" w:space="0"/>
            </w:tcBorders>
            <w:vAlign w:val="center"/>
          </w:tcPr>
          <w:p w14:paraId="31E85D8B">
            <w:pPr>
              <w:pStyle w:val="29"/>
              <w:keepLines w:val="0"/>
              <w:pageBreakBefore w:val="0"/>
              <w:kinsoku/>
              <w:wordWrap/>
              <w:overflowPunct/>
              <w:topLinePunct w:val="0"/>
              <w:bidi w:val="0"/>
              <w:spacing w:before="66" w:line="360" w:lineRule="auto"/>
              <w:ind w:left="119"/>
              <w:jc w:val="both"/>
              <w:rPr>
                <w:rFonts w:hint="eastAsia" w:eastAsia="仿宋"/>
                <w:lang w:eastAsia="zh-CN"/>
              </w:rPr>
            </w:pPr>
            <w:r>
              <w:rPr>
                <w:spacing w:val="-2"/>
              </w:rPr>
              <w:t>名 称：</w:t>
            </w:r>
            <w:r>
              <w:rPr>
                <w:rFonts w:hint="eastAsia"/>
                <w:spacing w:val="-2"/>
                <w:lang w:val="en-US" w:eastAsia="zh-CN"/>
              </w:rPr>
              <w:t>阿克苏地区振远项目咨询管理有限公司</w:t>
            </w:r>
          </w:p>
          <w:p w14:paraId="575F4C56">
            <w:pPr>
              <w:pStyle w:val="29"/>
              <w:keepLines w:val="0"/>
              <w:pageBreakBefore w:val="0"/>
              <w:kinsoku/>
              <w:wordWrap/>
              <w:overflowPunct/>
              <w:topLinePunct w:val="0"/>
              <w:bidi w:val="0"/>
              <w:spacing w:before="79" w:line="360" w:lineRule="auto"/>
              <w:ind w:left="119"/>
              <w:jc w:val="both"/>
              <w:rPr>
                <w:rFonts w:hint="eastAsia" w:eastAsia="仿宋"/>
                <w:lang w:eastAsia="zh-CN"/>
              </w:rPr>
            </w:pPr>
            <w:r>
              <w:rPr>
                <w:spacing w:val="-3"/>
              </w:rPr>
              <w:t>地 址：</w:t>
            </w:r>
            <w:r>
              <w:rPr>
                <w:rFonts w:hint="eastAsia"/>
                <w:spacing w:val="-3"/>
                <w:lang w:val="en-US" w:eastAsia="zh-CN"/>
              </w:rPr>
              <w:t>阿克苏市第四家属院1号楼2单元19B01号</w:t>
            </w:r>
          </w:p>
          <w:p w14:paraId="7FB91842">
            <w:pPr>
              <w:pStyle w:val="29"/>
              <w:keepLines w:val="0"/>
              <w:pageBreakBefore w:val="0"/>
              <w:kinsoku/>
              <w:wordWrap/>
              <w:overflowPunct/>
              <w:topLinePunct w:val="0"/>
              <w:bidi w:val="0"/>
              <w:spacing w:before="79" w:line="360" w:lineRule="auto"/>
              <w:ind w:left="116"/>
              <w:jc w:val="both"/>
              <w:rPr>
                <w:rFonts w:hint="eastAsia" w:eastAsia="仿宋"/>
                <w:lang w:eastAsia="zh-CN"/>
              </w:rPr>
            </w:pPr>
            <w:r>
              <w:rPr>
                <w:spacing w:val="-2"/>
              </w:rPr>
              <w:t>联系人：</w:t>
            </w:r>
            <w:r>
              <w:rPr>
                <w:rFonts w:hint="eastAsia"/>
                <w:spacing w:val="-2"/>
                <w:lang w:eastAsia="zh-CN"/>
              </w:rPr>
              <w:t>胡丹</w:t>
            </w:r>
          </w:p>
          <w:p w14:paraId="2229EF72">
            <w:pPr>
              <w:pStyle w:val="29"/>
              <w:keepLines w:val="0"/>
              <w:pageBreakBefore w:val="0"/>
              <w:kinsoku/>
              <w:wordWrap/>
              <w:overflowPunct/>
              <w:topLinePunct w:val="0"/>
              <w:bidi w:val="0"/>
              <w:spacing w:before="80" w:line="360" w:lineRule="auto"/>
              <w:ind w:left="116"/>
              <w:jc w:val="both"/>
            </w:pPr>
            <w:r>
              <w:rPr>
                <w:spacing w:val="-1"/>
              </w:rPr>
              <w:t>联系电话：</w:t>
            </w:r>
            <w:r>
              <w:rPr>
                <w:rFonts w:hint="eastAsia"/>
                <w:spacing w:val="-1"/>
                <w:lang w:val="en-US" w:eastAsia="zh-CN"/>
              </w:rPr>
              <w:t>15569365500</w:t>
            </w:r>
          </w:p>
        </w:tc>
      </w:tr>
      <w:tr w14:paraId="0965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0" w:type="auto"/>
            <w:tcBorders>
              <w:left w:val="single" w:color="000000" w:sz="4" w:space="0"/>
            </w:tcBorders>
            <w:vAlign w:val="center"/>
          </w:tcPr>
          <w:p w14:paraId="2457C903">
            <w:pPr>
              <w:pStyle w:val="29"/>
              <w:keepLines w:val="0"/>
              <w:pageBreakBefore w:val="0"/>
              <w:kinsoku/>
              <w:wordWrap/>
              <w:overflowPunct/>
              <w:topLinePunct w:val="0"/>
              <w:bidi w:val="0"/>
              <w:spacing w:before="78" w:line="179" w:lineRule="auto"/>
              <w:jc w:val="center"/>
            </w:pPr>
            <w:r>
              <w:t>5</w:t>
            </w:r>
          </w:p>
        </w:tc>
        <w:tc>
          <w:tcPr>
            <w:tcW w:w="1485" w:type="dxa"/>
            <w:vAlign w:val="center"/>
          </w:tcPr>
          <w:p w14:paraId="253BCAB9">
            <w:pPr>
              <w:pStyle w:val="29"/>
              <w:keepLines w:val="0"/>
              <w:pageBreakBefore w:val="0"/>
              <w:kinsoku/>
              <w:wordWrap/>
              <w:overflowPunct/>
              <w:topLinePunct w:val="0"/>
              <w:bidi w:val="0"/>
              <w:spacing w:before="78" w:line="222" w:lineRule="auto"/>
              <w:jc w:val="center"/>
              <w:rPr>
                <w:rFonts w:hint="eastAsia" w:eastAsia="仿宋"/>
                <w:lang w:eastAsia="zh-CN"/>
              </w:rPr>
            </w:pPr>
            <w:r>
              <w:rPr>
                <w:rFonts w:hint="eastAsia"/>
                <w:b/>
                <w:bCs/>
                <w:spacing w:val="-7"/>
                <w:lang w:eastAsia="zh-CN"/>
              </w:rPr>
              <w:t>采购内容</w:t>
            </w:r>
          </w:p>
        </w:tc>
        <w:tc>
          <w:tcPr>
            <w:tcW w:w="7831" w:type="dxa"/>
            <w:tcBorders>
              <w:right w:val="single" w:color="000000" w:sz="4" w:space="0"/>
            </w:tcBorders>
            <w:vAlign w:val="center"/>
          </w:tcPr>
          <w:p w14:paraId="2B30C2CE">
            <w:pPr>
              <w:pStyle w:val="29"/>
              <w:keepLines w:val="0"/>
              <w:pageBreakBefore w:val="0"/>
              <w:kinsoku/>
              <w:wordWrap/>
              <w:overflowPunct/>
              <w:topLinePunct w:val="0"/>
              <w:bidi w:val="0"/>
              <w:spacing w:before="80" w:line="360" w:lineRule="auto"/>
              <w:ind w:right="993"/>
              <w:jc w:val="both"/>
            </w:pPr>
            <w:r>
              <w:rPr>
                <w:rFonts w:hint="eastAsia" w:ascii="仿宋" w:hAnsi="仿宋" w:eastAsia="仿宋" w:cs="仿宋"/>
                <w:color w:val="auto"/>
                <w:spacing w:val="-1"/>
                <w:sz w:val="24"/>
                <w:szCs w:val="24"/>
                <w:highlight w:val="none"/>
                <w:lang w:eastAsia="zh-CN"/>
              </w:rPr>
              <w:t>采购一台2204机型拖拉机（配套6.8米组合耙、四铧犁）、一台504机型拖拉机（配套1.6米旋耕机、车兜）（详见采购需求）</w:t>
            </w:r>
            <w:r>
              <w:rPr>
                <w:rFonts w:ascii="仿宋" w:hAnsi="仿宋" w:eastAsia="仿宋" w:cs="仿宋"/>
                <w:color w:val="auto"/>
                <w:spacing w:val="-1"/>
                <w:sz w:val="24"/>
                <w:szCs w:val="24"/>
                <w:highlight w:val="none"/>
                <w:lang w:eastAsia="zh-CN"/>
              </w:rPr>
              <w:t>。</w:t>
            </w:r>
          </w:p>
        </w:tc>
      </w:tr>
      <w:tr w14:paraId="1D5D6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0" w:type="auto"/>
            <w:tcBorders>
              <w:left w:val="single" w:color="000000" w:sz="4" w:space="0"/>
            </w:tcBorders>
            <w:vAlign w:val="center"/>
          </w:tcPr>
          <w:p w14:paraId="29E10B81">
            <w:pPr>
              <w:pStyle w:val="29"/>
              <w:keepLines w:val="0"/>
              <w:pageBreakBefore w:val="0"/>
              <w:kinsoku/>
              <w:wordWrap/>
              <w:overflowPunct/>
              <w:topLinePunct w:val="0"/>
              <w:bidi w:val="0"/>
              <w:spacing w:before="242" w:line="180" w:lineRule="auto"/>
              <w:jc w:val="center"/>
            </w:pPr>
            <w:r>
              <w:t>6</w:t>
            </w:r>
          </w:p>
        </w:tc>
        <w:tc>
          <w:tcPr>
            <w:tcW w:w="1485" w:type="dxa"/>
            <w:vAlign w:val="center"/>
          </w:tcPr>
          <w:p w14:paraId="5BE1BEAD">
            <w:pPr>
              <w:pStyle w:val="29"/>
              <w:keepLines w:val="0"/>
              <w:pageBreakBefore w:val="0"/>
              <w:kinsoku/>
              <w:wordWrap/>
              <w:overflowPunct/>
              <w:topLinePunct w:val="0"/>
              <w:bidi w:val="0"/>
              <w:spacing w:before="200" w:line="222" w:lineRule="auto"/>
              <w:jc w:val="center"/>
              <w:rPr>
                <w:highlight w:val="none"/>
              </w:rPr>
            </w:pPr>
            <w:r>
              <w:rPr>
                <w:rFonts w:hint="eastAsia"/>
                <w:b/>
                <w:bCs/>
                <w:spacing w:val="-6"/>
                <w:highlight w:val="none"/>
                <w:lang w:eastAsia="zh-CN"/>
              </w:rPr>
              <w:t>供货</w:t>
            </w:r>
            <w:r>
              <w:rPr>
                <w:b/>
                <w:bCs/>
                <w:spacing w:val="-6"/>
                <w:highlight w:val="none"/>
              </w:rPr>
              <w:t>期限</w:t>
            </w:r>
          </w:p>
        </w:tc>
        <w:tc>
          <w:tcPr>
            <w:tcW w:w="7831" w:type="dxa"/>
            <w:tcBorders>
              <w:right w:val="single" w:color="000000" w:sz="4" w:space="0"/>
            </w:tcBorders>
            <w:vAlign w:val="center"/>
          </w:tcPr>
          <w:p w14:paraId="39F83B54">
            <w:pPr>
              <w:pStyle w:val="29"/>
              <w:keepLines w:val="0"/>
              <w:pageBreakBefore w:val="0"/>
              <w:kinsoku/>
              <w:wordWrap/>
              <w:overflowPunct/>
              <w:topLinePunct w:val="0"/>
              <w:bidi w:val="0"/>
              <w:spacing w:before="200" w:line="360" w:lineRule="auto"/>
              <w:jc w:val="both"/>
              <w:rPr>
                <w:highlight w:val="none"/>
              </w:rPr>
            </w:pPr>
            <w:r>
              <w:rPr>
                <w:rFonts w:hint="eastAsia" w:ascii="仿宋" w:hAnsi="仿宋" w:eastAsia="仿宋" w:cs="仿宋"/>
                <w:sz w:val="24"/>
                <w:szCs w:val="24"/>
                <w:lang w:eastAsia="zh-CN"/>
              </w:rPr>
              <w:t>签订合同</w:t>
            </w:r>
            <w:r>
              <w:rPr>
                <w:rFonts w:hint="eastAsia" w:ascii="仿宋" w:hAnsi="仿宋" w:eastAsia="仿宋" w:cs="仿宋"/>
                <w:sz w:val="24"/>
                <w:szCs w:val="24"/>
                <w:lang w:val="en-US" w:eastAsia="zh-CN"/>
              </w:rPr>
              <w:t>之日起</w:t>
            </w:r>
            <w:r>
              <w:rPr>
                <w:rFonts w:hint="eastAsia" w:ascii="仿宋" w:hAnsi="仿宋" w:eastAsia="仿宋" w:cs="仿宋"/>
                <w:sz w:val="24"/>
                <w:szCs w:val="24"/>
                <w:lang w:eastAsia="zh-CN"/>
              </w:rPr>
              <w:t xml:space="preserve"> 30 日历天内</w:t>
            </w:r>
            <w:r>
              <w:rPr>
                <w:rFonts w:hint="eastAsia" w:ascii="仿宋" w:hAnsi="仿宋" w:eastAsia="仿宋" w:cs="仿宋"/>
                <w:sz w:val="24"/>
                <w:szCs w:val="24"/>
                <w:lang w:val="en-US" w:eastAsia="zh-CN"/>
              </w:rPr>
              <w:t>完成供货</w:t>
            </w:r>
            <w:r>
              <w:rPr>
                <w:rFonts w:hint="eastAsia" w:ascii="仿宋" w:hAnsi="仿宋" w:eastAsia="仿宋" w:cs="仿宋"/>
                <w:sz w:val="24"/>
                <w:szCs w:val="24"/>
                <w:lang w:eastAsia="zh-CN"/>
              </w:rPr>
              <w:t>。</w:t>
            </w:r>
          </w:p>
        </w:tc>
      </w:tr>
      <w:tr w14:paraId="41BE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trPr>
        <w:tc>
          <w:tcPr>
            <w:tcW w:w="0" w:type="auto"/>
            <w:tcBorders>
              <w:left w:val="single" w:color="000000" w:sz="4" w:space="0"/>
            </w:tcBorders>
            <w:vAlign w:val="center"/>
          </w:tcPr>
          <w:p w14:paraId="43AB8CE2">
            <w:pPr>
              <w:pStyle w:val="29"/>
              <w:keepLines w:val="0"/>
              <w:pageBreakBefore w:val="0"/>
              <w:kinsoku/>
              <w:wordWrap/>
              <w:overflowPunct/>
              <w:topLinePunct w:val="0"/>
              <w:bidi w:val="0"/>
              <w:spacing w:before="242" w:line="180" w:lineRule="auto"/>
              <w:jc w:val="center"/>
              <w:rPr>
                <w:rFonts w:hint="eastAsia" w:eastAsia="仿宋"/>
                <w:lang w:val="en-US" w:eastAsia="zh-CN"/>
              </w:rPr>
            </w:pPr>
            <w:r>
              <w:rPr>
                <w:rFonts w:hint="eastAsia"/>
                <w:lang w:val="en-US" w:eastAsia="zh-CN"/>
              </w:rPr>
              <w:t>7</w:t>
            </w:r>
          </w:p>
        </w:tc>
        <w:tc>
          <w:tcPr>
            <w:tcW w:w="1485" w:type="dxa"/>
            <w:vAlign w:val="center"/>
          </w:tcPr>
          <w:p w14:paraId="00C31CDF">
            <w:pPr>
              <w:pStyle w:val="29"/>
              <w:keepLines w:val="0"/>
              <w:pageBreakBefore w:val="0"/>
              <w:kinsoku/>
              <w:wordWrap/>
              <w:overflowPunct/>
              <w:topLinePunct w:val="0"/>
              <w:bidi w:val="0"/>
              <w:spacing w:before="200" w:line="222" w:lineRule="auto"/>
              <w:jc w:val="center"/>
              <w:rPr>
                <w:rFonts w:hint="default"/>
                <w:b/>
                <w:bCs/>
                <w:spacing w:val="-6"/>
                <w:highlight w:val="none"/>
                <w:lang w:eastAsia="zh-CN"/>
              </w:rPr>
            </w:pPr>
            <w:r>
              <w:rPr>
                <w:rFonts w:hint="default"/>
                <w:b/>
                <w:bCs/>
                <w:spacing w:val="-6"/>
                <w:highlight w:val="none"/>
                <w:lang w:val="en-US" w:eastAsia="zh-CN"/>
              </w:rPr>
              <w:t>维保</w:t>
            </w:r>
            <w:r>
              <w:rPr>
                <w:rFonts w:hint="default"/>
                <w:b/>
                <w:bCs/>
                <w:spacing w:val="-6"/>
                <w:highlight w:val="none"/>
                <w:lang w:eastAsia="zh-CN"/>
              </w:rPr>
              <w:t>期及质量要求</w:t>
            </w:r>
          </w:p>
        </w:tc>
        <w:tc>
          <w:tcPr>
            <w:tcW w:w="7831" w:type="dxa"/>
            <w:tcBorders>
              <w:right w:val="single" w:color="000000" w:sz="4" w:space="0"/>
            </w:tcBorders>
            <w:vAlign w:val="center"/>
          </w:tcPr>
          <w:p w14:paraId="36BCA3CD">
            <w:pPr>
              <w:pStyle w:val="29"/>
              <w:keepLines w:val="0"/>
              <w:pageBreakBefore w:val="0"/>
              <w:kinsoku/>
              <w:wordWrap/>
              <w:overflowPunct/>
              <w:topLinePunct w:val="0"/>
              <w:bidi w:val="0"/>
              <w:spacing w:before="200" w:line="360" w:lineRule="auto"/>
              <w:jc w:val="both"/>
              <w:rPr>
                <w:rFonts w:hint="default"/>
                <w:highlight w:val="none"/>
                <w:lang w:val="en-US" w:eastAsia="zh-CN"/>
              </w:rPr>
            </w:pPr>
            <w:r>
              <w:rPr>
                <w:rFonts w:hint="default"/>
                <w:highlight w:val="none"/>
                <w:lang w:val="en-US" w:eastAsia="zh-CN"/>
              </w:rPr>
              <w:t>维保期1年</w:t>
            </w:r>
          </w:p>
          <w:p w14:paraId="6804DB4D">
            <w:pPr>
              <w:pStyle w:val="29"/>
              <w:keepLines w:val="0"/>
              <w:pageBreakBefore w:val="0"/>
              <w:kinsoku/>
              <w:wordWrap/>
              <w:overflowPunct/>
              <w:topLinePunct w:val="0"/>
              <w:bidi w:val="0"/>
              <w:spacing w:before="200" w:line="360" w:lineRule="auto"/>
              <w:jc w:val="both"/>
              <w:rPr>
                <w:rFonts w:hint="default"/>
                <w:highlight w:val="none"/>
                <w:lang w:eastAsia="zh-CN"/>
              </w:rPr>
            </w:pPr>
            <w:r>
              <w:rPr>
                <w:rFonts w:hint="default"/>
                <w:highlight w:val="none"/>
                <w:lang w:val="en-US" w:eastAsia="zh-CN"/>
              </w:rPr>
              <w:t>质量要求：符合国家及行业质量验收合格标准</w:t>
            </w:r>
          </w:p>
        </w:tc>
      </w:tr>
      <w:tr w14:paraId="6DB9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0" w:type="auto"/>
            <w:tcBorders>
              <w:left w:val="single" w:color="000000" w:sz="4" w:space="0"/>
            </w:tcBorders>
            <w:vAlign w:val="center"/>
          </w:tcPr>
          <w:p w14:paraId="0D7CE70E">
            <w:pPr>
              <w:pStyle w:val="29"/>
              <w:keepLines w:val="0"/>
              <w:pageBreakBefore w:val="0"/>
              <w:kinsoku/>
              <w:wordWrap/>
              <w:overflowPunct/>
              <w:topLinePunct w:val="0"/>
              <w:bidi w:val="0"/>
              <w:spacing w:before="78" w:line="222" w:lineRule="auto"/>
              <w:jc w:val="center"/>
              <w:rPr>
                <w:rFonts w:hint="eastAsia"/>
                <w:b w:val="0"/>
                <w:bCs w:val="0"/>
                <w:spacing w:val="-7"/>
                <w:lang w:eastAsia="zh-CN"/>
              </w:rPr>
            </w:pPr>
            <w:r>
              <w:rPr>
                <w:rFonts w:hint="eastAsia"/>
                <w:b w:val="0"/>
                <w:bCs w:val="0"/>
                <w:spacing w:val="-7"/>
                <w:lang w:val="en-US" w:eastAsia="zh-CN"/>
              </w:rPr>
              <w:t>8</w:t>
            </w:r>
          </w:p>
        </w:tc>
        <w:tc>
          <w:tcPr>
            <w:tcW w:w="1485" w:type="dxa"/>
            <w:vAlign w:val="center"/>
          </w:tcPr>
          <w:p w14:paraId="34D1466B">
            <w:pPr>
              <w:pStyle w:val="29"/>
              <w:keepLines w:val="0"/>
              <w:pageBreakBefore w:val="0"/>
              <w:kinsoku/>
              <w:wordWrap/>
              <w:overflowPunct/>
              <w:topLinePunct w:val="0"/>
              <w:bidi w:val="0"/>
              <w:spacing w:before="78" w:line="222" w:lineRule="auto"/>
              <w:jc w:val="center"/>
              <w:rPr>
                <w:rFonts w:hint="default"/>
                <w:b/>
                <w:bCs/>
                <w:spacing w:val="-7"/>
                <w:lang w:val="en-US" w:eastAsia="zh-CN"/>
              </w:rPr>
            </w:pPr>
            <w:r>
              <w:rPr>
                <w:rFonts w:hint="eastAsia"/>
                <w:b/>
                <w:bCs/>
                <w:spacing w:val="-7"/>
                <w:lang w:val="en-US" w:eastAsia="zh-CN"/>
              </w:rPr>
              <w:t>最高限价</w:t>
            </w:r>
          </w:p>
        </w:tc>
        <w:tc>
          <w:tcPr>
            <w:tcW w:w="7831" w:type="dxa"/>
            <w:tcBorders>
              <w:right w:val="single" w:color="000000" w:sz="4" w:space="0"/>
            </w:tcBorders>
            <w:vAlign w:val="center"/>
          </w:tcPr>
          <w:p w14:paraId="63EEF5E9">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本项目最高限价：750000.00元。</w:t>
            </w:r>
          </w:p>
          <w:p w14:paraId="7DD79C70">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投标报价不得高于最高限价，否则视为无效投标。</w:t>
            </w:r>
          </w:p>
        </w:tc>
      </w:tr>
      <w:tr w14:paraId="4BD3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1E595AF4">
            <w:pPr>
              <w:pStyle w:val="29"/>
              <w:keepLines w:val="0"/>
              <w:pageBreakBefore w:val="0"/>
              <w:kinsoku/>
              <w:wordWrap/>
              <w:overflowPunct/>
              <w:topLinePunct w:val="0"/>
              <w:bidi w:val="0"/>
              <w:spacing w:before="300" w:line="180" w:lineRule="auto"/>
              <w:jc w:val="center"/>
              <w:rPr>
                <w:rFonts w:hint="eastAsia" w:eastAsia="仿宋"/>
                <w:lang w:eastAsia="zh-CN"/>
              </w:rPr>
            </w:pPr>
            <w:r>
              <w:rPr>
                <w:rFonts w:hint="eastAsia"/>
                <w:lang w:val="en-US" w:eastAsia="zh-CN"/>
              </w:rPr>
              <w:t>9</w:t>
            </w:r>
          </w:p>
        </w:tc>
        <w:tc>
          <w:tcPr>
            <w:tcW w:w="1485" w:type="dxa"/>
            <w:vAlign w:val="center"/>
          </w:tcPr>
          <w:p w14:paraId="641C2EAF">
            <w:pPr>
              <w:pStyle w:val="29"/>
              <w:keepLines w:val="0"/>
              <w:pageBreakBefore w:val="0"/>
              <w:kinsoku/>
              <w:wordWrap/>
              <w:overflowPunct/>
              <w:topLinePunct w:val="0"/>
              <w:bidi w:val="0"/>
              <w:spacing w:before="234" w:line="223" w:lineRule="auto"/>
              <w:jc w:val="center"/>
            </w:pPr>
            <w:r>
              <w:rPr>
                <w:b/>
                <w:bCs/>
                <w:spacing w:val="-7"/>
              </w:rPr>
              <w:t>项目类别</w:t>
            </w:r>
          </w:p>
        </w:tc>
        <w:tc>
          <w:tcPr>
            <w:tcW w:w="7831" w:type="dxa"/>
            <w:tcBorders>
              <w:right w:val="single" w:color="000000" w:sz="4" w:space="0"/>
            </w:tcBorders>
            <w:vAlign w:val="center"/>
          </w:tcPr>
          <w:p w14:paraId="5464732A">
            <w:pPr>
              <w:pStyle w:val="29"/>
              <w:keepLines w:val="0"/>
              <w:pageBreakBefore w:val="0"/>
              <w:kinsoku/>
              <w:wordWrap/>
              <w:overflowPunct/>
              <w:topLinePunct w:val="0"/>
              <w:bidi w:val="0"/>
              <w:spacing w:before="79" w:line="221" w:lineRule="auto"/>
              <w:ind w:left="116"/>
              <w:jc w:val="both"/>
            </w:pPr>
            <w:r>
              <w:rPr>
                <w:rFonts w:hint="eastAsia"/>
                <w:lang w:val="en-US" w:eastAsia="zh-CN"/>
              </w:rPr>
              <w:t>本项目所属行业工业。</w:t>
            </w:r>
          </w:p>
        </w:tc>
      </w:tr>
      <w:tr w14:paraId="5AF5F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0" w:type="auto"/>
            <w:tcBorders>
              <w:left w:val="single" w:color="000000" w:sz="4" w:space="0"/>
            </w:tcBorders>
            <w:vAlign w:val="center"/>
          </w:tcPr>
          <w:p w14:paraId="500723CD">
            <w:pPr>
              <w:pStyle w:val="29"/>
              <w:keepLines w:val="0"/>
              <w:pageBreakBefore w:val="0"/>
              <w:kinsoku/>
              <w:wordWrap/>
              <w:overflowPunct/>
              <w:topLinePunct w:val="0"/>
              <w:bidi w:val="0"/>
              <w:spacing w:before="115" w:line="180" w:lineRule="auto"/>
              <w:jc w:val="center"/>
              <w:rPr>
                <w:rFonts w:hint="default" w:eastAsia="仿宋"/>
                <w:lang w:val="en-US" w:eastAsia="zh-CN"/>
              </w:rPr>
            </w:pPr>
            <w:r>
              <w:rPr>
                <w:rFonts w:hint="eastAsia"/>
                <w:lang w:val="en-US" w:eastAsia="zh-CN"/>
              </w:rPr>
              <w:t>10</w:t>
            </w:r>
          </w:p>
        </w:tc>
        <w:tc>
          <w:tcPr>
            <w:tcW w:w="1485" w:type="dxa"/>
            <w:vAlign w:val="center"/>
          </w:tcPr>
          <w:p w14:paraId="1A65FB65">
            <w:pPr>
              <w:pStyle w:val="29"/>
              <w:keepLines w:val="0"/>
              <w:pageBreakBefore w:val="0"/>
              <w:kinsoku/>
              <w:wordWrap/>
              <w:overflowPunct/>
              <w:topLinePunct w:val="0"/>
              <w:bidi w:val="0"/>
              <w:spacing w:before="73" w:line="222" w:lineRule="auto"/>
              <w:jc w:val="center"/>
              <w:rPr>
                <w:color w:val="auto"/>
              </w:rPr>
            </w:pPr>
            <w:r>
              <w:rPr>
                <w:rFonts w:hint="eastAsia"/>
                <w:b/>
                <w:bCs/>
                <w:color w:val="auto"/>
                <w:lang w:eastAsia="zh-CN"/>
              </w:rPr>
              <w:t>投标人</w:t>
            </w:r>
            <w:r>
              <w:rPr>
                <w:b/>
                <w:bCs/>
                <w:color w:val="auto"/>
              </w:rPr>
              <w:t>资格、能</w:t>
            </w:r>
            <w:r>
              <w:rPr>
                <w:b/>
                <w:bCs/>
                <w:color w:val="auto"/>
                <w:spacing w:val="-5"/>
              </w:rPr>
              <w:t>力、信誉</w:t>
            </w:r>
            <w:r>
              <w:rPr>
                <w:rFonts w:hint="eastAsia"/>
                <w:b/>
                <w:bCs/>
                <w:color w:val="auto"/>
                <w:spacing w:val="-5"/>
                <w:lang w:eastAsia="zh-CN"/>
              </w:rPr>
              <w:t>及其他</w:t>
            </w:r>
            <w:r>
              <w:rPr>
                <w:b/>
                <w:bCs/>
                <w:color w:val="auto"/>
                <w:spacing w:val="-13"/>
              </w:rPr>
              <w:t>要求</w:t>
            </w:r>
          </w:p>
        </w:tc>
        <w:tc>
          <w:tcPr>
            <w:tcW w:w="7831" w:type="dxa"/>
            <w:tcBorders>
              <w:right w:val="single" w:color="000000" w:sz="4" w:space="0"/>
            </w:tcBorders>
            <w:vAlign w:val="center"/>
          </w:tcPr>
          <w:p w14:paraId="1C35AE35">
            <w:pPr>
              <w:pStyle w:val="29"/>
              <w:keepLines w:val="0"/>
              <w:pageBreakBefore w:val="0"/>
              <w:kinsoku/>
              <w:wordWrap/>
              <w:overflowPunct/>
              <w:topLinePunct w:val="0"/>
              <w:bidi w:val="0"/>
              <w:spacing w:before="62" w:line="222" w:lineRule="auto"/>
              <w:ind w:left="129"/>
              <w:jc w:val="both"/>
              <w:rPr>
                <w:color w:val="auto"/>
                <w:highlight w:val="none"/>
              </w:rPr>
            </w:pPr>
            <w:r>
              <w:rPr>
                <w:b/>
                <w:bCs/>
                <w:color w:val="auto"/>
                <w:spacing w:val="-1"/>
                <w:highlight w:val="none"/>
              </w:rPr>
              <w:t>1、满足《中华人民共和国政府采购法》第二十二条规</w:t>
            </w:r>
            <w:r>
              <w:rPr>
                <w:b/>
                <w:bCs/>
                <w:color w:val="auto"/>
                <w:spacing w:val="-2"/>
                <w:highlight w:val="none"/>
              </w:rPr>
              <w:t>定</w:t>
            </w:r>
            <w:r>
              <w:rPr>
                <w:color w:val="auto"/>
                <w:spacing w:val="-2"/>
                <w:highlight w:val="none"/>
              </w:rPr>
              <w:t>；</w:t>
            </w:r>
          </w:p>
          <w:p w14:paraId="21B9A740">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（1）具有有效经年检的三证合一营业执照原件扫描件</w:t>
            </w:r>
            <w:r>
              <w:rPr>
                <w:rFonts w:hint="eastAsia"/>
                <w:color w:val="auto"/>
                <w:spacing w:val="-2"/>
                <w:highlight w:val="none"/>
                <w:lang w:val="en-US" w:eastAsia="zh-CN"/>
              </w:rPr>
              <w:t>且</w:t>
            </w:r>
            <w:r>
              <w:rPr>
                <w:rFonts w:hint="eastAsia"/>
                <w:color w:val="auto"/>
                <w:spacing w:val="-2"/>
                <w:highlight w:val="none"/>
                <w:lang w:eastAsia="zh-CN"/>
              </w:rPr>
              <w:t>具有承接该项目的供货及售后能力。（若投标人是企业（包括合伙企业）应提供营业执照；若投标人是事业单位应提供事业单位法人证书；若投标人是个体工商户应提供个体工商户营业执照；若投标人是自然人应提供自然人身份证明）；</w:t>
            </w:r>
          </w:p>
          <w:p w14:paraId="16B171B5">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（2）具有良好的商业信誉和健全的财务会计制度（提供2023年经审计的财务报告，企业成立不足一年的，须提供企业成立以来的财务报表加盖单位公章）；</w:t>
            </w:r>
          </w:p>
          <w:p w14:paraId="7137552E">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3）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p w14:paraId="090A7083">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4）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3EC219B3">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（5）法定代表人参加应上传法定代表人身份证明和本人身份证；委托代理人参加应上传法定代表人身份证明、授权委托书、本人身份证；</w:t>
            </w:r>
          </w:p>
          <w:p w14:paraId="0A103091">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（6）提供具有履行合同所必须的设备和专业技术能力（提供承诺函原件，格式自拟）；</w:t>
            </w:r>
          </w:p>
          <w:p w14:paraId="66F3A218">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（7）投标人如在“信用中国”网站、中国政府采购网被列入严重违法失信行为记录名单的（尚在处罚期内的），将拒绝其参加本次政府采购活动。（开标现场查询）</w:t>
            </w:r>
          </w:p>
          <w:p w14:paraId="4B4FE0FA">
            <w:pPr>
              <w:pStyle w:val="29"/>
              <w:keepLines w:val="0"/>
              <w:pageBreakBefore w:val="0"/>
              <w:kinsoku/>
              <w:wordWrap/>
              <w:overflowPunct/>
              <w:topLinePunct w:val="0"/>
              <w:bidi w:val="0"/>
              <w:spacing w:before="75" w:line="267" w:lineRule="auto"/>
              <w:ind w:left="118" w:right="119" w:hanging="4"/>
              <w:jc w:val="both"/>
              <w:rPr>
                <w:rFonts w:hint="eastAsia"/>
                <w:color w:val="auto"/>
                <w:spacing w:val="-2"/>
                <w:highlight w:val="none"/>
                <w:lang w:val="en-US" w:eastAsia="zh-CN"/>
              </w:rPr>
            </w:pPr>
            <w:r>
              <w:rPr>
                <w:b/>
                <w:bCs/>
                <w:color w:val="auto"/>
                <w:spacing w:val="-1"/>
                <w:highlight w:val="none"/>
              </w:rPr>
              <w:t>2、落实政府采购政策需满足的资格要求</w:t>
            </w:r>
            <w:r>
              <w:rPr>
                <w:rFonts w:hint="eastAsia"/>
                <w:color w:val="auto"/>
                <w:spacing w:val="-2"/>
                <w:highlight w:val="none"/>
                <w:lang w:val="en-US" w:eastAsia="zh-CN"/>
              </w:rPr>
              <w:t>：</w:t>
            </w:r>
          </w:p>
          <w:p w14:paraId="1C038DBD">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支持中小企业发展，《政府采购促进中小企业发展管理办法》（财库[2020]46 号）：</w:t>
            </w:r>
          </w:p>
          <w:p w14:paraId="44D645F9">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□本项目专门面向中小企业采购，供应商为中小企业，不再执行价格评审优惠政策。</w:t>
            </w:r>
          </w:p>
          <w:p w14:paraId="4C4A580E">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☑非专门面向中小企业采购，给与符合规定的小微企业、监狱企业或残疾人福利性单位的其报价扣除10%后参与评审。</w:t>
            </w:r>
          </w:p>
          <w:p w14:paraId="35070DF3">
            <w:pPr>
              <w:pStyle w:val="29"/>
              <w:keepLines w:val="0"/>
              <w:pageBreakBefore w:val="0"/>
              <w:kinsoku/>
              <w:wordWrap/>
              <w:overflowPunct/>
              <w:topLinePunct w:val="0"/>
              <w:bidi w:val="0"/>
              <w:spacing w:before="79" w:line="360" w:lineRule="auto"/>
              <w:ind w:left="116"/>
              <w:jc w:val="both"/>
              <w:rPr>
                <w:rFonts w:hint="eastAsia"/>
                <w:color w:val="auto"/>
                <w:spacing w:val="-2"/>
                <w:lang w:val="en-US" w:eastAsia="zh-CN"/>
              </w:rPr>
            </w:pPr>
            <w:r>
              <w:rPr>
                <w:rFonts w:hint="eastAsia"/>
                <w:color w:val="auto"/>
                <w:spacing w:val="-2"/>
                <w:lang w:val="en-US" w:eastAsia="zh-CN"/>
              </w:rPr>
              <w:t>（1）《新疆维吾尔自治区政府采购促进中小企业发展管理实施办法》（新财规〔2021〕6号）；</w:t>
            </w:r>
          </w:p>
          <w:p w14:paraId="3965A5C9">
            <w:pPr>
              <w:pStyle w:val="29"/>
              <w:keepLines w:val="0"/>
              <w:pageBreakBefore w:val="0"/>
              <w:kinsoku/>
              <w:wordWrap/>
              <w:overflowPunct/>
              <w:topLinePunct w:val="0"/>
              <w:bidi w:val="0"/>
              <w:spacing w:before="79" w:line="360" w:lineRule="auto"/>
              <w:ind w:left="116"/>
              <w:jc w:val="both"/>
              <w:rPr>
                <w:rFonts w:hint="eastAsia"/>
                <w:color w:val="auto"/>
                <w:spacing w:val="-2"/>
                <w:lang w:val="en-US" w:eastAsia="zh-CN"/>
              </w:rPr>
            </w:pPr>
            <w:r>
              <w:rPr>
                <w:rFonts w:hint="eastAsia"/>
                <w:color w:val="auto"/>
                <w:spacing w:val="-2"/>
                <w:lang w:val="en-US" w:eastAsia="zh-CN"/>
              </w:rPr>
              <w:t>（2）《财政部、司法部关于政府采购支持监狱企业发展有关问题的通知》（财库〔2014〕68号）；</w:t>
            </w:r>
          </w:p>
          <w:p w14:paraId="6D719448">
            <w:pPr>
              <w:pStyle w:val="29"/>
              <w:keepLines w:val="0"/>
              <w:pageBreakBefore w:val="0"/>
              <w:kinsoku/>
              <w:wordWrap/>
              <w:overflowPunct/>
              <w:topLinePunct w:val="0"/>
              <w:bidi w:val="0"/>
              <w:spacing w:before="79" w:line="360" w:lineRule="auto"/>
              <w:ind w:left="116"/>
              <w:jc w:val="both"/>
              <w:rPr>
                <w:rFonts w:hint="eastAsia"/>
                <w:color w:val="auto"/>
                <w:spacing w:val="-2"/>
                <w:lang w:val="en-US" w:eastAsia="zh-CN"/>
              </w:rPr>
            </w:pPr>
            <w:r>
              <w:rPr>
                <w:rFonts w:hint="eastAsia"/>
                <w:color w:val="auto"/>
                <w:spacing w:val="-2"/>
                <w:lang w:val="en-US" w:eastAsia="zh-CN"/>
              </w:rPr>
              <w:t>（3）财政部生态环境部关于印发环境标志产品政府采购品目清单的通知（财库〔2019〕18号）；</w:t>
            </w:r>
          </w:p>
          <w:p w14:paraId="4687BD02">
            <w:pPr>
              <w:pStyle w:val="29"/>
              <w:keepLines w:val="0"/>
              <w:pageBreakBefore w:val="0"/>
              <w:kinsoku/>
              <w:wordWrap/>
              <w:overflowPunct/>
              <w:topLinePunct w:val="0"/>
              <w:bidi w:val="0"/>
              <w:spacing w:before="79" w:line="360" w:lineRule="auto"/>
              <w:ind w:left="116"/>
              <w:jc w:val="both"/>
              <w:rPr>
                <w:rFonts w:hint="eastAsia"/>
                <w:color w:val="auto"/>
                <w:spacing w:val="-2"/>
                <w:lang w:val="en-US" w:eastAsia="zh-CN"/>
              </w:rPr>
            </w:pPr>
            <w:r>
              <w:rPr>
                <w:rFonts w:hint="eastAsia"/>
                <w:color w:val="auto"/>
                <w:spacing w:val="-2"/>
                <w:lang w:val="en-US" w:eastAsia="zh-CN"/>
              </w:rPr>
              <w:t>（4）《财政部 民政部 中国残疾人联合会关于促进残疾人就业政府采购政策的通知》财库〔2017〕141号。</w:t>
            </w:r>
          </w:p>
          <w:p w14:paraId="0F874AD9">
            <w:pPr>
              <w:pStyle w:val="29"/>
              <w:keepLines w:val="0"/>
              <w:pageBreakBefore w:val="0"/>
              <w:kinsoku/>
              <w:wordWrap/>
              <w:overflowPunct/>
              <w:topLinePunct w:val="0"/>
              <w:bidi w:val="0"/>
              <w:spacing w:before="79" w:line="360" w:lineRule="auto"/>
              <w:ind w:left="116"/>
              <w:jc w:val="both"/>
              <w:rPr>
                <w:rFonts w:hint="eastAsia"/>
                <w:color w:val="auto"/>
                <w:spacing w:val="-2"/>
                <w:lang w:val="en-US" w:eastAsia="zh-CN"/>
              </w:rPr>
            </w:pPr>
            <w:r>
              <w:rPr>
                <w:rFonts w:hint="eastAsia"/>
                <w:color w:val="auto"/>
                <w:spacing w:val="-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1AABA891">
            <w:pPr>
              <w:pStyle w:val="29"/>
              <w:keepLines w:val="0"/>
              <w:pageBreakBefore w:val="0"/>
              <w:kinsoku/>
              <w:wordWrap/>
              <w:overflowPunct/>
              <w:topLinePunct w:val="0"/>
              <w:bidi w:val="0"/>
              <w:spacing w:before="78" w:line="360" w:lineRule="auto"/>
              <w:ind w:left="116"/>
              <w:jc w:val="both"/>
              <w:rPr>
                <w:b/>
                <w:bCs/>
                <w:color w:val="auto"/>
              </w:rPr>
            </w:pPr>
            <w:r>
              <w:rPr>
                <w:b/>
                <w:bCs/>
                <w:color w:val="auto"/>
                <w:spacing w:val="-2"/>
              </w:rPr>
              <w:t>3、本项目的特定资格要求：</w:t>
            </w:r>
          </w:p>
          <w:p w14:paraId="02241CE6">
            <w:pPr>
              <w:pStyle w:val="29"/>
              <w:keepLines w:val="0"/>
              <w:pageBreakBefore w:val="0"/>
              <w:kinsoku/>
              <w:wordWrap/>
              <w:overflowPunct/>
              <w:topLinePunct w:val="0"/>
              <w:bidi w:val="0"/>
              <w:spacing w:before="79" w:line="360" w:lineRule="auto"/>
              <w:ind w:left="110" w:right="513" w:firstLine="11"/>
              <w:jc w:val="both"/>
              <w:rPr>
                <w:rFonts w:hint="eastAsia"/>
                <w:b w:val="0"/>
                <w:bCs w:val="0"/>
                <w:color w:val="auto"/>
                <w:spacing w:val="-1"/>
                <w:lang w:eastAsia="zh-CN"/>
              </w:rPr>
            </w:pPr>
            <w:r>
              <w:rPr>
                <w:rFonts w:hint="eastAsia"/>
                <w:b w:val="0"/>
                <w:bCs w:val="0"/>
                <w:color w:val="auto"/>
                <w:spacing w:val="-1"/>
                <w:lang w:eastAsia="zh-CN"/>
              </w:rPr>
              <w:t>（1）法人代表或其委托代理人应携带本人身份证原件及复印件，委托代理人还应携带《法人代表授权委托书》原件；</w:t>
            </w:r>
          </w:p>
          <w:p w14:paraId="18EB5221">
            <w:pPr>
              <w:pStyle w:val="29"/>
              <w:keepLines w:val="0"/>
              <w:pageBreakBefore w:val="0"/>
              <w:kinsoku/>
              <w:wordWrap/>
              <w:overflowPunct/>
              <w:topLinePunct w:val="0"/>
              <w:bidi w:val="0"/>
              <w:spacing w:before="79" w:line="360" w:lineRule="auto"/>
              <w:ind w:left="110" w:right="513" w:firstLine="11"/>
              <w:jc w:val="both"/>
              <w:rPr>
                <w:rFonts w:hint="eastAsia"/>
                <w:color w:val="auto"/>
                <w:spacing w:val="-2"/>
                <w:lang w:eastAsia="zh-CN"/>
              </w:rPr>
            </w:pPr>
            <w:r>
              <w:rPr>
                <w:rFonts w:hint="eastAsia"/>
                <w:b w:val="0"/>
                <w:bCs w:val="0"/>
                <w:color w:val="auto"/>
                <w:spacing w:val="-1"/>
                <w:lang w:eastAsia="zh-CN"/>
              </w:rPr>
              <w:t>（2）</w:t>
            </w:r>
            <w:r>
              <w:rPr>
                <w:rFonts w:hint="eastAsia"/>
                <w:color w:val="auto"/>
                <w:spacing w:val="-2"/>
                <w:lang w:eastAsia="zh-CN"/>
              </w:rPr>
              <w:t>具有有效经年检的三证合一营业执照原件扫描件</w:t>
            </w:r>
            <w:r>
              <w:rPr>
                <w:rFonts w:hint="eastAsia"/>
                <w:color w:val="auto"/>
                <w:spacing w:val="-2"/>
                <w:lang w:val="en-US" w:eastAsia="zh-CN"/>
              </w:rPr>
              <w:t>且</w:t>
            </w:r>
            <w:r>
              <w:rPr>
                <w:rFonts w:hint="eastAsia"/>
                <w:color w:val="auto"/>
                <w:spacing w:val="-2"/>
                <w:lang w:eastAsia="zh-CN"/>
              </w:rPr>
              <w:t>具有承接该项目的供货及售后能力。</w:t>
            </w:r>
          </w:p>
          <w:p w14:paraId="3A1B1977">
            <w:pPr>
              <w:pStyle w:val="29"/>
              <w:keepLines w:val="0"/>
              <w:pageBreakBefore w:val="0"/>
              <w:kinsoku/>
              <w:wordWrap/>
              <w:overflowPunct/>
              <w:topLinePunct w:val="0"/>
              <w:bidi w:val="0"/>
              <w:spacing w:before="79" w:line="360" w:lineRule="auto"/>
              <w:ind w:left="110" w:right="513" w:firstLine="11"/>
              <w:jc w:val="both"/>
              <w:rPr>
                <w:rFonts w:hint="eastAsia"/>
                <w:color w:val="auto"/>
                <w:spacing w:val="-2"/>
                <w:lang w:val="en-US" w:eastAsia="zh-CN"/>
              </w:rPr>
            </w:pPr>
            <w:r>
              <w:rPr>
                <w:rFonts w:hint="eastAsia"/>
                <w:color w:val="auto"/>
                <w:spacing w:val="-2"/>
                <w:lang w:eastAsia="zh-CN"/>
              </w:rPr>
              <w:t>（</w:t>
            </w:r>
            <w:r>
              <w:rPr>
                <w:rFonts w:hint="eastAsia"/>
                <w:color w:val="auto"/>
                <w:spacing w:val="-2"/>
                <w:lang w:val="en-US" w:eastAsia="zh-CN"/>
              </w:rPr>
              <w:t>3</w:t>
            </w:r>
            <w:r>
              <w:rPr>
                <w:rFonts w:hint="eastAsia"/>
                <w:color w:val="auto"/>
                <w:spacing w:val="-2"/>
                <w:lang w:eastAsia="zh-CN"/>
              </w:rPr>
              <w:t>）</w:t>
            </w:r>
            <w:r>
              <w:rPr>
                <w:rFonts w:hint="eastAsia"/>
                <w:color w:val="auto"/>
                <w:spacing w:val="-2"/>
                <w:lang w:val="en-US" w:eastAsia="zh-CN"/>
              </w:rPr>
              <w:t>提供具有履行合同所必须的设备和专业技术能力（提供承诺函原件，格式自拟）</w:t>
            </w:r>
          </w:p>
          <w:p w14:paraId="0AA6189E">
            <w:pPr>
              <w:pStyle w:val="29"/>
              <w:keepLines w:val="0"/>
              <w:pageBreakBefore w:val="0"/>
              <w:kinsoku/>
              <w:wordWrap/>
              <w:overflowPunct/>
              <w:topLinePunct w:val="0"/>
              <w:bidi w:val="0"/>
              <w:spacing w:before="79" w:line="360" w:lineRule="auto"/>
              <w:ind w:left="110" w:right="513" w:firstLine="11"/>
              <w:jc w:val="both"/>
              <w:rPr>
                <w:rFonts w:hint="eastAsia"/>
                <w:b w:val="0"/>
                <w:bCs w:val="0"/>
                <w:color w:val="auto"/>
                <w:spacing w:val="-1"/>
                <w:lang w:eastAsia="zh-CN"/>
              </w:rPr>
            </w:pPr>
            <w:r>
              <w:rPr>
                <w:rFonts w:hint="eastAsia"/>
                <w:b w:val="0"/>
                <w:bCs w:val="0"/>
                <w:color w:val="auto"/>
                <w:spacing w:val="-1"/>
                <w:lang w:eastAsia="zh-CN"/>
              </w:rPr>
              <w:t>（</w:t>
            </w:r>
            <w:r>
              <w:rPr>
                <w:rFonts w:hint="eastAsia"/>
                <w:b w:val="0"/>
                <w:bCs w:val="0"/>
                <w:color w:val="auto"/>
                <w:spacing w:val="-1"/>
                <w:lang w:val="en-US" w:eastAsia="zh-CN"/>
              </w:rPr>
              <w:t>4</w:t>
            </w:r>
            <w:r>
              <w:rPr>
                <w:rFonts w:hint="eastAsia"/>
                <w:b w:val="0"/>
                <w:bCs w:val="0"/>
                <w:color w:val="auto"/>
                <w:spacing w:val="-1"/>
                <w:lang w:eastAsia="zh-CN"/>
              </w:rPr>
              <w:t>）与招标人存在利害关系可能影响招标公正性的单位，不得参加投标。单位负责人为同一人或存在控股、管理关系的不同单位，不得参加同一标段投标，否则，相关投标均无效。</w:t>
            </w:r>
          </w:p>
          <w:p w14:paraId="026EB41F">
            <w:pPr>
              <w:pStyle w:val="29"/>
              <w:keepLines w:val="0"/>
              <w:pageBreakBefore w:val="0"/>
              <w:kinsoku/>
              <w:wordWrap/>
              <w:overflowPunct/>
              <w:topLinePunct w:val="0"/>
              <w:bidi w:val="0"/>
              <w:spacing w:before="79" w:line="360" w:lineRule="auto"/>
              <w:ind w:left="110" w:right="513" w:firstLine="11"/>
              <w:jc w:val="both"/>
              <w:rPr>
                <w:b/>
                <w:bCs/>
                <w:color w:val="auto"/>
              </w:rPr>
            </w:pPr>
            <w:r>
              <w:rPr>
                <w:b/>
                <w:bCs/>
                <w:color w:val="auto"/>
                <w:spacing w:val="-1"/>
              </w:rPr>
              <w:t>4、本项目不接受联合体参加。</w:t>
            </w:r>
          </w:p>
          <w:p w14:paraId="53E5601C">
            <w:pPr>
              <w:pStyle w:val="29"/>
              <w:keepLines w:val="0"/>
              <w:pageBreakBefore w:val="0"/>
              <w:kinsoku/>
              <w:wordWrap/>
              <w:overflowPunct/>
              <w:topLinePunct w:val="0"/>
              <w:bidi w:val="0"/>
              <w:spacing w:before="78" w:line="360" w:lineRule="auto"/>
              <w:ind w:left="125"/>
              <w:jc w:val="both"/>
              <w:rPr>
                <w:color w:val="auto"/>
              </w:rPr>
            </w:pPr>
            <w:r>
              <w:rPr>
                <w:b/>
                <w:bCs/>
                <w:color w:val="auto"/>
                <w:spacing w:val="-3"/>
              </w:rPr>
              <w:t>注：</w:t>
            </w:r>
            <w:r>
              <w:rPr>
                <w:rFonts w:hint="eastAsia"/>
                <w:b/>
                <w:bCs/>
                <w:color w:val="auto"/>
                <w:spacing w:val="-3"/>
                <w:lang w:eastAsia="zh-CN"/>
              </w:rPr>
              <w:t>投标人</w:t>
            </w:r>
            <w:r>
              <w:rPr>
                <w:b/>
                <w:bCs/>
                <w:color w:val="auto"/>
                <w:spacing w:val="-3"/>
              </w:rPr>
              <w:t>提交的所有证明文件及材料必须清晰、准确、真实</w:t>
            </w:r>
            <w:r>
              <w:rPr>
                <w:color w:val="auto"/>
                <w:spacing w:val="-3"/>
              </w:rPr>
              <w:t>。</w:t>
            </w:r>
          </w:p>
        </w:tc>
      </w:tr>
      <w:tr w14:paraId="5628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0" w:type="auto"/>
            <w:tcBorders>
              <w:left w:val="single" w:color="000000" w:sz="4" w:space="0"/>
            </w:tcBorders>
            <w:vAlign w:val="center"/>
          </w:tcPr>
          <w:p w14:paraId="2BC351E0">
            <w:pPr>
              <w:pStyle w:val="29"/>
              <w:keepLines w:val="0"/>
              <w:pageBreakBefore w:val="0"/>
              <w:kinsoku/>
              <w:wordWrap/>
              <w:overflowPunct/>
              <w:topLinePunct w:val="0"/>
              <w:bidi w:val="0"/>
              <w:spacing w:before="194" w:line="181" w:lineRule="auto"/>
              <w:jc w:val="center"/>
              <w:rPr>
                <w:rFonts w:hint="eastAsia" w:eastAsia="仿宋"/>
                <w:lang w:eastAsia="zh-CN"/>
              </w:rPr>
            </w:pPr>
            <w:r>
              <w:rPr>
                <w:spacing w:val="-14"/>
              </w:rPr>
              <w:t>1</w:t>
            </w:r>
            <w:r>
              <w:rPr>
                <w:rFonts w:hint="eastAsia"/>
                <w:spacing w:val="-14"/>
                <w:lang w:val="en-US" w:eastAsia="zh-CN"/>
              </w:rPr>
              <w:t>1</w:t>
            </w:r>
          </w:p>
        </w:tc>
        <w:tc>
          <w:tcPr>
            <w:tcW w:w="1485" w:type="dxa"/>
            <w:vAlign w:val="center"/>
          </w:tcPr>
          <w:p w14:paraId="3914E0DC">
            <w:pPr>
              <w:pStyle w:val="29"/>
              <w:keepLines w:val="0"/>
              <w:pageBreakBefore w:val="0"/>
              <w:kinsoku/>
              <w:wordWrap/>
              <w:overflowPunct/>
              <w:topLinePunct w:val="0"/>
              <w:bidi w:val="0"/>
              <w:spacing w:before="154" w:line="222" w:lineRule="auto"/>
              <w:jc w:val="center"/>
            </w:pPr>
            <w:r>
              <w:rPr>
                <w:b/>
                <w:bCs/>
                <w:spacing w:val="-7"/>
              </w:rPr>
              <w:t>资格审查方式</w:t>
            </w:r>
          </w:p>
        </w:tc>
        <w:tc>
          <w:tcPr>
            <w:tcW w:w="7831" w:type="dxa"/>
            <w:tcBorders>
              <w:right w:val="single" w:color="000000" w:sz="4" w:space="0"/>
            </w:tcBorders>
            <w:vAlign w:val="center"/>
          </w:tcPr>
          <w:p w14:paraId="6AB0160A">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资格后审</w:t>
            </w:r>
          </w:p>
        </w:tc>
      </w:tr>
      <w:tr w14:paraId="14840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0" w:type="auto"/>
            <w:tcBorders>
              <w:left w:val="single" w:color="000000" w:sz="4" w:space="0"/>
            </w:tcBorders>
            <w:vAlign w:val="center"/>
          </w:tcPr>
          <w:p w14:paraId="11604A99">
            <w:pPr>
              <w:pStyle w:val="29"/>
              <w:keepLines w:val="0"/>
              <w:pageBreakBefore w:val="0"/>
              <w:kinsoku/>
              <w:wordWrap/>
              <w:overflowPunct/>
              <w:topLinePunct w:val="0"/>
              <w:bidi w:val="0"/>
              <w:spacing w:before="185" w:line="181" w:lineRule="auto"/>
              <w:jc w:val="center"/>
              <w:rPr>
                <w:rFonts w:hint="eastAsia" w:eastAsia="仿宋"/>
                <w:lang w:eastAsia="zh-CN"/>
              </w:rPr>
            </w:pPr>
            <w:r>
              <w:rPr>
                <w:spacing w:val="-14"/>
              </w:rPr>
              <w:t>1</w:t>
            </w:r>
            <w:r>
              <w:rPr>
                <w:rFonts w:hint="eastAsia"/>
                <w:spacing w:val="-14"/>
                <w:lang w:val="en-US" w:eastAsia="zh-CN"/>
              </w:rPr>
              <w:t>2</w:t>
            </w:r>
          </w:p>
        </w:tc>
        <w:tc>
          <w:tcPr>
            <w:tcW w:w="1485" w:type="dxa"/>
            <w:vAlign w:val="center"/>
          </w:tcPr>
          <w:p w14:paraId="3155683D">
            <w:pPr>
              <w:pStyle w:val="29"/>
              <w:keepLines w:val="0"/>
              <w:pageBreakBefore w:val="0"/>
              <w:kinsoku/>
              <w:wordWrap/>
              <w:overflowPunct/>
              <w:topLinePunct w:val="0"/>
              <w:bidi w:val="0"/>
              <w:spacing w:before="145" w:line="222" w:lineRule="auto"/>
              <w:jc w:val="center"/>
            </w:pPr>
            <w:r>
              <w:rPr>
                <w:b/>
                <w:bCs/>
                <w:spacing w:val="-6"/>
              </w:rPr>
              <w:t>投标语言</w:t>
            </w:r>
          </w:p>
        </w:tc>
        <w:tc>
          <w:tcPr>
            <w:tcW w:w="7831" w:type="dxa"/>
            <w:tcBorders>
              <w:right w:val="single" w:color="000000" w:sz="4" w:space="0"/>
            </w:tcBorders>
            <w:vAlign w:val="center"/>
          </w:tcPr>
          <w:p w14:paraId="372BC5F4">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中文</w:t>
            </w:r>
          </w:p>
        </w:tc>
      </w:tr>
      <w:tr w14:paraId="1DE24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0" w:type="auto"/>
            <w:tcBorders>
              <w:left w:val="single" w:color="000000" w:sz="4" w:space="0"/>
            </w:tcBorders>
            <w:vAlign w:val="center"/>
          </w:tcPr>
          <w:p w14:paraId="47DFDF4E">
            <w:pPr>
              <w:pStyle w:val="29"/>
              <w:keepLines w:val="0"/>
              <w:pageBreakBefore w:val="0"/>
              <w:kinsoku/>
              <w:wordWrap/>
              <w:overflowPunct/>
              <w:topLinePunct w:val="0"/>
              <w:bidi w:val="0"/>
              <w:spacing w:before="302" w:line="181" w:lineRule="auto"/>
              <w:jc w:val="center"/>
              <w:rPr>
                <w:rFonts w:hint="eastAsia" w:eastAsia="仿宋"/>
                <w:lang w:eastAsia="zh-CN"/>
              </w:rPr>
            </w:pPr>
            <w:r>
              <w:rPr>
                <w:spacing w:val="-14"/>
              </w:rPr>
              <w:t>1</w:t>
            </w:r>
            <w:r>
              <w:rPr>
                <w:rFonts w:hint="eastAsia"/>
                <w:spacing w:val="-14"/>
                <w:lang w:val="en-US" w:eastAsia="zh-CN"/>
              </w:rPr>
              <w:t>3</w:t>
            </w:r>
          </w:p>
        </w:tc>
        <w:tc>
          <w:tcPr>
            <w:tcW w:w="1485" w:type="dxa"/>
            <w:vAlign w:val="center"/>
          </w:tcPr>
          <w:p w14:paraId="1CE4DBE0">
            <w:pPr>
              <w:pStyle w:val="29"/>
              <w:keepLines w:val="0"/>
              <w:pageBreakBefore w:val="0"/>
              <w:kinsoku/>
              <w:wordWrap/>
              <w:overflowPunct/>
              <w:topLinePunct w:val="0"/>
              <w:bidi w:val="0"/>
              <w:spacing w:before="262" w:line="222" w:lineRule="auto"/>
              <w:jc w:val="center"/>
            </w:pPr>
            <w:r>
              <w:rPr>
                <w:b/>
                <w:bCs/>
                <w:spacing w:val="-5"/>
              </w:rPr>
              <w:t>投标有效期</w:t>
            </w:r>
          </w:p>
        </w:tc>
        <w:tc>
          <w:tcPr>
            <w:tcW w:w="7831" w:type="dxa"/>
            <w:tcBorders>
              <w:right w:val="single" w:color="000000" w:sz="4" w:space="0"/>
            </w:tcBorders>
            <w:vAlign w:val="center"/>
          </w:tcPr>
          <w:p w14:paraId="7CAF7C3D">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val="en-US" w:eastAsia="zh-CN"/>
              </w:rPr>
              <w:t>9</w:t>
            </w:r>
            <w:r>
              <w:rPr>
                <w:rFonts w:hint="eastAsia"/>
                <w:spacing w:val="-2"/>
                <w:lang w:eastAsia="zh-CN"/>
              </w:rPr>
              <w:t>0日历天；（从投标截止之日算起）</w:t>
            </w:r>
          </w:p>
        </w:tc>
      </w:tr>
      <w:tr w14:paraId="06DF7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0" w:type="auto"/>
            <w:tcBorders>
              <w:left w:val="single" w:color="000000" w:sz="4" w:space="0"/>
            </w:tcBorders>
            <w:vAlign w:val="center"/>
          </w:tcPr>
          <w:p w14:paraId="09DFF8A2">
            <w:pPr>
              <w:pStyle w:val="29"/>
              <w:keepLines w:val="0"/>
              <w:pageBreakBefore w:val="0"/>
              <w:kinsoku/>
              <w:wordWrap/>
              <w:overflowPunct/>
              <w:topLinePunct w:val="0"/>
              <w:bidi w:val="0"/>
              <w:spacing w:before="244" w:line="181" w:lineRule="auto"/>
              <w:jc w:val="center"/>
              <w:rPr>
                <w:rFonts w:hint="eastAsia" w:eastAsia="仿宋"/>
                <w:lang w:eastAsia="zh-CN"/>
              </w:rPr>
            </w:pPr>
            <w:r>
              <w:rPr>
                <w:spacing w:val="-14"/>
              </w:rPr>
              <w:t>1</w:t>
            </w:r>
            <w:r>
              <w:rPr>
                <w:rFonts w:hint="eastAsia"/>
                <w:spacing w:val="-14"/>
                <w:lang w:val="en-US" w:eastAsia="zh-CN"/>
              </w:rPr>
              <w:t>4</w:t>
            </w:r>
          </w:p>
        </w:tc>
        <w:tc>
          <w:tcPr>
            <w:tcW w:w="1485" w:type="dxa"/>
            <w:vAlign w:val="center"/>
          </w:tcPr>
          <w:p w14:paraId="2C7195DB">
            <w:pPr>
              <w:pStyle w:val="29"/>
              <w:keepLines w:val="0"/>
              <w:pageBreakBefore w:val="0"/>
              <w:kinsoku/>
              <w:wordWrap/>
              <w:overflowPunct/>
              <w:topLinePunct w:val="0"/>
              <w:bidi w:val="0"/>
              <w:spacing w:before="204" w:line="222" w:lineRule="auto"/>
              <w:jc w:val="center"/>
            </w:pPr>
            <w:r>
              <w:rPr>
                <w:b/>
                <w:bCs/>
                <w:spacing w:val="-7"/>
              </w:rPr>
              <w:t>采购方式</w:t>
            </w:r>
          </w:p>
        </w:tc>
        <w:tc>
          <w:tcPr>
            <w:tcW w:w="7831" w:type="dxa"/>
            <w:tcBorders>
              <w:right w:val="single" w:color="000000" w:sz="4" w:space="0"/>
            </w:tcBorders>
            <w:vAlign w:val="center"/>
          </w:tcPr>
          <w:p w14:paraId="3D04DA94">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公开招标</w:t>
            </w:r>
          </w:p>
        </w:tc>
      </w:tr>
      <w:tr w14:paraId="1CAE7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0" w:type="auto"/>
            <w:tcBorders>
              <w:left w:val="single" w:color="000000" w:sz="4" w:space="0"/>
            </w:tcBorders>
            <w:vAlign w:val="center"/>
          </w:tcPr>
          <w:p w14:paraId="7A006CFA">
            <w:pPr>
              <w:pStyle w:val="29"/>
              <w:keepLines w:val="0"/>
              <w:pageBreakBefore w:val="0"/>
              <w:kinsoku/>
              <w:wordWrap/>
              <w:overflowPunct/>
              <w:topLinePunct w:val="0"/>
              <w:bidi w:val="0"/>
              <w:spacing w:before="193" w:line="181" w:lineRule="auto"/>
              <w:jc w:val="center"/>
              <w:rPr>
                <w:rFonts w:hint="eastAsia" w:eastAsia="仿宋"/>
                <w:lang w:eastAsia="zh-CN"/>
              </w:rPr>
            </w:pPr>
            <w:r>
              <w:rPr>
                <w:spacing w:val="-14"/>
              </w:rPr>
              <w:t>1</w:t>
            </w:r>
            <w:r>
              <w:rPr>
                <w:rFonts w:hint="eastAsia"/>
                <w:spacing w:val="-14"/>
                <w:lang w:val="en-US" w:eastAsia="zh-CN"/>
              </w:rPr>
              <w:t>5</w:t>
            </w:r>
          </w:p>
        </w:tc>
        <w:tc>
          <w:tcPr>
            <w:tcW w:w="1485" w:type="dxa"/>
            <w:vAlign w:val="center"/>
          </w:tcPr>
          <w:p w14:paraId="41CD6FC2">
            <w:pPr>
              <w:pStyle w:val="29"/>
              <w:keepLines w:val="0"/>
              <w:pageBreakBefore w:val="0"/>
              <w:kinsoku/>
              <w:wordWrap/>
              <w:overflowPunct/>
              <w:topLinePunct w:val="0"/>
              <w:bidi w:val="0"/>
              <w:spacing w:before="177" w:line="222" w:lineRule="auto"/>
              <w:jc w:val="center"/>
            </w:pPr>
            <w:r>
              <w:rPr>
                <w:b/>
                <w:bCs/>
                <w:spacing w:val="-7"/>
              </w:rPr>
              <w:t>评标办法</w:t>
            </w:r>
          </w:p>
        </w:tc>
        <w:tc>
          <w:tcPr>
            <w:tcW w:w="7831" w:type="dxa"/>
            <w:tcBorders>
              <w:right w:val="single" w:color="000000" w:sz="4" w:space="0"/>
            </w:tcBorders>
            <w:vAlign w:val="center"/>
          </w:tcPr>
          <w:p w14:paraId="362CCF68">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综合评分法</w:t>
            </w:r>
          </w:p>
        </w:tc>
      </w:tr>
      <w:tr w14:paraId="7797F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0" w:type="auto"/>
            <w:tcBorders>
              <w:left w:val="single" w:color="000000" w:sz="4" w:space="0"/>
            </w:tcBorders>
            <w:vAlign w:val="center"/>
          </w:tcPr>
          <w:p w14:paraId="65B02C28">
            <w:pPr>
              <w:pStyle w:val="29"/>
              <w:keepLines w:val="0"/>
              <w:pageBreakBefore w:val="0"/>
              <w:kinsoku/>
              <w:wordWrap/>
              <w:overflowPunct/>
              <w:topLinePunct w:val="0"/>
              <w:bidi w:val="0"/>
              <w:spacing w:before="316" w:line="181" w:lineRule="auto"/>
              <w:jc w:val="center"/>
              <w:rPr>
                <w:rFonts w:hint="eastAsia" w:eastAsia="仿宋"/>
                <w:lang w:eastAsia="zh-CN"/>
              </w:rPr>
            </w:pPr>
            <w:r>
              <w:rPr>
                <w:spacing w:val="-14"/>
              </w:rPr>
              <w:t>1</w:t>
            </w:r>
            <w:r>
              <w:rPr>
                <w:rFonts w:hint="eastAsia"/>
                <w:spacing w:val="-14"/>
                <w:lang w:val="en-US" w:eastAsia="zh-CN"/>
              </w:rPr>
              <w:t>6</w:t>
            </w:r>
          </w:p>
        </w:tc>
        <w:tc>
          <w:tcPr>
            <w:tcW w:w="1485" w:type="dxa"/>
            <w:vAlign w:val="center"/>
          </w:tcPr>
          <w:p w14:paraId="01E35292">
            <w:pPr>
              <w:pStyle w:val="29"/>
              <w:keepLines w:val="0"/>
              <w:pageBreakBefore w:val="0"/>
              <w:kinsoku/>
              <w:wordWrap/>
              <w:overflowPunct/>
              <w:topLinePunct w:val="0"/>
              <w:bidi w:val="0"/>
              <w:spacing w:before="115" w:line="255" w:lineRule="auto"/>
              <w:ind w:right="153"/>
              <w:jc w:val="center"/>
              <w:rPr>
                <w:highlight w:val="none"/>
              </w:rPr>
            </w:pPr>
            <w:r>
              <w:rPr>
                <w:b/>
                <w:bCs/>
                <w:spacing w:val="-5"/>
                <w:highlight w:val="none"/>
              </w:rPr>
              <w:t>评标委员会的组</w:t>
            </w:r>
            <w:r>
              <w:rPr>
                <w:b/>
                <w:bCs/>
                <w:spacing w:val="-3"/>
                <w:highlight w:val="none"/>
              </w:rPr>
              <w:t>建</w:t>
            </w:r>
          </w:p>
        </w:tc>
        <w:tc>
          <w:tcPr>
            <w:tcW w:w="7831" w:type="dxa"/>
            <w:tcBorders>
              <w:right w:val="single" w:color="000000" w:sz="4" w:space="0"/>
            </w:tcBorders>
            <w:shd w:val="clear" w:color="auto" w:fill="auto"/>
            <w:vAlign w:val="center"/>
          </w:tcPr>
          <w:p w14:paraId="436C0129">
            <w:pPr>
              <w:numPr>
                <w:ilvl w:val="0"/>
                <w:numId w:val="1"/>
              </w:numPr>
              <w:autoSpaceDE w:val="0"/>
              <w:autoSpaceDN w:val="0"/>
              <w:adjustRightInd w:val="0"/>
              <w:spacing w:line="360" w:lineRule="auto"/>
              <w:jc w:val="left"/>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评标专家构成：</w:t>
            </w:r>
            <w:r>
              <w:rPr>
                <w:rFonts w:hint="eastAsia" w:ascii="仿宋" w:hAnsi="仿宋" w:eastAsia="仿宋" w:cs="仿宋"/>
                <w:snapToGrid w:val="0"/>
                <w:color w:val="000000"/>
                <w:spacing w:val="-2"/>
                <w:kern w:val="0"/>
                <w:sz w:val="24"/>
                <w:szCs w:val="24"/>
                <w:highlight w:val="none"/>
                <w:u w:val="single"/>
                <w:lang w:val="en-US" w:eastAsia="zh-CN" w:bidi="ar-SA"/>
              </w:rPr>
              <w:t>5 人</w:t>
            </w:r>
            <w:r>
              <w:rPr>
                <w:rFonts w:hint="eastAsia" w:ascii="仿宋" w:hAnsi="仿宋" w:eastAsia="仿宋" w:cs="仿宋"/>
                <w:snapToGrid w:val="0"/>
                <w:color w:val="000000"/>
                <w:spacing w:val="-2"/>
                <w:kern w:val="0"/>
                <w:sz w:val="24"/>
                <w:szCs w:val="24"/>
                <w:highlight w:val="none"/>
                <w:lang w:val="en-US" w:eastAsia="zh-CN" w:bidi="ar-SA"/>
              </w:rPr>
              <w:t>，其中采购人代表</w:t>
            </w:r>
            <w:r>
              <w:rPr>
                <w:rFonts w:hint="eastAsia" w:ascii="仿宋" w:hAnsi="仿宋" w:eastAsia="仿宋" w:cs="仿宋"/>
                <w:snapToGrid w:val="0"/>
                <w:color w:val="000000"/>
                <w:spacing w:val="-2"/>
                <w:kern w:val="0"/>
                <w:sz w:val="24"/>
                <w:szCs w:val="24"/>
                <w:highlight w:val="none"/>
                <w:u w:val="single"/>
                <w:lang w:val="en-US" w:eastAsia="zh-CN" w:bidi="ar-SA"/>
              </w:rPr>
              <w:t xml:space="preserve"> 0 人</w:t>
            </w:r>
            <w:r>
              <w:rPr>
                <w:rFonts w:hint="eastAsia" w:ascii="仿宋" w:hAnsi="仿宋" w:eastAsia="仿宋" w:cs="仿宋"/>
                <w:snapToGrid w:val="0"/>
                <w:color w:val="000000"/>
                <w:spacing w:val="-2"/>
                <w:kern w:val="0"/>
                <w:sz w:val="24"/>
                <w:szCs w:val="24"/>
                <w:highlight w:val="none"/>
                <w:lang w:val="en-US" w:eastAsia="zh-CN" w:bidi="ar-SA"/>
              </w:rPr>
              <w:t>，专家</w:t>
            </w:r>
            <w:r>
              <w:rPr>
                <w:rFonts w:hint="eastAsia" w:ascii="仿宋" w:hAnsi="仿宋" w:eastAsia="仿宋" w:cs="仿宋"/>
                <w:snapToGrid w:val="0"/>
                <w:color w:val="000000"/>
                <w:spacing w:val="-2"/>
                <w:kern w:val="0"/>
                <w:sz w:val="24"/>
                <w:szCs w:val="24"/>
                <w:highlight w:val="none"/>
                <w:u w:val="single"/>
                <w:lang w:val="en-US" w:eastAsia="zh-CN" w:bidi="ar-SA"/>
              </w:rPr>
              <w:t xml:space="preserve"> 5 人</w:t>
            </w:r>
            <w:r>
              <w:rPr>
                <w:rFonts w:hint="eastAsia" w:ascii="仿宋" w:hAnsi="仿宋" w:eastAsia="仿宋" w:cs="仿宋"/>
                <w:snapToGrid w:val="0"/>
                <w:color w:val="000000"/>
                <w:spacing w:val="-2"/>
                <w:kern w:val="0"/>
                <w:sz w:val="24"/>
                <w:szCs w:val="24"/>
                <w:highlight w:val="none"/>
                <w:lang w:val="en-US" w:eastAsia="zh-CN" w:bidi="ar-SA"/>
              </w:rPr>
              <w:t xml:space="preserve">；   </w:t>
            </w:r>
          </w:p>
          <w:p w14:paraId="74DBA232">
            <w:pPr>
              <w:keepNext w:val="0"/>
              <w:keepLines w:val="0"/>
              <w:widowControl/>
              <w:suppressLineNumbers w:val="0"/>
              <w:spacing w:line="360" w:lineRule="auto"/>
              <w:jc w:val="left"/>
              <w:rPr>
                <w:rFonts w:hint="eastAsia" w:ascii="宋体" w:hAnsi="宋体" w:eastAsia="宋体" w:cs="宋体"/>
                <w:snapToGrid w:val="0"/>
                <w:color w:val="auto"/>
                <w:kern w:val="0"/>
                <w:sz w:val="24"/>
                <w:szCs w:val="24"/>
                <w:highlight w:val="none"/>
                <w:lang w:val="zh-CN" w:eastAsia="zh-CN" w:bidi="ar-SA"/>
              </w:rPr>
            </w:pPr>
            <w:r>
              <w:rPr>
                <w:rFonts w:hint="eastAsia" w:ascii="仿宋" w:hAnsi="仿宋" w:eastAsia="仿宋" w:cs="仿宋"/>
                <w:snapToGrid w:val="0"/>
                <w:color w:val="000000"/>
                <w:spacing w:val="-2"/>
                <w:kern w:val="0"/>
                <w:sz w:val="24"/>
                <w:szCs w:val="24"/>
                <w:highlight w:val="none"/>
                <w:lang w:val="en-US" w:eastAsia="zh-CN" w:bidi="ar-SA"/>
              </w:rPr>
              <w:t>（2）评标专家确定方式：由招标代理在开标前48小时在政府采购云平台上随机抽取专家。</w:t>
            </w:r>
          </w:p>
        </w:tc>
      </w:tr>
      <w:tr w14:paraId="51401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54A5485A">
            <w:pPr>
              <w:pStyle w:val="29"/>
              <w:keepLines w:val="0"/>
              <w:pageBreakBefore w:val="0"/>
              <w:kinsoku/>
              <w:wordWrap/>
              <w:overflowPunct/>
              <w:topLinePunct w:val="0"/>
              <w:bidi w:val="0"/>
              <w:spacing w:before="78" w:line="181" w:lineRule="auto"/>
              <w:jc w:val="center"/>
              <w:rPr>
                <w:rFonts w:hint="eastAsia" w:eastAsia="仿宋"/>
                <w:lang w:eastAsia="zh-CN"/>
              </w:rPr>
            </w:pPr>
            <w:r>
              <w:rPr>
                <w:spacing w:val="-14"/>
              </w:rPr>
              <w:t>1</w:t>
            </w:r>
            <w:r>
              <w:rPr>
                <w:rFonts w:hint="eastAsia"/>
                <w:spacing w:val="-14"/>
                <w:lang w:val="en-US" w:eastAsia="zh-CN"/>
              </w:rPr>
              <w:t>7</w:t>
            </w:r>
          </w:p>
        </w:tc>
        <w:tc>
          <w:tcPr>
            <w:tcW w:w="1485" w:type="dxa"/>
            <w:vAlign w:val="center"/>
          </w:tcPr>
          <w:p w14:paraId="0D41351A">
            <w:pPr>
              <w:pStyle w:val="29"/>
              <w:keepLines w:val="0"/>
              <w:pageBreakBefore w:val="0"/>
              <w:kinsoku/>
              <w:wordWrap/>
              <w:overflowPunct/>
              <w:topLinePunct w:val="0"/>
              <w:bidi w:val="0"/>
              <w:spacing w:before="68" w:line="222" w:lineRule="auto"/>
              <w:jc w:val="center"/>
              <w:rPr>
                <w:rFonts w:hint="eastAsia" w:eastAsia="仿宋"/>
                <w:lang w:eastAsia="zh-CN"/>
              </w:rPr>
            </w:pPr>
            <w:r>
              <w:rPr>
                <w:b/>
                <w:bCs/>
                <w:spacing w:val="-5"/>
              </w:rPr>
              <w:t>是否授权评标委</w:t>
            </w:r>
            <w:r>
              <w:rPr>
                <w:b/>
                <w:bCs/>
                <w:spacing w:val="-7"/>
              </w:rPr>
              <w:t>员会确定中标</w:t>
            </w:r>
            <w:r>
              <w:rPr>
                <w:rFonts w:hint="eastAsia"/>
                <w:b/>
                <w:bCs/>
                <w:spacing w:val="-7"/>
                <w:lang w:eastAsia="zh-CN"/>
              </w:rPr>
              <w:t>投标人</w:t>
            </w:r>
          </w:p>
        </w:tc>
        <w:tc>
          <w:tcPr>
            <w:tcW w:w="7831" w:type="dxa"/>
            <w:tcBorders>
              <w:right w:val="single" w:color="000000" w:sz="4" w:space="0"/>
            </w:tcBorders>
            <w:vAlign w:val="center"/>
          </w:tcPr>
          <w:p w14:paraId="2E8F003E">
            <w:pPr>
              <w:pStyle w:val="29"/>
              <w:keepLines w:val="0"/>
              <w:pageBreakBefore w:val="0"/>
              <w:kinsoku/>
              <w:wordWrap/>
              <w:overflowPunct/>
              <w:topLinePunct w:val="0"/>
              <w:bidi w:val="0"/>
              <w:spacing w:before="250" w:line="226" w:lineRule="auto"/>
              <w:ind w:left="136"/>
              <w:jc w:val="both"/>
            </w:pPr>
            <w:r>
              <w:rPr>
                <w:rFonts w:hint="eastAsia"/>
                <w:spacing w:val="-17"/>
                <w:lang w:eastAsia="zh-CN"/>
              </w:rPr>
              <w:t>□</w:t>
            </w:r>
            <w:r>
              <w:rPr>
                <w:spacing w:val="-17"/>
              </w:rPr>
              <w:t>是</w:t>
            </w:r>
          </w:p>
          <w:p w14:paraId="70121EF0">
            <w:pPr>
              <w:pStyle w:val="29"/>
              <w:keepLines w:val="0"/>
              <w:pageBreakBefore w:val="0"/>
              <w:kinsoku/>
              <w:wordWrap/>
              <w:overflowPunct/>
              <w:topLinePunct w:val="0"/>
              <w:bidi w:val="0"/>
              <w:spacing w:before="72" w:line="222" w:lineRule="auto"/>
              <w:ind w:left="121"/>
              <w:jc w:val="both"/>
            </w:pPr>
            <w:r>
              <w:rPr>
                <w:rFonts w:hint="eastAsia" w:ascii="MS UI Gothic" w:hAnsi="MS UI Gothic" w:eastAsia="宋体" w:cs="MS UI Gothic"/>
                <w:lang w:eastAsia="zh-CN"/>
              </w:rPr>
              <w:t>☑</w:t>
            </w:r>
            <w:r>
              <w:t>否，推荐的成交候选人数：3人</w:t>
            </w:r>
          </w:p>
        </w:tc>
      </w:tr>
      <w:tr w14:paraId="37B94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0" w:type="auto"/>
            <w:tcBorders>
              <w:left w:val="single" w:color="000000" w:sz="4" w:space="0"/>
            </w:tcBorders>
            <w:vAlign w:val="center"/>
          </w:tcPr>
          <w:p w14:paraId="1932C0BD">
            <w:pPr>
              <w:pStyle w:val="29"/>
              <w:keepLines w:val="0"/>
              <w:pageBreakBefore w:val="0"/>
              <w:kinsoku/>
              <w:wordWrap/>
              <w:overflowPunct/>
              <w:topLinePunct w:val="0"/>
              <w:bidi w:val="0"/>
              <w:spacing w:before="78" w:line="181" w:lineRule="auto"/>
              <w:jc w:val="center"/>
              <w:rPr>
                <w:rFonts w:hint="eastAsia" w:eastAsia="仿宋"/>
                <w:lang w:eastAsia="zh-CN"/>
              </w:rPr>
            </w:pPr>
            <w:r>
              <w:rPr>
                <w:spacing w:val="-14"/>
              </w:rPr>
              <w:t>1</w:t>
            </w:r>
            <w:r>
              <w:rPr>
                <w:rFonts w:hint="eastAsia"/>
                <w:spacing w:val="-14"/>
                <w:lang w:val="en-US" w:eastAsia="zh-CN"/>
              </w:rPr>
              <w:t>8</w:t>
            </w:r>
          </w:p>
        </w:tc>
        <w:tc>
          <w:tcPr>
            <w:tcW w:w="1485" w:type="dxa"/>
            <w:vAlign w:val="center"/>
          </w:tcPr>
          <w:p w14:paraId="22D28C3E">
            <w:pPr>
              <w:pStyle w:val="29"/>
              <w:keepLines w:val="0"/>
              <w:pageBreakBefore w:val="0"/>
              <w:kinsoku/>
              <w:wordWrap/>
              <w:overflowPunct/>
              <w:topLinePunct w:val="0"/>
              <w:bidi w:val="0"/>
              <w:spacing w:before="78" w:line="253" w:lineRule="auto"/>
              <w:ind w:right="153"/>
              <w:jc w:val="center"/>
            </w:pPr>
            <w:r>
              <w:rPr>
                <w:b/>
                <w:bCs/>
                <w:spacing w:val="-4"/>
              </w:rPr>
              <w:t>现场踏勘、标前</w:t>
            </w:r>
            <w:r>
              <w:t xml:space="preserve"> </w:t>
            </w:r>
            <w:r>
              <w:rPr>
                <w:b/>
                <w:bCs/>
                <w:spacing w:val="-8"/>
              </w:rPr>
              <w:t>答疑会</w:t>
            </w:r>
          </w:p>
        </w:tc>
        <w:tc>
          <w:tcPr>
            <w:tcW w:w="7831" w:type="dxa"/>
            <w:tcBorders>
              <w:right w:val="single" w:color="000000" w:sz="4" w:space="0"/>
            </w:tcBorders>
            <w:vAlign w:val="center"/>
          </w:tcPr>
          <w:p w14:paraId="620928F8">
            <w:pPr>
              <w:pStyle w:val="29"/>
              <w:keepLines w:val="0"/>
              <w:pageBreakBefore w:val="0"/>
              <w:kinsoku/>
              <w:wordWrap/>
              <w:overflowPunct/>
              <w:topLinePunct w:val="0"/>
              <w:bidi w:val="0"/>
              <w:spacing w:before="78" w:line="223" w:lineRule="auto"/>
              <w:ind w:left="120"/>
              <w:jc w:val="both"/>
              <w:rPr>
                <w:rFonts w:hint="eastAsia"/>
                <w:lang w:val="zh-CN"/>
              </w:rPr>
            </w:pPr>
            <w:r>
              <w:rPr>
                <w:rFonts w:hint="eastAsia"/>
                <w:lang w:val="zh-CN"/>
              </w:rPr>
              <w:t>☑不组织，自行踏勘</w:t>
            </w:r>
          </w:p>
          <w:p w14:paraId="5A189CE4">
            <w:pPr>
              <w:pStyle w:val="29"/>
              <w:keepLines w:val="0"/>
              <w:pageBreakBefore w:val="0"/>
              <w:kinsoku/>
              <w:wordWrap/>
              <w:overflowPunct/>
              <w:topLinePunct w:val="0"/>
              <w:bidi w:val="0"/>
              <w:spacing w:before="78" w:line="223" w:lineRule="auto"/>
              <w:ind w:left="120"/>
              <w:jc w:val="both"/>
            </w:pPr>
            <w:r>
              <w:rPr>
                <w:rFonts w:hint="eastAsia"/>
                <w:lang w:val="zh-CN"/>
              </w:rPr>
              <w:t>□ 组织踏勘</w:t>
            </w:r>
          </w:p>
        </w:tc>
      </w:tr>
      <w:tr w14:paraId="6A2B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77442D33">
            <w:pPr>
              <w:pStyle w:val="29"/>
              <w:keepLines w:val="0"/>
              <w:pageBreakBefore w:val="0"/>
              <w:kinsoku/>
              <w:wordWrap/>
              <w:overflowPunct/>
              <w:topLinePunct w:val="0"/>
              <w:bidi w:val="0"/>
              <w:spacing w:before="78" w:line="181" w:lineRule="auto"/>
              <w:jc w:val="center"/>
              <w:rPr>
                <w:rFonts w:hint="eastAsia" w:eastAsia="仿宋"/>
                <w:lang w:eastAsia="zh-CN"/>
              </w:rPr>
            </w:pPr>
            <w:r>
              <w:rPr>
                <w:spacing w:val="-14"/>
              </w:rPr>
              <w:t>1</w:t>
            </w:r>
            <w:r>
              <w:rPr>
                <w:rFonts w:hint="eastAsia"/>
                <w:spacing w:val="-14"/>
                <w:lang w:val="en-US" w:eastAsia="zh-CN"/>
              </w:rPr>
              <w:t>9</w:t>
            </w:r>
          </w:p>
        </w:tc>
        <w:tc>
          <w:tcPr>
            <w:tcW w:w="1485" w:type="dxa"/>
            <w:vAlign w:val="center"/>
          </w:tcPr>
          <w:p w14:paraId="639298DB">
            <w:pPr>
              <w:pStyle w:val="29"/>
              <w:keepLines w:val="0"/>
              <w:pageBreakBefore w:val="0"/>
              <w:kinsoku/>
              <w:wordWrap/>
              <w:overflowPunct/>
              <w:topLinePunct w:val="0"/>
              <w:bidi w:val="0"/>
              <w:spacing w:before="73" w:line="222" w:lineRule="auto"/>
              <w:jc w:val="center"/>
            </w:pPr>
            <w:r>
              <w:rPr>
                <w:rFonts w:hint="eastAsia"/>
                <w:b/>
                <w:bCs/>
                <w:spacing w:val="-4"/>
                <w:lang w:eastAsia="zh-CN"/>
              </w:rPr>
              <w:t>投标人</w:t>
            </w:r>
            <w:r>
              <w:rPr>
                <w:b/>
                <w:bCs/>
                <w:spacing w:val="-4"/>
              </w:rPr>
              <w:t>对招标文件提出质疑</w:t>
            </w:r>
            <w:r>
              <w:rPr>
                <w:b/>
                <w:bCs/>
                <w:spacing w:val="-12"/>
              </w:rPr>
              <w:t>的时间</w:t>
            </w:r>
          </w:p>
        </w:tc>
        <w:tc>
          <w:tcPr>
            <w:tcW w:w="7831" w:type="dxa"/>
            <w:tcBorders>
              <w:right w:val="single" w:color="000000" w:sz="4" w:space="0"/>
            </w:tcBorders>
            <w:vAlign w:val="center"/>
          </w:tcPr>
          <w:p w14:paraId="5C85DD91">
            <w:pPr>
              <w:pStyle w:val="29"/>
              <w:keepLines w:val="0"/>
              <w:pageBreakBefore w:val="0"/>
              <w:kinsoku/>
              <w:wordWrap/>
              <w:overflowPunct/>
              <w:topLinePunct w:val="0"/>
              <w:bidi w:val="0"/>
              <w:spacing w:before="256" w:line="360" w:lineRule="auto"/>
              <w:ind w:left="120" w:right="43" w:hanging="2"/>
              <w:jc w:val="both"/>
            </w:pPr>
            <w:r>
              <w:rPr>
                <w:rFonts w:hint="eastAsia"/>
                <w:spacing w:val="-2"/>
                <w:lang w:val="en-US" w:eastAsia="zh-CN"/>
              </w:rPr>
              <w:t>潜在</w:t>
            </w:r>
            <w:r>
              <w:rPr>
                <w:rFonts w:hint="eastAsia"/>
                <w:spacing w:val="-2"/>
                <w:lang w:eastAsia="zh-CN"/>
              </w:rPr>
              <w:t>投标人</w:t>
            </w:r>
            <w:r>
              <w:rPr>
                <w:rFonts w:hint="eastAsia"/>
                <w:spacing w:val="-2"/>
                <w:lang w:val="en-US" w:eastAsia="zh-CN"/>
              </w:rPr>
              <w:t>已依法获取其可质疑的招标文件的，可以对该文件提出质疑。对招标文件提出质疑的，应当在获取招标文件之日起7个工作日内提出。</w:t>
            </w:r>
          </w:p>
        </w:tc>
      </w:tr>
      <w:tr w14:paraId="4A521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0" w:type="auto"/>
            <w:tcBorders>
              <w:left w:val="single" w:color="000000" w:sz="4" w:space="0"/>
            </w:tcBorders>
            <w:vAlign w:val="center"/>
          </w:tcPr>
          <w:p w14:paraId="32B12C26">
            <w:pPr>
              <w:pStyle w:val="29"/>
              <w:keepLines w:val="0"/>
              <w:pageBreakBefore w:val="0"/>
              <w:kinsoku/>
              <w:wordWrap/>
              <w:overflowPunct/>
              <w:topLinePunct w:val="0"/>
              <w:bidi w:val="0"/>
              <w:spacing w:before="291" w:line="181" w:lineRule="auto"/>
              <w:jc w:val="center"/>
              <w:rPr>
                <w:rFonts w:hint="default" w:eastAsia="仿宋"/>
                <w:lang w:val="en-US" w:eastAsia="zh-CN"/>
              </w:rPr>
            </w:pPr>
            <w:r>
              <w:rPr>
                <w:rFonts w:hint="eastAsia"/>
                <w:spacing w:val="-14"/>
                <w:lang w:val="en-US" w:eastAsia="zh-CN"/>
              </w:rPr>
              <w:t>20</w:t>
            </w:r>
          </w:p>
        </w:tc>
        <w:tc>
          <w:tcPr>
            <w:tcW w:w="1485" w:type="dxa"/>
            <w:vAlign w:val="center"/>
          </w:tcPr>
          <w:p w14:paraId="6D183DBC">
            <w:pPr>
              <w:pStyle w:val="29"/>
              <w:keepLines w:val="0"/>
              <w:pageBreakBefore w:val="0"/>
              <w:kinsoku/>
              <w:wordWrap/>
              <w:overflowPunct/>
              <w:topLinePunct w:val="0"/>
              <w:bidi w:val="0"/>
              <w:spacing w:before="90" w:line="252" w:lineRule="auto"/>
              <w:ind w:right="153"/>
              <w:jc w:val="center"/>
            </w:pPr>
            <w:r>
              <w:rPr>
                <w:b/>
                <w:bCs/>
                <w:spacing w:val="-4"/>
              </w:rPr>
              <w:t>构成招标文件的</w:t>
            </w:r>
            <w:r>
              <w:rPr>
                <w:b/>
                <w:bCs/>
                <w:spacing w:val="-7"/>
              </w:rPr>
              <w:t>其他文件</w:t>
            </w:r>
          </w:p>
        </w:tc>
        <w:tc>
          <w:tcPr>
            <w:tcW w:w="7831" w:type="dxa"/>
            <w:tcBorders>
              <w:right w:val="single" w:color="000000" w:sz="4" w:space="0"/>
            </w:tcBorders>
            <w:vAlign w:val="center"/>
          </w:tcPr>
          <w:p w14:paraId="1A7503DB">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招标文件的澄清、修改及有关补充通知为招标文件的有效组成部分。</w:t>
            </w:r>
          </w:p>
        </w:tc>
      </w:tr>
      <w:tr w14:paraId="31676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0" w:type="auto"/>
            <w:tcBorders>
              <w:left w:val="single" w:color="000000" w:sz="4" w:space="0"/>
              <w:bottom w:val="single" w:color="000000" w:sz="4" w:space="0"/>
            </w:tcBorders>
            <w:vAlign w:val="center"/>
          </w:tcPr>
          <w:p w14:paraId="4278E818">
            <w:pPr>
              <w:pStyle w:val="29"/>
              <w:keepLines w:val="0"/>
              <w:pageBreakBefore w:val="0"/>
              <w:kinsoku/>
              <w:wordWrap/>
              <w:overflowPunct/>
              <w:topLinePunct w:val="0"/>
              <w:bidi w:val="0"/>
              <w:spacing w:before="175" w:line="180" w:lineRule="auto"/>
              <w:jc w:val="center"/>
              <w:rPr>
                <w:rFonts w:hint="eastAsia" w:eastAsia="仿宋"/>
                <w:lang w:eastAsia="zh-CN"/>
              </w:rPr>
            </w:pPr>
            <w:r>
              <w:rPr>
                <w:spacing w:val="-6"/>
              </w:rPr>
              <w:t>2</w:t>
            </w:r>
            <w:r>
              <w:rPr>
                <w:rFonts w:hint="eastAsia"/>
                <w:spacing w:val="-6"/>
                <w:lang w:val="en-US" w:eastAsia="zh-CN"/>
              </w:rPr>
              <w:t>1</w:t>
            </w:r>
          </w:p>
        </w:tc>
        <w:tc>
          <w:tcPr>
            <w:tcW w:w="1485" w:type="dxa"/>
            <w:tcBorders>
              <w:bottom w:val="single" w:color="000000" w:sz="4" w:space="0"/>
            </w:tcBorders>
            <w:vAlign w:val="center"/>
          </w:tcPr>
          <w:p w14:paraId="60A065CC">
            <w:pPr>
              <w:pStyle w:val="29"/>
              <w:keepLines w:val="0"/>
              <w:pageBreakBefore w:val="0"/>
              <w:kinsoku/>
              <w:wordWrap/>
              <w:overflowPunct/>
              <w:topLinePunct w:val="0"/>
              <w:bidi w:val="0"/>
              <w:spacing w:before="157" w:line="219" w:lineRule="auto"/>
              <w:jc w:val="center"/>
            </w:pPr>
            <w:r>
              <w:rPr>
                <w:b/>
                <w:bCs/>
                <w:spacing w:val="-5"/>
              </w:rPr>
              <w:t>分包（转让）</w:t>
            </w:r>
          </w:p>
        </w:tc>
        <w:tc>
          <w:tcPr>
            <w:tcW w:w="7831" w:type="dxa"/>
            <w:tcBorders>
              <w:bottom w:val="single" w:color="000000" w:sz="4" w:space="0"/>
              <w:right w:val="single" w:color="000000" w:sz="4" w:space="0"/>
            </w:tcBorders>
            <w:vAlign w:val="center"/>
          </w:tcPr>
          <w:p w14:paraId="2C29530A">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不允许。</w:t>
            </w:r>
          </w:p>
        </w:tc>
      </w:tr>
      <w:tr w14:paraId="355EB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0" w:type="auto"/>
            <w:tcBorders>
              <w:top w:val="single" w:color="000000" w:sz="4" w:space="0"/>
              <w:left w:val="single" w:color="000000" w:sz="4" w:space="0"/>
            </w:tcBorders>
            <w:vAlign w:val="center"/>
          </w:tcPr>
          <w:p w14:paraId="1E11C358">
            <w:pPr>
              <w:pStyle w:val="29"/>
              <w:keepLines w:val="0"/>
              <w:pageBreakBefore w:val="0"/>
              <w:kinsoku/>
              <w:wordWrap/>
              <w:overflowPunct/>
              <w:topLinePunct w:val="0"/>
              <w:bidi w:val="0"/>
              <w:spacing w:before="216" w:line="181" w:lineRule="auto"/>
              <w:jc w:val="center"/>
              <w:rPr>
                <w:rFonts w:hint="eastAsia" w:eastAsia="仿宋"/>
                <w:lang w:eastAsia="zh-CN"/>
              </w:rPr>
            </w:pPr>
            <w:r>
              <w:rPr>
                <w:spacing w:val="-6"/>
              </w:rPr>
              <w:t>2</w:t>
            </w:r>
            <w:r>
              <w:rPr>
                <w:rFonts w:hint="eastAsia"/>
                <w:spacing w:val="-6"/>
                <w:lang w:val="en-US" w:eastAsia="zh-CN"/>
              </w:rPr>
              <w:t>2</w:t>
            </w:r>
          </w:p>
        </w:tc>
        <w:tc>
          <w:tcPr>
            <w:tcW w:w="1485" w:type="dxa"/>
            <w:tcBorders>
              <w:top w:val="single" w:color="000000" w:sz="4" w:space="0"/>
            </w:tcBorders>
            <w:vAlign w:val="center"/>
          </w:tcPr>
          <w:p w14:paraId="0A2D3F76">
            <w:pPr>
              <w:pStyle w:val="29"/>
              <w:keepLines w:val="0"/>
              <w:pageBreakBefore w:val="0"/>
              <w:kinsoku/>
              <w:wordWrap/>
              <w:overflowPunct/>
              <w:topLinePunct w:val="0"/>
              <w:bidi w:val="0"/>
              <w:spacing w:before="200" w:line="222" w:lineRule="auto"/>
              <w:jc w:val="center"/>
            </w:pPr>
            <w:r>
              <w:rPr>
                <w:b/>
                <w:bCs/>
                <w:spacing w:val="-6"/>
              </w:rPr>
              <w:t>联合投标</w:t>
            </w:r>
          </w:p>
        </w:tc>
        <w:tc>
          <w:tcPr>
            <w:tcW w:w="7831" w:type="dxa"/>
            <w:tcBorders>
              <w:top w:val="single" w:color="000000" w:sz="4" w:space="0"/>
              <w:right w:val="single" w:color="000000" w:sz="4" w:space="0"/>
            </w:tcBorders>
            <w:vAlign w:val="center"/>
          </w:tcPr>
          <w:p w14:paraId="729D8F21">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本项目不接受联合体投标。</w:t>
            </w:r>
          </w:p>
        </w:tc>
      </w:tr>
      <w:tr w14:paraId="5B16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0" w:type="auto"/>
            <w:tcBorders>
              <w:left w:val="single" w:color="000000" w:sz="4" w:space="0"/>
            </w:tcBorders>
            <w:vAlign w:val="center"/>
          </w:tcPr>
          <w:p w14:paraId="24596F4A">
            <w:pPr>
              <w:pStyle w:val="29"/>
              <w:keepLines w:val="0"/>
              <w:pageBreakBefore w:val="0"/>
              <w:kinsoku/>
              <w:wordWrap/>
              <w:overflowPunct/>
              <w:topLinePunct w:val="0"/>
              <w:bidi w:val="0"/>
              <w:spacing w:before="255" w:line="180" w:lineRule="auto"/>
              <w:jc w:val="center"/>
              <w:rPr>
                <w:rFonts w:hint="eastAsia" w:eastAsia="仿宋"/>
                <w:lang w:eastAsia="zh-CN"/>
              </w:rPr>
            </w:pPr>
            <w:r>
              <w:rPr>
                <w:spacing w:val="-6"/>
              </w:rPr>
              <w:t>2</w:t>
            </w:r>
            <w:r>
              <w:rPr>
                <w:rFonts w:hint="eastAsia"/>
                <w:spacing w:val="-6"/>
                <w:lang w:val="en-US" w:eastAsia="zh-CN"/>
              </w:rPr>
              <w:t>3</w:t>
            </w:r>
          </w:p>
        </w:tc>
        <w:tc>
          <w:tcPr>
            <w:tcW w:w="1485" w:type="dxa"/>
            <w:vAlign w:val="center"/>
          </w:tcPr>
          <w:p w14:paraId="5A62B44F">
            <w:pPr>
              <w:pStyle w:val="29"/>
              <w:keepLines w:val="0"/>
              <w:pageBreakBefore w:val="0"/>
              <w:kinsoku/>
              <w:wordWrap/>
              <w:overflowPunct/>
              <w:topLinePunct w:val="0"/>
              <w:bidi w:val="0"/>
              <w:spacing w:before="35" w:line="249" w:lineRule="auto"/>
              <w:ind w:right="153"/>
              <w:jc w:val="center"/>
            </w:pPr>
            <w:r>
              <w:rPr>
                <w:b/>
                <w:bCs/>
                <w:spacing w:val="-5"/>
              </w:rPr>
              <w:t>是否退还投标文</w:t>
            </w:r>
            <w:r>
              <w:rPr>
                <w:b/>
                <w:bCs/>
                <w:spacing w:val="-3"/>
              </w:rPr>
              <w:t>件</w:t>
            </w:r>
          </w:p>
        </w:tc>
        <w:tc>
          <w:tcPr>
            <w:tcW w:w="7831" w:type="dxa"/>
            <w:tcBorders>
              <w:right w:val="single" w:color="000000" w:sz="4" w:space="0"/>
            </w:tcBorders>
            <w:vAlign w:val="center"/>
          </w:tcPr>
          <w:p w14:paraId="39483CF0">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否</w:t>
            </w:r>
          </w:p>
        </w:tc>
      </w:tr>
      <w:tr w14:paraId="09ED5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0" w:type="auto"/>
            <w:tcBorders>
              <w:left w:val="single" w:color="000000" w:sz="4" w:space="0"/>
            </w:tcBorders>
            <w:vAlign w:val="center"/>
          </w:tcPr>
          <w:p w14:paraId="766E48BF">
            <w:pPr>
              <w:pStyle w:val="29"/>
              <w:keepLines w:val="0"/>
              <w:pageBreakBefore w:val="0"/>
              <w:kinsoku/>
              <w:wordWrap/>
              <w:overflowPunct/>
              <w:topLinePunct w:val="0"/>
              <w:bidi w:val="0"/>
              <w:spacing w:before="78" w:line="180" w:lineRule="auto"/>
              <w:jc w:val="center"/>
              <w:rPr>
                <w:rFonts w:hint="eastAsia" w:eastAsia="仿宋"/>
                <w:lang w:eastAsia="zh-CN"/>
              </w:rPr>
            </w:pPr>
            <w:r>
              <w:rPr>
                <w:spacing w:val="-6"/>
              </w:rPr>
              <w:t>2</w:t>
            </w:r>
            <w:r>
              <w:rPr>
                <w:rFonts w:hint="eastAsia"/>
                <w:spacing w:val="-6"/>
                <w:lang w:val="en-US" w:eastAsia="zh-CN"/>
              </w:rPr>
              <w:t>4</w:t>
            </w:r>
          </w:p>
        </w:tc>
        <w:tc>
          <w:tcPr>
            <w:tcW w:w="1485" w:type="dxa"/>
            <w:vAlign w:val="center"/>
          </w:tcPr>
          <w:p w14:paraId="1CF060EC">
            <w:pPr>
              <w:pStyle w:val="29"/>
              <w:keepLines w:val="0"/>
              <w:pageBreakBefore w:val="0"/>
              <w:kinsoku/>
              <w:wordWrap/>
              <w:overflowPunct/>
              <w:topLinePunct w:val="0"/>
              <w:bidi w:val="0"/>
              <w:spacing w:before="289" w:line="221" w:lineRule="auto"/>
              <w:jc w:val="left"/>
            </w:pPr>
            <w:r>
              <w:rPr>
                <w:b/>
                <w:bCs/>
                <w:spacing w:val="-5"/>
              </w:rPr>
              <w:t>投标保证金</w:t>
            </w:r>
          </w:p>
        </w:tc>
        <w:tc>
          <w:tcPr>
            <w:tcW w:w="7831" w:type="dxa"/>
            <w:tcBorders>
              <w:right w:val="single" w:color="000000" w:sz="4" w:space="0"/>
            </w:tcBorders>
            <w:vAlign w:val="center"/>
          </w:tcPr>
          <w:p w14:paraId="1C98B64D">
            <w:pPr>
              <w:pStyle w:val="29"/>
              <w:keepLines w:val="0"/>
              <w:pageBreakBefore w:val="0"/>
              <w:kinsoku/>
              <w:wordWrap/>
              <w:overflowPunct/>
              <w:topLinePunct w:val="0"/>
              <w:bidi w:val="0"/>
              <w:spacing w:before="289" w:line="221" w:lineRule="auto"/>
              <w:jc w:val="left"/>
            </w:pPr>
            <w:r>
              <w:rPr>
                <w:rFonts w:hint="eastAsia"/>
              </w:rPr>
              <w:t>本项目无须缴纳</w:t>
            </w:r>
            <w:r>
              <w:rPr>
                <w:rFonts w:hint="eastAsia"/>
                <w:lang w:eastAsia="zh-CN"/>
              </w:rPr>
              <w:t>投标</w:t>
            </w:r>
            <w:r>
              <w:rPr>
                <w:rFonts w:hint="eastAsia"/>
              </w:rPr>
              <w:t>保证金</w:t>
            </w:r>
          </w:p>
        </w:tc>
      </w:tr>
      <w:tr w14:paraId="17C1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0" w:type="auto"/>
            <w:tcBorders>
              <w:left w:val="single" w:color="000000" w:sz="4" w:space="0"/>
            </w:tcBorders>
            <w:vAlign w:val="center"/>
          </w:tcPr>
          <w:p w14:paraId="341C9B71">
            <w:pPr>
              <w:pStyle w:val="29"/>
              <w:keepLines w:val="0"/>
              <w:pageBreakBefore w:val="0"/>
              <w:kinsoku/>
              <w:wordWrap/>
              <w:overflowPunct/>
              <w:topLinePunct w:val="0"/>
              <w:bidi w:val="0"/>
              <w:spacing w:before="78" w:line="180" w:lineRule="auto"/>
              <w:jc w:val="center"/>
              <w:rPr>
                <w:rFonts w:hint="eastAsia" w:eastAsia="仿宋"/>
                <w:lang w:val="en-US" w:eastAsia="zh-CN"/>
              </w:rPr>
            </w:pPr>
            <w:r>
              <w:rPr>
                <w:spacing w:val="-6"/>
              </w:rPr>
              <w:t>2</w:t>
            </w:r>
            <w:r>
              <w:rPr>
                <w:rFonts w:hint="eastAsia"/>
                <w:spacing w:val="-6"/>
                <w:lang w:val="en-US" w:eastAsia="zh-CN"/>
              </w:rPr>
              <w:t>5</w:t>
            </w:r>
          </w:p>
        </w:tc>
        <w:tc>
          <w:tcPr>
            <w:tcW w:w="1485" w:type="dxa"/>
            <w:vAlign w:val="center"/>
          </w:tcPr>
          <w:p w14:paraId="08A22304">
            <w:pPr>
              <w:pStyle w:val="29"/>
              <w:keepLines w:val="0"/>
              <w:pageBreakBefore w:val="0"/>
              <w:kinsoku/>
              <w:wordWrap/>
              <w:overflowPunct/>
              <w:topLinePunct w:val="0"/>
              <w:bidi w:val="0"/>
              <w:spacing w:before="252" w:line="265" w:lineRule="auto"/>
              <w:ind w:right="153"/>
              <w:jc w:val="center"/>
            </w:pPr>
            <w:r>
              <w:rPr>
                <w:b/>
                <w:bCs/>
                <w:spacing w:val="-5"/>
              </w:rPr>
              <w:t>《投标文件》的</w:t>
            </w:r>
            <w:r>
              <w:rPr>
                <w:b/>
                <w:bCs/>
                <w:spacing w:val="-7"/>
              </w:rPr>
              <w:t>编制要求</w:t>
            </w:r>
          </w:p>
        </w:tc>
        <w:tc>
          <w:tcPr>
            <w:tcW w:w="7831" w:type="dxa"/>
            <w:tcBorders>
              <w:right w:val="single" w:color="000000" w:sz="4" w:space="0"/>
            </w:tcBorders>
            <w:vAlign w:val="center"/>
          </w:tcPr>
          <w:p w14:paraId="3C454921">
            <w:pPr>
              <w:pStyle w:val="29"/>
              <w:keepLines w:val="0"/>
              <w:pageBreakBefore w:val="0"/>
              <w:kinsoku/>
              <w:wordWrap/>
              <w:overflowPunct/>
              <w:topLinePunct w:val="0"/>
              <w:bidi w:val="0"/>
              <w:spacing w:before="38" w:line="238" w:lineRule="auto"/>
              <w:ind w:right="119"/>
              <w:jc w:val="both"/>
              <w:rPr>
                <w:rFonts w:hint="eastAsia" w:eastAsia="仿宋"/>
                <w:lang w:eastAsia="zh-CN"/>
              </w:rPr>
            </w:pPr>
            <w:r>
              <w:rPr>
                <w:spacing w:val="3"/>
              </w:rPr>
              <w:t>具体详见</w:t>
            </w:r>
            <w:r>
              <w:rPr>
                <w:rFonts w:hint="eastAsia"/>
                <w:spacing w:val="3"/>
                <w:lang w:eastAsia="zh-CN"/>
              </w:rPr>
              <w:t>投标人</w:t>
            </w:r>
            <w:r>
              <w:rPr>
                <w:spacing w:val="3"/>
              </w:rPr>
              <w:t>须知投标文件的组成及编制</w:t>
            </w:r>
            <w:r>
              <w:rPr>
                <w:spacing w:val="2"/>
              </w:rPr>
              <w:t>要求</w:t>
            </w:r>
            <w:r>
              <w:rPr>
                <w:rFonts w:hint="eastAsia"/>
                <w:spacing w:val="2"/>
                <w:lang w:eastAsia="zh-CN"/>
              </w:rPr>
              <w:t>。</w:t>
            </w:r>
          </w:p>
        </w:tc>
      </w:tr>
      <w:tr w14:paraId="0035B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7" w:hRule="atLeast"/>
        </w:trPr>
        <w:tc>
          <w:tcPr>
            <w:tcW w:w="0" w:type="auto"/>
            <w:tcBorders>
              <w:left w:val="single" w:color="000000" w:sz="4" w:space="0"/>
            </w:tcBorders>
            <w:vAlign w:val="center"/>
          </w:tcPr>
          <w:p w14:paraId="01C7279F">
            <w:pPr>
              <w:pStyle w:val="29"/>
              <w:keepLines w:val="0"/>
              <w:pageBreakBefore w:val="0"/>
              <w:kinsoku/>
              <w:wordWrap/>
              <w:overflowPunct/>
              <w:topLinePunct w:val="0"/>
              <w:bidi w:val="0"/>
              <w:spacing w:before="78" w:line="180" w:lineRule="auto"/>
              <w:jc w:val="center"/>
              <w:rPr>
                <w:rFonts w:hint="eastAsia" w:eastAsia="仿宋"/>
                <w:lang w:eastAsia="zh-CN"/>
              </w:rPr>
            </w:pPr>
            <w:r>
              <w:rPr>
                <w:spacing w:val="-6"/>
              </w:rPr>
              <w:t>2</w:t>
            </w:r>
            <w:r>
              <w:rPr>
                <w:rFonts w:hint="eastAsia"/>
                <w:spacing w:val="-6"/>
                <w:lang w:val="en-US" w:eastAsia="zh-CN"/>
              </w:rPr>
              <w:t>6</w:t>
            </w:r>
          </w:p>
        </w:tc>
        <w:tc>
          <w:tcPr>
            <w:tcW w:w="1485" w:type="dxa"/>
            <w:vAlign w:val="center"/>
          </w:tcPr>
          <w:p w14:paraId="472CEFD8">
            <w:pPr>
              <w:pStyle w:val="29"/>
              <w:keepLines w:val="0"/>
              <w:pageBreakBefore w:val="0"/>
              <w:kinsoku/>
              <w:wordWrap/>
              <w:overflowPunct/>
              <w:topLinePunct w:val="0"/>
              <w:bidi w:val="0"/>
              <w:spacing w:before="78" w:line="222" w:lineRule="auto"/>
              <w:jc w:val="center"/>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《投标文件》递交份数、时间及地点</w:t>
            </w:r>
          </w:p>
        </w:tc>
        <w:tc>
          <w:tcPr>
            <w:tcW w:w="7831" w:type="dxa"/>
            <w:tcBorders>
              <w:right w:val="single" w:color="000000" w:sz="4" w:space="0"/>
            </w:tcBorders>
            <w:vAlign w:val="center"/>
          </w:tcPr>
          <w:p w14:paraId="28EB2439">
            <w:pPr>
              <w:pStyle w:val="29"/>
              <w:keepLines w:val="0"/>
              <w:pageBreakBefore w:val="0"/>
              <w:kinsoku/>
              <w:wordWrap/>
              <w:overflowPunct/>
              <w:topLinePunct w:val="0"/>
              <w:bidi w:val="0"/>
              <w:spacing w:before="38" w:line="360" w:lineRule="auto"/>
              <w:ind w:right="119"/>
              <w:jc w:val="both"/>
              <w:rPr>
                <w:color w:val="auto"/>
                <w:spacing w:val="3"/>
                <w:lang w:val="en-US" w:eastAsia="en-US"/>
              </w:rPr>
            </w:pPr>
            <w:r>
              <w:rPr>
                <w:rFonts w:ascii="仿宋" w:hAnsi="仿宋" w:eastAsia="仿宋" w:cs="仿宋"/>
                <w:b/>
                <w:bCs/>
                <w:snapToGrid w:val="0"/>
                <w:color w:val="auto"/>
                <w:spacing w:val="-4"/>
                <w:kern w:val="0"/>
                <w:sz w:val="24"/>
                <w:szCs w:val="24"/>
                <w:lang w:val="en-US" w:eastAsia="en-US" w:bidi="ar-SA"/>
              </w:rPr>
              <w:t>1</w:t>
            </w:r>
            <w:r>
              <w:rPr>
                <w:color w:val="auto"/>
                <w:spacing w:val="3"/>
                <w:lang w:val="en-US" w:eastAsia="en-US"/>
              </w:rPr>
              <w:t>.投标文件电子版要求：按照本</w:t>
            </w:r>
            <w:r>
              <w:rPr>
                <w:rFonts w:hint="eastAsia"/>
                <w:color w:val="auto"/>
                <w:spacing w:val="3"/>
                <w:lang w:val="en-US" w:eastAsia="zh-CN"/>
              </w:rPr>
              <w:t>招标文件</w:t>
            </w:r>
            <w:r>
              <w:rPr>
                <w:color w:val="auto"/>
                <w:spacing w:val="3"/>
                <w:lang w:val="en-US" w:eastAsia="en-US"/>
              </w:rPr>
              <w:t>“第六章 投标文件格式”编写（第六章未附格式的，由</w:t>
            </w:r>
            <w:r>
              <w:rPr>
                <w:rFonts w:hint="eastAsia"/>
                <w:color w:val="auto"/>
                <w:spacing w:val="3"/>
                <w:lang w:val="en-US" w:eastAsia="zh-CN"/>
              </w:rPr>
              <w:t>投标人</w:t>
            </w:r>
            <w:r>
              <w:rPr>
                <w:color w:val="auto"/>
                <w:spacing w:val="3"/>
                <w:lang w:val="en-US" w:eastAsia="en-US"/>
              </w:rPr>
              <w:t>自行拟定），不可涂改并在规定加盖公章处加盖电子公章，否则投标文件按无效</w:t>
            </w:r>
            <w:r>
              <w:rPr>
                <w:rFonts w:hint="eastAsia"/>
                <w:color w:val="auto"/>
                <w:spacing w:val="3"/>
                <w:lang w:val="en-US" w:eastAsia="zh-CN"/>
              </w:rPr>
              <w:t>投标</w:t>
            </w:r>
            <w:r>
              <w:rPr>
                <w:color w:val="auto"/>
                <w:spacing w:val="3"/>
                <w:lang w:val="en-US" w:eastAsia="en-US"/>
              </w:rPr>
              <w:t>处理。</w:t>
            </w:r>
          </w:p>
          <w:p w14:paraId="1D49A1A6">
            <w:pPr>
              <w:pStyle w:val="29"/>
              <w:keepLines w:val="0"/>
              <w:pageBreakBefore w:val="0"/>
              <w:kinsoku/>
              <w:wordWrap/>
              <w:overflowPunct/>
              <w:topLinePunct w:val="0"/>
              <w:bidi w:val="0"/>
              <w:spacing w:before="38" w:line="360" w:lineRule="auto"/>
              <w:ind w:right="119"/>
              <w:jc w:val="both"/>
              <w:rPr>
                <w:color w:val="auto"/>
                <w:spacing w:val="3"/>
                <w:lang w:val="en-US" w:eastAsia="en-US"/>
              </w:rPr>
            </w:pPr>
            <w:r>
              <w:rPr>
                <w:color w:val="auto"/>
                <w:spacing w:val="3"/>
                <w:lang w:val="en-US" w:eastAsia="en-US"/>
              </w:rPr>
              <w:t>2.投标文件电子版密封方式：电子投标文件通过平台有效CA加密后在“政采云”平台投送。（操作方式见公告要求“电子投标文件制作与投送教程”）</w:t>
            </w:r>
          </w:p>
          <w:p w14:paraId="6744D51B">
            <w:pPr>
              <w:pStyle w:val="29"/>
              <w:keepLines w:val="0"/>
              <w:pageBreakBefore w:val="0"/>
              <w:kinsoku/>
              <w:wordWrap/>
              <w:overflowPunct/>
              <w:topLinePunct w:val="0"/>
              <w:bidi w:val="0"/>
              <w:spacing w:before="38" w:line="360" w:lineRule="auto"/>
              <w:ind w:right="119"/>
              <w:jc w:val="both"/>
              <w:rPr>
                <w:color w:val="auto"/>
                <w:spacing w:val="3"/>
                <w:lang w:val="en-US" w:eastAsia="en-US"/>
              </w:rPr>
            </w:pPr>
            <w:r>
              <w:rPr>
                <w:color w:val="auto"/>
                <w:spacing w:val="3"/>
                <w:lang w:val="en-US" w:eastAsia="en-US"/>
              </w:rPr>
              <w:t>3.（1）份数：本项目采用电子招投标，开标现场无需提供纸质版投标文件，</w:t>
            </w:r>
            <w:r>
              <w:rPr>
                <w:rFonts w:hint="eastAsia"/>
                <w:color w:val="auto"/>
                <w:spacing w:val="3"/>
                <w:lang w:val="en-US" w:eastAsia="zh-CN"/>
              </w:rPr>
              <w:t>中标候选人</w:t>
            </w:r>
            <w:r>
              <w:rPr>
                <w:color w:val="auto"/>
                <w:spacing w:val="3"/>
                <w:lang w:val="en-US" w:eastAsia="en-US"/>
              </w:rPr>
              <w:t>在中标公示期满后提交</w:t>
            </w:r>
            <w:r>
              <w:rPr>
                <w:rFonts w:hint="eastAsia"/>
                <w:color w:val="auto"/>
                <w:spacing w:val="3"/>
                <w:lang w:val="en-US" w:eastAsia="zh-CN"/>
              </w:rPr>
              <w:t>二</w:t>
            </w:r>
            <w:r>
              <w:rPr>
                <w:color w:val="auto"/>
                <w:spacing w:val="3"/>
                <w:lang w:val="en-US" w:eastAsia="en-US"/>
              </w:rPr>
              <w:t>份纸质版投标文件给代理机构存档。</w:t>
            </w:r>
          </w:p>
          <w:p w14:paraId="2790443A">
            <w:pPr>
              <w:pStyle w:val="29"/>
              <w:keepLines w:val="0"/>
              <w:pageBreakBefore w:val="0"/>
              <w:kinsoku/>
              <w:wordWrap/>
              <w:overflowPunct/>
              <w:topLinePunct w:val="0"/>
              <w:bidi w:val="0"/>
              <w:spacing w:before="38" w:line="360" w:lineRule="auto"/>
              <w:ind w:right="119"/>
              <w:jc w:val="both"/>
              <w:rPr>
                <w:color w:val="auto"/>
                <w:spacing w:val="3"/>
                <w:lang w:val="en-US" w:eastAsia="en-US"/>
              </w:rPr>
            </w:pPr>
            <w:r>
              <w:rPr>
                <w:color w:val="auto"/>
                <w:spacing w:val="3"/>
                <w:lang w:val="en-US" w:eastAsia="en-US"/>
              </w:rPr>
              <w:t>特别提示：</w:t>
            </w:r>
            <w:r>
              <w:rPr>
                <w:rFonts w:hint="eastAsia"/>
                <w:color w:val="auto"/>
                <w:spacing w:val="3"/>
                <w:lang w:val="en-US" w:eastAsia="zh-CN"/>
              </w:rPr>
              <w:t>投标人</w:t>
            </w:r>
            <w:r>
              <w:rPr>
                <w:color w:val="auto"/>
                <w:spacing w:val="3"/>
                <w:lang w:val="en-US" w:eastAsia="en-US"/>
              </w:rPr>
              <w:t>提交的纸质版《投标文件》文字内容与开标时电子投标书应完全一致。</w:t>
            </w:r>
          </w:p>
          <w:p w14:paraId="019B8A53">
            <w:pPr>
              <w:pStyle w:val="29"/>
              <w:keepLines w:val="0"/>
              <w:pageBreakBefore w:val="0"/>
              <w:kinsoku/>
              <w:wordWrap/>
              <w:overflowPunct/>
              <w:topLinePunct w:val="0"/>
              <w:bidi w:val="0"/>
              <w:spacing w:before="38" w:line="360" w:lineRule="auto"/>
              <w:ind w:right="119"/>
              <w:jc w:val="both"/>
              <w:rPr>
                <w:color w:val="auto"/>
                <w:spacing w:val="3"/>
                <w:lang w:val="en-US" w:eastAsia="en-US"/>
              </w:rPr>
            </w:pPr>
            <w:r>
              <w:rPr>
                <w:color w:val="auto"/>
                <w:spacing w:val="3"/>
                <w:lang w:val="en-US" w:eastAsia="en-US"/>
              </w:rPr>
              <w:t>（2）政采云投标文件递交截止时间：</w:t>
            </w:r>
            <w:r>
              <w:rPr>
                <w:rFonts w:hint="eastAsia"/>
                <w:color w:val="auto"/>
                <w:spacing w:val="3"/>
                <w:u w:val="single"/>
                <w:lang w:val="en-US" w:eastAsia="zh-CN"/>
              </w:rPr>
              <w:t>2025年02月20日</w:t>
            </w:r>
            <w:r>
              <w:rPr>
                <w:color w:val="auto"/>
                <w:spacing w:val="3"/>
                <w:u w:val="single"/>
                <w:lang w:val="en-US" w:eastAsia="en-US"/>
              </w:rPr>
              <w:t>1</w:t>
            </w:r>
            <w:r>
              <w:rPr>
                <w:rFonts w:hint="eastAsia"/>
                <w:color w:val="auto"/>
                <w:spacing w:val="3"/>
                <w:u w:val="single"/>
                <w:lang w:val="en-US" w:eastAsia="zh-CN"/>
              </w:rPr>
              <w:t>1：0</w:t>
            </w:r>
            <w:r>
              <w:rPr>
                <w:color w:val="auto"/>
                <w:spacing w:val="3"/>
                <w:u w:val="single"/>
                <w:lang w:val="en-US" w:eastAsia="en-US"/>
              </w:rPr>
              <w:t>0</w:t>
            </w:r>
            <w:r>
              <w:rPr>
                <w:color w:val="auto"/>
                <w:spacing w:val="3"/>
                <w:lang w:val="en-US" w:eastAsia="en-US"/>
              </w:rPr>
              <w:t>（北京时间）</w:t>
            </w:r>
          </w:p>
          <w:p w14:paraId="48690132">
            <w:pPr>
              <w:pStyle w:val="29"/>
              <w:keepLines w:val="0"/>
              <w:pageBreakBefore w:val="0"/>
              <w:kinsoku/>
              <w:wordWrap/>
              <w:overflowPunct/>
              <w:topLinePunct w:val="0"/>
              <w:bidi w:val="0"/>
              <w:spacing w:before="38" w:line="360" w:lineRule="auto"/>
              <w:ind w:right="119"/>
              <w:jc w:val="both"/>
              <w:rPr>
                <w:rFonts w:ascii="仿宋" w:hAnsi="仿宋" w:eastAsia="仿宋" w:cs="仿宋"/>
                <w:b/>
                <w:bCs/>
                <w:snapToGrid w:val="0"/>
                <w:color w:val="auto"/>
                <w:spacing w:val="-4"/>
                <w:kern w:val="0"/>
                <w:sz w:val="24"/>
                <w:szCs w:val="24"/>
                <w:lang w:val="en-US" w:eastAsia="en-US" w:bidi="ar-SA"/>
              </w:rPr>
            </w:pPr>
            <w:r>
              <w:rPr>
                <w:color w:val="auto"/>
                <w:spacing w:val="3"/>
                <w:lang w:val="en-US" w:eastAsia="en-US"/>
              </w:rPr>
              <w:t>（3）递交地点：政采云网上不见面开标系统</w:t>
            </w:r>
          </w:p>
        </w:tc>
      </w:tr>
      <w:tr w14:paraId="3271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4CDCEC0">
            <w:pPr>
              <w:pStyle w:val="29"/>
              <w:keepLines w:val="0"/>
              <w:pageBreakBefore w:val="0"/>
              <w:kinsoku/>
              <w:wordWrap/>
              <w:overflowPunct/>
              <w:topLinePunct w:val="0"/>
              <w:bidi w:val="0"/>
              <w:spacing w:before="78" w:line="180" w:lineRule="auto"/>
              <w:jc w:val="center"/>
              <w:rPr>
                <w:rFonts w:hint="eastAsia" w:eastAsia="仿宋"/>
                <w:lang w:eastAsia="zh-CN"/>
              </w:rPr>
            </w:pPr>
            <w:r>
              <w:rPr>
                <w:spacing w:val="-6"/>
              </w:rPr>
              <w:t>2</w:t>
            </w:r>
            <w:r>
              <w:rPr>
                <w:rFonts w:hint="eastAsia"/>
                <w:spacing w:val="-6"/>
                <w:lang w:val="en-US" w:eastAsia="zh-CN"/>
              </w:rPr>
              <w:t>7</w:t>
            </w:r>
          </w:p>
        </w:tc>
        <w:tc>
          <w:tcPr>
            <w:tcW w:w="1485" w:type="dxa"/>
            <w:vAlign w:val="center"/>
          </w:tcPr>
          <w:p w14:paraId="50E38B49">
            <w:pPr>
              <w:pStyle w:val="29"/>
              <w:keepLines w:val="0"/>
              <w:pageBreakBefore w:val="0"/>
              <w:kinsoku/>
              <w:wordWrap/>
              <w:overflowPunct/>
              <w:topLinePunct w:val="0"/>
              <w:bidi w:val="0"/>
              <w:spacing w:before="252" w:line="265" w:lineRule="auto"/>
              <w:ind w:right="153"/>
              <w:jc w:val="center"/>
              <w:rPr>
                <w:rFonts w:ascii="仿宋" w:hAnsi="仿宋" w:eastAsia="仿宋" w:cs="仿宋"/>
                <w:b/>
                <w:bCs/>
                <w:snapToGrid w:val="0"/>
                <w:color w:val="000000"/>
                <w:spacing w:val="-5"/>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开标时间及地点</w:t>
            </w:r>
          </w:p>
        </w:tc>
        <w:tc>
          <w:tcPr>
            <w:tcW w:w="7831" w:type="dxa"/>
            <w:tcBorders>
              <w:right w:val="single" w:color="000000" w:sz="4" w:space="0"/>
            </w:tcBorders>
            <w:vAlign w:val="center"/>
          </w:tcPr>
          <w:p w14:paraId="10CAD781">
            <w:pPr>
              <w:pStyle w:val="29"/>
              <w:keepLines w:val="0"/>
              <w:pageBreakBefore w:val="0"/>
              <w:kinsoku/>
              <w:wordWrap/>
              <w:overflowPunct/>
              <w:topLinePunct w:val="0"/>
              <w:bidi w:val="0"/>
              <w:spacing w:before="216" w:line="360" w:lineRule="auto"/>
              <w:ind w:left="118"/>
              <w:jc w:val="both"/>
              <w:rPr>
                <w:rFonts w:ascii="仿宋" w:hAnsi="仿宋" w:eastAsia="仿宋" w:cs="仿宋"/>
                <w:b/>
                <w:bCs/>
                <w:snapToGrid w:val="0"/>
                <w:color w:val="auto"/>
                <w:spacing w:val="-4"/>
                <w:kern w:val="0"/>
                <w:sz w:val="24"/>
                <w:szCs w:val="24"/>
                <w:lang w:val="en-US" w:eastAsia="en-US" w:bidi="ar-SA"/>
              </w:rPr>
            </w:pPr>
            <w:r>
              <w:rPr>
                <w:rFonts w:ascii="仿宋" w:hAnsi="仿宋" w:eastAsia="仿宋" w:cs="仿宋"/>
                <w:b/>
                <w:bCs/>
                <w:snapToGrid w:val="0"/>
                <w:color w:val="auto"/>
                <w:spacing w:val="-4"/>
                <w:kern w:val="0"/>
                <w:sz w:val="24"/>
                <w:szCs w:val="24"/>
                <w:lang w:val="en-US" w:eastAsia="en-US" w:bidi="ar-SA"/>
              </w:rPr>
              <w:t>开标时间</w:t>
            </w:r>
            <w:r>
              <w:rPr>
                <w:rFonts w:ascii="仿宋" w:hAnsi="仿宋" w:eastAsia="仿宋" w:cs="仿宋"/>
                <w:b/>
                <w:bCs/>
                <w:snapToGrid w:val="0"/>
                <w:color w:val="auto"/>
                <w:spacing w:val="-4"/>
                <w:kern w:val="0"/>
                <w:sz w:val="24"/>
                <w:szCs w:val="24"/>
                <w:highlight w:val="none"/>
                <w:lang w:val="en-US" w:eastAsia="en-US" w:bidi="ar-SA"/>
              </w:rPr>
              <w:t>：</w:t>
            </w:r>
            <w:r>
              <w:rPr>
                <w:rFonts w:hint="eastAsia" w:cs="仿宋"/>
                <w:b/>
                <w:bCs/>
                <w:snapToGrid w:val="0"/>
                <w:color w:val="auto"/>
                <w:spacing w:val="-4"/>
                <w:kern w:val="0"/>
                <w:sz w:val="24"/>
                <w:szCs w:val="24"/>
                <w:highlight w:val="none"/>
                <w:u w:val="single"/>
                <w:lang w:val="en-US" w:eastAsia="zh-CN" w:bidi="ar-SA"/>
              </w:rPr>
              <w:t>2025年02月20日</w:t>
            </w:r>
            <w:r>
              <w:rPr>
                <w:rFonts w:ascii="仿宋" w:hAnsi="仿宋" w:eastAsia="仿宋" w:cs="仿宋"/>
                <w:b/>
                <w:bCs/>
                <w:snapToGrid w:val="0"/>
                <w:color w:val="auto"/>
                <w:spacing w:val="-4"/>
                <w:kern w:val="0"/>
                <w:sz w:val="24"/>
                <w:szCs w:val="24"/>
                <w:highlight w:val="none"/>
                <w:u w:val="single"/>
                <w:lang w:val="en-US" w:eastAsia="en-US" w:bidi="ar-SA"/>
              </w:rPr>
              <w:t>1</w:t>
            </w:r>
            <w:r>
              <w:rPr>
                <w:rFonts w:hint="eastAsia" w:cs="仿宋"/>
                <w:b/>
                <w:bCs/>
                <w:snapToGrid w:val="0"/>
                <w:color w:val="auto"/>
                <w:spacing w:val="-4"/>
                <w:kern w:val="0"/>
                <w:sz w:val="24"/>
                <w:szCs w:val="24"/>
                <w:highlight w:val="none"/>
                <w:u w:val="single"/>
                <w:lang w:val="en-US" w:eastAsia="zh-CN" w:bidi="ar-SA"/>
              </w:rPr>
              <w:t>1：0</w:t>
            </w:r>
            <w:r>
              <w:rPr>
                <w:rFonts w:ascii="仿宋" w:hAnsi="仿宋" w:eastAsia="仿宋" w:cs="仿宋"/>
                <w:b/>
                <w:bCs/>
                <w:snapToGrid w:val="0"/>
                <w:color w:val="auto"/>
                <w:spacing w:val="-4"/>
                <w:kern w:val="0"/>
                <w:sz w:val="24"/>
                <w:szCs w:val="24"/>
                <w:highlight w:val="none"/>
                <w:u w:val="single"/>
                <w:lang w:val="en-US" w:eastAsia="en-US" w:bidi="ar-SA"/>
              </w:rPr>
              <w:t>0</w:t>
            </w:r>
            <w:r>
              <w:rPr>
                <w:rFonts w:ascii="仿宋" w:hAnsi="仿宋" w:eastAsia="仿宋" w:cs="仿宋"/>
                <w:b/>
                <w:bCs/>
                <w:snapToGrid w:val="0"/>
                <w:color w:val="auto"/>
                <w:spacing w:val="-4"/>
                <w:kern w:val="0"/>
                <w:sz w:val="24"/>
                <w:szCs w:val="24"/>
                <w:highlight w:val="none"/>
                <w:lang w:val="en-US" w:eastAsia="en-US" w:bidi="ar-SA"/>
              </w:rPr>
              <w:t>（北京时间）</w:t>
            </w:r>
          </w:p>
          <w:p w14:paraId="182A29E5">
            <w:pPr>
              <w:pStyle w:val="29"/>
              <w:keepLines w:val="0"/>
              <w:pageBreakBefore w:val="0"/>
              <w:kinsoku/>
              <w:wordWrap/>
              <w:overflowPunct/>
              <w:topLinePunct w:val="0"/>
              <w:bidi w:val="0"/>
              <w:spacing w:before="78" w:line="360" w:lineRule="auto"/>
              <w:ind w:left="118"/>
              <w:jc w:val="both"/>
              <w:rPr>
                <w:rFonts w:ascii="仿宋" w:hAnsi="仿宋" w:eastAsia="仿宋" w:cs="仿宋"/>
                <w:b/>
                <w:bCs/>
                <w:snapToGrid w:val="0"/>
                <w:color w:val="auto"/>
                <w:spacing w:val="-4"/>
                <w:kern w:val="0"/>
                <w:sz w:val="24"/>
                <w:szCs w:val="24"/>
                <w:lang w:val="en-US" w:eastAsia="en-US" w:bidi="ar-SA"/>
              </w:rPr>
            </w:pPr>
            <w:r>
              <w:rPr>
                <w:rFonts w:ascii="仿宋" w:hAnsi="仿宋" w:eastAsia="仿宋" w:cs="仿宋"/>
                <w:b/>
                <w:bCs/>
                <w:snapToGrid w:val="0"/>
                <w:color w:val="auto"/>
                <w:spacing w:val="-4"/>
                <w:kern w:val="0"/>
                <w:sz w:val="24"/>
                <w:szCs w:val="24"/>
                <w:lang w:val="en-US" w:eastAsia="en-US" w:bidi="ar-SA"/>
              </w:rPr>
              <w:t>开标地点：政采云网上不见面开标系统</w:t>
            </w:r>
          </w:p>
        </w:tc>
      </w:tr>
      <w:tr w14:paraId="1648D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D0BBB3B">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28</w:t>
            </w:r>
          </w:p>
        </w:tc>
        <w:tc>
          <w:tcPr>
            <w:tcW w:w="1485" w:type="dxa"/>
            <w:shd w:val="clear" w:color="auto" w:fill="auto"/>
            <w:vAlign w:val="center"/>
          </w:tcPr>
          <w:p w14:paraId="4A7A42DD">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en-US" w:bidi="ar-SA"/>
              </w:rPr>
              <w:t>构成招标文件的其他材料</w:t>
            </w:r>
          </w:p>
        </w:tc>
        <w:tc>
          <w:tcPr>
            <w:tcW w:w="7831" w:type="dxa"/>
            <w:tcBorders>
              <w:right w:val="single" w:color="000000" w:sz="4" w:space="0"/>
            </w:tcBorders>
            <w:shd w:val="clear" w:color="auto" w:fill="auto"/>
            <w:vAlign w:val="center"/>
          </w:tcPr>
          <w:p w14:paraId="583FF90E">
            <w:pPr>
              <w:spacing w:line="400" w:lineRule="exact"/>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答疑、澄清、修改、补充文件</w:t>
            </w:r>
          </w:p>
        </w:tc>
      </w:tr>
      <w:tr w14:paraId="64E97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2D71A78">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29</w:t>
            </w:r>
          </w:p>
        </w:tc>
        <w:tc>
          <w:tcPr>
            <w:tcW w:w="1485" w:type="dxa"/>
            <w:shd w:val="clear" w:color="auto" w:fill="auto"/>
            <w:vAlign w:val="center"/>
          </w:tcPr>
          <w:p w14:paraId="73F02FC0">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 xml:space="preserve">投标人提出问题的截 </w:t>
            </w:r>
          </w:p>
          <w:p w14:paraId="23CB1198">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止时间</w:t>
            </w:r>
          </w:p>
          <w:p w14:paraId="33F24500">
            <w:pPr>
              <w:spacing w:line="400" w:lineRule="exact"/>
              <w:jc w:val="center"/>
              <w:rPr>
                <w:rFonts w:hint="eastAsia" w:ascii="仿宋" w:hAnsi="仿宋" w:eastAsia="仿宋" w:cs="仿宋"/>
                <w:b/>
                <w:bCs/>
                <w:snapToGrid w:val="0"/>
                <w:color w:val="000000"/>
                <w:spacing w:val="-5"/>
                <w:kern w:val="0"/>
                <w:sz w:val="24"/>
                <w:szCs w:val="24"/>
                <w:lang w:val="en-US" w:eastAsia="en-US" w:bidi="ar-SA"/>
              </w:rPr>
            </w:pPr>
          </w:p>
        </w:tc>
        <w:tc>
          <w:tcPr>
            <w:tcW w:w="7831" w:type="dxa"/>
            <w:tcBorders>
              <w:right w:val="single" w:color="000000" w:sz="4" w:space="0"/>
            </w:tcBorders>
            <w:shd w:val="clear" w:color="auto" w:fill="auto"/>
            <w:vAlign w:val="center"/>
          </w:tcPr>
          <w:p w14:paraId="3E7446F1">
            <w:pPr>
              <w:keepNext w:val="0"/>
              <w:keepLines w:val="0"/>
              <w:widowControl/>
              <w:suppressLineNumbers w:val="0"/>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投标截止时间前 </w:t>
            </w:r>
            <w:r>
              <w:rPr>
                <w:rFonts w:ascii="仿宋" w:hAnsi="仿宋" w:eastAsia="仿宋" w:cs="仿宋"/>
                <w:snapToGrid w:val="0"/>
                <w:color w:val="000000"/>
                <w:spacing w:val="3"/>
                <w:kern w:val="0"/>
                <w:sz w:val="24"/>
                <w:szCs w:val="24"/>
                <w:lang w:val="en-US" w:eastAsia="zh-CN" w:bidi="ar-SA"/>
              </w:rPr>
              <w:t xml:space="preserve">10 </w:t>
            </w:r>
            <w:r>
              <w:rPr>
                <w:rFonts w:hint="eastAsia" w:ascii="仿宋" w:hAnsi="仿宋" w:eastAsia="仿宋" w:cs="仿宋"/>
                <w:snapToGrid w:val="0"/>
                <w:color w:val="000000"/>
                <w:spacing w:val="3"/>
                <w:kern w:val="0"/>
                <w:sz w:val="24"/>
                <w:szCs w:val="24"/>
                <w:lang w:val="en-US" w:eastAsia="zh-CN" w:bidi="ar-SA"/>
              </w:rPr>
              <w:t>天</w:t>
            </w:r>
          </w:p>
          <w:p w14:paraId="65DE6570">
            <w:pPr>
              <w:spacing w:line="400" w:lineRule="exact"/>
              <w:jc w:val="left"/>
              <w:rPr>
                <w:rFonts w:hint="eastAsia" w:ascii="仿宋" w:hAnsi="仿宋" w:eastAsia="仿宋" w:cs="仿宋"/>
                <w:snapToGrid w:val="0"/>
                <w:color w:val="000000"/>
                <w:spacing w:val="3"/>
                <w:kern w:val="0"/>
                <w:sz w:val="24"/>
                <w:szCs w:val="24"/>
                <w:lang w:val="en-US" w:eastAsia="en-US" w:bidi="ar-SA"/>
              </w:rPr>
            </w:pPr>
          </w:p>
        </w:tc>
      </w:tr>
      <w:tr w14:paraId="28B8F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CF21F59">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30</w:t>
            </w:r>
          </w:p>
        </w:tc>
        <w:tc>
          <w:tcPr>
            <w:tcW w:w="1485" w:type="dxa"/>
            <w:shd w:val="clear" w:color="auto" w:fill="auto"/>
            <w:vAlign w:val="center"/>
          </w:tcPr>
          <w:p w14:paraId="5C8CAE51">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 xml:space="preserve">招标人书面澄清的时 </w:t>
            </w:r>
          </w:p>
          <w:p w14:paraId="15008464">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间</w:t>
            </w:r>
          </w:p>
          <w:p w14:paraId="35A89812">
            <w:pPr>
              <w:spacing w:line="400" w:lineRule="exact"/>
              <w:jc w:val="center"/>
              <w:rPr>
                <w:rFonts w:hint="eastAsia" w:ascii="仿宋" w:hAnsi="仿宋" w:eastAsia="仿宋" w:cs="仿宋"/>
                <w:b/>
                <w:bCs/>
                <w:snapToGrid w:val="0"/>
                <w:color w:val="000000"/>
                <w:spacing w:val="-5"/>
                <w:kern w:val="0"/>
                <w:sz w:val="24"/>
                <w:szCs w:val="24"/>
                <w:lang w:val="en-US" w:eastAsia="en-US" w:bidi="ar-SA"/>
              </w:rPr>
            </w:pPr>
          </w:p>
        </w:tc>
        <w:tc>
          <w:tcPr>
            <w:tcW w:w="7831" w:type="dxa"/>
            <w:tcBorders>
              <w:right w:val="single" w:color="000000" w:sz="4" w:space="0"/>
            </w:tcBorders>
            <w:shd w:val="clear" w:color="auto" w:fill="auto"/>
            <w:vAlign w:val="center"/>
          </w:tcPr>
          <w:p w14:paraId="3F964C51">
            <w:pPr>
              <w:keepNext w:val="0"/>
              <w:keepLines w:val="0"/>
              <w:widowControl/>
              <w:suppressLineNumbers w:val="0"/>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投标截止时间前 </w:t>
            </w:r>
            <w:r>
              <w:rPr>
                <w:rFonts w:ascii="仿宋" w:hAnsi="仿宋" w:eastAsia="仿宋" w:cs="仿宋"/>
                <w:snapToGrid w:val="0"/>
                <w:color w:val="000000"/>
                <w:spacing w:val="3"/>
                <w:kern w:val="0"/>
                <w:sz w:val="24"/>
                <w:szCs w:val="24"/>
                <w:lang w:val="en-US" w:eastAsia="zh-CN" w:bidi="ar-SA"/>
              </w:rPr>
              <w:t xml:space="preserve">15 </w:t>
            </w:r>
            <w:r>
              <w:rPr>
                <w:rFonts w:hint="eastAsia" w:ascii="仿宋" w:hAnsi="仿宋" w:eastAsia="仿宋" w:cs="仿宋"/>
                <w:snapToGrid w:val="0"/>
                <w:color w:val="000000"/>
                <w:spacing w:val="3"/>
                <w:kern w:val="0"/>
                <w:sz w:val="24"/>
                <w:szCs w:val="24"/>
                <w:lang w:val="en-US" w:eastAsia="zh-CN" w:bidi="ar-SA"/>
              </w:rPr>
              <w:t>天</w:t>
            </w:r>
          </w:p>
          <w:p w14:paraId="72F093DD">
            <w:pPr>
              <w:spacing w:line="400" w:lineRule="exact"/>
              <w:jc w:val="left"/>
              <w:rPr>
                <w:rFonts w:hint="eastAsia" w:ascii="仿宋" w:hAnsi="仿宋" w:eastAsia="仿宋" w:cs="仿宋"/>
                <w:snapToGrid w:val="0"/>
                <w:color w:val="000000"/>
                <w:spacing w:val="3"/>
                <w:kern w:val="0"/>
                <w:sz w:val="24"/>
                <w:szCs w:val="24"/>
                <w:lang w:val="en-US" w:eastAsia="en-US" w:bidi="ar-SA"/>
              </w:rPr>
            </w:pPr>
          </w:p>
        </w:tc>
      </w:tr>
      <w:tr w14:paraId="2A8C9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3AEBFAC3">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31</w:t>
            </w:r>
          </w:p>
        </w:tc>
        <w:tc>
          <w:tcPr>
            <w:tcW w:w="1485" w:type="dxa"/>
            <w:shd w:val="clear" w:color="auto" w:fill="auto"/>
            <w:vAlign w:val="center"/>
          </w:tcPr>
          <w:p w14:paraId="2E872DE4">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en-US" w:bidi="ar-SA"/>
              </w:rPr>
              <w:t>投标人确认收到招标文件澄清或修改的时间</w:t>
            </w:r>
          </w:p>
        </w:tc>
        <w:tc>
          <w:tcPr>
            <w:tcW w:w="7831" w:type="dxa"/>
            <w:tcBorders>
              <w:right w:val="single" w:color="000000" w:sz="4" w:space="0"/>
            </w:tcBorders>
            <w:shd w:val="clear" w:color="auto" w:fill="auto"/>
            <w:vAlign w:val="center"/>
          </w:tcPr>
          <w:p w14:paraId="433B83BA">
            <w:pPr>
              <w:keepNext w:val="0"/>
              <w:keepLines w:val="0"/>
              <w:widowControl/>
              <w:suppressLineNumbers w:val="0"/>
              <w:spacing w:line="360" w:lineRule="auto"/>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时间：在收到相应澄清文件后 </w:t>
            </w:r>
            <w:r>
              <w:rPr>
                <w:rFonts w:ascii="仿宋" w:hAnsi="仿宋" w:eastAsia="仿宋" w:cs="仿宋"/>
                <w:snapToGrid w:val="0"/>
                <w:color w:val="000000"/>
                <w:spacing w:val="3"/>
                <w:kern w:val="0"/>
                <w:sz w:val="24"/>
                <w:szCs w:val="24"/>
                <w:lang w:val="en-US" w:eastAsia="zh-CN" w:bidi="ar-SA"/>
              </w:rPr>
              <w:t xml:space="preserve">48 </w:t>
            </w:r>
            <w:r>
              <w:rPr>
                <w:rFonts w:hint="eastAsia" w:ascii="仿宋" w:hAnsi="仿宋" w:eastAsia="仿宋" w:cs="仿宋"/>
                <w:snapToGrid w:val="0"/>
                <w:color w:val="000000"/>
                <w:spacing w:val="3"/>
                <w:kern w:val="0"/>
                <w:sz w:val="24"/>
                <w:szCs w:val="24"/>
                <w:lang w:val="en-US" w:eastAsia="zh-CN" w:bidi="ar-SA"/>
              </w:rPr>
              <w:t>小时内</w:t>
            </w:r>
          </w:p>
          <w:p w14:paraId="0DC80E91">
            <w:pPr>
              <w:keepNext w:val="0"/>
              <w:keepLines w:val="0"/>
              <w:widowControl/>
              <w:suppressLineNumbers w:val="0"/>
              <w:spacing w:line="360" w:lineRule="auto"/>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形式：书面形式</w:t>
            </w:r>
          </w:p>
          <w:p w14:paraId="4B983646">
            <w:pPr>
              <w:spacing w:line="400" w:lineRule="exact"/>
              <w:jc w:val="left"/>
              <w:rPr>
                <w:rFonts w:hint="eastAsia" w:ascii="仿宋" w:hAnsi="仿宋" w:eastAsia="仿宋" w:cs="仿宋"/>
                <w:snapToGrid w:val="0"/>
                <w:color w:val="000000"/>
                <w:spacing w:val="3"/>
                <w:kern w:val="0"/>
                <w:sz w:val="24"/>
                <w:szCs w:val="24"/>
                <w:lang w:val="en-US" w:eastAsia="en-US" w:bidi="ar-SA"/>
              </w:rPr>
            </w:pPr>
          </w:p>
        </w:tc>
      </w:tr>
      <w:tr w14:paraId="5116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45336F24">
            <w:pPr>
              <w:pStyle w:val="29"/>
              <w:keepLines w:val="0"/>
              <w:pageBreakBefore w:val="0"/>
              <w:kinsoku/>
              <w:wordWrap/>
              <w:overflowPunct/>
              <w:topLinePunct w:val="0"/>
              <w:bidi w:val="0"/>
              <w:spacing w:before="78" w:line="180" w:lineRule="auto"/>
              <w:jc w:val="center"/>
              <w:rPr>
                <w:rFonts w:hint="default" w:eastAsia="仿宋"/>
                <w:lang w:val="en-US" w:eastAsia="zh-CN"/>
              </w:rPr>
            </w:pPr>
            <w:r>
              <w:rPr>
                <w:rFonts w:hint="eastAsia"/>
                <w:spacing w:val="-6"/>
                <w:lang w:val="en-US" w:eastAsia="zh-CN"/>
              </w:rPr>
              <w:t>32</w:t>
            </w:r>
          </w:p>
        </w:tc>
        <w:tc>
          <w:tcPr>
            <w:tcW w:w="1485" w:type="dxa"/>
            <w:vAlign w:val="center"/>
          </w:tcPr>
          <w:p w14:paraId="58832400">
            <w:pPr>
              <w:pStyle w:val="29"/>
              <w:keepLines w:val="0"/>
              <w:pageBreakBefore w:val="0"/>
              <w:kinsoku/>
              <w:wordWrap/>
              <w:overflowPunct/>
              <w:topLinePunct w:val="0"/>
              <w:bidi w:val="0"/>
              <w:spacing w:before="78" w:line="221" w:lineRule="auto"/>
              <w:jc w:val="center"/>
            </w:pPr>
            <w:r>
              <w:rPr>
                <w:b/>
                <w:bCs/>
                <w:spacing w:val="-6"/>
              </w:rPr>
              <w:t>履约保证金</w:t>
            </w:r>
          </w:p>
        </w:tc>
        <w:tc>
          <w:tcPr>
            <w:tcW w:w="7831" w:type="dxa"/>
            <w:tcBorders>
              <w:right w:val="single" w:color="000000" w:sz="4" w:space="0"/>
            </w:tcBorders>
            <w:vAlign w:val="center"/>
          </w:tcPr>
          <w:p w14:paraId="5430812B">
            <w:pPr>
              <w:pStyle w:val="29"/>
              <w:keepLines w:val="0"/>
              <w:pageBreakBefore w:val="0"/>
              <w:kinsoku/>
              <w:wordWrap/>
              <w:overflowPunct/>
              <w:topLinePunct w:val="0"/>
              <w:bidi w:val="0"/>
              <w:spacing w:before="112" w:line="360" w:lineRule="auto"/>
              <w:ind w:right="119" w:firstLine="240" w:firstLineChars="100"/>
              <w:jc w:val="both"/>
              <w:rPr>
                <w:rFonts w:hint="eastAsia"/>
                <w:color w:val="auto"/>
                <w:lang w:val="en-US" w:eastAsia="zh-CN"/>
              </w:rPr>
            </w:pPr>
            <w:r>
              <w:rPr>
                <w:rFonts w:hint="eastAsia" w:eastAsia="仿宋"/>
                <w:color w:val="auto"/>
                <w:lang w:val="en-US" w:eastAsia="zh-CN"/>
              </w:rPr>
              <w:t>履约保证金</w:t>
            </w:r>
            <w:r>
              <w:rPr>
                <w:rFonts w:hint="eastAsia"/>
                <w:color w:val="auto"/>
                <w:lang w:val="en-US" w:eastAsia="zh-CN"/>
              </w:rPr>
              <w:t>按3%</w:t>
            </w:r>
            <w:r>
              <w:rPr>
                <w:rFonts w:hint="eastAsia" w:eastAsia="仿宋"/>
                <w:color w:val="auto"/>
                <w:lang w:val="en-US" w:eastAsia="zh-CN"/>
              </w:rPr>
              <w:t>收取</w:t>
            </w:r>
            <w:r>
              <w:rPr>
                <w:rFonts w:hint="eastAsia"/>
                <w:color w:val="auto"/>
                <w:lang w:val="en-US" w:eastAsia="zh-CN"/>
              </w:rPr>
              <w:t>。</w:t>
            </w:r>
          </w:p>
          <w:p w14:paraId="27E5C443">
            <w:pPr>
              <w:pStyle w:val="29"/>
              <w:keepLines w:val="0"/>
              <w:pageBreakBefore w:val="0"/>
              <w:kinsoku/>
              <w:wordWrap/>
              <w:overflowPunct/>
              <w:topLinePunct w:val="0"/>
              <w:bidi w:val="0"/>
              <w:spacing w:before="112" w:line="360" w:lineRule="auto"/>
              <w:ind w:right="119" w:firstLine="240" w:firstLineChars="100"/>
              <w:jc w:val="both"/>
              <w:rPr>
                <w:rFonts w:hint="eastAsia" w:eastAsia="仿宋"/>
                <w:lang w:eastAsia="zh-CN"/>
              </w:rPr>
            </w:pPr>
            <w:r>
              <w:rPr>
                <w:rFonts w:hint="eastAsia"/>
                <w:color w:val="auto"/>
                <w:lang w:val="en-US" w:eastAsia="zh-CN"/>
              </w:rPr>
              <w:t>备注：具体事项</w:t>
            </w:r>
            <w:r>
              <w:rPr>
                <w:rFonts w:hint="eastAsia" w:eastAsia="仿宋"/>
                <w:color w:val="auto"/>
                <w:lang w:val="en-US" w:eastAsia="zh-CN"/>
              </w:rPr>
              <w:t>由</w:t>
            </w:r>
            <w:r>
              <w:rPr>
                <w:rFonts w:hint="eastAsia"/>
                <w:color w:val="auto"/>
                <w:lang w:val="en-US" w:eastAsia="zh-CN"/>
              </w:rPr>
              <w:t>采购</w:t>
            </w:r>
            <w:r>
              <w:rPr>
                <w:rFonts w:hint="eastAsia" w:eastAsia="仿宋"/>
                <w:color w:val="auto"/>
                <w:lang w:val="en-US" w:eastAsia="zh-CN"/>
              </w:rPr>
              <w:t>单位及中标单位签订合同时自行约定</w:t>
            </w:r>
          </w:p>
        </w:tc>
      </w:tr>
      <w:tr w14:paraId="6206B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4FB0B76C">
            <w:pPr>
              <w:pStyle w:val="29"/>
              <w:keepLines w:val="0"/>
              <w:pageBreakBefore w:val="0"/>
              <w:kinsoku/>
              <w:wordWrap/>
              <w:overflowPunct/>
              <w:topLinePunct w:val="0"/>
              <w:bidi w:val="0"/>
              <w:spacing w:before="78" w:line="180" w:lineRule="auto"/>
              <w:jc w:val="center"/>
              <w:rPr>
                <w:rFonts w:hint="default" w:ascii="仿宋" w:hAnsi="仿宋" w:eastAsia="仿宋" w:cs="仿宋"/>
                <w:snapToGrid w:val="0"/>
                <w:color w:val="000000"/>
                <w:kern w:val="0"/>
                <w:sz w:val="24"/>
                <w:szCs w:val="24"/>
                <w:lang w:val="en-US" w:eastAsia="zh-CN" w:bidi="ar-SA"/>
              </w:rPr>
            </w:pPr>
            <w:r>
              <w:rPr>
                <w:rFonts w:hint="eastAsia"/>
                <w:spacing w:val="-6"/>
                <w:lang w:val="en-US" w:eastAsia="zh-CN"/>
              </w:rPr>
              <w:t>33</w:t>
            </w:r>
          </w:p>
        </w:tc>
        <w:tc>
          <w:tcPr>
            <w:tcW w:w="1485" w:type="dxa"/>
            <w:vAlign w:val="center"/>
          </w:tcPr>
          <w:p w14:paraId="66D01543">
            <w:pPr>
              <w:pStyle w:val="29"/>
              <w:keepLines w:val="0"/>
              <w:pageBreakBefore w:val="0"/>
              <w:kinsoku/>
              <w:wordWrap/>
              <w:overflowPunct/>
              <w:topLinePunct w:val="0"/>
              <w:bidi w:val="0"/>
              <w:spacing w:before="78" w:line="222" w:lineRule="auto"/>
              <w:jc w:val="center"/>
              <w:rPr>
                <w:rFonts w:ascii="仿宋" w:hAnsi="仿宋" w:eastAsia="仿宋" w:cs="仿宋"/>
                <w:snapToGrid w:val="0"/>
                <w:color w:val="000000"/>
                <w:kern w:val="0"/>
                <w:sz w:val="24"/>
                <w:szCs w:val="24"/>
                <w:lang w:val="en-US" w:eastAsia="en-US" w:bidi="ar-SA"/>
              </w:rPr>
            </w:pPr>
            <w:r>
              <w:rPr>
                <w:b/>
                <w:bCs/>
                <w:spacing w:val="-6"/>
              </w:rPr>
              <w:t>开标程序</w:t>
            </w:r>
          </w:p>
        </w:tc>
        <w:tc>
          <w:tcPr>
            <w:tcW w:w="7831" w:type="dxa"/>
            <w:tcBorders>
              <w:right w:val="single" w:color="000000" w:sz="4" w:space="0"/>
            </w:tcBorders>
            <w:vAlign w:val="center"/>
          </w:tcPr>
          <w:p w14:paraId="4D4AC8E7">
            <w:pPr>
              <w:pStyle w:val="29"/>
              <w:keepLines w:val="0"/>
              <w:pageBreakBefore w:val="0"/>
              <w:kinsoku/>
              <w:wordWrap/>
              <w:overflowPunct/>
              <w:topLinePunct w:val="0"/>
              <w:bidi w:val="0"/>
              <w:spacing w:before="120" w:line="360" w:lineRule="auto"/>
              <w:ind w:left="118" w:right="215" w:firstLine="10"/>
              <w:jc w:val="both"/>
            </w:pPr>
            <w:r>
              <w:rPr>
                <w:spacing w:val="-1"/>
              </w:rPr>
              <w:t>1.在招标文件确定的投标文件提交截止时间停止接受投标文件。开标会主持人确定</w:t>
            </w:r>
            <w:r>
              <w:rPr>
                <w:rFonts w:hint="eastAsia"/>
                <w:spacing w:val="-1"/>
                <w:lang w:eastAsia="zh-CN"/>
              </w:rPr>
              <w:t>投标人</w:t>
            </w:r>
            <w:r>
              <w:rPr>
                <w:spacing w:val="-1"/>
              </w:rPr>
              <w:t>数量是否符合开标要求（</w:t>
            </w:r>
            <w:r>
              <w:rPr>
                <w:rFonts w:hint="eastAsia"/>
                <w:spacing w:val="-1"/>
                <w:lang w:eastAsia="zh-CN"/>
              </w:rPr>
              <w:t>请</w:t>
            </w:r>
            <w:r>
              <w:rPr>
                <w:spacing w:val="-1"/>
              </w:rPr>
              <w:t>所有投标</w:t>
            </w:r>
            <w:r>
              <w:t>人提前一小时准备好开标相关资料，调试好电脑设备</w:t>
            </w:r>
            <w:r>
              <w:rPr>
                <w:spacing w:val="-9"/>
              </w:rPr>
              <w:t>）；</w:t>
            </w:r>
          </w:p>
          <w:p w14:paraId="31CCE964">
            <w:pPr>
              <w:pStyle w:val="29"/>
              <w:keepLines w:val="0"/>
              <w:pageBreakBefore w:val="0"/>
              <w:kinsoku/>
              <w:wordWrap/>
              <w:overflowPunct/>
              <w:topLinePunct w:val="0"/>
              <w:bidi w:val="0"/>
              <w:spacing w:before="111" w:line="360" w:lineRule="auto"/>
              <w:ind w:left="121" w:right="119" w:hanging="7"/>
              <w:jc w:val="both"/>
            </w:pPr>
            <w:r>
              <w:rPr>
                <w:spacing w:val="-2"/>
              </w:rPr>
              <w:t>2.本项目采用“政采云不见面</w:t>
            </w:r>
            <w:r>
              <w:rPr>
                <w:spacing w:val="-88"/>
              </w:rPr>
              <w:t xml:space="preserve"> </w:t>
            </w:r>
            <w:r>
              <w:rPr>
                <w:spacing w:val="-2"/>
              </w:rPr>
              <w:t>”开标，</w:t>
            </w:r>
            <w:r>
              <w:rPr>
                <w:rFonts w:hint="eastAsia"/>
                <w:spacing w:val="-2"/>
                <w:lang w:eastAsia="zh-CN"/>
              </w:rPr>
              <w:t>投标人</w:t>
            </w:r>
            <w:r>
              <w:rPr>
                <w:spacing w:val="-3"/>
              </w:rPr>
              <w:t>须在投标截止时间</w:t>
            </w:r>
            <w:r>
              <w:rPr>
                <w:spacing w:val="-1"/>
              </w:rPr>
              <w:t>前登录政采云平台</w:t>
            </w:r>
            <w:r>
              <w:fldChar w:fldCharType="begin"/>
            </w:r>
            <w:r>
              <w:instrText xml:space="preserve"> HYPERLINK "http://www.zcygov.cn/" </w:instrText>
            </w:r>
            <w:r>
              <w:fldChar w:fldCharType="separate"/>
            </w:r>
            <w:r>
              <w:rPr>
                <w:spacing w:val="-1"/>
              </w:rPr>
              <w:t>http://www.zcygov.cn/</w:t>
            </w:r>
            <w:r>
              <w:rPr>
                <w:spacing w:val="-1"/>
              </w:rPr>
              <w:fldChar w:fldCharType="end"/>
            </w:r>
            <w:r>
              <w:rPr>
                <w:spacing w:val="-1"/>
              </w:rPr>
              <w:t>进行签到。</w:t>
            </w:r>
          </w:p>
          <w:p w14:paraId="0B0F1FE9">
            <w:pPr>
              <w:pStyle w:val="29"/>
              <w:keepLines w:val="0"/>
              <w:pageBreakBefore w:val="0"/>
              <w:kinsoku/>
              <w:wordWrap/>
              <w:overflowPunct/>
              <w:topLinePunct w:val="0"/>
              <w:bidi w:val="0"/>
              <w:spacing w:before="121" w:line="360" w:lineRule="auto"/>
              <w:ind w:left="116"/>
              <w:jc w:val="both"/>
            </w:pPr>
            <w:r>
              <w:rPr>
                <w:spacing w:val="-1"/>
              </w:rPr>
              <w:t>3.主持人宣布开标会开始，宣布开标纪律；</w:t>
            </w:r>
          </w:p>
          <w:p w14:paraId="45904DC7">
            <w:pPr>
              <w:pStyle w:val="29"/>
              <w:keepLines w:val="0"/>
              <w:pageBreakBefore w:val="0"/>
              <w:kinsoku/>
              <w:wordWrap/>
              <w:overflowPunct/>
              <w:topLinePunct w:val="0"/>
              <w:bidi w:val="0"/>
              <w:spacing w:before="112" w:line="360" w:lineRule="auto"/>
              <w:ind w:left="110"/>
              <w:jc w:val="both"/>
            </w:pPr>
            <w:r>
              <w:t>4.宣布主持人、开标人、唱标人、记录人、</w:t>
            </w:r>
            <w:r>
              <w:rPr>
                <w:spacing w:val="-1"/>
              </w:rPr>
              <w:t>监督人等工作人员姓</w:t>
            </w:r>
            <w:r>
              <w:rPr>
                <w:spacing w:val="-9"/>
              </w:rPr>
              <w:t>名；</w:t>
            </w:r>
          </w:p>
          <w:p w14:paraId="7D97AA11">
            <w:pPr>
              <w:pStyle w:val="29"/>
              <w:keepLines w:val="0"/>
              <w:pageBreakBefore w:val="0"/>
              <w:kinsoku/>
              <w:wordWrap/>
              <w:overflowPunct/>
              <w:topLinePunct w:val="0"/>
              <w:bidi w:val="0"/>
              <w:spacing w:before="110" w:line="360" w:lineRule="auto"/>
              <w:ind w:left="120" w:right="215" w:hanging="4"/>
              <w:jc w:val="both"/>
            </w:pPr>
            <w:r>
              <w:rPr>
                <w:spacing w:val="-1"/>
              </w:rPr>
              <w:t>5.解密：法定代表人或授权委托人须全程在线准时参加开标活动</w:t>
            </w:r>
            <w:r>
              <w:rPr>
                <w:spacing w:val="-2"/>
              </w:rPr>
              <w:t>进行文件解密、异议、质疑及澄清等。</w:t>
            </w:r>
          </w:p>
          <w:p w14:paraId="52CF20A8">
            <w:pPr>
              <w:pStyle w:val="29"/>
              <w:keepLines w:val="0"/>
              <w:pageBreakBefore w:val="0"/>
              <w:kinsoku/>
              <w:wordWrap/>
              <w:overflowPunct/>
              <w:topLinePunct w:val="0"/>
              <w:bidi w:val="0"/>
              <w:spacing w:before="114" w:line="360" w:lineRule="auto"/>
              <w:ind w:left="117" w:right="119" w:hanging="4"/>
              <w:jc w:val="both"/>
            </w:pPr>
            <w:r>
              <w:rPr>
                <w:spacing w:val="-2"/>
              </w:rPr>
              <w:t>6 .参与“政采云不见面”开标的各</w:t>
            </w:r>
            <w:r>
              <w:rPr>
                <w:rFonts w:hint="eastAsia"/>
                <w:spacing w:val="-2"/>
                <w:lang w:eastAsia="zh-CN"/>
              </w:rPr>
              <w:t>投标人</w:t>
            </w:r>
            <w:r>
              <w:rPr>
                <w:spacing w:val="-2"/>
              </w:rPr>
              <w:t>，请</w:t>
            </w:r>
            <w:r>
              <w:rPr>
                <w:spacing w:val="-3"/>
              </w:rPr>
              <w:t>在互联网网络环境</w:t>
            </w:r>
            <w:r>
              <w:rPr>
                <w:spacing w:val="-1"/>
              </w:rPr>
              <w:t>较好的电脑端登录政采云不见面开标大厅参与开标；不要在电</w:t>
            </w:r>
            <w:r>
              <w:rPr>
                <w:rFonts w:hint="eastAsia"/>
                <w:spacing w:val="-1"/>
                <w:lang w:eastAsia="zh-CN"/>
              </w:rPr>
              <w:t>脑上</w:t>
            </w:r>
            <w:r>
              <w:rPr>
                <w:spacing w:val="-1"/>
              </w:rPr>
              <w:t>进行下载、安装等工作，认真耐心等待指令并及时操作，并保持手机畅通；因</w:t>
            </w:r>
            <w:r>
              <w:rPr>
                <w:rFonts w:hint="eastAsia"/>
                <w:spacing w:val="-1"/>
                <w:lang w:eastAsia="zh-CN"/>
              </w:rPr>
              <w:t>投标人</w:t>
            </w:r>
            <w:r>
              <w:rPr>
                <w:spacing w:val="-1"/>
              </w:rPr>
              <w:t>网络环境或硬件配备不达标等原因，影响开标的，造成的后果由</w:t>
            </w:r>
            <w:r>
              <w:rPr>
                <w:rFonts w:hint="eastAsia"/>
                <w:spacing w:val="-1"/>
                <w:lang w:eastAsia="zh-CN"/>
              </w:rPr>
              <w:t>投标人</w:t>
            </w:r>
            <w:r>
              <w:rPr>
                <w:spacing w:val="-1"/>
              </w:rPr>
              <w:t>自行承担。</w:t>
            </w:r>
          </w:p>
          <w:p w14:paraId="26432E0E">
            <w:pPr>
              <w:pStyle w:val="29"/>
              <w:keepLines w:val="0"/>
              <w:pageBreakBefore w:val="0"/>
              <w:kinsoku/>
              <w:wordWrap/>
              <w:overflowPunct/>
              <w:topLinePunct w:val="0"/>
              <w:bidi w:val="0"/>
              <w:spacing w:before="113" w:line="360" w:lineRule="auto"/>
              <w:ind w:left="117"/>
              <w:jc w:val="both"/>
            </w:pPr>
            <w:r>
              <w:rPr>
                <w:spacing w:val="-3"/>
              </w:rPr>
              <w:t>7.开标结束。</w:t>
            </w:r>
          </w:p>
          <w:p w14:paraId="6B6B380A">
            <w:pPr>
              <w:pStyle w:val="29"/>
              <w:keepLines w:val="0"/>
              <w:pageBreakBefore w:val="0"/>
              <w:kinsoku/>
              <w:wordWrap/>
              <w:overflowPunct/>
              <w:topLinePunct w:val="0"/>
              <w:bidi w:val="0"/>
              <w:spacing w:before="112" w:line="360" w:lineRule="auto"/>
              <w:ind w:left="118" w:leftChars="0"/>
              <w:jc w:val="both"/>
              <w:rPr>
                <w:rFonts w:hint="eastAsia" w:ascii="仿宋" w:hAnsi="仿宋" w:eastAsia="仿宋" w:cs="仿宋"/>
                <w:snapToGrid w:val="0"/>
                <w:color w:val="000000"/>
                <w:kern w:val="0"/>
                <w:sz w:val="24"/>
                <w:szCs w:val="24"/>
                <w:lang w:val="en-US" w:eastAsia="zh-CN" w:bidi="ar-SA"/>
              </w:rPr>
            </w:pPr>
            <w:r>
              <w:rPr>
                <w:rFonts w:hint="eastAsia"/>
                <w:spacing w:val="-1"/>
                <w:lang w:eastAsia="zh-CN"/>
              </w:rPr>
              <w:t>采购代理机构</w:t>
            </w:r>
            <w:r>
              <w:rPr>
                <w:spacing w:val="-1"/>
              </w:rPr>
              <w:t>应当对上述开标过程做好记录，存档备查。</w:t>
            </w:r>
          </w:p>
        </w:tc>
      </w:tr>
      <w:tr w14:paraId="1DDCC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0" w:type="auto"/>
            <w:tcBorders>
              <w:left w:val="single" w:color="000000" w:sz="4" w:space="0"/>
            </w:tcBorders>
            <w:vAlign w:val="center"/>
          </w:tcPr>
          <w:p w14:paraId="689131F0">
            <w:pPr>
              <w:pStyle w:val="29"/>
              <w:keepLines w:val="0"/>
              <w:pageBreakBefore w:val="0"/>
              <w:kinsoku/>
              <w:wordWrap/>
              <w:overflowPunct/>
              <w:topLinePunct w:val="0"/>
              <w:bidi w:val="0"/>
              <w:spacing w:before="78" w:line="180" w:lineRule="auto"/>
              <w:jc w:val="center"/>
              <w:rPr>
                <w:rFonts w:hint="default" w:eastAsia="仿宋"/>
                <w:lang w:val="en-US" w:eastAsia="zh-CN"/>
              </w:rPr>
            </w:pPr>
            <w:r>
              <w:rPr>
                <w:rFonts w:hint="eastAsia"/>
                <w:spacing w:val="-6"/>
                <w:lang w:val="en-US" w:eastAsia="zh-CN"/>
              </w:rPr>
              <w:t>34</w:t>
            </w:r>
          </w:p>
        </w:tc>
        <w:tc>
          <w:tcPr>
            <w:tcW w:w="1485" w:type="dxa"/>
            <w:vAlign w:val="center"/>
          </w:tcPr>
          <w:p w14:paraId="7C929277">
            <w:pPr>
              <w:pStyle w:val="29"/>
              <w:keepLines w:val="0"/>
              <w:pageBreakBefore w:val="0"/>
              <w:kinsoku/>
              <w:wordWrap/>
              <w:overflowPunct/>
              <w:topLinePunct w:val="0"/>
              <w:bidi w:val="0"/>
              <w:spacing w:before="231" w:line="266" w:lineRule="auto"/>
              <w:ind w:right="153"/>
              <w:jc w:val="center"/>
              <w:rPr>
                <w:rFonts w:hint="default" w:eastAsia="仿宋"/>
                <w:lang w:val="en-US" w:eastAsia="zh-CN"/>
              </w:rPr>
            </w:pPr>
            <w:r>
              <w:rPr>
                <w:rFonts w:hint="eastAsia"/>
                <w:b/>
                <w:bCs/>
                <w:spacing w:val="-3"/>
                <w:lang w:val="en-US" w:eastAsia="zh-CN"/>
              </w:rPr>
              <w:t>发布媒体</w:t>
            </w:r>
          </w:p>
        </w:tc>
        <w:tc>
          <w:tcPr>
            <w:tcW w:w="7831" w:type="dxa"/>
            <w:tcBorders>
              <w:right w:val="single" w:color="000000" w:sz="4" w:space="0"/>
            </w:tcBorders>
            <w:vAlign w:val="center"/>
          </w:tcPr>
          <w:p w14:paraId="1DD795D6">
            <w:pPr>
              <w:pStyle w:val="29"/>
              <w:keepLines w:val="0"/>
              <w:pageBreakBefore w:val="0"/>
              <w:kinsoku/>
              <w:wordWrap/>
              <w:overflowPunct/>
              <w:topLinePunct w:val="0"/>
              <w:bidi w:val="0"/>
              <w:spacing w:before="232" w:line="360" w:lineRule="auto"/>
              <w:ind w:left="122" w:right="215"/>
              <w:jc w:val="both"/>
              <w:rPr>
                <w:rFonts w:hint="default"/>
                <w:lang w:val="en-US" w:eastAsia="zh-CN"/>
              </w:rPr>
            </w:pPr>
            <w:r>
              <w:rPr>
                <w:rFonts w:hint="eastAsia"/>
                <w:lang w:val="en-US" w:eastAsia="zh-CN"/>
              </w:rPr>
              <w:t>1、新疆政府采购网，</w:t>
            </w:r>
            <w:r>
              <w:rPr>
                <w:rFonts w:ascii="仿宋" w:hAnsi="仿宋" w:eastAsia="仿宋" w:cs="仿宋"/>
                <w:i w:val="0"/>
                <w:iCs w:val="0"/>
                <w:caps w:val="0"/>
                <w:color w:val="000000"/>
                <w:spacing w:val="0"/>
                <w:sz w:val="27"/>
                <w:szCs w:val="27"/>
              </w:rPr>
              <w:t>阿克苏地区行政公署网上</w:t>
            </w:r>
            <w:r>
              <w:rPr>
                <w:rFonts w:hint="eastAsia"/>
                <w:lang w:val="en-US" w:eastAsia="zh-CN"/>
              </w:rPr>
              <w:t>发布;</w:t>
            </w:r>
          </w:p>
          <w:p w14:paraId="2FD06585">
            <w:pPr>
              <w:pStyle w:val="29"/>
              <w:keepLines w:val="0"/>
              <w:pageBreakBefore w:val="0"/>
              <w:kinsoku/>
              <w:wordWrap/>
              <w:overflowPunct/>
              <w:topLinePunct w:val="0"/>
              <w:bidi w:val="0"/>
              <w:spacing w:before="232" w:line="360" w:lineRule="auto"/>
              <w:ind w:left="122" w:right="215"/>
              <w:jc w:val="both"/>
            </w:pPr>
            <w:r>
              <w:rPr>
                <w:rFonts w:hint="eastAsia"/>
                <w:lang w:val="en-US" w:eastAsia="zh-CN"/>
              </w:rPr>
              <w:t>2、成交结果公告期不少于3个工作日。</w:t>
            </w:r>
          </w:p>
        </w:tc>
      </w:tr>
      <w:tr w14:paraId="79BDB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0" w:type="auto"/>
            <w:tcBorders>
              <w:left w:val="single" w:color="000000" w:sz="4" w:space="0"/>
            </w:tcBorders>
            <w:vAlign w:val="center"/>
          </w:tcPr>
          <w:p w14:paraId="467FB4BA">
            <w:pPr>
              <w:pStyle w:val="29"/>
              <w:keepLines w:val="0"/>
              <w:pageBreakBefore w:val="0"/>
              <w:kinsoku/>
              <w:wordWrap/>
              <w:overflowPunct/>
              <w:topLinePunct w:val="0"/>
              <w:bidi w:val="0"/>
              <w:spacing w:before="78" w:line="180" w:lineRule="auto"/>
              <w:jc w:val="center"/>
              <w:rPr>
                <w:rFonts w:hint="default" w:eastAsia="仿宋"/>
                <w:lang w:val="en-US" w:eastAsia="zh-CN"/>
              </w:rPr>
            </w:pPr>
            <w:r>
              <w:rPr>
                <w:rFonts w:hint="eastAsia"/>
                <w:spacing w:val="-7"/>
                <w:lang w:val="en-US" w:eastAsia="zh-CN"/>
              </w:rPr>
              <w:t>35</w:t>
            </w:r>
          </w:p>
        </w:tc>
        <w:tc>
          <w:tcPr>
            <w:tcW w:w="1485" w:type="dxa"/>
            <w:vAlign w:val="center"/>
          </w:tcPr>
          <w:p w14:paraId="39B9B6F3">
            <w:pPr>
              <w:pStyle w:val="29"/>
              <w:keepLines w:val="0"/>
              <w:pageBreakBefore w:val="0"/>
              <w:kinsoku/>
              <w:wordWrap/>
              <w:overflowPunct/>
              <w:topLinePunct w:val="0"/>
              <w:bidi w:val="0"/>
              <w:spacing w:before="78" w:line="222" w:lineRule="auto"/>
              <w:jc w:val="center"/>
            </w:pPr>
            <w:r>
              <w:rPr>
                <w:b/>
                <w:bCs/>
                <w:spacing w:val="-7"/>
              </w:rPr>
              <w:t>相关费用</w:t>
            </w:r>
          </w:p>
        </w:tc>
        <w:tc>
          <w:tcPr>
            <w:tcW w:w="7831" w:type="dxa"/>
            <w:tcBorders>
              <w:right w:val="single" w:color="000000" w:sz="4" w:space="0"/>
            </w:tcBorders>
            <w:vAlign w:val="center"/>
          </w:tcPr>
          <w:p w14:paraId="685AD153">
            <w:pPr>
              <w:pStyle w:val="29"/>
              <w:keepLines w:val="0"/>
              <w:pageBreakBefore w:val="0"/>
              <w:kinsoku/>
              <w:wordWrap/>
              <w:overflowPunct/>
              <w:topLinePunct w:val="0"/>
              <w:bidi w:val="0"/>
              <w:spacing w:before="114" w:line="360" w:lineRule="auto"/>
              <w:ind w:left="117" w:right="119" w:hanging="4"/>
              <w:jc w:val="both"/>
            </w:pPr>
            <w:r>
              <w:rPr>
                <w:spacing w:val="-2"/>
              </w:rPr>
              <w:t>代理服务费：</w:t>
            </w:r>
            <w:r>
              <w:rPr>
                <w:rFonts w:hint="eastAsia"/>
                <w:spacing w:val="-2"/>
                <w:lang w:eastAsia="zh-CN"/>
              </w:rPr>
              <w:t>招标代理服务费参照《招标代理服务收费管理暂行办法》（计价格〔2002〕1980号）规定计取（按差额定率累进法计算）</w:t>
            </w:r>
            <w:r>
              <w:rPr>
                <w:spacing w:val="-2"/>
              </w:rPr>
              <w:t>，由中标（成交）人向采购代理机构交纳代理服务费。</w:t>
            </w:r>
          </w:p>
        </w:tc>
      </w:tr>
      <w:tr w14:paraId="73252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tcBorders>
              <w:left w:val="single" w:color="000000" w:sz="4" w:space="0"/>
            </w:tcBorders>
            <w:vAlign w:val="center"/>
          </w:tcPr>
          <w:p w14:paraId="628E0437">
            <w:pPr>
              <w:pStyle w:val="29"/>
              <w:keepLines w:val="0"/>
              <w:pageBreakBefore w:val="0"/>
              <w:kinsoku/>
              <w:wordWrap/>
              <w:overflowPunct/>
              <w:topLinePunct w:val="0"/>
              <w:bidi w:val="0"/>
              <w:spacing w:before="78" w:line="181" w:lineRule="auto"/>
              <w:jc w:val="center"/>
              <w:rPr>
                <w:rFonts w:hint="eastAsia" w:ascii="仿宋" w:hAnsi="仿宋" w:eastAsia="仿宋" w:cs="仿宋"/>
                <w:snapToGrid w:val="0"/>
                <w:color w:val="auto"/>
                <w:kern w:val="0"/>
                <w:sz w:val="24"/>
                <w:szCs w:val="24"/>
                <w:lang w:val="en-US" w:eastAsia="zh-CN" w:bidi="ar-SA"/>
              </w:rPr>
            </w:pPr>
            <w:r>
              <w:rPr>
                <w:color w:val="auto"/>
                <w:spacing w:val="-7"/>
              </w:rPr>
              <w:t>3</w:t>
            </w:r>
            <w:r>
              <w:rPr>
                <w:rFonts w:hint="eastAsia"/>
                <w:color w:val="auto"/>
                <w:spacing w:val="-7"/>
                <w:lang w:val="en-US" w:eastAsia="zh-CN"/>
              </w:rPr>
              <w:t>6</w:t>
            </w:r>
          </w:p>
        </w:tc>
        <w:tc>
          <w:tcPr>
            <w:tcW w:w="1485" w:type="dxa"/>
            <w:vAlign w:val="center"/>
          </w:tcPr>
          <w:p w14:paraId="64670A3A">
            <w:pPr>
              <w:pStyle w:val="29"/>
              <w:keepLines w:val="0"/>
              <w:pageBreakBefore w:val="0"/>
              <w:kinsoku/>
              <w:wordWrap/>
              <w:overflowPunct/>
              <w:topLinePunct w:val="0"/>
              <w:bidi w:val="0"/>
              <w:spacing w:before="78" w:line="265" w:lineRule="auto"/>
              <w:ind w:right="153" w:rightChars="0"/>
              <w:jc w:val="center"/>
              <w:rPr>
                <w:rFonts w:ascii="仿宋" w:hAnsi="仿宋" w:eastAsia="仿宋" w:cs="仿宋"/>
                <w:snapToGrid w:val="0"/>
                <w:color w:val="auto"/>
                <w:kern w:val="0"/>
                <w:sz w:val="24"/>
                <w:szCs w:val="24"/>
                <w:lang w:val="en-US" w:eastAsia="en-US" w:bidi="ar-SA"/>
              </w:rPr>
            </w:pPr>
            <w:r>
              <w:rPr>
                <w:b/>
                <w:bCs/>
                <w:color w:val="auto"/>
                <w:spacing w:val="-6"/>
              </w:rPr>
              <w:t>落实政府采购政</w:t>
            </w:r>
            <w:r>
              <w:rPr>
                <w:b/>
                <w:bCs/>
                <w:color w:val="auto"/>
                <w:spacing w:val="-3"/>
              </w:rPr>
              <w:t>策</w:t>
            </w:r>
          </w:p>
        </w:tc>
        <w:tc>
          <w:tcPr>
            <w:tcW w:w="7831" w:type="dxa"/>
            <w:tcBorders>
              <w:right w:val="single" w:color="000000" w:sz="4" w:space="0"/>
            </w:tcBorders>
            <w:vAlign w:val="center"/>
          </w:tcPr>
          <w:p w14:paraId="1F4879E2">
            <w:pPr>
              <w:pStyle w:val="29"/>
              <w:keepLines w:val="0"/>
              <w:pageBreakBefore w:val="0"/>
              <w:kinsoku/>
              <w:wordWrap/>
              <w:overflowPunct/>
              <w:topLinePunct w:val="0"/>
              <w:bidi w:val="0"/>
              <w:spacing w:before="120" w:line="360" w:lineRule="auto"/>
              <w:ind w:left="121" w:right="119" w:hanging="3"/>
              <w:jc w:val="both"/>
              <w:rPr>
                <w:color w:val="auto"/>
                <w:spacing w:val="3"/>
              </w:rPr>
            </w:pPr>
            <w:r>
              <w:rPr>
                <w:color w:val="auto"/>
                <w:spacing w:val="-6"/>
              </w:rPr>
              <w:t>支持中小企业发展，《政府采购促进中小企业发展管理办法》（财</w:t>
            </w:r>
            <w:r>
              <w:rPr>
                <w:color w:val="auto"/>
                <w:spacing w:val="-5"/>
              </w:rPr>
              <w:t>库[2020]46号</w:t>
            </w:r>
            <w:r>
              <w:rPr>
                <w:color w:val="auto"/>
                <w:spacing w:val="3"/>
              </w:rPr>
              <w:t>）：</w:t>
            </w:r>
          </w:p>
          <w:p w14:paraId="3EF82672">
            <w:pPr>
              <w:pStyle w:val="29"/>
              <w:keepLines w:val="0"/>
              <w:pageBreakBefore w:val="0"/>
              <w:kinsoku/>
              <w:wordWrap/>
              <w:overflowPunct/>
              <w:topLinePunct w:val="0"/>
              <w:bidi w:val="0"/>
              <w:spacing w:before="120" w:line="360" w:lineRule="auto"/>
              <w:ind w:left="121" w:right="119" w:hanging="3"/>
              <w:jc w:val="both"/>
              <w:rPr>
                <w:color w:val="auto"/>
                <w:spacing w:val="3"/>
                <w:highlight w:val="none"/>
              </w:rPr>
            </w:pPr>
            <w:r>
              <w:rPr>
                <w:rFonts w:hint="eastAsia"/>
                <w:color w:val="auto"/>
                <w:spacing w:val="3"/>
                <w:highlight w:val="none"/>
                <w:lang w:val="en-US" w:eastAsia="zh-CN"/>
              </w:rPr>
              <w:t>□本项目专门面向中小企业采购，投标人为中小企业，不再执行价格评审优惠政策。</w:t>
            </w:r>
          </w:p>
          <w:p w14:paraId="56790775">
            <w:pPr>
              <w:pStyle w:val="29"/>
              <w:keepLines w:val="0"/>
              <w:pageBreakBefore w:val="0"/>
              <w:kinsoku/>
              <w:wordWrap/>
              <w:overflowPunct/>
              <w:topLinePunct w:val="0"/>
              <w:bidi w:val="0"/>
              <w:spacing w:before="120" w:line="360" w:lineRule="auto"/>
              <w:ind w:left="121" w:right="119" w:hanging="3"/>
              <w:jc w:val="both"/>
              <w:rPr>
                <w:color w:val="auto"/>
                <w:highlight w:val="none"/>
              </w:rPr>
            </w:pPr>
            <w:r>
              <w:rPr>
                <w:rFonts w:hint="eastAsia"/>
                <w:color w:val="auto"/>
                <w:spacing w:val="3"/>
                <w:highlight w:val="none"/>
                <w:lang w:val="en-US" w:eastAsia="zh-CN"/>
              </w:rPr>
              <w:t>☑非专门面向中小企业采购，给与符合规定的小微企业、监狱企业或残疾人福利性单位的报价扣除10%后参与评审。</w:t>
            </w:r>
          </w:p>
          <w:p w14:paraId="20522D70">
            <w:pPr>
              <w:pStyle w:val="29"/>
              <w:keepLines w:val="0"/>
              <w:pageBreakBefore w:val="0"/>
              <w:kinsoku/>
              <w:wordWrap/>
              <w:overflowPunct/>
              <w:topLinePunct w:val="0"/>
              <w:bidi w:val="0"/>
              <w:spacing w:before="109" w:line="360" w:lineRule="auto"/>
              <w:ind w:left="118" w:right="119" w:hanging="4"/>
              <w:jc w:val="both"/>
              <w:rPr>
                <w:rFonts w:hint="eastAsia"/>
                <w:b/>
                <w:bCs/>
                <w:color w:val="auto"/>
                <w:spacing w:val="-2"/>
                <w:highlight w:val="none"/>
                <w:lang w:eastAsia="zh-CN"/>
              </w:rPr>
            </w:pPr>
            <w:r>
              <w:rPr>
                <w:rFonts w:hint="eastAsia"/>
                <w:b/>
                <w:bCs/>
                <w:color w:val="auto"/>
                <w:spacing w:val="-2"/>
                <w:highlight w:val="none"/>
                <w:lang w:eastAsia="zh-CN"/>
              </w:rPr>
              <w:t>注：（监狱企业、残疾人福利性单位视同小型、微型企业）。</w:t>
            </w:r>
          </w:p>
          <w:p w14:paraId="361E0678">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26C5FC6C">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79ADCA6B">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4A5E2BF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D35F0C1">
            <w:pPr>
              <w:pStyle w:val="29"/>
              <w:keepLines w:val="0"/>
              <w:pageBreakBefore w:val="0"/>
              <w:kinsoku/>
              <w:wordWrap/>
              <w:overflowPunct/>
              <w:topLinePunct w:val="0"/>
              <w:bidi w:val="0"/>
              <w:spacing w:before="115" w:line="360" w:lineRule="auto"/>
              <w:ind w:left="122" w:leftChars="0" w:right="215" w:rightChars="0" w:hanging="12" w:firstLineChars="0"/>
              <w:jc w:val="both"/>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i w:val="0"/>
                <w:iCs w:val="0"/>
                <w:caps w:val="0"/>
                <w:color w:val="auto"/>
                <w:spacing w:val="0"/>
                <w:sz w:val="27"/>
                <w:szCs w:val="27"/>
              </w:rPr>
              <w:t>。</w:t>
            </w:r>
          </w:p>
        </w:tc>
      </w:tr>
      <w:tr w14:paraId="7188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6" w:hRule="atLeast"/>
        </w:trPr>
        <w:tc>
          <w:tcPr>
            <w:tcW w:w="0" w:type="auto"/>
            <w:tcBorders>
              <w:left w:val="single" w:color="000000" w:sz="4" w:space="0"/>
            </w:tcBorders>
            <w:vAlign w:val="center"/>
          </w:tcPr>
          <w:p w14:paraId="11F602E5">
            <w:pPr>
              <w:pStyle w:val="29"/>
              <w:keepLines w:val="0"/>
              <w:pageBreakBefore w:val="0"/>
              <w:kinsoku/>
              <w:wordWrap/>
              <w:overflowPunct/>
              <w:topLinePunct w:val="0"/>
              <w:bidi w:val="0"/>
              <w:spacing w:before="78" w:line="180" w:lineRule="auto"/>
              <w:jc w:val="center"/>
              <w:rPr>
                <w:rFonts w:hint="eastAsia" w:eastAsia="仿宋"/>
                <w:lang w:val="en-US" w:eastAsia="zh-CN"/>
              </w:rPr>
            </w:pPr>
            <w:r>
              <w:rPr>
                <w:spacing w:val="-7"/>
              </w:rPr>
              <w:t>3</w:t>
            </w:r>
            <w:r>
              <w:rPr>
                <w:rFonts w:hint="eastAsia"/>
                <w:spacing w:val="-7"/>
                <w:lang w:val="en-US" w:eastAsia="zh-CN"/>
              </w:rPr>
              <w:t>7</w:t>
            </w:r>
          </w:p>
        </w:tc>
        <w:tc>
          <w:tcPr>
            <w:tcW w:w="1485" w:type="dxa"/>
            <w:vAlign w:val="center"/>
          </w:tcPr>
          <w:p w14:paraId="35BC3C69">
            <w:pPr>
              <w:pStyle w:val="29"/>
              <w:keepLines w:val="0"/>
              <w:pageBreakBefore w:val="0"/>
              <w:kinsoku/>
              <w:wordWrap/>
              <w:overflowPunct/>
              <w:topLinePunct w:val="0"/>
              <w:bidi w:val="0"/>
              <w:spacing w:before="78" w:line="222" w:lineRule="auto"/>
              <w:jc w:val="center"/>
            </w:pPr>
            <w:r>
              <w:rPr>
                <w:b/>
                <w:bCs/>
                <w:spacing w:val="-7"/>
              </w:rPr>
              <w:t>补充内容</w:t>
            </w:r>
          </w:p>
        </w:tc>
        <w:tc>
          <w:tcPr>
            <w:tcW w:w="7831" w:type="dxa"/>
            <w:tcBorders>
              <w:right w:val="single" w:color="000000" w:sz="4" w:space="0"/>
            </w:tcBorders>
            <w:vAlign w:val="center"/>
          </w:tcPr>
          <w:p w14:paraId="5B302423">
            <w:pPr>
              <w:pStyle w:val="29"/>
              <w:keepLines w:val="0"/>
              <w:pageBreakBefore w:val="0"/>
              <w:kinsoku/>
              <w:wordWrap/>
              <w:overflowPunct/>
              <w:topLinePunct w:val="0"/>
              <w:bidi w:val="0"/>
              <w:spacing w:before="116" w:line="360" w:lineRule="auto"/>
              <w:ind w:left="120" w:right="20" w:firstLine="8"/>
              <w:jc w:val="both"/>
            </w:pPr>
            <w:r>
              <w:rPr>
                <w:spacing w:val="2"/>
              </w:rPr>
              <w:t>1.电子投标文件使用“新疆维吾尔自治区全流程电子招投标项目</w:t>
            </w:r>
            <w:r>
              <w:rPr>
                <w:spacing w:val="-7"/>
              </w:rPr>
              <w:t>管理系统--</w:t>
            </w:r>
            <w:r>
              <w:rPr>
                <w:rFonts w:hint="eastAsia"/>
                <w:spacing w:val="-7"/>
                <w:lang w:eastAsia="zh-CN"/>
              </w:rPr>
              <w:t>投标人</w:t>
            </w:r>
            <w:r>
              <w:rPr>
                <w:spacing w:val="-7"/>
              </w:rPr>
              <w:t>客户端”制作完成，生成电子加密标书（.jmbs）</w:t>
            </w:r>
            <w:r>
              <w:rPr>
                <w:spacing w:val="-2"/>
              </w:rPr>
              <w:t>上传至政采云平台。</w:t>
            </w:r>
          </w:p>
          <w:p w14:paraId="4D7B2B02">
            <w:pPr>
              <w:pStyle w:val="29"/>
              <w:keepLines w:val="0"/>
              <w:pageBreakBefore w:val="0"/>
              <w:kinsoku/>
              <w:wordWrap/>
              <w:overflowPunct/>
              <w:topLinePunct w:val="0"/>
              <w:bidi w:val="0"/>
              <w:spacing w:before="114" w:line="360" w:lineRule="auto"/>
              <w:ind w:left="117" w:right="119" w:hanging="3"/>
              <w:jc w:val="both"/>
            </w:pPr>
            <w:r>
              <w:rPr>
                <w:spacing w:val="1"/>
              </w:rPr>
              <w:t>2.备份标书：</w:t>
            </w:r>
            <w:r>
              <w:rPr>
                <w:rFonts w:hint="eastAsia"/>
                <w:spacing w:val="1"/>
                <w:lang w:eastAsia="zh-CN"/>
              </w:rPr>
              <w:t>投标人</w:t>
            </w:r>
            <w:r>
              <w:rPr>
                <w:spacing w:val="1"/>
              </w:rPr>
              <w:t>根据自身情况自愿制作备份标书（.</w:t>
            </w:r>
            <w:r>
              <w:t>bfbs</w:t>
            </w:r>
            <w:r>
              <w:rPr>
                <w:spacing w:val="1"/>
              </w:rPr>
              <w:t>）,</w:t>
            </w:r>
            <w:r>
              <w:rPr>
                <w:spacing w:val="3"/>
              </w:rPr>
              <w:t>备份标书在开标时，因开标系统原因解密不成功时方</w:t>
            </w:r>
            <w:r>
              <w:rPr>
                <w:spacing w:val="2"/>
              </w:rPr>
              <w:t>可上传备份</w:t>
            </w:r>
            <w:r>
              <w:t>标书。其他因</w:t>
            </w:r>
            <w:r>
              <w:rPr>
                <w:rFonts w:hint="eastAsia"/>
                <w:lang w:eastAsia="zh-CN"/>
              </w:rPr>
              <w:t>投标人</w:t>
            </w:r>
            <w:r>
              <w:t>制作标书失误问题，数字证书（CA锁）问题</w:t>
            </w:r>
            <w:r>
              <w:rPr>
                <w:spacing w:val="-1"/>
              </w:rPr>
              <w:t>导致不能现场解密的情况不允许上传备份文件。</w:t>
            </w:r>
          </w:p>
          <w:p w14:paraId="4CA2E7DC">
            <w:pPr>
              <w:pStyle w:val="29"/>
              <w:keepLines w:val="0"/>
              <w:pageBreakBefore w:val="0"/>
              <w:kinsoku/>
              <w:wordWrap/>
              <w:overflowPunct/>
              <w:topLinePunct w:val="0"/>
              <w:bidi w:val="0"/>
              <w:spacing w:before="110" w:line="360" w:lineRule="auto"/>
              <w:ind w:left="117" w:right="119" w:hanging="1"/>
              <w:jc w:val="both"/>
            </w:pPr>
            <w:r>
              <w:rPr>
                <w:spacing w:val="3"/>
              </w:rPr>
              <w:t>3.</w:t>
            </w:r>
            <w:r>
              <w:rPr>
                <w:rFonts w:hint="eastAsia"/>
                <w:spacing w:val="3"/>
                <w:lang w:eastAsia="zh-CN"/>
              </w:rPr>
              <w:t>投标人</w:t>
            </w:r>
            <w:r>
              <w:rPr>
                <w:spacing w:val="3"/>
              </w:rPr>
              <w:t>制作电子投标书加密文件应与开标现场解</w:t>
            </w:r>
            <w:r>
              <w:rPr>
                <w:spacing w:val="2"/>
              </w:rPr>
              <w:t>密时的数字证</w:t>
            </w:r>
            <w:r>
              <w:rPr>
                <w:spacing w:val="-3"/>
              </w:rPr>
              <w:t>书（CA锁）同为一把，若因数字证书（CA锁）不是同一把锁导致</w:t>
            </w:r>
            <w:r>
              <w:rPr>
                <w:spacing w:val="-1"/>
              </w:rPr>
              <w:t>现场解密失败的，</w:t>
            </w:r>
            <w:r>
              <w:rPr>
                <w:rFonts w:hint="eastAsia"/>
                <w:spacing w:val="-1"/>
                <w:lang w:eastAsia="zh-CN"/>
              </w:rPr>
              <w:t>投标人</w:t>
            </w:r>
            <w:r>
              <w:rPr>
                <w:spacing w:val="-1"/>
              </w:rPr>
              <w:t>自行承担后果。</w:t>
            </w:r>
          </w:p>
          <w:p w14:paraId="2D9B1A8E">
            <w:pPr>
              <w:pStyle w:val="29"/>
              <w:keepLines w:val="0"/>
              <w:pageBreakBefore w:val="0"/>
              <w:kinsoku/>
              <w:wordWrap/>
              <w:overflowPunct/>
              <w:topLinePunct w:val="0"/>
              <w:bidi w:val="0"/>
              <w:spacing w:before="112" w:line="360" w:lineRule="auto"/>
              <w:ind w:left="127" w:right="119" w:hanging="17"/>
              <w:jc w:val="both"/>
            </w:pPr>
            <w:r>
              <w:t>4.数字证书办理：</w:t>
            </w:r>
            <w:r>
              <w:rPr>
                <w:rFonts w:hint="eastAsia"/>
                <w:lang w:eastAsia="zh-CN"/>
              </w:rPr>
              <w:t>投标人</w:t>
            </w:r>
            <w:r>
              <w:t>须自行办理政采云数字证书（CA锁）联</w:t>
            </w:r>
            <w:r>
              <w:rPr>
                <w:spacing w:val="-2"/>
              </w:rPr>
              <w:t>系方式：政采云热线：95763</w:t>
            </w:r>
          </w:p>
          <w:p w14:paraId="62B38E35">
            <w:pPr>
              <w:pStyle w:val="29"/>
              <w:keepLines w:val="0"/>
              <w:pageBreakBefore w:val="0"/>
              <w:kinsoku/>
              <w:wordWrap/>
              <w:overflowPunct/>
              <w:topLinePunct w:val="0"/>
              <w:bidi w:val="0"/>
              <w:spacing w:before="113" w:line="360" w:lineRule="auto"/>
              <w:ind w:left="144" w:hanging="28"/>
              <w:jc w:val="both"/>
            </w:pPr>
            <w:r>
              <w:rPr>
                <w:spacing w:val="-2"/>
              </w:rPr>
              <w:t>5.</w:t>
            </w:r>
            <w:r>
              <w:rPr>
                <w:rFonts w:hint="eastAsia"/>
                <w:spacing w:val="-2"/>
                <w:lang w:eastAsia="zh-CN"/>
              </w:rPr>
              <w:t>投标人</w:t>
            </w:r>
            <w:r>
              <w:rPr>
                <w:spacing w:val="-2"/>
              </w:rPr>
              <w:t>应认真学习关于开展自治区政府采</w:t>
            </w:r>
            <w:r>
              <w:rPr>
                <w:spacing w:val="-3"/>
              </w:rPr>
              <w:t>购“不见面开标系统”</w:t>
            </w:r>
            <w:r>
              <w:rPr>
                <w:spacing w:val="-7"/>
              </w:rPr>
              <w:t>网络培训的通知，制作电子投标书。</w:t>
            </w:r>
          </w:p>
        </w:tc>
      </w:tr>
      <w:tr w14:paraId="37B36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0" w:type="auto"/>
            <w:tcBorders>
              <w:left w:val="single" w:color="000000" w:sz="4" w:space="0"/>
            </w:tcBorders>
            <w:vAlign w:val="center"/>
          </w:tcPr>
          <w:p w14:paraId="1A614E31">
            <w:pPr>
              <w:pStyle w:val="29"/>
              <w:keepLines w:val="0"/>
              <w:pageBreakBefore w:val="0"/>
              <w:kinsoku/>
              <w:wordWrap/>
              <w:overflowPunct/>
              <w:topLinePunct w:val="0"/>
              <w:bidi w:val="0"/>
              <w:spacing w:before="78" w:line="180" w:lineRule="auto"/>
              <w:jc w:val="center"/>
              <w:rPr>
                <w:rFonts w:hint="default" w:eastAsia="仿宋"/>
                <w:spacing w:val="-7"/>
                <w:lang w:val="en-US" w:eastAsia="zh-CN"/>
              </w:rPr>
            </w:pPr>
            <w:r>
              <w:rPr>
                <w:rFonts w:hint="eastAsia"/>
                <w:spacing w:val="-7"/>
                <w:lang w:val="en-US" w:eastAsia="zh-CN"/>
              </w:rPr>
              <w:t>38</w:t>
            </w:r>
          </w:p>
        </w:tc>
        <w:tc>
          <w:tcPr>
            <w:tcW w:w="1485" w:type="dxa"/>
            <w:vAlign w:val="center"/>
          </w:tcPr>
          <w:p w14:paraId="42F92180">
            <w:pPr>
              <w:pStyle w:val="29"/>
              <w:keepLines w:val="0"/>
              <w:pageBreakBefore w:val="0"/>
              <w:kinsoku/>
              <w:wordWrap/>
              <w:overflowPunct/>
              <w:topLinePunct w:val="0"/>
              <w:bidi w:val="0"/>
              <w:spacing w:before="78" w:line="222" w:lineRule="auto"/>
              <w:jc w:val="center"/>
              <w:rPr>
                <w:b/>
                <w:bCs/>
                <w:spacing w:val="-7"/>
              </w:rPr>
            </w:pPr>
            <w:r>
              <w:rPr>
                <w:b/>
                <w:bCs/>
                <w:spacing w:val="-7"/>
              </w:rPr>
              <w:t>相同品牌产品参加投标处理办法</w:t>
            </w:r>
          </w:p>
        </w:tc>
        <w:tc>
          <w:tcPr>
            <w:tcW w:w="7831" w:type="dxa"/>
            <w:tcBorders>
              <w:right w:val="single" w:color="000000" w:sz="4" w:space="0"/>
            </w:tcBorders>
            <w:vAlign w:val="center"/>
          </w:tcPr>
          <w:p w14:paraId="2241B6DF">
            <w:pPr>
              <w:pStyle w:val="29"/>
              <w:keepLines w:val="0"/>
              <w:pageBreakBefore w:val="0"/>
              <w:kinsoku/>
              <w:wordWrap/>
              <w:overflowPunct/>
              <w:topLinePunct w:val="0"/>
              <w:bidi w:val="0"/>
              <w:spacing w:before="113" w:line="360" w:lineRule="auto"/>
              <w:ind w:left="144" w:hanging="28"/>
              <w:jc w:val="both"/>
              <w:rPr>
                <w:rFonts w:hint="eastAsia"/>
                <w:spacing w:val="-2"/>
                <w:lang w:val="zh-CN" w:eastAsia="zh-CN"/>
              </w:rPr>
            </w:pPr>
            <w:r>
              <w:rPr>
                <w:rFonts w:hint="eastAsia"/>
                <w:spacing w:val="-2"/>
                <w:lang w:val="zh-CN"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 的方式确定一个投标人获得中标人推荐资格，招标文件未规定的采取随机抽取方式确定，其他同品牌投标人不作为中标候选人。</w:t>
            </w:r>
          </w:p>
          <w:p w14:paraId="4F9D35B4">
            <w:pPr>
              <w:pStyle w:val="29"/>
              <w:keepLines w:val="0"/>
              <w:pageBreakBefore w:val="0"/>
              <w:kinsoku/>
              <w:wordWrap/>
              <w:overflowPunct/>
              <w:topLinePunct w:val="0"/>
              <w:bidi w:val="0"/>
              <w:spacing w:before="113" w:line="360" w:lineRule="auto"/>
              <w:jc w:val="both"/>
              <w:rPr>
                <w:rFonts w:hint="eastAsia"/>
                <w:spacing w:val="-2"/>
                <w:lang w:val="zh-CN" w:eastAsia="zh-CN"/>
              </w:rPr>
            </w:pPr>
            <w:r>
              <w:rPr>
                <w:rFonts w:hint="eastAsia"/>
                <w:spacing w:val="-2"/>
                <w:lang w:val="zh-CN" w:eastAsia="zh-CN"/>
              </w:rPr>
              <w:t>非单一产品采购项目，采购人应当根据采购项目技术构成、产品 价格比重等合理确定核心产品，并在招标文件中载明。多家投标人提 供的核心产品品牌相同的，按前款规定处理</w:t>
            </w:r>
          </w:p>
        </w:tc>
      </w:tr>
      <w:tr w14:paraId="21793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30" w:type="dxa"/>
            <w:vMerge w:val="restart"/>
            <w:tcBorders>
              <w:left w:val="single" w:color="000000" w:sz="4" w:space="0"/>
            </w:tcBorders>
            <w:vAlign w:val="center"/>
          </w:tcPr>
          <w:p w14:paraId="0E8E2A8B">
            <w:pPr>
              <w:pStyle w:val="29"/>
              <w:keepLines w:val="0"/>
              <w:pageBreakBefore w:val="0"/>
              <w:kinsoku/>
              <w:wordWrap/>
              <w:overflowPunct/>
              <w:topLinePunct w:val="0"/>
              <w:bidi w:val="0"/>
              <w:spacing w:before="78" w:line="180" w:lineRule="auto"/>
              <w:jc w:val="center"/>
              <w:rPr>
                <w:rFonts w:hint="default"/>
                <w:spacing w:val="-7"/>
                <w:lang w:val="en-US" w:eastAsia="zh-CN"/>
              </w:rPr>
            </w:pPr>
            <w:r>
              <w:rPr>
                <w:rFonts w:hint="eastAsia"/>
                <w:spacing w:val="-7"/>
                <w:lang w:val="en-US" w:eastAsia="zh-CN"/>
              </w:rPr>
              <w:t>39</w:t>
            </w:r>
          </w:p>
        </w:tc>
        <w:tc>
          <w:tcPr>
            <w:tcW w:w="1485" w:type="dxa"/>
            <w:vMerge w:val="restart"/>
            <w:shd w:val="clear" w:color="auto" w:fill="auto"/>
            <w:vAlign w:val="center"/>
          </w:tcPr>
          <w:p w14:paraId="1D074C29">
            <w:pPr>
              <w:kinsoku/>
              <w:spacing w:line="360" w:lineRule="auto"/>
              <w:jc w:val="center"/>
              <w:rPr>
                <w:rFonts w:hint="default" w:ascii="仿宋" w:hAnsi="仿宋" w:eastAsia="仿宋" w:cs="仿宋"/>
                <w:b/>
                <w:bCs/>
                <w:snapToGrid w:val="0"/>
                <w:color w:val="000000"/>
                <w:spacing w:val="-7"/>
                <w:kern w:val="0"/>
                <w:sz w:val="24"/>
                <w:szCs w:val="24"/>
                <w:lang w:val="en-US" w:eastAsia="zh-CN" w:bidi="ar-SA"/>
              </w:rPr>
            </w:pPr>
            <w:r>
              <w:rPr>
                <w:rFonts w:hint="eastAsia" w:ascii="仿宋" w:hAnsi="仿宋" w:eastAsia="仿宋" w:cs="仿宋"/>
                <w:b/>
                <w:bCs/>
                <w:snapToGrid w:val="0"/>
                <w:color w:val="000000"/>
                <w:spacing w:val="-7"/>
                <w:kern w:val="0"/>
                <w:sz w:val="24"/>
                <w:szCs w:val="24"/>
                <w:lang w:val="en-US" w:eastAsia="zh-CN" w:bidi="ar-SA"/>
              </w:rPr>
              <w:t>其他说明</w:t>
            </w:r>
          </w:p>
        </w:tc>
        <w:tc>
          <w:tcPr>
            <w:tcW w:w="7831" w:type="dxa"/>
            <w:tcBorders>
              <w:right w:val="single" w:color="000000" w:sz="4" w:space="0"/>
            </w:tcBorders>
            <w:shd w:val="clear" w:color="auto" w:fill="auto"/>
            <w:vAlign w:val="center"/>
          </w:tcPr>
          <w:p w14:paraId="76CDA6CD">
            <w:pPr>
              <w:kinsoku/>
              <w:spacing w:line="360" w:lineRule="auto"/>
              <w:jc w:val="both"/>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 xml:space="preserve">特别提醒： 1、所有投标人的报价高于采购预算额度视为无效报价（即作否决投标处 理）。 2、采用提供相同品牌产品的不同投标人参加同一合同项下投标的，以其 中通过资格审查、符合性审查且报价最低的参加评标；报价相同的，由采 购人或者采购人委托评标委员会按照随机抽取方式确定一个参加评标的 投标人，其他同品牌投标人投标无效。 3、所有投标人的报价明显低于其他投标报价或者在设有标底时明显低于 标底，使得其投标报价可能低于其个别成本的，应当要求该投标人作出书 面说明并提供相应证明材料。投标人不能合理或者不能提供相应证明材料的，由评标委员会认定该投标人以低于成本报价竞标，其投标视为无效标 处理。 4、更正补充公告请自行登录新疆政府采购网查看下载。 </w:t>
            </w:r>
          </w:p>
          <w:p w14:paraId="415A3743">
            <w:pPr>
              <w:kinsoku/>
              <w:spacing w:line="360" w:lineRule="auto"/>
              <w:jc w:val="both"/>
              <w:rPr>
                <w:rFonts w:hint="eastAsia" w:ascii="仿宋" w:hAnsi="仿宋" w:eastAsia="仿宋" w:cs="仿宋"/>
                <w:spacing w:val="-2"/>
                <w:sz w:val="24"/>
                <w:szCs w:val="24"/>
                <w:lang w:eastAsia="zh-CN"/>
              </w:rPr>
            </w:pPr>
          </w:p>
        </w:tc>
      </w:tr>
      <w:tr w14:paraId="614A0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430" w:type="dxa"/>
            <w:vMerge w:val="continue"/>
            <w:tcBorders>
              <w:left w:val="single" w:color="000000" w:sz="4" w:space="0"/>
            </w:tcBorders>
            <w:vAlign w:val="center"/>
          </w:tcPr>
          <w:p w14:paraId="552C08F5">
            <w:pPr>
              <w:pStyle w:val="29"/>
              <w:keepLines w:val="0"/>
              <w:pageBreakBefore w:val="0"/>
              <w:kinsoku/>
              <w:wordWrap/>
              <w:overflowPunct/>
              <w:topLinePunct w:val="0"/>
              <w:bidi w:val="0"/>
              <w:spacing w:before="78" w:line="180" w:lineRule="auto"/>
              <w:jc w:val="center"/>
              <w:rPr>
                <w:rFonts w:hint="eastAsia"/>
                <w:spacing w:val="-7"/>
                <w:lang w:val="en-US" w:eastAsia="zh-CN"/>
              </w:rPr>
            </w:pPr>
          </w:p>
        </w:tc>
        <w:tc>
          <w:tcPr>
            <w:tcW w:w="1485" w:type="dxa"/>
            <w:vMerge w:val="continue"/>
            <w:shd w:val="clear" w:color="auto" w:fill="auto"/>
            <w:vAlign w:val="center"/>
          </w:tcPr>
          <w:p w14:paraId="24020C47">
            <w:pPr>
              <w:kinsoku/>
              <w:spacing w:line="360" w:lineRule="auto"/>
              <w:jc w:val="center"/>
              <w:rPr>
                <w:rFonts w:hint="eastAsia" w:ascii="仿宋" w:hAnsi="仿宋" w:eastAsia="仿宋" w:cs="仿宋"/>
                <w:b/>
                <w:bCs/>
                <w:snapToGrid w:val="0"/>
                <w:color w:val="000000"/>
                <w:spacing w:val="-7"/>
                <w:kern w:val="0"/>
                <w:sz w:val="24"/>
                <w:szCs w:val="24"/>
                <w:lang w:val="en-US" w:eastAsia="zh-CN" w:bidi="ar-SA"/>
              </w:rPr>
            </w:pPr>
          </w:p>
        </w:tc>
        <w:tc>
          <w:tcPr>
            <w:tcW w:w="7831" w:type="dxa"/>
            <w:tcBorders>
              <w:right w:val="single" w:color="000000" w:sz="4" w:space="0"/>
            </w:tcBorders>
            <w:shd w:val="clear" w:color="auto" w:fill="auto"/>
            <w:vAlign w:val="center"/>
          </w:tcPr>
          <w:p w14:paraId="1F828CA1">
            <w:pPr>
              <w:spacing w:line="360" w:lineRule="auto"/>
              <w:jc w:val="both"/>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设备采购整体项目的要求:</w:t>
            </w:r>
          </w:p>
          <w:p w14:paraId="0A315A8D">
            <w:pPr>
              <w:numPr>
                <w:ilvl w:val="0"/>
                <w:numId w:val="0"/>
              </w:numPr>
              <w:spacing w:line="360" w:lineRule="auto"/>
              <w:jc w:val="left"/>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1、售后服务要求:承诺质保期内免费维护保养,免费提供备品备件等内容且自甲方通知维护之日起，48 小时内务必即可响应解决设备问题不可收取任何费用。(质保期开始之日:为设备验收合格之日起)质保期后，仪器设备维修只收取配件费，免人工费，免检测费、免上门服务费。</w:t>
            </w:r>
          </w:p>
          <w:p w14:paraId="568DC491">
            <w:pPr>
              <w:numPr>
                <w:ilvl w:val="0"/>
                <w:numId w:val="0"/>
              </w:numPr>
              <w:spacing w:line="360" w:lineRule="auto"/>
              <w:jc w:val="left"/>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2、验收要求:按中标设备的名称、型号、技术参数、数量、生产日期、产地，并根据制造商的《产品合格证》《出厂清单》《技术文件》等进行现场验收，并由甲、乙双方签署验收报告。如有异议，各方应当在验收七天内以书面形式通知对方。</w:t>
            </w:r>
          </w:p>
          <w:p w14:paraId="7597F6AC">
            <w:pPr>
              <w:kinsoku/>
              <w:spacing w:line="360" w:lineRule="auto"/>
              <w:jc w:val="both"/>
              <w:rPr>
                <w:rFonts w:hint="eastAsia" w:ascii="仿宋" w:hAnsi="仿宋" w:eastAsia="仿宋" w:cs="仿宋"/>
                <w:spacing w:val="-2"/>
                <w:sz w:val="24"/>
                <w:szCs w:val="24"/>
                <w:lang w:eastAsia="zh-CN"/>
              </w:rPr>
            </w:pPr>
          </w:p>
        </w:tc>
      </w:tr>
    </w:tbl>
    <w:p w14:paraId="4D6AA66F">
      <w:pPr>
        <w:spacing w:before="147" w:line="219" w:lineRule="auto"/>
        <w:ind w:left="471"/>
        <w:rPr>
          <w:rFonts w:ascii="宋体" w:hAnsi="宋体" w:eastAsia="宋体" w:cs="宋体"/>
          <w:color w:val="auto"/>
          <w:sz w:val="24"/>
          <w:szCs w:val="24"/>
        </w:rPr>
      </w:pPr>
      <w:r>
        <w:rPr>
          <w:rFonts w:ascii="宋体" w:hAnsi="宋体" w:eastAsia="宋体" w:cs="宋体"/>
          <w:color w:val="auto"/>
          <w:spacing w:val="1"/>
          <w:sz w:val="24"/>
          <w:szCs w:val="24"/>
        </w:rPr>
        <w:t>注：本表内容与招标文件其它内容不一致的，应当以本表</w:t>
      </w:r>
      <w:r>
        <w:rPr>
          <w:rFonts w:ascii="宋体" w:hAnsi="宋体" w:eastAsia="宋体" w:cs="宋体"/>
          <w:color w:val="auto"/>
          <w:sz w:val="24"/>
          <w:szCs w:val="24"/>
        </w:rPr>
        <w:t>内容为准。</w:t>
      </w:r>
    </w:p>
    <w:p w14:paraId="07F1F19A">
      <w:pPr>
        <w:pStyle w:val="7"/>
        <w:keepLines w:val="0"/>
        <w:pageBreakBefore w:val="0"/>
        <w:kinsoku/>
        <w:wordWrap/>
        <w:overflowPunct/>
        <w:topLinePunct w:val="0"/>
        <w:bidi w:val="0"/>
        <w:spacing w:line="398" w:lineRule="auto"/>
      </w:pPr>
    </w:p>
    <w:p w14:paraId="400809F8">
      <w:pPr>
        <w:keepLines w:val="0"/>
        <w:pageBreakBefore w:val="0"/>
        <w:kinsoku/>
        <w:wordWrap/>
        <w:overflowPunct/>
        <w:topLinePunct w:val="0"/>
        <w:bidi w:val="0"/>
        <w:spacing w:before="65" w:line="232" w:lineRule="auto"/>
        <w:ind w:left="4494"/>
        <w:outlineLvl w:val="1"/>
        <w:rPr>
          <w:rFonts w:ascii="仿宋" w:hAnsi="仿宋" w:eastAsia="仿宋" w:cs="仿宋"/>
          <w:b/>
          <w:bCs/>
          <w:spacing w:val="4"/>
          <w:sz w:val="24"/>
          <w:szCs w:val="24"/>
        </w:rPr>
      </w:pPr>
    </w:p>
    <w:p w14:paraId="6BAD39F6">
      <w:pPr>
        <w:keepLines w:val="0"/>
        <w:pageBreakBefore w:val="0"/>
        <w:kinsoku/>
        <w:wordWrap/>
        <w:overflowPunct/>
        <w:topLinePunct w:val="0"/>
        <w:bidi w:val="0"/>
        <w:spacing w:before="65" w:line="232" w:lineRule="auto"/>
        <w:ind w:left="4494"/>
        <w:outlineLvl w:val="1"/>
        <w:rPr>
          <w:rFonts w:ascii="仿宋" w:hAnsi="仿宋" w:eastAsia="仿宋" w:cs="仿宋"/>
          <w:b/>
          <w:bCs/>
          <w:spacing w:val="4"/>
          <w:sz w:val="24"/>
          <w:szCs w:val="24"/>
        </w:rPr>
      </w:pPr>
    </w:p>
    <w:p w14:paraId="627D205C">
      <w:pPr>
        <w:rPr>
          <w:rFonts w:ascii="仿宋" w:hAnsi="仿宋" w:eastAsia="仿宋" w:cs="仿宋"/>
          <w:b/>
          <w:bCs/>
          <w:spacing w:val="4"/>
          <w:sz w:val="24"/>
          <w:szCs w:val="24"/>
        </w:rPr>
      </w:pPr>
      <w:r>
        <w:rPr>
          <w:rFonts w:ascii="仿宋" w:hAnsi="仿宋" w:eastAsia="仿宋" w:cs="仿宋"/>
          <w:b/>
          <w:bCs/>
          <w:spacing w:val="4"/>
          <w:sz w:val="24"/>
          <w:szCs w:val="24"/>
        </w:rPr>
        <w:br w:type="page"/>
      </w:r>
    </w:p>
    <w:p w14:paraId="2C8F9418">
      <w:pPr>
        <w:keepLines w:val="0"/>
        <w:pageBreakBefore w:val="0"/>
        <w:kinsoku/>
        <w:wordWrap/>
        <w:overflowPunct/>
        <w:topLinePunct w:val="0"/>
        <w:bidi w:val="0"/>
        <w:spacing w:before="65" w:line="232" w:lineRule="auto"/>
        <w:ind w:left="4494"/>
        <w:outlineLvl w:val="1"/>
        <w:rPr>
          <w:rFonts w:ascii="仿宋" w:hAnsi="仿宋" w:eastAsia="仿宋" w:cs="仿宋"/>
          <w:sz w:val="24"/>
          <w:szCs w:val="24"/>
        </w:rPr>
      </w:pPr>
      <w:r>
        <w:rPr>
          <w:rFonts w:ascii="仿宋" w:hAnsi="仿宋" w:eastAsia="仿宋" w:cs="仿宋"/>
          <w:b/>
          <w:bCs/>
          <w:spacing w:val="4"/>
          <w:sz w:val="24"/>
          <w:szCs w:val="24"/>
        </w:rPr>
        <w:t>一、总则</w:t>
      </w:r>
    </w:p>
    <w:p w14:paraId="591B7CC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1.适用法律、法规</w:t>
      </w:r>
    </w:p>
    <w:p w14:paraId="188AAA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本招标文件是依据《中华人民共和国政府采购法》《中华人民共和国政府采购法实施条例》《政府采购货物和服务招标投标管理办法》等有关法律、法规、规章和规范性文件的规定，根据本招标项目的特点和需要编制的。</w:t>
      </w:r>
    </w:p>
    <w:p w14:paraId="6581CFC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2.资金</w:t>
      </w:r>
    </w:p>
    <w:p w14:paraId="568A102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rPr>
        <w:t>资金，计划用于支付本次采购后所签订的合同项下的款项。</w:t>
      </w:r>
    </w:p>
    <w:p w14:paraId="59EE167D">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3.释义</w:t>
      </w:r>
    </w:p>
    <w:p w14:paraId="65E814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、买方、甲方”指</w:t>
      </w:r>
      <w:r>
        <w:rPr>
          <w:rFonts w:hint="eastAsia" w:ascii="仿宋" w:hAnsi="仿宋" w:eastAsia="仿宋" w:cs="仿宋"/>
          <w:spacing w:val="7"/>
          <w:sz w:val="24"/>
          <w:szCs w:val="24"/>
          <w:lang w:val="en-US" w:eastAsia="zh-CN"/>
        </w:rPr>
        <w:t>温宿县乡村振兴服务中心</w:t>
      </w:r>
      <w:r>
        <w:rPr>
          <w:rFonts w:ascii="仿宋" w:hAnsi="仿宋" w:eastAsia="仿宋" w:cs="仿宋"/>
          <w:spacing w:val="7"/>
          <w:sz w:val="24"/>
          <w:szCs w:val="24"/>
        </w:rPr>
        <w:t>；</w:t>
      </w:r>
    </w:p>
    <w:p w14:paraId="787DDE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：指为本次招标项目提供招投标服务组织工作的机构，即</w:t>
      </w:r>
      <w:r>
        <w:rPr>
          <w:rFonts w:hint="eastAsia" w:ascii="仿宋" w:hAnsi="仿宋" w:eastAsia="仿宋" w:cs="仿宋"/>
          <w:spacing w:val="7"/>
          <w:sz w:val="24"/>
          <w:szCs w:val="24"/>
          <w:lang w:val="en-US" w:eastAsia="zh-CN"/>
        </w:rPr>
        <w:t>阿克苏地区振远项目咨询管理有限公司</w:t>
      </w:r>
      <w:r>
        <w:rPr>
          <w:rFonts w:hint="eastAsia" w:ascii="仿宋" w:hAnsi="仿宋" w:eastAsia="仿宋" w:cs="仿宋"/>
          <w:spacing w:val="7"/>
          <w:sz w:val="24"/>
          <w:szCs w:val="24"/>
          <w:lang w:eastAsia="zh-CN"/>
        </w:rPr>
        <w:t>；</w:t>
      </w:r>
    </w:p>
    <w:p w14:paraId="5DDA0E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提交投标文件的法人</w:t>
      </w:r>
      <w:r>
        <w:rPr>
          <w:rFonts w:hint="eastAsia" w:ascii="仿宋" w:hAnsi="仿宋" w:eastAsia="仿宋" w:cs="仿宋"/>
          <w:spacing w:val="7"/>
          <w:sz w:val="24"/>
          <w:szCs w:val="24"/>
          <w:lang w:eastAsia="zh-CN"/>
        </w:rPr>
        <w:t>或者其他</w:t>
      </w:r>
      <w:r>
        <w:rPr>
          <w:rFonts w:ascii="仿宋" w:hAnsi="仿宋" w:eastAsia="仿宋" w:cs="仿宋"/>
          <w:spacing w:val="7"/>
          <w:sz w:val="24"/>
          <w:szCs w:val="24"/>
        </w:rPr>
        <w:t>组织；</w:t>
      </w:r>
    </w:p>
    <w:p w14:paraId="58B3C9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3.4.法人：包括企业法人、机关法人、事业单位法人和社会团体法人；</w:t>
      </w:r>
    </w:p>
    <w:p w14:paraId="28A16A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3.5.其他组织：包括合伙企业、非企业专业服务机构、个体工商户、农村承包经营户；</w:t>
      </w:r>
    </w:p>
    <w:p w14:paraId="4376C26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3.6.自然人：指《中华人民共和国民法通则》或《民法总则》规定的具有完全民事行为能力、能够承担民事责任和义务的中国公民。</w:t>
      </w:r>
    </w:p>
    <w:p w14:paraId="351618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3.7.</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、卖方：指依法确定成交资格并授予合同的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32BA711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3.8.货物：系指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提供的各种形态和种类的物品，包括原材料、设备、产品(包括软件)及相关的备品备件、工具、手册</w:t>
      </w:r>
      <w:r>
        <w:rPr>
          <w:rFonts w:hint="eastAsia" w:ascii="仿宋" w:hAnsi="仿宋" w:eastAsia="仿宋" w:cs="仿宋"/>
          <w:spacing w:val="7"/>
          <w:sz w:val="24"/>
          <w:szCs w:val="24"/>
          <w:lang w:eastAsia="zh-CN"/>
        </w:rPr>
        <w:t>及其他</w:t>
      </w:r>
      <w:r>
        <w:rPr>
          <w:rFonts w:ascii="仿宋" w:hAnsi="仿宋" w:eastAsia="仿宋" w:cs="仿宋"/>
          <w:spacing w:val="7"/>
          <w:sz w:val="24"/>
          <w:szCs w:val="24"/>
        </w:rPr>
        <w:t>技术资料和材料。</w:t>
      </w:r>
    </w:p>
    <w:p w14:paraId="69D7BF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3.9.服务：系指招标文件规定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须承担的安装、调试、技术协助、校准、培训</w:t>
      </w:r>
      <w:r>
        <w:rPr>
          <w:rFonts w:hint="eastAsia" w:ascii="仿宋" w:hAnsi="仿宋" w:eastAsia="仿宋" w:cs="仿宋"/>
          <w:spacing w:val="7"/>
          <w:sz w:val="24"/>
          <w:szCs w:val="24"/>
          <w:lang w:eastAsia="zh-CN"/>
        </w:rPr>
        <w:t>以及其他</w:t>
      </w:r>
      <w:r>
        <w:rPr>
          <w:rFonts w:ascii="仿宋" w:hAnsi="仿宋" w:eastAsia="仿宋" w:cs="仿宋"/>
          <w:spacing w:val="7"/>
          <w:sz w:val="24"/>
          <w:szCs w:val="24"/>
        </w:rPr>
        <w:t>类似的义务。</w:t>
      </w:r>
    </w:p>
    <w:p w14:paraId="7BDDDF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3.10.偏离：是指投标文件对招标文件的偏离，即不满足、或不</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招标文件的要求。偏离分为对招标文件的实质性要求条款偏离和对招标文件的一般商务和技术条款（参数）偏离。</w:t>
      </w:r>
    </w:p>
    <w:p w14:paraId="749D77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3.11.实质性条款：除法律、法规和规章规定外，招标文件中用“拒绝”、“不接受”、“无效”、“不得”、“未</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”、“废标”等文字规定或标注“★”符号的条款为实质性要求条款，对其中任何一条的偏离，在评审时将其视为无效投标。未用上述文字规定或符号标注的条款为非实质性要求条款(即一般条款)。</w:t>
      </w:r>
    </w:p>
    <w:p w14:paraId="512A9B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3.12.日期、天数、时间：未有特别说明时，均为公历日（天）及北京时间。</w:t>
      </w:r>
    </w:p>
    <w:p w14:paraId="021C4F3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4.★</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资格条件</w:t>
      </w:r>
    </w:p>
    <w:p w14:paraId="5672D8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详见</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w:t>
      </w:r>
    </w:p>
    <w:p w14:paraId="0FC3D06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4.1.符合招标文件中规定的其他特定资格要求；</w:t>
      </w:r>
    </w:p>
    <w:p w14:paraId="7F71B28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须在中国大陆境内有合法的注册登记，符合政府采购法规规定的必备条件，于本文件指定时效内均能满足投标资格及相关重要要求。</w:t>
      </w:r>
    </w:p>
    <w:p w14:paraId="6C042B8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4.3.属于国内制造商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27830F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4.4.属于经销代理资格性质的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合法有效的经营范围，符合投标准入资格和专业技术条件，遵从制造商或其驻中国大陆有授权资格的直辖专属机构所核定的业务范围和供货渠道，能独立承担项目实施与交付验收的一切责任义务，具有完善持续可靠和最便利的售后服务保障。</w:t>
      </w:r>
    </w:p>
    <w:p w14:paraId="3B0A60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4.5.中小企业须符合财库〔2020〕46号文关于中型、小型、微型企业的要求，且在政府采购活动中，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提供的货物、工程或者服务符合下列情形的，享受中小企业扶持政策：</w:t>
      </w:r>
    </w:p>
    <w:p w14:paraId="3C9CB6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(1)在货物采购项目中，货物由中小企业制造，即货物由中小企业生产且使用该中小企业商号或者注册商标；</w:t>
      </w:r>
    </w:p>
    <w:p w14:paraId="79F6B6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(2)在工程采购项目中，工程由中小企业承建，即工程施工单位为中小企业；</w:t>
      </w:r>
    </w:p>
    <w:p w14:paraId="1B55D75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(3)在服务采购项目中，服务由中小企业承接，即提供服务的人员为中小企业依照《中华人民共和国劳动合同法》订立劳动合同的从业人员。在货物采购项目中，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提供的货物既有中小企业制造货物，也有大型企业制造货物的，不享受中小企业扶持政策。</w:t>
      </w:r>
    </w:p>
    <w:p w14:paraId="327127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rPr>
        <w:t>戒毒管理局(含新疆生产建设兵团)出具的属于监狱企业的证明文件。</w:t>
      </w:r>
    </w:p>
    <w:p w14:paraId="34198F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15A18C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4.8.知识产权与保密事项：(1)所有涉及知识产权的产品及设计，</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必须确保采购人拥有其合法的、不受限制的无偿使用权，并免受任何侵权诉讼或索偿，否则，由此产生的一切经济损失和法律责任由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承担。(2)由采购人向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提供的用户需求书、图纸、样品、模型、模件和所有其他资料，</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获得后，应对其保密。除非采购人同意，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不得向第三方透露或将其用于本次投标以外的任何用途。开标后，若采购人有要求，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须归还采购人认为需保密的文件和资料，并销毁</w:t>
      </w:r>
      <w:r>
        <w:rPr>
          <w:rFonts w:hint="eastAsia" w:ascii="仿宋" w:hAnsi="仿宋" w:eastAsia="仿宋" w:cs="仿宋"/>
          <w:spacing w:val="7"/>
          <w:sz w:val="24"/>
          <w:szCs w:val="24"/>
          <w:lang w:eastAsia="zh-CN"/>
        </w:rPr>
        <w:t>所有</w:t>
      </w:r>
      <w:r>
        <w:rPr>
          <w:rFonts w:ascii="仿宋" w:hAnsi="仿宋" w:eastAsia="仿宋" w:cs="仿宋"/>
          <w:spacing w:val="7"/>
          <w:sz w:val="24"/>
          <w:szCs w:val="24"/>
        </w:rPr>
        <w:t>的备份文件及资料。</w:t>
      </w:r>
    </w:p>
    <w:p w14:paraId="4FD6FD4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4.9.</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参加投标不得存在下列情形之一：</w:t>
      </w:r>
    </w:p>
    <w:p w14:paraId="21B8193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存在隶属关系或者其他利害关系；</w:t>
      </w:r>
    </w:p>
    <w:p w14:paraId="47AEDF5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ascii="仿宋" w:hAnsi="仿宋" w:eastAsia="仿宋" w:cs="仿宋"/>
          <w:spacing w:val="7"/>
          <w:sz w:val="24"/>
          <w:szCs w:val="24"/>
          <w:highlight w:val="none"/>
        </w:rPr>
        <w:t>法定代表人或者负责人为同一人或者存在控股、管理关系的两个以上</w:t>
      </w:r>
      <w:r>
        <w:rPr>
          <w:rFonts w:hint="eastAsia" w:ascii="仿宋" w:hAnsi="仿宋" w:eastAsia="仿宋" w:cs="仿宋"/>
          <w:spacing w:val="7"/>
          <w:sz w:val="24"/>
          <w:szCs w:val="24"/>
          <w:highlight w:val="none"/>
          <w:lang w:eastAsia="zh-CN"/>
        </w:rPr>
        <w:t>投标人</w:t>
      </w:r>
      <w:r>
        <w:rPr>
          <w:rFonts w:ascii="仿宋" w:hAnsi="仿宋" w:eastAsia="仿宋" w:cs="仿宋"/>
          <w:spacing w:val="7"/>
          <w:sz w:val="24"/>
          <w:szCs w:val="24"/>
          <w:highlight w:val="none"/>
        </w:rPr>
        <w:t>，不得参加同</w:t>
      </w:r>
      <w:r>
        <w:rPr>
          <w:rFonts w:hint="eastAsia" w:ascii="仿宋" w:hAnsi="仿宋" w:eastAsia="仿宋" w:cs="仿宋"/>
          <w:spacing w:val="7"/>
          <w:sz w:val="24"/>
          <w:szCs w:val="24"/>
          <w:highlight w:val="none"/>
        </w:rPr>
        <w:t>一合同项下的</w:t>
      </w:r>
      <w:r>
        <w:rPr>
          <w:rFonts w:hint="eastAsia" w:ascii="仿宋" w:hAnsi="仿宋" w:eastAsia="仿宋" w:cs="仿宋"/>
          <w:spacing w:val="7"/>
          <w:sz w:val="24"/>
          <w:szCs w:val="24"/>
          <w:highlight w:val="none"/>
          <w:lang w:eastAsia="zh-CN"/>
        </w:rPr>
        <w:t>政府采购活动</w:t>
      </w:r>
      <w:r>
        <w:rPr>
          <w:rFonts w:ascii="仿宋" w:hAnsi="仿宋" w:eastAsia="仿宋" w:cs="仿宋"/>
          <w:spacing w:val="7"/>
          <w:sz w:val="24"/>
          <w:szCs w:val="24"/>
          <w:highlight w:val="none"/>
        </w:rPr>
        <w:t>；</w:t>
      </w:r>
    </w:p>
    <w:p w14:paraId="59D056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（3）自然人与参与本项目投标的法人或其他组织存在隶属关系或者其他利害关系。</w:t>
      </w:r>
    </w:p>
    <w:p w14:paraId="55A2352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4.10.</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领取了招标文件并非意味着完全满足了合格</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的条件，一切均以评标委员会审核的结果为准。</w:t>
      </w:r>
    </w:p>
    <w:p w14:paraId="7AD9BCB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4.11.不接受联合体投标。</w:t>
      </w:r>
    </w:p>
    <w:p w14:paraId="7D014A7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5.授权委托</w:t>
      </w:r>
    </w:p>
    <w:p w14:paraId="529C94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代表不是</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的法定代表人或其他组织负责人，应持有授权委托书，并附法定代表人或负责人身份证明。</w:t>
      </w:r>
    </w:p>
    <w:p w14:paraId="442E00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5.2.自然人参与本项目投标时不得再委托其他自然人进行投标，且持自然人身份证明投标。</w:t>
      </w:r>
    </w:p>
    <w:p w14:paraId="7FA3613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5.3.法定代表人或其他组织负责人出席开标仪式或者直接办理投标相关事宜者无须提供授权委托书，但须提供法定代表人或其他组织负责人身份证明。</w:t>
      </w:r>
    </w:p>
    <w:p w14:paraId="1446C44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6.投标费用</w:t>
      </w:r>
    </w:p>
    <w:p w14:paraId="1516FDF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在任何情况下均无义务和责任承担这些费用。</w:t>
      </w:r>
    </w:p>
    <w:p w14:paraId="1BF4556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二、招标文件</w:t>
      </w:r>
    </w:p>
    <w:p w14:paraId="1578ED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7.招标文件组成</w:t>
      </w:r>
    </w:p>
    <w:p w14:paraId="09862F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7.1.招标文件共分六章，其内容如下：</w:t>
      </w:r>
    </w:p>
    <w:p w14:paraId="158415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第一章 招标公告</w:t>
      </w:r>
    </w:p>
    <w:p w14:paraId="1E0FE0C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第二章 投标须知</w:t>
      </w:r>
    </w:p>
    <w:p w14:paraId="471DBD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第三章 评标办法</w:t>
      </w:r>
    </w:p>
    <w:p w14:paraId="0BC627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第四章 合同条款</w:t>
      </w:r>
    </w:p>
    <w:p w14:paraId="4F242A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第五章 采购需求及技术参数</w:t>
      </w:r>
    </w:p>
    <w:p w14:paraId="487E56A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第六章 投标文件格式</w:t>
      </w:r>
    </w:p>
    <w:p w14:paraId="1F2EEF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7.2.对招标文件所</w:t>
      </w:r>
      <w:r>
        <w:rPr>
          <w:rFonts w:hint="eastAsia" w:ascii="仿宋" w:hAnsi="仿宋" w:eastAsia="仿宋" w:cs="仿宋"/>
          <w:spacing w:val="7"/>
          <w:sz w:val="24"/>
          <w:szCs w:val="24"/>
          <w:lang w:eastAsia="zh-CN"/>
        </w:rPr>
        <w:t>做</w:t>
      </w:r>
      <w:r>
        <w:rPr>
          <w:rFonts w:ascii="仿宋" w:hAnsi="仿宋" w:eastAsia="仿宋" w:cs="仿宋"/>
          <w:spacing w:val="7"/>
          <w:sz w:val="24"/>
          <w:szCs w:val="24"/>
        </w:rPr>
        <w:t>的澄清、修改，构成招标文件的组成部分。</w:t>
      </w:r>
    </w:p>
    <w:p w14:paraId="60711A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应仔细阅读招标文件的全部内容，按照招标文件要求编制投标文件。任何对招 标文件的忽略或误解不能作为投标文件存在缺陷或瑕疵的理由，其风险由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w:t>
      </w:r>
    </w:p>
    <w:p w14:paraId="335FA6E4">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8.招标文件的</w:t>
      </w:r>
      <w:r>
        <w:rPr>
          <w:rFonts w:hint="eastAsia" w:ascii="仿宋" w:hAnsi="仿宋" w:eastAsia="仿宋" w:cs="仿宋"/>
          <w:b/>
          <w:bCs/>
          <w:spacing w:val="7"/>
          <w:sz w:val="24"/>
          <w:szCs w:val="24"/>
          <w:lang w:eastAsia="zh-CN"/>
        </w:rPr>
        <w:t>质疑</w:t>
      </w:r>
      <w:r>
        <w:rPr>
          <w:rFonts w:ascii="仿宋" w:hAnsi="仿宋" w:eastAsia="仿宋" w:cs="仿宋"/>
          <w:b/>
          <w:bCs/>
          <w:spacing w:val="7"/>
          <w:sz w:val="24"/>
          <w:szCs w:val="24"/>
        </w:rPr>
        <w:t>、修改</w:t>
      </w:r>
    </w:p>
    <w:p w14:paraId="4977843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8.1.任何要求对招标文件进行</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潜在投标人在获取招标文件之日起7个工作日内提出的</w:t>
      </w:r>
      <w:r>
        <w:rPr>
          <w:rFonts w:ascii="仿宋" w:hAnsi="仿宋" w:eastAsia="仿宋" w:cs="仿宋"/>
          <w:spacing w:val="7"/>
          <w:sz w:val="24"/>
          <w:szCs w:val="24"/>
        </w:rPr>
        <w:t>对招标文件的</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要求，将以书面形式予以答复。</w:t>
      </w:r>
    </w:p>
    <w:p w14:paraId="2B06D8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可主动地或在解答</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提出的问题时对招标文件进行修改，招标文件的修改书将构成招标文件的一部分。</w:t>
      </w:r>
    </w:p>
    <w:p w14:paraId="753DDBC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8.3.招标文件的修改将以</w:t>
      </w:r>
      <w:r>
        <w:rPr>
          <w:rFonts w:hint="eastAsia" w:ascii="仿宋" w:hAnsi="仿宋" w:eastAsia="仿宋" w:cs="仿宋"/>
          <w:spacing w:val="7"/>
          <w:sz w:val="24"/>
          <w:szCs w:val="24"/>
          <w:lang w:eastAsia="zh-CN"/>
        </w:rPr>
        <w:t>变更公告的形式在发布招标公告的网站予以公布</w:t>
      </w:r>
      <w:r>
        <w:rPr>
          <w:rFonts w:ascii="仿宋" w:hAnsi="仿宋" w:eastAsia="仿宋" w:cs="仿宋"/>
          <w:spacing w:val="7"/>
          <w:sz w:val="24"/>
          <w:szCs w:val="24"/>
        </w:rPr>
        <w:t>，并对其具有约束力。</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予以确认；在规定时间内未收到回复确认的，将视为默认接受。</w:t>
      </w:r>
    </w:p>
    <w:p w14:paraId="3C186CD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做出书面澄清，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拒不履行评标委员会澄清要求的将视为无效投标；投标文件其他应予修正范围和标准以《政府采购货物和服务招标投标管理办法》第五十九条执行。</w:t>
      </w:r>
    </w:p>
    <w:p w14:paraId="5FED2F9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三、投标文件的组成及编制</w:t>
      </w:r>
    </w:p>
    <w:p w14:paraId="57C6D6A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9.投标文件的组成</w:t>
      </w:r>
    </w:p>
    <w:p w14:paraId="636456C7">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9.1.投标文件由内容如下组成：</w:t>
      </w:r>
    </w:p>
    <w:p w14:paraId="63C3CA67">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报价文件部分：</w:t>
      </w:r>
    </w:p>
    <w:p w14:paraId="4BA8290B">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商务技术文件部分：</w:t>
      </w:r>
    </w:p>
    <w:p w14:paraId="01EF4D5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10.编制原则</w:t>
      </w:r>
    </w:p>
    <w:p w14:paraId="2FA3BC0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的投标文件，其投标将有可能被视为无效投标。</w:t>
      </w:r>
    </w:p>
    <w:p w14:paraId="0FAB05B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必须保证投标文件所提供的全部资料真实可靠，并接受评标委员会对其中任何资料进一步审查的要求。</w:t>
      </w:r>
    </w:p>
    <w:p w14:paraId="2130727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10.3.投标文件须对招标文件中的内容做出实质性和完整的</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，否则其投标将被视为无效投标。</w:t>
      </w:r>
    </w:p>
    <w:p w14:paraId="3A1A78F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10.4.投标文件的编制及相关参数、证明材料、认证或报告等投标文件组成部分均应为简体中文版或中英文双语版否则在评审时将不予认可。</w:t>
      </w:r>
    </w:p>
    <w:p w14:paraId="6CF084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spacing w:val="7"/>
          <w:sz w:val="24"/>
          <w:szCs w:val="24"/>
        </w:rPr>
        <w:t>11.★</w:t>
      </w:r>
      <w:r>
        <w:rPr>
          <w:rFonts w:ascii="仿宋" w:hAnsi="仿宋" w:eastAsia="仿宋" w:cs="仿宋"/>
          <w:b/>
          <w:bCs/>
          <w:spacing w:val="7"/>
          <w:sz w:val="24"/>
          <w:szCs w:val="24"/>
        </w:rPr>
        <w:t xml:space="preserve">投标文件编制要求（本项目采用电子招投标，开标现场无需提供纸质版投标文件， </w:t>
      </w:r>
      <w:r>
        <w:rPr>
          <w:rFonts w:hint="eastAsia" w:ascii="仿宋" w:hAnsi="仿宋" w:eastAsia="仿宋" w:cs="仿宋"/>
          <w:b/>
          <w:bCs/>
          <w:spacing w:val="7"/>
          <w:sz w:val="24"/>
          <w:szCs w:val="24"/>
          <w:lang w:eastAsia="zh-CN"/>
        </w:rPr>
        <w:t>中标候选人</w:t>
      </w:r>
      <w:r>
        <w:rPr>
          <w:rFonts w:ascii="仿宋" w:hAnsi="仿宋" w:eastAsia="仿宋" w:cs="仿宋"/>
          <w:b/>
          <w:bCs/>
          <w:spacing w:val="7"/>
          <w:sz w:val="24"/>
          <w:szCs w:val="24"/>
        </w:rPr>
        <w:t>中标公示期满后提交</w:t>
      </w:r>
      <w:r>
        <w:rPr>
          <w:rFonts w:hint="eastAsia" w:ascii="仿宋" w:hAnsi="仿宋" w:eastAsia="仿宋" w:cs="仿宋"/>
          <w:b/>
          <w:bCs/>
          <w:spacing w:val="7"/>
          <w:sz w:val="24"/>
          <w:szCs w:val="24"/>
          <w:lang w:eastAsia="zh-CN"/>
        </w:rPr>
        <w:t>二</w:t>
      </w:r>
      <w:r>
        <w:rPr>
          <w:rFonts w:ascii="仿宋" w:hAnsi="仿宋" w:eastAsia="仿宋" w:cs="仿宋"/>
          <w:b/>
          <w:bCs/>
          <w:spacing w:val="7"/>
          <w:sz w:val="24"/>
          <w:szCs w:val="24"/>
        </w:rPr>
        <w:t>份纸质版投标文件给代理机构存档。纸质版标书邮寄地址及收件人：</w:t>
      </w:r>
      <w:r>
        <w:rPr>
          <w:rFonts w:hint="eastAsia" w:ascii="仿宋" w:hAnsi="仿宋" w:eastAsia="仿宋" w:cs="仿宋"/>
          <w:b/>
          <w:bCs/>
          <w:spacing w:val="7"/>
          <w:sz w:val="24"/>
          <w:szCs w:val="24"/>
          <w:lang w:val="en-US" w:eastAsia="zh-CN"/>
        </w:rPr>
        <w:t>阿克苏地区振远项目咨询管理有限公司</w:t>
      </w:r>
      <w:r>
        <w:rPr>
          <w:rFonts w:ascii="仿宋" w:hAnsi="仿宋" w:eastAsia="仿宋" w:cs="仿宋"/>
          <w:b/>
          <w:bCs/>
          <w:spacing w:val="7"/>
          <w:sz w:val="24"/>
          <w:szCs w:val="24"/>
        </w:rPr>
        <w:t>，联系人：</w:t>
      </w:r>
      <w:r>
        <w:rPr>
          <w:rFonts w:hint="eastAsia" w:ascii="仿宋" w:hAnsi="仿宋" w:eastAsia="仿宋" w:cs="仿宋"/>
          <w:b/>
          <w:bCs/>
          <w:spacing w:val="7"/>
          <w:sz w:val="24"/>
          <w:szCs w:val="24"/>
          <w:lang w:eastAsia="zh-CN"/>
        </w:rPr>
        <w:t>胡丹</w:t>
      </w:r>
      <w:r>
        <w:rPr>
          <w:rFonts w:ascii="仿宋" w:hAnsi="仿宋" w:eastAsia="仿宋" w:cs="仿宋"/>
          <w:b/>
          <w:bCs/>
          <w:spacing w:val="7"/>
          <w:sz w:val="24"/>
          <w:szCs w:val="24"/>
        </w:rPr>
        <w:t>，联系电话：</w:t>
      </w:r>
      <w:r>
        <w:rPr>
          <w:rFonts w:hint="eastAsia" w:ascii="仿宋" w:hAnsi="仿宋" w:eastAsia="仿宋" w:cs="仿宋"/>
          <w:b/>
          <w:bCs/>
          <w:spacing w:val="7"/>
          <w:sz w:val="24"/>
          <w:szCs w:val="24"/>
          <w:lang w:val="en-US" w:eastAsia="zh-CN"/>
        </w:rPr>
        <w:t>15569365500</w:t>
      </w:r>
      <w:r>
        <w:rPr>
          <w:rFonts w:ascii="仿宋" w:hAnsi="仿宋" w:eastAsia="仿宋" w:cs="仿宋"/>
          <w:b/>
          <w:bCs/>
          <w:spacing w:val="7"/>
          <w:sz w:val="24"/>
          <w:szCs w:val="24"/>
        </w:rPr>
        <w:t>），</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应按照所投标项分别编制投标文件。</w:t>
      </w:r>
    </w:p>
    <w:p w14:paraId="52BF4C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11.1.投标文件应按照“投标文件格式”的要求以A4版面统一编制。</w:t>
      </w:r>
    </w:p>
    <w:p w14:paraId="6D79C7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投报多个（标包）段的，须对每个（标包）段分别制作投标文件并报价。</w:t>
      </w:r>
    </w:p>
    <w:p w14:paraId="7C24879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11.3.对于有特定格式要求的，不允许改动其内容，否则，其投标无效。</w:t>
      </w:r>
    </w:p>
    <w:p w14:paraId="138483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11.4.投标文件的制作，应使用简体中文（包括</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对其投标文件进行支持的第三方证明文件，如审计报告、产品说明书、检验报告、评估报告等，均须采用简体中文进行编制或提交）。</w:t>
      </w:r>
    </w:p>
    <w:p w14:paraId="08ABFE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4FE700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11.6.任何行间插字、涂改和增删，须由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1069C5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必须在投标文件封面连续注明“上册”、“下册”或“上册”、“中册”、“下册”。</w:t>
      </w:r>
    </w:p>
    <w:p w14:paraId="317A5A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11.8.《投标文件》应根据《招标文件》的要求编制，签署、盖章和内容应完整，如有遗漏或与《招标文件》要求不</w:t>
      </w:r>
      <w:r>
        <w:rPr>
          <w:rFonts w:hint="eastAsia" w:ascii="仿宋" w:hAnsi="仿宋" w:eastAsia="仿宋" w:cs="仿宋"/>
          <w:spacing w:val="7"/>
          <w:sz w:val="24"/>
          <w:szCs w:val="24"/>
          <w:lang w:eastAsia="zh-CN"/>
        </w:rPr>
        <w:t>符</w:t>
      </w:r>
      <w:r>
        <w:rPr>
          <w:rFonts w:ascii="仿宋" w:hAnsi="仿宋" w:eastAsia="仿宋" w:cs="仿宋"/>
          <w:spacing w:val="7"/>
          <w:sz w:val="24"/>
          <w:szCs w:val="24"/>
        </w:rPr>
        <w:t>的将被视为无效投标。</w:t>
      </w:r>
    </w:p>
    <w:p w14:paraId="0C0C47E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12.★投标报价</w:t>
      </w:r>
    </w:p>
    <w:p w14:paraId="73CC8C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应按招标文件规定的供货及服务要求、责任范围和合同条件，以人民币进行报价。</w:t>
      </w:r>
    </w:p>
    <w:p w14:paraId="5FE1E76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27662B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对每种货物及服务只允许有一个报价，不接受选择性报价，否则，在评审时将其视为无效投标。</w:t>
      </w:r>
    </w:p>
    <w:p w14:paraId="5DFC5F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12.4.投标报价范围及说明：</w:t>
      </w:r>
    </w:p>
    <w:p w14:paraId="6F1631C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报价：包括完成采购内容中全部</w:t>
      </w:r>
      <w:r>
        <w:rPr>
          <w:rFonts w:hint="eastAsia" w:ascii="仿宋" w:hAnsi="仿宋" w:eastAsia="仿宋" w:cs="仿宋"/>
          <w:spacing w:val="7"/>
          <w:sz w:val="24"/>
          <w:szCs w:val="24"/>
          <w:lang w:eastAsia="zh-CN"/>
        </w:rPr>
        <w:t>货物</w:t>
      </w:r>
      <w:r>
        <w:rPr>
          <w:rFonts w:ascii="仿宋" w:hAnsi="仿宋" w:eastAsia="仿宋" w:cs="仿宋"/>
          <w:spacing w:val="7"/>
          <w:sz w:val="24"/>
          <w:szCs w:val="24"/>
        </w:rPr>
        <w:t>服务等全过程的全部费用。</w:t>
      </w:r>
    </w:p>
    <w:p w14:paraId="25B4917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12.5.支持中小企业发展，《政府采购促进中小企业发展管理办法》（财库[2020]46号）。</w:t>
      </w:r>
    </w:p>
    <w:p w14:paraId="7C4B0F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5458FA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2、超过200万元的货物和服务采购项目，预留该部分采购项目预算总额的30%以上专门面向中小企业采购，其中预留给小微企业的比例不低于60%。</w:t>
      </w:r>
    </w:p>
    <w:p w14:paraId="7C217A2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3、超过400万元的工程采购项目中适宜由中小企业提供的，预留该部分采购项目预算总额的40%以上专门面向中小企业采购，其中预留给小微企业的比例不低于60%。</w:t>
      </w:r>
    </w:p>
    <w:p w14:paraId="11DA640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5E603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95A8F7A">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12.6.不符合下列要求的除外：</w:t>
      </w:r>
    </w:p>
    <w:p w14:paraId="5E4CF1A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（1）不符合招标文件规定格式要求提供</w:t>
      </w:r>
      <w:r>
        <w:rPr>
          <w:rFonts w:hint="eastAsia" w:ascii="仿宋" w:hAnsi="仿宋" w:eastAsia="仿宋" w:cs="仿宋"/>
          <w:spacing w:val="7"/>
          <w:sz w:val="24"/>
          <w:szCs w:val="24"/>
          <w:lang w:eastAsia="zh-CN"/>
        </w:rPr>
        <w:t>中小企业</w:t>
      </w:r>
      <w:r>
        <w:rPr>
          <w:rFonts w:ascii="仿宋" w:hAnsi="仿宋" w:eastAsia="仿宋" w:cs="仿宋"/>
          <w:spacing w:val="7"/>
          <w:sz w:val="24"/>
          <w:szCs w:val="24"/>
        </w:rPr>
        <w:t>声明函的。</w:t>
      </w:r>
    </w:p>
    <w:p w14:paraId="4B473D4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（2）不符合（财库〔2020〕46号）文件的规定企业的产品价格不予扣除。</w:t>
      </w:r>
    </w:p>
    <w:p w14:paraId="6629454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（3）不符合招标文件规定格式要求并未提供“残疾人福利性单位声明函”声明函及证明材料的。</w:t>
      </w:r>
    </w:p>
    <w:p w14:paraId="27D85D7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（4）不符合财政部、民政部、中国残疾人联合会发布的《关于促进残疾人就业政府采购政策的通知》规定的不予扣除。</w:t>
      </w:r>
    </w:p>
    <w:p w14:paraId="7E49EC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（5）不符合《政府采购促进中小企业发展暂行办法》（财库〔2020〕46号）和《财政部司法部关于政府采购支持监狱企业发展有关问题的通知》（财库（2015）68号）的规定的不予扣除。</w:t>
      </w:r>
    </w:p>
    <w:p w14:paraId="0FAB3C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（6）不符合《国务院办公厅关于建立政府强制采购节能产品制度的通知》--国办发[2007]51号规定的不予扣除。</w:t>
      </w:r>
    </w:p>
    <w:p w14:paraId="546F5C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不符合《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的不予扣除。</w:t>
      </w:r>
    </w:p>
    <w:p w14:paraId="3CC89EF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13.备选方案</w:t>
      </w:r>
    </w:p>
    <w:p w14:paraId="578CBC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应标的货物（设备）或服务分部分项内容优于招标文件基本要求的，不在备选方案之列。</w:t>
      </w:r>
    </w:p>
    <w:p w14:paraId="4AED3B3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13.2.本采购项目不接受备选方案投标。</w:t>
      </w:r>
    </w:p>
    <w:p w14:paraId="751D78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的资格证明文件</w:t>
      </w:r>
    </w:p>
    <w:p w14:paraId="48D7E68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应提交满足资格条件要求的证明文件，该证明文件作为投标文件的一部分。</w:t>
      </w:r>
    </w:p>
    <w:p w14:paraId="1536D31F">
      <w:pPr>
        <w:keepLines w:val="0"/>
        <w:pageBreakBefore w:val="0"/>
        <w:kinsoku/>
        <w:wordWrap/>
        <w:overflowPunct/>
        <w:topLinePunct w:val="0"/>
        <w:bidi w:val="0"/>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rPr>
        <w:t>15.★投标保证金</w:t>
      </w:r>
    </w:p>
    <w:p w14:paraId="1D00A71C">
      <w:pPr>
        <w:kinsoku/>
        <w:spacing w:line="360" w:lineRule="auto"/>
        <w:ind w:firstLine="258" w:firstLineChars="100"/>
        <w:jc w:val="both"/>
        <w:rPr>
          <w:rFonts w:ascii="仿宋" w:hAnsi="仿宋" w:eastAsia="仿宋" w:cs="仿宋"/>
          <w:spacing w:val="9"/>
          <w:sz w:val="20"/>
          <w:szCs w:val="20"/>
        </w:rPr>
      </w:pPr>
      <w:r>
        <w:rPr>
          <w:rFonts w:hint="eastAsia" w:ascii="仿宋" w:hAnsi="仿宋" w:eastAsia="仿宋" w:cs="仿宋"/>
          <w:spacing w:val="9"/>
          <w:sz w:val="24"/>
          <w:szCs w:val="24"/>
          <w:lang w:val="en-US" w:eastAsia="zh-CN"/>
        </w:rPr>
        <w:t>15.1</w:t>
      </w:r>
      <w:r>
        <w:rPr>
          <w:rFonts w:hint="eastAsia" w:ascii="仿宋" w:hAnsi="仿宋" w:eastAsia="仿宋" w:cs="仿宋"/>
          <w:spacing w:val="9"/>
          <w:sz w:val="24"/>
          <w:szCs w:val="24"/>
        </w:rPr>
        <w:t>本项目无须缴纳</w:t>
      </w:r>
      <w:r>
        <w:rPr>
          <w:rFonts w:hint="eastAsia" w:ascii="仿宋" w:hAnsi="仿宋" w:eastAsia="仿宋" w:cs="仿宋"/>
          <w:spacing w:val="9"/>
          <w:sz w:val="24"/>
          <w:szCs w:val="24"/>
          <w:lang w:eastAsia="zh-CN"/>
        </w:rPr>
        <w:t>投标</w:t>
      </w:r>
      <w:r>
        <w:rPr>
          <w:rFonts w:hint="eastAsia" w:ascii="仿宋" w:hAnsi="仿宋" w:eastAsia="仿宋" w:cs="仿宋"/>
          <w:spacing w:val="9"/>
          <w:sz w:val="24"/>
          <w:szCs w:val="24"/>
        </w:rPr>
        <w:t>保证金</w:t>
      </w:r>
    </w:p>
    <w:p w14:paraId="591B411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16.★投标有效期</w:t>
      </w:r>
    </w:p>
    <w:p w14:paraId="2C67C3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16.1.投标有效期为90</w:t>
      </w:r>
      <w:r>
        <w:rPr>
          <w:rFonts w:hint="eastAsia" w:ascii="仿宋" w:hAnsi="仿宋" w:eastAsia="仿宋" w:cs="仿宋"/>
          <w:spacing w:val="7"/>
          <w:sz w:val="24"/>
          <w:szCs w:val="24"/>
          <w:lang w:eastAsia="zh-CN"/>
        </w:rPr>
        <w:t>日历</w:t>
      </w:r>
      <w:r>
        <w:rPr>
          <w:rFonts w:ascii="仿宋" w:hAnsi="仿宋" w:eastAsia="仿宋" w:cs="仿宋"/>
          <w:spacing w:val="7"/>
          <w:sz w:val="24"/>
          <w:szCs w:val="24"/>
        </w:rPr>
        <w:t>天</w:t>
      </w:r>
      <w:r>
        <w:rPr>
          <w:rFonts w:hint="eastAsia" w:ascii="仿宋" w:hAnsi="仿宋" w:eastAsia="仿宋" w:cs="仿宋"/>
          <w:spacing w:val="5"/>
          <w:sz w:val="24"/>
          <w:szCs w:val="24"/>
        </w:rPr>
        <w:t>（从</w:t>
      </w:r>
      <w:r>
        <w:rPr>
          <w:rFonts w:hint="eastAsia" w:ascii="仿宋" w:hAnsi="仿宋" w:eastAsia="仿宋" w:cs="仿宋"/>
          <w:spacing w:val="5"/>
          <w:sz w:val="24"/>
          <w:szCs w:val="24"/>
          <w:lang w:eastAsia="zh-CN"/>
        </w:rPr>
        <w:t>投标</w:t>
      </w:r>
      <w:r>
        <w:rPr>
          <w:rFonts w:hint="eastAsia" w:ascii="仿宋" w:hAnsi="仿宋" w:eastAsia="仿宋" w:cs="仿宋"/>
          <w:spacing w:val="5"/>
          <w:sz w:val="24"/>
          <w:szCs w:val="24"/>
        </w:rPr>
        <w:t>截止之日算起）</w:t>
      </w:r>
      <w:r>
        <w:rPr>
          <w:rFonts w:ascii="仿宋" w:hAnsi="仿宋" w:eastAsia="仿宋" w:cs="仿宋"/>
          <w:spacing w:val="7"/>
          <w:sz w:val="24"/>
          <w:szCs w:val="24"/>
        </w:rPr>
        <w:t>，在此期间投标文件对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。投标人须在投标文件中做出投标</w:t>
      </w:r>
      <w:r>
        <w:rPr>
          <w:rFonts w:ascii="仿宋" w:hAnsi="仿宋" w:eastAsia="仿宋" w:cs="仿宋"/>
          <w:spacing w:val="7"/>
          <w:sz w:val="24"/>
          <w:szCs w:val="24"/>
        </w:rPr>
        <w:t>。投标有效期</w:t>
      </w:r>
      <w:r>
        <w:rPr>
          <w:rFonts w:hint="eastAsia" w:ascii="仿宋" w:hAnsi="仿宋" w:eastAsia="仿宋" w:cs="仿宋"/>
          <w:spacing w:val="7"/>
          <w:sz w:val="24"/>
          <w:szCs w:val="24"/>
          <w:lang w:eastAsia="zh-CN"/>
        </w:rPr>
        <w:t>无投标或</w:t>
      </w:r>
      <w:r>
        <w:rPr>
          <w:rFonts w:ascii="仿宋" w:hAnsi="仿宋" w:eastAsia="仿宋" w:cs="仿宋"/>
          <w:spacing w:val="7"/>
          <w:sz w:val="24"/>
          <w:szCs w:val="24"/>
        </w:rPr>
        <w:t>不足的，在评审时将其视为无效投标。</w:t>
      </w:r>
    </w:p>
    <w:p w14:paraId="7B59BB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可于投标有效期届满之前，要求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的要求与</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的答复均应为书面形式。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拒绝延长的，其投标在原投标</w:t>
      </w:r>
      <w:r>
        <w:rPr>
          <w:rFonts w:hint="eastAsia" w:ascii="仿宋" w:hAnsi="仿宋" w:eastAsia="仿宋" w:cs="仿宋"/>
          <w:spacing w:val="7"/>
          <w:sz w:val="24"/>
          <w:szCs w:val="24"/>
          <w:lang w:eastAsia="zh-CN"/>
        </w:rPr>
        <w:t>有效期</w:t>
      </w:r>
      <w:r>
        <w:rPr>
          <w:rFonts w:ascii="仿宋" w:hAnsi="仿宋" w:eastAsia="仿宋" w:cs="仿宋"/>
          <w:spacing w:val="7"/>
          <w:sz w:val="24"/>
          <w:szCs w:val="24"/>
        </w:rPr>
        <w:t>届满后将不再有效，但有权收回其投标保证金；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同意延长的，应相应延长其投标保证金的有效期，但不允许修改或撤回投标文件。</w:t>
      </w:r>
    </w:p>
    <w:p w14:paraId="2873374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17.★投标文件份数和签署、盖章</w:t>
      </w:r>
    </w:p>
    <w:p w14:paraId="4A8AEF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应按“投标须知前附表”规定的份数提交《投标文件》，否则视为无效投标。</w:t>
      </w:r>
    </w:p>
    <w:p w14:paraId="59F1F2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17.2.投标文件电子版要求：按照本招标文件“第六章投标文件格式”编写（第六章未附格式的，由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自行拟定），不可涂改并在规定加盖公章处加盖电子公章，否则投标文件按无效</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处理。</w:t>
      </w:r>
    </w:p>
    <w:p w14:paraId="210DAB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17.3.投标文件电子版密封方式：电子投标文件通过平台有效CA加密后在“政采云”平台投送。（操作方式见公告要求“电子投标文件制作与投送教程”）</w:t>
      </w:r>
    </w:p>
    <w:p w14:paraId="28D3B4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17.4.本项目采用电子招投标，开标现场无需提供纸质版投标文件，</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在中标公示期满后提交</w:t>
      </w:r>
      <w:r>
        <w:rPr>
          <w:rFonts w:hint="eastAsia" w:ascii="仿宋" w:hAnsi="仿宋" w:eastAsia="仿宋" w:cs="仿宋"/>
          <w:spacing w:val="7"/>
          <w:sz w:val="24"/>
          <w:szCs w:val="24"/>
          <w:lang w:eastAsia="zh-CN"/>
        </w:rPr>
        <w:t>二</w:t>
      </w:r>
      <w:r>
        <w:rPr>
          <w:rFonts w:ascii="仿宋" w:hAnsi="仿宋" w:eastAsia="仿宋" w:cs="仿宋"/>
          <w:spacing w:val="7"/>
          <w:sz w:val="24"/>
          <w:szCs w:val="24"/>
        </w:rPr>
        <w:t>份纸质版投标文件给代理机构存档。特别提示：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提交的纸质版《投标文件》文字内容与开标时电子投标书应完全一致。</w:t>
      </w:r>
    </w:p>
    <w:p w14:paraId="664B50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17.5.除</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对错误处须修改外，全套《投标文件》应无涂改或行间插字和增删。如有修改，修改处应由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加盖投标单位的印章或由《投标文件》签字人签字或盖章。字迹潦草、表达不清或可能导致非唯一理解的投标文件可能视为无效投标。</w:t>
      </w:r>
    </w:p>
    <w:p w14:paraId="270F5F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17.6《投标文件》应根据《招标文件》的要求签署及盖章，内容应完整详细，如有遗漏，将被视为无效投标。</w:t>
      </w:r>
    </w:p>
    <w:p w14:paraId="77A33C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17.7.未按招标文件要求签署盖章的投标文件视为无效投标。</w:t>
      </w:r>
    </w:p>
    <w:p w14:paraId="42AC78B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四、投标文件的密封标记和递交</w:t>
      </w:r>
    </w:p>
    <w:p w14:paraId="20B41C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18.★投标文件的密封和标记</w:t>
      </w:r>
    </w:p>
    <w:p w14:paraId="66962BF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18.1.电子投标文件使用“新疆维吾尔自治区全流程电子招投标项目管理系统--</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客户端”制作完成，生成电子加密标书（.jmbs）上传至政采云平台。</w:t>
      </w:r>
    </w:p>
    <w:p w14:paraId="0A2FA9D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18.2.备份标书：</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制作标书失误问题，数字证书（CA锁）问题导致不能现场解密的情况不允许上传备份文件。</w:t>
      </w:r>
    </w:p>
    <w:p w14:paraId="5185BA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自行承担后果。</w:t>
      </w:r>
    </w:p>
    <w:p w14:paraId="408386F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19.投标文件的递交</w:t>
      </w:r>
    </w:p>
    <w:p w14:paraId="2D9A67A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w:t>
      </w:r>
      <w:r>
        <w:rPr>
          <w:rFonts w:hint="eastAsia" w:ascii="仿宋" w:hAnsi="仿宋" w:eastAsia="仿宋" w:cs="仿宋"/>
          <w:spacing w:val="7"/>
          <w:sz w:val="24"/>
          <w:szCs w:val="24"/>
          <w:lang w:eastAsia="zh-CN"/>
        </w:rPr>
        <w:t>按照</w:t>
      </w:r>
      <w:r>
        <w:rPr>
          <w:rFonts w:ascii="仿宋" w:hAnsi="仿宋" w:eastAsia="仿宋" w:cs="仿宋"/>
          <w:spacing w:val="7"/>
          <w:sz w:val="24"/>
          <w:szCs w:val="24"/>
        </w:rPr>
        <w:t>本须知前附表所规定的地点，于递交截止时间前递交投标文件。</w:t>
      </w:r>
    </w:p>
    <w:p w14:paraId="4EDED7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19.2.投标截止时间为《招标文件》“</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和采购人概不接受。</w:t>
      </w:r>
    </w:p>
    <w:p w14:paraId="0C1BBB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19.3.到投标截止时间止，采购人收到的投标文件少于3个的，采购人将依法重新组织招标。</w:t>
      </w:r>
    </w:p>
    <w:p w14:paraId="686249D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五、开标、评标、定标</w:t>
      </w:r>
    </w:p>
    <w:p w14:paraId="49FC2E0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20.开标</w:t>
      </w:r>
    </w:p>
    <w:p w14:paraId="1651D4E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（1）开标时，投标文件中出现下列情况，修正原则为：</w:t>
      </w:r>
    </w:p>
    <w:p w14:paraId="3A3655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A、大写金额和小写金额不一致的，以大写金额为准；</w:t>
      </w:r>
    </w:p>
    <w:p w14:paraId="45D8E66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B、单价金额小数点或者百分比有明显错位的，以投标报价一览表的总价为准，并修改单价；</w:t>
      </w:r>
    </w:p>
    <w:p w14:paraId="7607CF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C、总价金额与按单价汇总金额不一致的，以单价金额计算结果为准；</w:t>
      </w:r>
    </w:p>
    <w:p w14:paraId="04F2A2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D、投标文件正本与副本不一致的，以正本为准；</w:t>
      </w:r>
    </w:p>
    <w:p w14:paraId="7B2CD6C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E、多处内容交叉不符的，以评标委员会评审结果为准；</w:t>
      </w:r>
    </w:p>
    <w:p w14:paraId="3CAE5D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同意后，调整后的报价和内容对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起约束作用。如果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不接受修正后的报价和内容，则其投标无效。</w:t>
      </w:r>
    </w:p>
    <w:p w14:paraId="21AD8A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（2）公开开标后，直到向中标的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授予合同为止，凡审查、澄清、评价和比较投标的有关资料及被</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意见等内容，评标委员会成员均不得向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及与评标无关的其他人透露。</w:t>
      </w:r>
    </w:p>
    <w:p w14:paraId="1BDED07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21.评标委员会</w:t>
      </w:r>
    </w:p>
    <w:p w14:paraId="129502C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为确保评标工作公开、公平、公正，依法成立评标委员会。</w:t>
      </w:r>
      <w:r>
        <w:rPr>
          <w:rFonts w:ascii="仿宋" w:hAnsi="仿宋" w:eastAsia="仿宋" w:cs="仿宋"/>
          <w:color w:val="auto"/>
          <w:spacing w:val="7"/>
          <w:sz w:val="24"/>
          <w:szCs w:val="24"/>
        </w:rPr>
        <w:t>评标委员会由</w:t>
      </w:r>
      <w:r>
        <w:rPr>
          <w:rFonts w:hint="eastAsia" w:ascii="仿宋" w:hAnsi="仿宋" w:eastAsia="仿宋" w:cs="仿宋"/>
          <w:color w:val="auto"/>
          <w:spacing w:val="7"/>
          <w:sz w:val="24"/>
          <w:szCs w:val="24"/>
          <w:lang w:val="en-US" w:eastAsia="zh-CN"/>
        </w:rPr>
        <w:t>5</w:t>
      </w:r>
      <w:r>
        <w:rPr>
          <w:rFonts w:ascii="仿宋" w:hAnsi="仿宋" w:eastAsia="仿宋" w:cs="仿宋"/>
          <w:color w:val="auto"/>
          <w:spacing w:val="7"/>
          <w:sz w:val="24"/>
          <w:szCs w:val="24"/>
        </w:rPr>
        <w:t>人以上单数评审专家组成</w:t>
      </w:r>
      <w:r>
        <w:rPr>
          <w:rFonts w:hint="eastAsia" w:ascii="仿宋" w:hAnsi="仿宋" w:eastAsia="仿宋" w:cs="仿宋"/>
          <w:color w:val="auto"/>
          <w:spacing w:val="7"/>
          <w:sz w:val="24"/>
          <w:szCs w:val="24"/>
          <w:lang w:eastAsia="zh-CN"/>
        </w:rPr>
        <w:t>（采购人代表</w:t>
      </w:r>
      <w:r>
        <w:rPr>
          <w:rFonts w:hint="eastAsia" w:ascii="仿宋" w:hAnsi="仿宋" w:eastAsia="仿宋" w:cs="仿宋"/>
          <w:color w:val="auto"/>
          <w:spacing w:val="7"/>
          <w:sz w:val="24"/>
          <w:szCs w:val="24"/>
          <w:lang w:val="en-US" w:eastAsia="zh-CN"/>
        </w:rPr>
        <w:t>0</w:t>
      </w:r>
      <w:r>
        <w:rPr>
          <w:rFonts w:hint="eastAsia" w:ascii="仿宋" w:hAnsi="仿宋" w:eastAsia="仿宋" w:cs="仿宋"/>
          <w:color w:val="auto"/>
          <w:spacing w:val="7"/>
          <w:sz w:val="24"/>
          <w:szCs w:val="24"/>
          <w:lang w:eastAsia="zh-CN"/>
        </w:rPr>
        <w:t>人，随机抽取的评审专家</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lang w:eastAsia="zh-CN"/>
        </w:rPr>
        <w:t>人）</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专家名单从政府采购评审专家库中随机抽取，评标委员会成员应当遵守并履行下列责任和义务：</w:t>
      </w:r>
    </w:p>
    <w:p w14:paraId="4FE6D5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A、要严格遵守政府采购相关法律制度，依法履行各自职责，公正、客观、审慎地组织和参与评审工作；</w:t>
      </w:r>
    </w:p>
    <w:p w14:paraId="2502DB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B、审查、评价投标文件是否符合招标文件的商务、技术等实质性要求；</w:t>
      </w:r>
    </w:p>
    <w:p w14:paraId="50D0F6D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对投标文件有关事项作出澄清或说明；</w:t>
      </w:r>
    </w:p>
    <w:p w14:paraId="283415A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D、按招标文件规定的评审方法和标准，对投标文件进行比较和评价；对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的客观评分项的评分应当一致；</w:t>
      </w:r>
    </w:p>
    <w:p w14:paraId="3E4938A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E、要依法独立评审，按照招标文件的要求和评标标准进行评标，推荐中标候选人名单，对评审意见承担个人责任；</w:t>
      </w:r>
    </w:p>
    <w:p w14:paraId="304953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F、对需要共同认定的事项存在争议的，按照少数服从多数的原则</w:t>
      </w:r>
      <w:r>
        <w:rPr>
          <w:rFonts w:hint="eastAsia" w:ascii="仿宋" w:hAnsi="仿宋" w:eastAsia="仿宋" w:cs="仿宋"/>
          <w:spacing w:val="7"/>
          <w:sz w:val="24"/>
          <w:szCs w:val="24"/>
          <w:lang w:eastAsia="zh-CN"/>
        </w:rPr>
        <w:t>作出</w:t>
      </w:r>
      <w:r>
        <w:rPr>
          <w:rFonts w:ascii="仿宋" w:hAnsi="仿宋" w:eastAsia="仿宋" w:cs="仿宋"/>
          <w:spacing w:val="7"/>
          <w:sz w:val="24"/>
          <w:szCs w:val="24"/>
        </w:rPr>
        <w:t>结论。持不同意见的评审委员会成员应当在评审报告上签署不同意见并说明理由，否则视为同意；</w:t>
      </w:r>
    </w:p>
    <w:p w14:paraId="55275C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G、对评审情况以及在评审过程中获悉的国家秘密、商业秘密负有保密责任；</w:t>
      </w:r>
    </w:p>
    <w:p w14:paraId="5C85FD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、代理机构或者有关部门报告评标中发现的违法行为；</w:t>
      </w:r>
    </w:p>
    <w:p w14:paraId="6F03744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、代理机构答复</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提出的质疑；</w:t>
      </w:r>
    </w:p>
    <w:p w14:paraId="1ED7BEB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J、配合处理投诉工作；</w:t>
      </w:r>
    </w:p>
    <w:p w14:paraId="1EAECE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招标文件及法律法律规定的其他评标委员会须履行的义务。</w:t>
      </w:r>
    </w:p>
    <w:p w14:paraId="4610035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22.评审</w:t>
      </w:r>
    </w:p>
    <w:p w14:paraId="11117F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22.1.评标委员会按照“评标办法”规定的评审标准对投标文件进行评审。</w:t>
      </w:r>
    </w:p>
    <w:p w14:paraId="17120C1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23.★无效投标的情形</w:t>
      </w:r>
    </w:p>
    <w:p w14:paraId="0B983E9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法定代表人（或其他组织负责人，或自然人）或授权代理人未参加开标会议的；</w:t>
      </w:r>
    </w:p>
    <w:p w14:paraId="32A603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未按招标文件要求提供法人（或其他组织负责人，或自然人）身份证复印件，被授权人身份证复印件和法人授权委托书等证明文件和资料的，或提供的证件不齐或无效；</w:t>
      </w:r>
    </w:p>
    <w:p w14:paraId="6BA920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23.3.《投标文件》未按照《招标文件》规定要求签署、盖章或提交的投标文件份数不全的；</w:t>
      </w:r>
    </w:p>
    <w:p w14:paraId="1F3FCEC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公章及法人或法人授权委托人的印章或签字的；</w:t>
      </w:r>
    </w:p>
    <w:p w14:paraId="65D5D0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23.5.《投标文件》不符合《招标文件》规定格式的；</w:t>
      </w:r>
    </w:p>
    <w:p w14:paraId="17C3E8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23.6.投标总报价超出项目采购预算的。</w:t>
      </w:r>
    </w:p>
    <w:p w14:paraId="03D6AE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color w:val="auto"/>
          <w:spacing w:val="7"/>
          <w:sz w:val="24"/>
          <w:szCs w:val="24"/>
          <w:lang w:val="en-US" w:eastAsia="zh-CN"/>
        </w:rPr>
      </w:pPr>
      <w:r>
        <w:rPr>
          <w:rFonts w:ascii="仿宋" w:hAnsi="仿宋" w:eastAsia="仿宋" w:cs="仿宋"/>
          <w:color w:val="auto"/>
          <w:spacing w:val="7"/>
          <w:sz w:val="24"/>
          <w:szCs w:val="24"/>
        </w:rPr>
        <w:t>23.7.应交未交投标保证金或不能提供有效缴纳凭证的</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本项目不做要求-+</w:t>
      </w:r>
    </w:p>
    <w:p w14:paraId="517DFEE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color w:val="0000FF"/>
          <w:spacing w:val="7"/>
          <w:sz w:val="24"/>
          <w:szCs w:val="24"/>
        </w:rPr>
      </w:pPr>
      <w:r>
        <w:rPr>
          <w:rFonts w:hint="eastAsia" w:ascii="仿宋" w:hAnsi="仿宋" w:eastAsia="仿宋" w:cs="仿宋"/>
          <w:color w:val="auto"/>
          <w:spacing w:val="7"/>
          <w:sz w:val="24"/>
          <w:szCs w:val="24"/>
          <w:lang w:val="en-US" w:eastAsia="zh-CN"/>
        </w:rPr>
        <w:t>......................</w:t>
      </w:r>
      <w:r>
        <w:rPr>
          <w:rFonts w:hint="eastAsia" w:ascii="仿宋" w:hAnsi="仿宋" w:eastAsia="仿宋" w:cs="仿宋"/>
          <w:color w:val="auto"/>
          <w:spacing w:val="7"/>
          <w:sz w:val="24"/>
          <w:szCs w:val="24"/>
          <w:lang w:eastAsia="zh-CN"/>
        </w:rPr>
        <w:t>）</w:t>
      </w:r>
      <w:r>
        <w:rPr>
          <w:rFonts w:ascii="仿宋" w:hAnsi="仿宋" w:eastAsia="仿宋" w:cs="仿宋"/>
          <w:color w:val="auto"/>
          <w:spacing w:val="7"/>
          <w:sz w:val="24"/>
          <w:szCs w:val="24"/>
        </w:rPr>
        <w:t>；</w:t>
      </w:r>
    </w:p>
    <w:p w14:paraId="54D226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23.8.不具备招标文件中规</w:t>
      </w:r>
      <w:r>
        <w:rPr>
          <w:rFonts w:hint="eastAsia" w:ascii="仿宋" w:hAnsi="仿宋" w:eastAsia="仿宋" w:cs="仿宋"/>
          <w:spacing w:val="7"/>
          <w:sz w:val="24"/>
          <w:szCs w:val="24"/>
          <w:lang w:eastAsia="zh-CN"/>
        </w:rPr>
        <w:t>定的</w:t>
      </w:r>
      <w:r>
        <w:rPr>
          <w:rFonts w:ascii="仿宋" w:hAnsi="仿宋" w:eastAsia="仿宋" w:cs="仿宋"/>
          <w:spacing w:val="7"/>
          <w:sz w:val="24"/>
          <w:szCs w:val="24"/>
        </w:rPr>
        <w:t>资格要求或资格证明文件不全或是虚假的；</w:t>
      </w:r>
    </w:p>
    <w:p w14:paraId="3D04383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23.9.投标有效期不符合《招标文件》要求的；</w:t>
      </w:r>
    </w:p>
    <w:p w14:paraId="0918FE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23.10.不能按评标委员会要求提供相应证件原件或提供的原件与投标文件复印件不一致，且存在伪造行为的；</w:t>
      </w:r>
    </w:p>
    <w:p w14:paraId="6D2769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的投标报价是可变动价格的，或包含了价格调整要求的，或投标报价中提供两个（含两个）以上的报价且未声明哪个有效的（招标文件规定提交备选投标方案的除外）；</w:t>
      </w:r>
    </w:p>
    <w:p w14:paraId="3404B4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23.12.评审专家中有2/3认定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投标价格有恶意报价行为的；</w:t>
      </w:r>
    </w:p>
    <w:p w14:paraId="54DD971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不能接受的条件或声明的；</w:t>
      </w:r>
    </w:p>
    <w:p w14:paraId="1A7DC3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23.14.在评标过程中，如果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施加任何影响的；</w:t>
      </w:r>
    </w:p>
    <w:p w14:paraId="00DECB1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23.15.</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以他人名义投标、串通投标、以行贿手段谋取中标或者以弄虚作假等方式投标的；</w:t>
      </w:r>
    </w:p>
    <w:p w14:paraId="0CB216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23.16.经核实两个或两个以上</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的投标文件有雷同或有抄袭行为的；</w:t>
      </w:r>
    </w:p>
    <w:p w14:paraId="3B39A2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23.17.违反《中华人民共和国政府采购法》的投标；</w:t>
      </w:r>
    </w:p>
    <w:p w14:paraId="4A0AAF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23.18.招标文件中已明确无效投标的其他条款。</w:t>
      </w:r>
    </w:p>
    <w:p w14:paraId="38D92E5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24.定标</w:t>
      </w:r>
    </w:p>
    <w:p w14:paraId="6B5C683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定标及确定</w:t>
      </w:r>
      <w:r>
        <w:rPr>
          <w:rFonts w:hint="eastAsia" w:ascii="仿宋" w:hAnsi="仿宋" w:eastAsia="仿宋" w:cs="仿宋"/>
          <w:spacing w:val="7"/>
          <w:sz w:val="24"/>
          <w:szCs w:val="24"/>
          <w:lang w:eastAsia="zh-CN"/>
        </w:rPr>
        <w:t>中标候选人</w:t>
      </w:r>
      <w:r>
        <w:rPr>
          <w:rFonts w:ascii="仿宋" w:hAnsi="仿宋" w:eastAsia="仿宋" w:cs="仿宋"/>
          <w:spacing w:val="7"/>
          <w:sz w:val="24"/>
          <w:szCs w:val="24"/>
        </w:rPr>
        <w:t>的原则：投标文件满足招标文件全部实质性要求，且按照评审因素的量化指标评审得分最高的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为排名第一的中标候选人。得分相同的，选择最低报价的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2B391EA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六、质疑</w:t>
      </w:r>
    </w:p>
    <w:p w14:paraId="1C32E9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25.</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质疑</w:t>
      </w:r>
    </w:p>
    <w:p w14:paraId="2416AB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收到质疑函后7个工作日内作出答复。本次招标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如对招标文件或招投标过程进行质疑，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须一次性提出针对同一采购程序环节的所有质疑内容，多次质疑将不予受理。</w:t>
      </w:r>
    </w:p>
    <w:p w14:paraId="096E3AC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w:t>
      </w:r>
    </w:p>
    <w:p w14:paraId="6776210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（1）关于招标文件的质疑，</w:t>
      </w:r>
      <w:r>
        <w:rPr>
          <w:rFonts w:hint="eastAsia" w:ascii="仿宋" w:hAnsi="仿宋" w:eastAsia="仿宋" w:cs="仿宋"/>
          <w:spacing w:val="7"/>
          <w:sz w:val="24"/>
          <w:szCs w:val="24"/>
          <w:lang w:eastAsia="zh-CN"/>
        </w:rPr>
        <w:t>应在</w:t>
      </w:r>
      <w:r>
        <w:rPr>
          <w:rFonts w:ascii="仿宋" w:hAnsi="仿宋" w:eastAsia="仿宋" w:cs="仿宋"/>
          <w:spacing w:val="7"/>
          <w:sz w:val="24"/>
          <w:szCs w:val="24"/>
        </w:rPr>
        <w:t>获取</w:t>
      </w: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之日起七个工作日内提出。</w:t>
      </w:r>
    </w:p>
    <w:p w14:paraId="70AC70A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（2）关于招标过程的质疑，应在招标程序环节结束之日起七个工作日内提出。</w:t>
      </w:r>
    </w:p>
    <w:p w14:paraId="2CF542C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（3）关于中标结果的质疑，应在中标结果信息发布后七个工作日内提出。</w:t>
      </w:r>
    </w:p>
    <w:p w14:paraId="6A50977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应当向质疑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签收回执。</w:t>
      </w:r>
    </w:p>
    <w:p w14:paraId="43ADD6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25.4.质疑书应当包括下列内容：</w:t>
      </w:r>
    </w:p>
    <w:p w14:paraId="46F111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的姓名或者名称、地址、邮编、联系人及联系电话；</w:t>
      </w:r>
    </w:p>
    <w:p w14:paraId="33AE74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（2）质疑项目的名称、编号；</w:t>
      </w:r>
    </w:p>
    <w:p w14:paraId="39D0A1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（3）具体、明确的质疑事项和与质疑事项相关的请求；</w:t>
      </w:r>
    </w:p>
    <w:p w14:paraId="280A5FE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（4）事实依据；</w:t>
      </w:r>
    </w:p>
    <w:p w14:paraId="09C830B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（5）必要的法律依据；</w:t>
      </w:r>
    </w:p>
    <w:p w14:paraId="79932B3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（6）提出质疑的日期。</w:t>
      </w:r>
    </w:p>
    <w:p w14:paraId="4E3CCC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25.5.质疑书应当由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法定代表人（或其他组织负责人，或自然人）或其授权委托人签 字并加盖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单位章，质疑书由授权委托人签字的应附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授权委托书（自然人除外）。</w:t>
      </w:r>
    </w:p>
    <w:p w14:paraId="351E62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将在签收回执之日起七个工作日内作出书面答复，并以书面形式通知质疑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和其他有关的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3E50D8B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footerReference r:id="rId7"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rPr>
        <w:t>25.7.</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未在规定的期限作出答复的，可在答复期满后十五个工作日内，按政府采购相关法律法规规章的规定及程序，向同级财政部门提出投诉。</w:t>
      </w:r>
    </w:p>
    <w:p w14:paraId="2F958313">
      <w:pPr>
        <w:keepLines w:val="0"/>
        <w:pageBreakBefore w:val="0"/>
        <w:kinsoku/>
        <w:wordWrap/>
        <w:overflowPunct/>
        <w:topLinePunct w:val="0"/>
        <w:bidi w:val="0"/>
        <w:spacing w:line="230" w:lineRule="auto"/>
        <w:ind w:left="232"/>
        <w:rPr>
          <w:rFonts w:ascii="Times New Roman" w:hAnsi="Times New Roman" w:eastAsia="Times New Roman" w:cs="Times New Roman"/>
          <w:spacing w:val="4"/>
          <w:sz w:val="24"/>
          <w:szCs w:val="24"/>
        </w:rPr>
      </w:pPr>
    </w:p>
    <w:p w14:paraId="75E2FDED">
      <w:pPr>
        <w:keepLines w:val="0"/>
        <w:pageBreakBefore w:val="0"/>
        <w:kinsoku/>
        <w:wordWrap/>
        <w:overflowPunct/>
        <w:topLinePunct w:val="0"/>
        <w:bidi w:val="0"/>
        <w:spacing w:line="230" w:lineRule="auto"/>
        <w:ind w:left="232"/>
        <w:rPr>
          <w:rFonts w:ascii="仿宋" w:hAnsi="仿宋" w:eastAsia="仿宋" w:cs="仿宋"/>
          <w:spacing w:val="7"/>
          <w:sz w:val="24"/>
          <w:szCs w:val="24"/>
        </w:rPr>
      </w:pPr>
      <w:r>
        <w:rPr>
          <w:rFonts w:ascii="Times New Roman" w:hAnsi="Times New Roman" w:eastAsia="Times New Roman" w:cs="Times New Roman"/>
          <w:spacing w:val="4"/>
          <w:sz w:val="24"/>
          <w:szCs w:val="24"/>
        </w:rPr>
        <w:t xml:space="preserve">25.8.   </w:t>
      </w:r>
      <w:r>
        <w:rPr>
          <w:rFonts w:ascii="仿宋" w:hAnsi="仿宋" w:eastAsia="仿宋" w:cs="仿宋"/>
          <w:spacing w:val="4"/>
          <w:sz w:val="24"/>
          <w:szCs w:val="24"/>
        </w:rPr>
        <w:t>质疑函范本：</w:t>
      </w:r>
    </w:p>
    <w:p w14:paraId="6E6C29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基本信息</w:t>
      </w:r>
    </w:p>
    <w:p w14:paraId="04FF46F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r>
        <w:rPr>
          <w:rFonts w:ascii="仿宋" w:hAnsi="仿宋" w:eastAsia="仿宋" w:cs="仿宋"/>
          <w:spacing w:val="7"/>
          <w:sz w:val="24"/>
          <w:szCs w:val="24"/>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9"/>
                    <a:stretch>
                      <a:fillRect/>
                    </a:stretch>
                  </pic:blipFill>
                  <pic:spPr>
                    <a:xfrm>
                      <a:off x="0" y="0"/>
                      <a:ext cx="4134484" cy="6096"/>
                    </a:xfrm>
                    <a:prstGeom prst="rect">
                      <a:avLst/>
                    </a:prstGeom>
                  </pic:spPr>
                </pic:pic>
              </a:graphicData>
            </a:graphic>
          </wp:inline>
        </w:drawing>
      </w:r>
    </w:p>
    <w:p w14:paraId="24D0DD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地址：</w:t>
      </w:r>
      <w:r>
        <w:rPr>
          <w:rFonts w:ascii="仿宋" w:hAnsi="仿宋" w:eastAsia="仿宋" w:cs="仿宋"/>
          <w:spacing w:val="7"/>
          <w:sz w:val="24"/>
          <w:szCs w:val="24"/>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0"/>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1"/>
                    <a:stretch>
                      <a:fillRect/>
                    </a:stretch>
                  </pic:blipFill>
                  <pic:spPr>
                    <a:xfrm>
                      <a:off x="0" y="0"/>
                      <a:ext cx="2400300" cy="6095"/>
                    </a:xfrm>
                    <a:prstGeom prst="rect">
                      <a:avLst/>
                    </a:prstGeom>
                  </pic:spPr>
                </pic:pic>
              </a:graphicData>
            </a:graphic>
          </wp:inline>
        </w:drawing>
      </w:r>
    </w:p>
    <w:p w14:paraId="11E040F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联系人：</w:t>
      </w:r>
      <w:r>
        <w:rPr>
          <w:rFonts w:ascii="仿宋" w:hAnsi="仿宋" w:eastAsia="仿宋" w:cs="仿宋"/>
          <w:spacing w:val="7"/>
          <w:sz w:val="24"/>
          <w:szCs w:val="24"/>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2"/>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rPr>
        <w:t xml:space="preserve"> 联系电话：</w:t>
      </w:r>
      <w:r>
        <w:rPr>
          <w:rFonts w:ascii="仿宋" w:hAnsi="仿宋" w:eastAsia="仿宋" w:cs="仿宋"/>
          <w:spacing w:val="7"/>
          <w:sz w:val="24"/>
          <w:szCs w:val="24"/>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3"/>
                    <a:stretch>
                      <a:fillRect/>
                    </a:stretch>
                  </pic:blipFill>
                  <pic:spPr>
                    <a:xfrm>
                      <a:off x="0" y="0"/>
                      <a:ext cx="2270760" cy="6095"/>
                    </a:xfrm>
                    <a:prstGeom prst="rect">
                      <a:avLst/>
                    </a:prstGeom>
                  </pic:spPr>
                </pic:pic>
              </a:graphicData>
            </a:graphic>
          </wp:inline>
        </w:drawing>
      </w:r>
    </w:p>
    <w:p w14:paraId="7CF821C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授权代表：</w:t>
      </w:r>
      <w:r>
        <w:rPr>
          <w:rFonts w:ascii="仿宋" w:hAnsi="仿宋" w:eastAsia="仿宋" w:cs="仿宋"/>
          <w:spacing w:val="7"/>
          <w:sz w:val="24"/>
          <w:szCs w:val="24"/>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4"/>
                    <a:stretch>
                      <a:fillRect/>
                    </a:stretch>
                  </pic:blipFill>
                  <pic:spPr>
                    <a:xfrm>
                      <a:off x="0" y="0"/>
                      <a:ext cx="4332604" cy="6095"/>
                    </a:xfrm>
                    <a:prstGeom prst="rect">
                      <a:avLst/>
                    </a:prstGeom>
                  </pic:spPr>
                </pic:pic>
              </a:graphicData>
            </a:graphic>
          </wp:inline>
        </w:drawing>
      </w:r>
    </w:p>
    <w:p w14:paraId="580654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联系电话：</w:t>
      </w:r>
      <w:r>
        <w:rPr>
          <w:rFonts w:ascii="仿宋" w:hAnsi="仿宋" w:eastAsia="仿宋" w:cs="仿宋"/>
          <w:spacing w:val="7"/>
          <w:sz w:val="24"/>
          <w:szCs w:val="24"/>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5"/>
                    <a:stretch>
                      <a:fillRect/>
                    </a:stretch>
                  </pic:blipFill>
                  <pic:spPr>
                    <a:xfrm>
                      <a:off x="0" y="0"/>
                      <a:ext cx="4267200" cy="6095"/>
                    </a:xfrm>
                    <a:prstGeom prst="rect">
                      <a:avLst/>
                    </a:prstGeom>
                  </pic:spPr>
                </pic:pic>
              </a:graphicData>
            </a:graphic>
          </wp:inline>
        </w:drawing>
      </w:r>
    </w:p>
    <w:p w14:paraId="08C2245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地址： </w:t>
      </w:r>
      <w:r>
        <w:rPr>
          <w:rFonts w:ascii="仿宋" w:hAnsi="仿宋" w:eastAsia="仿宋" w:cs="仿宋"/>
          <w:spacing w:val="7"/>
          <w:sz w:val="24"/>
          <w:szCs w:val="24"/>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6"/>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7"/>
                    <a:stretch>
                      <a:fillRect/>
                    </a:stretch>
                  </pic:blipFill>
                  <pic:spPr>
                    <a:xfrm>
                      <a:off x="0" y="0"/>
                      <a:ext cx="2465704" cy="6095"/>
                    </a:xfrm>
                    <a:prstGeom prst="rect">
                      <a:avLst/>
                    </a:prstGeom>
                  </pic:spPr>
                </pic:pic>
              </a:graphicData>
            </a:graphic>
          </wp:inline>
        </w:drawing>
      </w:r>
    </w:p>
    <w:p w14:paraId="5F3272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二、质疑项目基本情况</w:t>
      </w:r>
    </w:p>
    <w:p w14:paraId="323862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质疑项目的名称：</w:t>
      </w:r>
      <w:r>
        <w:rPr>
          <w:rFonts w:ascii="仿宋" w:hAnsi="仿宋" w:eastAsia="仿宋" w:cs="仿宋"/>
          <w:spacing w:val="7"/>
          <w:sz w:val="24"/>
          <w:szCs w:val="24"/>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8"/>
                    <a:stretch>
                      <a:fillRect/>
                    </a:stretch>
                  </pic:blipFill>
                  <pic:spPr>
                    <a:xfrm>
                      <a:off x="0" y="0"/>
                      <a:ext cx="3867784" cy="6095"/>
                    </a:xfrm>
                    <a:prstGeom prst="rect">
                      <a:avLst/>
                    </a:prstGeom>
                  </pic:spPr>
                </pic:pic>
              </a:graphicData>
            </a:graphic>
          </wp:inline>
        </w:drawing>
      </w:r>
    </w:p>
    <w:p w14:paraId="7D1BD9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质疑项目的编号：</w:t>
      </w:r>
      <w:r>
        <w:rPr>
          <w:rFonts w:ascii="仿宋" w:hAnsi="仿宋" w:eastAsia="仿宋" w:cs="仿宋"/>
          <w:spacing w:val="7"/>
          <w:sz w:val="24"/>
          <w:szCs w:val="24"/>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9"/>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rPr>
        <w:t xml:space="preserve"> 包号：</w:t>
      </w:r>
      <w:r>
        <w:rPr>
          <w:rFonts w:ascii="仿宋" w:hAnsi="仿宋" w:eastAsia="仿宋" w:cs="仿宋"/>
          <w:spacing w:val="7"/>
          <w:sz w:val="24"/>
          <w:szCs w:val="24"/>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0"/>
                    <a:stretch>
                      <a:fillRect/>
                    </a:stretch>
                  </pic:blipFill>
                  <pic:spPr>
                    <a:xfrm>
                      <a:off x="0" y="0"/>
                      <a:ext cx="1801495" cy="6095"/>
                    </a:xfrm>
                    <a:prstGeom prst="rect">
                      <a:avLst/>
                    </a:prstGeom>
                  </pic:spPr>
                </pic:pic>
              </a:graphicData>
            </a:graphic>
          </wp:inline>
        </w:drawing>
      </w:r>
    </w:p>
    <w:p w14:paraId="471A121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采购人名称：</w:t>
      </w:r>
      <w:r>
        <w:rPr>
          <w:rFonts w:ascii="仿宋" w:hAnsi="仿宋" w:eastAsia="仿宋" w:cs="仿宋"/>
          <w:spacing w:val="7"/>
          <w:sz w:val="24"/>
          <w:szCs w:val="24"/>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9"/>
                    <a:stretch>
                      <a:fillRect/>
                    </a:stretch>
                  </pic:blipFill>
                  <pic:spPr>
                    <a:xfrm>
                      <a:off x="0" y="0"/>
                      <a:ext cx="4134484" cy="6095"/>
                    </a:xfrm>
                    <a:prstGeom prst="rect">
                      <a:avLst/>
                    </a:prstGeom>
                  </pic:spPr>
                </pic:pic>
              </a:graphicData>
            </a:graphic>
          </wp:inline>
        </w:drawing>
      </w:r>
    </w:p>
    <w:p w14:paraId="2898F84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获取日期：</w:t>
      </w:r>
      <w:r>
        <w:rPr>
          <w:rFonts w:ascii="仿宋" w:hAnsi="仿宋" w:eastAsia="仿宋" w:cs="仿宋"/>
          <w:spacing w:val="7"/>
          <w:sz w:val="24"/>
          <w:szCs w:val="24"/>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1"/>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7004903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三、质疑事项具体内容</w:t>
          </w:r>
        </w:p>
        <w:p w14:paraId="1AA45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1：</w:t>
          </w:r>
          <w:r>
            <w:rPr>
              <w:rFonts w:ascii="仿宋" w:hAnsi="仿宋" w:eastAsia="仿宋" w:cs="仿宋"/>
              <w:spacing w:val="7"/>
              <w:sz w:val="24"/>
              <w:szCs w:val="24"/>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2"/>
                        <a:stretch>
                          <a:fillRect/>
                        </a:stretch>
                      </pic:blipFill>
                      <pic:spPr>
                        <a:xfrm>
                          <a:off x="0" y="0"/>
                          <a:ext cx="4134484" cy="6095"/>
                        </a:xfrm>
                        <a:prstGeom prst="rect">
                          <a:avLst/>
                        </a:prstGeom>
                      </pic:spPr>
                    </pic:pic>
                  </a:graphicData>
                </a:graphic>
              </wp:inline>
            </w:drawing>
          </w:r>
        </w:p>
        <w:p w14:paraId="115786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事实依据：</w:t>
          </w:r>
          <w:r>
            <w:rPr>
              <w:rFonts w:ascii="仿宋" w:hAnsi="仿宋" w:eastAsia="仿宋" w:cs="仿宋"/>
              <w:spacing w:val="7"/>
              <w:sz w:val="24"/>
              <w:szCs w:val="24"/>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3"/>
                        <a:stretch>
                          <a:fillRect/>
                        </a:stretch>
                      </pic:blipFill>
                      <pic:spPr>
                        <a:xfrm>
                          <a:off x="0" y="0"/>
                          <a:ext cx="4533900" cy="6095"/>
                        </a:xfrm>
                        <a:prstGeom prst="rect">
                          <a:avLst/>
                        </a:prstGeom>
                      </pic:spPr>
                    </pic:pic>
                  </a:graphicData>
                </a:graphic>
              </wp:inline>
            </w:drawing>
          </w:r>
        </w:p>
        <w:p w14:paraId="29BCBE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法律依据：</w:t>
          </w:r>
          <w:r>
            <w:rPr>
              <w:rFonts w:ascii="仿宋" w:hAnsi="仿宋" w:eastAsia="仿宋" w:cs="仿宋"/>
              <w:spacing w:val="7"/>
              <w:sz w:val="24"/>
              <w:szCs w:val="24"/>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4"/>
                        <a:stretch>
                          <a:fillRect/>
                        </a:stretch>
                      </pic:blipFill>
                      <pic:spPr>
                        <a:xfrm>
                          <a:off x="0" y="0"/>
                          <a:ext cx="4533900" cy="6095"/>
                        </a:xfrm>
                        <a:prstGeom prst="rect">
                          <a:avLst/>
                        </a:prstGeom>
                      </pic:spPr>
                    </pic:pic>
                  </a:graphicData>
                </a:graphic>
              </wp:inline>
            </w:drawing>
          </w:r>
        </w:p>
      </w:sdtContent>
    </w:sdt>
    <w:p w14:paraId="03BACD4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2</w:t>
      </w:r>
    </w:p>
    <w:p w14:paraId="648CC3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7F540A6C">
          <w:pPr>
            <w:keepLines w:val="0"/>
            <w:pageBreakBefore w:val="0"/>
            <w:kinsoku/>
            <w:wordWrap/>
            <w:overflowPunct/>
            <w:topLinePunct w:val="0"/>
            <w:bidi w:val="0"/>
            <w:spacing w:before="51" w:line="229" w:lineRule="auto"/>
            <w:ind w:left="266"/>
            <w:rPr>
              <w:rFonts w:ascii="仿宋" w:hAnsi="仿宋" w:eastAsia="仿宋" w:cs="仿宋"/>
              <w:b/>
              <w:bCs/>
              <w:sz w:val="24"/>
              <w:szCs w:val="24"/>
            </w:rPr>
          </w:pPr>
          <w:r>
            <w:rPr>
              <w:rFonts w:ascii="仿宋" w:hAnsi="仿宋" w:eastAsia="仿宋" w:cs="仿宋"/>
              <w:b/>
              <w:bCs/>
              <w:spacing w:val="7"/>
              <w:sz w:val="24"/>
              <w:szCs w:val="24"/>
            </w:rPr>
            <w:t>四、与质疑事项相关的质疑请求</w:t>
          </w:r>
        </w:p>
        <w:p w14:paraId="4039004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请求：</w:t>
          </w:r>
          <w:r>
            <w:rPr>
              <w:rFonts w:ascii="仿宋" w:hAnsi="仿宋" w:eastAsia="仿宋" w:cs="仿宋"/>
              <w:spacing w:val="7"/>
              <w:sz w:val="24"/>
              <w:szCs w:val="24"/>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5"/>
                        <a:stretch>
                          <a:fillRect/>
                        </a:stretch>
                      </pic:blipFill>
                      <pic:spPr>
                        <a:xfrm>
                          <a:off x="0" y="0"/>
                          <a:ext cx="4599304" cy="6095"/>
                        </a:xfrm>
                        <a:prstGeom prst="rect">
                          <a:avLst/>
                        </a:prstGeom>
                      </pic:spPr>
                    </pic:pic>
                  </a:graphicData>
                </a:graphic>
              </wp:inline>
            </w:drawing>
          </w:r>
        </w:p>
      </w:sdtContent>
    </w:sdt>
    <w:p w14:paraId="6228E76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签字(签章)：                    公章：</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日期：</w:t>
      </w:r>
    </w:p>
    <w:p w14:paraId="6767DCC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25.9.质疑函接收方式：质疑函以书面形式递交或者电子邮件的方式发送。</w:t>
      </w:r>
      <w:r>
        <w:rPr>
          <w:rFonts w:hint="eastAsia" w:ascii="仿宋" w:hAnsi="仿宋" w:eastAsia="仿宋" w:cs="仿宋"/>
          <w:spacing w:val="7"/>
          <w:sz w:val="24"/>
          <w:szCs w:val="24"/>
          <w:lang w:eastAsia="zh-CN"/>
        </w:rPr>
        <w:t>（发出质疑函需电话告知代理机构）</w:t>
      </w:r>
    </w:p>
    <w:p w14:paraId="2CFE4D7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val="en-US" w:eastAsia="zh-CN"/>
        </w:rPr>
        <w:t>阿克苏地区振远项目咨询管理有限公司</w:t>
      </w:r>
      <w:r>
        <w:rPr>
          <w:rFonts w:ascii="仿宋" w:hAnsi="仿宋" w:eastAsia="仿宋" w:cs="仿宋"/>
          <w:spacing w:val="7"/>
          <w:sz w:val="24"/>
          <w:szCs w:val="24"/>
        </w:rPr>
        <w:t>，地址：</w:t>
      </w:r>
      <w:r>
        <w:rPr>
          <w:rFonts w:hint="eastAsia" w:ascii="仿宋" w:hAnsi="仿宋" w:eastAsia="仿宋" w:cs="仿宋"/>
          <w:spacing w:val="7"/>
          <w:sz w:val="24"/>
          <w:szCs w:val="24"/>
          <w:lang w:val="en-US" w:eastAsia="zh-CN"/>
        </w:rPr>
        <w:t>阿克苏市第四家属院1号楼2单元19B01号</w:t>
      </w:r>
      <w:r>
        <w:rPr>
          <w:rFonts w:ascii="仿宋" w:hAnsi="仿宋" w:eastAsia="仿宋" w:cs="仿宋"/>
          <w:spacing w:val="7"/>
          <w:sz w:val="24"/>
          <w:szCs w:val="24"/>
        </w:rPr>
        <w:t>，联系人：</w:t>
      </w:r>
      <w:r>
        <w:rPr>
          <w:rFonts w:hint="eastAsia" w:ascii="仿宋" w:hAnsi="仿宋" w:eastAsia="仿宋" w:cs="仿宋"/>
          <w:spacing w:val="7"/>
          <w:sz w:val="24"/>
          <w:szCs w:val="24"/>
          <w:lang w:eastAsia="zh-CN"/>
        </w:rPr>
        <w:t>胡丹</w:t>
      </w:r>
      <w:r>
        <w:rPr>
          <w:rFonts w:ascii="仿宋" w:hAnsi="仿宋" w:eastAsia="仿宋" w:cs="仿宋"/>
          <w:spacing w:val="7"/>
          <w:sz w:val="24"/>
          <w:szCs w:val="24"/>
        </w:rPr>
        <w:t>，联系电话：</w:t>
      </w:r>
      <w:r>
        <w:rPr>
          <w:rFonts w:hint="eastAsia" w:ascii="仿宋" w:hAnsi="仿宋" w:eastAsia="仿宋" w:cs="仿宋"/>
          <w:spacing w:val="7"/>
          <w:sz w:val="24"/>
          <w:szCs w:val="24"/>
          <w:lang w:val="en-US" w:eastAsia="zh-CN"/>
        </w:rPr>
        <w:t>1556965500</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864229187</w:t>
      </w:r>
      <w:r>
        <w:rPr>
          <w:rFonts w:hint="eastAsia" w:ascii="仿宋" w:hAnsi="仿宋" w:eastAsia="仿宋" w:cs="仿宋"/>
          <w:spacing w:val="7"/>
          <w:sz w:val="24"/>
          <w:szCs w:val="24"/>
          <w:lang w:eastAsia="zh-CN"/>
        </w:rPr>
        <w:t>@qq.com</w:t>
      </w:r>
      <w:r>
        <w:rPr>
          <w:rFonts w:ascii="仿宋" w:hAnsi="仿宋" w:eastAsia="仿宋" w:cs="仿宋"/>
          <w:spacing w:val="7"/>
          <w:sz w:val="24"/>
          <w:szCs w:val="24"/>
        </w:rPr>
        <w:t>。</w:t>
      </w:r>
    </w:p>
    <w:p w14:paraId="2F0BFCB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七、签订合同</w:t>
      </w:r>
    </w:p>
    <w:p w14:paraId="2B796A04">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26.招标代理服务费</w:t>
      </w:r>
    </w:p>
    <w:p w14:paraId="52A08B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highlight w:val="none"/>
        </w:rPr>
      </w:pPr>
      <w:r>
        <w:rPr>
          <w:rFonts w:ascii="仿宋" w:hAnsi="仿宋" w:eastAsia="仿宋" w:cs="仿宋"/>
          <w:spacing w:val="7"/>
          <w:sz w:val="24"/>
          <w:szCs w:val="24"/>
          <w:highlight w:val="none"/>
        </w:rPr>
        <w:t>26.1.</w:t>
      </w:r>
      <w:r>
        <w:rPr>
          <w:rFonts w:hint="eastAsia" w:ascii="仿宋" w:hAnsi="仿宋" w:eastAsia="仿宋" w:cs="仿宋"/>
          <w:spacing w:val="7"/>
          <w:sz w:val="24"/>
          <w:szCs w:val="24"/>
          <w:highlight w:val="none"/>
          <w:lang w:eastAsia="zh-CN"/>
        </w:rPr>
        <w:t>招标代理服务费参照《招标代理服务收费管理暂行办法》（计价格〔2002〕1980号）规定计取（按差额定率累进法计算）</w:t>
      </w:r>
      <w:r>
        <w:rPr>
          <w:rFonts w:ascii="仿宋" w:hAnsi="仿宋" w:eastAsia="仿宋" w:cs="仿宋"/>
          <w:spacing w:val="7"/>
          <w:sz w:val="24"/>
          <w:szCs w:val="24"/>
          <w:highlight w:val="none"/>
        </w:rPr>
        <w:t>，由中标（成交）人向采购代理机构交纳代理服务费。</w:t>
      </w:r>
    </w:p>
    <w:p w14:paraId="0A810B4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26.2.费用缴纳可采用电汇、转支（公户）</w:t>
      </w:r>
      <w:r>
        <w:rPr>
          <w:rFonts w:hint="eastAsia" w:ascii="仿宋" w:hAnsi="仿宋" w:eastAsia="仿宋" w:cs="仿宋"/>
          <w:spacing w:val="7"/>
          <w:sz w:val="24"/>
          <w:szCs w:val="24"/>
          <w:lang w:eastAsia="zh-CN"/>
        </w:rPr>
        <w:t>等</w:t>
      </w:r>
      <w:r>
        <w:rPr>
          <w:rFonts w:ascii="仿宋" w:hAnsi="仿宋" w:eastAsia="仿宋" w:cs="仿宋"/>
          <w:spacing w:val="7"/>
          <w:sz w:val="24"/>
          <w:szCs w:val="24"/>
        </w:rPr>
        <w:t>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p>
    <w:p w14:paraId="2E8CE68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27.中标通知书</w:t>
      </w:r>
    </w:p>
    <w:p w14:paraId="63E2EA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将电话通知</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缴纳招标代理服务费。</w:t>
      </w:r>
    </w:p>
    <w:p w14:paraId="69EC93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2</w:t>
      </w:r>
      <w:r>
        <w:rPr>
          <w:rFonts w:ascii="仿宋" w:hAnsi="仿宋" w:eastAsia="仿宋" w:cs="仿宋"/>
          <w:spacing w:val="7"/>
          <w:sz w:val="24"/>
          <w:szCs w:val="24"/>
        </w:rPr>
        <w:t>.在规定的投标有效期内，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将以书面形式向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发出《中标通知书》。</w:t>
      </w:r>
    </w:p>
    <w:p w14:paraId="21A631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和</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具有同等法律效力。</w:t>
      </w:r>
    </w:p>
    <w:p w14:paraId="29F80B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.中标通知书是</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签订合同的依据，是合同必不可少的一个组成部分。</w:t>
      </w:r>
    </w:p>
    <w:p w14:paraId="6F5100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w:t>
      </w:r>
      <w:r>
        <w:rPr>
          <w:rFonts w:hint="eastAsia" w:ascii="仿宋" w:hAnsi="仿宋" w:eastAsia="仿宋" w:cs="仿宋"/>
          <w:spacing w:val="7"/>
          <w:sz w:val="24"/>
          <w:szCs w:val="24"/>
          <w:lang w:eastAsia="zh-CN"/>
        </w:rPr>
        <w:t>采购合同</w:t>
      </w:r>
      <w:r>
        <w:rPr>
          <w:rFonts w:ascii="仿宋" w:hAnsi="仿宋" w:eastAsia="仿宋" w:cs="仿宋"/>
          <w:spacing w:val="7"/>
          <w:sz w:val="24"/>
          <w:szCs w:val="24"/>
        </w:rPr>
        <w:t>或放弃中标资格的，按照《中华人民共和国政府采购法实施条例》第四十九条规定执行。</w:t>
      </w:r>
    </w:p>
    <w:p w14:paraId="5609F22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28.签订合同</w:t>
      </w:r>
    </w:p>
    <w:p w14:paraId="112051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应当在中标通知书发出之日起30日内，按照招标文件确定的合同文本以及采购标的、规格型号、采购金额、采购数量、技术和服务要求等事项签订政府采购合同。</w:t>
      </w:r>
    </w:p>
    <w:p w14:paraId="25E1E7E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不得向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提出超出招标文件以外的任何要求作为签订合同的条件，不得与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订立背离招标文件确定的合同文本以及采购标的、规格型号、采购金额、采购数量、技术和服务要求等实质性内容的协议。</w:t>
      </w:r>
    </w:p>
    <w:p w14:paraId="19BB44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改变成交结果，或者</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拒绝签订政府采购合同的，应当承担相应的法律责任。</w:t>
      </w:r>
    </w:p>
    <w:p w14:paraId="3EE3CA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28.4.</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管理办法》第三十六条第二款、第四十九条第二款规定的原则确定其他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作为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并签订政府采购合同，也可以重新开展采购活动。拒绝签订政府采购合同的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不得参加对该项目重新开展的采购活动。</w:t>
      </w:r>
    </w:p>
    <w:p w14:paraId="1C03A32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应当自采购合同签订之日起七个工作日内，按照有关规定将采购合同副本报同级人民政府财政部门备案。</w:t>
      </w:r>
    </w:p>
    <w:p w14:paraId="24448B8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28.6.分包履行合同（本项目不允许分包）</w:t>
      </w:r>
    </w:p>
    <w:p w14:paraId="03E209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28.7.如招标文件同意分包，经</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同意，</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可以依法采取分包方式履行合同。政府 采购合同分包履行的，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就采购项目和分包项目向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负责，分包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就分包项目承担责任。</w:t>
      </w:r>
    </w:p>
    <w:p w14:paraId="436B4AB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29.政府采购合同履行中合同标的的追加</w:t>
      </w:r>
    </w:p>
    <w:p w14:paraId="1D853B4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需追加与合同标的相同的货物、工程或者服务的，在不改变合同其他条款的前提下，可以与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协商签订补充合同，但所有补充合同的采购金额不得超过原合同采购金额的百分之十。</w:t>
      </w:r>
    </w:p>
    <w:p w14:paraId="1BE809D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30.废标条款</w:t>
      </w:r>
    </w:p>
    <w:p w14:paraId="1ECC27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（一）符合专业条件的供应商或者对招标文件</w:t>
      </w:r>
      <w:r>
        <w:rPr>
          <w:rFonts w:hint="eastAsia" w:ascii="仿宋" w:hAnsi="仿宋" w:eastAsia="仿宋" w:cs="仿宋"/>
          <w:spacing w:val="7"/>
          <w:sz w:val="24"/>
          <w:szCs w:val="24"/>
          <w:lang w:val="en-US" w:eastAsia="zh-CN"/>
        </w:rPr>
        <w:t>做</w:t>
      </w:r>
      <w:r>
        <w:rPr>
          <w:rFonts w:hint="default" w:ascii="仿宋" w:hAnsi="仿宋" w:eastAsia="仿宋" w:cs="仿宋"/>
          <w:spacing w:val="7"/>
          <w:sz w:val="24"/>
          <w:szCs w:val="24"/>
          <w:lang w:val="en-US" w:eastAsia="zh-CN"/>
        </w:rPr>
        <w:t>实质</w:t>
      </w:r>
      <w:r>
        <w:rPr>
          <w:rFonts w:hint="eastAsia" w:ascii="仿宋" w:hAnsi="仿宋" w:eastAsia="仿宋" w:cs="仿宋"/>
          <w:spacing w:val="7"/>
          <w:sz w:val="24"/>
          <w:szCs w:val="24"/>
          <w:lang w:val="en-US" w:eastAsia="zh-CN"/>
        </w:rPr>
        <w:t>投标</w:t>
      </w:r>
      <w:r>
        <w:rPr>
          <w:rFonts w:hint="default" w:ascii="仿宋" w:hAnsi="仿宋" w:eastAsia="仿宋" w:cs="仿宋"/>
          <w:spacing w:val="7"/>
          <w:sz w:val="24"/>
          <w:szCs w:val="24"/>
          <w:lang w:val="en-US" w:eastAsia="zh-CN"/>
        </w:rPr>
        <w:t>的供应商不足三家的；</w:t>
      </w:r>
    </w:p>
    <w:p w14:paraId="6EB77F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（二）出现影响采购公正的违法、违规行为的；</w:t>
      </w:r>
    </w:p>
    <w:p w14:paraId="16719B4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（三）投标人的报价均超过了采购预算，采购人不能支付的；</w:t>
      </w:r>
    </w:p>
    <w:p w14:paraId="6B445C4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default" w:ascii="仿宋" w:hAnsi="仿宋" w:eastAsia="仿宋" w:cs="仿宋"/>
          <w:spacing w:val="7"/>
          <w:sz w:val="24"/>
          <w:szCs w:val="24"/>
          <w:lang w:val="en-US" w:eastAsia="zh-CN"/>
        </w:rPr>
        <w:t>（四）因重大变故，采购任务取消的。</w:t>
      </w:r>
    </w:p>
    <w:p w14:paraId="5F45EF82">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b/>
          <w:bCs/>
          <w:spacing w:val="7"/>
          <w:sz w:val="24"/>
          <w:szCs w:val="24"/>
        </w:rPr>
        <w:t>31.履约保证金（详见</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须知前附表）</w:t>
      </w:r>
    </w:p>
    <w:p w14:paraId="2A3126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31.1.在接到中标通知书30个日历天内，中标的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提交履约保证金。</w:t>
      </w:r>
    </w:p>
    <w:p w14:paraId="60F9C17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的履约保证金是以银行保函的形式提供，则该银行保函应由在中国注册的银行开具。</w:t>
      </w:r>
    </w:p>
    <w:p w14:paraId="7AC255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31.3.如果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则有权没收该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的损失超过投标保证金数额的，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应对超过部分予以赔偿。</w:t>
      </w:r>
    </w:p>
    <w:p w14:paraId="34D4AD54">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32.采购任务取消</w:t>
      </w:r>
    </w:p>
    <w:p w14:paraId="369801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应当终止采购活动，通知所有参加采购活动的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，并将项目实施情况和采购任务取消原因报送本级财政部门。</w:t>
      </w:r>
    </w:p>
    <w:p w14:paraId="10B936A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33.其他</w:t>
      </w:r>
    </w:p>
    <w:p w14:paraId="6E782F4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33.1.本招标文件如与网上发布的招标公告、更正公告等有差异的部分，以网上发布的为准。</w:t>
      </w:r>
    </w:p>
    <w:p w14:paraId="45D29C7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成功投标并不意味着其满足</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资格，具体评判标准以本文件和评标委员会评审为依据。</w:t>
      </w:r>
    </w:p>
    <w:p w14:paraId="681418A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pgSz w:w="11906" w:h="16839"/>
          <w:pgMar w:top="1440" w:right="1080" w:bottom="1440" w:left="1080" w:header="0" w:footer="989" w:gutter="0"/>
          <w:pgNumType w:fmt="decimal"/>
          <w:cols w:space="720" w:num="1"/>
        </w:sectPr>
      </w:pPr>
    </w:p>
    <w:p w14:paraId="389DC2A7">
      <w:pPr>
        <w:keepLines w:val="0"/>
        <w:pageBreakBefore w:val="0"/>
        <w:kinsoku/>
        <w:wordWrap/>
        <w:overflowPunct/>
        <w:topLinePunct w:val="0"/>
        <w:bidi w:val="0"/>
        <w:spacing w:before="278" w:line="228" w:lineRule="auto"/>
        <w:ind w:left="3128"/>
        <w:rPr>
          <w:rFonts w:ascii="仿宋" w:hAnsi="仿宋" w:eastAsia="仿宋" w:cs="仿宋"/>
          <w:sz w:val="31"/>
          <w:szCs w:val="31"/>
        </w:rPr>
      </w:pPr>
      <w:r>
        <w:rPr>
          <w:rFonts w:ascii="仿宋" w:hAnsi="仿宋" w:eastAsia="仿宋" w:cs="仿宋"/>
          <w:b/>
          <w:bCs/>
          <w:spacing w:val="-1"/>
          <w:sz w:val="31"/>
          <w:szCs w:val="31"/>
        </w:rPr>
        <w:t>第三章</w:t>
      </w:r>
      <w:r>
        <w:rPr>
          <w:rFonts w:ascii="仿宋" w:hAnsi="仿宋" w:eastAsia="仿宋" w:cs="仿宋"/>
          <w:spacing w:val="18"/>
          <w:sz w:val="31"/>
          <w:szCs w:val="31"/>
        </w:rPr>
        <w:t xml:space="preserve">  </w:t>
      </w:r>
      <w:r>
        <w:rPr>
          <w:rFonts w:ascii="仿宋" w:hAnsi="仿宋" w:eastAsia="仿宋" w:cs="仿宋"/>
          <w:b/>
          <w:bCs/>
          <w:spacing w:val="-1"/>
          <w:sz w:val="31"/>
          <w:szCs w:val="31"/>
        </w:rPr>
        <w:t>评标办法</w:t>
      </w:r>
    </w:p>
    <w:p w14:paraId="7E02016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评标办法（综合评分法）正文部分</w:t>
      </w:r>
    </w:p>
    <w:p w14:paraId="77A8876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（一）评标方式</w:t>
      </w:r>
    </w:p>
    <w:p w14:paraId="662F5D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1、通过初步审查的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为合格的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5A3C8F2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2、本次评标采用综合评分法。根据《中华人民共和国政府采购法》、《政府采购评审专家管理办法》</w:t>
      </w:r>
      <w:r>
        <w:rPr>
          <w:rFonts w:hint="eastAsia" w:ascii="仿宋" w:hAnsi="仿宋" w:eastAsia="仿宋" w:cs="仿宋"/>
          <w:spacing w:val="7"/>
          <w:sz w:val="24"/>
          <w:szCs w:val="24"/>
          <w:lang w:eastAsia="zh-CN"/>
        </w:rPr>
        <w:t>等相关</w:t>
      </w:r>
      <w:r>
        <w:rPr>
          <w:rFonts w:ascii="仿宋" w:hAnsi="仿宋" w:eastAsia="仿宋" w:cs="仿宋"/>
          <w:spacing w:val="7"/>
          <w:sz w:val="24"/>
          <w:szCs w:val="24"/>
        </w:rPr>
        <w:t>规定的标准和补充规定等法律法规和有关实施办法。评标委员会将对各投标单位的投标文件，能否最大限度的满足招标文件中规定的各项要求和评价标准进行评审和比较。</w:t>
      </w:r>
    </w:p>
    <w:p w14:paraId="46B7483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3、综合评分法采取百分制的量化评审；由评标委员会成员依据评审标准独立打分。</w:t>
      </w:r>
    </w:p>
    <w:p w14:paraId="32BB5FBD">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（二）评标计算规则</w:t>
      </w:r>
    </w:p>
    <w:p w14:paraId="7EE49C7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ascii="仿宋" w:hAnsi="仿宋" w:eastAsia="仿宋" w:cs="仿宋"/>
          <w:spacing w:val="7"/>
          <w:sz w:val="24"/>
          <w:szCs w:val="24"/>
        </w:rPr>
        <w:t>报价得分</w:t>
      </w:r>
      <w:r>
        <w:rPr>
          <w:rFonts w:hint="eastAsia" w:ascii="仿宋" w:hAnsi="仿宋" w:eastAsia="仿宋" w:cs="仿宋"/>
          <w:spacing w:val="7"/>
          <w:sz w:val="24"/>
          <w:szCs w:val="24"/>
          <w:lang w:val="en-US" w:eastAsia="zh-CN"/>
        </w:rPr>
        <w:t>=</w:t>
      </w:r>
      <w:r>
        <w:rPr>
          <w:rFonts w:hint="eastAsia" w:ascii="仿宋" w:hAnsi="仿宋" w:eastAsia="仿宋" w:cs="仿宋"/>
          <w:spacing w:val="7"/>
          <w:sz w:val="24"/>
          <w:szCs w:val="24"/>
          <w:lang w:eastAsia="zh-CN"/>
        </w:rPr>
        <w:t>（</w:t>
      </w:r>
      <w:r>
        <w:rPr>
          <w:rFonts w:ascii="仿宋" w:hAnsi="仿宋" w:eastAsia="仿宋" w:cs="仿宋"/>
          <w:spacing w:val="7"/>
          <w:sz w:val="24"/>
          <w:szCs w:val="24"/>
        </w:rPr>
        <w:t>评标基准价／</w:t>
      </w:r>
      <w:r>
        <w:rPr>
          <w:rFonts w:hint="eastAsia" w:ascii="仿宋" w:hAnsi="仿宋" w:eastAsia="仿宋" w:cs="仿宋"/>
          <w:spacing w:val="7"/>
          <w:sz w:val="24"/>
          <w:szCs w:val="24"/>
          <w:lang w:eastAsia="zh-CN"/>
        </w:rPr>
        <w:t>投标报价）</w:t>
      </w:r>
      <w:r>
        <w:rPr>
          <w:rFonts w:ascii="仿宋" w:hAnsi="仿宋" w:eastAsia="仿宋" w:cs="仿宋"/>
          <w:spacing w:val="7"/>
          <w:sz w:val="24"/>
          <w:szCs w:val="24"/>
        </w:rPr>
        <w:t>×价格权重</w:t>
      </w:r>
      <w:r>
        <w:rPr>
          <w:rFonts w:ascii="仿宋" w:hAnsi="仿宋" w:eastAsia="仿宋" w:cs="仿宋"/>
          <w:snapToGrid w:val="0"/>
          <w:color w:val="000000"/>
          <w:spacing w:val="7"/>
          <w:kern w:val="0"/>
          <w:sz w:val="24"/>
          <w:szCs w:val="24"/>
          <w:lang w:val="en-US" w:eastAsia="en-US" w:bidi="ar-SA"/>
        </w:rPr>
        <w:t>×</w:t>
      </w:r>
      <w:r>
        <w:rPr>
          <w:rFonts w:hint="eastAsia" w:ascii="仿宋" w:hAnsi="仿宋" w:eastAsia="仿宋" w:cs="仿宋"/>
          <w:snapToGrid w:val="0"/>
          <w:color w:val="000000"/>
          <w:spacing w:val="7"/>
          <w:kern w:val="0"/>
          <w:sz w:val="24"/>
          <w:szCs w:val="24"/>
          <w:lang w:val="en-US" w:eastAsia="zh-CN" w:bidi="ar-SA"/>
        </w:rPr>
        <w:t>100</w:t>
      </w:r>
    </w:p>
    <w:p w14:paraId="74562C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基准价=</w:t>
      </w:r>
      <w:r>
        <w:rPr>
          <w:rFonts w:hint="eastAsia" w:ascii="仿宋" w:hAnsi="仿宋" w:eastAsia="仿宋" w:cs="仿宋"/>
          <w:spacing w:val="7"/>
          <w:sz w:val="24"/>
          <w:szCs w:val="24"/>
          <w:lang w:eastAsia="zh-CN"/>
        </w:rPr>
        <w:t>即满足招标文件要求且有效投标价格最低的投标报价为评标基准价</w:t>
      </w:r>
      <w:r>
        <w:rPr>
          <w:rFonts w:ascii="仿宋" w:hAnsi="仿宋" w:eastAsia="仿宋" w:cs="仿宋"/>
          <w:spacing w:val="7"/>
          <w:sz w:val="24"/>
          <w:szCs w:val="24"/>
        </w:rPr>
        <w:t>，其价格得分计</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0分</w:t>
      </w:r>
    </w:p>
    <w:p w14:paraId="35EFCB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评标时，评标委员会各成员应当独立对每个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的投标文件进行评价，并汇总每个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的得分，评标结果按评审后得分由高到低顺序排列。得分相同的，按投标报价由低到高顺序排列。得分且投标报价相同的并列。投标文件满足招标文件全部实质性要求，且按照评审因素的量化指标评审得分最高的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6F60EA9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1"/>
          <w:szCs w:val="21"/>
        </w:rPr>
        <w:sectPr>
          <w:pgSz w:w="11906" w:h="16839"/>
          <w:pgMar w:top="1440" w:right="1080" w:bottom="1440" w:left="1080" w:header="0" w:footer="989" w:gutter="0"/>
          <w:pgNumType w:fmt="decimal"/>
          <w:cols w:space="720" w:num="1"/>
        </w:sectPr>
      </w:pPr>
    </w:p>
    <w:p w14:paraId="2147C52D">
      <w:pPr>
        <w:keepLines w:val="0"/>
        <w:pageBreakBefore w:val="0"/>
        <w:kinsoku/>
        <w:wordWrap/>
        <w:overflowPunct/>
        <w:topLinePunct w:val="0"/>
        <w:bidi w:val="0"/>
        <w:spacing w:before="157" w:line="232" w:lineRule="auto"/>
        <w:ind w:left="766"/>
        <w:rPr>
          <w:rFonts w:ascii="仿宋" w:hAnsi="仿宋" w:eastAsia="仿宋" w:cs="仿宋"/>
          <w:sz w:val="20"/>
          <w:szCs w:val="20"/>
        </w:rPr>
      </w:pPr>
      <w:r>
        <w:rPr>
          <w:rFonts w:ascii="仿宋" w:hAnsi="仿宋" w:eastAsia="仿宋" w:cs="仿宋"/>
          <w:spacing w:val="4"/>
          <w:sz w:val="20"/>
          <w:szCs w:val="20"/>
        </w:rPr>
        <w:t>附表一</w:t>
      </w:r>
    </w:p>
    <w:p w14:paraId="2452D4B2">
      <w:pPr>
        <w:keepLines w:val="0"/>
        <w:pageBreakBefore w:val="0"/>
        <w:kinsoku/>
        <w:wordWrap/>
        <w:overflowPunct/>
        <w:topLinePunct w:val="0"/>
        <w:bidi w:val="0"/>
        <w:spacing w:before="190" w:line="223" w:lineRule="auto"/>
        <w:jc w:val="center"/>
        <w:rPr>
          <w:rFonts w:ascii="仿宋" w:hAnsi="仿宋" w:eastAsia="仿宋" w:cs="仿宋"/>
          <w:sz w:val="28"/>
          <w:szCs w:val="28"/>
        </w:rPr>
      </w:pPr>
      <w:r>
        <w:rPr>
          <w:rFonts w:ascii="仿宋" w:hAnsi="仿宋" w:eastAsia="仿宋" w:cs="仿宋"/>
          <w:b/>
          <w:bCs/>
          <w:spacing w:val="-3"/>
          <w:sz w:val="28"/>
          <w:szCs w:val="28"/>
        </w:rPr>
        <w:t>初步评审标准</w:t>
      </w:r>
    </w:p>
    <w:p w14:paraId="34110436">
      <w:pPr>
        <w:keepLines w:val="0"/>
        <w:pageBreakBefore w:val="0"/>
        <w:kinsoku/>
        <w:wordWrap/>
        <w:overflowPunct/>
        <w:topLinePunct w:val="0"/>
        <w:bidi w:val="0"/>
        <w:spacing w:line="122" w:lineRule="exact"/>
      </w:pPr>
    </w:p>
    <w:tbl>
      <w:tblPr>
        <w:tblStyle w:val="28"/>
        <w:tblW w:w="973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33"/>
        <w:gridCol w:w="6664"/>
        <w:gridCol w:w="736"/>
        <w:gridCol w:w="762"/>
      </w:tblGrid>
      <w:tr w14:paraId="1B4A6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4" w:type="dxa"/>
            <w:vMerge w:val="restart"/>
            <w:tcBorders>
              <w:top w:val="single" w:color="000000" w:sz="10" w:space="0"/>
              <w:left w:val="single" w:color="000000" w:sz="10" w:space="0"/>
              <w:bottom w:val="nil"/>
            </w:tcBorders>
            <w:vAlign w:val="top"/>
          </w:tcPr>
          <w:p w14:paraId="0FD07186">
            <w:pPr>
              <w:keepLines w:val="0"/>
              <w:pageBreakBefore w:val="0"/>
              <w:kinsoku/>
              <w:wordWrap/>
              <w:overflowPunct/>
              <w:topLinePunct w:val="0"/>
              <w:bidi w:val="0"/>
              <w:spacing w:line="318" w:lineRule="auto"/>
              <w:rPr>
                <w:rFonts w:ascii="Arial"/>
                <w:sz w:val="21"/>
                <w:szCs w:val="21"/>
              </w:rPr>
            </w:pPr>
          </w:p>
          <w:p w14:paraId="042566CF">
            <w:pPr>
              <w:pStyle w:val="29"/>
              <w:keepLines w:val="0"/>
              <w:pageBreakBefore w:val="0"/>
              <w:kinsoku/>
              <w:wordWrap/>
              <w:overflowPunct/>
              <w:topLinePunct w:val="0"/>
              <w:bidi w:val="0"/>
              <w:spacing w:before="65" w:line="232" w:lineRule="auto"/>
              <w:ind w:left="210"/>
              <w:rPr>
                <w:sz w:val="21"/>
                <w:szCs w:val="21"/>
              </w:rPr>
            </w:pPr>
            <w:r>
              <w:rPr>
                <w:b/>
                <w:bCs/>
                <w:sz w:val="21"/>
                <w:szCs w:val="21"/>
              </w:rPr>
              <w:t>项目</w:t>
            </w:r>
          </w:p>
        </w:tc>
        <w:tc>
          <w:tcPr>
            <w:tcW w:w="7397" w:type="dxa"/>
            <w:gridSpan w:val="2"/>
            <w:vMerge w:val="restart"/>
            <w:tcBorders>
              <w:top w:val="single" w:color="000000" w:sz="10" w:space="0"/>
              <w:bottom w:val="nil"/>
            </w:tcBorders>
            <w:vAlign w:val="top"/>
          </w:tcPr>
          <w:p w14:paraId="6FD17395">
            <w:pPr>
              <w:keepLines w:val="0"/>
              <w:pageBreakBefore w:val="0"/>
              <w:kinsoku/>
              <w:wordWrap/>
              <w:overflowPunct/>
              <w:topLinePunct w:val="0"/>
              <w:bidi w:val="0"/>
              <w:spacing w:line="317" w:lineRule="auto"/>
              <w:rPr>
                <w:rFonts w:ascii="Arial"/>
                <w:sz w:val="21"/>
                <w:szCs w:val="21"/>
              </w:rPr>
            </w:pPr>
          </w:p>
          <w:p w14:paraId="59D25D1D">
            <w:pPr>
              <w:pStyle w:val="29"/>
              <w:keepLines w:val="0"/>
              <w:pageBreakBefore w:val="0"/>
              <w:kinsoku/>
              <w:wordWrap/>
              <w:overflowPunct/>
              <w:topLinePunct w:val="0"/>
              <w:bidi w:val="0"/>
              <w:spacing w:before="65" w:line="231" w:lineRule="auto"/>
              <w:ind w:left="3293"/>
              <w:rPr>
                <w:sz w:val="21"/>
                <w:szCs w:val="21"/>
              </w:rPr>
            </w:pPr>
            <w:r>
              <w:rPr>
                <w:b/>
                <w:bCs/>
                <w:spacing w:val="4"/>
                <w:sz w:val="21"/>
                <w:szCs w:val="21"/>
              </w:rPr>
              <w:t>评审内容</w:t>
            </w:r>
          </w:p>
        </w:tc>
        <w:tc>
          <w:tcPr>
            <w:tcW w:w="1498" w:type="dxa"/>
            <w:gridSpan w:val="2"/>
            <w:tcBorders>
              <w:top w:val="single" w:color="000000" w:sz="10" w:space="0"/>
              <w:right w:val="single" w:color="000000" w:sz="10" w:space="0"/>
            </w:tcBorders>
            <w:vAlign w:val="top"/>
          </w:tcPr>
          <w:p w14:paraId="4E018A04">
            <w:pPr>
              <w:pStyle w:val="29"/>
              <w:keepLines w:val="0"/>
              <w:pageBreakBefore w:val="0"/>
              <w:kinsoku/>
              <w:wordWrap/>
              <w:overflowPunct/>
              <w:topLinePunct w:val="0"/>
              <w:bidi w:val="0"/>
              <w:spacing w:before="58" w:line="319" w:lineRule="exact"/>
              <w:ind w:left="553"/>
              <w:rPr>
                <w:sz w:val="21"/>
                <w:szCs w:val="21"/>
              </w:rPr>
            </w:pPr>
            <w:r>
              <w:rPr>
                <w:b/>
                <w:bCs/>
                <w:position w:val="8"/>
                <w:sz w:val="21"/>
                <w:szCs w:val="21"/>
              </w:rPr>
              <w:t>评审</w:t>
            </w:r>
          </w:p>
          <w:p w14:paraId="0B43CE80">
            <w:pPr>
              <w:pStyle w:val="29"/>
              <w:keepLines w:val="0"/>
              <w:pageBreakBefore w:val="0"/>
              <w:kinsoku/>
              <w:wordWrap/>
              <w:overflowPunct/>
              <w:topLinePunct w:val="0"/>
              <w:bidi w:val="0"/>
              <w:spacing w:before="1" w:line="232" w:lineRule="auto"/>
              <w:ind w:left="560"/>
              <w:rPr>
                <w:sz w:val="21"/>
                <w:szCs w:val="21"/>
              </w:rPr>
            </w:pPr>
            <w:r>
              <w:rPr>
                <w:b/>
                <w:bCs/>
                <w:spacing w:val="-3"/>
                <w:sz w:val="21"/>
                <w:szCs w:val="21"/>
              </w:rPr>
              <w:t>意见</w:t>
            </w:r>
          </w:p>
        </w:tc>
      </w:tr>
      <w:tr w14:paraId="5758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844" w:type="dxa"/>
            <w:vMerge w:val="continue"/>
            <w:tcBorders>
              <w:top w:val="nil"/>
              <w:left w:val="single" w:color="000000" w:sz="10" w:space="0"/>
            </w:tcBorders>
            <w:vAlign w:val="top"/>
          </w:tcPr>
          <w:p w14:paraId="219D1998">
            <w:pPr>
              <w:keepLines w:val="0"/>
              <w:pageBreakBefore w:val="0"/>
              <w:kinsoku/>
              <w:wordWrap/>
              <w:overflowPunct/>
              <w:topLinePunct w:val="0"/>
              <w:bidi w:val="0"/>
              <w:rPr>
                <w:rFonts w:ascii="Arial"/>
                <w:sz w:val="21"/>
                <w:szCs w:val="21"/>
              </w:rPr>
            </w:pPr>
          </w:p>
        </w:tc>
        <w:tc>
          <w:tcPr>
            <w:tcW w:w="7397" w:type="dxa"/>
            <w:gridSpan w:val="2"/>
            <w:vMerge w:val="continue"/>
            <w:tcBorders>
              <w:top w:val="nil"/>
            </w:tcBorders>
            <w:vAlign w:val="top"/>
          </w:tcPr>
          <w:p w14:paraId="7342943F">
            <w:pPr>
              <w:keepLines w:val="0"/>
              <w:pageBreakBefore w:val="0"/>
              <w:kinsoku/>
              <w:wordWrap/>
              <w:overflowPunct/>
              <w:topLinePunct w:val="0"/>
              <w:bidi w:val="0"/>
              <w:rPr>
                <w:rFonts w:ascii="Arial"/>
                <w:sz w:val="21"/>
                <w:szCs w:val="21"/>
              </w:rPr>
            </w:pPr>
          </w:p>
        </w:tc>
        <w:tc>
          <w:tcPr>
            <w:tcW w:w="736" w:type="dxa"/>
            <w:vAlign w:val="top"/>
          </w:tcPr>
          <w:p w14:paraId="4DBD1D02">
            <w:pPr>
              <w:pStyle w:val="29"/>
              <w:keepLines w:val="0"/>
              <w:pageBreakBefore w:val="0"/>
              <w:kinsoku/>
              <w:wordWrap/>
              <w:overflowPunct/>
              <w:topLinePunct w:val="0"/>
              <w:bidi w:val="0"/>
              <w:spacing w:before="52" w:line="233" w:lineRule="auto"/>
              <w:jc w:val="center"/>
              <w:rPr>
                <w:rFonts w:hint="eastAsia" w:eastAsia="仿宋"/>
                <w:sz w:val="21"/>
                <w:szCs w:val="21"/>
                <w:lang w:eastAsia="zh-CN"/>
              </w:rPr>
            </w:pPr>
            <w:r>
              <w:rPr>
                <w:rFonts w:hint="eastAsia"/>
                <w:b/>
                <w:bCs/>
                <w:spacing w:val="-3"/>
                <w:sz w:val="21"/>
                <w:szCs w:val="21"/>
                <w:lang w:eastAsia="zh-CN"/>
              </w:rPr>
              <w:t>通过</w:t>
            </w:r>
          </w:p>
        </w:tc>
        <w:tc>
          <w:tcPr>
            <w:tcW w:w="762" w:type="dxa"/>
            <w:tcBorders>
              <w:right w:val="single" w:color="000000" w:sz="10" w:space="0"/>
            </w:tcBorders>
            <w:vAlign w:val="top"/>
          </w:tcPr>
          <w:p w14:paraId="69E46059">
            <w:pPr>
              <w:pStyle w:val="29"/>
              <w:keepLines w:val="0"/>
              <w:pageBreakBefore w:val="0"/>
              <w:kinsoku/>
              <w:wordWrap/>
              <w:overflowPunct/>
              <w:topLinePunct w:val="0"/>
              <w:bidi w:val="0"/>
              <w:spacing w:before="52" w:line="233" w:lineRule="auto"/>
              <w:jc w:val="center"/>
              <w:rPr>
                <w:rFonts w:hint="eastAsia" w:eastAsia="仿宋"/>
                <w:sz w:val="21"/>
                <w:szCs w:val="21"/>
                <w:lang w:eastAsia="zh-CN"/>
              </w:rPr>
            </w:pPr>
            <w:r>
              <w:rPr>
                <w:rFonts w:hint="eastAsia"/>
                <w:b/>
                <w:bCs/>
                <w:spacing w:val="-3"/>
                <w:sz w:val="21"/>
                <w:szCs w:val="21"/>
                <w:lang w:eastAsia="zh-CN"/>
              </w:rPr>
              <w:t>不通过</w:t>
            </w:r>
          </w:p>
        </w:tc>
      </w:tr>
      <w:tr w14:paraId="6DB1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8" w:hRule="atLeast"/>
        </w:trPr>
        <w:tc>
          <w:tcPr>
            <w:tcW w:w="844" w:type="dxa"/>
            <w:vMerge w:val="restart"/>
            <w:tcBorders>
              <w:left w:val="single" w:color="000000" w:sz="10" w:space="0"/>
            </w:tcBorders>
            <w:textDirection w:val="tbRlV"/>
            <w:vAlign w:val="top"/>
          </w:tcPr>
          <w:p w14:paraId="1F83FC17">
            <w:pPr>
              <w:keepLines w:val="0"/>
              <w:pageBreakBefore w:val="0"/>
              <w:kinsoku/>
              <w:wordWrap/>
              <w:overflowPunct/>
              <w:topLinePunct w:val="0"/>
              <w:bidi w:val="0"/>
              <w:spacing w:line="243" w:lineRule="auto"/>
              <w:rPr>
                <w:rFonts w:ascii="Arial"/>
                <w:sz w:val="24"/>
                <w:szCs w:val="24"/>
              </w:rPr>
            </w:pPr>
          </w:p>
          <w:p w14:paraId="032EDFD0">
            <w:pPr>
              <w:pStyle w:val="29"/>
              <w:keepLines w:val="0"/>
              <w:pageBreakBefore w:val="0"/>
              <w:kinsoku/>
              <w:wordWrap/>
              <w:overflowPunct/>
              <w:topLinePunct w:val="0"/>
              <w:bidi w:val="0"/>
              <w:spacing w:before="67" w:line="208" w:lineRule="auto"/>
              <w:ind w:left="3449"/>
              <w:rPr>
                <w:sz w:val="24"/>
                <w:szCs w:val="24"/>
              </w:rPr>
            </w:pPr>
            <w:r>
              <w:rPr>
                <w:spacing w:val="9"/>
                <w:sz w:val="24"/>
                <w:szCs w:val="24"/>
              </w:rPr>
              <w:t>资 格 性 审 查</w:t>
            </w:r>
          </w:p>
        </w:tc>
        <w:tc>
          <w:tcPr>
            <w:tcW w:w="733" w:type="dxa"/>
            <w:vAlign w:val="center"/>
          </w:tcPr>
          <w:p w14:paraId="5430FC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p>
          <w:p w14:paraId="576CD4AB">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6FCCC6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ascii="仿宋" w:hAnsi="仿宋" w:eastAsia="仿宋" w:cs="仿宋"/>
                <w:spacing w:val="7"/>
                <w:sz w:val="24"/>
                <w:szCs w:val="24"/>
              </w:rPr>
              <w:t>具有有效经年检的三证合一营业执照原件</w:t>
            </w:r>
            <w:r>
              <w:rPr>
                <w:rFonts w:hint="eastAsia" w:ascii="仿宋" w:hAnsi="仿宋" w:eastAsia="仿宋" w:cs="仿宋"/>
                <w:spacing w:val="7"/>
                <w:sz w:val="24"/>
                <w:szCs w:val="24"/>
                <w:lang w:eastAsia="zh-CN"/>
              </w:rPr>
              <w:t>扫描件</w:t>
            </w:r>
            <w:r>
              <w:rPr>
                <w:rFonts w:ascii="仿宋" w:hAnsi="仿宋" w:eastAsia="仿宋" w:cs="仿宋"/>
                <w:spacing w:val="7"/>
                <w:sz w:val="24"/>
                <w:szCs w:val="24"/>
              </w:rPr>
              <w:t>（若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是企业（包括合伙企业）应提供营业执照；若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是事业单位应提供事业单位法人证书；若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是个体工商户应提供个体工商户营业执照；若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是自然人应提供自然人身份证明）</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12A695F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785A621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D88C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751D7952">
            <w:pPr>
              <w:keepLines w:val="0"/>
              <w:pageBreakBefore w:val="0"/>
              <w:kinsoku/>
              <w:wordWrap/>
              <w:overflowPunct/>
              <w:topLinePunct w:val="0"/>
              <w:bidi w:val="0"/>
              <w:rPr>
                <w:rFonts w:ascii="Arial"/>
                <w:sz w:val="24"/>
                <w:szCs w:val="24"/>
              </w:rPr>
            </w:pPr>
          </w:p>
        </w:tc>
        <w:tc>
          <w:tcPr>
            <w:tcW w:w="733" w:type="dxa"/>
            <w:vAlign w:val="center"/>
          </w:tcPr>
          <w:p w14:paraId="356005C7">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617319A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具有良好的商业信誉和健全的财务会计制度（提供2023年经审计的财务报告，企业成立不足一年的，须提供企业成立以来的财务报表加盖单位公章）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0E6460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3C2359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49DF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844" w:type="dxa"/>
            <w:vMerge w:val="continue"/>
            <w:tcBorders>
              <w:left w:val="single" w:color="000000" w:sz="10" w:space="0"/>
            </w:tcBorders>
            <w:textDirection w:val="tbRlV"/>
            <w:vAlign w:val="top"/>
          </w:tcPr>
          <w:p w14:paraId="6578E161">
            <w:pPr>
              <w:keepLines w:val="0"/>
              <w:pageBreakBefore w:val="0"/>
              <w:kinsoku/>
              <w:wordWrap/>
              <w:overflowPunct/>
              <w:topLinePunct w:val="0"/>
              <w:bidi w:val="0"/>
              <w:rPr>
                <w:rFonts w:ascii="Arial"/>
                <w:sz w:val="24"/>
                <w:szCs w:val="24"/>
              </w:rPr>
            </w:pPr>
          </w:p>
        </w:tc>
        <w:tc>
          <w:tcPr>
            <w:tcW w:w="733" w:type="dxa"/>
            <w:vAlign w:val="center"/>
          </w:tcPr>
          <w:p w14:paraId="240B295A">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3</w:t>
            </w:r>
          </w:p>
        </w:tc>
        <w:tc>
          <w:tcPr>
            <w:tcW w:w="6664" w:type="dxa"/>
            <w:vAlign w:val="top"/>
          </w:tcPr>
          <w:p w14:paraId="1CF699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tc>
        <w:tc>
          <w:tcPr>
            <w:tcW w:w="736" w:type="dxa"/>
            <w:tcBorders>
              <w:right w:val="single" w:color="000000" w:sz="2" w:space="0"/>
            </w:tcBorders>
            <w:vAlign w:val="top"/>
          </w:tcPr>
          <w:p w14:paraId="79ACFED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A86516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7B2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844" w:type="dxa"/>
            <w:vMerge w:val="continue"/>
            <w:tcBorders>
              <w:left w:val="single" w:color="000000" w:sz="10" w:space="0"/>
            </w:tcBorders>
            <w:textDirection w:val="tbRlV"/>
            <w:vAlign w:val="top"/>
          </w:tcPr>
          <w:p w14:paraId="7CBA64CD">
            <w:pPr>
              <w:keepLines w:val="0"/>
              <w:pageBreakBefore w:val="0"/>
              <w:kinsoku/>
              <w:wordWrap/>
              <w:overflowPunct/>
              <w:topLinePunct w:val="0"/>
              <w:bidi w:val="0"/>
              <w:rPr>
                <w:rFonts w:ascii="Arial"/>
                <w:sz w:val="24"/>
                <w:szCs w:val="24"/>
              </w:rPr>
            </w:pPr>
          </w:p>
        </w:tc>
        <w:tc>
          <w:tcPr>
            <w:tcW w:w="733" w:type="dxa"/>
            <w:vAlign w:val="center"/>
          </w:tcPr>
          <w:p w14:paraId="1D9F6928">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4</w:t>
            </w:r>
          </w:p>
        </w:tc>
        <w:tc>
          <w:tcPr>
            <w:tcW w:w="6664" w:type="dxa"/>
            <w:vAlign w:val="top"/>
          </w:tcPr>
          <w:p w14:paraId="3665268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32837C5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0C77476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BCC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44" w:type="dxa"/>
            <w:vMerge w:val="continue"/>
            <w:tcBorders>
              <w:left w:val="single" w:color="000000" w:sz="10" w:space="0"/>
            </w:tcBorders>
            <w:textDirection w:val="tbRlV"/>
            <w:vAlign w:val="top"/>
          </w:tcPr>
          <w:p w14:paraId="62E49387">
            <w:pPr>
              <w:keepLines w:val="0"/>
              <w:pageBreakBefore w:val="0"/>
              <w:kinsoku/>
              <w:wordWrap/>
              <w:overflowPunct/>
              <w:topLinePunct w:val="0"/>
              <w:bidi w:val="0"/>
              <w:rPr>
                <w:rFonts w:ascii="Arial"/>
                <w:sz w:val="24"/>
                <w:szCs w:val="24"/>
              </w:rPr>
            </w:pPr>
          </w:p>
        </w:tc>
        <w:tc>
          <w:tcPr>
            <w:tcW w:w="733" w:type="dxa"/>
            <w:vAlign w:val="center"/>
          </w:tcPr>
          <w:p w14:paraId="31885D8F">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6664" w:type="dxa"/>
            <w:vAlign w:val="top"/>
          </w:tcPr>
          <w:p w14:paraId="5916FD8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法定代表人参加应上传法定代表人身份证明和本人身份证；</w:t>
            </w:r>
            <w:r>
              <w:rPr>
                <w:rFonts w:hint="eastAsia" w:ascii="仿宋" w:hAnsi="仿宋" w:eastAsia="仿宋" w:cs="仿宋"/>
                <w:spacing w:val="7"/>
                <w:sz w:val="24"/>
                <w:szCs w:val="24"/>
                <w:lang w:val="en-US" w:eastAsia="zh-CN"/>
              </w:rPr>
              <w:t>委托代理人参加应上传法定代表人身份证明、授权委托书、本人身份证;</w:t>
            </w:r>
          </w:p>
        </w:tc>
        <w:tc>
          <w:tcPr>
            <w:tcW w:w="736" w:type="dxa"/>
            <w:tcBorders>
              <w:right w:val="single" w:color="000000" w:sz="2" w:space="0"/>
            </w:tcBorders>
            <w:vAlign w:val="top"/>
          </w:tcPr>
          <w:p w14:paraId="08B5EC2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7A1BDE2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625F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44" w:type="dxa"/>
            <w:vMerge w:val="continue"/>
            <w:tcBorders>
              <w:left w:val="single" w:color="000000" w:sz="10" w:space="0"/>
            </w:tcBorders>
            <w:textDirection w:val="tbRlV"/>
            <w:vAlign w:val="top"/>
          </w:tcPr>
          <w:p w14:paraId="50D09D58">
            <w:pPr>
              <w:keepLines w:val="0"/>
              <w:pageBreakBefore w:val="0"/>
              <w:kinsoku/>
              <w:wordWrap/>
              <w:overflowPunct/>
              <w:topLinePunct w:val="0"/>
              <w:bidi w:val="0"/>
              <w:rPr>
                <w:rFonts w:ascii="Arial"/>
                <w:sz w:val="24"/>
                <w:szCs w:val="24"/>
              </w:rPr>
            </w:pPr>
          </w:p>
        </w:tc>
        <w:tc>
          <w:tcPr>
            <w:tcW w:w="733" w:type="dxa"/>
            <w:vAlign w:val="center"/>
          </w:tcPr>
          <w:p w14:paraId="48EA1407">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vAlign w:val="top"/>
          </w:tcPr>
          <w:p w14:paraId="1558DF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提供具有履行合同所必须的设备和专业技术能力（提供承诺函原件，格式自拟）</w:t>
            </w:r>
          </w:p>
        </w:tc>
        <w:tc>
          <w:tcPr>
            <w:tcW w:w="736" w:type="dxa"/>
            <w:tcBorders>
              <w:right w:val="single" w:color="000000" w:sz="2" w:space="0"/>
            </w:tcBorders>
            <w:vAlign w:val="top"/>
          </w:tcPr>
          <w:p w14:paraId="6A3DFA0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6034841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F55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844" w:type="dxa"/>
            <w:vMerge w:val="continue"/>
            <w:tcBorders>
              <w:left w:val="single" w:color="000000" w:sz="10" w:space="0"/>
            </w:tcBorders>
            <w:textDirection w:val="tbRlV"/>
            <w:vAlign w:val="top"/>
          </w:tcPr>
          <w:p w14:paraId="7D3F6E22">
            <w:pPr>
              <w:keepLines w:val="0"/>
              <w:pageBreakBefore w:val="0"/>
              <w:kinsoku/>
              <w:wordWrap/>
              <w:overflowPunct/>
              <w:topLinePunct w:val="0"/>
              <w:bidi w:val="0"/>
              <w:rPr>
                <w:rFonts w:ascii="Arial"/>
                <w:sz w:val="24"/>
                <w:szCs w:val="24"/>
              </w:rPr>
            </w:pPr>
          </w:p>
        </w:tc>
        <w:tc>
          <w:tcPr>
            <w:tcW w:w="733" w:type="dxa"/>
            <w:vAlign w:val="center"/>
          </w:tcPr>
          <w:p w14:paraId="61CA597A">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vAlign w:val="top"/>
          </w:tcPr>
          <w:p w14:paraId="0AF3AC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rPr>
            </w:pPr>
            <w:r>
              <w:rPr>
                <w:rFonts w:hint="eastAsia" w:ascii="仿宋" w:hAnsi="仿宋" w:eastAsia="仿宋" w:cs="仿宋"/>
                <w:spacing w:val="7"/>
                <w:sz w:val="24"/>
                <w:szCs w:val="24"/>
                <w:lang w:val="en-US" w:eastAsia="zh-CN"/>
              </w:rPr>
              <w:t>投标人如在“信用中国”网站、中国政府采购网被列入严重违法失信行为记录名单的（尚在处罚期内的），将拒绝其参加本次政府采购活动（开标现场查询）。此次招标项目不接受联合体投标;</w:t>
            </w:r>
          </w:p>
        </w:tc>
        <w:tc>
          <w:tcPr>
            <w:tcW w:w="736" w:type="dxa"/>
            <w:tcBorders>
              <w:right w:val="single" w:color="000000" w:sz="2" w:space="0"/>
            </w:tcBorders>
            <w:vAlign w:val="top"/>
          </w:tcPr>
          <w:p w14:paraId="537CC2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5EFE2D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2499B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restart"/>
            <w:tcBorders>
              <w:top w:val="nil"/>
              <w:left w:val="single" w:color="000000" w:sz="10" w:space="0"/>
            </w:tcBorders>
            <w:textDirection w:val="tbRlV"/>
            <w:vAlign w:val="top"/>
          </w:tcPr>
          <w:p w14:paraId="3B1C3FF2">
            <w:pPr>
              <w:keepLines w:val="0"/>
              <w:pageBreakBefore w:val="0"/>
              <w:kinsoku/>
              <w:wordWrap/>
              <w:overflowPunct/>
              <w:topLinePunct w:val="0"/>
              <w:bidi w:val="0"/>
              <w:spacing w:line="243" w:lineRule="auto"/>
              <w:rPr>
                <w:rFonts w:ascii="Arial"/>
                <w:sz w:val="24"/>
                <w:szCs w:val="24"/>
              </w:rPr>
            </w:pPr>
          </w:p>
          <w:p w14:paraId="392CDA5A">
            <w:pPr>
              <w:pStyle w:val="29"/>
              <w:keepLines w:val="0"/>
              <w:pageBreakBefore w:val="0"/>
              <w:kinsoku/>
              <w:wordWrap/>
              <w:overflowPunct/>
              <w:topLinePunct w:val="0"/>
              <w:bidi w:val="0"/>
              <w:spacing w:before="67" w:line="206" w:lineRule="auto"/>
              <w:ind w:left="0" w:leftChars="0" w:firstLine="0" w:firstLineChars="0"/>
              <w:jc w:val="center"/>
              <w:rPr>
                <w:sz w:val="24"/>
                <w:szCs w:val="24"/>
              </w:rPr>
            </w:pPr>
            <w:r>
              <w:rPr>
                <w:spacing w:val="10"/>
                <w:sz w:val="24"/>
                <w:szCs w:val="24"/>
              </w:rPr>
              <w:t>符 合 性 审 查</w:t>
            </w:r>
          </w:p>
        </w:tc>
        <w:tc>
          <w:tcPr>
            <w:tcW w:w="8895" w:type="dxa"/>
            <w:gridSpan w:val="4"/>
            <w:tcBorders>
              <w:right w:val="single" w:color="000000" w:sz="10" w:space="0"/>
            </w:tcBorders>
            <w:vAlign w:val="top"/>
          </w:tcPr>
          <w:p w14:paraId="5CF127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商务审查标准</w:t>
            </w:r>
          </w:p>
        </w:tc>
      </w:tr>
      <w:tr w14:paraId="2FF7F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44" w:type="dxa"/>
            <w:vMerge w:val="continue"/>
            <w:tcBorders>
              <w:left w:val="single" w:color="000000" w:sz="10" w:space="0"/>
            </w:tcBorders>
            <w:textDirection w:val="tbRlV"/>
            <w:vAlign w:val="top"/>
          </w:tcPr>
          <w:p w14:paraId="5E1E7DD7">
            <w:pPr>
              <w:pStyle w:val="29"/>
              <w:keepLines w:val="0"/>
              <w:pageBreakBefore w:val="0"/>
              <w:kinsoku/>
              <w:wordWrap/>
              <w:overflowPunct/>
              <w:topLinePunct w:val="0"/>
              <w:bidi w:val="0"/>
              <w:spacing w:before="67" w:line="206" w:lineRule="auto"/>
              <w:ind w:left="811"/>
              <w:rPr>
                <w:sz w:val="24"/>
                <w:szCs w:val="24"/>
              </w:rPr>
            </w:pPr>
          </w:p>
        </w:tc>
        <w:tc>
          <w:tcPr>
            <w:tcW w:w="733" w:type="dxa"/>
            <w:vAlign w:val="center"/>
          </w:tcPr>
          <w:p w14:paraId="0FF726DE">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4C9561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应有法人代表或授权代表签署意见的文件、证明等，未经本人签署的；应加盖公章的证照、函件，而未加盖公章的;投标文件未按招标文件要求签署、盖章的;</w:t>
            </w:r>
          </w:p>
        </w:tc>
        <w:tc>
          <w:tcPr>
            <w:tcW w:w="736" w:type="dxa"/>
            <w:tcBorders>
              <w:right w:val="single" w:color="000000" w:sz="2" w:space="0"/>
            </w:tcBorders>
            <w:vAlign w:val="top"/>
          </w:tcPr>
          <w:p w14:paraId="494EA1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64FA52A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9395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7210EA40">
            <w:pPr>
              <w:keepLines w:val="0"/>
              <w:pageBreakBefore w:val="0"/>
              <w:kinsoku/>
              <w:wordWrap/>
              <w:overflowPunct/>
              <w:topLinePunct w:val="0"/>
              <w:bidi w:val="0"/>
              <w:rPr>
                <w:rFonts w:ascii="Arial"/>
                <w:sz w:val="24"/>
                <w:szCs w:val="24"/>
              </w:rPr>
            </w:pPr>
          </w:p>
        </w:tc>
        <w:tc>
          <w:tcPr>
            <w:tcW w:w="733" w:type="dxa"/>
            <w:vAlign w:val="center"/>
          </w:tcPr>
          <w:p w14:paraId="19D50501">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3C48CA1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对于有</w:t>
            </w:r>
            <w:r>
              <w:rPr>
                <w:rFonts w:hint="eastAsia" w:ascii="仿宋" w:hAnsi="仿宋" w:eastAsia="仿宋" w:cs="仿宋"/>
                <w:spacing w:val="7"/>
                <w:sz w:val="24"/>
                <w:szCs w:val="24"/>
                <w:lang w:eastAsia="zh-CN"/>
              </w:rPr>
              <w:t>特定</w:t>
            </w:r>
            <w:r>
              <w:rPr>
                <w:rFonts w:ascii="仿宋" w:hAnsi="仿宋" w:eastAsia="仿宋" w:cs="仿宋"/>
                <w:spacing w:val="7"/>
                <w:sz w:val="24"/>
                <w:szCs w:val="24"/>
              </w:rPr>
              <w:t>格式要求的，不允许改动其内容</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3B5B23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45546BA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0A76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1B442B3B">
            <w:pPr>
              <w:keepLines w:val="0"/>
              <w:pageBreakBefore w:val="0"/>
              <w:kinsoku/>
              <w:wordWrap/>
              <w:overflowPunct/>
              <w:topLinePunct w:val="0"/>
              <w:bidi w:val="0"/>
              <w:rPr>
                <w:rFonts w:ascii="Arial"/>
                <w:sz w:val="24"/>
                <w:szCs w:val="24"/>
              </w:rPr>
            </w:pPr>
          </w:p>
        </w:tc>
        <w:tc>
          <w:tcPr>
            <w:tcW w:w="733" w:type="dxa"/>
            <w:vAlign w:val="center"/>
          </w:tcPr>
          <w:p w14:paraId="512AB3FE">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6664" w:type="dxa"/>
            <w:vAlign w:val="top"/>
          </w:tcPr>
          <w:p w14:paraId="30F4F9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投标有效期</w:t>
            </w:r>
            <w:r>
              <w:rPr>
                <w:rFonts w:hint="eastAsia" w:ascii="仿宋" w:hAnsi="仿宋" w:eastAsia="仿宋" w:cs="仿宋"/>
                <w:spacing w:val="7"/>
                <w:sz w:val="24"/>
                <w:szCs w:val="24"/>
                <w:lang w:val="en-US" w:eastAsia="zh-CN"/>
              </w:rPr>
              <w:t>是否符合</w:t>
            </w:r>
            <w:r>
              <w:rPr>
                <w:rFonts w:hint="eastAsia" w:ascii="仿宋" w:hAnsi="仿宋" w:eastAsia="仿宋" w:cs="仿宋"/>
                <w:spacing w:val="7"/>
                <w:sz w:val="24"/>
                <w:szCs w:val="24"/>
              </w:rPr>
              <w:t>招标文件要求；</w:t>
            </w:r>
          </w:p>
        </w:tc>
        <w:tc>
          <w:tcPr>
            <w:tcW w:w="736" w:type="dxa"/>
            <w:tcBorders>
              <w:right w:val="single" w:color="000000" w:sz="2" w:space="0"/>
            </w:tcBorders>
            <w:vAlign w:val="top"/>
          </w:tcPr>
          <w:p w14:paraId="38A7774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398893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30D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3145428A">
            <w:pPr>
              <w:keepLines w:val="0"/>
              <w:pageBreakBefore w:val="0"/>
              <w:kinsoku/>
              <w:wordWrap/>
              <w:overflowPunct/>
              <w:topLinePunct w:val="0"/>
              <w:bidi w:val="0"/>
              <w:rPr>
                <w:rFonts w:ascii="Arial"/>
                <w:sz w:val="24"/>
                <w:szCs w:val="24"/>
              </w:rPr>
            </w:pPr>
          </w:p>
        </w:tc>
        <w:tc>
          <w:tcPr>
            <w:tcW w:w="733" w:type="dxa"/>
            <w:vAlign w:val="center"/>
          </w:tcPr>
          <w:p w14:paraId="4809C08B">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4</w:t>
            </w:r>
          </w:p>
        </w:tc>
        <w:tc>
          <w:tcPr>
            <w:tcW w:w="6664" w:type="dxa"/>
            <w:vAlign w:val="top"/>
          </w:tcPr>
          <w:p w14:paraId="14EDC2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供货期是否符合招标文件规定;</w:t>
            </w:r>
          </w:p>
        </w:tc>
        <w:tc>
          <w:tcPr>
            <w:tcW w:w="736" w:type="dxa"/>
            <w:tcBorders>
              <w:right w:val="single" w:color="000000" w:sz="2" w:space="0"/>
            </w:tcBorders>
            <w:vAlign w:val="top"/>
          </w:tcPr>
          <w:p w14:paraId="19B79F5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57590CC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DE9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1BEEBA79">
            <w:pPr>
              <w:keepLines w:val="0"/>
              <w:pageBreakBefore w:val="0"/>
              <w:kinsoku/>
              <w:wordWrap/>
              <w:overflowPunct/>
              <w:topLinePunct w:val="0"/>
              <w:bidi w:val="0"/>
              <w:rPr>
                <w:rFonts w:ascii="Arial"/>
                <w:sz w:val="24"/>
                <w:szCs w:val="24"/>
              </w:rPr>
            </w:pPr>
          </w:p>
        </w:tc>
        <w:tc>
          <w:tcPr>
            <w:tcW w:w="733" w:type="dxa"/>
            <w:vAlign w:val="center"/>
          </w:tcPr>
          <w:p w14:paraId="60C36194">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6664" w:type="dxa"/>
            <w:vAlign w:val="top"/>
          </w:tcPr>
          <w:p w14:paraId="3D89EB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hint="default" w:ascii="仿宋" w:hAnsi="仿宋" w:eastAsia="仿宋" w:cs="仿宋"/>
                <w:spacing w:val="7"/>
                <w:sz w:val="24"/>
                <w:szCs w:val="24"/>
                <w:lang w:val="en-US" w:eastAsia="zh-CN"/>
              </w:rPr>
              <w:t>货物质保期是否符合招标文件要求</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01D78FC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0A2A196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ED9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4" w:type="dxa"/>
            <w:vMerge w:val="continue"/>
            <w:tcBorders>
              <w:left w:val="single" w:color="000000" w:sz="10" w:space="0"/>
            </w:tcBorders>
            <w:textDirection w:val="tbRlV"/>
            <w:vAlign w:val="top"/>
          </w:tcPr>
          <w:p w14:paraId="5BC5310D">
            <w:pPr>
              <w:keepLines w:val="0"/>
              <w:pageBreakBefore w:val="0"/>
              <w:kinsoku/>
              <w:wordWrap/>
              <w:overflowPunct/>
              <w:topLinePunct w:val="0"/>
              <w:bidi w:val="0"/>
              <w:rPr>
                <w:rFonts w:ascii="Arial"/>
                <w:sz w:val="24"/>
                <w:szCs w:val="24"/>
              </w:rPr>
            </w:pPr>
          </w:p>
        </w:tc>
        <w:tc>
          <w:tcPr>
            <w:tcW w:w="8895" w:type="dxa"/>
            <w:gridSpan w:val="4"/>
            <w:tcBorders>
              <w:right w:val="single" w:color="000000" w:sz="10" w:space="0"/>
            </w:tcBorders>
            <w:vAlign w:val="center"/>
          </w:tcPr>
          <w:p w14:paraId="7CBC49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技术审查标准</w:t>
            </w:r>
          </w:p>
        </w:tc>
      </w:tr>
      <w:tr w14:paraId="5D631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844" w:type="dxa"/>
            <w:vMerge w:val="continue"/>
            <w:tcBorders>
              <w:left w:val="single" w:color="000000" w:sz="10" w:space="0"/>
            </w:tcBorders>
            <w:textDirection w:val="tbRlV"/>
            <w:vAlign w:val="top"/>
          </w:tcPr>
          <w:p w14:paraId="5C744BBF">
            <w:pPr>
              <w:keepLines w:val="0"/>
              <w:pageBreakBefore w:val="0"/>
              <w:kinsoku/>
              <w:wordWrap/>
              <w:overflowPunct/>
              <w:topLinePunct w:val="0"/>
              <w:bidi w:val="0"/>
              <w:rPr>
                <w:rFonts w:ascii="Arial"/>
                <w:sz w:val="24"/>
                <w:szCs w:val="24"/>
              </w:rPr>
            </w:pPr>
          </w:p>
        </w:tc>
        <w:tc>
          <w:tcPr>
            <w:tcW w:w="733" w:type="dxa"/>
            <w:vAlign w:val="center"/>
          </w:tcPr>
          <w:p w14:paraId="73E8F7D1">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vAlign w:val="top"/>
          </w:tcPr>
          <w:p w14:paraId="26BC36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投标文件</w:t>
            </w:r>
            <w:r>
              <w:rPr>
                <w:rFonts w:hint="eastAsia" w:ascii="仿宋" w:hAnsi="仿宋" w:eastAsia="仿宋" w:cs="仿宋"/>
                <w:spacing w:val="7"/>
                <w:sz w:val="24"/>
                <w:szCs w:val="24"/>
                <w:lang w:eastAsia="zh-CN"/>
              </w:rPr>
              <w:t>是否</w:t>
            </w:r>
            <w:r>
              <w:rPr>
                <w:rFonts w:ascii="仿宋" w:hAnsi="仿宋" w:eastAsia="仿宋" w:cs="仿宋"/>
                <w:spacing w:val="7"/>
                <w:sz w:val="24"/>
                <w:szCs w:val="24"/>
              </w:rPr>
              <w:t>对招标文件中的内容做出实质性和完整的</w:t>
            </w:r>
            <w:r>
              <w:rPr>
                <w:rFonts w:hint="eastAsia" w:ascii="仿宋" w:hAnsi="仿宋" w:eastAsia="仿宋" w:cs="仿宋"/>
                <w:spacing w:val="7"/>
                <w:sz w:val="24"/>
                <w:szCs w:val="24"/>
                <w:lang w:eastAsia="zh-CN"/>
              </w:rPr>
              <w:t>投标，是否做出错误投标</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5B4A5A6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29A5DCF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696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844" w:type="dxa"/>
            <w:vMerge w:val="continue"/>
            <w:tcBorders>
              <w:left w:val="single" w:color="000000" w:sz="10" w:space="0"/>
            </w:tcBorders>
            <w:textDirection w:val="tbRlV"/>
            <w:vAlign w:val="top"/>
          </w:tcPr>
          <w:p w14:paraId="4441F2A1">
            <w:pPr>
              <w:keepLines w:val="0"/>
              <w:pageBreakBefore w:val="0"/>
              <w:kinsoku/>
              <w:wordWrap/>
              <w:overflowPunct/>
              <w:topLinePunct w:val="0"/>
              <w:bidi w:val="0"/>
              <w:rPr>
                <w:rFonts w:ascii="Arial"/>
                <w:sz w:val="24"/>
                <w:szCs w:val="24"/>
              </w:rPr>
            </w:pPr>
          </w:p>
        </w:tc>
        <w:tc>
          <w:tcPr>
            <w:tcW w:w="733" w:type="dxa"/>
            <w:vAlign w:val="center"/>
          </w:tcPr>
          <w:p w14:paraId="181D8C5F">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vAlign w:val="top"/>
          </w:tcPr>
          <w:p w14:paraId="5397AA7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投标文件技术参数是否符合招标文件要求；</w:t>
            </w:r>
          </w:p>
        </w:tc>
        <w:tc>
          <w:tcPr>
            <w:tcW w:w="736" w:type="dxa"/>
            <w:tcBorders>
              <w:right w:val="single" w:color="000000" w:sz="2" w:space="0"/>
            </w:tcBorders>
            <w:vAlign w:val="top"/>
          </w:tcPr>
          <w:p w14:paraId="4C6B29F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08EC02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353E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31F129E0">
            <w:pPr>
              <w:keepLines w:val="0"/>
              <w:pageBreakBefore w:val="0"/>
              <w:kinsoku/>
              <w:wordWrap/>
              <w:overflowPunct/>
              <w:topLinePunct w:val="0"/>
              <w:bidi w:val="0"/>
              <w:rPr>
                <w:rFonts w:ascii="Arial"/>
                <w:sz w:val="24"/>
                <w:szCs w:val="24"/>
              </w:rPr>
            </w:pPr>
          </w:p>
        </w:tc>
        <w:tc>
          <w:tcPr>
            <w:tcW w:w="733" w:type="dxa"/>
            <w:tcBorders>
              <w:bottom w:val="single" w:color="000000" w:sz="10" w:space="0"/>
            </w:tcBorders>
            <w:vAlign w:val="center"/>
          </w:tcPr>
          <w:p w14:paraId="2D073200">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6664" w:type="dxa"/>
            <w:tcBorders>
              <w:bottom w:val="single" w:color="000000" w:sz="10" w:space="0"/>
            </w:tcBorders>
            <w:vAlign w:val="top"/>
          </w:tcPr>
          <w:p w14:paraId="27FABF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不符合法律、法规和招标文件中规定的其他要求的</w:t>
            </w:r>
            <w:r>
              <w:rPr>
                <w:rFonts w:hint="eastAsia" w:ascii="仿宋" w:hAnsi="仿宋" w:eastAsia="仿宋" w:cs="仿宋"/>
                <w:spacing w:val="7"/>
                <w:sz w:val="24"/>
                <w:szCs w:val="24"/>
                <w:lang w:val="en-US" w:eastAsia="zh-CN"/>
              </w:rPr>
              <w:t>;</w:t>
            </w:r>
          </w:p>
        </w:tc>
        <w:tc>
          <w:tcPr>
            <w:tcW w:w="736" w:type="dxa"/>
            <w:tcBorders>
              <w:bottom w:val="single" w:color="000000" w:sz="10" w:space="0"/>
              <w:right w:val="single" w:color="000000" w:sz="2" w:space="0"/>
            </w:tcBorders>
            <w:vAlign w:val="top"/>
          </w:tcPr>
          <w:p w14:paraId="05535E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bottom w:val="single" w:color="000000" w:sz="10" w:space="0"/>
              <w:right w:val="single" w:color="000000" w:sz="10" w:space="0"/>
            </w:tcBorders>
            <w:vAlign w:val="top"/>
          </w:tcPr>
          <w:p w14:paraId="7AE99A4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599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textDirection w:val="tbRlV"/>
            <w:vAlign w:val="top"/>
          </w:tcPr>
          <w:p w14:paraId="6C2B59CD">
            <w:pPr>
              <w:keepLines w:val="0"/>
              <w:pageBreakBefore w:val="0"/>
              <w:kinsoku/>
              <w:wordWrap/>
              <w:overflowPunct/>
              <w:topLinePunct w:val="0"/>
              <w:bidi w:val="0"/>
              <w:rPr>
                <w:rFonts w:ascii="Arial"/>
                <w:sz w:val="24"/>
                <w:szCs w:val="24"/>
              </w:rPr>
            </w:pPr>
          </w:p>
        </w:tc>
        <w:tc>
          <w:tcPr>
            <w:tcW w:w="8895" w:type="dxa"/>
            <w:gridSpan w:val="4"/>
            <w:tcBorders>
              <w:bottom w:val="single" w:color="000000" w:sz="10" w:space="0"/>
              <w:right w:val="single" w:color="000000" w:sz="10" w:space="0"/>
            </w:tcBorders>
            <w:vAlign w:val="center"/>
          </w:tcPr>
          <w:p w14:paraId="404B0C1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报价审查标准</w:t>
            </w:r>
          </w:p>
        </w:tc>
      </w:tr>
      <w:tr w14:paraId="3101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22134750">
            <w:pPr>
              <w:keepLines w:val="0"/>
              <w:pageBreakBefore w:val="0"/>
              <w:kinsoku/>
              <w:wordWrap/>
              <w:overflowPunct/>
              <w:topLinePunct w:val="0"/>
              <w:bidi w:val="0"/>
              <w:rPr>
                <w:rFonts w:ascii="Arial"/>
                <w:sz w:val="24"/>
                <w:szCs w:val="24"/>
              </w:rPr>
            </w:pPr>
          </w:p>
        </w:tc>
        <w:tc>
          <w:tcPr>
            <w:tcW w:w="733" w:type="dxa"/>
            <w:tcBorders>
              <w:top w:val="single" w:color="000000" w:sz="10" w:space="0"/>
            </w:tcBorders>
            <w:vAlign w:val="center"/>
          </w:tcPr>
          <w:p w14:paraId="20E168A8">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w:t>
            </w:r>
          </w:p>
        </w:tc>
        <w:tc>
          <w:tcPr>
            <w:tcW w:w="6664" w:type="dxa"/>
            <w:tcBorders>
              <w:top w:val="single" w:color="000000" w:sz="10" w:space="0"/>
            </w:tcBorders>
            <w:vAlign w:val="top"/>
          </w:tcPr>
          <w:p w14:paraId="4FDAF0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报价超过招标文件中规定的预算金额或者最高限价的</w:t>
            </w:r>
            <w:r>
              <w:rPr>
                <w:rFonts w:hint="eastAsia" w:ascii="仿宋" w:hAnsi="仿宋" w:eastAsia="仿宋" w:cs="仿宋"/>
                <w:spacing w:val="7"/>
                <w:sz w:val="24"/>
                <w:szCs w:val="24"/>
                <w:lang w:val="en-US" w:eastAsia="zh-CN"/>
              </w:rPr>
              <w:t>;</w:t>
            </w:r>
          </w:p>
        </w:tc>
        <w:tc>
          <w:tcPr>
            <w:tcW w:w="736" w:type="dxa"/>
            <w:tcBorders>
              <w:top w:val="single" w:color="000000" w:sz="10" w:space="0"/>
              <w:right w:val="single" w:color="000000" w:sz="2" w:space="0"/>
            </w:tcBorders>
            <w:vAlign w:val="top"/>
          </w:tcPr>
          <w:p w14:paraId="73BE96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58BEAE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65F9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3C898B32">
            <w:pPr>
              <w:keepLines w:val="0"/>
              <w:pageBreakBefore w:val="0"/>
              <w:kinsoku/>
              <w:wordWrap/>
              <w:overflowPunct/>
              <w:topLinePunct w:val="0"/>
              <w:bidi w:val="0"/>
              <w:rPr>
                <w:rFonts w:ascii="Arial"/>
                <w:sz w:val="24"/>
                <w:szCs w:val="24"/>
              </w:rPr>
            </w:pPr>
          </w:p>
        </w:tc>
        <w:tc>
          <w:tcPr>
            <w:tcW w:w="733" w:type="dxa"/>
            <w:tcBorders>
              <w:top w:val="single" w:color="000000" w:sz="10" w:space="0"/>
            </w:tcBorders>
            <w:vAlign w:val="center"/>
          </w:tcPr>
          <w:p w14:paraId="76D0B26F">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6664" w:type="dxa"/>
            <w:tcBorders>
              <w:top w:val="single" w:color="000000" w:sz="10" w:space="0"/>
            </w:tcBorders>
            <w:vAlign w:val="top"/>
          </w:tcPr>
          <w:p w14:paraId="51EAA1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投标总价未超出招标文件规定的最高限价，按照招标文件清单规定报价只有一个有效报价且没有漏项；</w:t>
            </w:r>
          </w:p>
        </w:tc>
        <w:tc>
          <w:tcPr>
            <w:tcW w:w="736" w:type="dxa"/>
            <w:tcBorders>
              <w:top w:val="single" w:color="000000" w:sz="10" w:space="0"/>
              <w:right w:val="single" w:color="000000" w:sz="2" w:space="0"/>
            </w:tcBorders>
            <w:vAlign w:val="top"/>
          </w:tcPr>
          <w:p w14:paraId="586455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1B92100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0AF0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4" w:type="dxa"/>
            <w:tcBorders>
              <w:left w:val="single" w:color="000000" w:sz="10" w:space="0"/>
              <w:bottom w:val="single" w:color="000000" w:sz="10" w:space="0"/>
            </w:tcBorders>
            <w:vAlign w:val="top"/>
          </w:tcPr>
          <w:p w14:paraId="10DC378D">
            <w:pPr>
              <w:keepLines w:val="0"/>
              <w:pageBreakBefore w:val="0"/>
              <w:kinsoku/>
              <w:wordWrap/>
              <w:overflowPunct/>
              <w:topLinePunct w:val="0"/>
              <w:bidi w:val="0"/>
              <w:rPr>
                <w:rFonts w:ascii="Arial"/>
                <w:sz w:val="24"/>
                <w:szCs w:val="24"/>
              </w:rPr>
            </w:pPr>
          </w:p>
        </w:tc>
        <w:tc>
          <w:tcPr>
            <w:tcW w:w="8895" w:type="dxa"/>
            <w:gridSpan w:val="4"/>
            <w:tcBorders>
              <w:bottom w:val="single" w:color="000000" w:sz="10" w:space="0"/>
              <w:right w:val="single" w:color="000000" w:sz="10" w:space="0"/>
            </w:tcBorders>
            <w:vAlign w:val="top"/>
          </w:tcPr>
          <w:p w14:paraId="70B00AA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ascii="仿宋" w:hAnsi="仿宋" w:eastAsia="仿宋" w:cs="仿宋"/>
                <w:spacing w:val="7"/>
                <w:sz w:val="24"/>
                <w:szCs w:val="24"/>
              </w:rPr>
              <w:t>结论：是否通过评审</w:t>
            </w:r>
          </w:p>
        </w:tc>
      </w:tr>
    </w:tbl>
    <w:p w14:paraId="48809970">
      <w:pPr>
        <w:pStyle w:val="7"/>
        <w:keepLines w:val="0"/>
        <w:pageBreakBefore w:val="0"/>
        <w:kinsoku/>
        <w:wordWrap/>
        <w:overflowPunct/>
        <w:topLinePunct w:val="0"/>
        <w:bidi w:val="0"/>
        <w:spacing w:line="307" w:lineRule="auto"/>
        <w:rPr>
          <w:sz w:val="21"/>
          <w:szCs w:val="21"/>
        </w:rPr>
      </w:pPr>
    </w:p>
    <w:p w14:paraId="7339D38B">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515BCF90">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351F5008">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18F9E8D5">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0C5188D2">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0F369319">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2030A5D1">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450B8C63">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1DD4D2E1">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60E3A049">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4DB36FF3">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5D5FFA51">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13BD1FA3">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E10F2CB">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6D6F3555">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3BD19BBB">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15A8B8A">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CE89A49">
      <w:pPr>
        <w:keepLines w:val="0"/>
        <w:pageBreakBefore w:val="0"/>
        <w:kinsoku/>
        <w:wordWrap/>
        <w:overflowPunct/>
        <w:topLinePunct w:val="0"/>
        <w:bidi w:val="0"/>
        <w:spacing w:before="65" w:line="232" w:lineRule="auto"/>
        <w:ind w:left="766"/>
        <w:rPr>
          <w:rFonts w:ascii="仿宋" w:hAnsi="仿宋" w:eastAsia="仿宋" w:cs="仿宋"/>
          <w:sz w:val="21"/>
          <w:szCs w:val="21"/>
        </w:rPr>
      </w:pPr>
      <w:r>
        <w:rPr>
          <w:rFonts w:ascii="仿宋" w:hAnsi="仿宋" w:eastAsia="仿宋" w:cs="仿宋"/>
          <w:spacing w:val="2"/>
          <w:sz w:val="21"/>
          <w:szCs w:val="21"/>
        </w:rPr>
        <w:t>附表二</w:t>
      </w:r>
    </w:p>
    <w:p w14:paraId="504F5560">
      <w:pPr>
        <w:keepLines w:val="0"/>
        <w:pageBreakBefore w:val="0"/>
        <w:kinsoku/>
        <w:wordWrap/>
        <w:overflowPunct/>
        <w:topLinePunct w:val="0"/>
        <w:bidi w:val="0"/>
        <w:spacing w:before="192" w:line="222" w:lineRule="auto"/>
        <w:jc w:val="center"/>
        <w:rPr>
          <w:sz w:val="21"/>
          <w:szCs w:val="21"/>
        </w:rPr>
      </w:pPr>
      <w:r>
        <w:rPr>
          <w:rFonts w:ascii="仿宋" w:hAnsi="仿宋" w:eastAsia="仿宋" w:cs="仿宋"/>
          <w:b/>
          <w:bCs/>
          <w:spacing w:val="-3"/>
          <w:sz w:val="24"/>
          <w:szCs w:val="24"/>
        </w:rPr>
        <w:t>详细评分标准表</w:t>
      </w:r>
    </w:p>
    <w:tbl>
      <w:tblPr>
        <w:tblStyle w:val="17"/>
        <w:tblpPr w:leftFromText="180" w:rightFromText="180" w:vertAnchor="text" w:horzAnchor="page" w:tblpX="994" w:tblpY="281"/>
        <w:tblOverlap w:val="never"/>
        <w:tblW w:w="100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500"/>
        <w:gridCol w:w="1081"/>
        <w:gridCol w:w="7004"/>
      </w:tblGrid>
      <w:tr w14:paraId="385D1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bottom w:val="single" w:color="auto" w:sz="4" w:space="0"/>
            </w:tcBorders>
            <w:noWrap w:val="0"/>
            <w:vAlign w:val="center"/>
          </w:tcPr>
          <w:p w14:paraId="3F47F581">
            <w:pPr>
              <w:jc w:val="center"/>
              <w:rPr>
                <w:rFonts w:hint="eastAsia"/>
              </w:rPr>
            </w:pPr>
            <w:r>
              <w:rPr>
                <w:rFonts w:hint="eastAsia"/>
              </w:rPr>
              <w:t>1</w:t>
            </w:r>
          </w:p>
        </w:tc>
        <w:tc>
          <w:tcPr>
            <w:tcW w:w="1500" w:type="dxa"/>
            <w:tcBorders>
              <w:top w:val="single" w:color="auto" w:sz="4" w:space="0"/>
              <w:bottom w:val="single" w:color="auto" w:sz="4" w:space="0"/>
            </w:tcBorders>
            <w:noWrap w:val="0"/>
            <w:vAlign w:val="center"/>
          </w:tcPr>
          <w:p w14:paraId="2152F539">
            <w:pPr>
              <w:jc w:val="center"/>
              <w:rPr>
                <w:rFonts w:hint="eastAsia"/>
              </w:rPr>
            </w:pPr>
            <w:r>
              <w:rPr>
                <w:rFonts w:hint="eastAsia"/>
              </w:rPr>
              <w:t>报价</w:t>
            </w:r>
          </w:p>
        </w:tc>
        <w:tc>
          <w:tcPr>
            <w:tcW w:w="1081" w:type="dxa"/>
            <w:tcBorders>
              <w:top w:val="single" w:color="auto" w:sz="4" w:space="0"/>
              <w:bottom w:val="single" w:color="auto" w:sz="4" w:space="0"/>
            </w:tcBorders>
            <w:noWrap w:val="0"/>
            <w:vAlign w:val="center"/>
          </w:tcPr>
          <w:p w14:paraId="5BE6A989">
            <w:pPr>
              <w:jc w:val="center"/>
              <w:rPr>
                <w:rFonts w:hint="eastAsia"/>
                <w:lang w:eastAsia="zh-CN"/>
              </w:rPr>
            </w:pPr>
            <w:r>
              <w:rPr>
                <w:rFonts w:hint="eastAsia"/>
              </w:rPr>
              <w:t>30</w:t>
            </w:r>
            <w:r>
              <w:rPr>
                <w:rFonts w:hint="eastAsia"/>
                <w:lang w:eastAsia="zh-CN"/>
              </w:rPr>
              <w:t>分</w:t>
            </w:r>
          </w:p>
        </w:tc>
        <w:tc>
          <w:tcPr>
            <w:tcW w:w="7004" w:type="dxa"/>
            <w:tcBorders>
              <w:top w:val="single" w:color="auto" w:sz="4" w:space="0"/>
              <w:bottom w:val="single" w:color="auto" w:sz="4" w:space="0"/>
            </w:tcBorders>
            <w:noWrap w:val="0"/>
            <w:vAlign w:val="center"/>
          </w:tcPr>
          <w:p w14:paraId="70B6B19F">
            <w:pPr>
              <w:spacing w:line="360" w:lineRule="auto"/>
              <w:jc w:val="both"/>
              <w:rPr>
                <w:rFonts w:hint="eastAsia"/>
              </w:rPr>
            </w:pPr>
            <w:r>
              <w:rPr>
                <w:rFonts w:hint="eastAsia"/>
              </w:rPr>
              <w:t>综合评分法中的价格分统一采用低价优先法计算，即满足</w:t>
            </w:r>
            <w:r>
              <w:rPr>
                <w:rFonts w:hint="eastAsia"/>
                <w:lang w:eastAsia="zh-CN"/>
              </w:rPr>
              <w:t>招标</w:t>
            </w:r>
            <w:r>
              <w:rPr>
                <w:rFonts w:hint="eastAsia"/>
              </w:rPr>
              <w:t>文件要求且</w:t>
            </w:r>
            <w:r>
              <w:rPr>
                <w:rFonts w:hint="eastAsia"/>
                <w:lang w:eastAsia="zh-CN"/>
              </w:rPr>
              <w:t>有效</w:t>
            </w:r>
            <w:r>
              <w:rPr>
                <w:rFonts w:hint="eastAsia"/>
              </w:rPr>
              <w:t>报价最低的</w:t>
            </w:r>
            <w:r>
              <w:rPr>
                <w:rFonts w:hint="eastAsia"/>
                <w:lang w:eastAsia="zh-CN"/>
              </w:rPr>
              <w:t>投标人</w:t>
            </w:r>
            <w:r>
              <w:rPr>
                <w:rFonts w:hint="eastAsia"/>
              </w:rPr>
              <w:t>的价格为</w:t>
            </w:r>
            <w:r>
              <w:rPr>
                <w:rFonts w:hint="eastAsia"/>
                <w:lang w:eastAsia="zh-CN"/>
              </w:rPr>
              <w:t>评标</w:t>
            </w:r>
            <w:r>
              <w:rPr>
                <w:rFonts w:hint="eastAsia"/>
              </w:rPr>
              <w:t>基准价，其价格分为满分。其他</w:t>
            </w:r>
            <w:r>
              <w:rPr>
                <w:rFonts w:hint="eastAsia"/>
                <w:lang w:eastAsia="zh-CN"/>
              </w:rPr>
              <w:t>投标人</w:t>
            </w:r>
            <w:r>
              <w:rPr>
                <w:rFonts w:hint="eastAsia"/>
              </w:rPr>
              <w:t>的价格分统一按照下列公式计算：报价得分=（</w:t>
            </w:r>
            <w:r>
              <w:rPr>
                <w:rFonts w:hint="eastAsia"/>
                <w:lang w:eastAsia="zh-CN"/>
              </w:rPr>
              <w:t>评标</w:t>
            </w:r>
            <w:r>
              <w:rPr>
                <w:rFonts w:hint="eastAsia"/>
              </w:rPr>
              <w:t>基准价/</w:t>
            </w:r>
            <w:r>
              <w:rPr>
                <w:rFonts w:hint="eastAsia"/>
                <w:lang w:eastAsia="zh-CN"/>
              </w:rPr>
              <w:t>有效投标</w:t>
            </w:r>
            <w:r>
              <w:rPr>
                <w:rFonts w:hint="eastAsia"/>
              </w:rPr>
              <w:t>报价）×价格权值×100（小数点保留两位）</w:t>
            </w:r>
          </w:p>
        </w:tc>
      </w:tr>
      <w:tr w14:paraId="30E1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0053" w:type="dxa"/>
            <w:gridSpan w:val="4"/>
            <w:tcBorders>
              <w:top w:val="single" w:color="auto" w:sz="4" w:space="0"/>
              <w:bottom w:val="single" w:color="auto" w:sz="4" w:space="0"/>
            </w:tcBorders>
            <w:noWrap w:val="0"/>
            <w:vAlign w:val="center"/>
          </w:tcPr>
          <w:p w14:paraId="4D09F93C">
            <w:pPr>
              <w:jc w:val="center"/>
              <w:rPr>
                <w:rFonts w:hint="eastAsia"/>
              </w:rPr>
            </w:pPr>
            <w:r>
              <w:rPr>
                <w:rFonts w:hint="eastAsia"/>
              </w:rPr>
              <w:t>技术部分70分</w:t>
            </w:r>
          </w:p>
        </w:tc>
      </w:tr>
      <w:tr w14:paraId="1480D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tcBorders>
            <w:noWrap w:val="0"/>
            <w:vAlign w:val="center"/>
          </w:tcPr>
          <w:p w14:paraId="28B51AAC">
            <w:pPr>
              <w:jc w:val="center"/>
              <w:rPr>
                <w:rFonts w:hint="eastAsia"/>
                <w:highlight w:val="none"/>
              </w:rPr>
            </w:pPr>
            <w:r>
              <w:rPr>
                <w:rFonts w:hint="eastAsia"/>
                <w:highlight w:val="none"/>
              </w:rPr>
              <w:t>1</w:t>
            </w:r>
          </w:p>
        </w:tc>
        <w:tc>
          <w:tcPr>
            <w:tcW w:w="1500" w:type="dxa"/>
            <w:tcBorders>
              <w:top w:val="single" w:color="auto" w:sz="4" w:space="0"/>
            </w:tcBorders>
            <w:noWrap w:val="0"/>
            <w:vAlign w:val="center"/>
          </w:tcPr>
          <w:p w14:paraId="674B1865">
            <w:pPr>
              <w:jc w:val="center"/>
              <w:rPr>
                <w:rFonts w:hint="eastAsia"/>
                <w:highlight w:val="none"/>
              </w:rPr>
            </w:pPr>
            <w:r>
              <w:rPr>
                <w:rFonts w:hint="eastAsia"/>
                <w:highlight w:val="none"/>
                <w:lang w:val="en-US" w:eastAsia="zh-CN"/>
              </w:rPr>
              <w:t>产品响</w:t>
            </w:r>
          </w:p>
          <w:p w14:paraId="1C0BABD5">
            <w:pPr>
              <w:jc w:val="center"/>
              <w:rPr>
                <w:rFonts w:hint="eastAsia"/>
                <w:highlight w:val="none"/>
              </w:rPr>
            </w:pPr>
            <w:r>
              <w:rPr>
                <w:rFonts w:hint="eastAsia"/>
                <w:highlight w:val="none"/>
                <w:lang w:val="en-US" w:eastAsia="zh-CN"/>
              </w:rPr>
              <w:t>应情况</w:t>
            </w:r>
          </w:p>
          <w:p w14:paraId="59D4FED0">
            <w:pPr>
              <w:jc w:val="center"/>
              <w:rPr>
                <w:rFonts w:hint="eastAsia"/>
                <w:highlight w:val="none"/>
              </w:rPr>
            </w:pPr>
          </w:p>
        </w:tc>
        <w:tc>
          <w:tcPr>
            <w:tcW w:w="1081" w:type="dxa"/>
            <w:tcBorders>
              <w:top w:val="single" w:color="auto" w:sz="4" w:space="0"/>
              <w:bottom w:val="single" w:color="auto" w:sz="4" w:space="0"/>
            </w:tcBorders>
            <w:noWrap w:val="0"/>
            <w:vAlign w:val="center"/>
          </w:tcPr>
          <w:p w14:paraId="25887F07">
            <w:pPr>
              <w:jc w:val="center"/>
              <w:rPr>
                <w:rFonts w:hint="eastAsia"/>
                <w:highlight w:val="none"/>
              </w:rPr>
            </w:pPr>
            <w:r>
              <w:rPr>
                <w:rFonts w:hint="eastAsia"/>
                <w:highlight w:val="none"/>
                <w:lang w:val="en-US" w:eastAsia="zh-CN"/>
              </w:rPr>
              <w:t>33分</w:t>
            </w:r>
          </w:p>
        </w:tc>
        <w:tc>
          <w:tcPr>
            <w:tcW w:w="7004" w:type="dxa"/>
            <w:tcBorders>
              <w:top w:val="single" w:color="auto" w:sz="4" w:space="0"/>
            </w:tcBorders>
            <w:noWrap w:val="0"/>
            <w:vAlign w:val="center"/>
          </w:tcPr>
          <w:p w14:paraId="7325F6DA">
            <w:pPr>
              <w:spacing w:line="360" w:lineRule="auto"/>
              <w:jc w:val="both"/>
              <w:rPr>
                <w:rFonts w:hint="eastAsia"/>
                <w:highlight w:val="none"/>
                <w:lang w:val="en-US" w:eastAsia="zh-CN"/>
              </w:rPr>
            </w:pPr>
            <w:r>
              <w:rPr>
                <w:rFonts w:hint="eastAsia"/>
                <w:highlight w:val="none"/>
                <w:lang w:val="en-US" w:eastAsia="zh-CN"/>
              </w:rPr>
              <w:t>所投产品的性能、特点满足采购需求，技术参数全部满足得 33 分，一般参数每负偏离一项扣 1.5 分；最低得分 0 分。主要参数每负偏离一项扣 3 分；最低得分 0 分; （产品技术要求中标▲的均为主要参数，主要参数满足采购需求或正偏离项，主要参数明确所需提供佐证资料的需明确提供，如不提供视为不满足） 注：投标人须对本招标文件技术要求进行点对点应答，必须在引用本招标文件的基础上,进行逐条逐项答复、说明和解释,特别对有具体参数要求的指标，投标人必须提供所投货物的具体参数值。投标参数不得照抄完全招标文件参数，完全照抄按无效标处理。</w:t>
            </w:r>
          </w:p>
          <w:p w14:paraId="6E64F3D5">
            <w:pPr>
              <w:spacing w:line="360" w:lineRule="auto"/>
              <w:jc w:val="both"/>
              <w:rPr>
                <w:rFonts w:hint="default"/>
                <w:highlight w:val="none"/>
                <w:lang w:val="en-US" w:eastAsia="zh-CN"/>
              </w:rPr>
            </w:pPr>
            <w:r>
              <w:rPr>
                <w:rFonts w:hint="eastAsia"/>
                <w:highlight w:val="none"/>
                <w:lang w:val="en-US" w:eastAsia="zh-CN"/>
              </w:rPr>
              <w:t>备注：</w:t>
            </w:r>
            <w:r>
              <w:rPr>
                <w:rFonts w:hint="default"/>
                <w:highlight w:val="none"/>
                <w:lang w:val="en-US" w:eastAsia="zh-CN"/>
              </w:rPr>
              <w:t>每项技术参数如满足项目需求须提供相关佐证材料</w:t>
            </w:r>
          </w:p>
        </w:tc>
      </w:tr>
      <w:tr w14:paraId="4C57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tcBorders>
            <w:noWrap w:val="0"/>
            <w:vAlign w:val="center"/>
          </w:tcPr>
          <w:p w14:paraId="15046326">
            <w:pPr>
              <w:jc w:val="center"/>
              <w:rPr>
                <w:rFonts w:hint="eastAsia"/>
                <w:lang w:val="en-US" w:eastAsia="zh-CN"/>
              </w:rPr>
            </w:pPr>
            <w:r>
              <w:rPr>
                <w:rFonts w:hint="eastAsia"/>
                <w:lang w:val="en-US" w:eastAsia="zh-CN"/>
              </w:rPr>
              <w:t>2</w:t>
            </w:r>
          </w:p>
        </w:tc>
        <w:tc>
          <w:tcPr>
            <w:tcW w:w="1500" w:type="dxa"/>
            <w:tcBorders>
              <w:top w:val="single" w:color="auto" w:sz="4" w:space="0"/>
            </w:tcBorders>
            <w:noWrap w:val="0"/>
            <w:vAlign w:val="center"/>
          </w:tcPr>
          <w:p w14:paraId="508420C6">
            <w:pPr>
              <w:jc w:val="center"/>
              <w:rPr>
                <w:rFonts w:hint="eastAsia"/>
                <w:lang w:val="en-US" w:eastAsia="zh-CN"/>
              </w:rPr>
            </w:pPr>
            <w:r>
              <w:rPr>
                <w:rFonts w:hint="eastAsia"/>
                <w:lang w:val="en-US" w:eastAsia="zh-CN"/>
              </w:rPr>
              <w:t>培训方案</w:t>
            </w:r>
          </w:p>
        </w:tc>
        <w:tc>
          <w:tcPr>
            <w:tcW w:w="1081" w:type="dxa"/>
            <w:tcBorders>
              <w:top w:val="single" w:color="auto" w:sz="4" w:space="0"/>
              <w:bottom w:val="single" w:color="auto" w:sz="4" w:space="0"/>
            </w:tcBorders>
            <w:noWrap w:val="0"/>
            <w:vAlign w:val="center"/>
          </w:tcPr>
          <w:p w14:paraId="4F3D4E66">
            <w:pPr>
              <w:jc w:val="center"/>
              <w:rPr>
                <w:rFonts w:hint="default"/>
                <w:lang w:val="en-US" w:eastAsia="zh-CN"/>
              </w:rPr>
            </w:pPr>
            <w:r>
              <w:rPr>
                <w:rFonts w:hint="eastAsia"/>
                <w:lang w:val="en-US" w:eastAsia="zh-CN"/>
              </w:rPr>
              <w:t>4分</w:t>
            </w:r>
          </w:p>
        </w:tc>
        <w:tc>
          <w:tcPr>
            <w:tcW w:w="7004" w:type="dxa"/>
            <w:tcBorders>
              <w:top w:val="single" w:color="auto" w:sz="4" w:space="0"/>
            </w:tcBorders>
            <w:noWrap w:val="0"/>
            <w:vAlign w:val="center"/>
          </w:tcPr>
          <w:p w14:paraId="5EAAA7A6">
            <w:pPr>
              <w:spacing w:line="360" w:lineRule="auto"/>
              <w:jc w:val="both"/>
              <w:rPr>
                <w:rFonts w:hint="eastAsia"/>
                <w:lang w:val="en-US" w:eastAsia="zh-CN"/>
              </w:rPr>
            </w:pPr>
            <w:r>
              <w:rPr>
                <w:rFonts w:hint="eastAsia"/>
                <w:lang w:val="en-US" w:eastAsia="zh-CN"/>
              </w:rPr>
              <w:t>根据投标人培训计划情况，应含详细合理的培训方案（包含：①培训计划；②培训讲师；③培训内容；④培训方式等）：培训方案中包含以上每项内容，且方案切实可行得4分，其中每一项不详细、不完善、缺项或不能满足采购方需求的的扣1分，直到全部扣完为止。</w:t>
            </w:r>
          </w:p>
        </w:tc>
      </w:tr>
      <w:tr w14:paraId="7167F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80" w:hRule="atLeast"/>
        </w:trPr>
        <w:tc>
          <w:tcPr>
            <w:tcW w:w="468" w:type="dxa"/>
            <w:tcBorders>
              <w:top w:val="single" w:color="auto" w:sz="4" w:space="0"/>
              <w:bottom w:val="single" w:color="auto" w:sz="4" w:space="0"/>
            </w:tcBorders>
            <w:noWrap w:val="0"/>
            <w:vAlign w:val="center"/>
          </w:tcPr>
          <w:p w14:paraId="6D4A34F4">
            <w:pPr>
              <w:jc w:val="center"/>
              <w:rPr>
                <w:rFonts w:hint="eastAsia"/>
                <w:highlight w:val="none"/>
                <w:lang w:val="en-US" w:eastAsia="zh-CN"/>
              </w:rPr>
            </w:pPr>
            <w:r>
              <w:rPr>
                <w:rFonts w:hint="eastAsia"/>
                <w:highlight w:val="none"/>
                <w:lang w:val="en-US" w:eastAsia="zh-CN"/>
              </w:rPr>
              <w:t>3</w:t>
            </w:r>
          </w:p>
        </w:tc>
        <w:tc>
          <w:tcPr>
            <w:tcW w:w="1500" w:type="dxa"/>
            <w:tcBorders>
              <w:top w:val="single" w:color="auto" w:sz="4" w:space="0"/>
              <w:bottom w:val="single" w:color="auto" w:sz="4" w:space="0"/>
            </w:tcBorders>
            <w:noWrap w:val="0"/>
            <w:vAlign w:val="center"/>
          </w:tcPr>
          <w:p w14:paraId="15A3A61B">
            <w:pPr>
              <w:jc w:val="center"/>
              <w:rPr>
                <w:rFonts w:hint="eastAsia"/>
                <w:highlight w:val="none"/>
                <w:lang w:val="en-US"/>
              </w:rPr>
            </w:pPr>
            <w:r>
              <w:rPr>
                <w:rFonts w:hint="eastAsia"/>
                <w:highlight w:val="none"/>
                <w:lang w:val="en-US" w:eastAsia="zh-CN"/>
              </w:rPr>
              <w:t>供货方案及技术措施</w:t>
            </w:r>
          </w:p>
        </w:tc>
        <w:tc>
          <w:tcPr>
            <w:tcW w:w="1081" w:type="dxa"/>
            <w:tcBorders>
              <w:top w:val="single" w:color="auto" w:sz="4" w:space="0"/>
              <w:bottom w:val="single" w:color="auto" w:sz="4" w:space="0"/>
            </w:tcBorders>
            <w:noWrap w:val="0"/>
            <w:vAlign w:val="center"/>
          </w:tcPr>
          <w:p w14:paraId="406266F9">
            <w:pPr>
              <w:jc w:val="center"/>
              <w:rPr>
                <w:rFonts w:hint="eastAsia"/>
                <w:highlight w:val="none"/>
                <w:lang w:val="en-US" w:eastAsia="zh-CN"/>
              </w:rPr>
            </w:pPr>
            <w:r>
              <w:rPr>
                <w:rFonts w:hint="eastAsia"/>
                <w:highlight w:val="none"/>
                <w:lang w:val="en-US" w:eastAsia="zh-CN"/>
              </w:rPr>
              <w:t>10</w:t>
            </w:r>
            <w:r>
              <w:rPr>
                <w:rFonts w:hint="eastAsia"/>
                <w:highlight w:val="none"/>
              </w:rPr>
              <w:t>分</w:t>
            </w:r>
          </w:p>
        </w:tc>
        <w:tc>
          <w:tcPr>
            <w:tcW w:w="7004" w:type="dxa"/>
            <w:tcBorders>
              <w:top w:val="single" w:color="auto" w:sz="4" w:space="0"/>
              <w:bottom w:val="single" w:color="auto" w:sz="4" w:space="0"/>
            </w:tcBorders>
            <w:noWrap w:val="0"/>
            <w:vAlign w:val="center"/>
          </w:tcPr>
          <w:p w14:paraId="68457966">
            <w:pPr>
              <w:spacing w:line="360" w:lineRule="auto"/>
              <w:jc w:val="both"/>
              <w:rPr>
                <w:rFonts w:hint="eastAsia"/>
                <w:highlight w:val="none"/>
                <w:lang w:val="en-US" w:eastAsia="zh-CN"/>
              </w:rPr>
            </w:pPr>
            <w:r>
              <w:rPr>
                <w:rFonts w:hint="eastAsia"/>
                <w:highlight w:val="none"/>
                <w:lang w:val="en-US" w:eastAsia="zh-CN"/>
              </w:rPr>
              <w:t>包括:</w:t>
            </w:r>
          </w:p>
          <w:p w14:paraId="54270DAF">
            <w:pPr>
              <w:numPr>
                <w:ilvl w:val="0"/>
                <w:numId w:val="2"/>
              </w:numPr>
              <w:spacing w:line="360" w:lineRule="auto"/>
              <w:jc w:val="both"/>
              <w:rPr>
                <w:rFonts w:hint="eastAsia"/>
                <w:highlight w:val="none"/>
                <w:lang w:val="en-US" w:eastAsia="zh-CN"/>
              </w:rPr>
            </w:pPr>
            <w:r>
              <w:rPr>
                <w:rFonts w:hint="eastAsia"/>
                <w:highlight w:val="none"/>
                <w:lang w:val="en-US" w:eastAsia="zh-CN"/>
              </w:rPr>
              <w:t>功能说明、性能指标、设备选型说明；</w:t>
            </w:r>
          </w:p>
          <w:p w14:paraId="341225F6">
            <w:pPr>
              <w:numPr>
                <w:ilvl w:val="0"/>
                <w:numId w:val="0"/>
              </w:numPr>
              <w:spacing w:line="360" w:lineRule="auto"/>
              <w:jc w:val="both"/>
              <w:rPr>
                <w:rFonts w:hint="eastAsia"/>
                <w:highlight w:val="none"/>
                <w:lang w:val="en-US" w:eastAsia="zh-CN"/>
              </w:rPr>
            </w:pPr>
            <w:r>
              <w:rPr>
                <w:rFonts w:hint="eastAsia"/>
                <w:highlight w:val="none"/>
                <w:lang w:val="en-US" w:eastAsia="zh-CN"/>
              </w:rPr>
              <w:t>（2）投标人的项目实施进度计划安排，且相关保障措施;</w:t>
            </w:r>
          </w:p>
          <w:p w14:paraId="762C2A8F">
            <w:pPr>
              <w:numPr>
                <w:ilvl w:val="0"/>
                <w:numId w:val="0"/>
              </w:numPr>
              <w:spacing w:line="360" w:lineRule="auto"/>
              <w:jc w:val="both"/>
              <w:rPr>
                <w:rFonts w:hint="eastAsia"/>
                <w:highlight w:val="none"/>
                <w:lang w:val="en-US" w:eastAsia="zh-CN"/>
              </w:rPr>
            </w:pPr>
            <w:r>
              <w:rPr>
                <w:rFonts w:hint="eastAsia"/>
                <w:highlight w:val="none"/>
                <w:lang w:val="en-US" w:eastAsia="zh-CN"/>
              </w:rPr>
              <w:t>（3）对各项关键工作安排包含（品控、备货、发货、安装调试、验收）</w:t>
            </w:r>
          </w:p>
          <w:p w14:paraId="2B14B8C5">
            <w:pPr>
              <w:numPr>
                <w:ilvl w:val="0"/>
                <w:numId w:val="0"/>
              </w:numPr>
              <w:spacing w:line="360" w:lineRule="auto"/>
              <w:jc w:val="both"/>
              <w:rPr>
                <w:rFonts w:hint="eastAsia"/>
                <w:highlight w:val="none"/>
                <w:lang w:val="en-US" w:eastAsia="zh-CN"/>
              </w:rPr>
            </w:pPr>
            <w:r>
              <w:rPr>
                <w:rFonts w:hint="eastAsia"/>
                <w:highlight w:val="none"/>
                <w:lang w:val="en-US" w:eastAsia="zh-CN"/>
              </w:rPr>
              <w:t>（4）对应急突发事件有应急保障措施和解决方案;</w:t>
            </w:r>
          </w:p>
          <w:p w14:paraId="54C0C306">
            <w:pPr>
              <w:numPr>
                <w:ilvl w:val="0"/>
                <w:numId w:val="0"/>
              </w:numPr>
              <w:spacing w:line="360" w:lineRule="auto"/>
              <w:jc w:val="both"/>
              <w:rPr>
                <w:rFonts w:hint="eastAsia"/>
                <w:highlight w:val="none"/>
                <w:lang w:val="en-US" w:eastAsia="zh-CN"/>
              </w:rPr>
            </w:pPr>
            <w:r>
              <w:rPr>
                <w:rFonts w:hint="eastAsia"/>
                <w:highlight w:val="none"/>
                <w:lang w:val="en-US" w:eastAsia="zh-CN"/>
              </w:rPr>
              <w:t>（5）项目管理方案,组织机构完善，人员有保障。</w:t>
            </w:r>
          </w:p>
          <w:p w14:paraId="22905955">
            <w:pPr>
              <w:numPr>
                <w:ilvl w:val="0"/>
                <w:numId w:val="0"/>
              </w:numPr>
              <w:spacing w:line="360" w:lineRule="auto"/>
              <w:jc w:val="both"/>
              <w:rPr>
                <w:rFonts w:hint="default"/>
                <w:highlight w:val="none"/>
                <w:lang w:val="en-US" w:eastAsia="zh-CN"/>
              </w:rPr>
            </w:pPr>
            <w:r>
              <w:rPr>
                <w:rFonts w:hint="eastAsia"/>
                <w:highlight w:val="none"/>
                <w:lang w:val="en-US" w:eastAsia="zh-CN"/>
              </w:rPr>
              <w:t>以上内容每项得0-2分，未提供不得分。</w:t>
            </w:r>
            <w:r>
              <w:rPr>
                <w:rFonts w:hint="eastAsia"/>
                <w:lang w:val="en-US" w:eastAsia="zh-CN"/>
              </w:rPr>
              <w:t>最高得 10</w:t>
            </w:r>
            <w:r>
              <w:rPr>
                <w:rFonts w:hint="eastAsia"/>
                <w:highlight w:val="none"/>
                <w:lang w:val="en-US" w:eastAsia="zh-CN"/>
              </w:rPr>
              <w:t>分</w:t>
            </w:r>
          </w:p>
        </w:tc>
      </w:tr>
      <w:tr w14:paraId="4B46D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7" w:hRule="atLeast"/>
        </w:trPr>
        <w:tc>
          <w:tcPr>
            <w:tcW w:w="468" w:type="dxa"/>
            <w:tcBorders>
              <w:top w:val="single" w:color="auto" w:sz="4" w:space="0"/>
              <w:bottom w:val="single" w:color="auto" w:sz="4" w:space="0"/>
            </w:tcBorders>
            <w:noWrap w:val="0"/>
            <w:vAlign w:val="center"/>
          </w:tcPr>
          <w:p w14:paraId="75F659B2">
            <w:pPr>
              <w:jc w:val="center"/>
              <w:rPr>
                <w:rFonts w:hint="default"/>
                <w:highlight w:val="none"/>
                <w:lang w:val="en-US" w:eastAsia="zh-CN"/>
              </w:rPr>
            </w:pPr>
            <w:r>
              <w:rPr>
                <w:rFonts w:hint="eastAsia"/>
                <w:highlight w:val="none"/>
                <w:lang w:val="en-US" w:eastAsia="zh-CN"/>
              </w:rPr>
              <w:t>4</w:t>
            </w:r>
          </w:p>
        </w:tc>
        <w:tc>
          <w:tcPr>
            <w:tcW w:w="1500" w:type="dxa"/>
            <w:tcBorders>
              <w:top w:val="single" w:color="auto" w:sz="4" w:space="0"/>
              <w:bottom w:val="single" w:color="auto" w:sz="4" w:space="0"/>
            </w:tcBorders>
            <w:noWrap w:val="0"/>
            <w:vAlign w:val="center"/>
          </w:tcPr>
          <w:p w14:paraId="58B10975">
            <w:pPr>
              <w:jc w:val="center"/>
              <w:rPr>
                <w:rFonts w:hint="eastAsia"/>
                <w:highlight w:val="none"/>
                <w:lang w:val="en-US" w:eastAsia="zh-CN"/>
              </w:rPr>
            </w:pPr>
            <w:r>
              <w:rPr>
                <w:rFonts w:hint="eastAsia"/>
                <w:highlight w:val="none"/>
                <w:lang w:val="en-US" w:eastAsia="zh-CN"/>
              </w:rPr>
              <w:t>售后服务方案</w:t>
            </w:r>
          </w:p>
        </w:tc>
        <w:tc>
          <w:tcPr>
            <w:tcW w:w="1081" w:type="dxa"/>
            <w:tcBorders>
              <w:top w:val="single" w:color="auto" w:sz="4" w:space="0"/>
              <w:bottom w:val="single" w:color="auto" w:sz="4" w:space="0"/>
            </w:tcBorders>
            <w:noWrap w:val="0"/>
            <w:vAlign w:val="center"/>
          </w:tcPr>
          <w:p w14:paraId="453084E6">
            <w:pPr>
              <w:jc w:val="center"/>
              <w:rPr>
                <w:rFonts w:hint="default"/>
                <w:highlight w:val="none"/>
                <w:lang w:val="en-US" w:eastAsia="zh-CN"/>
              </w:rPr>
            </w:pPr>
            <w:r>
              <w:rPr>
                <w:rFonts w:hint="eastAsia"/>
                <w:highlight w:val="none"/>
                <w:lang w:val="en-US" w:eastAsia="zh-CN"/>
              </w:rPr>
              <w:t>8分</w:t>
            </w:r>
          </w:p>
        </w:tc>
        <w:tc>
          <w:tcPr>
            <w:tcW w:w="7004" w:type="dxa"/>
            <w:tcBorders>
              <w:top w:val="single" w:color="auto" w:sz="4" w:space="0"/>
              <w:bottom w:val="single" w:color="auto" w:sz="4" w:space="0"/>
            </w:tcBorders>
            <w:noWrap w:val="0"/>
            <w:vAlign w:val="center"/>
          </w:tcPr>
          <w:p w14:paraId="45E69633">
            <w:pPr>
              <w:spacing w:line="360" w:lineRule="auto"/>
              <w:jc w:val="both"/>
              <w:rPr>
                <w:rFonts w:hint="eastAsia"/>
                <w:highlight w:val="none"/>
                <w:lang w:val="en-US" w:eastAsia="zh-CN"/>
              </w:rPr>
            </w:pPr>
            <w:r>
              <w:rPr>
                <w:rFonts w:hint="eastAsia"/>
                <w:highlight w:val="none"/>
                <w:lang w:val="en-US" w:eastAsia="zh-CN"/>
              </w:rPr>
              <w:t>设备产品及配件货源渠道正常，质量符合国家的标准要求，制造厂家为农业农村部办公厅公布的全国星级基层农技推广机构和星级农业科技社会化服务组织名单中的；优秀的，得6-8分；良好的，得3-5分；一般的，得0-2分。</w:t>
            </w:r>
          </w:p>
        </w:tc>
      </w:tr>
      <w:tr w14:paraId="7301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6" w:hRule="atLeast"/>
        </w:trPr>
        <w:tc>
          <w:tcPr>
            <w:tcW w:w="468" w:type="dxa"/>
            <w:tcBorders>
              <w:top w:val="single" w:color="auto" w:sz="4" w:space="0"/>
              <w:bottom w:val="single" w:color="auto" w:sz="4" w:space="0"/>
            </w:tcBorders>
            <w:noWrap w:val="0"/>
            <w:vAlign w:val="center"/>
          </w:tcPr>
          <w:p w14:paraId="40E6FB1B">
            <w:pPr>
              <w:jc w:val="center"/>
              <w:rPr>
                <w:rFonts w:hint="default"/>
                <w:lang w:val="en-US" w:eastAsia="zh-CN"/>
              </w:rPr>
            </w:pPr>
            <w:r>
              <w:rPr>
                <w:rFonts w:hint="eastAsia"/>
                <w:lang w:val="en-US" w:eastAsia="zh-CN"/>
              </w:rPr>
              <w:t>5</w:t>
            </w:r>
          </w:p>
        </w:tc>
        <w:tc>
          <w:tcPr>
            <w:tcW w:w="1500" w:type="dxa"/>
            <w:tcBorders>
              <w:top w:val="single" w:color="auto" w:sz="4" w:space="0"/>
              <w:bottom w:val="single" w:color="auto" w:sz="4" w:space="0"/>
            </w:tcBorders>
            <w:noWrap w:val="0"/>
            <w:vAlign w:val="center"/>
          </w:tcPr>
          <w:p w14:paraId="067D8B10">
            <w:pPr>
              <w:jc w:val="center"/>
              <w:rPr>
                <w:rFonts w:hint="eastAsia"/>
              </w:rPr>
            </w:pPr>
            <w:r>
              <w:rPr>
                <w:rFonts w:hint="eastAsia"/>
              </w:rPr>
              <w:t>售后服务</w:t>
            </w:r>
          </w:p>
        </w:tc>
        <w:tc>
          <w:tcPr>
            <w:tcW w:w="1081" w:type="dxa"/>
            <w:tcBorders>
              <w:top w:val="single" w:color="auto" w:sz="4" w:space="0"/>
              <w:bottom w:val="single" w:color="auto" w:sz="4" w:space="0"/>
            </w:tcBorders>
            <w:noWrap w:val="0"/>
            <w:vAlign w:val="center"/>
          </w:tcPr>
          <w:p w14:paraId="445FFDB9">
            <w:pPr>
              <w:jc w:val="center"/>
              <w:rPr>
                <w:rFonts w:hint="default"/>
                <w:lang w:val="en-US" w:eastAsia="zh-CN"/>
              </w:rPr>
            </w:pPr>
            <w:r>
              <w:rPr>
                <w:rFonts w:hint="eastAsia"/>
                <w:lang w:val="en-US" w:eastAsia="zh-CN"/>
              </w:rPr>
              <w:t>5分</w:t>
            </w:r>
          </w:p>
        </w:tc>
        <w:tc>
          <w:tcPr>
            <w:tcW w:w="7004" w:type="dxa"/>
            <w:tcBorders>
              <w:top w:val="single" w:color="auto" w:sz="4" w:space="0"/>
              <w:bottom w:val="single" w:color="auto" w:sz="4" w:space="0"/>
            </w:tcBorders>
            <w:noWrap w:val="0"/>
            <w:vAlign w:val="center"/>
          </w:tcPr>
          <w:p w14:paraId="6E8B9CB6">
            <w:pPr>
              <w:spacing w:line="360" w:lineRule="auto"/>
              <w:jc w:val="both"/>
              <w:rPr>
                <w:rFonts w:hint="eastAsia"/>
                <w:lang w:val="en-US" w:eastAsia="zh-CN"/>
              </w:rPr>
            </w:pPr>
            <w:r>
              <w:rPr>
                <w:rFonts w:hint="eastAsia"/>
                <w:lang w:val="en-US" w:eastAsia="zh-CN"/>
              </w:rPr>
              <w:t>根据各投标人提供的售后服务承诺和售后服务方案情况（包括货物出现质量问题时可免费退换；不能及时兑现服务承诺内容而影响买方使用时，卖方应给予的补偿；保修、售后人员配置情况；服务响应时间、到场时间、修复时间、应急处理等售后计划措施等），进行综合评审。以上内容是否描述清晰、完整合理、符合采购人要求，从方案内容完整、专业性、可行性、快捷性、完整性 5 项内容进行评价：每项 0-1分。每项完全满足得 1 分，部分满足得 0.5 分，不满足得 0 分，最高得 5 分。</w:t>
            </w:r>
          </w:p>
        </w:tc>
      </w:tr>
      <w:tr w14:paraId="45BD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trPr>
        <w:tc>
          <w:tcPr>
            <w:tcW w:w="468" w:type="dxa"/>
            <w:tcBorders>
              <w:top w:val="single" w:color="auto" w:sz="4" w:space="0"/>
              <w:bottom w:val="single" w:color="auto" w:sz="4" w:space="0"/>
            </w:tcBorders>
            <w:noWrap w:val="0"/>
            <w:vAlign w:val="center"/>
          </w:tcPr>
          <w:p w14:paraId="5A9DFEBD">
            <w:pPr>
              <w:jc w:val="center"/>
              <w:rPr>
                <w:rFonts w:hint="default"/>
                <w:lang w:val="en-US" w:eastAsia="zh-CN"/>
              </w:rPr>
            </w:pPr>
            <w:r>
              <w:rPr>
                <w:rFonts w:hint="eastAsia"/>
                <w:lang w:val="en-US" w:eastAsia="zh-CN"/>
              </w:rPr>
              <w:t>6</w:t>
            </w:r>
          </w:p>
        </w:tc>
        <w:tc>
          <w:tcPr>
            <w:tcW w:w="1500" w:type="dxa"/>
            <w:tcBorders>
              <w:top w:val="single" w:color="auto" w:sz="4" w:space="0"/>
              <w:bottom w:val="single" w:color="auto" w:sz="4" w:space="0"/>
            </w:tcBorders>
            <w:noWrap w:val="0"/>
            <w:vAlign w:val="center"/>
          </w:tcPr>
          <w:p w14:paraId="6A428D4A">
            <w:pPr>
              <w:jc w:val="center"/>
              <w:rPr>
                <w:rFonts w:hint="eastAsia"/>
                <w:lang w:eastAsia="zh-CN"/>
              </w:rPr>
            </w:pPr>
            <w:r>
              <w:rPr>
                <w:rFonts w:hint="eastAsia"/>
              </w:rPr>
              <w:t>备品备件</w:t>
            </w:r>
          </w:p>
        </w:tc>
        <w:tc>
          <w:tcPr>
            <w:tcW w:w="1081" w:type="dxa"/>
            <w:tcBorders>
              <w:top w:val="single" w:color="auto" w:sz="4" w:space="0"/>
              <w:bottom w:val="single" w:color="auto" w:sz="4" w:space="0"/>
            </w:tcBorders>
            <w:noWrap w:val="0"/>
            <w:vAlign w:val="center"/>
          </w:tcPr>
          <w:p w14:paraId="122E0A31">
            <w:pPr>
              <w:jc w:val="center"/>
              <w:rPr>
                <w:rFonts w:hint="eastAsia"/>
                <w:lang w:val="en-US" w:eastAsia="zh-CN"/>
              </w:rPr>
            </w:pPr>
            <w:r>
              <w:rPr>
                <w:rFonts w:hint="eastAsia"/>
                <w:lang w:val="en-US" w:eastAsia="zh-CN"/>
              </w:rPr>
              <w:t>5分</w:t>
            </w:r>
          </w:p>
        </w:tc>
        <w:tc>
          <w:tcPr>
            <w:tcW w:w="7004" w:type="dxa"/>
            <w:tcBorders>
              <w:top w:val="single" w:color="auto" w:sz="4" w:space="0"/>
              <w:bottom w:val="single" w:color="auto" w:sz="4" w:space="0"/>
            </w:tcBorders>
            <w:noWrap w:val="0"/>
            <w:vAlign w:val="center"/>
          </w:tcPr>
          <w:p w14:paraId="48BC6772">
            <w:pPr>
              <w:spacing w:line="360" w:lineRule="auto"/>
              <w:jc w:val="both"/>
              <w:rPr>
                <w:rFonts w:hint="eastAsia"/>
                <w:lang w:val="en-US" w:eastAsia="zh-CN"/>
              </w:rPr>
            </w:pPr>
            <w:r>
              <w:rPr>
                <w:rFonts w:hint="eastAsia"/>
                <w:lang w:val="en-US" w:eastAsia="zh-CN"/>
              </w:rPr>
              <w:t>有详细的备品备件库（提供备品备件清单），当有紧急情况发生时， 可保障采购人设备的正常使用，（备品备件清单包括但不限于：①品目②规格③种类④数量⑤零配件的合法来源⑥供应保障方案），根据以上每项内容得0-1分，本项共计5分，未提供不得分。</w:t>
            </w:r>
          </w:p>
        </w:tc>
      </w:tr>
      <w:tr w14:paraId="291A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trPr>
        <w:tc>
          <w:tcPr>
            <w:tcW w:w="468" w:type="dxa"/>
            <w:tcBorders>
              <w:top w:val="single" w:color="auto" w:sz="4" w:space="0"/>
              <w:bottom w:val="single" w:color="auto" w:sz="4" w:space="0"/>
            </w:tcBorders>
            <w:noWrap w:val="0"/>
            <w:vAlign w:val="center"/>
          </w:tcPr>
          <w:p w14:paraId="5E412C9D">
            <w:pPr>
              <w:jc w:val="center"/>
              <w:rPr>
                <w:rFonts w:hint="default"/>
                <w:lang w:val="en-US" w:eastAsia="zh-CN"/>
              </w:rPr>
            </w:pPr>
            <w:r>
              <w:rPr>
                <w:rFonts w:hint="eastAsia"/>
                <w:lang w:val="en-US" w:eastAsia="zh-CN"/>
              </w:rPr>
              <w:t>7</w:t>
            </w:r>
          </w:p>
        </w:tc>
        <w:tc>
          <w:tcPr>
            <w:tcW w:w="1500" w:type="dxa"/>
            <w:tcBorders>
              <w:top w:val="single" w:color="auto" w:sz="4" w:space="0"/>
              <w:bottom w:val="single" w:color="auto" w:sz="4" w:space="0"/>
            </w:tcBorders>
            <w:noWrap w:val="0"/>
            <w:vAlign w:val="center"/>
          </w:tcPr>
          <w:p w14:paraId="6D2E9BDE">
            <w:pPr>
              <w:jc w:val="center"/>
              <w:rPr>
                <w:rFonts w:hint="eastAsia"/>
                <w:lang w:eastAsia="zh-CN"/>
              </w:rPr>
            </w:pPr>
            <w:r>
              <w:rPr>
                <w:rFonts w:hint="eastAsia"/>
                <w:lang w:val="en-US" w:eastAsia="zh-CN"/>
              </w:rPr>
              <w:t>质保期外服务计划</w:t>
            </w:r>
          </w:p>
        </w:tc>
        <w:tc>
          <w:tcPr>
            <w:tcW w:w="1081" w:type="dxa"/>
            <w:tcBorders>
              <w:top w:val="single" w:color="auto" w:sz="4" w:space="0"/>
              <w:bottom w:val="single" w:color="auto" w:sz="4" w:space="0"/>
            </w:tcBorders>
            <w:noWrap w:val="0"/>
            <w:vAlign w:val="center"/>
          </w:tcPr>
          <w:p w14:paraId="514DEBA9">
            <w:pPr>
              <w:jc w:val="center"/>
              <w:rPr>
                <w:rFonts w:hint="eastAsia"/>
                <w:lang w:val="en-US" w:eastAsia="zh-CN"/>
              </w:rPr>
            </w:pPr>
            <w:r>
              <w:rPr>
                <w:rFonts w:hint="eastAsia"/>
                <w:lang w:val="en-US" w:eastAsia="zh-CN"/>
              </w:rPr>
              <w:t>5分</w:t>
            </w:r>
          </w:p>
        </w:tc>
        <w:tc>
          <w:tcPr>
            <w:tcW w:w="7004" w:type="dxa"/>
            <w:tcBorders>
              <w:top w:val="single" w:color="auto" w:sz="4" w:space="0"/>
              <w:bottom w:val="single" w:color="auto" w:sz="4" w:space="0"/>
            </w:tcBorders>
            <w:noWrap w:val="0"/>
            <w:vAlign w:val="center"/>
          </w:tcPr>
          <w:p w14:paraId="5B88BBB7">
            <w:pPr>
              <w:spacing w:line="360" w:lineRule="auto"/>
              <w:jc w:val="both"/>
              <w:rPr>
                <w:rFonts w:hint="eastAsia"/>
                <w:lang w:val="en-US" w:eastAsia="zh-CN"/>
              </w:rPr>
            </w:pPr>
            <w:r>
              <w:rPr>
                <w:rFonts w:hint="eastAsia"/>
                <w:lang w:val="en-US" w:eastAsia="zh-CN"/>
              </w:rPr>
              <w:t>项目质保期外服务计划（内容包括但不限于质保期外的投标时间、备品保障供应、巡检服务、软件升级（如有）或提供现场技术支持服务（包含电话、远程等其他方式）等）本项得0-5分，未提供不得分。</w:t>
            </w:r>
          </w:p>
        </w:tc>
      </w:tr>
    </w:tbl>
    <w:p w14:paraId="54B915BB">
      <w:pPr>
        <w:keepLines w:val="0"/>
        <w:pageBreakBefore w:val="0"/>
        <w:kinsoku/>
        <w:wordWrap/>
        <w:overflowPunct/>
        <w:topLinePunct w:val="0"/>
        <w:bidi w:val="0"/>
        <w:rPr>
          <w:sz w:val="21"/>
          <w:szCs w:val="21"/>
        </w:rPr>
      </w:pPr>
    </w:p>
    <w:p w14:paraId="4C1B0799">
      <w:pPr>
        <w:keepLines w:val="0"/>
        <w:pageBreakBefore w:val="0"/>
        <w:kinsoku/>
        <w:wordWrap/>
        <w:overflowPunct/>
        <w:topLinePunct w:val="0"/>
        <w:bidi w:val="0"/>
        <w:rPr>
          <w:rFonts w:hint="eastAsia" w:eastAsia="宋体"/>
          <w:sz w:val="21"/>
          <w:szCs w:val="21"/>
          <w:lang w:val="en-US" w:eastAsia="zh-CN"/>
        </w:rPr>
      </w:pPr>
      <w:r>
        <w:rPr>
          <w:rFonts w:hint="eastAsia" w:eastAsia="宋体"/>
          <w:sz w:val="21"/>
          <w:szCs w:val="21"/>
          <w:lang w:val="en-US" w:eastAsia="zh-CN"/>
        </w:rPr>
        <w:t>.</w:t>
      </w:r>
    </w:p>
    <w:p w14:paraId="4F8B38B4">
      <w:pPr>
        <w:keepLines w:val="0"/>
        <w:pageBreakBefore w:val="0"/>
        <w:kinsoku/>
        <w:wordWrap/>
        <w:overflowPunct/>
        <w:topLinePunct w:val="0"/>
        <w:bidi w:val="0"/>
        <w:rPr>
          <w:rFonts w:hint="eastAsia" w:eastAsia="宋体"/>
          <w:sz w:val="21"/>
          <w:szCs w:val="21"/>
          <w:lang w:val="en-US" w:eastAsia="zh-CN"/>
        </w:rPr>
      </w:pPr>
    </w:p>
    <w:p w14:paraId="6CEB4FE8">
      <w:pPr>
        <w:keepLines w:val="0"/>
        <w:pageBreakBefore w:val="0"/>
        <w:kinsoku/>
        <w:wordWrap/>
        <w:overflowPunct/>
        <w:topLinePunct w:val="0"/>
        <w:bidi w:val="0"/>
        <w:rPr>
          <w:rFonts w:hint="eastAsia" w:eastAsia="宋体"/>
          <w:sz w:val="21"/>
          <w:szCs w:val="21"/>
          <w:lang w:val="en-US" w:eastAsia="zh-CN"/>
        </w:rPr>
        <w:sectPr>
          <w:footerReference r:id="rId8" w:type="default"/>
          <w:pgSz w:w="11906" w:h="16839"/>
          <w:pgMar w:top="1440" w:right="1080" w:bottom="1440" w:left="1080" w:header="0" w:footer="989" w:gutter="0"/>
          <w:pgNumType w:fmt="decimal"/>
          <w:cols w:space="720" w:num="1"/>
        </w:sectPr>
      </w:pPr>
    </w:p>
    <w:p w14:paraId="047176FF">
      <w:pPr>
        <w:keepLines w:val="0"/>
        <w:pageBreakBefore w:val="0"/>
        <w:kinsoku/>
        <w:wordWrap/>
        <w:overflowPunct/>
        <w:topLinePunct w:val="0"/>
        <w:bidi w:val="0"/>
        <w:spacing w:before="182" w:line="228" w:lineRule="auto"/>
        <w:jc w:val="center"/>
        <w:rPr>
          <w:rFonts w:ascii="仿宋" w:hAnsi="仿宋" w:eastAsia="仿宋" w:cs="仿宋"/>
          <w:sz w:val="31"/>
          <w:szCs w:val="31"/>
          <w:highlight w:val="none"/>
        </w:rPr>
      </w:pPr>
      <w:r>
        <w:rPr>
          <w:rFonts w:ascii="仿宋" w:hAnsi="仿宋" w:eastAsia="仿宋" w:cs="仿宋"/>
          <w:b/>
          <w:bCs/>
          <w:spacing w:val="-2"/>
          <w:sz w:val="31"/>
          <w:szCs w:val="31"/>
          <w:highlight w:val="none"/>
        </w:rPr>
        <w:t>第四章</w:t>
      </w:r>
      <w:r>
        <w:rPr>
          <w:rFonts w:ascii="仿宋" w:hAnsi="仿宋" w:eastAsia="仿宋" w:cs="仿宋"/>
          <w:spacing w:val="21"/>
          <w:sz w:val="31"/>
          <w:szCs w:val="31"/>
          <w:highlight w:val="none"/>
        </w:rPr>
        <w:t xml:space="preserve">  </w:t>
      </w:r>
      <w:r>
        <w:rPr>
          <w:rFonts w:ascii="仿宋" w:hAnsi="仿宋" w:eastAsia="仿宋" w:cs="仿宋"/>
          <w:b/>
          <w:bCs/>
          <w:spacing w:val="-2"/>
          <w:sz w:val="31"/>
          <w:szCs w:val="31"/>
          <w:highlight w:val="none"/>
        </w:rPr>
        <w:t>合同条款</w:t>
      </w:r>
    </w:p>
    <w:p w14:paraId="1CD0F6B0">
      <w:pPr>
        <w:keepLines w:val="0"/>
        <w:pageBreakBefore w:val="0"/>
        <w:kinsoku/>
        <w:wordWrap/>
        <w:overflowPunct/>
        <w:topLinePunct w:val="0"/>
        <w:bidi w:val="0"/>
        <w:jc w:val="center"/>
        <w:rPr>
          <w:rFonts w:hint="eastAsia" w:ascii="宋体" w:hAnsi="宋体" w:eastAsia="宋体" w:cs="宋体"/>
          <w:b/>
          <w:bCs/>
          <w:sz w:val="48"/>
          <w:szCs w:val="56"/>
        </w:rPr>
      </w:pPr>
      <w:r>
        <w:rPr>
          <w:rFonts w:hint="eastAsia" w:ascii="宋体" w:hAnsi="宋体" w:eastAsia="宋体" w:cs="宋体"/>
          <w:b/>
          <w:bCs/>
          <w:sz w:val="48"/>
          <w:szCs w:val="56"/>
        </w:rPr>
        <w:t>政府采购货物买卖合同</w:t>
      </w:r>
    </w:p>
    <w:p w14:paraId="5312DB19">
      <w:pPr>
        <w:keepLines w:val="0"/>
        <w:pageBreakBefore w:val="0"/>
        <w:kinsoku/>
        <w:wordWrap/>
        <w:overflowPunct/>
        <w:topLinePunct w:val="0"/>
        <w:bidi w:val="0"/>
        <w:jc w:val="center"/>
        <w:rPr>
          <w:rFonts w:hint="eastAsia" w:ascii="宋体" w:hAnsi="宋体" w:eastAsia="宋体" w:cs="宋体"/>
          <w:b/>
          <w:bCs/>
          <w:sz w:val="48"/>
          <w:szCs w:val="56"/>
        </w:rPr>
      </w:pPr>
      <w:r>
        <w:rPr>
          <w:rFonts w:hint="eastAsia" w:ascii="宋体" w:hAnsi="宋体" w:eastAsia="宋体" w:cs="宋体"/>
          <w:b/>
          <w:bCs/>
          <w:sz w:val="48"/>
          <w:szCs w:val="56"/>
        </w:rPr>
        <w:t>(试行)</w:t>
      </w:r>
    </w:p>
    <w:p w14:paraId="5075B079">
      <w:pPr>
        <w:keepLines w:val="0"/>
        <w:pageBreakBefore w:val="0"/>
        <w:kinsoku/>
        <w:wordWrap/>
        <w:overflowPunct/>
        <w:topLinePunct w:val="0"/>
        <w:bidi w:val="0"/>
        <w:jc w:val="center"/>
        <w:rPr>
          <w:rFonts w:hint="eastAsia" w:ascii="宋体" w:hAnsi="宋体" w:eastAsia="宋体" w:cs="宋体"/>
          <w:b/>
          <w:bCs/>
          <w:sz w:val="48"/>
          <w:szCs w:val="56"/>
        </w:rPr>
      </w:pPr>
    </w:p>
    <w:p w14:paraId="55060B1C">
      <w:pPr>
        <w:keepLines w:val="0"/>
        <w:pageBreakBefore w:val="0"/>
        <w:kinsoku/>
        <w:wordWrap/>
        <w:overflowPunct/>
        <w:topLinePunct w:val="0"/>
        <w:bidi w:val="0"/>
        <w:jc w:val="center"/>
        <w:rPr>
          <w:rFonts w:hint="eastAsia" w:ascii="宋体" w:hAnsi="宋体" w:eastAsia="宋体" w:cs="宋体"/>
          <w:b/>
          <w:bCs/>
          <w:sz w:val="48"/>
          <w:szCs w:val="56"/>
        </w:rPr>
      </w:pPr>
    </w:p>
    <w:p w14:paraId="1BB5F976">
      <w:pPr>
        <w:keepLines w:val="0"/>
        <w:pageBreakBefore w:val="0"/>
        <w:kinsoku/>
        <w:wordWrap/>
        <w:overflowPunct/>
        <w:topLinePunct w:val="0"/>
        <w:bidi w:val="0"/>
        <w:jc w:val="center"/>
        <w:rPr>
          <w:rFonts w:hint="eastAsia" w:ascii="宋体" w:hAnsi="宋体" w:eastAsia="宋体" w:cs="宋体"/>
          <w:b/>
          <w:bCs/>
          <w:sz w:val="48"/>
          <w:szCs w:val="56"/>
        </w:rPr>
      </w:pPr>
    </w:p>
    <w:p w14:paraId="45F4E407">
      <w:pPr>
        <w:keepLines w:val="0"/>
        <w:pageBreakBefore w:val="0"/>
        <w:kinsoku/>
        <w:wordWrap/>
        <w:overflowPunct/>
        <w:topLinePunct w:val="0"/>
        <w:bidi w:val="0"/>
        <w:jc w:val="center"/>
        <w:rPr>
          <w:rFonts w:hint="eastAsia" w:ascii="宋体" w:hAnsi="宋体" w:eastAsia="宋体" w:cs="宋体"/>
          <w:b/>
          <w:bCs/>
          <w:sz w:val="48"/>
          <w:szCs w:val="56"/>
        </w:rPr>
      </w:pPr>
    </w:p>
    <w:p w14:paraId="3992807A">
      <w:pPr>
        <w:keepLines w:val="0"/>
        <w:pageBreakBefore w:val="0"/>
        <w:kinsoku/>
        <w:wordWrap/>
        <w:overflowPunct/>
        <w:topLinePunct w:val="0"/>
        <w:bidi w:val="0"/>
        <w:jc w:val="center"/>
        <w:rPr>
          <w:rFonts w:hint="eastAsia" w:ascii="宋体" w:hAnsi="宋体" w:eastAsia="宋体" w:cs="宋体"/>
          <w:b/>
          <w:bCs/>
          <w:sz w:val="48"/>
          <w:szCs w:val="56"/>
        </w:rPr>
      </w:pPr>
    </w:p>
    <w:p w14:paraId="159E5BFA">
      <w:pPr>
        <w:keepLines w:val="0"/>
        <w:pageBreakBefore w:val="0"/>
        <w:kinsoku/>
        <w:wordWrap/>
        <w:overflowPunct/>
        <w:topLinePunct w:val="0"/>
        <w:bidi w:val="0"/>
        <w:jc w:val="center"/>
        <w:rPr>
          <w:rFonts w:hint="eastAsia" w:ascii="宋体" w:hAnsi="宋体" w:eastAsia="宋体" w:cs="宋体"/>
          <w:b/>
          <w:bCs/>
          <w:sz w:val="48"/>
          <w:szCs w:val="56"/>
        </w:rPr>
      </w:pPr>
    </w:p>
    <w:p w14:paraId="3B7C5C19">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83C4C37">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24090BD0">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27F1D1BE">
      <w:pPr>
        <w:keepLines w:val="0"/>
        <w:pageBreakBefore w:val="0"/>
        <w:kinsoku/>
        <w:wordWrap/>
        <w:overflowPunct/>
        <w:topLinePunct w:val="0"/>
        <w:bidi w:val="0"/>
        <w:rPr>
          <w:rFonts w:hint="eastAsia" w:ascii="宋体" w:hAnsi="宋体" w:eastAsia="宋体" w:cs="宋体"/>
          <w:sz w:val="28"/>
          <w:szCs w:val="36"/>
          <w:u w:val="single"/>
          <w:lang w:val="en-US"/>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5CFB620C">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7ED58690">
      <w:pPr>
        <w:keepLines w:val="0"/>
        <w:pageBreakBefore w:val="0"/>
        <w:kinsoku/>
        <w:wordWrap/>
        <w:overflowPunct/>
        <w:topLinePunct w:val="0"/>
        <w:bidi w:val="0"/>
        <w:rPr>
          <w:rFonts w:hint="eastAsia" w:ascii="宋体" w:hAnsi="宋体" w:eastAsia="宋体" w:cs="宋体"/>
          <w:sz w:val="28"/>
          <w:szCs w:val="36"/>
          <w:u w:val="single"/>
          <w:lang w:val="en-US" w:eastAsia="zh-CN"/>
        </w:rPr>
      </w:pPr>
    </w:p>
    <w:p w14:paraId="7DA14B0A">
      <w:pPr>
        <w:keepLines w:val="0"/>
        <w:pageBreakBefore w:val="0"/>
        <w:kinsoku/>
        <w:wordWrap/>
        <w:overflowPunct/>
        <w:topLinePunct w:val="0"/>
        <w:bidi w:val="0"/>
        <w:rPr>
          <w:rFonts w:hint="eastAsia"/>
          <w:sz w:val="28"/>
          <w:szCs w:val="36"/>
          <w:u w:val="single"/>
          <w:lang w:val="en-US" w:eastAsia="zh-CN"/>
        </w:rPr>
      </w:pPr>
    </w:p>
    <w:p w14:paraId="5F6021DE">
      <w:pPr>
        <w:keepLines w:val="0"/>
        <w:pageBreakBefore w:val="0"/>
        <w:kinsoku/>
        <w:wordWrap/>
        <w:overflowPunct/>
        <w:topLinePunct w:val="0"/>
        <w:bidi w:val="0"/>
        <w:rPr>
          <w:rFonts w:hint="eastAsia"/>
          <w:sz w:val="28"/>
          <w:szCs w:val="36"/>
          <w:u w:val="single"/>
          <w:lang w:val="en-US" w:eastAsia="zh-CN"/>
        </w:rPr>
      </w:pPr>
    </w:p>
    <w:p w14:paraId="291A5DDB">
      <w:pPr>
        <w:keepLines w:val="0"/>
        <w:pageBreakBefore w:val="0"/>
        <w:kinsoku/>
        <w:wordWrap/>
        <w:overflowPunct/>
        <w:topLinePunct w:val="0"/>
        <w:bidi w:val="0"/>
        <w:rPr>
          <w:rFonts w:hint="eastAsia"/>
          <w:sz w:val="28"/>
          <w:szCs w:val="36"/>
          <w:u w:val="single"/>
          <w:lang w:val="en-US" w:eastAsia="zh-CN"/>
        </w:rPr>
      </w:pPr>
    </w:p>
    <w:p w14:paraId="40BCFE46">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5E24D05C">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28A6BE18">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28F48EE1">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610B38DD">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72CD411B">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5B9FC0D">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7C3B0D98">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399F88D4">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68590217">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r>
        <w:rPr>
          <w:rFonts w:hint="eastAsia" w:ascii="黑体" w:hAnsi="黑体" w:eastAsia="黑体" w:cs="黑体"/>
          <w:sz w:val="44"/>
          <w:szCs w:val="52"/>
          <w:u w:val="none"/>
          <w:lang w:val="en-US" w:eastAsia="zh-CN"/>
        </w:rPr>
        <w:t>使用说明</w:t>
      </w:r>
    </w:p>
    <w:p w14:paraId="6090161A">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378239E">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1.本合同标准文本适用于购买现成货物的采购项目，不包括需要供应商定制开发、创新研发的货物采购项目。</w:t>
      </w:r>
    </w:p>
    <w:p w14:paraId="2956C70C">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2.本合同标准文本为政府采购货物买卖合同编制提供参考，可以结合采购项目具体情况，对文本做必要的调整修订后使用。</w:t>
      </w:r>
    </w:p>
    <w:p w14:paraId="463C9D86">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40"/>
          <w:u w:val="none"/>
          <w:lang w:val="en-US" w:eastAsia="zh-CN"/>
        </w:rPr>
        <w:t>3.本合同标准文本各条款中，如涉及填写多家供应商、制造商，多种采购标的、分包主要内容等信息的，可根据采购项目具体情况添加信息项。</w:t>
      </w:r>
    </w:p>
    <w:p w14:paraId="5E63740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40BF30D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399C8F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(采购人、受采购人委托签订合同的单位或采购文件约定的合同甲方)</w:t>
      </w:r>
    </w:p>
    <w:p w14:paraId="0503595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乙方1(全称)：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w:t>
      </w:r>
    </w:p>
    <w:p w14:paraId="53CE9E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乙方2(全称)：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5DA374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乙方3(全称)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6E2440A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中华人民共和国民法典》、《中华人民共和国政府采购法》等有关的法律法规，以及本采购项目的招标/谈判文件等采购文件、乙方的《投标(投标)文件》及《中标(成交)通知书》，甲乙双方同意签订本合同。具体情况及要求如下:</w:t>
      </w:r>
    </w:p>
    <w:p w14:paraId="0243B2E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1.项目信息</w:t>
      </w:r>
    </w:p>
    <w:p w14:paraId="7AC54B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(1)采购项目名称:</w:t>
      </w:r>
      <w:r>
        <w:rPr>
          <w:rFonts w:hint="eastAsia" w:ascii="仿宋" w:hAnsi="仿宋" w:eastAsia="仿宋" w:cs="仿宋"/>
          <w:sz w:val="24"/>
          <w:szCs w:val="24"/>
          <w:u w:val="single"/>
          <w:lang w:val="en-US" w:eastAsia="zh-CN"/>
        </w:rPr>
        <w:t xml:space="preserve">                                </w:t>
      </w:r>
    </w:p>
    <w:p w14:paraId="536E058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采购项目编号:</w:t>
      </w:r>
      <w:r>
        <w:rPr>
          <w:rFonts w:hint="eastAsia" w:ascii="仿宋" w:hAnsi="仿宋" w:eastAsia="仿宋" w:cs="仿宋"/>
          <w:sz w:val="24"/>
          <w:szCs w:val="24"/>
          <w:u w:val="single"/>
          <w:lang w:val="en-US" w:eastAsia="zh-CN"/>
        </w:rPr>
        <w:t xml:space="preserve">                                   </w:t>
      </w:r>
    </w:p>
    <w:p w14:paraId="7DD0F9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(2)采购计划编号:</w:t>
      </w:r>
      <w:r>
        <w:rPr>
          <w:rFonts w:hint="eastAsia" w:ascii="仿宋" w:hAnsi="仿宋" w:eastAsia="仿宋" w:cs="仿宋"/>
          <w:sz w:val="24"/>
          <w:szCs w:val="24"/>
          <w:u w:val="single"/>
          <w:lang w:val="en-US" w:eastAsia="zh-CN"/>
        </w:rPr>
        <w:t xml:space="preserve">                                </w:t>
      </w:r>
    </w:p>
    <w:p w14:paraId="6562CF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(3)项目内容:</w:t>
      </w:r>
    </w:p>
    <w:p w14:paraId="0C4AFD3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采购标的及数量(台/套/个/架/组等):</w:t>
      </w:r>
      <w:r>
        <w:rPr>
          <w:rFonts w:hint="eastAsia" w:ascii="仿宋" w:hAnsi="仿宋" w:eastAsia="仿宋" w:cs="仿宋"/>
          <w:sz w:val="24"/>
          <w:szCs w:val="24"/>
          <w:u w:val="single"/>
          <w:lang w:val="en-US" w:eastAsia="zh-CN"/>
        </w:rPr>
        <w:t xml:space="preserve">                 </w:t>
      </w:r>
    </w:p>
    <w:p w14:paraId="0372D01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7C4C94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采购标的的技术要求、商务要求具体见附件。</w:t>
      </w:r>
    </w:p>
    <w:p w14:paraId="506D9D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566F2F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标的名称：</w:t>
      </w:r>
      <w:r>
        <w:rPr>
          <w:rFonts w:hint="eastAsia" w:ascii="仿宋" w:hAnsi="仿宋" w:eastAsia="仿宋" w:cs="仿宋"/>
          <w:sz w:val="24"/>
          <w:szCs w:val="24"/>
          <w:u w:val="single"/>
          <w:lang w:val="en-US" w:eastAsia="zh-CN"/>
        </w:rPr>
        <w:t xml:space="preserve">                     </w:t>
      </w:r>
    </w:p>
    <w:p w14:paraId="58ED1F3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376779C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1259644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2F7345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(注:关键部件是指财政部会同有关部门发布的政府采购需求标准规定的需要通过国家有关部门指定的测评机构开展的安全可靠测评的软硬件，如CPU芯片、操作系统、数据库等。)</w:t>
      </w:r>
    </w:p>
    <w:p w14:paraId="509258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②涉及车辆采购，请填写是否属于新能源汽车:</w:t>
      </w:r>
    </w:p>
    <w:p w14:paraId="7A4B970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□是，《政府采购品品分类目录》底级品目名称: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2D7223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78E040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（4）政府采购组织形式:□政府集中采购  □部门集中采购   □分散采购         (5)政府采购方式:□公开招标 □邀请招标 □竞争性谈判 □竞争性磋商</w:t>
      </w:r>
    </w:p>
    <w:p w14:paraId="2E8943A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□询价 □单一来源 □框架协议 □其他:</w:t>
      </w:r>
      <w:r>
        <w:rPr>
          <w:rFonts w:hint="eastAsia" w:ascii="仿宋" w:hAnsi="仿宋" w:eastAsia="仿宋" w:cs="仿宋"/>
          <w:sz w:val="24"/>
          <w:szCs w:val="24"/>
          <w:u w:val="single"/>
          <w:lang w:val="en-US" w:eastAsia="zh-CN"/>
        </w:rPr>
        <w:t xml:space="preserve">        </w:t>
      </w:r>
    </w:p>
    <w:p w14:paraId="00DAD0E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(注:在框架协议采购的第二阶段，可选择使用该合同文本)</w:t>
      </w:r>
    </w:p>
    <w:p w14:paraId="146D232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(6)中标(成交)采购标的制造商是否为中小企业:□是    □否</w:t>
      </w:r>
    </w:p>
    <w:p w14:paraId="47D23E3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本合同是否为专门面向中小企业的采购合同(中小企业预留合同):□是  □否</w:t>
      </w:r>
    </w:p>
    <w:p w14:paraId="095C520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若本项目不专门面向中小企业采购，是否给予小微企业评审优惠:□是  □否</w:t>
      </w:r>
    </w:p>
    <w:p w14:paraId="6682C13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中标(成交)采购标的制造商是否为残疾人福利性单位:□是  □否</w:t>
      </w:r>
    </w:p>
    <w:p w14:paraId="5EB7642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中标(成交)采购标的制造商是否为监狱企业:口是  □否</w:t>
      </w:r>
    </w:p>
    <w:p w14:paraId="39A930E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(7)合同是否分包:□是     □否</w:t>
      </w:r>
    </w:p>
    <w:p w14:paraId="630674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分包主要内容:</w:t>
      </w:r>
      <w:r>
        <w:rPr>
          <w:rFonts w:hint="eastAsia" w:ascii="仿宋" w:hAnsi="仿宋" w:eastAsia="仿宋" w:cs="仿宋"/>
          <w:sz w:val="24"/>
          <w:szCs w:val="24"/>
          <w:u w:val="single"/>
          <w:lang w:val="en-US" w:eastAsia="zh-CN"/>
        </w:rPr>
        <w:t xml:space="preserve">                      </w:t>
      </w:r>
    </w:p>
    <w:p w14:paraId="229D946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分包供应商/制造商名称(如供应商和制造商不同，请分别填写):</w:t>
      </w:r>
    </w:p>
    <w:p w14:paraId="7D879CC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20DB6A0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分包供应商/制造商类型(如果供应商和制造商不同，只填写制造商类型):</w:t>
      </w:r>
    </w:p>
    <w:p w14:paraId="79BA4E9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□大型企业    □中型企业    □小微型企业</w:t>
      </w:r>
    </w:p>
    <w:p w14:paraId="6DB7C6A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□残疾人福利性单位   □监狱企业   □其他</w:t>
      </w:r>
    </w:p>
    <w:p w14:paraId="3F6FF60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(8)中标(成交)供应商是否为外商投资企业:□是    □否</w:t>
      </w:r>
    </w:p>
    <w:p w14:paraId="1671FEB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外商投资企业类型:□全部由外国投资者投资  □部分由外国投资者投资</w:t>
      </w:r>
    </w:p>
    <w:p w14:paraId="3C5CC3A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（9）是否涉及进口产品:</w:t>
      </w:r>
    </w:p>
    <w:p w14:paraId="5C2C46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□是，《政府采购品目分类目录》底级品目名称: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4A8CE72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960" w:firstLineChars="4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748CD8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75EE3EA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(10)是否涉及节能产品:</w:t>
      </w:r>
    </w:p>
    <w:p w14:paraId="2E3B5A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口是，《节能产品政府采购品目清单》的底级品目名称:</w:t>
      </w:r>
      <w:r>
        <w:rPr>
          <w:rFonts w:hint="eastAsia" w:ascii="仿宋" w:hAnsi="仿宋" w:eastAsia="仿宋" w:cs="仿宋"/>
          <w:sz w:val="24"/>
          <w:szCs w:val="24"/>
          <w:u w:val="single"/>
          <w:lang w:val="en-US" w:eastAsia="zh-CN"/>
        </w:rPr>
        <w:t xml:space="preserve">        </w:t>
      </w:r>
    </w:p>
    <w:p w14:paraId="2C2DBEB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5948274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55ECE13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是否涉及环境标志产品:</w:t>
      </w:r>
    </w:p>
    <w:p w14:paraId="49F7EC2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口是，《环境标志产品政府采购品目清单》的底级品目名称:</w:t>
      </w:r>
      <w:r>
        <w:rPr>
          <w:rFonts w:hint="eastAsia" w:ascii="仿宋" w:hAnsi="仿宋" w:eastAsia="仿宋" w:cs="仿宋"/>
          <w:sz w:val="24"/>
          <w:szCs w:val="24"/>
          <w:u w:val="single"/>
          <w:lang w:val="en-US" w:eastAsia="zh-CN"/>
        </w:rPr>
        <w:t xml:space="preserve">        </w:t>
      </w:r>
    </w:p>
    <w:p w14:paraId="65CC7F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7528A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4908488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是否涉及绿色产品:</w:t>
      </w:r>
    </w:p>
    <w:p w14:paraId="7EEBC9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□是，绿色产品政府采购相关政策确定的底级品目名称:</w:t>
      </w:r>
      <w:r>
        <w:rPr>
          <w:rFonts w:hint="eastAsia" w:ascii="仿宋" w:hAnsi="仿宋" w:eastAsia="仿宋" w:cs="仿宋"/>
          <w:sz w:val="24"/>
          <w:szCs w:val="24"/>
          <w:u w:val="single"/>
          <w:lang w:val="en-US" w:eastAsia="zh-CN"/>
        </w:rPr>
        <w:t xml:space="preserve">             </w:t>
      </w:r>
    </w:p>
    <w:p w14:paraId="2EB839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□强制采购      □优先采购</w:t>
      </w:r>
    </w:p>
    <w:p w14:paraId="14DEF5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3DFD0F6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(11)涉及商品包装和快递包装的，是否参考《商品包装政府采购需求标准(试行)》、《快递包装政府采购需求标准(试行)》明确产品及相关快递服务的具体包装要求:</w:t>
      </w:r>
    </w:p>
    <w:p w14:paraId="03750F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          □否             □不涉及</w:t>
      </w:r>
    </w:p>
    <w:p w14:paraId="6B6F1A2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2.合同金额</w:t>
      </w:r>
    </w:p>
    <w:p w14:paraId="2B4D4E9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(1)合同金额小写:</w:t>
      </w:r>
      <w:r>
        <w:rPr>
          <w:rFonts w:hint="eastAsia" w:ascii="仿宋" w:hAnsi="仿宋" w:eastAsia="仿宋" w:cs="仿宋"/>
          <w:sz w:val="24"/>
          <w:szCs w:val="24"/>
          <w:u w:val="single"/>
          <w:lang w:val="en-US" w:eastAsia="zh-CN"/>
        </w:rPr>
        <w:t xml:space="preserve">                   </w:t>
      </w:r>
    </w:p>
    <w:p w14:paraId="5E735F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920" w:firstLineChars="8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1A5D51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分包金额(如有)小写:</w:t>
      </w:r>
      <w:r>
        <w:rPr>
          <w:rFonts w:hint="eastAsia" w:ascii="仿宋" w:hAnsi="仿宋" w:eastAsia="仿宋" w:cs="仿宋"/>
          <w:sz w:val="24"/>
          <w:szCs w:val="24"/>
          <w:u w:val="single"/>
          <w:lang w:val="en-US" w:eastAsia="zh-CN"/>
        </w:rPr>
        <w:t xml:space="preserve">              </w:t>
      </w:r>
    </w:p>
    <w:p w14:paraId="6C80FC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60" w:firstLineChars="9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687EEF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(注:固定单价合同应填写单价和最高限价)</w:t>
      </w:r>
    </w:p>
    <w:p w14:paraId="3ED65A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(2)合同定价方式(采用组合定价方式的，可以勾选多项):</w:t>
      </w:r>
    </w:p>
    <w:p w14:paraId="5D6CA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□固定总价 □固定单价 □固定费率 □成本补偿 □绩效激励 □其他</w:t>
      </w:r>
      <w:r>
        <w:rPr>
          <w:rFonts w:hint="eastAsia" w:ascii="仿宋" w:hAnsi="仿宋" w:eastAsia="仿宋" w:cs="仿宋"/>
          <w:sz w:val="24"/>
          <w:szCs w:val="24"/>
          <w:u w:val="single"/>
          <w:lang w:val="en-US" w:eastAsia="zh-CN"/>
        </w:rPr>
        <w:t xml:space="preserve">    </w:t>
      </w:r>
    </w:p>
    <w:p w14:paraId="2996FC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(3)付款方式(按项目实际勾选填写):</w:t>
      </w:r>
    </w:p>
    <w:p w14:paraId="5A3FA1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□全额付款:</w:t>
      </w:r>
      <w:r>
        <w:rPr>
          <w:rFonts w:hint="eastAsia" w:ascii="仿宋" w:hAnsi="仿宋" w:eastAsia="仿宋" w:cs="仿宋"/>
          <w:sz w:val="24"/>
          <w:szCs w:val="24"/>
          <w:u w:val="single"/>
          <w:lang w:val="en-US" w:eastAsia="zh-CN"/>
        </w:rPr>
        <w:t xml:space="preserve">  (应明确一次性支付合同款项的条件)     </w:t>
      </w:r>
    </w:p>
    <w:p w14:paraId="33568D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□分期付款:</w:t>
      </w:r>
      <w:r>
        <w:rPr>
          <w:rFonts w:hint="eastAsia" w:ascii="仿宋" w:hAnsi="仿宋" w:eastAsia="仿宋" w:cs="仿宋"/>
          <w:sz w:val="24"/>
          <w:szCs w:val="24"/>
          <w:u w:val="single"/>
          <w:lang w:val="en-US" w:eastAsia="zh-CN"/>
        </w:rPr>
        <w:t>(应明确分期支付合同款项的各期比例和支付条件，各期支付条件应与分期履约验收情况挂钩)</w:t>
      </w:r>
      <w:r>
        <w:rPr>
          <w:rFonts w:hint="eastAsia" w:ascii="仿宋" w:hAnsi="仿宋" w:eastAsia="仿宋" w:cs="仿宋"/>
          <w:sz w:val="24"/>
          <w:szCs w:val="24"/>
          <w:lang w:val="en-US" w:eastAsia="zh-CN"/>
        </w:rPr>
        <w:t>，其中涉及预付款的:</w:t>
      </w:r>
      <w:r>
        <w:rPr>
          <w:rFonts w:hint="eastAsia" w:ascii="仿宋" w:hAnsi="仿宋" w:eastAsia="仿宋" w:cs="仿宋"/>
          <w:sz w:val="24"/>
          <w:szCs w:val="24"/>
          <w:u w:val="single"/>
          <w:lang w:val="en-US" w:eastAsia="zh-CN"/>
        </w:rPr>
        <w:t xml:space="preserve">(应明确预付款的支付比例和支付条件)  </w:t>
      </w:r>
    </w:p>
    <w:p w14:paraId="5375CB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□成本补偿: </w:t>
      </w:r>
      <w:r>
        <w:rPr>
          <w:rFonts w:hint="eastAsia" w:ascii="仿宋" w:hAnsi="仿宋" w:eastAsia="仿宋" w:cs="仿宋"/>
          <w:sz w:val="24"/>
          <w:szCs w:val="24"/>
          <w:u w:val="single"/>
          <w:lang w:val="en-US" w:eastAsia="zh-CN"/>
        </w:rPr>
        <w:t xml:space="preserve">(应明确按照成本补偿方式的支付方式和支付条件)  </w:t>
      </w:r>
    </w:p>
    <w:p w14:paraId="64064F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□绩效激励</w:t>
      </w:r>
      <w:r>
        <w:rPr>
          <w:rFonts w:hint="eastAsia" w:ascii="仿宋" w:hAnsi="仿宋" w:eastAsia="仿宋" w:cs="仿宋"/>
          <w:sz w:val="24"/>
          <w:szCs w:val="24"/>
          <w:u w:val="single"/>
          <w:lang w:val="en-US" w:eastAsia="zh-CN"/>
        </w:rPr>
        <w:t xml:space="preserve">(应明确按照绩效激励方式的支付方式和支付条件)    </w:t>
      </w:r>
    </w:p>
    <w:p w14:paraId="17877F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3.合同履行</w:t>
      </w:r>
    </w:p>
    <w:p w14:paraId="719177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(1)起始日期:__年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日，完成日期:___年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15A72DB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(2)履约地点:</w:t>
      </w:r>
      <w:r>
        <w:rPr>
          <w:rFonts w:hint="eastAsia" w:ascii="仿宋" w:hAnsi="仿宋" w:eastAsia="仿宋" w:cs="仿宋"/>
          <w:sz w:val="24"/>
          <w:szCs w:val="24"/>
          <w:u w:val="single"/>
          <w:lang w:val="en-US" w:eastAsia="zh-CN"/>
        </w:rPr>
        <w:t xml:space="preserve">                          </w:t>
      </w:r>
    </w:p>
    <w:p w14:paraId="2205F66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(3)履约担保:是否收取履约保证金:□是   □否</w:t>
      </w:r>
    </w:p>
    <w:p w14:paraId="0A3AD85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收取履约保证金形式:</w:t>
      </w:r>
      <w:r>
        <w:rPr>
          <w:rFonts w:hint="eastAsia" w:ascii="仿宋" w:hAnsi="仿宋" w:eastAsia="仿宋" w:cs="仿宋"/>
          <w:sz w:val="24"/>
          <w:szCs w:val="24"/>
          <w:u w:val="single"/>
          <w:lang w:val="en-US" w:eastAsia="zh-CN"/>
        </w:rPr>
        <w:t xml:space="preserve">                          </w:t>
      </w:r>
    </w:p>
    <w:p w14:paraId="6BFD84A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收取履约保证金金额:</w:t>
      </w:r>
      <w:r>
        <w:rPr>
          <w:rFonts w:hint="eastAsia" w:ascii="仿宋" w:hAnsi="仿宋" w:eastAsia="仿宋" w:cs="仿宋"/>
          <w:sz w:val="24"/>
          <w:szCs w:val="24"/>
          <w:u w:val="single"/>
          <w:lang w:val="en-US" w:eastAsia="zh-CN"/>
        </w:rPr>
        <w:t xml:space="preserve">                            </w:t>
      </w:r>
    </w:p>
    <w:p w14:paraId="162588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履约担保期限:</w:t>
      </w:r>
      <w:r>
        <w:rPr>
          <w:rFonts w:hint="eastAsia" w:ascii="仿宋" w:hAnsi="仿宋" w:eastAsia="仿宋" w:cs="仿宋"/>
          <w:sz w:val="24"/>
          <w:szCs w:val="24"/>
          <w:u w:val="single"/>
          <w:lang w:val="en-US" w:eastAsia="zh-CN"/>
        </w:rPr>
        <w:t xml:space="preserve">                                  </w:t>
      </w:r>
    </w:p>
    <w:p w14:paraId="1189E6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(4)分期履行要求:</w:t>
      </w:r>
      <w:r>
        <w:rPr>
          <w:rFonts w:hint="eastAsia" w:ascii="仿宋" w:hAnsi="仿宋" w:eastAsia="仿宋" w:cs="仿宋"/>
          <w:sz w:val="24"/>
          <w:szCs w:val="24"/>
          <w:u w:val="single"/>
          <w:lang w:val="en-US" w:eastAsia="zh-CN"/>
        </w:rPr>
        <w:t xml:space="preserve">                               </w:t>
      </w:r>
    </w:p>
    <w:p w14:paraId="5868FCC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(5)风险处置措施和替代方案:</w:t>
      </w:r>
      <w:r>
        <w:rPr>
          <w:rFonts w:hint="eastAsia" w:ascii="仿宋" w:hAnsi="仿宋" w:eastAsia="仿宋" w:cs="仿宋"/>
          <w:sz w:val="24"/>
          <w:szCs w:val="24"/>
          <w:u w:val="single"/>
          <w:lang w:val="en-US" w:eastAsia="zh-CN"/>
        </w:rPr>
        <w:t xml:space="preserve">                     </w:t>
      </w:r>
    </w:p>
    <w:p w14:paraId="12D53F6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(1)验收组织方式:□自行组织  □委托第三方组织</w:t>
      </w:r>
    </w:p>
    <w:p w14:paraId="127031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验收主体:</w:t>
      </w:r>
      <w:r>
        <w:rPr>
          <w:rFonts w:hint="eastAsia" w:ascii="仿宋" w:hAnsi="仿宋" w:eastAsia="仿宋" w:cs="仿宋"/>
          <w:sz w:val="24"/>
          <w:szCs w:val="24"/>
          <w:u w:val="single"/>
          <w:lang w:val="en-US" w:eastAsia="zh-CN"/>
        </w:rPr>
        <w:t xml:space="preserve">                          </w:t>
      </w:r>
    </w:p>
    <w:p w14:paraId="0D41B6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是否邀请本项目的其他供应商参加验收:□是   □否</w:t>
      </w:r>
    </w:p>
    <w:p w14:paraId="66C2FC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是否邀请专家参加验收:□是     □否</w:t>
      </w:r>
    </w:p>
    <w:p w14:paraId="0BEC3F8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是否邀请服务对象参加验收:□是  □否</w:t>
      </w:r>
    </w:p>
    <w:p w14:paraId="376A58A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是否邀请第三方检测机构参加验收:□是  □否</w:t>
      </w:r>
    </w:p>
    <w:p w14:paraId="56A465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是否进行抽查检测:□是，抽查比例: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□否</w:t>
      </w:r>
    </w:p>
    <w:p w14:paraId="19CE867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是否存在破坏性检测: □是，</w:t>
      </w:r>
      <w:r>
        <w:rPr>
          <w:rFonts w:hint="eastAsia" w:ascii="仿宋" w:hAnsi="仿宋" w:eastAsia="仿宋" w:cs="仿宋"/>
          <w:sz w:val="24"/>
          <w:szCs w:val="24"/>
          <w:u w:val="single"/>
          <w:lang w:val="en-US" w:eastAsia="zh-CN"/>
        </w:rPr>
        <w:t>(应明确对被破坏的检测产品的处理方式)</w:t>
      </w:r>
    </w:p>
    <w:p w14:paraId="7D7EED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80" w:firstLineChars="1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44E9F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验收组织的其他事项:</w:t>
      </w:r>
      <w:r>
        <w:rPr>
          <w:rFonts w:hint="eastAsia" w:ascii="仿宋" w:hAnsi="仿宋" w:eastAsia="仿宋" w:cs="仿宋"/>
          <w:sz w:val="24"/>
          <w:szCs w:val="24"/>
          <w:u w:val="single"/>
          <w:lang w:val="en-US" w:eastAsia="zh-CN"/>
        </w:rPr>
        <w:t xml:space="preserve">              </w:t>
      </w:r>
    </w:p>
    <w:p w14:paraId="6F1682F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(2)履约验收时间:</w:t>
      </w:r>
      <w:r>
        <w:rPr>
          <w:rFonts w:hint="eastAsia" w:ascii="仿宋" w:hAnsi="仿宋" w:eastAsia="仿宋" w:cs="仿宋"/>
          <w:sz w:val="24"/>
          <w:szCs w:val="24"/>
          <w:u w:val="single"/>
          <w:lang w:val="en-US" w:eastAsia="zh-CN"/>
        </w:rPr>
        <w:t>(计划于何时验收/供应商提出验收申请之日起日内组织验收)</w:t>
      </w:r>
    </w:p>
    <w:p w14:paraId="2A01B3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(3)履约验收方式:□一次性验收</w:t>
      </w:r>
    </w:p>
    <w:p w14:paraId="71CE74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□分期/分项验收:</w:t>
      </w:r>
      <w:r>
        <w:rPr>
          <w:rFonts w:hint="eastAsia" w:ascii="仿宋" w:hAnsi="仿宋" w:eastAsia="仿宋" w:cs="仿宋"/>
          <w:sz w:val="24"/>
          <w:szCs w:val="24"/>
          <w:u w:val="single"/>
          <w:lang w:val="en-US" w:eastAsia="zh-CN"/>
        </w:rPr>
        <w:t>(应明确分期分项验收的工作安排)</w:t>
      </w:r>
    </w:p>
    <w:p w14:paraId="52E177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(4)履约验收程序:</w:t>
      </w:r>
      <w:r>
        <w:rPr>
          <w:rFonts w:hint="eastAsia" w:ascii="仿宋" w:hAnsi="仿宋" w:eastAsia="仿宋" w:cs="仿宋"/>
          <w:sz w:val="24"/>
          <w:szCs w:val="24"/>
          <w:u w:val="single"/>
          <w:lang w:val="en-US" w:eastAsia="zh-CN"/>
        </w:rPr>
        <w:t xml:space="preserve">                              </w:t>
      </w:r>
    </w:p>
    <w:p w14:paraId="48B3FB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(5)履约验收的内容:(</w:t>
      </w:r>
      <w:r>
        <w:rPr>
          <w:rFonts w:hint="eastAsia" w:ascii="仿宋" w:hAnsi="仿宋" w:eastAsia="仿宋" w:cs="仿宋"/>
          <w:sz w:val="24"/>
          <w:szCs w:val="24"/>
          <w:u w:val="single"/>
          <w:lang w:val="en-US" w:eastAsia="zh-CN"/>
        </w:rPr>
        <w:t xml:space="preserve">应当包括每一项技术和商务要求的履约情况，特别是落实政府采购扶持中小企业，支持绿色发展和乡村振兴等政策情况)     </w:t>
      </w:r>
    </w:p>
    <w:p w14:paraId="057E463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(6)履约验收标准:</w:t>
      </w:r>
      <w:r>
        <w:rPr>
          <w:rFonts w:hint="eastAsia" w:ascii="仿宋" w:hAnsi="仿宋" w:eastAsia="仿宋" w:cs="仿宋"/>
          <w:sz w:val="24"/>
          <w:szCs w:val="24"/>
          <w:u w:val="single"/>
          <w:lang w:val="en-US" w:eastAsia="zh-CN"/>
        </w:rPr>
        <w:t xml:space="preserve">                        </w:t>
      </w:r>
    </w:p>
    <w:p w14:paraId="65F6FC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(7)是否以采购活动中供应商提供的样品作为参考:□是   □否</w:t>
      </w:r>
    </w:p>
    <w:p w14:paraId="4B5859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(8)履约验收其他事项:</w:t>
      </w:r>
      <w:r>
        <w:rPr>
          <w:rFonts w:hint="eastAsia" w:ascii="仿宋" w:hAnsi="仿宋" w:eastAsia="仿宋" w:cs="仿宋"/>
          <w:sz w:val="24"/>
          <w:szCs w:val="24"/>
          <w:u w:val="single"/>
          <w:lang w:val="en-US" w:eastAsia="zh-CN"/>
        </w:rPr>
        <w:t xml:space="preserve">(产权过户登记等)    </w:t>
      </w:r>
    </w:p>
    <w:p w14:paraId="20FBFA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5.组成合同的文件</w:t>
      </w:r>
    </w:p>
    <w:p w14:paraId="35ED9A5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本协议书与下列文件一起构成合同文件，如下述文件之间有任何抵触、矛盾或歧义，应按以下顺序解释:</w:t>
      </w:r>
    </w:p>
    <w:p w14:paraId="3605A5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(1)政府采购合同协议书及其变更、补充协议</w:t>
      </w:r>
    </w:p>
    <w:p w14:paraId="22694A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(2)政府采购合同专用条款</w:t>
      </w:r>
    </w:p>
    <w:p w14:paraId="2F2F47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(3)政府采购合同通用条款</w:t>
      </w:r>
    </w:p>
    <w:p w14:paraId="7BFB716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(4)中标(成交)通知书</w:t>
      </w:r>
    </w:p>
    <w:p w14:paraId="171E4FA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(5)投标(投标)文件</w:t>
      </w:r>
    </w:p>
    <w:p w14:paraId="1FF44A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(6)采购文件</w:t>
      </w:r>
    </w:p>
    <w:p w14:paraId="6B0078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(7)有关技术文件，图纸</w:t>
      </w:r>
    </w:p>
    <w:p w14:paraId="463B01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(8)国家法律、行政法规和规章制度规定或合同约定的作为合同组成部分的其他文件。</w:t>
      </w:r>
    </w:p>
    <w:p w14:paraId="541913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6.合同生效</w:t>
      </w:r>
    </w:p>
    <w:p w14:paraId="0F36D2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生效。</w:t>
      </w:r>
    </w:p>
    <w:p w14:paraId="257934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7.合同份数</w:t>
      </w:r>
    </w:p>
    <w:p w14:paraId="529B066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份，甲乙双方各执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份，均具有同等法律效力。</w:t>
      </w:r>
    </w:p>
    <w:p w14:paraId="18199D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合同订立时间: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2488A3F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合同订立地点:</w:t>
      </w:r>
      <w:r>
        <w:rPr>
          <w:rFonts w:hint="eastAsia" w:ascii="仿宋" w:hAnsi="仿宋" w:eastAsia="仿宋" w:cs="仿宋"/>
          <w:sz w:val="24"/>
          <w:szCs w:val="24"/>
          <w:u w:val="single"/>
          <w:lang w:val="en-US" w:eastAsia="zh-CN"/>
        </w:rPr>
        <w:t xml:space="preserve">                      </w:t>
      </w:r>
    </w:p>
    <w:p w14:paraId="079EA2A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附件:具体标的及其技术要求和商务要求、联合协议、分包意向协议等。</w:t>
      </w:r>
    </w:p>
    <w:p w14:paraId="37B84BA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297"/>
        <w:gridCol w:w="2351"/>
        <w:gridCol w:w="2271"/>
      </w:tblGrid>
      <w:tr w14:paraId="53DE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671EAC5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甲方(采购人、受采购人委托签订合同的单位或采购文件约定的合同甲方)</w:t>
            </w:r>
          </w:p>
        </w:tc>
        <w:tc>
          <w:tcPr>
            <w:tcW w:w="4928" w:type="dxa"/>
            <w:gridSpan w:val="2"/>
            <w:vAlign w:val="center"/>
          </w:tcPr>
          <w:p w14:paraId="6A0226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乙方(供应商)</w:t>
            </w:r>
          </w:p>
        </w:tc>
      </w:tr>
      <w:tr w14:paraId="14E8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7E957AC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63" w:type="dxa"/>
            <w:vAlign w:val="center"/>
          </w:tcPr>
          <w:p w14:paraId="52BE736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6E1915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35" w:type="dxa"/>
            <w:vAlign w:val="center"/>
          </w:tcPr>
          <w:p w14:paraId="6B620FA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8AA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53B575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63" w:type="dxa"/>
            <w:vMerge w:val="restart"/>
            <w:vAlign w:val="center"/>
          </w:tcPr>
          <w:p w14:paraId="04C02B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63E160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35" w:type="dxa"/>
            <w:vAlign w:val="center"/>
          </w:tcPr>
          <w:p w14:paraId="55BFA3D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48A7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69A39A4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Merge w:val="continue"/>
            <w:vAlign w:val="center"/>
          </w:tcPr>
          <w:p w14:paraId="20B278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34F0C3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拥有者性别</w:t>
            </w:r>
          </w:p>
        </w:tc>
        <w:tc>
          <w:tcPr>
            <w:tcW w:w="2435" w:type="dxa"/>
            <w:vAlign w:val="center"/>
          </w:tcPr>
          <w:p w14:paraId="45B9170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020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506A21A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63" w:type="dxa"/>
            <w:vAlign w:val="center"/>
          </w:tcPr>
          <w:p w14:paraId="7B69FD7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E0348D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35" w:type="dxa"/>
            <w:vAlign w:val="center"/>
          </w:tcPr>
          <w:p w14:paraId="43D601B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69B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305C882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63" w:type="dxa"/>
            <w:vAlign w:val="center"/>
          </w:tcPr>
          <w:p w14:paraId="35251A7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1C25CD0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35" w:type="dxa"/>
            <w:vAlign w:val="center"/>
          </w:tcPr>
          <w:p w14:paraId="7EFBA0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05B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318D2D0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63" w:type="dxa"/>
            <w:vAlign w:val="center"/>
          </w:tcPr>
          <w:p w14:paraId="142630C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BBFF38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35" w:type="dxa"/>
            <w:vAlign w:val="center"/>
          </w:tcPr>
          <w:p w14:paraId="5FC1E99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07F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5BDFEB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63" w:type="dxa"/>
            <w:vAlign w:val="center"/>
          </w:tcPr>
          <w:p w14:paraId="71971DB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26195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35" w:type="dxa"/>
            <w:vAlign w:val="center"/>
          </w:tcPr>
          <w:p w14:paraId="6A208F5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A35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0ED80BA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63" w:type="dxa"/>
            <w:vAlign w:val="center"/>
          </w:tcPr>
          <w:p w14:paraId="38730B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47726E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35" w:type="dxa"/>
            <w:vAlign w:val="center"/>
          </w:tcPr>
          <w:p w14:paraId="355152D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4283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639CF7F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63" w:type="dxa"/>
            <w:vAlign w:val="center"/>
          </w:tcPr>
          <w:p w14:paraId="5DCC5F9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588BCD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35" w:type="dxa"/>
            <w:vAlign w:val="center"/>
          </w:tcPr>
          <w:p w14:paraId="6EFF080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C64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3515665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w:t>
            </w:r>
          </w:p>
          <w:p w14:paraId="23C85E6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码</w:t>
            </w:r>
          </w:p>
        </w:tc>
        <w:tc>
          <w:tcPr>
            <w:tcW w:w="2463" w:type="dxa"/>
            <w:vAlign w:val="center"/>
          </w:tcPr>
          <w:p w14:paraId="30AFFC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58D4FA5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2435" w:type="dxa"/>
            <w:vAlign w:val="center"/>
          </w:tcPr>
          <w:p w14:paraId="137A74D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21F9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020BCD9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36B3649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FEF5D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开户名称</w:t>
            </w:r>
          </w:p>
        </w:tc>
        <w:tc>
          <w:tcPr>
            <w:tcW w:w="2435" w:type="dxa"/>
            <w:vAlign w:val="center"/>
          </w:tcPr>
          <w:p w14:paraId="58B05EA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B1A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7B305C6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4E2150D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5F14CC8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2435" w:type="dxa"/>
            <w:vAlign w:val="center"/>
          </w:tcPr>
          <w:p w14:paraId="64D08DF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EBD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1F09696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546573C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4E374FF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银行账号</w:t>
            </w:r>
          </w:p>
        </w:tc>
        <w:tc>
          <w:tcPr>
            <w:tcW w:w="2435" w:type="dxa"/>
            <w:vAlign w:val="center"/>
          </w:tcPr>
          <w:p w14:paraId="3A3F40F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F2B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66FCACA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注:涉及联合体或其他合同主体的信息应按上表格式加列。</w:t>
            </w:r>
          </w:p>
        </w:tc>
      </w:tr>
    </w:tbl>
    <w:p w14:paraId="7B4179F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p>
    <w:p w14:paraId="11312AF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第二节 政府采购合同通用条款</w:t>
      </w:r>
    </w:p>
    <w:p w14:paraId="5928B3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1.定义</w:t>
      </w:r>
    </w:p>
    <w:p w14:paraId="0DE628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1.1合同当事人</w:t>
      </w:r>
    </w:p>
    <w:p w14:paraId="01FA26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(1)采购人(以下称甲方)是指使用财政性资金，通过政府采购方式向供应商购买货物及其相关服务的国家机关、事业单位、团体组织。</w:t>
      </w:r>
    </w:p>
    <w:p w14:paraId="63BE2A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(2)供应商(以下称乙方)是指参加政府采购活动并且中标(成交)，向采购人提供合同约定的货物及其相关服务的法人、非法人组织或者自然人。</w:t>
      </w:r>
    </w:p>
    <w:p w14:paraId="50B26AC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(3)其他合同主体是指除采购人和供应商以外，依法参与合同缔结或履行，享有权利、承担义务的合同当事人。</w:t>
      </w:r>
    </w:p>
    <w:p w14:paraId="2D44EA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1.2本合同下列术语应解释为:</w:t>
      </w:r>
    </w:p>
    <w:p w14:paraId="216E56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系指合同当事人意思表示达成一致的任何协议，包括签署的政府采购合同协议书及其变更、补充协议，政府采购合同专用条款，政府采购合同通用条款，中标(成交)通知书，投标(投标)文件，采购文件，有关技术文件和图纸，以及国家法律、行政法规和规章制度规定或合同约定的作为合同组成部分的其他文件。</w:t>
      </w:r>
    </w:p>
    <w:p w14:paraId="042410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(2)“合同价款”系指根据本合同规定乙方在全面履行合同义务后甲方应支付给乙方的价款。</w:t>
      </w:r>
    </w:p>
    <w:p w14:paraId="19E631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(3)“货物”系指乙方根据本合同规定须向甲方提供的各种形态和种类的物品，包括原材料、设备、产品(包括软件)及相关的其备品备件、工具、手册及其他技术资料和材料等。</w:t>
      </w:r>
    </w:p>
    <w:p w14:paraId="5630FCA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4048B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(5)“分包”系指中标(成交)供应商按采购文件、投标(投标)文件的规定，根据分包意向协议，将中标(成交)项目中的部分履约内容，分给具有相应资质条件的供应商履行合同的行为。</w:t>
      </w:r>
    </w:p>
    <w:p w14:paraId="0C1D4A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3F8796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(7)其他术语解释，见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38A9DB0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2.合同标的及金额</w:t>
      </w:r>
    </w:p>
    <w:p w14:paraId="5AEB7F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2.1合同标的及金额应与中标(成交)结果一致。乙方为履行本合同而发生的所有费用均应包含在合同价款中，甲方不再另行支付其他任何费用。</w:t>
      </w:r>
    </w:p>
    <w:p w14:paraId="16FE293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3.履行合同的时间、地点和方式</w:t>
      </w:r>
    </w:p>
    <w:p w14:paraId="539861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3.1乙方应当在约定的时间、地点，按照约定方式履行合同。</w:t>
      </w:r>
    </w:p>
    <w:p w14:paraId="47F6A5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4.甲方的权利和义务</w:t>
      </w:r>
    </w:p>
    <w:p w14:paraId="5F29596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4.1签署合同后，甲方应确定项目负责人(或项目联系人)，负责与本合同有关的事务。甲方有权对乙方的履约行为进行检查，并及时确认乙方提交的事项。甲方应当配合乙方完成相关项目实施工作。</w:t>
      </w:r>
    </w:p>
    <w:p w14:paraId="1FD1E7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4.2甲方有权要求乙方按时提交各阶段有关安排计划，并有权定期核对乙方提供货物数量、规格、质量等内容。甲方有权督促乙方工作并要求乙方更换不符合要求的货物。</w:t>
      </w:r>
    </w:p>
    <w:p w14:paraId="2944385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4.3甲方有权要求乙方对缺陷部分予以修复，并按合同约定享有货物保修及其他合同约定的权利。</w:t>
      </w:r>
    </w:p>
    <w:p w14:paraId="0CB87F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4.4甲方应当按照合同约定及时对交付的货物进行验收，未在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约定的期限内对乙方履约提出任何异议或者向乙方作出任何说明的，视为验收通过。</w:t>
      </w:r>
    </w:p>
    <w:p w14:paraId="4D12B6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4.5甲方应当根据合同约定及时向乙方支付合同价款，不得以内部人员变更、履行内部付款流程等为由，拒绝或迟延支付。</w:t>
      </w:r>
    </w:p>
    <w:p w14:paraId="4064F4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约定应由甲方承担的其他义务和责任。</w:t>
      </w:r>
    </w:p>
    <w:p w14:paraId="532714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5.乙方的权利和义务</w:t>
      </w:r>
    </w:p>
    <w:p w14:paraId="61C53AC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5.1签署合同后，乙方应确定项目负责人(或项目联系人)，负责与本合同有关的事务。</w:t>
      </w:r>
    </w:p>
    <w:p w14:paraId="5B2874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9A827A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5.3乙方有权根据合同约定向甲方收取合同价款。</w:t>
      </w:r>
    </w:p>
    <w:p w14:paraId="5837E33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约定应由乙方承担的其他义务和责任。</w:t>
      </w:r>
    </w:p>
    <w:p w14:paraId="79786D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6.合同履行</w:t>
      </w:r>
    </w:p>
    <w:p w14:paraId="774D874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6.1甲乙双方应当按照【政府采购合同专用条款】约定顺序履行合同义务;如果没有先后顺序的，应当同时履行。</w:t>
      </w:r>
    </w:p>
    <w:p w14:paraId="76A068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6.2甲乙双方按照合同约定顺序履行合同义务时，应当先履行·方未履行的，后履行一方有权拒绝其履行请求。先履行一方履行不符合约定的，后履行一方有权拒绝其相应的履行请求。</w:t>
      </w:r>
    </w:p>
    <w:p w14:paraId="514EB4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7.货物包装、运输、保险和交付要求</w:t>
      </w:r>
    </w:p>
    <w:p w14:paraId="0915FD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7.1本合同涉及商品包装、快递包装的，除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另有约定外，包装应适应远距离运输、防潮、防震、防锈和防野蛮装卸等要求，确保货物安全无损地运抵【政府采购合同专用条款]约定的指定现场。</w:t>
      </w:r>
    </w:p>
    <w:p w14:paraId="7C153D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】另有约定外，乙方负责办理将货物运抵本合同规定的交货地点，并装卸、交付至甲方的一切运输事项，相关费用应包含在合同价款中。</w:t>
      </w:r>
    </w:p>
    <w:p w14:paraId="032664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7.3货物保险要求按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w:t>
      </w:r>
    </w:p>
    <w:p w14:paraId="68D5B5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B981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7.5乙方在运输到达之前应提前通知甲方，并提示货物运输装卸的注意事项，甲方配合乙方做好货物的接收工作。</w:t>
      </w:r>
    </w:p>
    <w:p w14:paraId="4C3E2F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7.6如因包装运输问题导致货物损毁、丢失或者品质下降，甲方有权要求降价、换货、拒收部分或整批货物，由此产生的费用和损失，均由乙方承担。</w:t>
      </w:r>
    </w:p>
    <w:p w14:paraId="0CC38D8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8.质量标准和保证</w:t>
      </w:r>
    </w:p>
    <w:p w14:paraId="07C1D9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8.1质量标准</w:t>
      </w:r>
    </w:p>
    <w:p w14:paraId="50C3A49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9A48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(2)采用中华人民共和国法定计量单位。</w:t>
      </w:r>
    </w:p>
    <w:p w14:paraId="191D4F9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(3)乙方所提供的货物应符合国家有关安全、环保、卫生的规定。</w:t>
      </w:r>
    </w:p>
    <w:p w14:paraId="56217E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(4)乙方应向甲方提交所提供货物的技术文件，包括相应的中文技术文件，如:产品目录、图纸、操作手册、使用说明、维护手册或服务指南等。上述文件应包装好随货物一同发运。</w:t>
      </w:r>
    </w:p>
    <w:p w14:paraId="76AF33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保证</w:t>
      </w:r>
    </w:p>
    <w:p w14:paraId="7F083C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】规定或乙方书面承诺(两者以较长的为准)的质量保证期内，本保证保持有效。</w:t>
      </w:r>
    </w:p>
    <w:p w14:paraId="40A162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(2)在质量保证期内所发现的缺陷，甲方应尽快以书面形式通知乙方。</w:t>
      </w:r>
    </w:p>
    <w:p w14:paraId="580C7B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(3)乙方收到通知后，应在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规定的投标时间内以合理的速度免费维修或更换有缺陷的货物或部件。</w:t>
      </w:r>
    </w:p>
    <w:p w14:paraId="51E5EF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37268F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(5)乙方在约定的时间内未能弥补缺陷，甲方可采取必要的补救措施，但其风险和费用将由乙方承担，甲方根据合同约定对乙方行使的其他权利不受影响。</w:t>
      </w:r>
    </w:p>
    <w:p w14:paraId="71E13F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9.权利瑕疵担保</w:t>
      </w:r>
    </w:p>
    <w:p w14:paraId="136FA6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9.1乙方保证对其出售的货物享有合法的权利。</w:t>
      </w:r>
    </w:p>
    <w:p w14:paraId="6FCC74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9.2乙方保证在交付的货物上不存在抵押权等担保物权。</w:t>
      </w:r>
    </w:p>
    <w:p w14:paraId="177795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9.3如甲方使用上述货物构成对第三人侵权的，则由乙方承担全部责任。</w:t>
      </w:r>
    </w:p>
    <w:p w14:paraId="6F792CB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10.知识产权保护</w:t>
      </w:r>
    </w:p>
    <w:p w14:paraId="66D70E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48B0C7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11.保密义务</w:t>
      </w:r>
    </w:p>
    <w:p w14:paraId="2BA1BDD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6CCF076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12.合同价款支付</w:t>
      </w:r>
    </w:p>
    <w:p w14:paraId="017A2B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12.1合同价款支付按照国库集中支付制度及财政管理相关规定执行。</w:t>
      </w:r>
    </w:p>
    <w:p w14:paraId="45A632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2DF2943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13.履约保证金</w:t>
      </w:r>
    </w:p>
    <w:p w14:paraId="48CAA96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13.1乙方应当以支票、汇票、本票或者金融机构、担保机构出具的保函等非现金形式提交。</w:t>
      </w:r>
    </w:p>
    <w:p w14:paraId="5C0E833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13.2如果乙方出现</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585B35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13.3甲方在项目通过验收后按照【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规定的时间内将履约保证金退还乙方:逾期退还的，乙方可要求甲方支付违约金，违约金按照[政府采购合同专用条款]规定支付。</w:t>
      </w:r>
    </w:p>
    <w:p w14:paraId="33D48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14.售后服务</w:t>
      </w:r>
    </w:p>
    <w:p w14:paraId="6C29A7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14.1除项目不涉及或采购活动中明确约定无须承担外，乙方还应提供下列服务:</w:t>
      </w:r>
    </w:p>
    <w:p w14:paraId="77E2A5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(1)货物的现场移动、安装、调试、启动监督及技术支持；</w:t>
      </w:r>
    </w:p>
    <w:p w14:paraId="22C337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(2)提供货物组装和维修所需的专用工具和辅助材料:</w:t>
      </w:r>
    </w:p>
    <w:p w14:paraId="256FFF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】约定的期限内对所有的货物实施运行监督、维修，但前提条件是该服务并不能免除乙方在质量保证期内所承担的义务;</w:t>
      </w:r>
    </w:p>
    <w:p w14:paraId="38ABC3E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(4)在制造商所在地或指定现场就货物的安装、启动、运营、维护、废弃处置等对甲方操作人员进行培训:</w:t>
      </w:r>
    </w:p>
    <w:p w14:paraId="6B741C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(5)依照法律、行政法规的规定或者按照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约定，货物在有效使用年限届满后应予回收的，乙方负有自行或者委托第三人对货物予以回收的义务；</w:t>
      </w:r>
    </w:p>
    <w:p w14:paraId="2E33F6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】规定由乙方提供的其他服务。</w:t>
      </w:r>
    </w:p>
    <w:p w14:paraId="5440D69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14.2乙方提供的售后服务的费用已包含在合同价款中，甲方不再另行支付。</w:t>
      </w:r>
    </w:p>
    <w:p w14:paraId="7E15EF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15.违约责任</w:t>
      </w:r>
    </w:p>
    <w:p w14:paraId="225CBE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15.1质量瑕疵的违约责任</w:t>
      </w:r>
    </w:p>
    <w:p w14:paraId="1D62EE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乙方提供的产品不符合合同约定的质量标准或存在产品质量缺陷，甲方有权要求乙方根据</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】要求及时修理、重作、更换，并承担由此给甲方造成的损失。</w:t>
      </w:r>
    </w:p>
    <w:p w14:paraId="2CDC603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15.2迟延交货的违约责任</w:t>
      </w:r>
    </w:p>
    <w:p w14:paraId="5F9AFD8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37F3B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】规定执行。如果涉及公共利益，且赔偿金额无法弥补公共利益损失，甲方可要求继续履行或者采取其他补救措施。</w:t>
      </w:r>
    </w:p>
    <w:p w14:paraId="681CB9C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15.3迟延支付的违约责任</w:t>
      </w:r>
    </w:p>
    <w:p w14:paraId="1C0755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甲方存在迟延支付乙方合同款项的，应当承担</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】规定的逾期付款利息。</w:t>
      </w:r>
    </w:p>
    <w:p w14:paraId="2D9EC4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15.4其他违约责任根据项目实际需要按【政府采购合同专用条款]规定执行。</w:t>
      </w:r>
    </w:p>
    <w:p w14:paraId="4A8AA2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16.合同变更、中止与终止</w:t>
      </w:r>
    </w:p>
    <w:p w14:paraId="0438CA9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16.1合同的变更</w:t>
      </w:r>
    </w:p>
    <w:p w14:paraId="4656F98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政府采购合同履行中，在不改变合同其他条款的前提下，甲方可以在合同价款10%的范围内追加与合同标的相同的货物，并就此与乙方协商一致后签订补充协议。</w:t>
      </w:r>
    </w:p>
    <w:p w14:paraId="351C54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16.2合同的中止</w:t>
      </w:r>
    </w:p>
    <w:p w14:paraId="0B3670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合同履行过程中因供应商就采购文件、采购过程或结果提起投诉的，甲方认为有必要的，可以中止合同的履行。</w:t>
      </w:r>
    </w:p>
    <w:p w14:paraId="4CC0E5D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07589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777BD4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(4)甲方不得以行政区划调整、政府换届、机构或者职能调整以及相关责任人更替为由终止合同。</w:t>
      </w:r>
    </w:p>
    <w:p w14:paraId="4E0695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16.3合同的终止</w:t>
      </w:r>
    </w:p>
    <w:p w14:paraId="772639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(1)合同因有效期限届满而终止;</w:t>
      </w:r>
    </w:p>
    <w:p w14:paraId="71F150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(2)乙方未按合同约定履行，构成根本性违约的，甲方有权终止合同，并追究乙方的违约责任。</w:t>
      </w:r>
    </w:p>
    <w:p w14:paraId="43E27C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16.4涉及国家利益、社会公共利益的情形</w:t>
      </w:r>
    </w:p>
    <w:p w14:paraId="144912C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政府采购合同继续履行将损害国家利益和社会公共利益的，双方当事人应当变更、中止或者终止合同。有过错的一方应当承担赔偿责任，双方都有过错的，各自承担相应的责任。</w:t>
      </w:r>
    </w:p>
    <w:p w14:paraId="0E1B0D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17.合同分包</w:t>
      </w:r>
    </w:p>
    <w:p w14:paraId="0939C8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17.1乙方不得将合同转包给其他供应商。涉及合同分包的，乙方应根据采购文件和投标(投标)文件规定进行合同分包。</w:t>
      </w:r>
    </w:p>
    <w:p w14:paraId="4F9D48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17.2乙方执行政府采购政策向中小企业依法分包的，乙方应当按采购文件和投标(投标)文件签订分包意向协议，分包意向协议属于本合同组成部分。</w:t>
      </w:r>
    </w:p>
    <w:p w14:paraId="3A7BDF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18.不可抗力</w:t>
      </w:r>
    </w:p>
    <w:p w14:paraId="4B0AD4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18.1不可抗力是指合同双方不能预见、不能避免且不能克服的客观情况。</w:t>
      </w:r>
    </w:p>
    <w:p w14:paraId="7C921F3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18.2任何一方对由于不可抗力造成的部分或全部不能履行合同不承担违约责任。但迟延履行后发生不可抗力的，不能免除责任。</w:t>
      </w:r>
    </w:p>
    <w:p w14:paraId="0124596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7C2E10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19.解决争议的方法</w:t>
      </w:r>
    </w:p>
    <w:p w14:paraId="12A7DA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19.1因本合同及合同有关事项发生的争议，由甲乙双方友好协商解决。协商不成时，可以向有关组织申请调解。合同一方或双方不愿调解或调解不成的，可以通过仲裁或诉讼的方式解决争议。</w:t>
      </w:r>
    </w:p>
    <w:p w14:paraId="7A6CB0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19.2选择仲裁的，应在</w:t>
      </w:r>
      <w:r>
        <w:rPr>
          <w:rFonts w:hint="eastAsia" w:ascii="仿宋" w:hAnsi="仿宋" w:eastAsia="仿宋" w:cs="仿宋"/>
          <w:b/>
          <w:bCs/>
          <w:sz w:val="24"/>
          <w:szCs w:val="24"/>
          <w:highlight w:val="none"/>
          <w:lang w:val="en-US" w:eastAsia="zh-CN"/>
        </w:rPr>
        <w:t>【政府采购合同</w:t>
      </w:r>
      <w:r>
        <w:rPr>
          <w:rFonts w:hint="eastAsia" w:ascii="仿宋" w:hAnsi="仿宋" w:eastAsia="仿宋" w:cs="仿宋"/>
          <w:b/>
          <w:bCs/>
          <w:sz w:val="24"/>
          <w:szCs w:val="24"/>
          <w:lang w:val="en-US" w:eastAsia="zh-CN"/>
        </w:rPr>
        <w:t>专用条款</w:t>
      </w:r>
      <w:r>
        <w:rPr>
          <w:rFonts w:hint="eastAsia" w:ascii="仿宋" w:hAnsi="仿宋" w:eastAsia="仿宋" w:cs="仿宋"/>
          <w:sz w:val="24"/>
          <w:szCs w:val="24"/>
          <w:lang w:val="en-US"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3FC51D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19.3如甲乙双方有争议的事项不影响合同其他部分的履行，在争议解决期间，合同其他部分应当继续履行。</w:t>
      </w:r>
    </w:p>
    <w:p w14:paraId="6D514B9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20.政府采购政策</w:t>
      </w:r>
    </w:p>
    <w:p w14:paraId="587B70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20.1本合同应当按照规定执行政府采购政策。</w:t>
      </w:r>
    </w:p>
    <w:p w14:paraId="2177CA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62B789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1F877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21.法律适用</w:t>
      </w:r>
    </w:p>
    <w:p w14:paraId="7AF61F5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21.1本合同的订立、生效、解释、履行及与本合同有关的争议解决，均适用法律、行政法规。</w:t>
      </w:r>
    </w:p>
    <w:p w14:paraId="1791645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21.2本合同条款与法律、行政法规的强制性规定不一致的，双方当事人应按照法律、行政法规的强制性规定修改本合同的相关条款。</w:t>
      </w:r>
    </w:p>
    <w:p w14:paraId="0A31C4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22.通知</w:t>
      </w:r>
    </w:p>
    <w:p w14:paraId="0FE175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22.1本合同任何一方向对方发出的通知、信件、数据电文等，应当发送至本合同第一部分《政府采购合同协议书》所约定的通讯地址、联系人、联系电话或电子邮箱。</w:t>
      </w:r>
    </w:p>
    <w:p w14:paraId="2406FA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22.2一方当事人变更名称、住所、联系人、联系电话或电子邮箱等信息的，应当在变更后3日内及时书面通知对方，对方实际收到变更通知前的送达仍为有效送达。</w:t>
      </w:r>
    </w:p>
    <w:p w14:paraId="367BB9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22.3本合同一方给另一方的通知均应采用书面形式，传真或快递送到本合同中规定的对方的地址和办理签收手续。</w:t>
      </w:r>
    </w:p>
    <w:p w14:paraId="6A96040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22.4通知以送达之日或通知书中规定的生效之日起生效，两者中以较迟之日为准。</w:t>
      </w:r>
    </w:p>
    <w:p w14:paraId="2CBE5C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23.合同未尽事项</w:t>
      </w:r>
    </w:p>
    <w:p w14:paraId="1FBC56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23.1合同未尽事项见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701979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23.2合同附件与合同正文具有同等的法律效力。</w:t>
      </w:r>
    </w:p>
    <w:p w14:paraId="0C6B3C6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14:paraId="3EF63E0A">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政府采购合同专用条款</w:t>
      </w:r>
    </w:p>
    <w:tbl>
      <w:tblPr>
        <w:tblStyle w:val="18"/>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3681"/>
        <w:gridCol w:w="3919"/>
      </w:tblGrid>
      <w:tr w14:paraId="7E8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23E23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第1.2(6)项</w:t>
            </w:r>
          </w:p>
        </w:tc>
        <w:tc>
          <w:tcPr>
            <w:tcW w:w="3681" w:type="dxa"/>
            <w:vAlign w:val="center"/>
          </w:tcPr>
          <w:p w14:paraId="2F64F59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联合体具体要求</w:t>
            </w:r>
          </w:p>
        </w:tc>
        <w:tc>
          <w:tcPr>
            <w:tcW w:w="3919" w:type="dxa"/>
            <w:vAlign w:val="center"/>
          </w:tcPr>
          <w:p w14:paraId="6810F34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48B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AB94A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第二节第1.2(7)项</w:t>
            </w:r>
          </w:p>
        </w:tc>
        <w:tc>
          <w:tcPr>
            <w:tcW w:w="3681" w:type="dxa"/>
            <w:vAlign w:val="center"/>
          </w:tcPr>
          <w:p w14:paraId="0F5E120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其他术语解释</w:t>
            </w:r>
          </w:p>
        </w:tc>
        <w:tc>
          <w:tcPr>
            <w:tcW w:w="3919" w:type="dxa"/>
            <w:vAlign w:val="center"/>
          </w:tcPr>
          <w:p w14:paraId="0658B6B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D1A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A0E886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第二节第4.4款</w:t>
            </w:r>
          </w:p>
        </w:tc>
        <w:tc>
          <w:tcPr>
            <w:tcW w:w="3681" w:type="dxa"/>
            <w:vAlign w:val="center"/>
          </w:tcPr>
          <w:p w14:paraId="565CDA4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履约验收中甲方提出异议或作出说明的期限</w:t>
            </w:r>
          </w:p>
        </w:tc>
        <w:tc>
          <w:tcPr>
            <w:tcW w:w="3919" w:type="dxa"/>
            <w:vAlign w:val="center"/>
          </w:tcPr>
          <w:p w14:paraId="071C9E3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354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820E2B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第二节第4.6款</w:t>
            </w:r>
          </w:p>
        </w:tc>
        <w:tc>
          <w:tcPr>
            <w:tcW w:w="3681" w:type="dxa"/>
            <w:vAlign w:val="center"/>
          </w:tcPr>
          <w:p w14:paraId="57433E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约定甲方承担的其他义务和责任</w:t>
            </w:r>
          </w:p>
        </w:tc>
        <w:tc>
          <w:tcPr>
            <w:tcW w:w="3919" w:type="dxa"/>
            <w:vAlign w:val="center"/>
          </w:tcPr>
          <w:p w14:paraId="6E130DC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206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62BDE34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第二节第5.4款</w:t>
            </w:r>
          </w:p>
        </w:tc>
        <w:tc>
          <w:tcPr>
            <w:tcW w:w="3681" w:type="dxa"/>
            <w:vAlign w:val="center"/>
          </w:tcPr>
          <w:p w14:paraId="3613A18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约定乙方承担的其他义务和责任</w:t>
            </w:r>
          </w:p>
        </w:tc>
        <w:tc>
          <w:tcPr>
            <w:tcW w:w="3919" w:type="dxa"/>
            <w:vAlign w:val="center"/>
          </w:tcPr>
          <w:p w14:paraId="77DE998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6F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9F245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第二节第6.1款</w:t>
            </w:r>
          </w:p>
        </w:tc>
        <w:tc>
          <w:tcPr>
            <w:tcW w:w="3681" w:type="dxa"/>
            <w:vAlign w:val="center"/>
          </w:tcPr>
          <w:p w14:paraId="300E71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履行合同义务的顺序</w:t>
            </w:r>
          </w:p>
        </w:tc>
        <w:tc>
          <w:tcPr>
            <w:tcW w:w="3919" w:type="dxa"/>
            <w:vAlign w:val="center"/>
          </w:tcPr>
          <w:p w14:paraId="1C85B7F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C6E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center"/>
          </w:tcPr>
          <w:p w14:paraId="5E8902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第二节第7.1款</w:t>
            </w:r>
          </w:p>
        </w:tc>
        <w:tc>
          <w:tcPr>
            <w:tcW w:w="3681" w:type="dxa"/>
            <w:vAlign w:val="center"/>
          </w:tcPr>
          <w:p w14:paraId="171C997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包装特殊要求</w:t>
            </w:r>
          </w:p>
        </w:tc>
        <w:tc>
          <w:tcPr>
            <w:tcW w:w="3919" w:type="dxa"/>
            <w:vAlign w:val="center"/>
          </w:tcPr>
          <w:p w14:paraId="13DFFF3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A05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center"/>
          </w:tcPr>
          <w:p w14:paraId="4067438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681" w:type="dxa"/>
            <w:vAlign w:val="center"/>
          </w:tcPr>
          <w:p w14:paraId="7C1663A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指定现场</w:t>
            </w:r>
          </w:p>
        </w:tc>
        <w:tc>
          <w:tcPr>
            <w:tcW w:w="3919" w:type="dxa"/>
            <w:vAlign w:val="center"/>
          </w:tcPr>
          <w:p w14:paraId="4CCF388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3BD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681F5B6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第二节第7.2款</w:t>
            </w:r>
          </w:p>
        </w:tc>
        <w:tc>
          <w:tcPr>
            <w:tcW w:w="3681" w:type="dxa"/>
            <w:vAlign w:val="center"/>
          </w:tcPr>
          <w:p w14:paraId="6FF8BF7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运输特殊要求</w:t>
            </w:r>
          </w:p>
        </w:tc>
        <w:tc>
          <w:tcPr>
            <w:tcW w:w="3919" w:type="dxa"/>
            <w:vAlign w:val="center"/>
          </w:tcPr>
          <w:p w14:paraId="02C45ED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05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1A603B8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第二节第7.3款</w:t>
            </w:r>
          </w:p>
        </w:tc>
        <w:tc>
          <w:tcPr>
            <w:tcW w:w="3681" w:type="dxa"/>
            <w:vAlign w:val="center"/>
          </w:tcPr>
          <w:p w14:paraId="4ACF6F5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保险要求</w:t>
            </w:r>
          </w:p>
        </w:tc>
        <w:tc>
          <w:tcPr>
            <w:tcW w:w="3919" w:type="dxa"/>
            <w:vAlign w:val="center"/>
          </w:tcPr>
          <w:p w14:paraId="10BA97F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CAE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2CD7A0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第二节第8.2(1)项</w:t>
            </w:r>
          </w:p>
        </w:tc>
        <w:tc>
          <w:tcPr>
            <w:tcW w:w="3681" w:type="dxa"/>
            <w:vAlign w:val="center"/>
          </w:tcPr>
          <w:p w14:paraId="741B753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质量保证期</w:t>
            </w:r>
          </w:p>
        </w:tc>
        <w:tc>
          <w:tcPr>
            <w:tcW w:w="3919" w:type="dxa"/>
            <w:vAlign w:val="center"/>
          </w:tcPr>
          <w:p w14:paraId="1A752E0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78B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57E50FC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第二节第8.2(3)项</w:t>
            </w:r>
          </w:p>
        </w:tc>
        <w:tc>
          <w:tcPr>
            <w:tcW w:w="3681" w:type="dxa"/>
            <w:vAlign w:val="center"/>
          </w:tcPr>
          <w:p w14:paraId="72F6A6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货物质量缺陷投标时间</w:t>
            </w:r>
          </w:p>
        </w:tc>
        <w:tc>
          <w:tcPr>
            <w:tcW w:w="3919" w:type="dxa"/>
            <w:vAlign w:val="center"/>
          </w:tcPr>
          <w:p w14:paraId="6387C0C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FDA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62BA27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第二节第11.1款</w:t>
            </w:r>
          </w:p>
        </w:tc>
        <w:tc>
          <w:tcPr>
            <w:tcW w:w="3681" w:type="dxa"/>
            <w:vAlign w:val="center"/>
          </w:tcPr>
          <w:p w14:paraId="1D2D9A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其他应当保密的信息</w:t>
            </w:r>
          </w:p>
        </w:tc>
        <w:tc>
          <w:tcPr>
            <w:tcW w:w="3919" w:type="dxa"/>
            <w:vAlign w:val="center"/>
          </w:tcPr>
          <w:p w14:paraId="6D53609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81B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D8DA9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12.2款</w:t>
            </w:r>
          </w:p>
        </w:tc>
        <w:tc>
          <w:tcPr>
            <w:tcW w:w="3681" w:type="dxa"/>
            <w:vAlign w:val="center"/>
          </w:tcPr>
          <w:p w14:paraId="65E25CF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合同价款支付时间</w:t>
            </w:r>
          </w:p>
        </w:tc>
        <w:tc>
          <w:tcPr>
            <w:tcW w:w="3919" w:type="dxa"/>
            <w:vAlign w:val="center"/>
          </w:tcPr>
          <w:p w14:paraId="522DF73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C6F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C020D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第二节第13.2款</w:t>
            </w:r>
          </w:p>
        </w:tc>
        <w:tc>
          <w:tcPr>
            <w:tcW w:w="3681" w:type="dxa"/>
            <w:vAlign w:val="center"/>
          </w:tcPr>
          <w:p w14:paraId="26B4034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履约保证金不予退还的情形</w:t>
            </w:r>
          </w:p>
        </w:tc>
        <w:tc>
          <w:tcPr>
            <w:tcW w:w="3919" w:type="dxa"/>
            <w:vAlign w:val="center"/>
          </w:tcPr>
          <w:p w14:paraId="10F4A08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83C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862816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第二节第13.3款</w:t>
            </w:r>
          </w:p>
          <w:p w14:paraId="46FB24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681" w:type="dxa"/>
            <w:vAlign w:val="center"/>
          </w:tcPr>
          <w:p w14:paraId="7B5FBDE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履约保证金退还时间及逾期退还的违约金</w:t>
            </w:r>
          </w:p>
        </w:tc>
        <w:tc>
          <w:tcPr>
            <w:tcW w:w="3919" w:type="dxa"/>
            <w:vAlign w:val="center"/>
          </w:tcPr>
          <w:p w14:paraId="2E83A57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EEB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6C9E2F4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第二节第14.1(3)项</w:t>
            </w:r>
          </w:p>
        </w:tc>
        <w:tc>
          <w:tcPr>
            <w:tcW w:w="3681" w:type="dxa"/>
            <w:vAlign w:val="center"/>
          </w:tcPr>
          <w:p w14:paraId="2AA8A31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运行监督、维修期限</w:t>
            </w:r>
          </w:p>
        </w:tc>
        <w:tc>
          <w:tcPr>
            <w:tcW w:w="3919" w:type="dxa"/>
            <w:vAlign w:val="center"/>
          </w:tcPr>
          <w:p w14:paraId="7C39485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2F5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509387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第二节第14.1(5)项</w:t>
            </w:r>
          </w:p>
        </w:tc>
        <w:tc>
          <w:tcPr>
            <w:tcW w:w="3681" w:type="dxa"/>
            <w:vAlign w:val="center"/>
          </w:tcPr>
          <w:p w14:paraId="7EAB573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货物回收的约定</w:t>
            </w:r>
          </w:p>
        </w:tc>
        <w:tc>
          <w:tcPr>
            <w:tcW w:w="3919" w:type="dxa"/>
            <w:vAlign w:val="center"/>
          </w:tcPr>
          <w:p w14:paraId="5BB86B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05F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948955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第二节第14.1(6)项</w:t>
            </w:r>
          </w:p>
        </w:tc>
        <w:tc>
          <w:tcPr>
            <w:tcW w:w="3681" w:type="dxa"/>
            <w:vAlign w:val="center"/>
          </w:tcPr>
          <w:p w14:paraId="1532F68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乙方提供的其他服务</w:t>
            </w:r>
          </w:p>
        </w:tc>
        <w:tc>
          <w:tcPr>
            <w:tcW w:w="3919" w:type="dxa"/>
            <w:vAlign w:val="center"/>
          </w:tcPr>
          <w:p w14:paraId="3CBFAC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2D4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848924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第二节第15.1款</w:t>
            </w:r>
          </w:p>
        </w:tc>
        <w:tc>
          <w:tcPr>
            <w:tcW w:w="3681" w:type="dxa"/>
            <w:vAlign w:val="center"/>
          </w:tcPr>
          <w:p w14:paraId="6D123B3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修理、重作、更换相关具体规定</w:t>
            </w:r>
          </w:p>
        </w:tc>
        <w:tc>
          <w:tcPr>
            <w:tcW w:w="3919" w:type="dxa"/>
            <w:vAlign w:val="center"/>
          </w:tcPr>
          <w:p w14:paraId="1FC29A3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90C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3B3F2B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第二节第15.2(2)项</w:t>
            </w:r>
          </w:p>
        </w:tc>
        <w:tc>
          <w:tcPr>
            <w:tcW w:w="3681" w:type="dxa"/>
            <w:vAlign w:val="center"/>
          </w:tcPr>
          <w:p w14:paraId="0BE205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迟延交货赔偿费</w:t>
            </w:r>
          </w:p>
        </w:tc>
        <w:tc>
          <w:tcPr>
            <w:tcW w:w="3919" w:type="dxa"/>
            <w:vAlign w:val="center"/>
          </w:tcPr>
          <w:p w14:paraId="1DCE02D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F95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6B486C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15.3款</w:t>
            </w:r>
          </w:p>
        </w:tc>
        <w:tc>
          <w:tcPr>
            <w:tcW w:w="3681" w:type="dxa"/>
            <w:vAlign w:val="center"/>
          </w:tcPr>
          <w:p w14:paraId="797FD06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逾期付款利息</w:t>
            </w:r>
          </w:p>
        </w:tc>
        <w:tc>
          <w:tcPr>
            <w:tcW w:w="3919" w:type="dxa"/>
            <w:vAlign w:val="center"/>
          </w:tcPr>
          <w:p w14:paraId="0E1A0FD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31F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1E815B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第二节第15.4款</w:t>
            </w:r>
          </w:p>
        </w:tc>
        <w:tc>
          <w:tcPr>
            <w:tcW w:w="3681" w:type="dxa"/>
            <w:vAlign w:val="center"/>
          </w:tcPr>
          <w:p w14:paraId="3F413CB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其他违约责任</w:t>
            </w:r>
          </w:p>
        </w:tc>
        <w:tc>
          <w:tcPr>
            <w:tcW w:w="3919" w:type="dxa"/>
            <w:vAlign w:val="center"/>
          </w:tcPr>
          <w:p w14:paraId="011887F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8B0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52E6C85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第二节第19.2款</w:t>
            </w:r>
          </w:p>
        </w:tc>
        <w:tc>
          <w:tcPr>
            <w:tcW w:w="3681" w:type="dxa"/>
            <w:vAlign w:val="center"/>
          </w:tcPr>
          <w:p w14:paraId="1DBE56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解决争议的方法</w:t>
            </w:r>
          </w:p>
        </w:tc>
        <w:tc>
          <w:tcPr>
            <w:tcW w:w="3919" w:type="dxa"/>
            <w:vAlign w:val="center"/>
          </w:tcPr>
          <w:p w14:paraId="000DC0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因本合同及合同有关事项发生的争议，按第</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种方式解决:(1)向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仲裁委员会申请仲裁，仲裁地点为</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u w:val="none"/>
                <w:vertAlign w:val="baseline"/>
                <w:lang w:val="en-US" w:eastAsia="zh-CN"/>
              </w:rPr>
              <w:t>；</w:t>
            </w:r>
            <w:r>
              <w:rPr>
                <w:rFonts w:hint="eastAsia" w:ascii="仿宋" w:hAnsi="仿宋" w:eastAsia="仿宋" w:cs="仿宋"/>
                <w:b w:val="0"/>
                <w:bCs w:val="0"/>
                <w:sz w:val="24"/>
                <w:szCs w:val="24"/>
                <w:vertAlign w:val="baseline"/>
                <w:lang w:val="en-US" w:eastAsia="zh-CN"/>
              </w:rPr>
              <w:t>(2)向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人民法院起诉。</w:t>
            </w:r>
          </w:p>
        </w:tc>
      </w:tr>
      <w:tr w14:paraId="38CB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038E5D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第二节第23.1款</w:t>
            </w:r>
          </w:p>
        </w:tc>
        <w:tc>
          <w:tcPr>
            <w:tcW w:w="3681" w:type="dxa"/>
            <w:vAlign w:val="center"/>
          </w:tcPr>
          <w:p w14:paraId="7E61207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其他专用条款</w:t>
            </w:r>
          </w:p>
        </w:tc>
        <w:tc>
          <w:tcPr>
            <w:tcW w:w="3919" w:type="dxa"/>
            <w:vAlign w:val="center"/>
          </w:tcPr>
          <w:p w14:paraId="0AF292C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bl>
    <w:p w14:paraId="7013DA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lang w:val="en-US" w:eastAsia="zh-CN"/>
        </w:rPr>
        <w:sectPr>
          <w:pgSz w:w="11906" w:h="16838"/>
          <w:pgMar w:top="1417" w:right="1440" w:bottom="1440" w:left="1440" w:header="851" w:footer="992" w:gutter="0"/>
          <w:pgNumType w:fmt="decimal"/>
          <w:cols w:space="720" w:num="1"/>
          <w:docGrid w:linePitch="312" w:charSpace="0"/>
        </w:sectPr>
      </w:pPr>
      <w:r>
        <w:rPr>
          <w:rFonts w:hint="eastAsia" w:ascii="仿宋" w:hAnsi="仿宋" w:eastAsia="仿宋" w:cs="仿宋"/>
          <w:b/>
          <w:color w:val="auto"/>
          <w:sz w:val="24"/>
          <w:szCs w:val="24"/>
          <w:highlight w:val="none"/>
          <w:lang w:val="en-US" w:eastAsia="zh-CN"/>
        </w:rPr>
        <w:t>以上合同文本为合同样稿，最终稿由甲乙双方协商后确定。</w:t>
      </w:r>
    </w:p>
    <w:p w14:paraId="780D7F65">
      <w:pPr>
        <w:keepLines w:val="0"/>
        <w:pageBreakBefore w:val="0"/>
        <w:numPr>
          <w:ilvl w:val="0"/>
          <w:numId w:val="4"/>
        </w:numPr>
        <w:kinsoku/>
        <w:wordWrap/>
        <w:overflowPunct/>
        <w:topLinePunct w:val="0"/>
        <w:bidi w:val="0"/>
        <w:spacing w:before="182" w:line="228" w:lineRule="auto"/>
        <w:jc w:val="center"/>
        <w:rPr>
          <w:rFonts w:ascii="仿宋" w:hAnsi="仿宋" w:eastAsia="仿宋" w:cs="仿宋"/>
          <w:b/>
          <w:bCs/>
          <w:spacing w:val="5"/>
          <w:sz w:val="31"/>
          <w:szCs w:val="31"/>
        </w:rPr>
      </w:pPr>
      <w:r>
        <w:rPr>
          <w:rFonts w:ascii="仿宋" w:hAnsi="仿宋" w:eastAsia="仿宋" w:cs="仿宋"/>
          <w:spacing w:val="5"/>
          <w:sz w:val="31"/>
          <w:szCs w:val="31"/>
        </w:rPr>
        <w:t xml:space="preserve">  </w:t>
      </w:r>
      <w:bookmarkStart w:id="0" w:name="OLE_LINK1"/>
      <w:r>
        <w:rPr>
          <w:rFonts w:ascii="仿宋" w:hAnsi="仿宋" w:eastAsia="仿宋" w:cs="仿宋"/>
          <w:b/>
          <w:bCs/>
          <w:spacing w:val="5"/>
          <w:sz w:val="31"/>
          <w:szCs w:val="31"/>
        </w:rPr>
        <w:t>采购需求及技术要</w:t>
      </w:r>
      <w:bookmarkEnd w:id="0"/>
    </w:p>
    <w:p w14:paraId="4AB973AA">
      <w:pPr>
        <w:pStyle w:val="24"/>
        <w:rPr>
          <w:rFonts w:hint="eastAsia" w:ascii="仿宋" w:hAnsi="仿宋" w:eastAsia="仿宋" w:cs="仿宋"/>
          <w:snapToGrid w:val="0"/>
          <w:color w:val="000000"/>
          <w:kern w:val="0"/>
          <w:sz w:val="24"/>
          <w:szCs w:val="24"/>
          <w:lang w:val="en-US" w:eastAsia="zh-CN" w:bidi="ar-SA"/>
        </w:rPr>
      </w:pPr>
    </w:p>
    <w:p w14:paraId="4BA0F42A">
      <w:pPr>
        <w:pStyle w:val="24"/>
        <w:numPr>
          <w:ilvl w:val="0"/>
          <w:numId w:val="5"/>
        </w:numP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项目名称：温宿县水稻农场农机采购项目</w:t>
      </w:r>
    </w:p>
    <w:p w14:paraId="01E21ABE">
      <w:pPr>
        <w:pStyle w:val="24"/>
        <w:numPr>
          <w:ilvl w:val="0"/>
          <w:numId w:val="0"/>
        </w:numPr>
        <w:ind w:firstLine="240" w:firstLineChars="10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二、项目预算金额：人民币75万元，财政资金，资金已到位。</w:t>
      </w:r>
    </w:p>
    <w:p w14:paraId="77595D67">
      <w:pPr>
        <w:pStyle w:val="24"/>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三、商务要求</w:t>
      </w:r>
    </w:p>
    <w:p w14:paraId="57497191">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（一）供货地点：采购人指定地点。</w:t>
      </w:r>
    </w:p>
    <w:p w14:paraId="01FD8DDC">
      <w:pPr>
        <w:pStyle w:val="24"/>
        <w:rPr>
          <w:rFonts w:hint="eastAsia" w:ascii="仿宋" w:hAnsi="仿宋" w:eastAsia="仿宋" w:cs="仿宋"/>
          <w:spacing w:val="-6"/>
          <w:position w:val="5"/>
          <w:sz w:val="24"/>
          <w:szCs w:val="24"/>
          <w:lang w:val="en-US" w:eastAsia="zh-CN"/>
        </w:rPr>
      </w:pPr>
      <w:bookmarkStart w:id="1" w:name="_Toc485147127"/>
      <w:bookmarkStart w:id="2" w:name="_Toc9288"/>
      <w:r>
        <w:rPr>
          <w:rFonts w:hint="eastAsia" w:ascii="仿宋" w:hAnsi="仿宋" w:eastAsia="仿宋" w:cs="仿宋"/>
          <w:snapToGrid w:val="0"/>
          <w:color w:val="000000"/>
          <w:kern w:val="0"/>
          <w:sz w:val="24"/>
          <w:szCs w:val="24"/>
          <w:lang w:val="en-US" w:eastAsia="zh-CN" w:bidi="ar-SA"/>
        </w:rPr>
        <w:t>（二）供货时间：</w:t>
      </w:r>
      <w:bookmarkEnd w:id="1"/>
      <w:bookmarkEnd w:id="2"/>
      <w:r>
        <w:rPr>
          <w:rFonts w:ascii="仿宋" w:hAnsi="仿宋" w:eastAsia="仿宋" w:cs="仿宋"/>
          <w:spacing w:val="-6"/>
          <w:position w:val="5"/>
          <w:sz w:val="24"/>
          <w:szCs w:val="24"/>
        </w:rPr>
        <w:t>签订合同</w:t>
      </w:r>
      <w:r>
        <w:rPr>
          <w:rFonts w:hint="eastAsia" w:ascii="仿宋" w:hAnsi="仿宋" w:eastAsia="仿宋" w:cs="仿宋"/>
          <w:spacing w:val="-6"/>
          <w:position w:val="5"/>
          <w:sz w:val="24"/>
          <w:szCs w:val="24"/>
          <w:lang w:val="en-US" w:eastAsia="zh-CN"/>
        </w:rPr>
        <w:t>之日起</w:t>
      </w:r>
      <w:r>
        <w:rPr>
          <w:rFonts w:ascii="仿宋" w:hAnsi="仿宋" w:eastAsia="仿宋" w:cs="仿宋"/>
          <w:spacing w:val="-30"/>
          <w:position w:val="5"/>
          <w:sz w:val="24"/>
          <w:szCs w:val="24"/>
        </w:rPr>
        <w:t xml:space="preserve"> </w:t>
      </w:r>
      <w:r>
        <w:rPr>
          <w:rFonts w:ascii="仿宋" w:hAnsi="仿宋" w:eastAsia="仿宋" w:cs="仿宋"/>
          <w:spacing w:val="-6"/>
          <w:position w:val="5"/>
          <w:sz w:val="24"/>
          <w:szCs w:val="24"/>
        </w:rPr>
        <w:t>30 日历天内</w:t>
      </w:r>
      <w:r>
        <w:rPr>
          <w:rFonts w:hint="eastAsia" w:ascii="仿宋" w:hAnsi="仿宋" w:eastAsia="仿宋" w:cs="仿宋"/>
          <w:spacing w:val="-6"/>
          <w:position w:val="5"/>
          <w:sz w:val="24"/>
          <w:szCs w:val="24"/>
          <w:lang w:val="en-US" w:eastAsia="zh-CN"/>
        </w:rPr>
        <w:t>完成供货</w:t>
      </w:r>
    </w:p>
    <w:p w14:paraId="0D572046">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w:t>
      </w:r>
      <w:r>
        <w:rPr>
          <w:rFonts w:hint="eastAsia" w:ascii="仿宋" w:hAnsi="仿宋" w:eastAsia="仿宋" w:cs="仿宋"/>
          <w:spacing w:val="-5"/>
          <w:sz w:val="24"/>
          <w:szCs w:val="24"/>
          <w:lang w:val="en-US" w:eastAsia="zh-CN"/>
        </w:rPr>
        <w:t>维保期</w:t>
      </w:r>
      <w:r>
        <w:rPr>
          <w:rFonts w:hint="eastAsia" w:ascii="仿宋" w:hAnsi="仿宋" w:eastAsia="仿宋" w:cs="仿宋"/>
          <w:snapToGrid w:val="0"/>
          <w:color w:val="000000"/>
          <w:kern w:val="0"/>
          <w:sz w:val="24"/>
          <w:szCs w:val="24"/>
          <w:lang w:val="en-US" w:eastAsia="zh-CN" w:bidi="ar-SA"/>
        </w:rPr>
        <w:t>：自项目验收合格之日起1年的免费质保。</w:t>
      </w:r>
    </w:p>
    <w:p w14:paraId="10F40CEA">
      <w:pPr>
        <w:pStyle w:val="24"/>
        <w:rPr>
          <w:rFonts w:hint="default" w:ascii="仿宋" w:hAnsi="仿宋" w:eastAsia="仿宋" w:cs="仿宋"/>
          <w:snapToGrid w:val="0"/>
          <w:color w:val="000000"/>
          <w:kern w:val="0"/>
          <w:sz w:val="24"/>
          <w:szCs w:val="24"/>
          <w:lang w:eastAsia="zh-CN" w:bidi="ar-SA"/>
        </w:rPr>
      </w:pPr>
      <w:r>
        <w:rPr>
          <w:rFonts w:hint="eastAsia" w:ascii="仿宋" w:hAnsi="仿宋" w:eastAsia="仿宋" w:cs="仿宋"/>
          <w:snapToGrid w:val="0"/>
          <w:color w:val="000000"/>
          <w:kern w:val="0"/>
          <w:sz w:val="24"/>
          <w:szCs w:val="24"/>
          <w:lang w:val="en-US" w:eastAsia="zh-CN" w:bidi="ar-SA"/>
        </w:rPr>
        <w:t>（四）支付方式</w:t>
      </w:r>
      <w:r>
        <w:rPr>
          <w:rFonts w:hint="default" w:ascii="仿宋" w:hAnsi="仿宋" w:eastAsia="仿宋" w:cs="仿宋"/>
          <w:snapToGrid w:val="0"/>
          <w:color w:val="000000"/>
          <w:kern w:val="0"/>
          <w:sz w:val="24"/>
          <w:szCs w:val="24"/>
          <w:lang w:eastAsia="zh-CN" w:bidi="ar-SA"/>
        </w:rPr>
        <w:t>：按合同约定</w:t>
      </w:r>
    </w:p>
    <w:p w14:paraId="04542DC4">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五）货物价：（1）以货到项目现场完税价为标准，包括生产或组装货物所使用的部件和原材料，以及货物本身已缴纳或应缴纳的全部关税、营业税、销售税和其他税费；运输费、保险费和货物运抵项目现场所产生的其它费用；货物本身必须的备件/附件和专用工具，技术文件费等；（2）服务及其他费用：包括运费、装卸费、验收、培训、售后维修服务和技术支持费等。</w:t>
      </w:r>
    </w:p>
    <w:p w14:paraId="50AE6395">
      <w:pPr>
        <w:pStyle w:val="24"/>
        <w:rPr>
          <w:rFonts w:hint="eastAsia" w:ascii="仿宋" w:hAnsi="仿宋" w:eastAsia="仿宋" w:cs="仿宋"/>
          <w:snapToGrid w:val="0"/>
          <w:color w:val="000000"/>
          <w:kern w:val="0"/>
          <w:sz w:val="24"/>
          <w:szCs w:val="24"/>
          <w:lang w:val="en-US" w:eastAsia="zh-CN" w:bidi="ar-SA"/>
        </w:rPr>
      </w:pPr>
      <w:bookmarkStart w:id="3" w:name="_Toc23249"/>
      <w:r>
        <w:rPr>
          <w:rFonts w:hint="eastAsia" w:ascii="仿宋" w:hAnsi="仿宋" w:eastAsia="仿宋" w:cs="仿宋"/>
          <w:snapToGrid w:val="0"/>
          <w:color w:val="000000"/>
          <w:kern w:val="0"/>
          <w:sz w:val="24"/>
          <w:szCs w:val="24"/>
          <w:lang w:val="en-US" w:eastAsia="zh-CN" w:bidi="ar-SA"/>
        </w:rPr>
        <w:t>六、售后服务</w:t>
      </w:r>
      <w:bookmarkEnd w:id="3"/>
    </w:p>
    <w:p w14:paraId="0B1598AA">
      <w:pPr>
        <w:pStyle w:val="24"/>
        <w:rPr>
          <w:rFonts w:hint="eastAsia" w:ascii="仿宋" w:hAnsi="仿宋" w:eastAsia="仿宋" w:cs="仿宋"/>
          <w:snapToGrid w:val="0"/>
          <w:color w:val="000000"/>
          <w:kern w:val="0"/>
          <w:sz w:val="24"/>
          <w:szCs w:val="24"/>
          <w:lang w:val="en-US" w:eastAsia="zh-CN" w:bidi="ar-SA"/>
        </w:rPr>
      </w:pPr>
      <w:bookmarkStart w:id="4" w:name="_Toc89439175"/>
      <w:r>
        <w:rPr>
          <w:rFonts w:hint="eastAsia" w:ascii="仿宋" w:hAnsi="仿宋" w:eastAsia="仿宋" w:cs="仿宋"/>
          <w:snapToGrid w:val="0"/>
          <w:color w:val="000000"/>
          <w:kern w:val="0"/>
          <w:sz w:val="24"/>
          <w:szCs w:val="24"/>
          <w:lang w:val="en-US" w:eastAsia="zh-CN" w:bidi="ar-SA"/>
        </w:rPr>
        <w:t>1、供应商须安排专人送货上门、安装、调试。</w:t>
      </w:r>
    </w:p>
    <w:p w14:paraId="11FB5D6E">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2、提供针对本项目的售后服务承诺及保证措施，所有货物须按国家“三包”及相关标准。</w:t>
      </w:r>
    </w:p>
    <w:p w14:paraId="73B8EA1E">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3、质量、工期、保修、保养的要求： </w:t>
      </w:r>
    </w:p>
    <w:p w14:paraId="3512A31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3.1.设计和安装和验收要求达到合格以上标准（含合格）；货物的验收及质保期内的运行均要求达到采购要求。中标人不得更改材料和配件（如采购人要求除外），如有发现造成的所有责任和损失由中标人承担。 </w:t>
      </w:r>
    </w:p>
    <w:p w14:paraId="10417232">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在质保期内提供维护，并提供备品、备件；无论在保修期内或保修期外，供应商需提供上门服务。供应商需提供售后服务，保修期内，每2月做一次巡检。设备出现异常或故障时，问题响应时间2小时内，24小时内排除故障，限定时间内不能排除故障的，中标单位须提供相应备用备件以保障使用，直到原设备修备完成，其费用由中标人承担。</w:t>
      </w:r>
    </w:p>
    <w:p w14:paraId="72CC4CC7">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 3.3.在质保期内，同一配件、同一质量问题连续两次维修仍无法正常使用，中标人必须无条件予以更换同品牌、同型号产品，其费用由中标人承担。 </w:t>
      </w:r>
    </w:p>
    <w:p w14:paraId="63B29EA9">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3.4.在质保期内，接到采购人电话通知后，中标人应当在一天内上门服务，如不能及时修复，采购人可委托其他单位维修，其费用由中标人承担。 </w:t>
      </w:r>
    </w:p>
    <w:p w14:paraId="233C5D4E">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3.5.培训：对采购人操作人员提供设备安全操作规程培训，讲解设备的基本结构及工作原理，直至操作人员掌握设备的日常使用、维护保养方法，保证操作人员可正确操作使用，并能排除一般故障。 </w:t>
      </w:r>
    </w:p>
    <w:p w14:paraId="3D32BDAB">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4.供应商需在响应文件中提供完整的服务体系和相应的具体措施。 </w:t>
      </w:r>
    </w:p>
    <w:p w14:paraId="58DDD58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5.供应商需在响应文件中提供定期检查制度和保养方案。</w:t>
      </w:r>
    </w:p>
    <w:p w14:paraId="3CF33DAB">
      <w:pPr>
        <w:pStyle w:val="24"/>
        <w:rPr>
          <w:rFonts w:hint="eastAsia" w:ascii="仿宋" w:hAnsi="仿宋" w:eastAsia="仿宋" w:cs="仿宋"/>
          <w:snapToGrid w:val="0"/>
          <w:color w:val="000000"/>
          <w:kern w:val="0"/>
          <w:sz w:val="24"/>
          <w:szCs w:val="24"/>
          <w:lang w:val="en-US" w:eastAsia="zh-CN" w:bidi="ar-SA"/>
        </w:rPr>
      </w:pPr>
      <w:bookmarkStart w:id="5" w:name="_Toc22319"/>
      <w:r>
        <w:rPr>
          <w:rFonts w:hint="default" w:ascii="仿宋" w:hAnsi="仿宋" w:eastAsia="仿宋" w:cs="仿宋"/>
          <w:snapToGrid w:val="0"/>
          <w:color w:val="000000"/>
          <w:kern w:val="0"/>
          <w:sz w:val="24"/>
          <w:szCs w:val="24"/>
          <w:lang w:eastAsia="zh-CN" w:bidi="ar-SA"/>
        </w:rPr>
        <w:t>六</w:t>
      </w:r>
      <w:r>
        <w:rPr>
          <w:rFonts w:hint="eastAsia" w:ascii="仿宋" w:hAnsi="仿宋" w:eastAsia="仿宋" w:cs="仿宋"/>
          <w:snapToGrid w:val="0"/>
          <w:color w:val="000000"/>
          <w:kern w:val="0"/>
          <w:sz w:val="24"/>
          <w:szCs w:val="24"/>
          <w:lang w:val="en-US" w:eastAsia="zh-CN" w:bidi="ar-SA"/>
        </w:rPr>
        <w:t>、其它注意事项</w:t>
      </w:r>
      <w:bookmarkEnd w:id="4"/>
      <w:bookmarkEnd w:id="5"/>
    </w:p>
    <w:p w14:paraId="16CAFC0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响应文件中有弄虚作假的内容，其响应文件作废（如假证书、假业绩、假合同、隐瞒不良行为记录、夸大荣誉、使用非本单位在职员工的相关证件及不符合采购文件规定的条款等）；在签订合同之前，如发现供应商的响应文件有弄虚作假内容，采购人可拒绝与其签订合同。并将其列入政府采购黑名单库。</w:t>
      </w:r>
    </w:p>
    <w:p w14:paraId="3E9ECC8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p w14:paraId="683D5DA8">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对于技术规格及参数中有特殊要求的技术参数，供应商须在响应文件中按照采购文件技术规格及参数的要求提供技术应答的证明材料，如技术规格及参数中无特殊要求则应提交本条款规定的技术支持资料。对于供应商提供的响应文件技术应答未按本条款要求提供投标产品技术支持资料 （或证明材料）的，谈判小组可不予承认，并可认为该技术应答不符合采购文件要求。由此产生的评标风险，由供应商承担。</w:t>
      </w:r>
    </w:p>
    <w:p w14:paraId="4F7BF91C">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4、如果所供产品有特殊的工作条件要求，供应商应在响应文件中加以说明。</w:t>
      </w:r>
    </w:p>
    <w:p w14:paraId="0FE1560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5、供应商所提供的产品技术规格应符合采购文件的要求。如所供产品存在技术偏离，供应商应如实填写技术要求偏离表。</w:t>
      </w:r>
    </w:p>
    <w:p w14:paraId="2F82F181">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6、编制响应文件时，供应商应详细列出设备的品牌、型号、配置参数及所投产品的技术支持资料，不得复制采购文件中的技术参数，否则视为无效响应。</w:t>
      </w:r>
    </w:p>
    <w:p w14:paraId="435D08AD">
      <w:pPr>
        <w:pStyle w:val="24"/>
        <w:rPr>
          <w:rFonts w:ascii="仿宋" w:hAnsi="仿宋" w:eastAsia="仿宋" w:cs="仿宋"/>
          <w:b/>
          <w:bCs/>
          <w:spacing w:val="5"/>
          <w:sz w:val="31"/>
          <w:szCs w:val="31"/>
        </w:rPr>
      </w:pPr>
    </w:p>
    <w:p w14:paraId="456A4D5B">
      <w:pPr>
        <w:spacing w:before="23" w:line="211" w:lineRule="auto"/>
        <w:ind w:left="366"/>
        <w:rPr>
          <w:rFonts w:ascii="仿宋" w:hAnsi="仿宋" w:eastAsia="仿宋" w:cs="仿宋"/>
          <w:sz w:val="24"/>
          <w:szCs w:val="24"/>
        </w:rPr>
      </w:pPr>
      <w:r>
        <w:rPr>
          <w:rFonts w:hint="eastAsia" w:ascii="仿宋" w:hAnsi="仿宋" w:eastAsia="仿宋" w:cs="仿宋"/>
          <w:spacing w:val="-3"/>
          <w:sz w:val="24"/>
          <w:szCs w:val="24"/>
          <w:lang w:eastAsia="zh-CN"/>
        </w:rPr>
        <w:t>七</w:t>
      </w:r>
      <w:r>
        <w:rPr>
          <w:rFonts w:ascii="仿宋" w:hAnsi="仿宋" w:eastAsia="仿宋" w:cs="仿宋"/>
          <w:spacing w:val="-3"/>
          <w:sz w:val="24"/>
          <w:szCs w:val="24"/>
        </w:rPr>
        <w:t>、采购清单</w:t>
      </w:r>
      <w:r>
        <w:rPr>
          <w:rFonts w:hint="eastAsia" w:ascii="仿宋" w:hAnsi="仿宋" w:eastAsia="仿宋" w:cs="仿宋"/>
          <w:spacing w:val="-3"/>
          <w:sz w:val="24"/>
          <w:szCs w:val="24"/>
          <w:lang w:val="en-US" w:eastAsia="zh-CN"/>
        </w:rPr>
        <w:t>及参数</w:t>
      </w:r>
      <w:bookmarkStart w:id="6" w:name="_GoBack"/>
      <w:bookmarkEnd w:id="6"/>
      <w:r>
        <w:rPr>
          <w:rFonts w:ascii="仿宋" w:hAnsi="仿宋" w:eastAsia="仿宋" w:cs="仿宋"/>
          <w:spacing w:val="-3"/>
          <w:sz w:val="24"/>
          <w:szCs w:val="24"/>
        </w:rPr>
        <w:t>如下：</w:t>
      </w:r>
    </w:p>
    <w:tbl>
      <w:tblPr>
        <w:tblStyle w:val="28"/>
        <w:tblW w:w="9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085"/>
        <w:gridCol w:w="5532"/>
        <w:gridCol w:w="1680"/>
      </w:tblGrid>
      <w:tr w14:paraId="2700A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69" w:type="dxa"/>
            <w:vAlign w:val="center"/>
          </w:tcPr>
          <w:p w14:paraId="48C1E2C6">
            <w:pPr>
              <w:keepNext w:val="0"/>
              <w:keepLines w:val="0"/>
              <w:widowControl/>
              <w:suppressLineNumbers w:val="0"/>
              <w:jc w:val="center"/>
              <w:textAlignment w:val="center"/>
              <w:rPr>
                <w:rFonts w:hint="eastAsia" w:ascii="宋体" w:hAnsi="宋体" w:eastAsia="宋体" w:cs="宋体"/>
                <w:color w:val="FF0000"/>
                <w:sz w:val="24"/>
                <w:szCs w:val="24"/>
              </w:rPr>
            </w:pPr>
            <w:r>
              <w:rPr>
                <w:rFonts w:hint="eastAsia" w:ascii="宋体" w:hAnsi="宋体" w:eastAsia="宋体" w:cs="宋体"/>
                <w:i w:val="0"/>
                <w:iCs w:val="0"/>
                <w:snapToGrid w:val="0"/>
                <w:color w:val="000000"/>
                <w:kern w:val="0"/>
                <w:sz w:val="24"/>
                <w:szCs w:val="24"/>
                <w:u w:val="none"/>
                <w:lang w:val="en-US" w:eastAsia="zh-CN" w:bidi="ar"/>
              </w:rPr>
              <w:t>序号</w:t>
            </w:r>
          </w:p>
        </w:tc>
        <w:tc>
          <w:tcPr>
            <w:tcW w:w="1085" w:type="dxa"/>
            <w:vAlign w:val="center"/>
          </w:tcPr>
          <w:p w14:paraId="7CC4C936">
            <w:pPr>
              <w:keepNext w:val="0"/>
              <w:keepLines w:val="0"/>
              <w:widowControl/>
              <w:suppressLineNumbers w:val="0"/>
              <w:jc w:val="center"/>
              <w:textAlignment w:val="center"/>
              <w:rPr>
                <w:rFonts w:hint="eastAsia" w:ascii="宋体" w:hAnsi="宋体" w:eastAsia="宋体" w:cs="宋体"/>
                <w:color w:val="FF0000"/>
                <w:sz w:val="24"/>
                <w:szCs w:val="24"/>
              </w:rPr>
            </w:pPr>
            <w:r>
              <w:rPr>
                <w:rFonts w:hint="eastAsia" w:ascii="宋体" w:hAnsi="宋体" w:eastAsia="宋体" w:cs="宋体"/>
                <w:i w:val="0"/>
                <w:iCs w:val="0"/>
                <w:snapToGrid w:val="0"/>
                <w:color w:val="000000"/>
                <w:kern w:val="0"/>
                <w:sz w:val="24"/>
                <w:szCs w:val="24"/>
                <w:u w:val="none"/>
                <w:lang w:val="en-US" w:eastAsia="zh-CN" w:bidi="ar"/>
              </w:rPr>
              <w:t>设备品名</w:t>
            </w:r>
          </w:p>
        </w:tc>
        <w:tc>
          <w:tcPr>
            <w:tcW w:w="5532" w:type="dxa"/>
            <w:vAlign w:val="center"/>
          </w:tcPr>
          <w:p w14:paraId="5FC53C90">
            <w:pPr>
              <w:keepNext w:val="0"/>
              <w:keepLines w:val="0"/>
              <w:widowControl/>
              <w:suppressLineNumbers w:val="0"/>
              <w:jc w:val="center"/>
              <w:textAlignment w:val="center"/>
              <w:rPr>
                <w:rFonts w:hint="eastAsia" w:ascii="宋体" w:hAnsi="宋体" w:eastAsia="宋体" w:cs="宋体"/>
                <w:color w:val="FF0000"/>
                <w:sz w:val="24"/>
                <w:szCs w:val="24"/>
              </w:rPr>
            </w:pPr>
            <w:r>
              <w:rPr>
                <w:rFonts w:hint="eastAsia" w:ascii="宋体" w:hAnsi="宋体" w:eastAsia="宋体" w:cs="宋体"/>
                <w:i w:val="0"/>
                <w:iCs w:val="0"/>
                <w:snapToGrid w:val="0"/>
                <w:color w:val="000000"/>
                <w:kern w:val="0"/>
                <w:sz w:val="24"/>
                <w:szCs w:val="24"/>
                <w:u w:val="none"/>
                <w:lang w:val="en-US" w:eastAsia="zh-CN" w:bidi="ar"/>
              </w:rPr>
              <w:t>参数</w:t>
            </w:r>
          </w:p>
        </w:tc>
        <w:tc>
          <w:tcPr>
            <w:tcW w:w="1680" w:type="dxa"/>
            <w:vAlign w:val="center"/>
          </w:tcPr>
          <w:p w14:paraId="248E26BC">
            <w:pPr>
              <w:keepNext w:val="0"/>
              <w:keepLines w:val="0"/>
              <w:widowControl/>
              <w:suppressLineNumbers w:val="0"/>
              <w:jc w:val="center"/>
              <w:textAlignment w:val="center"/>
              <w:rPr>
                <w:rFonts w:hint="eastAsia" w:ascii="宋体" w:hAnsi="宋体" w:eastAsia="宋体" w:cs="宋体"/>
                <w:color w:val="FF0000"/>
                <w:sz w:val="24"/>
                <w:szCs w:val="24"/>
                <w:lang w:eastAsia="zh-CN"/>
              </w:rPr>
            </w:pPr>
            <w:r>
              <w:rPr>
                <w:rFonts w:hint="eastAsia" w:ascii="宋体" w:hAnsi="宋体" w:eastAsia="宋体" w:cs="宋体"/>
                <w:i w:val="0"/>
                <w:iCs w:val="0"/>
                <w:snapToGrid w:val="0"/>
                <w:color w:val="000000"/>
                <w:kern w:val="0"/>
                <w:sz w:val="24"/>
                <w:szCs w:val="24"/>
                <w:u w:val="none"/>
                <w:lang w:val="en-US" w:eastAsia="zh-CN" w:bidi="ar"/>
              </w:rPr>
              <w:t>单位（台）</w:t>
            </w:r>
          </w:p>
        </w:tc>
      </w:tr>
      <w:tr w14:paraId="10FAD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trPr>
        <w:tc>
          <w:tcPr>
            <w:tcW w:w="769" w:type="dxa"/>
            <w:vAlign w:val="center"/>
          </w:tcPr>
          <w:p w14:paraId="569F3C6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1085" w:type="dxa"/>
            <w:vAlign w:val="center"/>
          </w:tcPr>
          <w:p w14:paraId="3DF6712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大拖拉机</w:t>
            </w:r>
          </w:p>
        </w:tc>
        <w:tc>
          <w:tcPr>
            <w:tcW w:w="5532" w:type="dxa"/>
            <w:vAlign w:val="center"/>
          </w:tcPr>
          <w:p w14:paraId="1305044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发动机形式：直列、水冷、四冲程、直喷式；发动机功率≥161.8KW；发动机标定转速≥2200r/min；轴距≥2800mm；前后轮距≥1750/1750mm；外廓尺寸≥5300*2300*3200mm；最小使用质量≥7000kg；最小使用质量比≥42kg/kW；牵引力≥3850N；最小离地间隙≥500mm；档位数32+32；</w:t>
            </w:r>
          </w:p>
        </w:tc>
        <w:tc>
          <w:tcPr>
            <w:tcW w:w="1680" w:type="dxa"/>
            <w:vAlign w:val="center"/>
          </w:tcPr>
          <w:p w14:paraId="04D172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r>
      <w:tr w14:paraId="3FC0A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7" w:hRule="atLeast"/>
        </w:trPr>
        <w:tc>
          <w:tcPr>
            <w:tcW w:w="769" w:type="dxa"/>
            <w:vAlign w:val="center"/>
          </w:tcPr>
          <w:p w14:paraId="3058D9F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1085" w:type="dxa"/>
            <w:vAlign w:val="center"/>
          </w:tcPr>
          <w:p w14:paraId="6B77400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耙（联合整地机）</w:t>
            </w:r>
          </w:p>
        </w:tc>
        <w:tc>
          <w:tcPr>
            <w:tcW w:w="5532" w:type="dxa"/>
            <w:vAlign w:val="center"/>
          </w:tcPr>
          <w:p w14:paraId="43B82AD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工作幅宽≥6800mm；外廓尺寸≥7000*6600*1400mm；工作部件：缺口耙4组、圆盘耙4组、平土板3组、碎土辊5组、镇压辊5组；耙片直径外廓尺寸≥450mm；耙片间距外廓尺寸≥：165mm；轮胎数量：4；轮距≥2420(外)960（内）mm；连接方式：牵引式；配套动力：132-185kW；整机质量≥4700kg。</w:t>
            </w:r>
          </w:p>
        </w:tc>
        <w:tc>
          <w:tcPr>
            <w:tcW w:w="1680" w:type="dxa"/>
            <w:vAlign w:val="center"/>
          </w:tcPr>
          <w:p w14:paraId="7AD9483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r>
      <w:tr w14:paraId="4347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769" w:type="dxa"/>
            <w:vAlign w:val="center"/>
          </w:tcPr>
          <w:p w14:paraId="283945E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1085" w:type="dxa"/>
            <w:vAlign w:val="center"/>
          </w:tcPr>
          <w:p w14:paraId="154B88B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犁</w:t>
            </w:r>
          </w:p>
        </w:tc>
        <w:tc>
          <w:tcPr>
            <w:tcW w:w="5532" w:type="dxa"/>
            <w:vAlign w:val="center"/>
          </w:tcPr>
          <w:p w14:paraId="1F9E9DD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工作状态外形尺寸（长×宽×高）mm4350×2300×1740，液压式：</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全翻转式,犁体幅宽mm450、500，限深轮调节范围：mm0-300</w:t>
            </w:r>
          </w:p>
        </w:tc>
        <w:tc>
          <w:tcPr>
            <w:tcW w:w="1680" w:type="dxa"/>
            <w:vAlign w:val="center"/>
          </w:tcPr>
          <w:p w14:paraId="2BBFA06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r>
      <w:tr w14:paraId="4C6F9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69" w:type="dxa"/>
            <w:vAlign w:val="center"/>
          </w:tcPr>
          <w:p w14:paraId="779E49F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1085" w:type="dxa"/>
            <w:vAlign w:val="center"/>
          </w:tcPr>
          <w:p w14:paraId="69CF5A5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小拖拉机</w:t>
            </w:r>
          </w:p>
        </w:tc>
        <w:tc>
          <w:tcPr>
            <w:tcW w:w="5532" w:type="dxa"/>
            <w:vAlign w:val="center"/>
          </w:tcPr>
          <w:p w14:paraId="570E6C6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整机机架型式：无架；整机驱动型式：四驱；外廓尺寸≥3100*1300*2000mm；轴距≥1500mm；前后轮距≥950/950mm；最小使用质量≥1700kg；最小离地间隙≥190mm；最小使用质量比≥46kg/kW；档位数8+2；</w:t>
            </w:r>
          </w:p>
        </w:tc>
        <w:tc>
          <w:tcPr>
            <w:tcW w:w="1680" w:type="dxa"/>
            <w:vAlign w:val="center"/>
          </w:tcPr>
          <w:p w14:paraId="11D127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r>
      <w:tr w14:paraId="6234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769" w:type="dxa"/>
            <w:vAlign w:val="center"/>
          </w:tcPr>
          <w:p w14:paraId="47AC14B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1085" w:type="dxa"/>
            <w:vAlign w:val="center"/>
          </w:tcPr>
          <w:p w14:paraId="41CD174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旋耕机</w:t>
            </w:r>
          </w:p>
        </w:tc>
        <w:tc>
          <w:tcPr>
            <w:tcW w:w="5532" w:type="dxa"/>
            <w:vAlign w:val="center"/>
          </w:tcPr>
          <w:p w14:paraId="5F6F9C6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配套动力≥36.7kW；工作幅宽≥1550mm；外廓尺寸≥750*1700*950mm；</w:t>
            </w:r>
          </w:p>
        </w:tc>
        <w:tc>
          <w:tcPr>
            <w:tcW w:w="1680" w:type="dxa"/>
            <w:vAlign w:val="center"/>
          </w:tcPr>
          <w:p w14:paraId="4A7428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r>
      <w:tr w14:paraId="3765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769" w:type="dxa"/>
            <w:vAlign w:val="center"/>
          </w:tcPr>
          <w:p w14:paraId="648BE4B5">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1085" w:type="dxa"/>
            <w:vAlign w:val="center"/>
          </w:tcPr>
          <w:p w14:paraId="68260DF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车兜</w:t>
            </w:r>
          </w:p>
        </w:tc>
        <w:tc>
          <w:tcPr>
            <w:tcW w:w="5532" w:type="dxa"/>
            <w:vAlign w:val="center"/>
          </w:tcPr>
          <w:p w14:paraId="4778364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尺寸（长*宽*高）≥2.5*1.38m*1.2m，轮胎700-9</w:t>
            </w:r>
          </w:p>
        </w:tc>
        <w:tc>
          <w:tcPr>
            <w:tcW w:w="1680" w:type="dxa"/>
            <w:vAlign w:val="center"/>
          </w:tcPr>
          <w:p w14:paraId="3853DB6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r>
    </w:tbl>
    <w:p w14:paraId="3401CA8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p w14:paraId="38603925">
      <w:pPr>
        <w:widowControl/>
        <w:spacing w:line="0" w:lineRule="atLeast"/>
        <w:jc w:val="left"/>
        <w:rPr>
          <w:rFonts w:hint="eastAsia" w:ascii="仿宋_GB2312" w:hAnsi="仿宋_GB2312" w:eastAsia="仿宋_GB2312" w:cs="仿宋_GB2312"/>
          <w:bCs/>
          <w:szCs w:val="21"/>
        </w:rPr>
      </w:pPr>
    </w:p>
    <w:p w14:paraId="737E85C4">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46763EA0">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6EDC301F">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4E18238C">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002EC4AC">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2B502593">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15F7ED9F">
      <w:pPr>
        <w:keepLines w:val="0"/>
        <w:pageBreakBefore w:val="0"/>
        <w:kinsoku/>
        <w:wordWrap/>
        <w:overflowPunct/>
        <w:topLinePunct w:val="0"/>
        <w:bidi w:val="0"/>
        <w:spacing w:before="101" w:line="228" w:lineRule="auto"/>
        <w:ind w:left="2888"/>
        <w:rPr>
          <w:rFonts w:ascii="仿宋" w:hAnsi="仿宋" w:eastAsia="仿宋" w:cs="仿宋"/>
          <w:sz w:val="31"/>
          <w:szCs w:val="31"/>
        </w:rPr>
      </w:pPr>
      <w:r>
        <w:rPr>
          <w:rFonts w:ascii="仿宋" w:hAnsi="仿宋" w:eastAsia="仿宋" w:cs="仿宋"/>
          <w:b/>
          <w:bCs/>
          <w:spacing w:val="3"/>
          <w:sz w:val="31"/>
          <w:szCs w:val="31"/>
        </w:rPr>
        <w:t>第六章</w:t>
      </w:r>
      <w:r>
        <w:rPr>
          <w:rFonts w:ascii="仿宋" w:hAnsi="仿宋" w:eastAsia="仿宋" w:cs="仿宋"/>
          <w:spacing w:val="3"/>
          <w:sz w:val="31"/>
          <w:szCs w:val="31"/>
        </w:rPr>
        <w:t xml:space="preserve"> </w:t>
      </w:r>
      <w:r>
        <w:rPr>
          <w:rFonts w:ascii="仿宋" w:hAnsi="仿宋" w:eastAsia="仿宋" w:cs="仿宋"/>
          <w:b/>
          <w:bCs/>
          <w:spacing w:val="3"/>
          <w:sz w:val="31"/>
          <w:szCs w:val="31"/>
        </w:rPr>
        <w:t>投标文件格式</w:t>
      </w:r>
    </w:p>
    <w:p w14:paraId="28721ACE">
      <w:pPr>
        <w:pStyle w:val="7"/>
        <w:keepLines w:val="0"/>
        <w:pageBreakBefore w:val="0"/>
        <w:kinsoku/>
        <w:wordWrap/>
        <w:overflowPunct/>
        <w:topLinePunct w:val="0"/>
        <w:bidi w:val="0"/>
        <w:spacing w:line="257" w:lineRule="auto"/>
      </w:pPr>
    </w:p>
    <w:p w14:paraId="3C554860">
      <w:pPr>
        <w:pStyle w:val="7"/>
        <w:keepLines w:val="0"/>
        <w:pageBreakBefore w:val="0"/>
        <w:kinsoku/>
        <w:wordWrap/>
        <w:overflowPunct/>
        <w:topLinePunct w:val="0"/>
        <w:bidi w:val="0"/>
        <w:spacing w:line="257" w:lineRule="auto"/>
      </w:pPr>
    </w:p>
    <w:p w14:paraId="110353E6">
      <w:pPr>
        <w:pStyle w:val="7"/>
        <w:keepLines w:val="0"/>
        <w:pageBreakBefore w:val="0"/>
        <w:kinsoku/>
        <w:wordWrap/>
        <w:overflowPunct/>
        <w:topLinePunct w:val="0"/>
        <w:bidi w:val="0"/>
        <w:spacing w:line="258" w:lineRule="auto"/>
      </w:pPr>
    </w:p>
    <w:p w14:paraId="41DBD145">
      <w:pPr>
        <w:pStyle w:val="7"/>
        <w:keepLines w:val="0"/>
        <w:pageBreakBefore w:val="0"/>
        <w:kinsoku/>
        <w:wordWrap/>
        <w:overflowPunct/>
        <w:topLinePunct w:val="0"/>
        <w:bidi w:val="0"/>
        <w:spacing w:line="258" w:lineRule="auto"/>
      </w:pPr>
    </w:p>
    <w:p w14:paraId="56AB1F35">
      <w:pPr>
        <w:keepLines w:val="0"/>
        <w:pageBreakBefore w:val="0"/>
        <w:kinsoku/>
        <w:wordWrap/>
        <w:overflowPunct/>
        <w:topLinePunct w:val="0"/>
        <w:bidi w:val="0"/>
        <w:spacing w:before="91" w:line="222" w:lineRule="auto"/>
        <w:ind w:left="3187"/>
        <w:rPr>
          <w:rFonts w:ascii="仿宋" w:hAnsi="仿宋" w:eastAsia="仿宋" w:cs="仿宋"/>
          <w:sz w:val="28"/>
          <w:szCs w:val="28"/>
        </w:rPr>
      </w:pPr>
      <w:r>
        <w:pict>
          <v:shape id="_x0000_s1026" o:spid="_x0000_s1026" style="position:absolute;left:0pt;margin-left:95.35pt;margin-top:17.95pt;height:0.6pt;width:238.15pt;z-index:251662336;mso-width-relative:page;mso-height-relative:page;" filled="f" stroked="t" coordsize="4762,12" path="m0,5l4762,5e">
            <v:fill on="f" focussize="0,0"/>
            <v:stroke weight="0.6pt" color="#000000" miterlimit="2" joinstyle="bevel"/>
            <v:imagedata o:title=""/>
            <o:lock v:ext="edit"/>
          </v:shape>
        </w:pict>
      </w:r>
      <w:r>
        <w:rPr>
          <w:rFonts w:ascii="仿宋" w:hAnsi="仿宋" w:eastAsia="仿宋" w:cs="仿宋"/>
          <w:spacing w:val="-3"/>
          <w:sz w:val="28"/>
          <w:szCs w:val="28"/>
        </w:rPr>
        <w:t>（</w:t>
      </w:r>
      <w:r>
        <w:rPr>
          <w:rFonts w:hint="eastAsia" w:ascii="仿宋" w:hAnsi="仿宋" w:eastAsia="仿宋" w:cs="仿宋"/>
          <w:spacing w:val="-3"/>
          <w:sz w:val="28"/>
          <w:szCs w:val="28"/>
          <w:lang w:eastAsia="zh-CN"/>
        </w:rPr>
        <w:t>项目名称</w:t>
      </w:r>
      <w:r>
        <w:rPr>
          <w:rFonts w:ascii="仿宋" w:hAnsi="仿宋" w:eastAsia="仿宋" w:cs="仿宋"/>
          <w:spacing w:val="-3"/>
          <w:sz w:val="28"/>
          <w:szCs w:val="28"/>
        </w:rPr>
        <w:t>）</w:t>
      </w:r>
    </w:p>
    <w:p w14:paraId="31C79034">
      <w:pPr>
        <w:pStyle w:val="7"/>
        <w:keepLines w:val="0"/>
        <w:pageBreakBefore w:val="0"/>
        <w:kinsoku/>
        <w:wordWrap/>
        <w:overflowPunct/>
        <w:topLinePunct w:val="0"/>
        <w:bidi w:val="0"/>
        <w:spacing w:line="357" w:lineRule="auto"/>
      </w:pPr>
    </w:p>
    <w:p w14:paraId="4880541F">
      <w:pPr>
        <w:pStyle w:val="7"/>
        <w:keepLines w:val="0"/>
        <w:pageBreakBefore w:val="0"/>
        <w:kinsoku/>
        <w:wordWrap/>
        <w:overflowPunct/>
        <w:topLinePunct w:val="0"/>
        <w:bidi w:val="0"/>
        <w:spacing w:line="357" w:lineRule="auto"/>
      </w:pPr>
    </w:p>
    <w:p w14:paraId="035CD733">
      <w:pPr>
        <w:keepLines w:val="0"/>
        <w:pageBreakBefore w:val="0"/>
        <w:tabs>
          <w:tab w:val="left" w:pos="3327"/>
        </w:tabs>
        <w:kinsoku/>
        <w:wordWrap/>
        <w:overflowPunct/>
        <w:topLinePunct w:val="0"/>
        <w:bidi w:val="0"/>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106E4F90">
      <w:pPr>
        <w:pStyle w:val="7"/>
        <w:keepLines w:val="0"/>
        <w:pageBreakBefore w:val="0"/>
        <w:kinsoku/>
        <w:wordWrap/>
        <w:overflowPunct/>
        <w:topLinePunct w:val="0"/>
        <w:bidi w:val="0"/>
        <w:spacing w:line="255" w:lineRule="auto"/>
      </w:pPr>
    </w:p>
    <w:p w14:paraId="462C0F61">
      <w:pPr>
        <w:pStyle w:val="7"/>
        <w:keepLines w:val="0"/>
        <w:pageBreakBefore w:val="0"/>
        <w:kinsoku/>
        <w:wordWrap/>
        <w:overflowPunct/>
        <w:topLinePunct w:val="0"/>
        <w:bidi w:val="0"/>
        <w:spacing w:line="255" w:lineRule="auto"/>
      </w:pPr>
    </w:p>
    <w:p w14:paraId="07F02BF9">
      <w:pPr>
        <w:pStyle w:val="7"/>
        <w:keepLines w:val="0"/>
        <w:pageBreakBefore w:val="0"/>
        <w:kinsoku/>
        <w:wordWrap/>
        <w:overflowPunct/>
        <w:topLinePunct w:val="0"/>
        <w:bidi w:val="0"/>
        <w:spacing w:line="255" w:lineRule="auto"/>
      </w:pPr>
    </w:p>
    <w:p w14:paraId="7214DC74">
      <w:pPr>
        <w:pStyle w:val="7"/>
        <w:keepLines w:val="0"/>
        <w:pageBreakBefore w:val="0"/>
        <w:kinsoku/>
        <w:wordWrap/>
        <w:overflowPunct/>
        <w:topLinePunct w:val="0"/>
        <w:bidi w:val="0"/>
        <w:spacing w:line="255" w:lineRule="auto"/>
      </w:pPr>
    </w:p>
    <w:p w14:paraId="7C40A551">
      <w:pPr>
        <w:pStyle w:val="7"/>
        <w:keepLines w:val="0"/>
        <w:pageBreakBefore w:val="0"/>
        <w:kinsoku/>
        <w:wordWrap/>
        <w:overflowPunct/>
        <w:topLinePunct w:val="0"/>
        <w:bidi w:val="0"/>
        <w:spacing w:line="255" w:lineRule="auto"/>
      </w:pPr>
    </w:p>
    <w:p w14:paraId="0CC5A7F6">
      <w:pPr>
        <w:pStyle w:val="7"/>
        <w:keepLines w:val="0"/>
        <w:pageBreakBefore w:val="0"/>
        <w:kinsoku/>
        <w:wordWrap/>
        <w:overflowPunct/>
        <w:topLinePunct w:val="0"/>
        <w:bidi w:val="0"/>
        <w:spacing w:line="255" w:lineRule="auto"/>
      </w:pPr>
    </w:p>
    <w:p w14:paraId="55135457">
      <w:pPr>
        <w:pStyle w:val="7"/>
        <w:keepLines w:val="0"/>
        <w:pageBreakBefore w:val="0"/>
        <w:kinsoku/>
        <w:wordWrap/>
        <w:overflowPunct/>
        <w:topLinePunct w:val="0"/>
        <w:bidi w:val="0"/>
        <w:spacing w:line="256" w:lineRule="auto"/>
      </w:pPr>
    </w:p>
    <w:p w14:paraId="208D7BBA">
      <w:pPr>
        <w:pStyle w:val="7"/>
        <w:keepLines w:val="0"/>
        <w:pageBreakBefore w:val="0"/>
        <w:kinsoku/>
        <w:wordWrap/>
        <w:overflowPunct/>
        <w:topLinePunct w:val="0"/>
        <w:bidi w:val="0"/>
        <w:spacing w:line="256" w:lineRule="auto"/>
      </w:pPr>
    </w:p>
    <w:p w14:paraId="1D4B3F28">
      <w:pPr>
        <w:pStyle w:val="7"/>
        <w:keepLines w:val="0"/>
        <w:pageBreakBefore w:val="0"/>
        <w:kinsoku/>
        <w:wordWrap/>
        <w:overflowPunct/>
        <w:topLinePunct w:val="0"/>
        <w:bidi w:val="0"/>
        <w:spacing w:line="256" w:lineRule="auto"/>
      </w:pPr>
    </w:p>
    <w:p w14:paraId="6530F49B">
      <w:pPr>
        <w:keepLines w:val="0"/>
        <w:pageBreakBefore w:val="0"/>
        <w:kinsoku/>
        <w:wordWrap/>
        <w:overflowPunct/>
        <w:topLinePunct w:val="0"/>
        <w:bidi w:val="0"/>
        <w:spacing w:before="140" w:line="226" w:lineRule="auto"/>
        <w:ind w:left="2859"/>
        <w:rPr>
          <w:rFonts w:ascii="仿宋" w:hAnsi="仿宋" w:eastAsia="仿宋" w:cs="仿宋"/>
          <w:sz w:val="43"/>
          <w:szCs w:val="43"/>
        </w:rPr>
      </w:pPr>
      <w:r>
        <w:rPr>
          <w:rFonts w:ascii="仿宋" w:hAnsi="仿宋" w:eastAsia="仿宋" w:cs="仿宋"/>
          <w:b/>
          <w:bCs/>
          <w:spacing w:val="-19"/>
          <w:sz w:val="43"/>
          <w:szCs w:val="43"/>
        </w:rPr>
        <w:t>投</w:t>
      </w:r>
      <w:r>
        <w:rPr>
          <w:rFonts w:ascii="仿宋" w:hAnsi="仿宋" w:eastAsia="仿宋" w:cs="仿宋"/>
          <w:spacing w:val="20"/>
          <w:sz w:val="43"/>
          <w:szCs w:val="43"/>
        </w:rPr>
        <w:t xml:space="preserve">  </w:t>
      </w:r>
      <w:r>
        <w:rPr>
          <w:rFonts w:ascii="仿宋" w:hAnsi="仿宋" w:eastAsia="仿宋" w:cs="仿宋"/>
          <w:b/>
          <w:bCs/>
          <w:spacing w:val="-19"/>
          <w:sz w:val="43"/>
          <w:szCs w:val="43"/>
        </w:rPr>
        <w:t>标</w:t>
      </w:r>
      <w:r>
        <w:rPr>
          <w:rFonts w:ascii="仿宋" w:hAnsi="仿宋" w:eastAsia="仿宋" w:cs="仿宋"/>
          <w:spacing w:val="22"/>
          <w:sz w:val="43"/>
          <w:szCs w:val="43"/>
        </w:rPr>
        <w:t xml:space="preserve">  </w:t>
      </w:r>
      <w:r>
        <w:rPr>
          <w:rFonts w:ascii="仿宋" w:hAnsi="仿宋" w:eastAsia="仿宋" w:cs="仿宋"/>
          <w:b/>
          <w:bCs/>
          <w:spacing w:val="-19"/>
          <w:sz w:val="43"/>
          <w:szCs w:val="43"/>
        </w:rPr>
        <w:t>文</w:t>
      </w:r>
      <w:r>
        <w:rPr>
          <w:rFonts w:ascii="仿宋" w:hAnsi="仿宋" w:eastAsia="仿宋" w:cs="仿宋"/>
          <w:spacing w:val="21"/>
          <w:sz w:val="43"/>
          <w:szCs w:val="43"/>
        </w:rPr>
        <w:t xml:space="preserve">  </w:t>
      </w:r>
      <w:r>
        <w:rPr>
          <w:rFonts w:ascii="仿宋" w:hAnsi="仿宋" w:eastAsia="仿宋" w:cs="仿宋"/>
          <w:b/>
          <w:bCs/>
          <w:spacing w:val="-19"/>
          <w:sz w:val="43"/>
          <w:szCs w:val="43"/>
        </w:rPr>
        <w:t>件</w:t>
      </w:r>
    </w:p>
    <w:p w14:paraId="3ECA4595">
      <w:pPr>
        <w:pStyle w:val="7"/>
        <w:keepLines w:val="0"/>
        <w:pageBreakBefore w:val="0"/>
        <w:kinsoku/>
        <w:wordWrap/>
        <w:overflowPunct/>
        <w:topLinePunct w:val="0"/>
        <w:bidi w:val="0"/>
      </w:pPr>
    </w:p>
    <w:p w14:paraId="29D092B9">
      <w:pPr>
        <w:pStyle w:val="7"/>
        <w:keepLines w:val="0"/>
        <w:pageBreakBefore w:val="0"/>
        <w:kinsoku/>
        <w:wordWrap/>
        <w:overflowPunct/>
        <w:topLinePunct w:val="0"/>
        <w:bidi w:val="0"/>
      </w:pPr>
    </w:p>
    <w:p w14:paraId="475F1498">
      <w:pPr>
        <w:pStyle w:val="7"/>
        <w:keepLines w:val="0"/>
        <w:pageBreakBefore w:val="0"/>
        <w:kinsoku/>
        <w:wordWrap/>
        <w:overflowPunct/>
        <w:topLinePunct w:val="0"/>
        <w:bidi w:val="0"/>
      </w:pPr>
    </w:p>
    <w:p w14:paraId="56DD06C8">
      <w:pPr>
        <w:pStyle w:val="7"/>
        <w:keepLines w:val="0"/>
        <w:pageBreakBefore w:val="0"/>
        <w:kinsoku/>
        <w:wordWrap/>
        <w:overflowPunct/>
        <w:topLinePunct w:val="0"/>
        <w:bidi w:val="0"/>
      </w:pPr>
    </w:p>
    <w:p w14:paraId="56743783">
      <w:pPr>
        <w:pStyle w:val="7"/>
        <w:keepLines w:val="0"/>
        <w:pageBreakBefore w:val="0"/>
        <w:kinsoku/>
        <w:wordWrap/>
        <w:overflowPunct/>
        <w:topLinePunct w:val="0"/>
        <w:bidi w:val="0"/>
      </w:pPr>
    </w:p>
    <w:p w14:paraId="56E98587">
      <w:pPr>
        <w:pStyle w:val="7"/>
        <w:keepLines w:val="0"/>
        <w:pageBreakBefore w:val="0"/>
        <w:kinsoku/>
        <w:wordWrap/>
        <w:overflowPunct/>
        <w:topLinePunct w:val="0"/>
        <w:bidi w:val="0"/>
      </w:pPr>
    </w:p>
    <w:p w14:paraId="177322C6">
      <w:pPr>
        <w:pStyle w:val="7"/>
        <w:keepLines w:val="0"/>
        <w:pageBreakBefore w:val="0"/>
        <w:kinsoku/>
        <w:wordWrap/>
        <w:overflowPunct/>
        <w:topLinePunct w:val="0"/>
        <w:bidi w:val="0"/>
      </w:pPr>
    </w:p>
    <w:p w14:paraId="08C0C5E0">
      <w:pPr>
        <w:pStyle w:val="7"/>
        <w:keepLines w:val="0"/>
        <w:pageBreakBefore w:val="0"/>
        <w:kinsoku/>
        <w:wordWrap/>
        <w:overflowPunct/>
        <w:topLinePunct w:val="0"/>
        <w:bidi w:val="0"/>
        <w:spacing w:line="241" w:lineRule="auto"/>
      </w:pPr>
    </w:p>
    <w:p w14:paraId="6D878A87">
      <w:pPr>
        <w:pStyle w:val="7"/>
        <w:keepLines w:val="0"/>
        <w:pageBreakBefore w:val="0"/>
        <w:kinsoku/>
        <w:wordWrap/>
        <w:overflowPunct/>
        <w:topLinePunct w:val="0"/>
        <w:bidi w:val="0"/>
        <w:spacing w:line="241" w:lineRule="auto"/>
      </w:pPr>
    </w:p>
    <w:p w14:paraId="7F33B9BD">
      <w:pPr>
        <w:pStyle w:val="7"/>
        <w:keepLines w:val="0"/>
        <w:pageBreakBefore w:val="0"/>
        <w:kinsoku/>
        <w:wordWrap/>
        <w:overflowPunct/>
        <w:topLinePunct w:val="0"/>
        <w:bidi w:val="0"/>
        <w:spacing w:line="241" w:lineRule="auto"/>
      </w:pPr>
    </w:p>
    <w:p w14:paraId="623F7CFB">
      <w:pPr>
        <w:pStyle w:val="7"/>
        <w:keepLines w:val="0"/>
        <w:pageBreakBefore w:val="0"/>
        <w:kinsoku/>
        <w:wordWrap/>
        <w:overflowPunct/>
        <w:topLinePunct w:val="0"/>
        <w:bidi w:val="0"/>
        <w:spacing w:line="241" w:lineRule="auto"/>
      </w:pPr>
    </w:p>
    <w:p w14:paraId="63926416">
      <w:pPr>
        <w:pStyle w:val="7"/>
        <w:keepLines w:val="0"/>
        <w:pageBreakBefore w:val="0"/>
        <w:kinsoku/>
        <w:wordWrap/>
        <w:overflowPunct/>
        <w:topLinePunct w:val="0"/>
        <w:bidi w:val="0"/>
        <w:spacing w:line="241" w:lineRule="auto"/>
      </w:pPr>
    </w:p>
    <w:p w14:paraId="6E97D72A">
      <w:pPr>
        <w:pStyle w:val="7"/>
        <w:keepLines w:val="0"/>
        <w:pageBreakBefore w:val="0"/>
        <w:kinsoku/>
        <w:wordWrap/>
        <w:overflowPunct/>
        <w:topLinePunct w:val="0"/>
        <w:bidi w:val="0"/>
        <w:spacing w:line="241" w:lineRule="auto"/>
      </w:pPr>
    </w:p>
    <w:p w14:paraId="4A02294B">
      <w:pPr>
        <w:pStyle w:val="7"/>
        <w:keepLines w:val="0"/>
        <w:pageBreakBefore w:val="0"/>
        <w:kinsoku/>
        <w:wordWrap/>
        <w:overflowPunct/>
        <w:topLinePunct w:val="0"/>
        <w:bidi w:val="0"/>
        <w:spacing w:line="241" w:lineRule="auto"/>
      </w:pPr>
    </w:p>
    <w:p w14:paraId="0AEA9DAC">
      <w:pPr>
        <w:pStyle w:val="7"/>
        <w:keepLines w:val="0"/>
        <w:pageBreakBefore w:val="0"/>
        <w:kinsoku/>
        <w:wordWrap/>
        <w:overflowPunct/>
        <w:topLinePunct w:val="0"/>
        <w:bidi w:val="0"/>
        <w:spacing w:line="241" w:lineRule="auto"/>
      </w:pPr>
    </w:p>
    <w:p w14:paraId="79B294AD">
      <w:pPr>
        <w:pStyle w:val="7"/>
        <w:keepLines w:val="0"/>
        <w:pageBreakBefore w:val="0"/>
        <w:kinsoku/>
        <w:wordWrap/>
        <w:overflowPunct/>
        <w:topLinePunct w:val="0"/>
        <w:bidi w:val="0"/>
        <w:spacing w:line="241" w:lineRule="auto"/>
      </w:pPr>
    </w:p>
    <w:p w14:paraId="66BFD371">
      <w:pPr>
        <w:pStyle w:val="7"/>
        <w:keepLines w:val="0"/>
        <w:pageBreakBefore w:val="0"/>
        <w:kinsoku/>
        <w:wordWrap/>
        <w:overflowPunct/>
        <w:topLinePunct w:val="0"/>
        <w:bidi w:val="0"/>
        <w:spacing w:line="241" w:lineRule="auto"/>
      </w:pPr>
    </w:p>
    <w:p w14:paraId="6C247606">
      <w:pPr>
        <w:keepLines w:val="0"/>
        <w:pageBreakBefore w:val="0"/>
        <w:kinsoku/>
        <w:wordWrap/>
        <w:overflowPunct/>
        <w:topLinePunct w:val="0"/>
        <w:bidi w:val="0"/>
        <w:spacing w:before="91" w:line="222" w:lineRule="auto"/>
        <w:ind w:left="896"/>
        <w:rPr>
          <w:rFonts w:ascii="仿宋" w:hAnsi="仿宋" w:eastAsia="仿宋" w:cs="仿宋"/>
          <w:sz w:val="28"/>
          <w:szCs w:val="28"/>
        </w:rPr>
      </w:pPr>
      <w:r>
        <w:rPr>
          <w:rFonts w:hint="eastAsia" w:ascii="仿宋" w:hAnsi="仿宋" w:eastAsia="仿宋" w:cs="仿宋"/>
          <w:spacing w:val="3"/>
          <w:sz w:val="28"/>
          <w:szCs w:val="28"/>
          <w:lang w:eastAsia="zh-CN"/>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6D986561">
      <w:pPr>
        <w:keepLines w:val="0"/>
        <w:pageBreakBefore w:val="0"/>
        <w:kinsoku/>
        <w:wordWrap/>
        <w:overflowPunct/>
        <w:topLinePunct w:val="0"/>
        <w:bidi w:val="0"/>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019A9CFF">
      <w:pPr>
        <w:keepLines w:val="0"/>
        <w:pageBreakBefore w:val="0"/>
        <w:kinsoku/>
        <w:wordWrap/>
        <w:overflowPunct/>
        <w:topLinePunct w:val="0"/>
        <w:bidi w:val="0"/>
        <w:spacing w:before="2" w:line="222" w:lineRule="auto"/>
        <w:ind w:left="3352"/>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r>
        <w:rPr>
          <w:rFonts w:ascii="仿宋" w:hAnsi="仿宋" w:eastAsia="仿宋" w:cs="仿宋"/>
          <w:spacing w:val="-18"/>
          <w:sz w:val="28"/>
          <w:szCs w:val="28"/>
        </w:rPr>
        <w:t>日</w:t>
      </w:r>
    </w:p>
    <w:p w14:paraId="10364372">
      <w:pPr>
        <w:keepLines w:val="0"/>
        <w:pageBreakBefore w:val="0"/>
        <w:kinsoku/>
        <w:wordWrap/>
        <w:overflowPunct/>
        <w:topLinePunct w:val="0"/>
        <w:bidi w:val="0"/>
        <w:spacing w:line="222" w:lineRule="auto"/>
        <w:rPr>
          <w:rFonts w:ascii="仿宋" w:hAnsi="仿宋" w:eastAsia="仿宋" w:cs="仿宋"/>
          <w:sz w:val="28"/>
          <w:szCs w:val="28"/>
        </w:rPr>
        <w:sectPr>
          <w:footerReference r:id="rId9" w:type="default"/>
          <w:pgSz w:w="11906" w:h="16839"/>
          <w:pgMar w:top="1440" w:right="1080" w:bottom="1440" w:left="1080" w:header="0" w:footer="989" w:gutter="0"/>
          <w:pgNumType w:fmt="decimal"/>
          <w:cols w:space="720" w:num="1"/>
        </w:sectPr>
      </w:pPr>
    </w:p>
    <w:p w14:paraId="65AB335E">
      <w:pPr>
        <w:keepLines w:val="0"/>
        <w:pageBreakBefore w:val="0"/>
        <w:kinsoku/>
        <w:wordWrap/>
        <w:overflowPunct/>
        <w:topLinePunct w:val="0"/>
        <w:bidi w:val="0"/>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14:paraId="36115A25">
      <w:pPr>
        <w:pStyle w:val="7"/>
        <w:keepLines w:val="0"/>
        <w:pageBreakBefore w:val="0"/>
        <w:kinsoku/>
        <w:wordWrap/>
        <w:overflowPunct/>
        <w:topLinePunct w:val="0"/>
        <w:bidi w:val="0"/>
        <w:spacing w:line="243" w:lineRule="auto"/>
      </w:pPr>
    </w:p>
    <w:p w14:paraId="7CE50046">
      <w:pPr>
        <w:pStyle w:val="7"/>
        <w:keepLines w:val="0"/>
        <w:pageBreakBefore w:val="0"/>
        <w:kinsoku/>
        <w:wordWrap/>
        <w:overflowPunct/>
        <w:topLinePunct w:val="0"/>
        <w:bidi w:val="0"/>
        <w:spacing w:line="244" w:lineRule="auto"/>
      </w:pPr>
    </w:p>
    <w:p w14:paraId="0F332165">
      <w:pPr>
        <w:keepNext w:val="0"/>
        <w:keepLines w:val="0"/>
        <w:pageBreakBefore w:val="0"/>
        <w:widowControl/>
        <w:kinsoku/>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color w:val="auto"/>
          <w:sz w:val="24"/>
          <w:szCs w:val="24"/>
        </w:rPr>
      </w:pPr>
      <w:r>
        <w:rPr>
          <w:rFonts w:ascii="仿宋" w:hAnsi="仿宋" w:eastAsia="仿宋" w:cs="仿宋"/>
          <w:b/>
          <w:bCs/>
          <w:color w:val="auto"/>
          <w:spacing w:val="1"/>
          <w:sz w:val="24"/>
          <w:szCs w:val="24"/>
        </w:rPr>
        <w:t>1.投标函</w:t>
      </w:r>
    </w:p>
    <w:p w14:paraId="35450F9E">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color w:val="auto"/>
          <w:sz w:val="24"/>
          <w:szCs w:val="24"/>
        </w:rPr>
      </w:pPr>
      <w:r>
        <w:rPr>
          <w:rFonts w:ascii="仿宋" w:hAnsi="仿宋" w:eastAsia="仿宋" w:cs="仿宋"/>
          <w:b/>
          <w:bCs/>
          <w:color w:val="auto"/>
          <w:spacing w:val="6"/>
          <w:position w:val="14"/>
          <w:sz w:val="24"/>
          <w:szCs w:val="24"/>
        </w:rPr>
        <w:t>2.投标报价一览表</w:t>
      </w:r>
    </w:p>
    <w:p w14:paraId="080D7EB8">
      <w:pPr>
        <w:keepNext w:val="0"/>
        <w:keepLines w:val="0"/>
        <w:pageBreakBefore w:val="0"/>
        <w:widowControl/>
        <w:kinsoku/>
        <w:wordWrap/>
        <w:overflowPunct/>
        <w:topLinePunct w:val="0"/>
        <w:autoSpaceDE w:val="0"/>
        <w:autoSpaceDN w:val="0"/>
        <w:bidi w:val="0"/>
        <w:adjustRightInd w:val="0"/>
        <w:snapToGrid w:val="0"/>
        <w:spacing w:before="1" w:line="440" w:lineRule="exact"/>
        <w:ind w:left="659"/>
        <w:textAlignment w:val="baseline"/>
        <w:rPr>
          <w:rFonts w:ascii="仿宋" w:hAnsi="仿宋" w:eastAsia="仿宋" w:cs="仿宋"/>
          <w:b/>
          <w:bCs/>
          <w:color w:val="auto"/>
          <w:spacing w:val="6"/>
          <w:sz w:val="24"/>
          <w:szCs w:val="24"/>
        </w:rPr>
      </w:pPr>
      <w:r>
        <w:rPr>
          <w:rFonts w:ascii="仿宋" w:hAnsi="仿宋" w:eastAsia="仿宋" w:cs="仿宋"/>
          <w:b/>
          <w:bCs/>
          <w:color w:val="auto"/>
          <w:spacing w:val="6"/>
          <w:sz w:val="24"/>
          <w:szCs w:val="24"/>
        </w:rPr>
        <w:t>3.分项报价明细表</w:t>
      </w:r>
    </w:p>
    <w:p w14:paraId="68C1ACA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default"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4.投标货物（设备）技术、性能、质量具体明细及偏离表</w:t>
      </w:r>
    </w:p>
    <w:p w14:paraId="36319390">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5</w:t>
      </w:r>
      <w:r>
        <w:rPr>
          <w:rFonts w:ascii="仿宋" w:hAnsi="仿宋" w:eastAsia="仿宋" w:cs="仿宋"/>
          <w:b/>
          <w:bCs/>
          <w:color w:val="auto"/>
          <w:spacing w:val="6"/>
          <w:position w:val="14"/>
          <w:sz w:val="24"/>
          <w:szCs w:val="24"/>
        </w:rPr>
        <w:t>.法定代表人身份证明</w:t>
      </w:r>
    </w:p>
    <w:p w14:paraId="3EC32975">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6</w:t>
      </w:r>
      <w:r>
        <w:rPr>
          <w:rFonts w:ascii="仿宋" w:hAnsi="仿宋" w:eastAsia="仿宋" w:cs="仿宋"/>
          <w:b/>
          <w:bCs/>
          <w:color w:val="auto"/>
          <w:spacing w:val="6"/>
          <w:position w:val="14"/>
          <w:sz w:val="24"/>
          <w:szCs w:val="24"/>
        </w:rPr>
        <w:t>.法定代表人授权委托书</w:t>
      </w:r>
    </w:p>
    <w:p w14:paraId="424D259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7</w:t>
      </w:r>
      <w:r>
        <w:rPr>
          <w:rFonts w:ascii="仿宋" w:hAnsi="仿宋" w:eastAsia="仿宋" w:cs="仿宋"/>
          <w:b/>
          <w:bCs/>
          <w:color w:val="auto"/>
          <w:spacing w:val="6"/>
          <w:position w:val="14"/>
          <w:sz w:val="24"/>
          <w:szCs w:val="24"/>
        </w:rPr>
        <w:t>.</w:t>
      </w:r>
      <w:r>
        <w:rPr>
          <w:rFonts w:hint="eastAsia" w:ascii="仿宋" w:hAnsi="仿宋" w:eastAsia="仿宋" w:cs="仿宋"/>
          <w:b/>
          <w:bCs/>
          <w:color w:val="auto"/>
          <w:spacing w:val="6"/>
          <w:position w:val="14"/>
          <w:sz w:val="24"/>
          <w:szCs w:val="24"/>
          <w:lang w:eastAsia="zh-CN"/>
        </w:rPr>
        <w:t>投标人</w:t>
      </w:r>
      <w:r>
        <w:rPr>
          <w:rFonts w:ascii="仿宋" w:hAnsi="仿宋" w:eastAsia="仿宋" w:cs="仿宋"/>
          <w:b/>
          <w:bCs/>
          <w:color w:val="auto"/>
          <w:spacing w:val="6"/>
          <w:position w:val="14"/>
          <w:sz w:val="24"/>
          <w:szCs w:val="24"/>
        </w:rPr>
        <w:t>基本情况</w:t>
      </w:r>
    </w:p>
    <w:p w14:paraId="7DD8BA92">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8</w:t>
      </w:r>
      <w:r>
        <w:rPr>
          <w:rFonts w:ascii="仿宋" w:hAnsi="仿宋" w:eastAsia="仿宋" w:cs="仿宋"/>
          <w:b/>
          <w:bCs/>
          <w:color w:val="auto"/>
          <w:spacing w:val="6"/>
          <w:position w:val="14"/>
          <w:sz w:val="24"/>
          <w:szCs w:val="24"/>
        </w:rPr>
        <w:t>.近三年无重大违法记录声明</w:t>
      </w:r>
    </w:p>
    <w:p w14:paraId="0283DADB">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9.具有履行合同所必须的设备和专业技术能力的承诺函</w:t>
      </w:r>
    </w:p>
    <w:p w14:paraId="193DB842">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10.提供单位负责人为同一人或者存在直接控股、管理关系的不同投标人，不得参加同一合同项下的政府采购活动的书面声明（格式自拟）</w:t>
      </w:r>
    </w:p>
    <w:p w14:paraId="4FBAE207">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11.拟投入本项目管理、服务、其他人员情况表</w:t>
      </w:r>
    </w:p>
    <w:p w14:paraId="25C6EFC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12.方案</w:t>
      </w:r>
    </w:p>
    <w:p w14:paraId="7BCD8917">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13.其它证明材料</w:t>
      </w:r>
    </w:p>
    <w:p w14:paraId="26FC0FB9">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default"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14.四个承诺</w:t>
      </w:r>
    </w:p>
    <w:p w14:paraId="5F6E8BD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15.声明函</w:t>
      </w:r>
    </w:p>
    <w:p w14:paraId="390289CF">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133E21B7">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425A291E">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4317765F">
      <w:pPr>
        <w:keepLines w:val="0"/>
        <w:pageBreakBefore w:val="0"/>
        <w:kinsoku/>
        <w:wordWrap/>
        <w:overflowPunct/>
        <w:topLinePunct w:val="0"/>
        <w:bidi w:val="0"/>
        <w:spacing w:before="182" w:line="534" w:lineRule="exact"/>
        <w:ind w:left="3440"/>
        <w:rPr>
          <w:rFonts w:ascii="仿宋" w:hAnsi="仿宋" w:eastAsia="仿宋" w:cs="仿宋"/>
          <w:b/>
          <w:bCs/>
          <w:spacing w:val="1"/>
          <w:position w:val="15"/>
          <w:sz w:val="31"/>
          <w:szCs w:val="31"/>
        </w:rPr>
      </w:pPr>
    </w:p>
    <w:p w14:paraId="10CB3940">
      <w:pPr>
        <w:keepLines w:val="0"/>
        <w:pageBreakBefore w:val="0"/>
        <w:kinsoku/>
        <w:wordWrap/>
        <w:overflowPunct/>
        <w:topLinePunct w:val="0"/>
        <w:bidi w:val="0"/>
        <w:spacing w:before="182" w:line="534" w:lineRule="exact"/>
        <w:rPr>
          <w:rFonts w:ascii="仿宋" w:hAnsi="仿宋" w:eastAsia="仿宋" w:cs="仿宋"/>
          <w:b/>
          <w:bCs/>
          <w:spacing w:val="1"/>
          <w:position w:val="15"/>
          <w:sz w:val="31"/>
          <w:szCs w:val="31"/>
        </w:rPr>
      </w:pPr>
    </w:p>
    <w:p w14:paraId="1550176F">
      <w:pPr>
        <w:keepLines w:val="0"/>
        <w:pageBreakBefore w:val="0"/>
        <w:kinsoku/>
        <w:wordWrap/>
        <w:overflowPunct/>
        <w:topLinePunct w:val="0"/>
        <w:bidi w:val="0"/>
        <w:spacing w:before="182" w:line="534" w:lineRule="exact"/>
        <w:ind w:left="3440"/>
        <w:rPr>
          <w:rFonts w:ascii="仿宋" w:hAnsi="仿宋" w:eastAsia="仿宋" w:cs="仿宋"/>
          <w:b/>
          <w:bCs/>
          <w:spacing w:val="1"/>
          <w:position w:val="15"/>
          <w:sz w:val="31"/>
          <w:szCs w:val="31"/>
        </w:rPr>
      </w:pPr>
    </w:p>
    <w:p w14:paraId="7C45F52C">
      <w:pPr>
        <w:keepLines w:val="0"/>
        <w:pageBreakBefore w:val="0"/>
        <w:kinsoku/>
        <w:wordWrap/>
        <w:overflowPunct/>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762BF974">
      <w:pPr>
        <w:keepLines w:val="0"/>
        <w:pageBreakBefore w:val="0"/>
        <w:kinsoku/>
        <w:wordWrap/>
        <w:overflowPunct/>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ascii="仿宋" w:hAnsi="仿宋" w:eastAsia="仿宋" w:cs="仿宋"/>
          <w:b/>
          <w:bCs/>
          <w:spacing w:val="-1"/>
          <w:sz w:val="24"/>
          <w:szCs w:val="24"/>
        </w:rPr>
        <w:t>投标函</w:t>
      </w:r>
    </w:p>
    <w:p w14:paraId="28862BC3">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5E5CD77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项目名称</w:t>
      </w:r>
      <w:r>
        <w:rPr>
          <w:rFonts w:ascii="仿宋" w:hAnsi="仿宋" w:eastAsia="仿宋" w:cs="仿宋"/>
          <w:spacing w:val="7"/>
          <w:sz w:val="24"/>
          <w:szCs w:val="24"/>
          <w:u w:val="single"/>
        </w:rPr>
        <w:t>、项目编号）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投标人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投标人</w:t>
      </w:r>
      <w:r>
        <w:rPr>
          <w:rFonts w:ascii="仿宋" w:hAnsi="仿宋" w:eastAsia="仿宋" w:cs="仿宋"/>
          <w:spacing w:val="7"/>
          <w:sz w:val="24"/>
          <w:szCs w:val="24"/>
          <w:u w:val="single"/>
        </w:rPr>
        <w:t>名称、地址）</w:t>
      </w:r>
      <w:r>
        <w:rPr>
          <w:rFonts w:ascii="仿宋" w:hAnsi="仿宋" w:eastAsia="仿宋" w:cs="仿宋"/>
          <w:spacing w:val="7"/>
          <w:sz w:val="24"/>
          <w:szCs w:val="24"/>
        </w:rPr>
        <w:t>提交下述投标文件并在此声明，所递交的投标文件内容完整、真实。在此，签字代表承诺如下：</w:t>
      </w:r>
    </w:p>
    <w:p w14:paraId="052AE1C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1、我方在详细阅读招标文件各项要求，根据对应采购内容及采购要求规定愿以</w:t>
      </w:r>
      <w:r>
        <w:rPr>
          <w:rFonts w:hint="eastAsia" w:ascii="仿宋" w:hAnsi="仿宋" w:eastAsia="仿宋" w:cs="仿宋"/>
          <w:spacing w:val="7"/>
          <w:sz w:val="24"/>
          <w:szCs w:val="24"/>
          <w:lang w:eastAsia="zh-CN"/>
        </w:rPr>
        <w:t>投标总报价（元）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075B0060">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2、我方将按招标文件的规定履行合同责任和义务。</w:t>
      </w:r>
    </w:p>
    <w:p w14:paraId="38BE9CC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3、我方已详细审查全部招标文件，我们完全理解并同意放弃对这方面有不明及误解的权力。</w:t>
      </w:r>
    </w:p>
    <w:p w14:paraId="6D768B7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4、若我方取得中标资格，愿以本项目招标文件规定，向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缴纳招标代理服务费。</w:t>
      </w:r>
    </w:p>
    <w:p w14:paraId="6D90D2E7">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、我方同意提供贵方可能要求的与其投标有关的一切数据或资料。</w:t>
      </w:r>
    </w:p>
    <w:p w14:paraId="477E62E7">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（投标人认为需要的其他补充说明）。</w:t>
      </w:r>
    </w:p>
    <w:p w14:paraId="0E2CCA1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7、与本投标有关的一切正式往来信函请寄：</w:t>
      </w:r>
    </w:p>
    <w:p w14:paraId="11295B4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39D846A2">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7541FF9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286CA167">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27A8D148">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10" w:type="default"/>
          <w:pgSz w:w="11906" w:h="16839"/>
          <w:pgMar w:top="1440" w:right="1080" w:bottom="1440" w:left="1080" w:header="0" w:footer="989" w:gutter="0"/>
          <w:pgNumType w:fmt="decimal"/>
          <w:cols w:space="720" w:num="1"/>
        </w:sectPr>
      </w:pPr>
    </w:p>
    <w:p w14:paraId="4894E2C5">
      <w:pPr>
        <w:keepLines w:val="0"/>
        <w:pageBreakBefore w:val="0"/>
        <w:kinsoku/>
        <w:wordWrap/>
        <w:overflowPunct/>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2.投标报价一览表</w:t>
      </w:r>
    </w:p>
    <w:p w14:paraId="714D7ED9">
      <w:pPr>
        <w:pStyle w:val="7"/>
        <w:keepLines w:val="0"/>
        <w:pageBreakBefore w:val="0"/>
        <w:kinsoku/>
        <w:wordWrap/>
        <w:overflowPunct/>
        <w:topLinePunct w:val="0"/>
        <w:bidi w:val="0"/>
        <w:spacing w:line="448" w:lineRule="auto"/>
      </w:pPr>
    </w:p>
    <w:p w14:paraId="4FA88C27">
      <w:pPr>
        <w:keepLines w:val="0"/>
        <w:pageBreakBefore w:val="0"/>
        <w:kinsoku/>
        <w:wordWrap/>
        <w:overflowPunct/>
        <w:topLinePunct w:val="0"/>
        <w:bidi w:val="0"/>
        <w:spacing w:before="78" w:line="221" w:lineRule="auto"/>
        <w:ind w:left="319"/>
        <w:rPr>
          <w:rFonts w:ascii="仿宋" w:hAnsi="仿宋" w:eastAsia="仿宋" w:cs="仿宋"/>
          <w:sz w:val="24"/>
          <w:szCs w:val="24"/>
        </w:rPr>
      </w:pPr>
      <w:r>
        <w:rPr>
          <w:rFonts w:hint="eastAsia" w:ascii="仿宋" w:hAnsi="仿宋" w:eastAsia="仿宋" w:cs="仿宋"/>
          <w:spacing w:val="-2"/>
          <w:sz w:val="24"/>
          <w:szCs w:val="24"/>
          <w:lang w:eastAsia="zh-CN"/>
        </w:rPr>
        <w:t>项目名称</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3F7DF1BB">
      <w:pPr>
        <w:keepLines w:val="0"/>
        <w:pageBreakBefore w:val="0"/>
        <w:kinsoku/>
        <w:wordWrap/>
        <w:overflowPunct/>
        <w:topLinePunct w:val="0"/>
        <w:bidi w:val="0"/>
        <w:spacing w:before="69"/>
      </w:pPr>
    </w:p>
    <w:p w14:paraId="5E93D932">
      <w:pPr>
        <w:keepLines w:val="0"/>
        <w:pageBreakBefore w:val="0"/>
        <w:kinsoku/>
        <w:wordWrap/>
        <w:overflowPunct/>
        <w:topLinePunct w:val="0"/>
        <w:bidi w:val="0"/>
        <w:spacing w:before="69"/>
      </w:pPr>
    </w:p>
    <w:p w14:paraId="243E239E">
      <w:pPr>
        <w:keepLines w:val="0"/>
        <w:pageBreakBefore w:val="0"/>
        <w:kinsoku/>
        <w:wordWrap/>
        <w:overflowPunct/>
        <w:topLinePunct w:val="0"/>
        <w:bidi w:val="0"/>
        <w:spacing w:before="68"/>
      </w:pPr>
    </w:p>
    <w:tbl>
      <w:tblPr>
        <w:tblStyle w:val="28"/>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1AD7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1A37588B">
            <w:pPr>
              <w:keepLines w:val="0"/>
              <w:pageBreakBefore w:val="0"/>
              <w:kinsoku/>
              <w:wordWrap/>
              <w:overflowPunct/>
              <w:topLinePunct w:val="0"/>
              <w:bidi w:val="0"/>
              <w:spacing w:line="254" w:lineRule="auto"/>
              <w:rPr>
                <w:rFonts w:ascii="Arial"/>
                <w:sz w:val="24"/>
                <w:szCs w:val="24"/>
              </w:rPr>
            </w:pPr>
          </w:p>
          <w:p w14:paraId="276D45C1">
            <w:pPr>
              <w:keepLines w:val="0"/>
              <w:pageBreakBefore w:val="0"/>
              <w:kinsoku/>
              <w:wordWrap/>
              <w:overflowPunct/>
              <w:topLinePunct w:val="0"/>
              <w:bidi w:val="0"/>
              <w:spacing w:line="254" w:lineRule="auto"/>
              <w:rPr>
                <w:rFonts w:ascii="Arial"/>
                <w:sz w:val="24"/>
                <w:szCs w:val="24"/>
              </w:rPr>
            </w:pPr>
          </w:p>
          <w:p w14:paraId="544FB6A4">
            <w:pPr>
              <w:keepLines w:val="0"/>
              <w:pageBreakBefore w:val="0"/>
              <w:kinsoku/>
              <w:wordWrap/>
              <w:overflowPunct/>
              <w:topLinePunct w:val="0"/>
              <w:bidi w:val="0"/>
              <w:spacing w:line="254" w:lineRule="auto"/>
              <w:rPr>
                <w:rFonts w:ascii="Arial"/>
                <w:sz w:val="24"/>
                <w:szCs w:val="24"/>
              </w:rPr>
            </w:pPr>
          </w:p>
          <w:p w14:paraId="5856E803">
            <w:pPr>
              <w:keepLines w:val="0"/>
              <w:pageBreakBefore w:val="0"/>
              <w:kinsoku/>
              <w:wordWrap/>
              <w:overflowPunct/>
              <w:topLinePunct w:val="0"/>
              <w:bidi w:val="0"/>
              <w:spacing w:line="254" w:lineRule="auto"/>
              <w:rPr>
                <w:rFonts w:ascii="Arial"/>
                <w:sz w:val="24"/>
                <w:szCs w:val="24"/>
              </w:rPr>
            </w:pPr>
          </w:p>
          <w:p w14:paraId="36C81921">
            <w:pPr>
              <w:keepLines w:val="0"/>
              <w:pageBreakBefore w:val="0"/>
              <w:kinsoku/>
              <w:wordWrap/>
              <w:overflowPunct/>
              <w:topLinePunct w:val="0"/>
              <w:bidi w:val="0"/>
              <w:spacing w:line="254" w:lineRule="auto"/>
              <w:rPr>
                <w:rFonts w:ascii="Arial"/>
                <w:sz w:val="24"/>
                <w:szCs w:val="24"/>
              </w:rPr>
            </w:pPr>
          </w:p>
          <w:p w14:paraId="2CF1FFBF">
            <w:pPr>
              <w:keepLines w:val="0"/>
              <w:pageBreakBefore w:val="0"/>
              <w:kinsoku/>
              <w:wordWrap/>
              <w:overflowPunct/>
              <w:topLinePunct w:val="0"/>
              <w:bidi w:val="0"/>
              <w:spacing w:line="255" w:lineRule="auto"/>
              <w:rPr>
                <w:rFonts w:ascii="Arial"/>
                <w:sz w:val="24"/>
                <w:szCs w:val="24"/>
              </w:rPr>
            </w:pPr>
          </w:p>
          <w:p w14:paraId="62977556">
            <w:pPr>
              <w:pStyle w:val="29"/>
              <w:keepLines w:val="0"/>
              <w:pageBreakBefore w:val="0"/>
              <w:kinsoku/>
              <w:wordWrap/>
              <w:overflowPunct/>
              <w:topLinePunct w:val="0"/>
              <w:bidi w:val="0"/>
              <w:spacing w:before="78" w:line="222" w:lineRule="auto"/>
              <w:jc w:val="center"/>
              <w:rPr>
                <w:sz w:val="24"/>
                <w:szCs w:val="24"/>
              </w:rPr>
            </w:pPr>
            <w:r>
              <w:rPr>
                <w:spacing w:val="-2"/>
                <w:sz w:val="24"/>
                <w:szCs w:val="24"/>
              </w:rPr>
              <w:t>投标</w:t>
            </w:r>
            <w:r>
              <w:rPr>
                <w:rFonts w:hint="eastAsia"/>
                <w:spacing w:val="-2"/>
                <w:sz w:val="24"/>
                <w:szCs w:val="24"/>
                <w:lang w:eastAsia="zh-CN"/>
              </w:rPr>
              <w:t>报价（元）</w:t>
            </w:r>
          </w:p>
        </w:tc>
        <w:tc>
          <w:tcPr>
            <w:tcW w:w="5939" w:type="dxa"/>
            <w:vAlign w:val="top"/>
          </w:tcPr>
          <w:p w14:paraId="0B94AAF7">
            <w:pPr>
              <w:keepLines w:val="0"/>
              <w:pageBreakBefore w:val="0"/>
              <w:kinsoku/>
              <w:wordWrap/>
              <w:overflowPunct/>
              <w:topLinePunct w:val="0"/>
              <w:bidi w:val="0"/>
              <w:spacing w:line="341" w:lineRule="auto"/>
              <w:rPr>
                <w:rFonts w:ascii="Arial"/>
                <w:sz w:val="24"/>
                <w:szCs w:val="24"/>
              </w:rPr>
            </w:pPr>
          </w:p>
          <w:p w14:paraId="7EEAF4C4">
            <w:pPr>
              <w:keepLines w:val="0"/>
              <w:pageBreakBefore w:val="0"/>
              <w:kinsoku/>
              <w:wordWrap/>
              <w:overflowPunct/>
              <w:topLinePunct w:val="0"/>
              <w:bidi w:val="0"/>
              <w:spacing w:line="342" w:lineRule="auto"/>
              <w:rPr>
                <w:rFonts w:ascii="Arial"/>
                <w:sz w:val="24"/>
                <w:szCs w:val="24"/>
              </w:rPr>
            </w:pPr>
          </w:p>
          <w:p w14:paraId="78A3257F">
            <w:pPr>
              <w:pStyle w:val="29"/>
              <w:keepLines w:val="0"/>
              <w:pageBreakBefore w:val="0"/>
              <w:kinsoku/>
              <w:wordWrap/>
              <w:overflowPunct/>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36A7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19135EAD">
            <w:pPr>
              <w:keepLines w:val="0"/>
              <w:pageBreakBefore w:val="0"/>
              <w:kinsoku/>
              <w:wordWrap/>
              <w:overflowPunct/>
              <w:topLinePunct w:val="0"/>
              <w:bidi w:val="0"/>
              <w:rPr>
                <w:rFonts w:ascii="Arial"/>
                <w:sz w:val="24"/>
                <w:szCs w:val="24"/>
              </w:rPr>
            </w:pPr>
          </w:p>
        </w:tc>
        <w:tc>
          <w:tcPr>
            <w:tcW w:w="5939" w:type="dxa"/>
            <w:vAlign w:val="top"/>
          </w:tcPr>
          <w:p w14:paraId="3DACAE24">
            <w:pPr>
              <w:keepLines w:val="0"/>
              <w:pageBreakBefore w:val="0"/>
              <w:kinsoku/>
              <w:wordWrap/>
              <w:overflowPunct/>
              <w:topLinePunct w:val="0"/>
              <w:bidi w:val="0"/>
              <w:spacing w:line="320" w:lineRule="auto"/>
              <w:rPr>
                <w:rFonts w:ascii="Arial"/>
                <w:sz w:val="24"/>
                <w:szCs w:val="24"/>
              </w:rPr>
            </w:pPr>
          </w:p>
          <w:p w14:paraId="5B901EDC">
            <w:pPr>
              <w:keepLines w:val="0"/>
              <w:pageBreakBefore w:val="0"/>
              <w:kinsoku/>
              <w:wordWrap/>
              <w:overflowPunct/>
              <w:topLinePunct w:val="0"/>
              <w:bidi w:val="0"/>
              <w:spacing w:line="320" w:lineRule="auto"/>
              <w:rPr>
                <w:rFonts w:ascii="Arial"/>
                <w:sz w:val="24"/>
                <w:szCs w:val="24"/>
              </w:rPr>
            </w:pPr>
          </w:p>
          <w:p w14:paraId="0E4F56DF">
            <w:pPr>
              <w:pStyle w:val="29"/>
              <w:keepLines w:val="0"/>
              <w:pageBreakBefore w:val="0"/>
              <w:kinsoku/>
              <w:wordWrap/>
              <w:overflowPunct/>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727A0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631B4C42">
            <w:pPr>
              <w:keepLines w:val="0"/>
              <w:pageBreakBefore w:val="0"/>
              <w:kinsoku/>
              <w:wordWrap/>
              <w:overflowPunct/>
              <w:topLinePunct w:val="0"/>
              <w:bidi w:val="0"/>
              <w:spacing w:line="404" w:lineRule="auto"/>
              <w:rPr>
                <w:rFonts w:ascii="Arial"/>
                <w:sz w:val="24"/>
                <w:szCs w:val="24"/>
              </w:rPr>
            </w:pPr>
          </w:p>
          <w:p w14:paraId="25E83A4C">
            <w:pPr>
              <w:pStyle w:val="29"/>
              <w:keepLines w:val="0"/>
              <w:pageBreakBefore w:val="0"/>
              <w:kinsoku/>
              <w:wordWrap/>
              <w:overflowPunct/>
              <w:topLinePunct w:val="0"/>
              <w:bidi w:val="0"/>
              <w:spacing w:before="78" w:line="222" w:lineRule="auto"/>
              <w:ind w:left="1014"/>
              <w:rPr>
                <w:sz w:val="24"/>
                <w:szCs w:val="24"/>
              </w:rPr>
            </w:pPr>
            <w:r>
              <w:rPr>
                <w:rFonts w:hint="eastAsia"/>
                <w:sz w:val="24"/>
                <w:szCs w:val="24"/>
                <w:lang w:eastAsia="zh-CN"/>
              </w:rPr>
              <w:t>供货</w:t>
            </w:r>
            <w:r>
              <w:rPr>
                <w:sz w:val="24"/>
                <w:szCs w:val="24"/>
              </w:rPr>
              <w:t>期限</w:t>
            </w:r>
          </w:p>
        </w:tc>
        <w:tc>
          <w:tcPr>
            <w:tcW w:w="5939" w:type="dxa"/>
            <w:vAlign w:val="top"/>
          </w:tcPr>
          <w:p w14:paraId="114B9A86">
            <w:pPr>
              <w:keepLines w:val="0"/>
              <w:pageBreakBefore w:val="0"/>
              <w:kinsoku/>
              <w:wordWrap/>
              <w:overflowPunct/>
              <w:topLinePunct w:val="0"/>
              <w:bidi w:val="0"/>
              <w:rPr>
                <w:rFonts w:ascii="Arial"/>
                <w:sz w:val="24"/>
                <w:szCs w:val="24"/>
              </w:rPr>
            </w:pPr>
          </w:p>
        </w:tc>
      </w:tr>
      <w:tr w14:paraId="530F1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5DDB1EF4">
            <w:pPr>
              <w:keepLines w:val="0"/>
              <w:pageBreakBefore w:val="0"/>
              <w:kinsoku/>
              <w:wordWrap/>
              <w:overflowPunct/>
              <w:topLinePunct w:val="0"/>
              <w:bidi w:val="0"/>
              <w:spacing w:line="404" w:lineRule="auto"/>
              <w:rPr>
                <w:rFonts w:ascii="Arial"/>
                <w:sz w:val="24"/>
                <w:szCs w:val="24"/>
              </w:rPr>
            </w:pPr>
          </w:p>
          <w:p w14:paraId="57C7B102">
            <w:pPr>
              <w:pStyle w:val="29"/>
              <w:keepLines w:val="0"/>
              <w:pageBreakBefore w:val="0"/>
              <w:kinsoku/>
              <w:wordWrap/>
              <w:overflowPunct/>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4088B9F9">
            <w:pPr>
              <w:keepLines w:val="0"/>
              <w:pageBreakBefore w:val="0"/>
              <w:kinsoku/>
              <w:wordWrap/>
              <w:overflowPunct/>
              <w:topLinePunct w:val="0"/>
              <w:bidi w:val="0"/>
              <w:rPr>
                <w:rFonts w:ascii="Arial"/>
                <w:sz w:val="24"/>
                <w:szCs w:val="24"/>
              </w:rPr>
            </w:pPr>
          </w:p>
        </w:tc>
      </w:tr>
      <w:tr w14:paraId="76B0D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050E04EF">
            <w:pPr>
              <w:keepLines w:val="0"/>
              <w:pageBreakBefore w:val="0"/>
              <w:kinsoku/>
              <w:wordWrap/>
              <w:overflowPunct/>
              <w:topLinePunct w:val="0"/>
              <w:bidi w:val="0"/>
              <w:spacing w:line="407" w:lineRule="auto"/>
              <w:rPr>
                <w:rFonts w:ascii="Arial"/>
                <w:sz w:val="24"/>
                <w:szCs w:val="24"/>
              </w:rPr>
            </w:pPr>
          </w:p>
          <w:p w14:paraId="1EC3C1B5">
            <w:pPr>
              <w:pStyle w:val="29"/>
              <w:keepLines w:val="0"/>
              <w:pageBreakBefore w:val="0"/>
              <w:kinsoku/>
              <w:wordWrap/>
              <w:overflowPunct/>
              <w:topLinePunct w:val="0"/>
              <w:bidi w:val="0"/>
              <w:spacing w:before="78" w:line="224" w:lineRule="auto"/>
              <w:ind w:left="1256"/>
              <w:rPr>
                <w:sz w:val="24"/>
                <w:szCs w:val="24"/>
              </w:rPr>
            </w:pPr>
            <w:r>
              <w:rPr>
                <w:spacing w:val="-9"/>
                <w:sz w:val="24"/>
                <w:szCs w:val="24"/>
              </w:rPr>
              <w:t>备注</w:t>
            </w:r>
          </w:p>
        </w:tc>
        <w:tc>
          <w:tcPr>
            <w:tcW w:w="5939" w:type="dxa"/>
            <w:vAlign w:val="top"/>
          </w:tcPr>
          <w:p w14:paraId="3D6D596B">
            <w:pPr>
              <w:keepLines w:val="0"/>
              <w:pageBreakBefore w:val="0"/>
              <w:kinsoku/>
              <w:wordWrap/>
              <w:overflowPunct/>
              <w:topLinePunct w:val="0"/>
              <w:bidi w:val="0"/>
              <w:rPr>
                <w:rFonts w:ascii="Arial"/>
                <w:sz w:val="24"/>
                <w:szCs w:val="24"/>
              </w:rPr>
            </w:pPr>
          </w:p>
        </w:tc>
      </w:tr>
    </w:tbl>
    <w:p w14:paraId="5FAA9423">
      <w:pPr>
        <w:keepLines w:val="0"/>
        <w:pageBreakBefore w:val="0"/>
        <w:kinsoku/>
        <w:wordWrap/>
        <w:overflowPunct/>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4FDD0482">
      <w:pPr>
        <w:keepLines w:val="0"/>
        <w:pageBreakBefore w:val="0"/>
        <w:kinsoku/>
        <w:wordWrap/>
        <w:overflowPunct/>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5D2E1809">
      <w:pPr>
        <w:keepLines w:val="0"/>
        <w:pageBreakBefore w:val="0"/>
        <w:kinsoku/>
        <w:wordWrap/>
        <w:overflowPunct/>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0EF910CA">
      <w:pPr>
        <w:keepLines w:val="0"/>
        <w:pageBreakBefore w:val="0"/>
        <w:kinsoku/>
        <w:wordWrap/>
        <w:overflowPunct/>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02677C4D">
      <w:pPr>
        <w:keepLines w:val="0"/>
        <w:pageBreakBefore w:val="0"/>
        <w:kinsoku/>
        <w:wordWrap/>
        <w:overflowPunct/>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1、请严格按此“投标报价一览表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投标人</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阅读招标文件报价要求并自行考</w:t>
      </w:r>
      <w:r>
        <w:rPr>
          <w:rFonts w:ascii="仿宋" w:hAnsi="仿宋" w:eastAsia="仿宋" w:cs="仿宋"/>
          <w:spacing w:val="-3"/>
          <w:sz w:val="24"/>
          <w:szCs w:val="24"/>
        </w:rPr>
        <w:t xml:space="preserve"> </w:t>
      </w:r>
      <w:r>
        <w:rPr>
          <w:rFonts w:ascii="仿宋" w:hAnsi="仿宋" w:eastAsia="仿宋" w:cs="仿宋"/>
          <w:b/>
          <w:bCs/>
          <w:spacing w:val="-3"/>
          <w:sz w:val="24"/>
          <w:szCs w:val="24"/>
        </w:rPr>
        <w:t>虑市场风险以及价格合理性。</w:t>
      </w:r>
    </w:p>
    <w:p w14:paraId="1FAD3C2B">
      <w:pPr>
        <w:keepLines w:val="0"/>
        <w:pageBreakBefore w:val="0"/>
        <w:kinsoku/>
        <w:wordWrap/>
        <w:overflowPunct/>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2、合价之和即为投标总报价，合价依据为分项价格表计算得出。</w:t>
      </w:r>
    </w:p>
    <w:p w14:paraId="3E7FADD6">
      <w:pPr>
        <w:keepLines w:val="0"/>
        <w:pageBreakBefore w:val="0"/>
        <w:kinsoku/>
        <w:wordWrap/>
        <w:overflowPunct/>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3、投标报价一览表中投标总报价应与投标函一致。</w:t>
      </w:r>
    </w:p>
    <w:p w14:paraId="59A0F88B">
      <w:pPr>
        <w:keepLines w:val="0"/>
        <w:pageBreakBefore w:val="0"/>
        <w:kinsoku/>
        <w:wordWrap/>
        <w:overflowPunct/>
        <w:topLinePunct w:val="0"/>
        <w:bidi w:val="0"/>
        <w:spacing w:line="222" w:lineRule="auto"/>
        <w:rPr>
          <w:rFonts w:ascii="仿宋" w:hAnsi="仿宋" w:eastAsia="仿宋" w:cs="仿宋"/>
          <w:sz w:val="18"/>
          <w:szCs w:val="18"/>
        </w:rPr>
      </w:pPr>
    </w:p>
    <w:p w14:paraId="504EED44">
      <w:pPr>
        <w:pStyle w:val="7"/>
        <w:keepLines w:val="0"/>
        <w:pageBreakBefore w:val="0"/>
        <w:kinsoku/>
        <w:wordWrap/>
        <w:overflowPunct/>
        <w:topLinePunct w:val="0"/>
        <w:bidi w:val="0"/>
        <w:sectPr>
          <w:footerReference r:id="rId11" w:type="default"/>
          <w:pgSz w:w="11906" w:h="16839"/>
          <w:pgMar w:top="1440" w:right="1080" w:bottom="1440" w:left="1080" w:header="0" w:footer="989" w:gutter="0"/>
          <w:pgNumType w:fmt="decimal"/>
          <w:cols w:space="720" w:num="1"/>
        </w:sectPr>
      </w:pPr>
    </w:p>
    <w:p w14:paraId="13AFAF62">
      <w:pPr>
        <w:keepLines w:val="0"/>
        <w:pageBreakBefore w:val="0"/>
        <w:kinsoku/>
        <w:wordWrap/>
        <w:overflowPunct/>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tbl>
      <w:tblPr>
        <w:tblStyle w:val="17"/>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81"/>
        <w:gridCol w:w="2894"/>
        <w:gridCol w:w="855"/>
        <w:gridCol w:w="967"/>
        <w:gridCol w:w="1242"/>
        <w:gridCol w:w="1242"/>
        <w:gridCol w:w="2629"/>
        <w:gridCol w:w="810"/>
      </w:tblGrid>
      <w:tr w14:paraId="1F87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center"/>
          </w:tcPr>
          <w:p w14:paraId="567C5E8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81" w:type="dxa"/>
            <w:noWrap w:val="0"/>
            <w:vAlign w:val="center"/>
          </w:tcPr>
          <w:p w14:paraId="288204E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品名</w:t>
            </w:r>
          </w:p>
        </w:tc>
        <w:tc>
          <w:tcPr>
            <w:tcW w:w="2894" w:type="dxa"/>
            <w:noWrap w:val="0"/>
            <w:vAlign w:val="center"/>
          </w:tcPr>
          <w:p w14:paraId="42F1279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规格参数及要求</w:t>
            </w:r>
          </w:p>
        </w:tc>
        <w:tc>
          <w:tcPr>
            <w:tcW w:w="855" w:type="dxa"/>
            <w:noWrap w:val="0"/>
            <w:vAlign w:val="center"/>
          </w:tcPr>
          <w:p w14:paraId="3947E71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67" w:type="dxa"/>
            <w:noWrap w:val="0"/>
            <w:vAlign w:val="center"/>
          </w:tcPr>
          <w:p w14:paraId="55BB76D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42" w:type="dxa"/>
            <w:noWrap w:val="0"/>
            <w:vAlign w:val="center"/>
          </w:tcPr>
          <w:p w14:paraId="5A870FA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242" w:type="dxa"/>
            <w:noWrap w:val="0"/>
            <w:vAlign w:val="center"/>
          </w:tcPr>
          <w:p w14:paraId="671121D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总</w:t>
            </w:r>
            <w:r>
              <w:rPr>
                <w:rFonts w:hint="eastAsia" w:ascii="宋体" w:hAnsi="宋体" w:eastAsia="宋体" w:cs="宋体"/>
                <w:color w:val="auto"/>
                <w:kern w:val="0"/>
                <w:sz w:val="24"/>
                <w:szCs w:val="24"/>
                <w:highlight w:val="none"/>
              </w:rPr>
              <w:t>价（元）</w:t>
            </w:r>
          </w:p>
        </w:tc>
        <w:tc>
          <w:tcPr>
            <w:tcW w:w="2629" w:type="dxa"/>
            <w:noWrap w:val="0"/>
            <w:vAlign w:val="center"/>
          </w:tcPr>
          <w:p w14:paraId="0AD23DE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品牌/型号/厂家</w:t>
            </w:r>
          </w:p>
        </w:tc>
        <w:tc>
          <w:tcPr>
            <w:tcW w:w="810" w:type="dxa"/>
            <w:noWrap w:val="0"/>
            <w:vAlign w:val="center"/>
          </w:tcPr>
          <w:p w14:paraId="74F8369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5E46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0"/>
            <w:vAlign w:val="center"/>
          </w:tcPr>
          <w:p w14:paraId="05AEA6A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p>
        </w:tc>
        <w:tc>
          <w:tcPr>
            <w:tcW w:w="2981" w:type="dxa"/>
            <w:noWrap w:val="0"/>
            <w:vAlign w:val="center"/>
          </w:tcPr>
          <w:p w14:paraId="46CCC84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7DFF5CD">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855" w:type="dxa"/>
            <w:noWrap w:val="0"/>
            <w:vAlign w:val="center"/>
          </w:tcPr>
          <w:p w14:paraId="26B31C87">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678197F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2148FBB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5769F33D">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DF17AE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34BBBE0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697A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noWrap w:val="0"/>
            <w:vAlign w:val="center"/>
          </w:tcPr>
          <w:p w14:paraId="358CDA5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981" w:type="dxa"/>
            <w:noWrap w:val="0"/>
            <w:vAlign w:val="center"/>
          </w:tcPr>
          <w:p w14:paraId="374B86F0">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7D0940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A22B76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4E070A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352C97F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C602DC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3CEE9EC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0659153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222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0"/>
            <w:vAlign w:val="center"/>
          </w:tcPr>
          <w:p w14:paraId="20CCDD0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981" w:type="dxa"/>
            <w:noWrap w:val="0"/>
            <w:vAlign w:val="center"/>
          </w:tcPr>
          <w:p w14:paraId="2399D09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46E16FC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37BAEF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536EA70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3CA408F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C88DD4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9A366B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276E39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6C3D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0"/>
            <w:vAlign w:val="center"/>
          </w:tcPr>
          <w:p w14:paraId="0C3DA7D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981" w:type="dxa"/>
            <w:noWrap w:val="0"/>
            <w:vAlign w:val="center"/>
          </w:tcPr>
          <w:p w14:paraId="349B78B1">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36D87BC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4AF2C6FA">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89D56A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2EF6205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B0586D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3357289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40D2F5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5976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72587AA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981" w:type="dxa"/>
            <w:noWrap w:val="0"/>
            <w:vAlign w:val="center"/>
          </w:tcPr>
          <w:p w14:paraId="4B19C291">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086F85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EDFAFFB">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4F5FDC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62CB157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DD6432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4CA6EAD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33EF4E2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7D35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340" w:type="dxa"/>
            <w:gridSpan w:val="9"/>
            <w:noWrap w:val="0"/>
            <w:vAlign w:val="center"/>
          </w:tcPr>
          <w:p w14:paraId="610F9462">
            <w:pPr>
              <w:pStyle w:val="7"/>
              <w:keepNext w:val="0"/>
              <w:keepLines w:val="0"/>
              <w:pageBreakBefore w:val="0"/>
              <w:kinsoku/>
              <w:wordWrap/>
              <w:overflowPunct/>
              <w:topLinePunct w:val="0"/>
              <w:bidi w:val="0"/>
              <w:snapToGrid/>
              <w:spacing w:before="0" w:after="0" w:line="340" w:lineRule="exact"/>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合计</w:t>
            </w:r>
            <w:r>
              <w:rPr>
                <w:rFonts w:hint="eastAsia" w:ascii="宋体" w:hAnsi="宋体" w:eastAsia="宋体" w:cs="宋体"/>
                <w:color w:val="auto"/>
                <w:kern w:val="0"/>
                <w:sz w:val="24"/>
                <w:szCs w:val="24"/>
                <w:highlight w:val="none"/>
              </w:rPr>
              <w:t>（元）：小写：                           大写：</w:t>
            </w:r>
          </w:p>
        </w:tc>
      </w:tr>
    </w:tbl>
    <w:p w14:paraId="4EE39E8F">
      <w:pPr>
        <w:keepLines w:val="0"/>
        <w:pageBreakBefore w:val="0"/>
        <w:kinsoku/>
        <w:wordWrap/>
        <w:overflowPunct/>
        <w:topLinePunct w:val="0"/>
        <w:bidi w:val="0"/>
        <w:spacing w:line="240" w:lineRule="atLeast"/>
        <w:rPr>
          <w:rFonts w:hint="eastAsia" w:ascii="仿宋_GB2312" w:eastAsia="仿宋_GB2312"/>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bidi="ar-SA"/>
        </w:rPr>
        <w:t>★备注：1.按照采购清单提供的内容填报，不得改变其顺序、格式、内容等，如需补充，可在备注栏里进行补充说明。否则视为不投标招标文件规定。</w:t>
      </w:r>
      <w:r>
        <w:rPr>
          <w:rFonts w:hint="eastAsia" w:ascii="宋体" w:eastAsia="宋体" w:cs="宋体"/>
          <w:b/>
          <w:bCs/>
          <w:color w:val="auto"/>
          <w:kern w:val="0"/>
          <w:sz w:val="28"/>
          <w:szCs w:val="28"/>
          <w:highlight w:val="none"/>
          <w:lang w:val="en-US" w:eastAsia="zh-CN" w:bidi="ar-SA"/>
        </w:rPr>
        <w:t xml:space="preserve">   </w:t>
      </w:r>
      <w:r>
        <w:rPr>
          <w:rFonts w:hint="eastAsia" w:ascii="仿宋_GB2312" w:eastAsia="仿宋_GB2312"/>
          <w:color w:val="auto"/>
          <w:sz w:val="28"/>
          <w:szCs w:val="28"/>
          <w:highlight w:val="none"/>
          <w:lang w:val="en-US" w:eastAsia="zh-CN"/>
        </w:rPr>
        <w:t xml:space="preserve">                                        </w:t>
      </w:r>
    </w:p>
    <w:p w14:paraId="1AAF3B3C">
      <w:pPr>
        <w:keepLines w:val="0"/>
        <w:pageBreakBefore w:val="0"/>
        <w:kinsoku/>
        <w:wordWrap/>
        <w:overflowPunct/>
        <w:topLinePunct w:val="0"/>
        <w:bidi w:val="0"/>
        <w:spacing w:line="440" w:lineRule="exact"/>
        <w:ind w:firstLine="560" w:firstLineChars="200"/>
        <w:jc w:val="center"/>
        <w:rPr>
          <w:rFonts w:hint="eastAsia" w:ascii="仿宋_GB2312" w:eastAsia="仿宋_GB2312"/>
          <w:color w:val="auto"/>
          <w:sz w:val="26"/>
          <w:szCs w:val="26"/>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6"/>
          <w:szCs w:val="26"/>
          <w:highlight w:val="none"/>
        </w:rPr>
        <w:t>投标方：（单位盖章）</w:t>
      </w:r>
    </w:p>
    <w:p w14:paraId="31114140">
      <w:pPr>
        <w:keepLines w:val="0"/>
        <w:pageBreakBefore w:val="0"/>
        <w:kinsoku/>
        <w:wordWrap/>
        <w:overflowPunct/>
        <w:topLinePunct w:val="0"/>
        <w:bidi w:val="0"/>
        <w:spacing w:line="440" w:lineRule="exact"/>
        <w:ind w:firstLine="520" w:firstLineChars="200"/>
        <w:jc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法定代表人或代理人：（签字或盖章）</w:t>
      </w:r>
    </w:p>
    <w:p w14:paraId="76332A40">
      <w:pPr>
        <w:pStyle w:val="6"/>
        <w:keepLines w:val="0"/>
        <w:pageBreakBefore w:val="0"/>
        <w:kinsoku/>
        <w:wordWrap/>
        <w:overflowPunct/>
        <w:topLinePunct w:val="0"/>
        <w:bidi w:val="0"/>
        <w:ind w:firstLine="9880" w:firstLineChars="3800"/>
        <w:rPr>
          <w:rFonts w:hint="eastAsia" w:ascii="仿宋_GB2312" w:eastAsia="仿宋_GB2312"/>
          <w:b/>
          <w:bCs/>
          <w:color w:val="auto"/>
          <w:sz w:val="36"/>
          <w:szCs w:val="36"/>
          <w:highlight w:val="none"/>
        </w:rPr>
      </w:pPr>
      <w:r>
        <w:rPr>
          <w:rFonts w:hint="eastAsia" w:ascii="仿宋_GB2312" w:eastAsia="仿宋_GB2312"/>
          <w:color w:val="auto"/>
          <w:sz w:val="26"/>
          <w:szCs w:val="26"/>
          <w:highlight w:val="none"/>
          <w:lang w:eastAsia="zh-CN"/>
        </w:rPr>
        <w:t>年</w:t>
      </w:r>
      <w:r>
        <w:rPr>
          <w:rFonts w:hint="eastAsia" w:ascii="仿宋_GB2312" w:eastAsia="仿宋_GB2312"/>
          <w:color w:val="auto"/>
          <w:sz w:val="26"/>
          <w:szCs w:val="26"/>
          <w:highlight w:val="none"/>
          <w:lang w:val="en-US" w:eastAsia="zh-CN"/>
        </w:rPr>
        <w:t xml:space="preserve">   月   日 </w:t>
      </w:r>
    </w:p>
    <w:p w14:paraId="3DE100D5">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465BC139">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60B4B6DC">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0894A0F7">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投标货物（设备）技术、性能、质量具体明细及偏离表</w:t>
      </w:r>
    </w:p>
    <w:p w14:paraId="6FE8F13E">
      <w:pPr>
        <w:pStyle w:val="7"/>
        <w:keepLines w:val="0"/>
        <w:pageBreakBefore w:val="0"/>
        <w:kinsoku/>
        <w:wordWrap/>
        <w:overflowPunct/>
        <w:topLinePunct w:val="0"/>
        <w:bidi w:val="0"/>
        <w:rPr>
          <w:rFonts w:hint="eastAsia"/>
        </w:rPr>
      </w:pPr>
    </w:p>
    <w:tbl>
      <w:tblPr>
        <w:tblStyle w:val="17"/>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6B81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6045CA5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47E464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361CC0C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991577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3E7BB61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363D4B6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72194EF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7D68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44DF2442">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38B1EA0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1767B1A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586B945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73FA5C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820E3F4">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28BAF91F">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702EF031">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41CBA06F">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18CC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103787AC">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564C5B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0E698F8">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71ACFC47">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523FB7A3">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98B6A76">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9CCAC6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18C8DD6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0580B42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5FAE6CB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70BA067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22C82E5">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27D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460287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997D39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7991925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7CF7874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5967158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0D342B8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936729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1B8B7B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0A2D53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C348C7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02F4D90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FC1408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r>
      <w:tr w14:paraId="5EC5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508A71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3FBEA17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54D98C6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7F8D403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7DB197A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3F97CCD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3A47E63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3F4C51D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78EAC6E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31ED476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166DE8F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3AB67B9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r>
    </w:tbl>
    <w:p w14:paraId="6673F232">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(公章)：</w:t>
      </w:r>
    </w:p>
    <w:p w14:paraId="62C80D97">
      <w:pPr>
        <w:pStyle w:val="7"/>
        <w:keepLines w:val="0"/>
        <w:pageBreakBefore w:val="0"/>
        <w:kinsoku/>
        <w:wordWrap/>
        <w:overflowPunct/>
        <w:topLinePunct w:val="0"/>
        <w:bidi w:val="0"/>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65B15010">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7DA84FCA">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311376B8">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00E02187">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593AC261">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自行承担。</w:t>
      </w:r>
    </w:p>
    <w:p w14:paraId="0A720416">
      <w:pPr>
        <w:keepLines w:val="0"/>
        <w:pageBreakBefore w:val="0"/>
        <w:kinsoku/>
        <w:wordWrap/>
        <w:overflowPunct/>
        <w:topLinePunct w:val="0"/>
        <w:bidi w:val="0"/>
        <w:spacing w:line="44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1FDC6CCC">
      <w:pPr>
        <w:pStyle w:val="3"/>
        <w:keepLines w:val="0"/>
        <w:pageBreakBefore w:val="0"/>
        <w:kinsoku/>
        <w:wordWrap/>
        <w:overflowPunct/>
        <w:topLinePunct w:val="0"/>
        <w:bidi w:val="0"/>
        <w:rPr>
          <w:rFonts w:hint="eastAsia"/>
        </w:rPr>
        <w:sectPr>
          <w:footerReference r:id="rId12" w:type="default"/>
          <w:pgSz w:w="16838" w:h="11906" w:orient="landscape"/>
          <w:pgMar w:top="1440" w:right="1701" w:bottom="1440" w:left="1440" w:header="851" w:footer="992" w:gutter="0"/>
          <w:cols w:space="720" w:num="1"/>
          <w:docGrid w:linePitch="312" w:charSpace="0"/>
        </w:sectPr>
      </w:pPr>
    </w:p>
    <w:p w14:paraId="24C047F8">
      <w:pPr>
        <w:keepLines w:val="0"/>
        <w:pageBreakBefore w:val="0"/>
        <w:kinsoku/>
        <w:wordWrap/>
        <w:overflowPunct/>
        <w:topLinePunct w:val="0"/>
        <w:bidi w:val="0"/>
        <w:spacing w:before="140" w:line="460" w:lineRule="exact"/>
        <w:ind w:left="3770"/>
        <w:rPr>
          <w:rFonts w:ascii="仿宋" w:hAnsi="仿宋" w:eastAsia="仿宋" w:cs="仿宋"/>
          <w:sz w:val="28"/>
          <w:szCs w:val="28"/>
        </w:rPr>
      </w:pPr>
      <w:r>
        <w:pict>
          <v:shape id="_x0000_s1028" o:spid="_x0000_s1028" o:spt="202" type="#_x0000_t202" style="position:absolute;left:0pt;margin-left:76.25pt;margin-top:428.1pt;height:143.75pt;width:209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43A77398">
                  <w:pPr>
                    <w:spacing w:line="20" w:lineRule="exact"/>
                  </w:pPr>
                </w:p>
                <w:tbl>
                  <w:tblPr>
                    <w:tblStyle w:val="28"/>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000C88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4DE3D7DB">
                        <w:pPr>
                          <w:spacing w:line="260" w:lineRule="auto"/>
                          <w:rPr>
                            <w:rFonts w:ascii="Arial"/>
                            <w:sz w:val="21"/>
                          </w:rPr>
                        </w:pPr>
                      </w:p>
                      <w:p w14:paraId="1E56DC55">
                        <w:pPr>
                          <w:spacing w:line="260" w:lineRule="auto"/>
                          <w:rPr>
                            <w:rFonts w:ascii="Arial"/>
                            <w:sz w:val="21"/>
                          </w:rPr>
                        </w:pPr>
                      </w:p>
                      <w:p w14:paraId="7FE337BD">
                        <w:pPr>
                          <w:spacing w:line="261" w:lineRule="auto"/>
                          <w:rPr>
                            <w:rFonts w:ascii="Arial"/>
                            <w:sz w:val="21"/>
                          </w:rPr>
                        </w:pPr>
                      </w:p>
                      <w:p w14:paraId="6FE8B84D">
                        <w:pPr>
                          <w:spacing w:line="261" w:lineRule="auto"/>
                          <w:rPr>
                            <w:rFonts w:ascii="Arial"/>
                            <w:sz w:val="21"/>
                          </w:rPr>
                        </w:pPr>
                      </w:p>
                      <w:p w14:paraId="0549B76D">
                        <w:pPr>
                          <w:spacing w:line="261" w:lineRule="auto"/>
                          <w:rPr>
                            <w:rFonts w:ascii="Arial"/>
                            <w:sz w:val="21"/>
                          </w:rPr>
                        </w:pPr>
                      </w:p>
                      <w:p w14:paraId="0C9737E0">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122C1C72">
                  <w:pPr>
                    <w:pStyle w:val="7"/>
                  </w:pPr>
                </w:p>
              </w:txbxContent>
            </v:textbox>
          </v:shape>
        </w:pict>
      </w:r>
      <w:r>
        <w:rPr>
          <w:rFonts w:ascii="仿宋" w:hAnsi="仿宋" w:eastAsia="仿宋" w:cs="仿宋"/>
          <w:b/>
          <w:bCs/>
          <w:spacing w:val="-5"/>
          <w:position w:val="12"/>
          <w:sz w:val="28"/>
          <w:szCs w:val="28"/>
        </w:rPr>
        <w:t>（商务技术文件）</w:t>
      </w:r>
    </w:p>
    <w:p w14:paraId="4B26CD1B">
      <w:pPr>
        <w:keepLines w:val="0"/>
        <w:pageBreakBefore w:val="0"/>
        <w:kinsoku/>
        <w:wordWrap/>
        <w:overflowPunct/>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5</w:t>
      </w:r>
      <w:r>
        <w:rPr>
          <w:rFonts w:ascii="仿宋" w:hAnsi="仿宋" w:eastAsia="仿宋" w:cs="仿宋"/>
          <w:b/>
          <w:bCs/>
          <w:spacing w:val="7"/>
          <w:sz w:val="24"/>
          <w:szCs w:val="24"/>
        </w:rPr>
        <w:t>.法定代表人身份证明</w:t>
      </w:r>
    </w:p>
    <w:p w14:paraId="7389EC7F">
      <w:pPr>
        <w:pStyle w:val="7"/>
        <w:keepLines w:val="0"/>
        <w:pageBreakBefore w:val="0"/>
        <w:kinsoku/>
        <w:wordWrap/>
        <w:overflowPunct/>
        <w:topLinePunct w:val="0"/>
        <w:bidi w:val="0"/>
        <w:spacing w:line="255" w:lineRule="auto"/>
        <w:rPr>
          <w:sz w:val="24"/>
          <w:szCs w:val="24"/>
        </w:rPr>
      </w:pPr>
    </w:p>
    <w:p w14:paraId="1A0082F0">
      <w:pPr>
        <w:pStyle w:val="7"/>
        <w:keepLines w:val="0"/>
        <w:pageBreakBefore w:val="0"/>
        <w:kinsoku/>
        <w:wordWrap/>
        <w:overflowPunct/>
        <w:topLinePunct w:val="0"/>
        <w:bidi w:val="0"/>
        <w:spacing w:line="255" w:lineRule="auto"/>
        <w:rPr>
          <w:sz w:val="24"/>
          <w:szCs w:val="24"/>
        </w:rPr>
      </w:pPr>
    </w:p>
    <w:p w14:paraId="4749004D">
      <w:pPr>
        <w:pStyle w:val="7"/>
        <w:keepLines w:val="0"/>
        <w:pageBreakBefore w:val="0"/>
        <w:kinsoku/>
        <w:wordWrap/>
        <w:overflowPunct/>
        <w:topLinePunct w:val="0"/>
        <w:bidi w:val="0"/>
        <w:spacing w:line="256" w:lineRule="auto"/>
        <w:rPr>
          <w:sz w:val="24"/>
          <w:szCs w:val="24"/>
        </w:rPr>
      </w:pPr>
    </w:p>
    <w:p w14:paraId="41DC5DC1">
      <w:pPr>
        <w:pStyle w:val="7"/>
        <w:keepLines w:val="0"/>
        <w:pageBreakBefore w:val="0"/>
        <w:kinsoku/>
        <w:wordWrap/>
        <w:overflowPunct/>
        <w:topLinePunct w:val="0"/>
        <w:bidi w:val="0"/>
        <w:spacing w:line="256" w:lineRule="auto"/>
        <w:rPr>
          <w:sz w:val="24"/>
          <w:szCs w:val="24"/>
        </w:rPr>
      </w:pPr>
    </w:p>
    <w:p w14:paraId="4B7486B8">
      <w:pPr>
        <w:pStyle w:val="7"/>
        <w:keepLines w:val="0"/>
        <w:pageBreakBefore w:val="0"/>
        <w:kinsoku/>
        <w:wordWrap/>
        <w:overflowPunct/>
        <w:topLinePunct w:val="0"/>
        <w:bidi w:val="0"/>
        <w:spacing w:line="256" w:lineRule="auto"/>
        <w:rPr>
          <w:sz w:val="24"/>
          <w:szCs w:val="24"/>
        </w:rPr>
      </w:pPr>
    </w:p>
    <w:p w14:paraId="53D40FEC">
      <w:pPr>
        <w:keepLines w:val="0"/>
        <w:pageBreakBefore w:val="0"/>
        <w:kinsoku/>
        <w:wordWrap/>
        <w:overflowPunct/>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53265E4E">
      <w:pPr>
        <w:keepLines w:val="0"/>
        <w:pageBreakBefore w:val="0"/>
        <w:kinsoku/>
        <w:wordWrap/>
        <w:overflowPunct/>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6BCD1827">
      <w:pPr>
        <w:keepLines w:val="0"/>
        <w:pageBreakBefore w:val="0"/>
        <w:kinsoku/>
        <w:wordWrap/>
        <w:overflowPunct/>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5D6AF3B6">
      <w:pPr>
        <w:keepLines w:val="0"/>
        <w:pageBreakBefore w:val="0"/>
        <w:kinsoku/>
        <w:wordWrap/>
        <w:overflowPunct/>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513E3413">
      <w:pPr>
        <w:keepLines w:val="0"/>
        <w:pageBreakBefore w:val="0"/>
        <w:kinsoku/>
        <w:wordWrap/>
        <w:overflowPunct/>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1BC37D46">
      <w:pPr>
        <w:keepLines w:val="0"/>
        <w:pageBreakBefore w:val="0"/>
        <w:kinsoku/>
        <w:wordWrap/>
        <w:overflowPunct/>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0B75EC93">
      <w:pPr>
        <w:keepLines w:val="0"/>
        <w:pageBreakBefore w:val="0"/>
        <w:kinsoku/>
        <w:wordWrap/>
        <w:overflowPunct/>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74F9903E">
      <w:pPr>
        <w:keepLines w:val="0"/>
        <w:pageBreakBefore w:val="0"/>
        <w:kinsoku/>
        <w:wordWrap/>
        <w:overflowPunct/>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投标人</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26D432C0">
      <w:pPr>
        <w:pStyle w:val="7"/>
        <w:keepLines w:val="0"/>
        <w:pageBreakBefore w:val="0"/>
        <w:kinsoku/>
        <w:wordWrap/>
        <w:overflowPunct/>
        <w:topLinePunct w:val="0"/>
        <w:bidi w:val="0"/>
        <w:spacing w:line="241" w:lineRule="auto"/>
        <w:rPr>
          <w:sz w:val="24"/>
          <w:szCs w:val="24"/>
        </w:rPr>
      </w:pPr>
    </w:p>
    <w:p w14:paraId="529BFCAA">
      <w:pPr>
        <w:pStyle w:val="7"/>
        <w:keepLines w:val="0"/>
        <w:pageBreakBefore w:val="0"/>
        <w:kinsoku/>
        <w:wordWrap/>
        <w:overflowPunct/>
        <w:topLinePunct w:val="0"/>
        <w:bidi w:val="0"/>
        <w:spacing w:line="241" w:lineRule="auto"/>
        <w:rPr>
          <w:sz w:val="24"/>
          <w:szCs w:val="24"/>
        </w:rPr>
      </w:pPr>
    </w:p>
    <w:p w14:paraId="7C5947F9">
      <w:pPr>
        <w:keepLines w:val="0"/>
        <w:pageBreakBefore w:val="0"/>
        <w:kinsoku/>
        <w:wordWrap/>
        <w:overflowPunct/>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339E1FA6">
      <w:pPr>
        <w:keepLines w:val="0"/>
        <w:pageBreakBefore w:val="0"/>
        <w:kinsoku/>
        <w:wordWrap/>
        <w:overflowPunct/>
        <w:topLinePunct w:val="0"/>
        <w:bidi w:val="0"/>
        <w:spacing w:before="25"/>
      </w:pPr>
    </w:p>
    <w:tbl>
      <w:tblPr>
        <w:tblStyle w:val="28"/>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0A6E87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17569E89">
            <w:pPr>
              <w:keepLines w:val="0"/>
              <w:pageBreakBefore w:val="0"/>
              <w:kinsoku/>
              <w:wordWrap/>
              <w:overflowPunct/>
              <w:topLinePunct w:val="0"/>
              <w:bidi w:val="0"/>
              <w:spacing w:line="260" w:lineRule="auto"/>
              <w:rPr>
                <w:rFonts w:ascii="Arial"/>
                <w:sz w:val="21"/>
              </w:rPr>
            </w:pPr>
          </w:p>
          <w:p w14:paraId="4FD67C2E">
            <w:pPr>
              <w:keepLines w:val="0"/>
              <w:pageBreakBefore w:val="0"/>
              <w:kinsoku/>
              <w:wordWrap/>
              <w:overflowPunct/>
              <w:topLinePunct w:val="0"/>
              <w:bidi w:val="0"/>
              <w:spacing w:line="260" w:lineRule="auto"/>
              <w:rPr>
                <w:rFonts w:ascii="Arial"/>
                <w:sz w:val="21"/>
              </w:rPr>
            </w:pPr>
          </w:p>
          <w:p w14:paraId="0E6C46C5">
            <w:pPr>
              <w:keepLines w:val="0"/>
              <w:pageBreakBefore w:val="0"/>
              <w:kinsoku/>
              <w:wordWrap/>
              <w:overflowPunct/>
              <w:topLinePunct w:val="0"/>
              <w:bidi w:val="0"/>
              <w:spacing w:line="261" w:lineRule="auto"/>
              <w:rPr>
                <w:rFonts w:ascii="Arial"/>
                <w:sz w:val="21"/>
              </w:rPr>
            </w:pPr>
          </w:p>
          <w:p w14:paraId="5D3FD3E4">
            <w:pPr>
              <w:keepLines w:val="0"/>
              <w:pageBreakBefore w:val="0"/>
              <w:kinsoku/>
              <w:wordWrap/>
              <w:overflowPunct/>
              <w:topLinePunct w:val="0"/>
              <w:bidi w:val="0"/>
              <w:spacing w:line="261" w:lineRule="auto"/>
              <w:rPr>
                <w:rFonts w:ascii="Arial"/>
                <w:sz w:val="21"/>
              </w:rPr>
            </w:pPr>
          </w:p>
          <w:p w14:paraId="2FF9784E">
            <w:pPr>
              <w:keepLines w:val="0"/>
              <w:pageBreakBefore w:val="0"/>
              <w:kinsoku/>
              <w:wordWrap/>
              <w:overflowPunct/>
              <w:topLinePunct w:val="0"/>
              <w:bidi w:val="0"/>
              <w:spacing w:line="261" w:lineRule="auto"/>
              <w:rPr>
                <w:rFonts w:ascii="Arial"/>
                <w:sz w:val="21"/>
              </w:rPr>
            </w:pPr>
          </w:p>
          <w:p w14:paraId="1B974A70">
            <w:pPr>
              <w:keepLines w:val="0"/>
              <w:pageBreakBefore w:val="0"/>
              <w:kinsoku/>
              <w:wordWrap/>
              <w:overflowPunct/>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0B553C2E">
      <w:pPr>
        <w:pStyle w:val="7"/>
        <w:keepLines w:val="0"/>
        <w:pageBreakBefore w:val="0"/>
        <w:kinsoku/>
        <w:wordWrap/>
        <w:overflowPunct/>
        <w:topLinePunct w:val="0"/>
        <w:bidi w:val="0"/>
        <w:spacing w:line="282" w:lineRule="auto"/>
      </w:pPr>
    </w:p>
    <w:p w14:paraId="7993876E">
      <w:pPr>
        <w:pStyle w:val="7"/>
        <w:keepLines w:val="0"/>
        <w:pageBreakBefore w:val="0"/>
        <w:kinsoku/>
        <w:wordWrap/>
        <w:overflowPunct/>
        <w:topLinePunct w:val="0"/>
        <w:bidi w:val="0"/>
        <w:spacing w:line="283" w:lineRule="auto"/>
      </w:pPr>
    </w:p>
    <w:p w14:paraId="7E464617">
      <w:pPr>
        <w:pStyle w:val="7"/>
        <w:keepLines w:val="0"/>
        <w:pageBreakBefore w:val="0"/>
        <w:kinsoku/>
        <w:wordWrap/>
        <w:overflowPunct/>
        <w:topLinePunct w:val="0"/>
        <w:bidi w:val="0"/>
        <w:spacing w:line="283" w:lineRule="auto"/>
      </w:pPr>
    </w:p>
    <w:p w14:paraId="49560BAC">
      <w:pPr>
        <w:pStyle w:val="7"/>
        <w:keepLines w:val="0"/>
        <w:pageBreakBefore w:val="0"/>
        <w:kinsoku/>
        <w:wordWrap/>
        <w:overflowPunct/>
        <w:topLinePunct w:val="0"/>
        <w:bidi w:val="0"/>
        <w:spacing w:line="283" w:lineRule="auto"/>
      </w:pPr>
    </w:p>
    <w:p w14:paraId="742E9F2B">
      <w:pPr>
        <w:pStyle w:val="7"/>
        <w:keepLines w:val="0"/>
        <w:pageBreakBefore w:val="0"/>
        <w:kinsoku/>
        <w:wordWrap/>
        <w:overflowPunct/>
        <w:topLinePunct w:val="0"/>
        <w:bidi w:val="0"/>
        <w:spacing w:line="283" w:lineRule="auto"/>
        <w:rPr>
          <w:sz w:val="24"/>
          <w:szCs w:val="24"/>
        </w:rPr>
      </w:pPr>
    </w:p>
    <w:p w14:paraId="63A83E4D">
      <w:pPr>
        <w:keepLines w:val="0"/>
        <w:pageBreakBefore w:val="0"/>
        <w:kinsoku/>
        <w:wordWrap/>
        <w:overflowPunct/>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173E7B79">
      <w:pPr>
        <w:keepLines w:val="0"/>
        <w:pageBreakBefore w:val="0"/>
        <w:kinsoku/>
        <w:wordWrap/>
        <w:overflowPunct/>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4410204D">
      <w:pPr>
        <w:keepLines w:val="0"/>
        <w:pageBreakBefore w:val="0"/>
        <w:kinsoku/>
        <w:wordWrap/>
        <w:overflowPunct/>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7B4B57E0">
      <w:pPr>
        <w:keepLines w:val="0"/>
        <w:pageBreakBefore w:val="0"/>
        <w:kinsoku/>
        <w:wordWrap/>
        <w:overflowPunct/>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5E0F14B3">
      <w:pPr>
        <w:pStyle w:val="7"/>
        <w:keepLines w:val="0"/>
        <w:pageBreakBefore w:val="0"/>
        <w:kinsoku/>
        <w:wordWrap/>
        <w:overflowPunct/>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6</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34C6094F">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74D7050">
      <w:pPr>
        <w:pStyle w:val="7"/>
        <w:keepLines w:val="0"/>
        <w:pageBreakBefore w:val="0"/>
        <w:kinsoku/>
        <w:wordWrap/>
        <w:overflowPunct/>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项目的投标活动。代理人签署的投标文件和参加整个招标投标活动中所签署的一切文件和处理与之有关的一切事物，我均予以承认。</w:t>
      </w:r>
    </w:p>
    <w:p w14:paraId="4E7326DC">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33CBDD0A">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4E1D050D">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3D15EEF5">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2F92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14:paraId="40A8DA2C">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04697B80">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368039E1">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76A061D7">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57D5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494A889E">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537D3971">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2860D5F9">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044540CD">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3A4B1F23">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7E75D11E">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3F7A6360">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0E517E6D">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3066C46B">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AB52B5B">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2524D48">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06C92E28">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20C2C3C3">
      <w:pPr>
        <w:pStyle w:val="7"/>
        <w:keepLines w:val="0"/>
        <w:pageBreakBefore w:val="0"/>
        <w:kinsoku/>
        <w:wordWrap/>
        <w:overflowPunct/>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注：若公司法人前来参加投标的</w:t>
      </w: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7CCA85B7">
      <w:pPr>
        <w:keepLines w:val="0"/>
        <w:pageBreakBefore w:val="0"/>
        <w:kinsoku/>
        <w:wordWrap/>
        <w:overflowPunct/>
        <w:topLinePunct w:val="0"/>
        <w:bidi w:val="0"/>
        <w:spacing w:before="42" w:line="231" w:lineRule="auto"/>
        <w:outlineLvl w:val="2"/>
        <w:rPr>
          <w:rFonts w:ascii="仿宋" w:hAnsi="仿宋" w:eastAsia="仿宋" w:cs="仿宋"/>
          <w:b/>
          <w:bCs/>
          <w:spacing w:val="6"/>
          <w:sz w:val="20"/>
          <w:szCs w:val="20"/>
        </w:rPr>
      </w:pPr>
    </w:p>
    <w:p w14:paraId="2E45E9C7">
      <w:pPr>
        <w:keepLines w:val="0"/>
        <w:pageBreakBefore w:val="0"/>
        <w:kinsoku/>
        <w:wordWrap/>
        <w:overflowPunct/>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投标人</w:t>
      </w:r>
      <w:r>
        <w:rPr>
          <w:rFonts w:ascii="仿宋" w:hAnsi="仿宋" w:eastAsia="仿宋" w:cs="仿宋"/>
          <w:b/>
          <w:bCs/>
          <w:spacing w:val="6"/>
          <w:sz w:val="24"/>
          <w:szCs w:val="24"/>
        </w:rPr>
        <w:t>基本情况</w:t>
      </w:r>
    </w:p>
    <w:p w14:paraId="73172E10">
      <w:pPr>
        <w:keepLines w:val="0"/>
        <w:pageBreakBefore w:val="0"/>
        <w:kinsoku/>
        <w:wordWrap/>
        <w:overflowPunct/>
        <w:topLinePunct w:val="0"/>
        <w:bidi w:val="0"/>
        <w:spacing w:line="89" w:lineRule="exact"/>
        <w:rPr>
          <w:sz w:val="24"/>
          <w:szCs w:val="24"/>
        </w:rPr>
      </w:pPr>
    </w:p>
    <w:tbl>
      <w:tblPr>
        <w:tblStyle w:val="28"/>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36EE8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674FF537">
            <w:pPr>
              <w:pStyle w:val="29"/>
              <w:keepLines w:val="0"/>
              <w:pageBreakBefore w:val="0"/>
              <w:kinsoku/>
              <w:wordWrap/>
              <w:overflowPunct/>
              <w:topLinePunct w:val="0"/>
              <w:bidi w:val="0"/>
              <w:spacing w:before="150" w:line="229" w:lineRule="auto"/>
              <w:ind w:left="531"/>
              <w:rPr>
                <w:sz w:val="24"/>
                <w:szCs w:val="24"/>
              </w:rPr>
            </w:pPr>
            <w:r>
              <w:rPr>
                <w:rFonts w:hint="eastAsia"/>
                <w:b/>
                <w:bCs/>
                <w:spacing w:val="5"/>
                <w:sz w:val="24"/>
                <w:szCs w:val="24"/>
                <w:lang w:eastAsia="zh-CN"/>
              </w:rPr>
              <w:t>投标人</w:t>
            </w:r>
            <w:r>
              <w:rPr>
                <w:b/>
                <w:bCs/>
                <w:spacing w:val="5"/>
                <w:sz w:val="24"/>
                <w:szCs w:val="24"/>
              </w:rPr>
              <w:t>名称</w:t>
            </w:r>
          </w:p>
        </w:tc>
        <w:tc>
          <w:tcPr>
            <w:tcW w:w="6512" w:type="dxa"/>
            <w:gridSpan w:val="4"/>
            <w:vAlign w:val="top"/>
          </w:tcPr>
          <w:p w14:paraId="4B21814C">
            <w:pPr>
              <w:keepLines w:val="0"/>
              <w:pageBreakBefore w:val="0"/>
              <w:kinsoku/>
              <w:wordWrap/>
              <w:overflowPunct/>
              <w:topLinePunct w:val="0"/>
              <w:bidi w:val="0"/>
              <w:rPr>
                <w:rFonts w:ascii="Arial"/>
                <w:sz w:val="24"/>
                <w:szCs w:val="24"/>
              </w:rPr>
            </w:pPr>
          </w:p>
        </w:tc>
      </w:tr>
      <w:tr w14:paraId="082A7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67CB1F6">
            <w:pPr>
              <w:pStyle w:val="29"/>
              <w:keepLines w:val="0"/>
              <w:pageBreakBefore w:val="0"/>
              <w:kinsoku/>
              <w:wordWrap/>
              <w:overflowPunct/>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5018D189">
            <w:pPr>
              <w:keepLines w:val="0"/>
              <w:pageBreakBefore w:val="0"/>
              <w:kinsoku/>
              <w:wordWrap/>
              <w:overflowPunct/>
              <w:topLinePunct w:val="0"/>
              <w:bidi w:val="0"/>
              <w:rPr>
                <w:rFonts w:ascii="Arial"/>
                <w:sz w:val="24"/>
                <w:szCs w:val="24"/>
              </w:rPr>
            </w:pPr>
          </w:p>
        </w:tc>
      </w:tr>
      <w:tr w14:paraId="453CB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0D2ADA53">
            <w:pPr>
              <w:keepLines w:val="0"/>
              <w:pageBreakBefore w:val="0"/>
              <w:kinsoku/>
              <w:wordWrap/>
              <w:overflowPunct/>
              <w:topLinePunct w:val="0"/>
              <w:bidi w:val="0"/>
              <w:spacing w:line="332" w:lineRule="auto"/>
              <w:rPr>
                <w:rFonts w:ascii="Arial"/>
                <w:sz w:val="24"/>
                <w:szCs w:val="24"/>
              </w:rPr>
            </w:pPr>
          </w:p>
          <w:p w14:paraId="34EA9052">
            <w:pPr>
              <w:pStyle w:val="29"/>
              <w:keepLines w:val="0"/>
              <w:pageBreakBefore w:val="0"/>
              <w:kinsoku/>
              <w:wordWrap/>
              <w:overflowPunct/>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0AAB39BD">
            <w:pPr>
              <w:pStyle w:val="29"/>
              <w:keepLines w:val="0"/>
              <w:pageBreakBefore w:val="0"/>
              <w:kinsoku/>
              <w:wordWrap/>
              <w:overflowPunct/>
              <w:topLinePunct w:val="0"/>
              <w:bidi w:val="0"/>
              <w:spacing w:before="146" w:line="233" w:lineRule="auto"/>
              <w:ind w:left="574"/>
              <w:rPr>
                <w:sz w:val="24"/>
                <w:szCs w:val="24"/>
              </w:rPr>
            </w:pPr>
            <w:r>
              <w:rPr>
                <w:b/>
                <w:bCs/>
                <w:spacing w:val="4"/>
                <w:sz w:val="24"/>
                <w:szCs w:val="24"/>
              </w:rPr>
              <w:t>联系人</w:t>
            </w:r>
          </w:p>
        </w:tc>
        <w:tc>
          <w:tcPr>
            <w:tcW w:w="1210" w:type="dxa"/>
            <w:vAlign w:val="top"/>
          </w:tcPr>
          <w:p w14:paraId="5D1C514F">
            <w:pPr>
              <w:keepLines w:val="0"/>
              <w:pageBreakBefore w:val="0"/>
              <w:kinsoku/>
              <w:wordWrap/>
              <w:overflowPunct/>
              <w:topLinePunct w:val="0"/>
              <w:bidi w:val="0"/>
              <w:rPr>
                <w:rFonts w:ascii="Arial"/>
                <w:sz w:val="24"/>
                <w:szCs w:val="24"/>
              </w:rPr>
            </w:pPr>
          </w:p>
        </w:tc>
        <w:tc>
          <w:tcPr>
            <w:tcW w:w="1766" w:type="dxa"/>
            <w:vAlign w:val="top"/>
          </w:tcPr>
          <w:p w14:paraId="634596C8">
            <w:pPr>
              <w:pStyle w:val="29"/>
              <w:keepLines w:val="0"/>
              <w:pageBreakBefore w:val="0"/>
              <w:kinsoku/>
              <w:wordWrap/>
              <w:overflowPunct/>
              <w:topLinePunct w:val="0"/>
              <w:bidi w:val="0"/>
              <w:spacing w:before="145" w:line="232" w:lineRule="auto"/>
              <w:ind w:left="706"/>
              <w:rPr>
                <w:sz w:val="24"/>
                <w:szCs w:val="24"/>
              </w:rPr>
            </w:pPr>
            <w:r>
              <w:rPr>
                <w:b/>
                <w:bCs/>
                <w:spacing w:val="-11"/>
                <w:sz w:val="24"/>
                <w:szCs w:val="24"/>
              </w:rPr>
              <w:t>电话</w:t>
            </w:r>
          </w:p>
        </w:tc>
        <w:tc>
          <w:tcPr>
            <w:tcW w:w="1771" w:type="dxa"/>
            <w:vAlign w:val="top"/>
          </w:tcPr>
          <w:p w14:paraId="10DEC5AF">
            <w:pPr>
              <w:keepLines w:val="0"/>
              <w:pageBreakBefore w:val="0"/>
              <w:kinsoku/>
              <w:wordWrap/>
              <w:overflowPunct/>
              <w:topLinePunct w:val="0"/>
              <w:bidi w:val="0"/>
              <w:rPr>
                <w:rFonts w:ascii="Arial"/>
                <w:sz w:val="24"/>
                <w:szCs w:val="24"/>
              </w:rPr>
            </w:pPr>
          </w:p>
        </w:tc>
      </w:tr>
      <w:tr w14:paraId="3298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0919F393">
            <w:pPr>
              <w:keepLines w:val="0"/>
              <w:pageBreakBefore w:val="0"/>
              <w:kinsoku/>
              <w:wordWrap/>
              <w:overflowPunct/>
              <w:topLinePunct w:val="0"/>
              <w:bidi w:val="0"/>
              <w:rPr>
                <w:rFonts w:ascii="Arial"/>
                <w:sz w:val="24"/>
                <w:szCs w:val="24"/>
              </w:rPr>
            </w:pPr>
          </w:p>
        </w:tc>
        <w:tc>
          <w:tcPr>
            <w:tcW w:w="1765" w:type="dxa"/>
            <w:vAlign w:val="top"/>
          </w:tcPr>
          <w:p w14:paraId="583ADAFE">
            <w:pPr>
              <w:pStyle w:val="29"/>
              <w:keepLines w:val="0"/>
              <w:pageBreakBefore w:val="0"/>
              <w:kinsoku/>
              <w:wordWrap/>
              <w:overflowPunct/>
              <w:topLinePunct w:val="0"/>
              <w:bidi w:val="0"/>
              <w:spacing w:before="144" w:line="232" w:lineRule="auto"/>
              <w:ind w:left="685"/>
              <w:rPr>
                <w:sz w:val="24"/>
                <w:szCs w:val="24"/>
              </w:rPr>
            </w:pPr>
            <w:r>
              <w:rPr>
                <w:b/>
                <w:bCs/>
                <w:spacing w:val="-1"/>
                <w:sz w:val="24"/>
                <w:szCs w:val="24"/>
              </w:rPr>
              <w:t>传真</w:t>
            </w:r>
          </w:p>
        </w:tc>
        <w:tc>
          <w:tcPr>
            <w:tcW w:w="1210" w:type="dxa"/>
            <w:vAlign w:val="top"/>
          </w:tcPr>
          <w:p w14:paraId="64622871">
            <w:pPr>
              <w:keepLines w:val="0"/>
              <w:pageBreakBefore w:val="0"/>
              <w:kinsoku/>
              <w:wordWrap/>
              <w:overflowPunct/>
              <w:topLinePunct w:val="0"/>
              <w:bidi w:val="0"/>
              <w:rPr>
                <w:rFonts w:ascii="Arial"/>
                <w:sz w:val="24"/>
                <w:szCs w:val="24"/>
              </w:rPr>
            </w:pPr>
          </w:p>
        </w:tc>
        <w:tc>
          <w:tcPr>
            <w:tcW w:w="1766" w:type="dxa"/>
            <w:vAlign w:val="top"/>
          </w:tcPr>
          <w:p w14:paraId="2BF42BDD">
            <w:pPr>
              <w:pStyle w:val="29"/>
              <w:keepLines w:val="0"/>
              <w:pageBreakBefore w:val="0"/>
              <w:kinsoku/>
              <w:wordWrap/>
              <w:overflowPunct/>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1BC50B8F">
            <w:pPr>
              <w:keepLines w:val="0"/>
              <w:pageBreakBefore w:val="0"/>
              <w:kinsoku/>
              <w:wordWrap/>
              <w:overflowPunct/>
              <w:topLinePunct w:val="0"/>
              <w:bidi w:val="0"/>
              <w:rPr>
                <w:rFonts w:ascii="Arial"/>
                <w:sz w:val="24"/>
                <w:szCs w:val="24"/>
              </w:rPr>
            </w:pPr>
          </w:p>
        </w:tc>
      </w:tr>
      <w:tr w14:paraId="69577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15093153">
            <w:pPr>
              <w:pStyle w:val="29"/>
              <w:keepLines w:val="0"/>
              <w:pageBreakBefore w:val="0"/>
              <w:kinsoku/>
              <w:wordWrap/>
              <w:overflowPunct/>
              <w:topLinePunct w:val="0"/>
              <w:bidi w:val="0"/>
              <w:spacing w:before="126" w:line="274" w:lineRule="exact"/>
              <w:ind w:left="538"/>
              <w:rPr>
                <w:sz w:val="24"/>
                <w:szCs w:val="24"/>
              </w:rPr>
            </w:pPr>
            <w:r>
              <w:rPr>
                <w:b/>
                <w:bCs/>
                <w:spacing w:val="4"/>
                <w:position w:val="4"/>
                <w:sz w:val="24"/>
                <w:szCs w:val="24"/>
              </w:rPr>
              <w:t>法定代表人</w:t>
            </w:r>
          </w:p>
          <w:p w14:paraId="446560E1">
            <w:pPr>
              <w:pStyle w:val="29"/>
              <w:keepLines w:val="0"/>
              <w:pageBreakBefore w:val="0"/>
              <w:kinsoku/>
              <w:wordWrap/>
              <w:overflowPunct/>
              <w:topLinePunct w:val="0"/>
              <w:bidi w:val="0"/>
              <w:spacing w:line="232" w:lineRule="auto"/>
              <w:ind w:left="431"/>
              <w:rPr>
                <w:sz w:val="24"/>
                <w:szCs w:val="24"/>
              </w:rPr>
            </w:pPr>
            <w:r>
              <w:rPr>
                <w:b/>
                <w:bCs/>
                <w:spacing w:val="3"/>
                <w:sz w:val="24"/>
                <w:szCs w:val="24"/>
              </w:rPr>
              <w:t>（或负责人）</w:t>
            </w:r>
          </w:p>
        </w:tc>
        <w:tc>
          <w:tcPr>
            <w:tcW w:w="1765" w:type="dxa"/>
            <w:vAlign w:val="top"/>
          </w:tcPr>
          <w:p w14:paraId="65EA83E4">
            <w:pPr>
              <w:pStyle w:val="29"/>
              <w:keepLines w:val="0"/>
              <w:pageBreakBefore w:val="0"/>
              <w:kinsoku/>
              <w:wordWrap/>
              <w:overflowPunct/>
              <w:topLinePunct w:val="0"/>
              <w:bidi w:val="0"/>
              <w:spacing w:before="263" w:line="233" w:lineRule="auto"/>
              <w:ind w:left="682"/>
              <w:rPr>
                <w:sz w:val="24"/>
                <w:szCs w:val="24"/>
              </w:rPr>
            </w:pPr>
            <w:r>
              <w:rPr>
                <w:b/>
                <w:bCs/>
                <w:spacing w:val="1"/>
                <w:sz w:val="24"/>
                <w:szCs w:val="24"/>
              </w:rPr>
              <w:t>姓名</w:t>
            </w:r>
          </w:p>
        </w:tc>
        <w:tc>
          <w:tcPr>
            <w:tcW w:w="1210" w:type="dxa"/>
            <w:vAlign w:val="top"/>
          </w:tcPr>
          <w:p w14:paraId="57F6F02E">
            <w:pPr>
              <w:keepLines w:val="0"/>
              <w:pageBreakBefore w:val="0"/>
              <w:kinsoku/>
              <w:wordWrap/>
              <w:overflowPunct/>
              <w:topLinePunct w:val="0"/>
              <w:bidi w:val="0"/>
              <w:rPr>
                <w:rFonts w:ascii="Arial"/>
                <w:sz w:val="24"/>
                <w:szCs w:val="24"/>
              </w:rPr>
            </w:pPr>
          </w:p>
        </w:tc>
        <w:tc>
          <w:tcPr>
            <w:tcW w:w="1766" w:type="dxa"/>
            <w:vAlign w:val="top"/>
          </w:tcPr>
          <w:p w14:paraId="3E5A0B04">
            <w:pPr>
              <w:pStyle w:val="29"/>
              <w:keepLines w:val="0"/>
              <w:pageBreakBefore w:val="0"/>
              <w:kinsoku/>
              <w:wordWrap/>
              <w:overflowPunct/>
              <w:topLinePunct w:val="0"/>
              <w:bidi w:val="0"/>
              <w:spacing w:before="263" w:line="232" w:lineRule="auto"/>
              <w:ind w:left="706"/>
              <w:rPr>
                <w:sz w:val="24"/>
                <w:szCs w:val="24"/>
              </w:rPr>
            </w:pPr>
            <w:r>
              <w:rPr>
                <w:b/>
                <w:bCs/>
                <w:spacing w:val="-11"/>
                <w:sz w:val="24"/>
                <w:szCs w:val="24"/>
              </w:rPr>
              <w:t>电话</w:t>
            </w:r>
          </w:p>
        </w:tc>
        <w:tc>
          <w:tcPr>
            <w:tcW w:w="1771" w:type="dxa"/>
            <w:vAlign w:val="top"/>
          </w:tcPr>
          <w:p w14:paraId="3C0CEEFB">
            <w:pPr>
              <w:keepLines w:val="0"/>
              <w:pageBreakBefore w:val="0"/>
              <w:kinsoku/>
              <w:wordWrap/>
              <w:overflowPunct/>
              <w:topLinePunct w:val="0"/>
              <w:bidi w:val="0"/>
              <w:rPr>
                <w:rFonts w:ascii="Arial"/>
                <w:sz w:val="24"/>
                <w:szCs w:val="24"/>
              </w:rPr>
            </w:pPr>
          </w:p>
        </w:tc>
      </w:tr>
      <w:tr w14:paraId="7C14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FB8C7F7">
            <w:pPr>
              <w:pStyle w:val="29"/>
              <w:keepLines w:val="0"/>
              <w:pageBreakBefore w:val="0"/>
              <w:kinsoku/>
              <w:wordWrap/>
              <w:overflowPunct/>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367DFA6A">
            <w:pPr>
              <w:keepLines w:val="0"/>
              <w:pageBreakBefore w:val="0"/>
              <w:kinsoku/>
              <w:wordWrap/>
              <w:overflowPunct/>
              <w:topLinePunct w:val="0"/>
              <w:bidi w:val="0"/>
              <w:rPr>
                <w:rFonts w:ascii="Arial"/>
                <w:sz w:val="24"/>
                <w:szCs w:val="24"/>
              </w:rPr>
            </w:pPr>
          </w:p>
        </w:tc>
        <w:tc>
          <w:tcPr>
            <w:tcW w:w="1766" w:type="dxa"/>
            <w:vAlign w:val="top"/>
          </w:tcPr>
          <w:p w14:paraId="644E6F02">
            <w:pPr>
              <w:pStyle w:val="29"/>
              <w:keepLines w:val="0"/>
              <w:pageBreakBefore w:val="0"/>
              <w:kinsoku/>
              <w:wordWrap/>
              <w:overflowPunct/>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45FEFC3E">
            <w:pPr>
              <w:keepLines w:val="0"/>
              <w:pageBreakBefore w:val="0"/>
              <w:kinsoku/>
              <w:wordWrap/>
              <w:overflowPunct/>
              <w:topLinePunct w:val="0"/>
              <w:bidi w:val="0"/>
              <w:rPr>
                <w:rFonts w:ascii="Arial"/>
                <w:sz w:val="24"/>
                <w:szCs w:val="24"/>
              </w:rPr>
            </w:pPr>
          </w:p>
        </w:tc>
      </w:tr>
      <w:tr w14:paraId="22C7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13A4AC1E">
            <w:pPr>
              <w:pStyle w:val="29"/>
              <w:keepLines w:val="0"/>
              <w:pageBreakBefore w:val="0"/>
              <w:kinsoku/>
              <w:wordWrap/>
              <w:overflowPunct/>
              <w:topLinePunct w:val="0"/>
              <w:bidi w:val="0"/>
              <w:spacing w:before="146" w:line="233" w:lineRule="auto"/>
              <w:ind w:left="851"/>
              <w:jc w:val="center"/>
              <w:rPr>
                <w:sz w:val="24"/>
                <w:szCs w:val="24"/>
              </w:rPr>
            </w:pPr>
            <w:r>
              <w:rPr>
                <w:b/>
                <w:bCs/>
                <w:spacing w:val="-1"/>
                <w:sz w:val="24"/>
                <w:szCs w:val="24"/>
              </w:rPr>
              <w:t>类型</w:t>
            </w:r>
          </w:p>
        </w:tc>
        <w:tc>
          <w:tcPr>
            <w:tcW w:w="1765" w:type="dxa"/>
            <w:vAlign w:val="center"/>
          </w:tcPr>
          <w:p w14:paraId="71085C82">
            <w:pPr>
              <w:keepLines w:val="0"/>
              <w:pageBreakBefore w:val="0"/>
              <w:kinsoku/>
              <w:wordWrap/>
              <w:overflowPunct/>
              <w:topLinePunct w:val="0"/>
              <w:bidi w:val="0"/>
              <w:jc w:val="center"/>
              <w:rPr>
                <w:rFonts w:ascii="Arial"/>
                <w:sz w:val="24"/>
                <w:szCs w:val="24"/>
              </w:rPr>
            </w:pPr>
          </w:p>
        </w:tc>
        <w:tc>
          <w:tcPr>
            <w:tcW w:w="1210" w:type="dxa"/>
            <w:vMerge w:val="restart"/>
            <w:tcBorders>
              <w:bottom w:val="nil"/>
            </w:tcBorders>
            <w:vAlign w:val="center"/>
          </w:tcPr>
          <w:p w14:paraId="16BD761F">
            <w:pPr>
              <w:keepLines w:val="0"/>
              <w:pageBreakBefore w:val="0"/>
              <w:kinsoku/>
              <w:wordWrap/>
              <w:overflowPunct/>
              <w:topLinePunct w:val="0"/>
              <w:bidi w:val="0"/>
              <w:spacing w:line="273" w:lineRule="auto"/>
              <w:jc w:val="center"/>
              <w:rPr>
                <w:rFonts w:ascii="Arial"/>
                <w:sz w:val="24"/>
                <w:szCs w:val="24"/>
              </w:rPr>
            </w:pPr>
          </w:p>
          <w:p w14:paraId="1DE52DFE">
            <w:pPr>
              <w:keepLines w:val="0"/>
              <w:pageBreakBefore w:val="0"/>
              <w:kinsoku/>
              <w:wordWrap/>
              <w:overflowPunct/>
              <w:topLinePunct w:val="0"/>
              <w:bidi w:val="0"/>
              <w:spacing w:line="273" w:lineRule="auto"/>
              <w:jc w:val="center"/>
              <w:rPr>
                <w:rFonts w:ascii="Arial"/>
                <w:sz w:val="24"/>
                <w:szCs w:val="24"/>
              </w:rPr>
            </w:pPr>
          </w:p>
          <w:p w14:paraId="1975B5D6">
            <w:pPr>
              <w:keepLines w:val="0"/>
              <w:pageBreakBefore w:val="0"/>
              <w:kinsoku/>
              <w:wordWrap/>
              <w:overflowPunct/>
              <w:topLinePunct w:val="0"/>
              <w:bidi w:val="0"/>
              <w:spacing w:line="274" w:lineRule="auto"/>
              <w:jc w:val="center"/>
              <w:rPr>
                <w:rFonts w:ascii="Arial"/>
                <w:sz w:val="24"/>
                <w:szCs w:val="24"/>
              </w:rPr>
            </w:pPr>
          </w:p>
          <w:p w14:paraId="460B0184">
            <w:pPr>
              <w:keepLines w:val="0"/>
              <w:pageBreakBefore w:val="0"/>
              <w:kinsoku/>
              <w:wordWrap/>
              <w:overflowPunct/>
              <w:topLinePunct w:val="0"/>
              <w:bidi w:val="0"/>
              <w:spacing w:line="274" w:lineRule="auto"/>
              <w:jc w:val="center"/>
              <w:rPr>
                <w:rFonts w:ascii="Arial"/>
                <w:sz w:val="24"/>
                <w:szCs w:val="24"/>
              </w:rPr>
            </w:pPr>
          </w:p>
          <w:p w14:paraId="763238F9">
            <w:pPr>
              <w:pStyle w:val="29"/>
              <w:keepLines w:val="0"/>
              <w:pageBreakBefore w:val="0"/>
              <w:kinsoku/>
              <w:wordWrap/>
              <w:overflowPunct/>
              <w:topLinePunct w:val="0"/>
              <w:bidi w:val="0"/>
              <w:spacing w:before="65" w:line="231" w:lineRule="auto"/>
              <w:ind w:left="407"/>
              <w:jc w:val="center"/>
              <w:rPr>
                <w:sz w:val="24"/>
                <w:szCs w:val="24"/>
              </w:rPr>
            </w:pPr>
            <w:r>
              <w:rPr>
                <w:b/>
                <w:bCs/>
                <w:sz w:val="24"/>
                <w:szCs w:val="24"/>
              </w:rPr>
              <w:t>其中</w:t>
            </w:r>
          </w:p>
        </w:tc>
        <w:tc>
          <w:tcPr>
            <w:tcW w:w="1766" w:type="dxa"/>
            <w:vMerge w:val="restart"/>
            <w:tcBorders>
              <w:bottom w:val="nil"/>
            </w:tcBorders>
            <w:vAlign w:val="center"/>
          </w:tcPr>
          <w:p w14:paraId="08CCB076">
            <w:pPr>
              <w:pStyle w:val="29"/>
              <w:keepLines w:val="0"/>
              <w:pageBreakBefore w:val="0"/>
              <w:kinsoku/>
              <w:wordWrap/>
              <w:overflowPunct/>
              <w:topLinePunct w:val="0"/>
              <w:bidi w:val="0"/>
              <w:spacing w:before="65"/>
              <w:ind w:left="792" w:right="143" w:hanging="635"/>
              <w:jc w:val="both"/>
              <w:rPr>
                <w:sz w:val="24"/>
                <w:szCs w:val="24"/>
              </w:rPr>
            </w:pPr>
            <w:r>
              <w:rPr>
                <w:b/>
                <w:bCs/>
                <w:spacing w:val="6"/>
                <w:sz w:val="24"/>
                <w:szCs w:val="24"/>
              </w:rPr>
              <w:t>基本账户户银</w:t>
            </w:r>
            <w:r>
              <w:rPr>
                <w:b/>
                <w:bCs/>
                <w:spacing w:val="-3"/>
                <w:sz w:val="24"/>
                <w:szCs w:val="24"/>
              </w:rPr>
              <w:t>行</w:t>
            </w:r>
          </w:p>
        </w:tc>
        <w:tc>
          <w:tcPr>
            <w:tcW w:w="1771" w:type="dxa"/>
            <w:vMerge w:val="restart"/>
            <w:tcBorders>
              <w:bottom w:val="nil"/>
            </w:tcBorders>
            <w:vAlign w:val="center"/>
          </w:tcPr>
          <w:p w14:paraId="2BD0F706">
            <w:pPr>
              <w:keepLines w:val="0"/>
              <w:pageBreakBefore w:val="0"/>
              <w:kinsoku/>
              <w:wordWrap/>
              <w:overflowPunct/>
              <w:topLinePunct w:val="0"/>
              <w:bidi w:val="0"/>
              <w:jc w:val="center"/>
              <w:rPr>
                <w:rFonts w:ascii="Arial"/>
                <w:sz w:val="24"/>
                <w:szCs w:val="24"/>
              </w:rPr>
            </w:pPr>
          </w:p>
        </w:tc>
      </w:tr>
      <w:tr w14:paraId="5399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70B189AF">
            <w:pPr>
              <w:pStyle w:val="29"/>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注册资本</w:t>
            </w:r>
          </w:p>
        </w:tc>
        <w:tc>
          <w:tcPr>
            <w:tcW w:w="1765" w:type="dxa"/>
            <w:vAlign w:val="center"/>
          </w:tcPr>
          <w:p w14:paraId="46546F69">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033F6BA2">
            <w:pPr>
              <w:keepLines w:val="0"/>
              <w:pageBreakBefore w:val="0"/>
              <w:kinsoku/>
              <w:wordWrap/>
              <w:overflowPunct/>
              <w:topLinePunct w:val="0"/>
              <w:bidi w:val="0"/>
              <w:jc w:val="center"/>
              <w:rPr>
                <w:rFonts w:ascii="Arial"/>
                <w:sz w:val="24"/>
                <w:szCs w:val="24"/>
              </w:rPr>
            </w:pPr>
          </w:p>
        </w:tc>
        <w:tc>
          <w:tcPr>
            <w:tcW w:w="1766" w:type="dxa"/>
            <w:vMerge w:val="continue"/>
            <w:tcBorders>
              <w:top w:val="nil"/>
              <w:bottom w:val="nil"/>
            </w:tcBorders>
            <w:vAlign w:val="center"/>
          </w:tcPr>
          <w:p w14:paraId="20C0624E">
            <w:pPr>
              <w:keepLines w:val="0"/>
              <w:pageBreakBefore w:val="0"/>
              <w:kinsoku/>
              <w:wordWrap/>
              <w:overflowPunct/>
              <w:topLinePunct w:val="0"/>
              <w:bidi w:val="0"/>
              <w:jc w:val="both"/>
              <w:rPr>
                <w:rFonts w:ascii="Arial"/>
                <w:sz w:val="24"/>
                <w:szCs w:val="24"/>
              </w:rPr>
            </w:pPr>
          </w:p>
        </w:tc>
        <w:tc>
          <w:tcPr>
            <w:tcW w:w="1771" w:type="dxa"/>
            <w:vMerge w:val="continue"/>
            <w:tcBorders>
              <w:top w:val="nil"/>
              <w:bottom w:val="nil"/>
            </w:tcBorders>
            <w:vAlign w:val="center"/>
          </w:tcPr>
          <w:p w14:paraId="45FAEC18">
            <w:pPr>
              <w:keepLines w:val="0"/>
              <w:pageBreakBefore w:val="0"/>
              <w:kinsoku/>
              <w:wordWrap/>
              <w:overflowPunct/>
              <w:topLinePunct w:val="0"/>
              <w:bidi w:val="0"/>
              <w:jc w:val="center"/>
              <w:rPr>
                <w:rFonts w:ascii="Arial"/>
                <w:sz w:val="24"/>
                <w:szCs w:val="24"/>
              </w:rPr>
            </w:pPr>
          </w:p>
        </w:tc>
      </w:tr>
      <w:tr w14:paraId="64569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2CD3F4CE">
            <w:pPr>
              <w:pStyle w:val="29"/>
              <w:keepLines w:val="0"/>
              <w:pageBreakBefore w:val="0"/>
              <w:kinsoku/>
              <w:wordWrap/>
              <w:overflowPunct/>
              <w:topLinePunct w:val="0"/>
              <w:bidi w:val="0"/>
              <w:spacing w:before="145" w:line="232" w:lineRule="auto"/>
              <w:ind w:left="641"/>
              <w:jc w:val="center"/>
              <w:rPr>
                <w:sz w:val="24"/>
                <w:szCs w:val="24"/>
              </w:rPr>
            </w:pPr>
            <w:r>
              <w:rPr>
                <w:b/>
                <w:bCs/>
                <w:spacing w:val="4"/>
                <w:sz w:val="24"/>
                <w:szCs w:val="24"/>
              </w:rPr>
              <w:t>成立日期</w:t>
            </w:r>
          </w:p>
        </w:tc>
        <w:tc>
          <w:tcPr>
            <w:tcW w:w="1765" w:type="dxa"/>
            <w:vAlign w:val="center"/>
          </w:tcPr>
          <w:p w14:paraId="11E4E423">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467FD6DC">
            <w:pPr>
              <w:keepLines w:val="0"/>
              <w:pageBreakBefore w:val="0"/>
              <w:kinsoku/>
              <w:wordWrap/>
              <w:overflowPunct/>
              <w:topLinePunct w:val="0"/>
              <w:bidi w:val="0"/>
              <w:jc w:val="center"/>
              <w:rPr>
                <w:rFonts w:ascii="Arial"/>
                <w:sz w:val="24"/>
                <w:szCs w:val="24"/>
              </w:rPr>
            </w:pPr>
          </w:p>
        </w:tc>
        <w:tc>
          <w:tcPr>
            <w:tcW w:w="1766" w:type="dxa"/>
            <w:vMerge w:val="continue"/>
            <w:tcBorders>
              <w:top w:val="nil"/>
            </w:tcBorders>
            <w:vAlign w:val="center"/>
          </w:tcPr>
          <w:p w14:paraId="758A952F">
            <w:pPr>
              <w:keepLines w:val="0"/>
              <w:pageBreakBefore w:val="0"/>
              <w:kinsoku/>
              <w:wordWrap/>
              <w:overflowPunct/>
              <w:topLinePunct w:val="0"/>
              <w:bidi w:val="0"/>
              <w:jc w:val="both"/>
              <w:rPr>
                <w:rFonts w:ascii="Arial"/>
                <w:sz w:val="24"/>
                <w:szCs w:val="24"/>
              </w:rPr>
            </w:pPr>
          </w:p>
        </w:tc>
        <w:tc>
          <w:tcPr>
            <w:tcW w:w="1771" w:type="dxa"/>
            <w:vMerge w:val="continue"/>
            <w:tcBorders>
              <w:top w:val="nil"/>
            </w:tcBorders>
            <w:vAlign w:val="center"/>
          </w:tcPr>
          <w:p w14:paraId="48C5E8E9">
            <w:pPr>
              <w:keepLines w:val="0"/>
              <w:pageBreakBefore w:val="0"/>
              <w:kinsoku/>
              <w:wordWrap/>
              <w:overflowPunct/>
              <w:topLinePunct w:val="0"/>
              <w:bidi w:val="0"/>
              <w:jc w:val="center"/>
              <w:rPr>
                <w:rFonts w:ascii="Arial"/>
                <w:sz w:val="24"/>
                <w:szCs w:val="24"/>
              </w:rPr>
            </w:pPr>
          </w:p>
        </w:tc>
      </w:tr>
      <w:tr w14:paraId="524F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center"/>
          </w:tcPr>
          <w:p w14:paraId="040D0DCA">
            <w:pPr>
              <w:pStyle w:val="29"/>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营业期限</w:t>
            </w:r>
          </w:p>
        </w:tc>
        <w:tc>
          <w:tcPr>
            <w:tcW w:w="1765" w:type="dxa"/>
            <w:vAlign w:val="center"/>
          </w:tcPr>
          <w:p w14:paraId="4F2E82F8">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39C21B2C">
            <w:pPr>
              <w:keepLines w:val="0"/>
              <w:pageBreakBefore w:val="0"/>
              <w:kinsoku/>
              <w:wordWrap/>
              <w:overflowPunct/>
              <w:topLinePunct w:val="0"/>
              <w:bidi w:val="0"/>
              <w:jc w:val="center"/>
              <w:rPr>
                <w:rFonts w:ascii="Arial"/>
                <w:sz w:val="24"/>
                <w:szCs w:val="24"/>
              </w:rPr>
            </w:pPr>
          </w:p>
        </w:tc>
        <w:tc>
          <w:tcPr>
            <w:tcW w:w="1766" w:type="dxa"/>
            <w:vMerge w:val="restart"/>
            <w:tcBorders>
              <w:bottom w:val="nil"/>
            </w:tcBorders>
            <w:vAlign w:val="center"/>
          </w:tcPr>
          <w:p w14:paraId="6C345354">
            <w:pPr>
              <w:pStyle w:val="29"/>
              <w:keepLines w:val="0"/>
              <w:pageBreakBefore w:val="0"/>
              <w:kinsoku/>
              <w:wordWrap/>
              <w:overflowPunct/>
              <w:topLinePunct w:val="0"/>
              <w:bidi w:val="0"/>
              <w:spacing w:before="265" w:line="241" w:lineRule="auto"/>
              <w:ind w:left="795" w:right="143" w:hanging="638"/>
              <w:jc w:val="both"/>
              <w:rPr>
                <w:sz w:val="24"/>
                <w:szCs w:val="24"/>
              </w:rPr>
            </w:pPr>
            <w:r>
              <w:rPr>
                <w:b/>
                <w:bCs/>
                <w:spacing w:val="6"/>
                <w:sz w:val="24"/>
                <w:szCs w:val="24"/>
              </w:rPr>
              <w:t>基本账户银行账</w:t>
            </w:r>
            <w:r>
              <w:rPr>
                <w:b/>
                <w:bCs/>
                <w:spacing w:val="-3"/>
                <w:sz w:val="24"/>
                <w:szCs w:val="24"/>
              </w:rPr>
              <w:t>号</w:t>
            </w:r>
          </w:p>
        </w:tc>
        <w:tc>
          <w:tcPr>
            <w:tcW w:w="1771" w:type="dxa"/>
            <w:vMerge w:val="restart"/>
            <w:tcBorders>
              <w:bottom w:val="nil"/>
            </w:tcBorders>
            <w:vAlign w:val="center"/>
          </w:tcPr>
          <w:p w14:paraId="6BB3B5F6">
            <w:pPr>
              <w:keepLines w:val="0"/>
              <w:pageBreakBefore w:val="0"/>
              <w:kinsoku/>
              <w:wordWrap/>
              <w:overflowPunct/>
              <w:topLinePunct w:val="0"/>
              <w:bidi w:val="0"/>
              <w:jc w:val="center"/>
              <w:rPr>
                <w:rFonts w:ascii="Arial"/>
                <w:sz w:val="24"/>
                <w:szCs w:val="24"/>
              </w:rPr>
            </w:pPr>
          </w:p>
        </w:tc>
      </w:tr>
      <w:tr w14:paraId="22475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9820E3F">
            <w:pPr>
              <w:pStyle w:val="29"/>
              <w:keepLines w:val="0"/>
              <w:pageBreakBefore w:val="0"/>
              <w:kinsoku/>
              <w:wordWrap/>
              <w:overflowPunct/>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09FBC2C4">
            <w:pPr>
              <w:keepLines w:val="0"/>
              <w:pageBreakBefore w:val="0"/>
              <w:kinsoku/>
              <w:wordWrap/>
              <w:overflowPunct/>
              <w:topLinePunct w:val="0"/>
              <w:bidi w:val="0"/>
              <w:rPr>
                <w:rFonts w:ascii="Arial"/>
                <w:sz w:val="24"/>
                <w:szCs w:val="24"/>
              </w:rPr>
            </w:pPr>
          </w:p>
        </w:tc>
        <w:tc>
          <w:tcPr>
            <w:tcW w:w="1210" w:type="dxa"/>
            <w:vMerge w:val="continue"/>
            <w:tcBorders>
              <w:top w:val="nil"/>
            </w:tcBorders>
            <w:vAlign w:val="top"/>
          </w:tcPr>
          <w:p w14:paraId="259BACFD">
            <w:pPr>
              <w:keepLines w:val="0"/>
              <w:pageBreakBefore w:val="0"/>
              <w:kinsoku/>
              <w:wordWrap/>
              <w:overflowPunct/>
              <w:topLinePunct w:val="0"/>
              <w:bidi w:val="0"/>
              <w:rPr>
                <w:rFonts w:ascii="Arial"/>
                <w:sz w:val="24"/>
                <w:szCs w:val="24"/>
              </w:rPr>
            </w:pPr>
          </w:p>
        </w:tc>
        <w:tc>
          <w:tcPr>
            <w:tcW w:w="1766" w:type="dxa"/>
            <w:vMerge w:val="continue"/>
            <w:tcBorders>
              <w:top w:val="nil"/>
            </w:tcBorders>
            <w:vAlign w:val="top"/>
          </w:tcPr>
          <w:p w14:paraId="62B8E7FC">
            <w:pPr>
              <w:keepLines w:val="0"/>
              <w:pageBreakBefore w:val="0"/>
              <w:kinsoku/>
              <w:wordWrap/>
              <w:overflowPunct/>
              <w:topLinePunct w:val="0"/>
              <w:bidi w:val="0"/>
              <w:rPr>
                <w:rFonts w:ascii="Arial"/>
                <w:sz w:val="24"/>
                <w:szCs w:val="24"/>
              </w:rPr>
            </w:pPr>
          </w:p>
        </w:tc>
        <w:tc>
          <w:tcPr>
            <w:tcW w:w="1771" w:type="dxa"/>
            <w:vMerge w:val="continue"/>
            <w:tcBorders>
              <w:top w:val="nil"/>
            </w:tcBorders>
            <w:vAlign w:val="top"/>
          </w:tcPr>
          <w:p w14:paraId="23A6D5E9">
            <w:pPr>
              <w:keepLines w:val="0"/>
              <w:pageBreakBefore w:val="0"/>
              <w:kinsoku/>
              <w:wordWrap/>
              <w:overflowPunct/>
              <w:topLinePunct w:val="0"/>
              <w:bidi w:val="0"/>
              <w:rPr>
                <w:rFonts w:ascii="Arial"/>
                <w:sz w:val="24"/>
                <w:szCs w:val="24"/>
              </w:rPr>
            </w:pPr>
          </w:p>
        </w:tc>
      </w:tr>
      <w:tr w14:paraId="525D2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4D5036E3">
            <w:pPr>
              <w:keepLines w:val="0"/>
              <w:pageBreakBefore w:val="0"/>
              <w:kinsoku/>
              <w:wordWrap/>
              <w:overflowPunct/>
              <w:topLinePunct w:val="0"/>
              <w:bidi w:val="0"/>
              <w:spacing w:line="252" w:lineRule="auto"/>
              <w:rPr>
                <w:rFonts w:ascii="Arial"/>
                <w:sz w:val="24"/>
                <w:szCs w:val="24"/>
              </w:rPr>
            </w:pPr>
          </w:p>
          <w:p w14:paraId="3833D8B4">
            <w:pPr>
              <w:keepLines w:val="0"/>
              <w:pageBreakBefore w:val="0"/>
              <w:kinsoku/>
              <w:wordWrap/>
              <w:overflowPunct/>
              <w:topLinePunct w:val="0"/>
              <w:bidi w:val="0"/>
              <w:spacing w:line="252" w:lineRule="auto"/>
              <w:rPr>
                <w:rFonts w:ascii="Arial"/>
                <w:sz w:val="24"/>
                <w:szCs w:val="24"/>
              </w:rPr>
            </w:pPr>
          </w:p>
          <w:p w14:paraId="35789450">
            <w:pPr>
              <w:keepLines w:val="0"/>
              <w:pageBreakBefore w:val="0"/>
              <w:kinsoku/>
              <w:wordWrap/>
              <w:overflowPunct/>
              <w:topLinePunct w:val="0"/>
              <w:bidi w:val="0"/>
              <w:spacing w:line="252" w:lineRule="auto"/>
              <w:rPr>
                <w:rFonts w:ascii="Arial"/>
                <w:sz w:val="24"/>
                <w:szCs w:val="24"/>
              </w:rPr>
            </w:pPr>
          </w:p>
          <w:p w14:paraId="1E84D467">
            <w:pPr>
              <w:keepLines w:val="0"/>
              <w:pageBreakBefore w:val="0"/>
              <w:kinsoku/>
              <w:wordWrap/>
              <w:overflowPunct/>
              <w:topLinePunct w:val="0"/>
              <w:bidi w:val="0"/>
              <w:spacing w:line="252" w:lineRule="auto"/>
              <w:rPr>
                <w:rFonts w:ascii="Arial"/>
                <w:sz w:val="24"/>
                <w:szCs w:val="24"/>
              </w:rPr>
            </w:pPr>
          </w:p>
          <w:p w14:paraId="037D3611">
            <w:pPr>
              <w:keepLines w:val="0"/>
              <w:pageBreakBefore w:val="0"/>
              <w:kinsoku/>
              <w:wordWrap/>
              <w:overflowPunct/>
              <w:topLinePunct w:val="0"/>
              <w:bidi w:val="0"/>
              <w:spacing w:line="252" w:lineRule="auto"/>
              <w:rPr>
                <w:rFonts w:ascii="Arial"/>
                <w:sz w:val="24"/>
                <w:szCs w:val="24"/>
              </w:rPr>
            </w:pPr>
          </w:p>
          <w:p w14:paraId="21D9884A">
            <w:pPr>
              <w:keepLines w:val="0"/>
              <w:pageBreakBefore w:val="0"/>
              <w:kinsoku/>
              <w:wordWrap/>
              <w:overflowPunct/>
              <w:topLinePunct w:val="0"/>
              <w:bidi w:val="0"/>
              <w:spacing w:line="252" w:lineRule="auto"/>
              <w:rPr>
                <w:rFonts w:ascii="Arial"/>
                <w:sz w:val="24"/>
                <w:szCs w:val="24"/>
              </w:rPr>
            </w:pPr>
          </w:p>
          <w:p w14:paraId="72C6D7A5">
            <w:pPr>
              <w:keepLines w:val="0"/>
              <w:pageBreakBefore w:val="0"/>
              <w:kinsoku/>
              <w:wordWrap/>
              <w:overflowPunct/>
              <w:topLinePunct w:val="0"/>
              <w:bidi w:val="0"/>
              <w:spacing w:line="252" w:lineRule="auto"/>
              <w:rPr>
                <w:rFonts w:ascii="Arial"/>
                <w:sz w:val="24"/>
                <w:szCs w:val="24"/>
              </w:rPr>
            </w:pPr>
          </w:p>
          <w:p w14:paraId="6EE45DFB">
            <w:pPr>
              <w:keepLines w:val="0"/>
              <w:pageBreakBefore w:val="0"/>
              <w:kinsoku/>
              <w:wordWrap/>
              <w:overflowPunct/>
              <w:topLinePunct w:val="0"/>
              <w:bidi w:val="0"/>
              <w:spacing w:line="252" w:lineRule="auto"/>
              <w:rPr>
                <w:rFonts w:ascii="Arial"/>
                <w:sz w:val="24"/>
                <w:szCs w:val="24"/>
              </w:rPr>
            </w:pPr>
          </w:p>
          <w:p w14:paraId="7B335590">
            <w:pPr>
              <w:keepLines w:val="0"/>
              <w:pageBreakBefore w:val="0"/>
              <w:kinsoku/>
              <w:wordWrap/>
              <w:overflowPunct/>
              <w:topLinePunct w:val="0"/>
              <w:bidi w:val="0"/>
              <w:spacing w:line="253" w:lineRule="auto"/>
              <w:rPr>
                <w:rFonts w:ascii="Arial"/>
                <w:sz w:val="24"/>
                <w:szCs w:val="24"/>
              </w:rPr>
            </w:pPr>
          </w:p>
          <w:p w14:paraId="78951AFA">
            <w:pPr>
              <w:pStyle w:val="29"/>
              <w:keepLines w:val="0"/>
              <w:pageBreakBefore w:val="0"/>
              <w:kinsoku/>
              <w:wordWrap/>
              <w:overflowPunct/>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4383162F">
            <w:pPr>
              <w:keepLines w:val="0"/>
              <w:pageBreakBefore w:val="0"/>
              <w:kinsoku/>
              <w:wordWrap/>
              <w:overflowPunct/>
              <w:topLinePunct w:val="0"/>
              <w:bidi w:val="0"/>
              <w:rPr>
                <w:rFonts w:ascii="Arial"/>
                <w:sz w:val="24"/>
                <w:szCs w:val="24"/>
              </w:rPr>
            </w:pPr>
          </w:p>
        </w:tc>
      </w:tr>
    </w:tbl>
    <w:p w14:paraId="184CCAFC">
      <w:pPr>
        <w:keepLines w:val="0"/>
        <w:pageBreakBefore w:val="0"/>
        <w:kinsoku/>
        <w:wordWrap/>
        <w:overflowPunct/>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w:t>
      </w:r>
    </w:p>
    <w:p w14:paraId="16F4CEC5">
      <w:pPr>
        <w:keepLines w:val="0"/>
        <w:pageBreakBefore w:val="0"/>
        <w:kinsoku/>
        <w:wordWrap/>
        <w:overflowPunct/>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投标人</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020F7A15">
      <w:pPr>
        <w:pStyle w:val="7"/>
        <w:keepLines w:val="0"/>
        <w:pageBreakBefore w:val="0"/>
        <w:kinsoku/>
        <w:wordWrap/>
        <w:overflowPunct/>
        <w:topLinePunct w:val="0"/>
        <w:bidi w:val="0"/>
        <w:spacing w:line="262" w:lineRule="auto"/>
      </w:pPr>
    </w:p>
    <w:p w14:paraId="7C9DD8C7">
      <w:pPr>
        <w:pStyle w:val="7"/>
        <w:keepLines w:val="0"/>
        <w:pageBreakBefore w:val="0"/>
        <w:kinsoku/>
        <w:wordWrap/>
        <w:overflowPunct/>
        <w:topLinePunct w:val="0"/>
        <w:bidi w:val="0"/>
        <w:spacing w:line="262" w:lineRule="auto"/>
      </w:pPr>
    </w:p>
    <w:p w14:paraId="579228E2">
      <w:pPr>
        <w:pStyle w:val="7"/>
        <w:keepLines w:val="0"/>
        <w:pageBreakBefore w:val="0"/>
        <w:kinsoku/>
        <w:wordWrap/>
        <w:overflowPunct/>
        <w:topLinePunct w:val="0"/>
        <w:bidi w:val="0"/>
        <w:spacing w:line="263" w:lineRule="auto"/>
      </w:pPr>
    </w:p>
    <w:p w14:paraId="71BFDB75">
      <w:pPr>
        <w:pStyle w:val="7"/>
        <w:keepLines w:val="0"/>
        <w:pageBreakBefore w:val="0"/>
        <w:kinsoku/>
        <w:wordWrap/>
        <w:overflowPunct/>
        <w:topLinePunct w:val="0"/>
        <w:bidi w:val="0"/>
        <w:spacing w:line="263" w:lineRule="auto"/>
      </w:pPr>
    </w:p>
    <w:p w14:paraId="4AB81A9F">
      <w:pPr>
        <w:pStyle w:val="7"/>
        <w:keepLines w:val="0"/>
        <w:pageBreakBefore w:val="0"/>
        <w:kinsoku/>
        <w:wordWrap/>
        <w:overflowPunct/>
        <w:topLinePunct w:val="0"/>
        <w:bidi w:val="0"/>
        <w:spacing w:line="263" w:lineRule="auto"/>
      </w:pPr>
    </w:p>
    <w:p w14:paraId="759FA9B5">
      <w:pPr>
        <w:keepLines w:val="0"/>
        <w:pageBreakBefore w:val="0"/>
        <w:kinsoku/>
        <w:wordWrap/>
        <w:overflowPunct/>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8</w:t>
      </w:r>
      <w:r>
        <w:rPr>
          <w:rFonts w:ascii="仿宋" w:hAnsi="仿宋" w:eastAsia="仿宋" w:cs="仿宋"/>
          <w:b/>
          <w:bCs/>
          <w:spacing w:val="6"/>
          <w:sz w:val="24"/>
          <w:szCs w:val="24"/>
        </w:rPr>
        <w:t>.近三年无重大违法记录声明</w:t>
      </w:r>
    </w:p>
    <w:p w14:paraId="2EDCE6E8">
      <w:pPr>
        <w:pStyle w:val="7"/>
        <w:keepLines w:val="0"/>
        <w:pageBreakBefore w:val="0"/>
        <w:kinsoku/>
        <w:wordWrap/>
        <w:overflowPunct/>
        <w:topLinePunct w:val="0"/>
        <w:bidi w:val="0"/>
        <w:spacing w:line="295" w:lineRule="auto"/>
        <w:rPr>
          <w:sz w:val="24"/>
          <w:szCs w:val="24"/>
        </w:rPr>
      </w:pPr>
    </w:p>
    <w:p w14:paraId="3953584F">
      <w:pPr>
        <w:pStyle w:val="7"/>
        <w:keepLines w:val="0"/>
        <w:pageBreakBefore w:val="0"/>
        <w:kinsoku/>
        <w:wordWrap/>
        <w:overflowPunct/>
        <w:topLinePunct w:val="0"/>
        <w:bidi w:val="0"/>
        <w:spacing w:line="295" w:lineRule="auto"/>
        <w:rPr>
          <w:sz w:val="24"/>
          <w:szCs w:val="24"/>
        </w:rPr>
      </w:pPr>
    </w:p>
    <w:p w14:paraId="5643C9A6">
      <w:pPr>
        <w:keepLines w:val="0"/>
        <w:pageBreakBefore w:val="0"/>
        <w:kinsoku/>
        <w:wordWrap/>
        <w:overflowPunct/>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78DE8B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056DE6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0E7168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14:paraId="4E23FFA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03D19F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624B3202">
      <w:pPr>
        <w:pStyle w:val="7"/>
        <w:keepLines w:val="0"/>
        <w:pageBreakBefore w:val="0"/>
        <w:kinsoku/>
        <w:wordWrap/>
        <w:overflowPunct/>
        <w:topLinePunct w:val="0"/>
        <w:bidi w:val="0"/>
        <w:spacing w:line="284" w:lineRule="auto"/>
        <w:rPr>
          <w:sz w:val="24"/>
          <w:szCs w:val="24"/>
        </w:rPr>
      </w:pPr>
    </w:p>
    <w:p w14:paraId="44ACA967">
      <w:pPr>
        <w:pStyle w:val="7"/>
        <w:keepLines w:val="0"/>
        <w:pageBreakBefore w:val="0"/>
        <w:kinsoku/>
        <w:wordWrap/>
        <w:overflowPunct/>
        <w:topLinePunct w:val="0"/>
        <w:bidi w:val="0"/>
        <w:spacing w:line="285" w:lineRule="auto"/>
        <w:rPr>
          <w:sz w:val="24"/>
          <w:szCs w:val="24"/>
        </w:rPr>
      </w:pPr>
    </w:p>
    <w:p w14:paraId="2A0EFD8D">
      <w:pPr>
        <w:pStyle w:val="7"/>
        <w:keepLines w:val="0"/>
        <w:pageBreakBefore w:val="0"/>
        <w:kinsoku/>
        <w:wordWrap/>
        <w:overflowPunct/>
        <w:topLinePunct w:val="0"/>
        <w:bidi w:val="0"/>
        <w:spacing w:line="285" w:lineRule="auto"/>
        <w:rPr>
          <w:sz w:val="24"/>
          <w:szCs w:val="24"/>
        </w:rPr>
      </w:pPr>
    </w:p>
    <w:p w14:paraId="5B608F2A">
      <w:pPr>
        <w:pStyle w:val="7"/>
        <w:keepLines w:val="0"/>
        <w:pageBreakBefore w:val="0"/>
        <w:kinsoku/>
        <w:wordWrap/>
        <w:overflowPunct/>
        <w:topLinePunct w:val="0"/>
        <w:bidi w:val="0"/>
        <w:spacing w:line="285" w:lineRule="auto"/>
        <w:rPr>
          <w:sz w:val="24"/>
          <w:szCs w:val="24"/>
        </w:rPr>
      </w:pPr>
    </w:p>
    <w:p w14:paraId="2DC3772A">
      <w:pPr>
        <w:keepLines w:val="0"/>
        <w:pageBreakBefore w:val="0"/>
        <w:kinsoku/>
        <w:wordWrap/>
        <w:overflowPunct/>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B9C816C">
      <w:pPr>
        <w:keepLines w:val="0"/>
        <w:pageBreakBefore w:val="0"/>
        <w:kinsoku/>
        <w:wordWrap/>
        <w:overflowPunct/>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21402FE8">
      <w:pPr>
        <w:pStyle w:val="7"/>
        <w:keepLines w:val="0"/>
        <w:pageBreakBefore w:val="0"/>
        <w:kinsoku/>
        <w:wordWrap/>
        <w:overflowPunct/>
        <w:topLinePunct w:val="0"/>
        <w:bidi w:val="0"/>
        <w:spacing w:line="464" w:lineRule="auto"/>
        <w:rPr>
          <w:sz w:val="24"/>
          <w:szCs w:val="24"/>
        </w:rPr>
      </w:pPr>
    </w:p>
    <w:p w14:paraId="407CA5C8">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47ECC580">
      <w:pPr>
        <w:keepLines w:val="0"/>
        <w:pageBreakBefore w:val="0"/>
        <w:kinsoku/>
        <w:wordWrap/>
        <w:overflowPunct/>
        <w:topLinePunct w:val="0"/>
        <w:bidi w:val="0"/>
        <w:spacing w:line="231" w:lineRule="auto"/>
        <w:rPr>
          <w:rFonts w:ascii="仿宋" w:hAnsi="仿宋" w:eastAsia="仿宋" w:cs="仿宋"/>
          <w:sz w:val="24"/>
          <w:szCs w:val="24"/>
        </w:rPr>
        <w:sectPr>
          <w:footerReference r:id="rId13" w:type="default"/>
          <w:pgSz w:w="11906" w:h="16839"/>
          <w:pgMar w:top="1440" w:right="1080" w:bottom="1440" w:left="1080" w:header="0" w:footer="1054" w:gutter="0"/>
          <w:pgNumType w:fmt="decimal"/>
          <w:cols w:space="720" w:num="1"/>
        </w:sectPr>
      </w:pPr>
    </w:p>
    <w:p w14:paraId="4BB72C4C">
      <w:pPr>
        <w:keepLines w:val="0"/>
        <w:pageBreakBefore w:val="0"/>
        <w:kinsoku/>
        <w:wordWrap/>
        <w:overflowPunct/>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9</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5966C5D0">
      <w:pPr>
        <w:keepLines w:val="0"/>
        <w:pageBreakBefore w:val="0"/>
        <w:kinsoku/>
        <w:wordWrap/>
        <w:overflowPunct/>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1119EDC8">
      <w:pPr>
        <w:pStyle w:val="7"/>
        <w:keepLines w:val="0"/>
        <w:pageBreakBefore w:val="0"/>
        <w:kinsoku/>
        <w:wordWrap/>
        <w:overflowPunct/>
        <w:topLinePunct w:val="0"/>
        <w:bidi w:val="0"/>
        <w:spacing w:line="257" w:lineRule="auto"/>
      </w:pPr>
    </w:p>
    <w:p w14:paraId="14383D6C">
      <w:pPr>
        <w:pStyle w:val="7"/>
        <w:keepLines w:val="0"/>
        <w:pageBreakBefore w:val="0"/>
        <w:kinsoku/>
        <w:wordWrap/>
        <w:overflowPunct/>
        <w:topLinePunct w:val="0"/>
        <w:bidi w:val="0"/>
        <w:spacing w:line="257" w:lineRule="auto"/>
      </w:pPr>
    </w:p>
    <w:p w14:paraId="33DACA6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0A94C9D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0BFCC727">
      <w:pPr>
        <w:pStyle w:val="7"/>
        <w:keepLines w:val="0"/>
        <w:pageBreakBefore w:val="0"/>
        <w:kinsoku/>
        <w:wordWrap/>
        <w:overflowPunct/>
        <w:topLinePunct w:val="0"/>
        <w:bidi w:val="0"/>
        <w:spacing w:line="259" w:lineRule="auto"/>
        <w:rPr>
          <w:sz w:val="24"/>
          <w:szCs w:val="24"/>
        </w:rPr>
      </w:pPr>
    </w:p>
    <w:p w14:paraId="6894F7B6">
      <w:pPr>
        <w:pStyle w:val="7"/>
        <w:keepLines w:val="0"/>
        <w:pageBreakBefore w:val="0"/>
        <w:kinsoku/>
        <w:wordWrap/>
        <w:overflowPunct/>
        <w:topLinePunct w:val="0"/>
        <w:bidi w:val="0"/>
        <w:spacing w:line="260" w:lineRule="auto"/>
        <w:rPr>
          <w:sz w:val="24"/>
          <w:szCs w:val="24"/>
        </w:rPr>
      </w:pPr>
    </w:p>
    <w:p w14:paraId="734B91D0">
      <w:pPr>
        <w:keepLines w:val="0"/>
        <w:pageBreakBefore w:val="0"/>
        <w:kinsoku/>
        <w:wordWrap/>
        <w:overflowPunct/>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543692F3">
      <w:pPr>
        <w:keepLines w:val="0"/>
        <w:pageBreakBefore w:val="0"/>
        <w:kinsoku/>
        <w:wordWrap/>
        <w:overflowPunct/>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745DF20E">
      <w:pPr>
        <w:pStyle w:val="7"/>
        <w:keepLines w:val="0"/>
        <w:pageBreakBefore w:val="0"/>
        <w:kinsoku/>
        <w:wordWrap/>
        <w:overflowPunct/>
        <w:topLinePunct w:val="0"/>
        <w:bidi w:val="0"/>
        <w:spacing w:line="464" w:lineRule="auto"/>
        <w:rPr>
          <w:sz w:val="24"/>
          <w:szCs w:val="24"/>
        </w:rPr>
      </w:pPr>
    </w:p>
    <w:p w14:paraId="761DA95F">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31417E37">
      <w:pPr>
        <w:keepLines w:val="0"/>
        <w:pageBreakBefore w:val="0"/>
        <w:kinsoku/>
        <w:wordWrap/>
        <w:overflowPunct/>
        <w:topLinePunct w:val="0"/>
        <w:bidi w:val="0"/>
        <w:spacing w:line="231" w:lineRule="auto"/>
        <w:rPr>
          <w:rFonts w:ascii="仿宋" w:hAnsi="仿宋" w:eastAsia="仿宋" w:cs="仿宋"/>
          <w:sz w:val="20"/>
          <w:szCs w:val="20"/>
        </w:rPr>
        <w:sectPr>
          <w:footerReference r:id="rId14" w:type="default"/>
          <w:pgSz w:w="11906" w:h="16839"/>
          <w:pgMar w:top="1440" w:right="1080" w:bottom="1440" w:left="1080" w:header="0" w:footer="1054" w:gutter="0"/>
          <w:pgNumType w:fmt="decimal"/>
          <w:cols w:space="720" w:num="1"/>
        </w:sectPr>
      </w:pPr>
    </w:p>
    <w:p w14:paraId="0D7CA833">
      <w:pPr>
        <w:pStyle w:val="7"/>
        <w:keepLines w:val="0"/>
        <w:pageBreakBefore w:val="0"/>
        <w:kinsoku/>
        <w:wordWrap/>
        <w:overflowPunct/>
        <w:topLinePunct w:val="0"/>
        <w:bidi w:val="0"/>
        <w:spacing w:line="346" w:lineRule="auto"/>
      </w:pPr>
    </w:p>
    <w:p w14:paraId="6E75891D">
      <w:pPr>
        <w:keepLines w:val="0"/>
        <w:pageBreakBefore w:val="0"/>
        <w:kinsoku/>
        <w:wordWrap/>
        <w:overflowPunct/>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10</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投标人</w:t>
      </w:r>
      <w:r>
        <w:rPr>
          <w:rFonts w:hint="eastAsia" w:ascii="仿宋" w:hAnsi="仿宋" w:eastAsia="仿宋" w:cs="仿宋"/>
          <w:b/>
          <w:bCs/>
          <w:spacing w:val="7"/>
          <w:sz w:val="24"/>
          <w:szCs w:val="24"/>
          <w:lang w:val="en-US" w:eastAsia="zh-CN"/>
        </w:rPr>
        <w:t>，不得参加同一合同项下的政府采购活动的书面声明（格式自拟）</w:t>
      </w:r>
    </w:p>
    <w:p w14:paraId="3E4BB0F8">
      <w:pPr>
        <w:keepLines w:val="0"/>
        <w:pageBreakBefore w:val="0"/>
        <w:kinsoku/>
        <w:wordWrap/>
        <w:overflowPunct/>
        <w:topLinePunct w:val="0"/>
        <w:bidi w:val="0"/>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br w:type="page"/>
      </w:r>
    </w:p>
    <w:p w14:paraId="6AD68219">
      <w:pPr>
        <w:keepLines w:val="0"/>
        <w:pageBreakBefore w:val="0"/>
        <w:kinsoku/>
        <w:wordWrap/>
        <w:overflowPunct/>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11、拟投入本项目管理、服务、其他人员情况表</w:t>
      </w:r>
    </w:p>
    <w:p w14:paraId="27C4EAAD">
      <w:pPr>
        <w:keepLines w:val="0"/>
        <w:pageBreakBefore w:val="0"/>
        <w:kinsoku/>
        <w:wordWrap/>
        <w:overflowPunct/>
        <w:topLinePunct w:val="0"/>
        <w:bidi w:val="0"/>
        <w:spacing w:line="90" w:lineRule="exact"/>
        <w:rPr>
          <w:sz w:val="24"/>
          <w:szCs w:val="24"/>
        </w:rPr>
      </w:pPr>
    </w:p>
    <w:tbl>
      <w:tblPr>
        <w:tblStyle w:val="28"/>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7A78D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61A74136">
            <w:pPr>
              <w:keepLines w:val="0"/>
              <w:pageBreakBefore w:val="0"/>
              <w:kinsoku/>
              <w:wordWrap/>
              <w:overflowPunct/>
              <w:topLinePunct w:val="0"/>
              <w:bidi w:val="0"/>
              <w:spacing w:line="477" w:lineRule="auto"/>
              <w:rPr>
                <w:rFonts w:ascii="Arial"/>
                <w:sz w:val="24"/>
                <w:szCs w:val="24"/>
              </w:rPr>
            </w:pPr>
          </w:p>
          <w:p w14:paraId="1D81E32F">
            <w:pPr>
              <w:pStyle w:val="29"/>
              <w:keepLines w:val="0"/>
              <w:pageBreakBefore w:val="0"/>
              <w:kinsoku/>
              <w:wordWrap/>
              <w:overflowPunct/>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7C2B289D">
            <w:pPr>
              <w:keepLines w:val="0"/>
              <w:pageBreakBefore w:val="0"/>
              <w:kinsoku/>
              <w:wordWrap/>
              <w:overflowPunct/>
              <w:topLinePunct w:val="0"/>
              <w:bidi w:val="0"/>
              <w:spacing w:line="478" w:lineRule="auto"/>
              <w:rPr>
                <w:rFonts w:ascii="Arial"/>
                <w:sz w:val="24"/>
                <w:szCs w:val="24"/>
              </w:rPr>
            </w:pPr>
          </w:p>
          <w:p w14:paraId="71DF1800">
            <w:pPr>
              <w:pStyle w:val="29"/>
              <w:keepLines w:val="0"/>
              <w:pageBreakBefore w:val="0"/>
              <w:kinsoku/>
              <w:wordWrap/>
              <w:overflowPunct/>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5CFE00E7">
            <w:pPr>
              <w:keepLines w:val="0"/>
              <w:pageBreakBefore w:val="0"/>
              <w:kinsoku/>
              <w:wordWrap/>
              <w:overflowPunct/>
              <w:topLinePunct w:val="0"/>
              <w:bidi w:val="0"/>
              <w:spacing w:line="277" w:lineRule="auto"/>
              <w:rPr>
                <w:rFonts w:ascii="Arial"/>
                <w:sz w:val="24"/>
                <w:szCs w:val="24"/>
              </w:rPr>
            </w:pPr>
          </w:p>
          <w:p w14:paraId="402F8BC9">
            <w:pPr>
              <w:pStyle w:val="29"/>
              <w:keepLines w:val="0"/>
              <w:pageBreakBefore w:val="0"/>
              <w:kinsoku/>
              <w:wordWrap/>
              <w:overflowPunct/>
              <w:topLinePunct w:val="0"/>
              <w:bidi w:val="0"/>
              <w:spacing w:before="65" w:line="401" w:lineRule="exact"/>
              <w:ind w:left="204"/>
              <w:rPr>
                <w:sz w:val="24"/>
                <w:szCs w:val="24"/>
              </w:rPr>
            </w:pPr>
            <w:r>
              <w:rPr>
                <w:spacing w:val="5"/>
                <w:position w:val="14"/>
                <w:sz w:val="24"/>
                <w:szCs w:val="24"/>
              </w:rPr>
              <w:t>联系方</w:t>
            </w:r>
          </w:p>
          <w:p w14:paraId="6B9BED28">
            <w:pPr>
              <w:pStyle w:val="29"/>
              <w:keepLines w:val="0"/>
              <w:pageBreakBefore w:val="0"/>
              <w:kinsoku/>
              <w:wordWrap/>
              <w:overflowPunct/>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444257CC">
            <w:pPr>
              <w:keepLines w:val="0"/>
              <w:pageBreakBefore w:val="0"/>
              <w:kinsoku/>
              <w:wordWrap/>
              <w:overflowPunct/>
              <w:topLinePunct w:val="0"/>
              <w:bidi w:val="0"/>
              <w:spacing w:line="277" w:lineRule="auto"/>
              <w:rPr>
                <w:rFonts w:ascii="Arial"/>
                <w:sz w:val="24"/>
                <w:szCs w:val="24"/>
              </w:rPr>
            </w:pPr>
          </w:p>
          <w:p w14:paraId="5B717F9E">
            <w:pPr>
              <w:pStyle w:val="29"/>
              <w:keepLines w:val="0"/>
              <w:pageBreakBefore w:val="0"/>
              <w:kinsoku/>
              <w:wordWrap/>
              <w:overflowPunct/>
              <w:topLinePunct w:val="0"/>
              <w:bidi w:val="0"/>
              <w:spacing w:before="65" w:line="401" w:lineRule="exact"/>
              <w:ind w:left="207"/>
              <w:rPr>
                <w:sz w:val="24"/>
                <w:szCs w:val="24"/>
              </w:rPr>
            </w:pPr>
            <w:r>
              <w:rPr>
                <w:spacing w:val="5"/>
                <w:position w:val="14"/>
                <w:sz w:val="24"/>
                <w:szCs w:val="24"/>
              </w:rPr>
              <w:t>职称或</w:t>
            </w:r>
          </w:p>
          <w:p w14:paraId="764568EA">
            <w:pPr>
              <w:pStyle w:val="29"/>
              <w:keepLines w:val="0"/>
              <w:pageBreakBefore w:val="0"/>
              <w:kinsoku/>
              <w:wordWrap/>
              <w:overflowPunct/>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62E73C2D">
            <w:pPr>
              <w:keepLines w:val="0"/>
              <w:pageBreakBefore w:val="0"/>
              <w:kinsoku/>
              <w:wordWrap/>
              <w:overflowPunct/>
              <w:topLinePunct w:val="0"/>
              <w:bidi w:val="0"/>
              <w:spacing w:line="478" w:lineRule="auto"/>
              <w:rPr>
                <w:rFonts w:ascii="Arial"/>
                <w:sz w:val="24"/>
                <w:szCs w:val="24"/>
              </w:rPr>
            </w:pPr>
          </w:p>
          <w:p w14:paraId="4006BF26">
            <w:pPr>
              <w:pStyle w:val="29"/>
              <w:keepLines w:val="0"/>
              <w:pageBreakBefore w:val="0"/>
              <w:kinsoku/>
              <w:wordWrap/>
              <w:overflowPunct/>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524B4EAE">
            <w:pPr>
              <w:pStyle w:val="29"/>
              <w:keepLines w:val="0"/>
              <w:pageBreakBefore w:val="0"/>
              <w:kinsoku/>
              <w:wordWrap/>
              <w:overflowPunct/>
              <w:topLinePunct w:val="0"/>
              <w:bidi w:val="0"/>
              <w:spacing w:before="241" w:line="231" w:lineRule="auto"/>
              <w:ind w:left="1745"/>
              <w:rPr>
                <w:sz w:val="24"/>
                <w:szCs w:val="24"/>
              </w:rPr>
            </w:pPr>
            <w:r>
              <w:rPr>
                <w:spacing w:val="3"/>
                <w:sz w:val="24"/>
                <w:szCs w:val="24"/>
              </w:rPr>
              <w:t>资格证明</w:t>
            </w:r>
          </w:p>
        </w:tc>
      </w:tr>
      <w:tr w14:paraId="1D31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18C42D3C">
            <w:pPr>
              <w:keepLines w:val="0"/>
              <w:pageBreakBefore w:val="0"/>
              <w:kinsoku/>
              <w:wordWrap/>
              <w:overflowPunct/>
              <w:topLinePunct w:val="0"/>
              <w:bidi w:val="0"/>
              <w:rPr>
                <w:rFonts w:ascii="Arial"/>
                <w:sz w:val="24"/>
                <w:szCs w:val="24"/>
              </w:rPr>
            </w:pPr>
          </w:p>
        </w:tc>
        <w:tc>
          <w:tcPr>
            <w:tcW w:w="1023" w:type="dxa"/>
            <w:vMerge w:val="continue"/>
            <w:tcBorders>
              <w:top w:val="nil"/>
            </w:tcBorders>
            <w:vAlign w:val="top"/>
          </w:tcPr>
          <w:p w14:paraId="7DD7B3D2">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55C04340">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26CB985C">
            <w:pPr>
              <w:keepLines w:val="0"/>
              <w:pageBreakBefore w:val="0"/>
              <w:kinsoku/>
              <w:wordWrap/>
              <w:overflowPunct/>
              <w:topLinePunct w:val="0"/>
              <w:bidi w:val="0"/>
              <w:rPr>
                <w:rFonts w:ascii="Arial"/>
                <w:sz w:val="24"/>
                <w:szCs w:val="24"/>
              </w:rPr>
            </w:pPr>
          </w:p>
        </w:tc>
        <w:tc>
          <w:tcPr>
            <w:tcW w:w="1025" w:type="dxa"/>
            <w:vMerge w:val="continue"/>
            <w:tcBorders>
              <w:top w:val="nil"/>
            </w:tcBorders>
            <w:vAlign w:val="top"/>
          </w:tcPr>
          <w:p w14:paraId="10954EB9">
            <w:pPr>
              <w:keepLines w:val="0"/>
              <w:pageBreakBefore w:val="0"/>
              <w:kinsoku/>
              <w:wordWrap/>
              <w:overflowPunct/>
              <w:topLinePunct w:val="0"/>
              <w:bidi w:val="0"/>
              <w:rPr>
                <w:rFonts w:ascii="Arial"/>
                <w:sz w:val="24"/>
                <w:szCs w:val="24"/>
              </w:rPr>
            </w:pPr>
          </w:p>
        </w:tc>
        <w:tc>
          <w:tcPr>
            <w:tcW w:w="1334" w:type="dxa"/>
            <w:vAlign w:val="top"/>
          </w:tcPr>
          <w:p w14:paraId="5F5C992F">
            <w:pPr>
              <w:pStyle w:val="29"/>
              <w:keepLines w:val="0"/>
              <w:pageBreakBefore w:val="0"/>
              <w:kinsoku/>
              <w:wordWrap/>
              <w:overflowPunct/>
              <w:topLinePunct w:val="0"/>
              <w:bidi w:val="0"/>
              <w:spacing w:before="239" w:line="229" w:lineRule="auto"/>
              <w:ind w:left="258"/>
              <w:rPr>
                <w:sz w:val="24"/>
                <w:szCs w:val="24"/>
              </w:rPr>
            </w:pPr>
            <w:r>
              <w:rPr>
                <w:spacing w:val="6"/>
                <w:sz w:val="24"/>
                <w:szCs w:val="24"/>
              </w:rPr>
              <w:t>证书名称</w:t>
            </w:r>
          </w:p>
        </w:tc>
        <w:tc>
          <w:tcPr>
            <w:tcW w:w="939" w:type="dxa"/>
            <w:vAlign w:val="top"/>
          </w:tcPr>
          <w:p w14:paraId="186D22A7">
            <w:pPr>
              <w:pStyle w:val="29"/>
              <w:keepLines w:val="0"/>
              <w:pageBreakBefore w:val="0"/>
              <w:kinsoku/>
              <w:wordWrap/>
              <w:overflowPunct/>
              <w:topLinePunct w:val="0"/>
              <w:bidi w:val="0"/>
              <w:spacing w:before="238" w:line="232" w:lineRule="auto"/>
              <w:ind w:left="273"/>
              <w:rPr>
                <w:sz w:val="24"/>
                <w:szCs w:val="24"/>
              </w:rPr>
            </w:pPr>
            <w:r>
              <w:rPr>
                <w:sz w:val="24"/>
                <w:szCs w:val="24"/>
              </w:rPr>
              <w:t>级别</w:t>
            </w:r>
          </w:p>
        </w:tc>
        <w:tc>
          <w:tcPr>
            <w:tcW w:w="1068" w:type="dxa"/>
            <w:vAlign w:val="top"/>
          </w:tcPr>
          <w:p w14:paraId="4F55E7B9">
            <w:pPr>
              <w:pStyle w:val="29"/>
              <w:keepLines w:val="0"/>
              <w:pageBreakBefore w:val="0"/>
              <w:kinsoku/>
              <w:wordWrap/>
              <w:overflowPunct/>
              <w:topLinePunct w:val="0"/>
              <w:bidi w:val="0"/>
              <w:spacing w:before="239" w:line="232" w:lineRule="auto"/>
              <w:ind w:left="334"/>
              <w:rPr>
                <w:sz w:val="24"/>
                <w:szCs w:val="24"/>
              </w:rPr>
            </w:pPr>
            <w:r>
              <w:rPr>
                <w:spacing w:val="2"/>
                <w:sz w:val="24"/>
                <w:szCs w:val="24"/>
              </w:rPr>
              <w:t>证号</w:t>
            </w:r>
          </w:p>
        </w:tc>
        <w:tc>
          <w:tcPr>
            <w:tcW w:w="950" w:type="dxa"/>
            <w:vAlign w:val="top"/>
          </w:tcPr>
          <w:p w14:paraId="05C66631">
            <w:pPr>
              <w:pStyle w:val="29"/>
              <w:keepLines w:val="0"/>
              <w:pageBreakBefore w:val="0"/>
              <w:kinsoku/>
              <w:wordWrap/>
              <w:overflowPunct/>
              <w:topLinePunct w:val="0"/>
              <w:bidi w:val="0"/>
              <w:spacing w:before="239" w:line="232" w:lineRule="auto"/>
              <w:ind w:left="278"/>
              <w:rPr>
                <w:sz w:val="24"/>
                <w:szCs w:val="24"/>
              </w:rPr>
            </w:pPr>
            <w:r>
              <w:rPr>
                <w:sz w:val="24"/>
                <w:szCs w:val="24"/>
              </w:rPr>
              <w:t>专业</w:t>
            </w:r>
          </w:p>
        </w:tc>
      </w:tr>
      <w:tr w14:paraId="038B4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7A3767DE">
            <w:pPr>
              <w:keepLines w:val="0"/>
              <w:pageBreakBefore w:val="0"/>
              <w:kinsoku/>
              <w:wordWrap/>
              <w:overflowPunct/>
              <w:topLinePunct w:val="0"/>
              <w:bidi w:val="0"/>
              <w:spacing w:line="410" w:lineRule="auto"/>
              <w:rPr>
                <w:rFonts w:ascii="Arial"/>
                <w:sz w:val="24"/>
                <w:szCs w:val="24"/>
              </w:rPr>
            </w:pPr>
          </w:p>
          <w:p w14:paraId="76DAFA0A">
            <w:pPr>
              <w:pStyle w:val="29"/>
              <w:keepLines w:val="0"/>
              <w:pageBreakBefore w:val="0"/>
              <w:kinsoku/>
              <w:wordWrap/>
              <w:overflowPunct/>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54A6990F">
            <w:pPr>
              <w:keepLines w:val="0"/>
              <w:pageBreakBefore w:val="0"/>
              <w:kinsoku/>
              <w:wordWrap/>
              <w:overflowPunct/>
              <w:topLinePunct w:val="0"/>
              <w:bidi w:val="0"/>
              <w:rPr>
                <w:rFonts w:ascii="Arial"/>
                <w:sz w:val="24"/>
                <w:szCs w:val="24"/>
              </w:rPr>
            </w:pPr>
          </w:p>
        </w:tc>
        <w:tc>
          <w:tcPr>
            <w:tcW w:w="1024" w:type="dxa"/>
            <w:vAlign w:val="top"/>
          </w:tcPr>
          <w:p w14:paraId="32F74B2E">
            <w:pPr>
              <w:keepLines w:val="0"/>
              <w:pageBreakBefore w:val="0"/>
              <w:kinsoku/>
              <w:wordWrap/>
              <w:overflowPunct/>
              <w:topLinePunct w:val="0"/>
              <w:bidi w:val="0"/>
              <w:rPr>
                <w:rFonts w:ascii="Arial"/>
                <w:sz w:val="24"/>
                <w:szCs w:val="24"/>
              </w:rPr>
            </w:pPr>
          </w:p>
        </w:tc>
        <w:tc>
          <w:tcPr>
            <w:tcW w:w="1024" w:type="dxa"/>
            <w:vAlign w:val="top"/>
          </w:tcPr>
          <w:p w14:paraId="571D8A19">
            <w:pPr>
              <w:keepLines w:val="0"/>
              <w:pageBreakBefore w:val="0"/>
              <w:kinsoku/>
              <w:wordWrap/>
              <w:overflowPunct/>
              <w:topLinePunct w:val="0"/>
              <w:bidi w:val="0"/>
              <w:rPr>
                <w:rFonts w:ascii="Arial"/>
                <w:sz w:val="24"/>
                <w:szCs w:val="24"/>
              </w:rPr>
            </w:pPr>
          </w:p>
        </w:tc>
        <w:tc>
          <w:tcPr>
            <w:tcW w:w="1025" w:type="dxa"/>
            <w:vAlign w:val="top"/>
          </w:tcPr>
          <w:p w14:paraId="2485855E">
            <w:pPr>
              <w:keepLines w:val="0"/>
              <w:pageBreakBefore w:val="0"/>
              <w:kinsoku/>
              <w:wordWrap/>
              <w:overflowPunct/>
              <w:topLinePunct w:val="0"/>
              <w:bidi w:val="0"/>
              <w:rPr>
                <w:rFonts w:ascii="Arial"/>
                <w:sz w:val="24"/>
                <w:szCs w:val="24"/>
              </w:rPr>
            </w:pPr>
          </w:p>
        </w:tc>
        <w:tc>
          <w:tcPr>
            <w:tcW w:w="1334" w:type="dxa"/>
            <w:vAlign w:val="top"/>
          </w:tcPr>
          <w:p w14:paraId="1BBF9E5E">
            <w:pPr>
              <w:keepLines w:val="0"/>
              <w:pageBreakBefore w:val="0"/>
              <w:kinsoku/>
              <w:wordWrap/>
              <w:overflowPunct/>
              <w:topLinePunct w:val="0"/>
              <w:bidi w:val="0"/>
              <w:rPr>
                <w:rFonts w:ascii="Arial"/>
                <w:sz w:val="24"/>
                <w:szCs w:val="24"/>
              </w:rPr>
            </w:pPr>
          </w:p>
        </w:tc>
        <w:tc>
          <w:tcPr>
            <w:tcW w:w="939" w:type="dxa"/>
            <w:vAlign w:val="top"/>
          </w:tcPr>
          <w:p w14:paraId="02ED00B4">
            <w:pPr>
              <w:keepLines w:val="0"/>
              <w:pageBreakBefore w:val="0"/>
              <w:kinsoku/>
              <w:wordWrap/>
              <w:overflowPunct/>
              <w:topLinePunct w:val="0"/>
              <w:bidi w:val="0"/>
              <w:rPr>
                <w:rFonts w:ascii="Arial"/>
                <w:sz w:val="24"/>
                <w:szCs w:val="24"/>
              </w:rPr>
            </w:pPr>
          </w:p>
        </w:tc>
        <w:tc>
          <w:tcPr>
            <w:tcW w:w="1068" w:type="dxa"/>
            <w:vAlign w:val="top"/>
          </w:tcPr>
          <w:p w14:paraId="2668E09E">
            <w:pPr>
              <w:keepLines w:val="0"/>
              <w:pageBreakBefore w:val="0"/>
              <w:kinsoku/>
              <w:wordWrap/>
              <w:overflowPunct/>
              <w:topLinePunct w:val="0"/>
              <w:bidi w:val="0"/>
              <w:rPr>
                <w:rFonts w:ascii="Arial"/>
                <w:sz w:val="24"/>
                <w:szCs w:val="24"/>
              </w:rPr>
            </w:pPr>
          </w:p>
        </w:tc>
        <w:tc>
          <w:tcPr>
            <w:tcW w:w="950" w:type="dxa"/>
            <w:vAlign w:val="top"/>
          </w:tcPr>
          <w:p w14:paraId="3ED84EEC">
            <w:pPr>
              <w:keepLines w:val="0"/>
              <w:pageBreakBefore w:val="0"/>
              <w:kinsoku/>
              <w:wordWrap/>
              <w:overflowPunct/>
              <w:topLinePunct w:val="0"/>
              <w:bidi w:val="0"/>
              <w:rPr>
                <w:rFonts w:ascii="Arial"/>
                <w:sz w:val="24"/>
                <w:szCs w:val="24"/>
              </w:rPr>
            </w:pPr>
          </w:p>
        </w:tc>
      </w:tr>
      <w:tr w14:paraId="03CF3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2D711E01">
            <w:pPr>
              <w:keepLines w:val="0"/>
              <w:pageBreakBefore w:val="0"/>
              <w:kinsoku/>
              <w:wordWrap/>
              <w:overflowPunct/>
              <w:topLinePunct w:val="0"/>
              <w:bidi w:val="0"/>
              <w:rPr>
                <w:rFonts w:ascii="Arial"/>
                <w:sz w:val="24"/>
                <w:szCs w:val="24"/>
              </w:rPr>
            </w:pPr>
          </w:p>
        </w:tc>
        <w:tc>
          <w:tcPr>
            <w:tcW w:w="1023" w:type="dxa"/>
            <w:vAlign w:val="top"/>
          </w:tcPr>
          <w:p w14:paraId="604C4511">
            <w:pPr>
              <w:keepLines w:val="0"/>
              <w:pageBreakBefore w:val="0"/>
              <w:kinsoku/>
              <w:wordWrap/>
              <w:overflowPunct/>
              <w:topLinePunct w:val="0"/>
              <w:bidi w:val="0"/>
              <w:rPr>
                <w:rFonts w:ascii="Arial"/>
                <w:sz w:val="24"/>
                <w:szCs w:val="24"/>
              </w:rPr>
            </w:pPr>
          </w:p>
        </w:tc>
        <w:tc>
          <w:tcPr>
            <w:tcW w:w="1024" w:type="dxa"/>
            <w:vAlign w:val="top"/>
          </w:tcPr>
          <w:p w14:paraId="3056AA50">
            <w:pPr>
              <w:keepLines w:val="0"/>
              <w:pageBreakBefore w:val="0"/>
              <w:kinsoku/>
              <w:wordWrap/>
              <w:overflowPunct/>
              <w:topLinePunct w:val="0"/>
              <w:bidi w:val="0"/>
              <w:rPr>
                <w:rFonts w:ascii="Arial"/>
                <w:sz w:val="24"/>
                <w:szCs w:val="24"/>
              </w:rPr>
            </w:pPr>
          </w:p>
        </w:tc>
        <w:tc>
          <w:tcPr>
            <w:tcW w:w="1024" w:type="dxa"/>
            <w:vAlign w:val="top"/>
          </w:tcPr>
          <w:p w14:paraId="5B4DDD30">
            <w:pPr>
              <w:keepLines w:val="0"/>
              <w:pageBreakBefore w:val="0"/>
              <w:kinsoku/>
              <w:wordWrap/>
              <w:overflowPunct/>
              <w:topLinePunct w:val="0"/>
              <w:bidi w:val="0"/>
              <w:rPr>
                <w:rFonts w:ascii="Arial"/>
                <w:sz w:val="24"/>
                <w:szCs w:val="24"/>
              </w:rPr>
            </w:pPr>
          </w:p>
        </w:tc>
        <w:tc>
          <w:tcPr>
            <w:tcW w:w="1025" w:type="dxa"/>
            <w:vAlign w:val="top"/>
          </w:tcPr>
          <w:p w14:paraId="6247789A">
            <w:pPr>
              <w:keepLines w:val="0"/>
              <w:pageBreakBefore w:val="0"/>
              <w:kinsoku/>
              <w:wordWrap/>
              <w:overflowPunct/>
              <w:topLinePunct w:val="0"/>
              <w:bidi w:val="0"/>
              <w:rPr>
                <w:rFonts w:ascii="Arial"/>
                <w:sz w:val="24"/>
                <w:szCs w:val="24"/>
              </w:rPr>
            </w:pPr>
          </w:p>
        </w:tc>
        <w:tc>
          <w:tcPr>
            <w:tcW w:w="1334" w:type="dxa"/>
            <w:vAlign w:val="top"/>
          </w:tcPr>
          <w:p w14:paraId="47280475">
            <w:pPr>
              <w:keepLines w:val="0"/>
              <w:pageBreakBefore w:val="0"/>
              <w:kinsoku/>
              <w:wordWrap/>
              <w:overflowPunct/>
              <w:topLinePunct w:val="0"/>
              <w:bidi w:val="0"/>
              <w:rPr>
                <w:rFonts w:ascii="Arial"/>
                <w:sz w:val="24"/>
                <w:szCs w:val="24"/>
              </w:rPr>
            </w:pPr>
          </w:p>
        </w:tc>
        <w:tc>
          <w:tcPr>
            <w:tcW w:w="939" w:type="dxa"/>
            <w:vAlign w:val="top"/>
          </w:tcPr>
          <w:p w14:paraId="3245132F">
            <w:pPr>
              <w:keepLines w:val="0"/>
              <w:pageBreakBefore w:val="0"/>
              <w:kinsoku/>
              <w:wordWrap/>
              <w:overflowPunct/>
              <w:topLinePunct w:val="0"/>
              <w:bidi w:val="0"/>
              <w:rPr>
                <w:rFonts w:ascii="Arial"/>
                <w:sz w:val="24"/>
                <w:szCs w:val="24"/>
              </w:rPr>
            </w:pPr>
          </w:p>
        </w:tc>
        <w:tc>
          <w:tcPr>
            <w:tcW w:w="1068" w:type="dxa"/>
            <w:vAlign w:val="top"/>
          </w:tcPr>
          <w:p w14:paraId="1E326F0D">
            <w:pPr>
              <w:keepLines w:val="0"/>
              <w:pageBreakBefore w:val="0"/>
              <w:kinsoku/>
              <w:wordWrap/>
              <w:overflowPunct/>
              <w:topLinePunct w:val="0"/>
              <w:bidi w:val="0"/>
              <w:rPr>
                <w:rFonts w:ascii="Arial"/>
                <w:sz w:val="24"/>
                <w:szCs w:val="24"/>
              </w:rPr>
            </w:pPr>
          </w:p>
        </w:tc>
        <w:tc>
          <w:tcPr>
            <w:tcW w:w="950" w:type="dxa"/>
            <w:vAlign w:val="top"/>
          </w:tcPr>
          <w:p w14:paraId="183C544B">
            <w:pPr>
              <w:keepLines w:val="0"/>
              <w:pageBreakBefore w:val="0"/>
              <w:kinsoku/>
              <w:wordWrap/>
              <w:overflowPunct/>
              <w:topLinePunct w:val="0"/>
              <w:bidi w:val="0"/>
              <w:rPr>
                <w:rFonts w:ascii="Arial"/>
                <w:sz w:val="24"/>
                <w:szCs w:val="24"/>
              </w:rPr>
            </w:pPr>
          </w:p>
        </w:tc>
      </w:tr>
      <w:tr w14:paraId="3391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0EF6DFCB">
            <w:pPr>
              <w:keepLines w:val="0"/>
              <w:pageBreakBefore w:val="0"/>
              <w:kinsoku/>
              <w:wordWrap/>
              <w:overflowPunct/>
              <w:topLinePunct w:val="0"/>
              <w:bidi w:val="0"/>
              <w:rPr>
                <w:rFonts w:ascii="Arial"/>
                <w:sz w:val="24"/>
                <w:szCs w:val="24"/>
              </w:rPr>
            </w:pPr>
          </w:p>
        </w:tc>
        <w:tc>
          <w:tcPr>
            <w:tcW w:w="1023" w:type="dxa"/>
            <w:vAlign w:val="top"/>
          </w:tcPr>
          <w:p w14:paraId="3CF91BFA">
            <w:pPr>
              <w:keepLines w:val="0"/>
              <w:pageBreakBefore w:val="0"/>
              <w:kinsoku/>
              <w:wordWrap/>
              <w:overflowPunct/>
              <w:topLinePunct w:val="0"/>
              <w:bidi w:val="0"/>
              <w:rPr>
                <w:rFonts w:ascii="Arial"/>
                <w:sz w:val="24"/>
                <w:szCs w:val="24"/>
              </w:rPr>
            </w:pPr>
          </w:p>
        </w:tc>
        <w:tc>
          <w:tcPr>
            <w:tcW w:w="1024" w:type="dxa"/>
            <w:vAlign w:val="top"/>
          </w:tcPr>
          <w:p w14:paraId="73251426">
            <w:pPr>
              <w:keepLines w:val="0"/>
              <w:pageBreakBefore w:val="0"/>
              <w:kinsoku/>
              <w:wordWrap/>
              <w:overflowPunct/>
              <w:topLinePunct w:val="0"/>
              <w:bidi w:val="0"/>
              <w:rPr>
                <w:rFonts w:ascii="Arial"/>
                <w:sz w:val="24"/>
                <w:szCs w:val="24"/>
              </w:rPr>
            </w:pPr>
          </w:p>
        </w:tc>
        <w:tc>
          <w:tcPr>
            <w:tcW w:w="1024" w:type="dxa"/>
            <w:vAlign w:val="top"/>
          </w:tcPr>
          <w:p w14:paraId="0886E02C">
            <w:pPr>
              <w:keepLines w:val="0"/>
              <w:pageBreakBefore w:val="0"/>
              <w:kinsoku/>
              <w:wordWrap/>
              <w:overflowPunct/>
              <w:topLinePunct w:val="0"/>
              <w:bidi w:val="0"/>
              <w:rPr>
                <w:rFonts w:ascii="Arial"/>
                <w:sz w:val="24"/>
                <w:szCs w:val="24"/>
              </w:rPr>
            </w:pPr>
          </w:p>
        </w:tc>
        <w:tc>
          <w:tcPr>
            <w:tcW w:w="1025" w:type="dxa"/>
            <w:vAlign w:val="top"/>
          </w:tcPr>
          <w:p w14:paraId="63039CF9">
            <w:pPr>
              <w:keepLines w:val="0"/>
              <w:pageBreakBefore w:val="0"/>
              <w:kinsoku/>
              <w:wordWrap/>
              <w:overflowPunct/>
              <w:topLinePunct w:val="0"/>
              <w:bidi w:val="0"/>
              <w:rPr>
                <w:rFonts w:ascii="Arial"/>
                <w:sz w:val="24"/>
                <w:szCs w:val="24"/>
              </w:rPr>
            </w:pPr>
          </w:p>
        </w:tc>
        <w:tc>
          <w:tcPr>
            <w:tcW w:w="1334" w:type="dxa"/>
            <w:vAlign w:val="top"/>
          </w:tcPr>
          <w:p w14:paraId="7C05E7BC">
            <w:pPr>
              <w:keepLines w:val="0"/>
              <w:pageBreakBefore w:val="0"/>
              <w:kinsoku/>
              <w:wordWrap/>
              <w:overflowPunct/>
              <w:topLinePunct w:val="0"/>
              <w:bidi w:val="0"/>
              <w:rPr>
                <w:rFonts w:ascii="Arial"/>
                <w:sz w:val="24"/>
                <w:szCs w:val="24"/>
              </w:rPr>
            </w:pPr>
          </w:p>
        </w:tc>
        <w:tc>
          <w:tcPr>
            <w:tcW w:w="939" w:type="dxa"/>
            <w:vAlign w:val="top"/>
          </w:tcPr>
          <w:p w14:paraId="40C26ADC">
            <w:pPr>
              <w:keepLines w:val="0"/>
              <w:pageBreakBefore w:val="0"/>
              <w:kinsoku/>
              <w:wordWrap/>
              <w:overflowPunct/>
              <w:topLinePunct w:val="0"/>
              <w:bidi w:val="0"/>
              <w:rPr>
                <w:rFonts w:ascii="Arial"/>
                <w:sz w:val="24"/>
                <w:szCs w:val="24"/>
              </w:rPr>
            </w:pPr>
          </w:p>
        </w:tc>
        <w:tc>
          <w:tcPr>
            <w:tcW w:w="1068" w:type="dxa"/>
            <w:vAlign w:val="top"/>
          </w:tcPr>
          <w:p w14:paraId="76EB21AE">
            <w:pPr>
              <w:keepLines w:val="0"/>
              <w:pageBreakBefore w:val="0"/>
              <w:kinsoku/>
              <w:wordWrap/>
              <w:overflowPunct/>
              <w:topLinePunct w:val="0"/>
              <w:bidi w:val="0"/>
              <w:rPr>
                <w:rFonts w:ascii="Arial"/>
                <w:sz w:val="24"/>
                <w:szCs w:val="24"/>
              </w:rPr>
            </w:pPr>
          </w:p>
        </w:tc>
        <w:tc>
          <w:tcPr>
            <w:tcW w:w="950" w:type="dxa"/>
            <w:vAlign w:val="top"/>
          </w:tcPr>
          <w:p w14:paraId="430448F8">
            <w:pPr>
              <w:keepLines w:val="0"/>
              <w:pageBreakBefore w:val="0"/>
              <w:kinsoku/>
              <w:wordWrap/>
              <w:overflowPunct/>
              <w:topLinePunct w:val="0"/>
              <w:bidi w:val="0"/>
              <w:rPr>
                <w:rFonts w:ascii="Arial"/>
                <w:sz w:val="24"/>
                <w:szCs w:val="24"/>
              </w:rPr>
            </w:pPr>
          </w:p>
        </w:tc>
      </w:tr>
      <w:tr w14:paraId="45426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06BA9233">
            <w:pPr>
              <w:keepLines w:val="0"/>
              <w:pageBreakBefore w:val="0"/>
              <w:kinsoku/>
              <w:wordWrap/>
              <w:overflowPunct/>
              <w:topLinePunct w:val="0"/>
              <w:bidi w:val="0"/>
              <w:spacing w:line="409" w:lineRule="auto"/>
              <w:rPr>
                <w:rFonts w:ascii="Arial"/>
                <w:sz w:val="24"/>
                <w:szCs w:val="24"/>
              </w:rPr>
            </w:pPr>
          </w:p>
          <w:p w14:paraId="505616AB">
            <w:pPr>
              <w:pStyle w:val="29"/>
              <w:keepLines w:val="0"/>
              <w:pageBreakBefore w:val="0"/>
              <w:kinsoku/>
              <w:wordWrap/>
              <w:overflowPunct/>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FF67C2C">
            <w:pPr>
              <w:keepLines w:val="0"/>
              <w:pageBreakBefore w:val="0"/>
              <w:kinsoku/>
              <w:wordWrap/>
              <w:overflowPunct/>
              <w:topLinePunct w:val="0"/>
              <w:bidi w:val="0"/>
              <w:rPr>
                <w:rFonts w:ascii="Arial"/>
                <w:sz w:val="24"/>
                <w:szCs w:val="24"/>
              </w:rPr>
            </w:pPr>
          </w:p>
        </w:tc>
        <w:tc>
          <w:tcPr>
            <w:tcW w:w="1024" w:type="dxa"/>
            <w:vAlign w:val="top"/>
          </w:tcPr>
          <w:p w14:paraId="55BAF880">
            <w:pPr>
              <w:keepLines w:val="0"/>
              <w:pageBreakBefore w:val="0"/>
              <w:kinsoku/>
              <w:wordWrap/>
              <w:overflowPunct/>
              <w:topLinePunct w:val="0"/>
              <w:bidi w:val="0"/>
              <w:rPr>
                <w:rFonts w:ascii="Arial"/>
                <w:sz w:val="24"/>
                <w:szCs w:val="24"/>
              </w:rPr>
            </w:pPr>
          </w:p>
        </w:tc>
        <w:tc>
          <w:tcPr>
            <w:tcW w:w="1024" w:type="dxa"/>
            <w:vAlign w:val="top"/>
          </w:tcPr>
          <w:p w14:paraId="1FCAEABF">
            <w:pPr>
              <w:keepLines w:val="0"/>
              <w:pageBreakBefore w:val="0"/>
              <w:kinsoku/>
              <w:wordWrap/>
              <w:overflowPunct/>
              <w:topLinePunct w:val="0"/>
              <w:bidi w:val="0"/>
              <w:rPr>
                <w:rFonts w:ascii="Arial"/>
                <w:sz w:val="24"/>
                <w:szCs w:val="24"/>
              </w:rPr>
            </w:pPr>
          </w:p>
        </w:tc>
        <w:tc>
          <w:tcPr>
            <w:tcW w:w="1025" w:type="dxa"/>
            <w:vAlign w:val="top"/>
          </w:tcPr>
          <w:p w14:paraId="0FE08503">
            <w:pPr>
              <w:keepLines w:val="0"/>
              <w:pageBreakBefore w:val="0"/>
              <w:kinsoku/>
              <w:wordWrap/>
              <w:overflowPunct/>
              <w:topLinePunct w:val="0"/>
              <w:bidi w:val="0"/>
              <w:rPr>
                <w:rFonts w:ascii="Arial"/>
                <w:sz w:val="24"/>
                <w:szCs w:val="24"/>
              </w:rPr>
            </w:pPr>
          </w:p>
        </w:tc>
        <w:tc>
          <w:tcPr>
            <w:tcW w:w="1334" w:type="dxa"/>
            <w:vAlign w:val="top"/>
          </w:tcPr>
          <w:p w14:paraId="25820E64">
            <w:pPr>
              <w:keepLines w:val="0"/>
              <w:pageBreakBefore w:val="0"/>
              <w:kinsoku/>
              <w:wordWrap/>
              <w:overflowPunct/>
              <w:topLinePunct w:val="0"/>
              <w:bidi w:val="0"/>
              <w:rPr>
                <w:rFonts w:ascii="Arial"/>
                <w:sz w:val="24"/>
                <w:szCs w:val="24"/>
              </w:rPr>
            </w:pPr>
          </w:p>
        </w:tc>
        <w:tc>
          <w:tcPr>
            <w:tcW w:w="939" w:type="dxa"/>
            <w:vAlign w:val="top"/>
          </w:tcPr>
          <w:p w14:paraId="65199646">
            <w:pPr>
              <w:keepLines w:val="0"/>
              <w:pageBreakBefore w:val="0"/>
              <w:kinsoku/>
              <w:wordWrap/>
              <w:overflowPunct/>
              <w:topLinePunct w:val="0"/>
              <w:bidi w:val="0"/>
              <w:rPr>
                <w:rFonts w:ascii="Arial"/>
                <w:sz w:val="24"/>
                <w:szCs w:val="24"/>
              </w:rPr>
            </w:pPr>
          </w:p>
        </w:tc>
        <w:tc>
          <w:tcPr>
            <w:tcW w:w="1068" w:type="dxa"/>
            <w:vAlign w:val="top"/>
          </w:tcPr>
          <w:p w14:paraId="24817665">
            <w:pPr>
              <w:keepLines w:val="0"/>
              <w:pageBreakBefore w:val="0"/>
              <w:kinsoku/>
              <w:wordWrap/>
              <w:overflowPunct/>
              <w:topLinePunct w:val="0"/>
              <w:bidi w:val="0"/>
              <w:rPr>
                <w:rFonts w:ascii="Arial"/>
                <w:sz w:val="24"/>
                <w:szCs w:val="24"/>
              </w:rPr>
            </w:pPr>
          </w:p>
        </w:tc>
        <w:tc>
          <w:tcPr>
            <w:tcW w:w="950" w:type="dxa"/>
            <w:vAlign w:val="top"/>
          </w:tcPr>
          <w:p w14:paraId="5AAB7B51">
            <w:pPr>
              <w:keepLines w:val="0"/>
              <w:pageBreakBefore w:val="0"/>
              <w:kinsoku/>
              <w:wordWrap/>
              <w:overflowPunct/>
              <w:topLinePunct w:val="0"/>
              <w:bidi w:val="0"/>
              <w:rPr>
                <w:rFonts w:ascii="Arial"/>
                <w:sz w:val="24"/>
                <w:szCs w:val="24"/>
              </w:rPr>
            </w:pPr>
          </w:p>
        </w:tc>
      </w:tr>
      <w:tr w14:paraId="6109B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593CB43F">
            <w:pPr>
              <w:keepLines w:val="0"/>
              <w:pageBreakBefore w:val="0"/>
              <w:kinsoku/>
              <w:wordWrap/>
              <w:overflowPunct/>
              <w:topLinePunct w:val="0"/>
              <w:bidi w:val="0"/>
              <w:rPr>
                <w:rFonts w:ascii="Arial"/>
                <w:sz w:val="24"/>
                <w:szCs w:val="24"/>
              </w:rPr>
            </w:pPr>
          </w:p>
        </w:tc>
        <w:tc>
          <w:tcPr>
            <w:tcW w:w="1023" w:type="dxa"/>
            <w:vAlign w:val="top"/>
          </w:tcPr>
          <w:p w14:paraId="2A8B6433">
            <w:pPr>
              <w:keepLines w:val="0"/>
              <w:pageBreakBefore w:val="0"/>
              <w:kinsoku/>
              <w:wordWrap/>
              <w:overflowPunct/>
              <w:topLinePunct w:val="0"/>
              <w:bidi w:val="0"/>
              <w:rPr>
                <w:rFonts w:ascii="Arial"/>
                <w:sz w:val="24"/>
                <w:szCs w:val="24"/>
              </w:rPr>
            </w:pPr>
          </w:p>
        </w:tc>
        <w:tc>
          <w:tcPr>
            <w:tcW w:w="1024" w:type="dxa"/>
            <w:vAlign w:val="top"/>
          </w:tcPr>
          <w:p w14:paraId="73D6B5E4">
            <w:pPr>
              <w:keepLines w:val="0"/>
              <w:pageBreakBefore w:val="0"/>
              <w:kinsoku/>
              <w:wordWrap/>
              <w:overflowPunct/>
              <w:topLinePunct w:val="0"/>
              <w:bidi w:val="0"/>
              <w:rPr>
                <w:rFonts w:ascii="Arial"/>
                <w:sz w:val="24"/>
                <w:szCs w:val="24"/>
              </w:rPr>
            </w:pPr>
          </w:p>
        </w:tc>
        <w:tc>
          <w:tcPr>
            <w:tcW w:w="1024" w:type="dxa"/>
            <w:vAlign w:val="top"/>
          </w:tcPr>
          <w:p w14:paraId="28314D7B">
            <w:pPr>
              <w:keepLines w:val="0"/>
              <w:pageBreakBefore w:val="0"/>
              <w:kinsoku/>
              <w:wordWrap/>
              <w:overflowPunct/>
              <w:topLinePunct w:val="0"/>
              <w:bidi w:val="0"/>
              <w:rPr>
                <w:rFonts w:ascii="Arial"/>
                <w:sz w:val="24"/>
                <w:szCs w:val="24"/>
              </w:rPr>
            </w:pPr>
          </w:p>
        </w:tc>
        <w:tc>
          <w:tcPr>
            <w:tcW w:w="1025" w:type="dxa"/>
            <w:vAlign w:val="top"/>
          </w:tcPr>
          <w:p w14:paraId="6C059FE6">
            <w:pPr>
              <w:keepLines w:val="0"/>
              <w:pageBreakBefore w:val="0"/>
              <w:kinsoku/>
              <w:wordWrap/>
              <w:overflowPunct/>
              <w:topLinePunct w:val="0"/>
              <w:bidi w:val="0"/>
              <w:rPr>
                <w:rFonts w:ascii="Arial"/>
                <w:sz w:val="24"/>
                <w:szCs w:val="24"/>
              </w:rPr>
            </w:pPr>
          </w:p>
        </w:tc>
        <w:tc>
          <w:tcPr>
            <w:tcW w:w="1334" w:type="dxa"/>
            <w:vAlign w:val="top"/>
          </w:tcPr>
          <w:p w14:paraId="3374FDF9">
            <w:pPr>
              <w:keepLines w:val="0"/>
              <w:pageBreakBefore w:val="0"/>
              <w:kinsoku/>
              <w:wordWrap/>
              <w:overflowPunct/>
              <w:topLinePunct w:val="0"/>
              <w:bidi w:val="0"/>
              <w:rPr>
                <w:rFonts w:ascii="Arial"/>
                <w:sz w:val="24"/>
                <w:szCs w:val="24"/>
              </w:rPr>
            </w:pPr>
          </w:p>
        </w:tc>
        <w:tc>
          <w:tcPr>
            <w:tcW w:w="939" w:type="dxa"/>
            <w:vAlign w:val="top"/>
          </w:tcPr>
          <w:p w14:paraId="415CAA4C">
            <w:pPr>
              <w:keepLines w:val="0"/>
              <w:pageBreakBefore w:val="0"/>
              <w:kinsoku/>
              <w:wordWrap/>
              <w:overflowPunct/>
              <w:topLinePunct w:val="0"/>
              <w:bidi w:val="0"/>
              <w:rPr>
                <w:rFonts w:ascii="Arial"/>
                <w:sz w:val="24"/>
                <w:szCs w:val="24"/>
              </w:rPr>
            </w:pPr>
          </w:p>
        </w:tc>
        <w:tc>
          <w:tcPr>
            <w:tcW w:w="1068" w:type="dxa"/>
            <w:vAlign w:val="top"/>
          </w:tcPr>
          <w:p w14:paraId="0812372C">
            <w:pPr>
              <w:keepLines w:val="0"/>
              <w:pageBreakBefore w:val="0"/>
              <w:kinsoku/>
              <w:wordWrap/>
              <w:overflowPunct/>
              <w:topLinePunct w:val="0"/>
              <w:bidi w:val="0"/>
              <w:rPr>
                <w:rFonts w:ascii="Arial"/>
                <w:sz w:val="24"/>
                <w:szCs w:val="24"/>
              </w:rPr>
            </w:pPr>
          </w:p>
        </w:tc>
        <w:tc>
          <w:tcPr>
            <w:tcW w:w="950" w:type="dxa"/>
            <w:vAlign w:val="top"/>
          </w:tcPr>
          <w:p w14:paraId="5C871F0B">
            <w:pPr>
              <w:keepLines w:val="0"/>
              <w:pageBreakBefore w:val="0"/>
              <w:kinsoku/>
              <w:wordWrap/>
              <w:overflowPunct/>
              <w:topLinePunct w:val="0"/>
              <w:bidi w:val="0"/>
              <w:rPr>
                <w:rFonts w:ascii="Arial"/>
                <w:sz w:val="24"/>
                <w:szCs w:val="24"/>
              </w:rPr>
            </w:pPr>
          </w:p>
        </w:tc>
      </w:tr>
      <w:tr w14:paraId="2A19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00E06E6A">
            <w:pPr>
              <w:keepLines w:val="0"/>
              <w:pageBreakBefore w:val="0"/>
              <w:kinsoku/>
              <w:wordWrap/>
              <w:overflowPunct/>
              <w:topLinePunct w:val="0"/>
              <w:bidi w:val="0"/>
              <w:rPr>
                <w:rFonts w:ascii="Arial"/>
                <w:sz w:val="24"/>
                <w:szCs w:val="24"/>
              </w:rPr>
            </w:pPr>
          </w:p>
        </w:tc>
        <w:tc>
          <w:tcPr>
            <w:tcW w:w="1023" w:type="dxa"/>
            <w:vAlign w:val="top"/>
          </w:tcPr>
          <w:p w14:paraId="52D51369">
            <w:pPr>
              <w:keepLines w:val="0"/>
              <w:pageBreakBefore w:val="0"/>
              <w:kinsoku/>
              <w:wordWrap/>
              <w:overflowPunct/>
              <w:topLinePunct w:val="0"/>
              <w:bidi w:val="0"/>
              <w:rPr>
                <w:rFonts w:ascii="Arial"/>
                <w:sz w:val="24"/>
                <w:szCs w:val="24"/>
              </w:rPr>
            </w:pPr>
          </w:p>
        </w:tc>
        <w:tc>
          <w:tcPr>
            <w:tcW w:w="1024" w:type="dxa"/>
            <w:vAlign w:val="top"/>
          </w:tcPr>
          <w:p w14:paraId="1597A6AB">
            <w:pPr>
              <w:keepLines w:val="0"/>
              <w:pageBreakBefore w:val="0"/>
              <w:kinsoku/>
              <w:wordWrap/>
              <w:overflowPunct/>
              <w:topLinePunct w:val="0"/>
              <w:bidi w:val="0"/>
              <w:rPr>
                <w:rFonts w:ascii="Arial"/>
                <w:sz w:val="24"/>
                <w:szCs w:val="24"/>
              </w:rPr>
            </w:pPr>
          </w:p>
        </w:tc>
        <w:tc>
          <w:tcPr>
            <w:tcW w:w="1024" w:type="dxa"/>
            <w:vAlign w:val="top"/>
          </w:tcPr>
          <w:p w14:paraId="25D9F2F2">
            <w:pPr>
              <w:keepLines w:val="0"/>
              <w:pageBreakBefore w:val="0"/>
              <w:kinsoku/>
              <w:wordWrap/>
              <w:overflowPunct/>
              <w:topLinePunct w:val="0"/>
              <w:bidi w:val="0"/>
              <w:rPr>
                <w:rFonts w:ascii="Arial"/>
                <w:sz w:val="24"/>
                <w:szCs w:val="24"/>
              </w:rPr>
            </w:pPr>
          </w:p>
        </w:tc>
        <w:tc>
          <w:tcPr>
            <w:tcW w:w="1025" w:type="dxa"/>
            <w:vAlign w:val="top"/>
          </w:tcPr>
          <w:p w14:paraId="29410F29">
            <w:pPr>
              <w:keepLines w:val="0"/>
              <w:pageBreakBefore w:val="0"/>
              <w:kinsoku/>
              <w:wordWrap/>
              <w:overflowPunct/>
              <w:topLinePunct w:val="0"/>
              <w:bidi w:val="0"/>
              <w:rPr>
                <w:rFonts w:ascii="Arial"/>
                <w:sz w:val="24"/>
                <w:szCs w:val="24"/>
              </w:rPr>
            </w:pPr>
          </w:p>
        </w:tc>
        <w:tc>
          <w:tcPr>
            <w:tcW w:w="1334" w:type="dxa"/>
            <w:vAlign w:val="top"/>
          </w:tcPr>
          <w:p w14:paraId="2CFE1610">
            <w:pPr>
              <w:keepLines w:val="0"/>
              <w:pageBreakBefore w:val="0"/>
              <w:kinsoku/>
              <w:wordWrap/>
              <w:overflowPunct/>
              <w:topLinePunct w:val="0"/>
              <w:bidi w:val="0"/>
              <w:rPr>
                <w:rFonts w:ascii="Arial"/>
                <w:sz w:val="24"/>
                <w:szCs w:val="24"/>
              </w:rPr>
            </w:pPr>
          </w:p>
        </w:tc>
        <w:tc>
          <w:tcPr>
            <w:tcW w:w="939" w:type="dxa"/>
            <w:vAlign w:val="top"/>
          </w:tcPr>
          <w:p w14:paraId="5C894B67">
            <w:pPr>
              <w:keepLines w:val="0"/>
              <w:pageBreakBefore w:val="0"/>
              <w:kinsoku/>
              <w:wordWrap/>
              <w:overflowPunct/>
              <w:topLinePunct w:val="0"/>
              <w:bidi w:val="0"/>
              <w:rPr>
                <w:rFonts w:ascii="Arial"/>
                <w:sz w:val="24"/>
                <w:szCs w:val="24"/>
              </w:rPr>
            </w:pPr>
          </w:p>
        </w:tc>
        <w:tc>
          <w:tcPr>
            <w:tcW w:w="1068" w:type="dxa"/>
            <w:vAlign w:val="top"/>
          </w:tcPr>
          <w:p w14:paraId="3A8D7A15">
            <w:pPr>
              <w:keepLines w:val="0"/>
              <w:pageBreakBefore w:val="0"/>
              <w:kinsoku/>
              <w:wordWrap/>
              <w:overflowPunct/>
              <w:topLinePunct w:val="0"/>
              <w:bidi w:val="0"/>
              <w:rPr>
                <w:rFonts w:ascii="Arial"/>
                <w:sz w:val="24"/>
                <w:szCs w:val="24"/>
              </w:rPr>
            </w:pPr>
          </w:p>
        </w:tc>
        <w:tc>
          <w:tcPr>
            <w:tcW w:w="950" w:type="dxa"/>
            <w:vAlign w:val="top"/>
          </w:tcPr>
          <w:p w14:paraId="59E56031">
            <w:pPr>
              <w:keepLines w:val="0"/>
              <w:pageBreakBefore w:val="0"/>
              <w:kinsoku/>
              <w:wordWrap/>
              <w:overflowPunct/>
              <w:topLinePunct w:val="0"/>
              <w:bidi w:val="0"/>
              <w:rPr>
                <w:rFonts w:ascii="Arial"/>
                <w:sz w:val="24"/>
                <w:szCs w:val="24"/>
              </w:rPr>
            </w:pPr>
          </w:p>
        </w:tc>
      </w:tr>
      <w:tr w14:paraId="729C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7520CDE0">
            <w:pPr>
              <w:keepLines w:val="0"/>
              <w:pageBreakBefore w:val="0"/>
              <w:kinsoku/>
              <w:wordWrap/>
              <w:overflowPunct/>
              <w:topLinePunct w:val="0"/>
              <w:bidi w:val="0"/>
              <w:spacing w:line="409" w:lineRule="auto"/>
              <w:rPr>
                <w:rFonts w:ascii="Arial"/>
                <w:sz w:val="24"/>
                <w:szCs w:val="24"/>
              </w:rPr>
            </w:pPr>
          </w:p>
          <w:p w14:paraId="499E3374">
            <w:pPr>
              <w:pStyle w:val="29"/>
              <w:keepLines w:val="0"/>
              <w:pageBreakBefore w:val="0"/>
              <w:kinsoku/>
              <w:wordWrap/>
              <w:overflowPunct/>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6422C9A3">
            <w:pPr>
              <w:keepLines w:val="0"/>
              <w:pageBreakBefore w:val="0"/>
              <w:kinsoku/>
              <w:wordWrap/>
              <w:overflowPunct/>
              <w:topLinePunct w:val="0"/>
              <w:bidi w:val="0"/>
              <w:rPr>
                <w:rFonts w:ascii="Arial"/>
                <w:sz w:val="24"/>
                <w:szCs w:val="24"/>
              </w:rPr>
            </w:pPr>
          </w:p>
        </w:tc>
        <w:tc>
          <w:tcPr>
            <w:tcW w:w="1024" w:type="dxa"/>
            <w:vAlign w:val="top"/>
          </w:tcPr>
          <w:p w14:paraId="4EF91BC8">
            <w:pPr>
              <w:keepLines w:val="0"/>
              <w:pageBreakBefore w:val="0"/>
              <w:kinsoku/>
              <w:wordWrap/>
              <w:overflowPunct/>
              <w:topLinePunct w:val="0"/>
              <w:bidi w:val="0"/>
              <w:rPr>
                <w:rFonts w:ascii="Arial"/>
                <w:sz w:val="24"/>
                <w:szCs w:val="24"/>
              </w:rPr>
            </w:pPr>
          </w:p>
        </w:tc>
        <w:tc>
          <w:tcPr>
            <w:tcW w:w="1024" w:type="dxa"/>
            <w:vAlign w:val="top"/>
          </w:tcPr>
          <w:p w14:paraId="00CF8EFB">
            <w:pPr>
              <w:keepLines w:val="0"/>
              <w:pageBreakBefore w:val="0"/>
              <w:kinsoku/>
              <w:wordWrap/>
              <w:overflowPunct/>
              <w:topLinePunct w:val="0"/>
              <w:bidi w:val="0"/>
              <w:rPr>
                <w:rFonts w:ascii="Arial"/>
                <w:sz w:val="24"/>
                <w:szCs w:val="24"/>
              </w:rPr>
            </w:pPr>
          </w:p>
        </w:tc>
        <w:tc>
          <w:tcPr>
            <w:tcW w:w="1025" w:type="dxa"/>
            <w:vAlign w:val="top"/>
          </w:tcPr>
          <w:p w14:paraId="37FCDA6D">
            <w:pPr>
              <w:keepLines w:val="0"/>
              <w:pageBreakBefore w:val="0"/>
              <w:kinsoku/>
              <w:wordWrap/>
              <w:overflowPunct/>
              <w:topLinePunct w:val="0"/>
              <w:bidi w:val="0"/>
              <w:rPr>
                <w:rFonts w:ascii="Arial"/>
                <w:sz w:val="24"/>
                <w:szCs w:val="24"/>
              </w:rPr>
            </w:pPr>
          </w:p>
        </w:tc>
        <w:tc>
          <w:tcPr>
            <w:tcW w:w="1334" w:type="dxa"/>
            <w:vAlign w:val="top"/>
          </w:tcPr>
          <w:p w14:paraId="5D40A6D6">
            <w:pPr>
              <w:keepLines w:val="0"/>
              <w:pageBreakBefore w:val="0"/>
              <w:kinsoku/>
              <w:wordWrap/>
              <w:overflowPunct/>
              <w:topLinePunct w:val="0"/>
              <w:bidi w:val="0"/>
              <w:rPr>
                <w:rFonts w:ascii="Arial"/>
                <w:sz w:val="24"/>
                <w:szCs w:val="24"/>
              </w:rPr>
            </w:pPr>
          </w:p>
        </w:tc>
        <w:tc>
          <w:tcPr>
            <w:tcW w:w="939" w:type="dxa"/>
            <w:vAlign w:val="top"/>
          </w:tcPr>
          <w:p w14:paraId="41D177B1">
            <w:pPr>
              <w:keepLines w:val="0"/>
              <w:pageBreakBefore w:val="0"/>
              <w:kinsoku/>
              <w:wordWrap/>
              <w:overflowPunct/>
              <w:topLinePunct w:val="0"/>
              <w:bidi w:val="0"/>
              <w:rPr>
                <w:rFonts w:ascii="Arial"/>
                <w:sz w:val="24"/>
                <w:szCs w:val="24"/>
              </w:rPr>
            </w:pPr>
          </w:p>
        </w:tc>
        <w:tc>
          <w:tcPr>
            <w:tcW w:w="1068" w:type="dxa"/>
            <w:vAlign w:val="top"/>
          </w:tcPr>
          <w:p w14:paraId="43A00AE1">
            <w:pPr>
              <w:keepLines w:val="0"/>
              <w:pageBreakBefore w:val="0"/>
              <w:kinsoku/>
              <w:wordWrap/>
              <w:overflowPunct/>
              <w:topLinePunct w:val="0"/>
              <w:bidi w:val="0"/>
              <w:rPr>
                <w:rFonts w:ascii="Arial"/>
                <w:sz w:val="24"/>
                <w:szCs w:val="24"/>
              </w:rPr>
            </w:pPr>
          </w:p>
        </w:tc>
        <w:tc>
          <w:tcPr>
            <w:tcW w:w="950" w:type="dxa"/>
            <w:vAlign w:val="top"/>
          </w:tcPr>
          <w:p w14:paraId="0C61569D">
            <w:pPr>
              <w:keepLines w:val="0"/>
              <w:pageBreakBefore w:val="0"/>
              <w:kinsoku/>
              <w:wordWrap/>
              <w:overflowPunct/>
              <w:topLinePunct w:val="0"/>
              <w:bidi w:val="0"/>
              <w:rPr>
                <w:rFonts w:ascii="Arial"/>
                <w:sz w:val="24"/>
                <w:szCs w:val="24"/>
              </w:rPr>
            </w:pPr>
          </w:p>
        </w:tc>
      </w:tr>
      <w:tr w14:paraId="32C8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2FB6A34A">
            <w:pPr>
              <w:keepLines w:val="0"/>
              <w:pageBreakBefore w:val="0"/>
              <w:kinsoku/>
              <w:wordWrap/>
              <w:overflowPunct/>
              <w:topLinePunct w:val="0"/>
              <w:bidi w:val="0"/>
              <w:rPr>
                <w:rFonts w:ascii="Arial"/>
                <w:sz w:val="24"/>
                <w:szCs w:val="24"/>
              </w:rPr>
            </w:pPr>
          </w:p>
        </w:tc>
        <w:tc>
          <w:tcPr>
            <w:tcW w:w="1023" w:type="dxa"/>
            <w:vAlign w:val="top"/>
          </w:tcPr>
          <w:p w14:paraId="0F3BABFB">
            <w:pPr>
              <w:keepLines w:val="0"/>
              <w:pageBreakBefore w:val="0"/>
              <w:kinsoku/>
              <w:wordWrap/>
              <w:overflowPunct/>
              <w:topLinePunct w:val="0"/>
              <w:bidi w:val="0"/>
              <w:rPr>
                <w:rFonts w:ascii="Arial"/>
                <w:sz w:val="24"/>
                <w:szCs w:val="24"/>
              </w:rPr>
            </w:pPr>
          </w:p>
        </w:tc>
        <w:tc>
          <w:tcPr>
            <w:tcW w:w="1024" w:type="dxa"/>
            <w:vAlign w:val="top"/>
          </w:tcPr>
          <w:p w14:paraId="4C7BEA26">
            <w:pPr>
              <w:keepLines w:val="0"/>
              <w:pageBreakBefore w:val="0"/>
              <w:kinsoku/>
              <w:wordWrap/>
              <w:overflowPunct/>
              <w:topLinePunct w:val="0"/>
              <w:bidi w:val="0"/>
              <w:rPr>
                <w:rFonts w:ascii="Arial"/>
                <w:sz w:val="24"/>
                <w:szCs w:val="24"/>
              </w:rPr>
            </w:pPr>
          </w:p>
        </w:tc>
        <w:tc>
          <w:tcPr>
            <w:tcW w:w="1024" w:type="dxa"/>
            <w:vAlign w:val="top"/>
          </w:tcPr>
          <w:p w14:paraId="2E7E83A2">
            <w:pPr>
              <w:keepLines w:val="0"/>
              <w:pageBreakBefore w:val="0"/>
              <w:kinsoku/>
              <w:wordWrap/>
              <w:overflowPunct/>
              <w:topLinePunct w:val="0"/>
              <w:bidi w:val="0"/>
              <w:rPr>
                <w:rFonts w:ascii="Arial"/>
                <w:sz w:val="24"/>
                <w:szCs w:val="24"/>
              </w:rPr>
            </w:pPr>
          </w:p>
        </w:tc>
        <w:tc>
          <w:tcPr>
            <w:tcW w:w="1025" w:type="dxa"/>
            <w:vAlign w:val="top"/>
          </w:tcPr>
          <w:p w14:paraId="7474FFE5">
            <w:pPr>
              <w:keepLines w:val="0"/>
              <w:pageBreakBefore w:val="0"/>
              <w:kinsoku/>
              <w:wordWrap/>
              <w:overflowPunct/>
              <w:topLinePunct w:val="0"/>
              <w:bidi w:val="0"/>
              <w:rPr>
                <w:rFonts w:ascii="Arial"/>
                <w:sz w:val="24"/>
                <w:szCs w:val="24"/>
              </w:rPr>
            </w:pPr>
          </w:p>
        </w:tc>
        <w:tc>
          <w:tcPr>
            <w:tcW w:w="1334" w:type="dxa"/>
            <w:vAlign w:val="top"/>
          </w:tcPr>
          <w:p w14:paraId="5577657B">
            <w:pPr>
              <w:keepLines w:val="0"/>
              <w:pageBreakBefore w:val="0"/>
              <w:kinsoku/>
              <w:wordWrap/>
              <w:overflowPunct/>
              <w:topLinePunct w:val="0"/>
              <w:bidi w:val="0"/>
              <w:rPr>
                <w:rFonts w:ascii="Arial"/>
                <w:sz w:val="24"/>
                <w:szCs w:val="24"/>
              </w:rPr>
            </w:pPr>
          </w:p>
        </w:tc>
        <w:tc>
          <w:tcPr>
            <w:tcW w:w="939" w:type="dxa"/>
            <w:vAlign w:val="top"/>
          </w:tcPr>
          <w:p w14:paraId="4F3FEE7D">
            <w:pPr>
              <w:keepLines w:val="0"/>
              <w:pageBreakBefore w:val="0"/>
              <w:kinsoku/>
              <w:wordWrap/>
              <w:overflowPunct/>
              <w:topLinePunct w:val="0"/>
              <w:bidi w:val="0"/>
              <w:rPr>
                <w:rFonts w:ascii="Arial"/>
                <w:sz w:val="24"/>
                <w:szCs w:val="24"/>
              </w:rPr>
            </w:pPr>
          </w:p>
        </w:tc>
        <w:tc>
          <w:tcPr>
            <w:tcW w:w="1068" w:type="dxa"/>
            <w:vAlign w:val="top"/>
          </w:tcPr>
          <w:p w14:paraId="723D6695">
            <w:pPr>
              <w:keepLines w:val="0"/>
              <w:pageBreakBefore w:val="0"/>
              <w:kinsoku/>
              <w:wordWrap/>
              <w:overflowPunct/>
              <w:topLinePunct w:val="0"/>
              <w:bidi w:val="0"/>
              <w:rPr>
                <w:rFonts w:ascii="Arial"/>
                <w:sz w:val="24"/>
                <w:szCs w:val="24"/>
              </w:rPr>
            </w:pPr>
          </w:p>
        </w:tc>
        <w:tc>
          <w:tcPr>
            <w:tcW w:w="950" w:type="dxa"/>
            <w:vAlign w:val="top"/>
          </w:tcPr>
          <w:p w14:paraId="454E4756">
            <w:pPr>
              <w:keepLines w:val="0"/>
              <w:pageBreakBefore w:val="0"/>
              <w:kinsoku/>
              <w:wordWrap/>
              <w:overflowPunct/>
              <w:topLinePunct w:val="0"/>
              <w:bidi w:val="0"/>
              <w:rPr>
                <w:rFonts w:ascii="Arial"/>
                <w:sz w:val="24"/>
                <w:szCs w:val="24"/>
              </w:rPr>
            </w:pPr>
          </w:p>
        </w:tc>
      </w:tr>
      <w:tr w14:paraId="511D6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vAlign w:val="top"/>
          </w:tcPr>
          <w:p w14:paraId="453CF52C">
            <w:pPr>
              <w:keepLines w:val="0"/>
              <w:pageBreakBefore w:val="0"/>
              <w:kinsoku/>
              <w:wordWrap/>
              <w:overflowPunct/>
              <w:topLinePunct w:val="0"/>
              <w:bidi w:val="0"/>
              <w:rPr>
                <w:rFonts w:ascii="Arial"/>
                <w:sz w:val="24"/>
                <w:szCs w:val="24"/>
              </w:rPr>
            </w:pPr>
          </w:p>
        </w:tc>
        <w:tc>
          <w:tcPr>
            <w:tcW w:w="1023" w:type="dxa"/>
            <w:vAlign w:val="top"/>
          </w:tcPr>
          <w:p w14:paraId="74164D91">
            <w:pPr>
              <w:keepLines w:val="0"/>
              <w:pageBreakBefore w:val="0"/>
              <w:kinsoku/>
              <w:wordWrap/>
              <w:overflowPunct/>
              <w:topLinePunct w:val="0"/>
              <w:bidi w:val="0"/>
              <w:rPr>
                <w:rFonts w:ascii="Arial"/>
                <w:sz w:val="24"/>
                <w:szCs w:val="24"/>
              </w:rPr>
            </w:pPr>
          </w:p>
        </w:tc>
        <w:tc>
          <w:tcPr>
            <w:tcW w:w="1024" w:type="dxa"/>
            <w:vAlign w:val="top"/>
          </w:tcPr>
          <w:p w14:paraId="711852D6">
            <w:pPr>
              <w:keepLines w:val="0"/>
              <w:pageBreakBefore w:val="0"/>
              <w:kinsoku/>
              <w:wordWrap/>
              <w:overflowPunct/>
              <w:topLinePunct w:val="0"/>
              <w:bidi w:val="0"/>
              <w:rPr>
                <w:rFonts w:ascii="Arial"/>
                <w:sz w:val="24"/>
                <w:szCs w:val="24"/>
              </w:rPr>
            </w:pPr>
          </w:p>
        </w:tc>
        <w:tc>
          <w:tcPr>
            <w:tcW w:w="1024" w:type="dxa"/>
            <w:vAlign w:val="top"/>
          </w:tcPr>
          <w:p w14:paraId="19DB5963">
            <w:pPr>
              <w:keepLines w:val="0"/>
              <w:pageBreakBefore w:val="0"/>
              <w:kinsoku/>
              <w:wordWrap/>
              <w:overflowPunct/>
              <w:topLinePunct w:val="0"/>
              <w:bidi w:val="0"/>
              <w:rPr>
                <w:rFonts w:ascii="Arial"/>
                <w:sz w:val="24"/>
                <w:szCs w:val="24"/>
              </w:rPr>
            </w:pPr>
          </w:p>
        </w:tc>
        <w:tc>
          <w:tcPr>
            <w:tcW w:w="1025" w:type="dxa"/>
            <w:vAlign w:val="top"/>
          </w:tcPr>
          <w:p w14:paraId="678C71E1">
            <w:pPr>
              <w:keepLines w:val="0"/>
              <w:pageBreakBefore w:val="0"/>
              <w:kinsoku/>
              <w:wordWrap/>
              <w:overflowPunct/>
              <w:topLinePunct w:val="0"/>
              <w:bidi w:val="0"/>
              <w:rPr>
                <w:rFonts w:ascii="Arial"/>
                <w:sz w:val="24"/>
                <w:szCs w:val="24"/>
              </w:rPr>
            </w:pPr>
          </w:p>
        </w:tc>
        <w:tc>
          <w:tcPr>
            <w:tcW w:w="1334" w:type="dxa"/>
            <w:vAlign w:val="top"/>
          </w:tcPr>
          <w:p w14:paraId="45F47E9C">
            <w:pPr>
              <w:keepLines w:val="0"/>
              <w:pageBreakBefore w:val="0"/>
              <w:kinsoku/>
              <w:wordWrap/>
              <w:overflowPunct/>
              <w:topLinePunct w:val="0"/>
              <w:bidi w:val="0"/>
              <w:rPr>
                <w:rFonts w:ascii="Arial"/>
                <w:sz w:val="24"/>
                <w:szCs w:val="24"/>
              </w:rPr>
            </w:pPr>
          </w:p>
        </w:tc>
        <w:tc>
          <w:tcPr>
            <w:tcW w:w="939" w:type="dxa"/>
            <w:vAlign w:val="top"/>
          </w:tcPr>
          <w:p w14:paraId="3121F585">
            <w:pPr>
              <w:keepLines w:val="0"/>
              <w:pageBreakBefore w:val="0"/>
              <w:kinsoku/>
              <w:wordWrap/>
              <w:overflowPunct/>
              <w:topLinePunct w:val="0"/>
              <w:bidi w:val="0"/>
              <w:rPr>
                <w:rFonts w:ascii="Arial"/>
                <w:sz w:val="24"/>
                <w:szCs w:val="24"/>
              </w:rPr>
            </w:pPr>
          </w:p>
        </w:tc>
        <w:tc>
          <w:tcPr>
            <w:tcW w:w="1068" w:type="dxa"/>
            <w:vAlign w:val="top"/>
          </w:tcPr>
          <w:p w14:paraId="6C60BD7D">
            <w:pPr>
              <w:keepLines w:val="0"/>
              <w:pageBreakBefore w:val="0"/>
              <w:kinsoku/>
              <w:wordWrap/>
              <w:overflowPunct/>
              <w:topLinePunct w:val="0"/>
              <w:bidi w:val="0"/>
              <w:rPr>
                <w:rFonts w:ascii="Arial"/>
                <w:sz w:val="24"/>
                <w:szCs w:val="24"/>
              </w:rPr>
            </w:pPr>
          </w:p>
        </w:tc>
        <w:tc>
          <w:tcPr>
            <w:tcW w:w="950" w:type="dxa"/>
            <w:vAlign w:val="top"/>
          </w:tcPr>
          <w:p w14:paraId="70E42359">
            <w:pPr>
              <w:keepLines w:val="0"/>
              <w:pageBreakBefore w:val="0"/>
              <w:kinsoku/>
              <w:wordWrap/>
              <w:overflowPunct/>
              <w:topLinePunct w:val="0"/>
              <w:bidi w:val="0"/>
              <w:rPr>
                <w:rFonts w:ascii="Arial"/>
                <w:sz w:val="24"/>
                <w:szCs w:val="24"/>
              </w:rPr>
            </w:pPr>
          </w:p>
        </w:tc>
      </w:tr>
    </w:tbl>
    <w:p w14:paraId="7BE0B56B">
      <w:pPr>
        <w:keepLines w:val="0"/>
        <w:pageBreakBefore w:val="0"/>
        <w:kinsoku/>
        <w:wordWrap/>
        <w:overflowPunct/>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03F8A375">
      <w:pPr>
        <w:pStyle w:val="7"/>
        <w:keepLines w:val="0"/>
        <w:pageBreakBefore w:val="0"/>
        <w:kinsoku/>
        <w:wordWrap/>
        <w:overflowPunct/>
        <w:topLinePunct w:val="0"/>
        <w:bidi w:val="0"/>
        <w:spacing w:line="270" w:lineRule="auto"/>
        <w:rPr>
          <w:sz w:val="24"/>
          <w:szCs w:val="24"/>
        </w:rPr>
      </w:pPr>
    </w:p>
    <w:p w14:paraId="3768251F">
      <w:pPr>
        <w:pStyle w:val="7"/>
        <w:keepLines w:val="0"/>
        <w:pageBreakBefore w:val="0"/>
        <w:kinsoku/>
        <w:wordWrap/>
        <w:overflowPunct/>
        <w:topLinePunct w:val="0"/>
        <w:bidi w:val="0"/>
        <w:spacing w:line="270" w:lineRule="auto"/>
        <w:rPr>
          <w:sz w:val="24"/>
          <w:szCs w:val="24"/>
        </w:rPr>
      </w:pPr>
    </w:p>
    <w:p w14:paraId="35A37801">
      <w:pPr>
        <w:pStyle w:val="7"/>
        <w:keepLines w:val="0"/>
        <w:pageBreakBefore w:val="0"/>
        <w:kinsoku/>
        <w:wordWrap/>
        <w:overflowPunct/>
        <w:topLinePunct w:val="0"/>
        <w:bidi w:val="0"/>
        <w:spacing w:line="270" w:lineRule="auto"/>
        <w:rPr>
          <w:sz w:val="24"/>
          <w:szCs w:val="24"/>
        </w:rPr>
      </w:pPr>
    </w:p>
    <w:p w14:paraId="1BAA0C9C">
      <w:pPr>
        <w:pStyle w:val="7"/>
        <w:keepLines w:val="0"/>
        <w:pageBreakBefore w:val="0"/>
        <w:kinsoku/>
        <w:wordWrap/>
        <w:overflowPunct/>
        <w:topLinePunct w:val="0"/>
        <w:bidi w:val="0"/>
        <w:spacing w:line="270" w:lineRule="auto"/>
        <w:rPr>
          <w:sz w:val="24"/>
          <w:szCs w:val="24"/>
        </w:rPr>
      </w:pPr>
    </w:p>
    <w:p w14:paraId="3CE3B096">
      <w:pPr>
        <w:pStyle w:val="7"/>
        <w:keepLines w:val="0"/>
        <w:pageBreakBefore w:val="0"/>
        <w:kinsoku/>
        <w:wordWrap/>
        <w:overflowPunct/>
        <w:topLinePunct w:val="0"/>
        <w:bidi w:val="0"/>
        <w:spacing w:line="270" w:lineRule="auto"/>
        <w:rPr>
          <w:sz w:val="24"/>
          <w:szCs w:val="24"/>
        </w:rPr>
      </w:pPr>
    </w:p>
    <w:p w14:paraId="0F351BCF">
      <w:pPr>
        <w:pStyle w:val="7"/>
        <w:keepLines w:val="0"/>
        <w:pageBreakBefore w:val="0"/>
        <w:kinsoku/>
        <w:wordWrap/>
        <w:overflowPunct/>
        <w:topLinePunct w:val="0"/>
        <w:bidi w:val="0"/>
        <w:spacing w:line="270" w:lineRule="auto"/>
        <w:rPr>
          <w:sz w:val="24"/>
          <w:szCs w:val="24"/>
        </w:rPr>
      </w:pPr>
    </w:p>
    <w:p w14:paraId="3F8557EC">
      <w:pPr>
        <w:pStyle w:val="7"/>
        <w:keepLines w:val="0"/>
        <w:pageBreakBefore w:val="0"/>
        <w:kinsoku/>
        <w:wordWrap/>
        <w:overflowPunct/>
        <w:topLinePunct w:val="0"/>
        <w:bidi w:val="0"/>
        <w:spacing w:line="271" w:lineRule="auto"/>
        <w:rPr>
          <w:sz w:val="24"/>
          <w:szCs w:val="24"/>
        </w:rPr>
      </w:pPr>
    </w:p>
    <w:p w14:paraId="6395C23C">
      <w:pPr>
        <w:keepLines w:val="0"/>
        <w:pageBreakBefore w:val="0"/>
        <w:kinsoku/>
        <w:wordWrap/>
        <w:overflowPunct/>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72DC992C">
      <w:pPr>
        <w:keepLines w:val="0"/>
        <w:pageBreakBefore w:val="0"/>
        <w:kinsoku/>
        <w:wordWrap/>
        <w:overflowPunct/>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576CCF5B">
      <w:pPr>
        <w:keepLines w:val="0"/>
        <w:pageBreakBefore w:val="0"/>
        <w:kinsoku/>
        <w:wordWrap/>
        <w:overflowPunct/>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6FCF4EC0">
      <w:pPr>
        <w:pStyle w:val="7"/>
        <w:keepLines w:val="0"/>
        <w:pageBreakBefore w:val="0"/>
        <w:kinsoku/>
        <w:wordWrap/>
        <w:overflowPunct/>
        <w:topLinePunct w:val="0"/>
        <w:bidi w:val="0"/>
        <w:spacing w:line="245" w:lineRule="auto"/>
        <w:rPr>
          <w:sz w:val="24"/>
          <w:szCs w:val="24"/>
        </w:rPr>
      </w:pPr>
    </w:p>
    <w:p w14:paraId="3A944559">
      <w:pPr>
        <w:pStyle w:val="7"/>
        <w:keepLines w:val="0"/>
        <w:pageBreakBefore w:val="0"/>
        <w:kinsoku/>
        <w:wordWrap/>
        <w:overflowPunct/>
        <w:topLinePunct w:val="0"/>
        <w:bidi w:val="0"/>
        <w:spacing w:line="245" w:lineRule="auto"/>
      </w:pPr>
    </w:p>
    <w:p w14:paraId="003F8FDD">
      <w:pPr>
        <w:pStyle w:val="7"/>
        <w:keepLines w:val="0"/>
        <w:pageBreakBefore w:val="0"/>
        <w:kinsoku/>
        <w:wordWrap/>
        <w:overflowPunct/>
        <w:topLinePunct w:val="0"/>
        <w:bidi w:val="0"/>
        <w:spacing w:line="245" w:lineRule="auto"/>
      </w:pPr>
    </w:p>
    <w:p w14:paraId="51299350">
      <w:pPr>
        <w:pStyle w:val="7"/>
        <w:keepLines w:val="0"/>
        <w:pageBreakBefore w:val="0"/>
        <w:kinsoku/>
        <w:wordWrap/>
        <w:overflowPunct/>
        <w:topLinePunct w:val="0"/>
        <w:bidi w:val="0"/>
        <w:spacing w:line="245" w:lineRule="auto"/>
      </w:pPr>
    </w:p>
    <w:p w14:paraId="0F2FDE84">
      <w:pPr>
        <w:pStyle w:val="7"/>
        <w:keepLines w:val="0"/>
        <w:pageBreakBefore w:val="0"/>
        <w:kinsoku/>
        <w:wordWrap/>
        <w:overflowPunct/>
        <w:topLinePunct w:val="0"/>
        <w:bidi w:val="0"/>
        <w:spacing w:line="245" w:lineRule="auto"/>
      </w:pPr>
    </w:p>
    <w:p w14:paraId="7267A345">
      <w:pPr>
        <w:pStyle w:val="7"/>
        <w:keepLines w:val="0"/>
        <w:pageBreakBefore w:val="0"/>
        <w:kinsoku/>
        <w:wordWrap/>
        <w:overflowPunct/>
        <w:topLinePunct w:val="0"/>
        <w:bidi w:val="0"/>
        <w:spacing w:line="245" w:lineRule="auto"/>
      </w:pPr>
    </w:p>
    <w:p w14:paraId="003F6EF4">
      <w:pPr>
        <w:pStyle w:val="7"/>
        <w:keepLines w:val="0"/>
        <w:pageBreakBefore w:val="0"/>
        <w:kinsoku/>
        <w:wordWrap/>
        <w:overflowPunct/>
        <w:topLinePunct w:val="0"/>
        <w:bidi w:val="0"/>
        <w:spacing w:line="245" w:lineRule="auto"/>
      </w:pPr>
    </w:p>
    <w:p w14:paraId="644E1BF4"/>
    <w:p w14:paraId="7D1F00F9"/>
    <w:p w14:paraId="6D91A9A3"/>
    <w:p w14:paraId="24B5FFE7"/>
    <w:p w14:paraId="35B08D78"/>
    <w:p w14:paraId="2BB53A4A">
      <w:pPr>
        <w:pStyle w:val="7"/>
        <w:keepLines w:val="0"/>
        <w:pageBreakBefore w:val="0"/>
        <w:kinsoku/>
        <w:wordWrap/>
        <w:overflowPunct/>
        <w:topLinePunct w:val="0"/>
        <w:bidi w:val="0"/>
        <w:spacing w:line="246" w:lineRule="auto"/>
      </w:pPr>
    </w:p>
    <w:p w14:paraId="1327512E">
      <w:pPr>
        <w:pStyle w:val="7"/>
        <w:keepLines w:val="0"/>
        <w:pageBreakBefore w:val="0"/>
        <w:kinsoku/>
        <w:wordWrap/>
        <w:overflowPunct/>
        <w:topLinePunct w:val="0"/>
        <w:bidi w:val="0"/>
        <w:spacing w:line="246" w:lineRule="auto"/>
      </w:pPr>
    </w:p>
    <w:p w14:paraId="19F7E338">
      <w:pPr>
        <w:pStyle w:val="7"/>
        <w:keepLines w:val="0"/>
        <w:pageBreakBefore w:val="0"/>
        <w:kinsoku/>
        <w:wordWrap/>
        <w:overflowPunct/>
        <w:topLinePunct w:val="0"/>
        <w:bidi w:val="0"/>
        <w:spacing w:line="246" w:lineRule="auto"/>
      </w:pPr>
    </w:p>
    <w:p w14:paraId="02E098F0">
      <w:pPr>
        <w:pStyle w:val="7"/>
        <w:keepLines w:val="0"/>
        <w:pageBreakBefore w:val="0"/>
        <w:kinsoku/>
        <w:wordWrap/>
        <w:overflowPunct/>
        <w:topLinePunct w:val="0"/>
        <w:bidi w:val="0"/>
        <w:spacing w:line="253" w:lineRule="auto"/>
      </w:pPr>
    </w:p>
    <w:p w14:paraId="52346832">
      <w:pPr>
        <w:keepLines w:val="0"/>
        <w:pageBreakBefore w:val="0"/>
        <w:kinsoku/>
        <w:wordWrap/>
        <w:overflowPunct/>
        <w:topLinePunct w:val="0"/>
        <w:bidi w:val="0"/>
        <w:ind w:firstLine="4445" w:firstLineChars="1800"/>
        <w:rPr>
          <w:rFonts w:ascii="仿宋" w:hAnsi="仿宋" w:eastAsia="仿宋" w:cs="仿宋"/>
          <w:sz w:val="24"/>
          <w:szCs w:val="24"/>
        </w:rPr>
      </w:pPr>
      <w:r>
        <w:rPr>
          <w:rFonts w:hint="eastAsia" w:ascii="仿宋" w:hAnsi="仿宋" w:eastAsia="仿宋" w:cs="仿宋"/>
          <w:b/>
          <w:bCs/>
          <w:spacing w:val="3"/>
          <w:sz w:val="24"/>
          <w:szCs w:val="24"/>
          <w:lang w:val="en-US" w:eastAsia="zh-CN"/>
        </w:rPr>
        <w:t>12.</w:t>
      </w:r>
      <w:r>
        <w:rPr>
          <w:rFonts w:ascii="仿宋" w:hAnsi="仿宋" w:eastAsia="仿宋" w:cs="仿宋"/>
          <w:b/>
          <w:bCs/>
          <w:spacing w:val="3"/>
          <w:sz w:val="24"/>
          <w:szCs w:val="24"/>
        </w:rPr>
        <w:t>方案</w:t>
      </w:r>
    </w:p>
    <w:p w14:paraId="5909F8EA">
      <w:pPr>
        <w:keepLines w:val="0"/>
        <w:pageBreakBefore w:val="0"/>
        <w:kinsoku/>
        <w:wordWrap/>
        <w:overflowPunct/>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投标人结合详细评分标准表自附（格式自拟）</w:t>
      </w:r>
    </w:p>
    <w:p w14:paraId="2B99FD25">
      <w:pPr>
        <w:pStyle w:val="7"/>
        <w:keepLines w:val="0"/>
        <w:pageBreakBefore w:val="0"/>
        <w:kinsoku/>
        <w:wordWrap/>
        <w:overflowPunct/>
        <w:topLinePunct w:val="0"/>
        <w:bidi w:val="0"/>
        <w:spacing w:line="245" w:lineRule="auto"/>
      </w:pPr>
    </w:p>
    <w:p w14:paraId="6B83E2C6">
      <w:pPr>
        <w:pStyle w:val="7"/>
        <w:keepLines w:val="0"/>
        <w:pageBreakBefore w:val="0"/>
        <w:kinsoku/>
        <w:wordWrap/>
        <w:overflowPunct/>
        <w:topLinePunct w:val="0"/>
        <w:bidi w:val="0"/>
        <w:spacing w:line="246" w:lineRule="auto"/>
      </w:pPr>
    </w:p>
    <w:p w14:paraId="3CE36241">
      <w:pPr>
        <w:keepLines w:val="0"/>
        <w:pageBreakBefore w:val="0"/>
        <w:kinsoku/>
        <w:wordWrap/>
        <w:overflowPunct/>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3</w:t>
      </w:r>
      <w:r>
        <w:rPr>
          <w:rFonts w:ascii="仿宋" w:hAnsi="仿宋" w:eastAsia="仿宋" w:cs="仿宋"/>
          <w:b/>
          <w:bCs/>
          <w:spacing w:val="4"/>
          <w:sz w:val="24"/>
          <w:szCs w:val="24"/>
        </w:rPr>
        <w:t>.其它证明材料</w:t>
      </w:r>
    </w:p>
    <w:p w14:paraId="4DCD45FA">
      <w:pPr>
        <w:keepLines w:val="0"/>
        <w:pageBreakBefore w:val="0"/>
        <w:kinsoku/>
        <w:wordWrap/>
        <w:overflowPunct/>
        <w:topLinePunct w:val="0"/>
        <w:bidi w:val="0"/>
        <w:spacing w:before="143" w:line="229" w:lineRule="auto"/>
        <w:ind w:left="642"/>
        <w:jc w:val="center"/>
        <w:rPr>
          <w:rFonts w:ascii="仿宋" w:hAnsi="仿宋" w:eastAsia="仿宋" w:cs="仿宋"/>
          <w:spacing w:val="8"/>
          <w:sz w:val="24"/>
          <w:szCs w:val="24"/>
        </w:rPr>
      </w:pPr>
      <w:r>
        <w:rPr>
          <w:rFonts w:hint="eastAsia" w:ascii="仿宋" w:hAnsi="仿宋" w:eastAsia="仿宋" w:cs="仿宋"/>
          <w:spacing w:val="9"/>
          <w:sz w:val="24"/>
          <w:szCs w:val="24"/>
          <w:lang w:eastAsia="zh-CN"/>
        </w:rPr>
        <w:t>投标人</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368CBE37">
      <w:pPr>
        <w:keepLines w:val="0"/>
        <w:pageBreakBefore w:val="0"/>
        <w:kinsoku/>
        <w:wordWrap/>
        <w:overflowPunct/>
        <w:topLinePunct w:val="0"/>
        <w:bidi w:val="0"/>
        <w:spacing w:before="143" w:line="229" w:lineRule="auto"/>
        <w:ind w:left="642"/>
        <w:jc w:val="center"/>
        <w:rPr>
          <w:rFonts w:ascii="仿宋" w:hAnsi="仿宋" w:eastAsia="仿宋" w:cs="仿宋"/>
          <w:spacing w:val="8"/>
          <w:sz w:val="24"/>
          <w:szCs w:val="24"/>
        </w:rPr>
      </w:pPr>
    </w:p>
    <w:p w14:paraId="606B672E">
      <w:pPr>
        <w:keepLines w:val="0"/>
        <w:pageBreakBefore w:val="0"/>
        <w:kinsoku/>
        <w:wordWrap/>
        <w:overflowPunct/>
        <w:topLinePunct w:val="0"/>
        <w:bidi w:val="0"/>
        <w:spacing w:before="143" w:line="229" w:lineRule="auto"/>
        <w:ind w:left="642"/>
        <w:jc w:val="center"/>
        <w:rPr>
          <w:rFonts w:ascii="仿宋" w:hAnsi="仿宋" w:eastAsia="仿宋" w:cs="仿宋"/>
          <w:spacing w:val="8"/>
          <w:sz w:val="24"/>
          <w:szCs w:val="24"/>
        </w:rPr>
      </w:pPr>
    </w:p>
    <w:p w14:paraId="61AD35CF">
      <w:pPr>
        <w:keepLines w:val="0"/>
        <w:pageBreakBefore w:val="0"/>
        <w:kinsoku/>
        <w:wordWrap/>
        <w:overflowPunct/>
        <w:topLinePunct w:val="0"/>
        <w:bidi w:val="0"/>
        <w:spacing w:before="65" w:line="229" w:lineRule="auto"/>
        <w:ind w:left="4108"/>
        <w:outlineLvl w:val="3"/>
        <w:rPr>
          <w:rFonts w:hint="eastAsia" w:ascii="仿宋" w:hAnsi="仿宋" w:eastAsia="仿宋" w:cs="仿宋"/>
          <w:b/>
          <w:bCs/>
          <w:spacing w:val="4"/>
          <w:sz w:val="24"/>
          <w:szCs w:val="24"/>
        </w:rPr>
      </w:pPr>
      <w:r>
        <w:rPr>
          <w:rFonts w:hint="eastAsia" w:ascii="仿宋" w:hAnsi="仿宋" w:eastAsia="仿宋" w:cs="仿宋"/>
          <w:b/>
          <w:bCs/>
          <w:spacing w:val="4"/>
          <w:sz w:val="24"/>
          <w:szCs w:val="24"/>
          <w:lang w:val="en-US" w:eastAsia="zh-CN"/>
        </w:rPr>
        <w:t>14、</w:t>
      </w:r>
      <w:r>
        <w:rPr>
          <w:rFonts w:hint="eastAsia" w:ascii="仿宋" w:hAnsi="仿宋" w:eastAsia="仿宋" w:cs="仿宋"/>
          <w:b/>
          <w:bCs/>
          <w:spacing w:val="4"/>
          <w:sz w:val="24"/>
          <w:szCs w:val="24"/>
        </w:rPr>
        <w:t>“四个”承诺书</w:t>
      </w:r>
    </w:p>
    <w:p w14:paraId="77F422F5">
      <w:pPr>
        <w:keepLines w:val="0"/>
        <w:pageBreakBefore w:val="0"/>
        <w:kinsoku/>
        <w:wordWrap/>
        <w:overflowPunct/>
        <w:topLinePunct w:val="0"/>
        <w:bidi w:val="0"/>
        <w:spacing w:before="143" w:line="360" w:lineRule="auto"/>
        <w:jc w:val="both"/>
        <w:rPr>
          <w:rFonts w:hint="eastAsia" w:ascii="仿宋" w:hAnsi="仿宋" w:eastAsia="仿宋" w:cs="仿宋"/>
          <w:spacing w:val="8"/>
          <w:sz w:val="24"/>
          <w:szCs w:val="24"/>
        </w:rPr>
      </w:pPr>
      <w:r>
        <w:rPr>
          <w:rFonts w:hint="eastAsia" w:ascii="仿宋" w:hAnsi="仿宋" w:eastAsia="仿宋" w:cs="仿宋"/>
          <w:spacing w:val="8"/>
          <w:sz w:val="24"/>
          <w:szCs w:val="24"/>
        </w:rPr>
        <w:t xml:space="preserve">  （建设单位）：</w:t>
      </w:r>
    </w:p>
    <w:p w14:paraId="2D8FF790">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我公司积极参加_______________________项目投标，现将有关事项向贵单位郑重承诺如下:</w:t>
      </w:r>
    </w:p>
    <w:p w14:paraId="705FC9B0">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1.不行贿： 在项目建设过程中，我们将严格遵守国家法律法规，坚决杜绝任何形式的行贿行为。我们将秉持公正、公平、公开的原则，与各方合作伙伴保持良好的合作关系。</w:t>
      </w:r>
    </w:p>
    <w:p w14:paraId="6C95E740">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2.不出现“双拖欠”：我公司将建立健全的财务管理制度，确保资金的合理使用和及时支付，保证按照合同约定，按时足额支付工人工资和供应商款项，绝不出现拖欠工资和工程款的现象。</w:t>
      </w:r>
    </w:p>
    <w:p w14:paraId="2E2E1F06">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3.不违法转包、非法分包： 我们将严格遵守合同约定，保证按照投标文件约定的班组成员进驻施工现场，绝不违法转包、非法分包，确保工程质量和进度。</w:t>
      </w:r>
    </w:p>
    <w:p w14:paraId="0B33C669">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4.良好工程建设信誉：我们郑重承诺，在本地区具有良好的工程建设信誉，承诺安全文明施工并提供高质量的工程建设。致力于建立良好的工程建设信誉，信守承诺，为地区经济建设和社会事业发展贡献力量。</w:t>
      </w:r>
    </w:p>
    <w:p w14:paraId="71D268FB">
      <w:pPr>
        <w:keepLines w:val="0"/>
        <w:pageBreakBefore w:val="0"/>
        <w:kinsoku/>
        <w:wordWrap/>
        <w:overflowPunct/>
        <w:topLinePunct w:val="0"/>
        <w:bidi w:val="0"/>
        <w:spacing w:before="143" w:line="360" w:lineRule="auto"/>
        <w:ind w:left="642"/>
        <w:jc w:val="left"/>
        <w:rPr>
          <w:rFonts w:hint="eastAsia" w:ascii="仿宋" w:hAnsi="仿宋" w:eastAsia="仿宋" w:cs="仿宋"/>
          <w:spacing w:val="8"/>
          <w:sz w:val="24"/>
          <w:szCs w:val="24"/>
        </w:rPr>
      </w:pPr>
      <w:r>
        <w:rPr>
          <w:rFonts w:hint="eastAsia" w:ascii="仿宋" w:hAnsi="仿宋" w:eastAsia="仿宋" w:cs="仿宋"/>
          <w:spacing w:val="8"/>
          <w:sz w:val="24"/>
          <w:szCs w:val="24"/>
        </w:rPr>
        <w:t xml:space="preserve">   如有违反上述承诺，我们愿意承担相应的法律责任和经济赔偿责任，同时，积极配合有关部门的调查和处理，接受社会监督。</w:t>
      </w:r>
    </w:p>
    <w:p w14:paraId="6C051197">
      <w:pPr>
        <w:keepLines w:val="0"/>
        <w:pageBreakBefore w:val="0"/>
        <w:kinsoku/>
        <w:wordWrap/>
        <w:overflowPunct/>
        <w:topLinePunct w:val="0"/>
        <w:bidi w:val="0"/>
        <w:spacing w:before="143" w:line="360" w:lineRule="auto"/>
        <w:ind w:left="642"/>
        <w:jc w:val="center"/>
        <w:rPr>
          <w:rFonts w:hint="eastAsia" w:ascii="仿宋" w:hAnsi="仿宋" w:eastAsia="仿宋" w:cs="仿宋"/>
          <w:spacing w:val="8"/>
          <w:sz w:val="24"/>
          <w:szCs w:val="24"/>
        </w:rPr>
      </w:pPr>
      <w:r>
        <w:rPr>
          <w:rFonts w:hint="eastAsia" w:ascii="仿宋" w:hAnsi="仿宋" w:eastAsia="仿宋" w:cs="仿宋"/>
          <w:spacing w:val="8"/>
          <w:sz w:val="24"/>
          <w:szCs w:val="24"/>
        </w:rPr>
        <w:t xml:space="preserve">    承诺单位（公章）：</w:t>
      </w:r>
    </w:p>
    <w:p w14:paraId="5A52EEEC">
      <w:pPr>
        <w:keepLines w:val="0"/>
        <w:pageBreakBefore w:val="0"/>
        <w:kinsoku/>
        <w:wordWrap/>
        <w:overflowPunct/>
        <w:topLinePunct w:val="0"/>
        <w:bidi w:val="0"/>
        <w:spacing w:before="143" w:line="360" w:lineRule="auto"/>
        <w:ind w:left="642"/>
        <w:jc w:val="center"/>
        <w:rPr>
          <w:rFonts w:hint="eastAsia" w:ascii="仿宋" w:hAnsi="仿宋" w:eastAsia="仿宋" w:cs="仿宋"/>
          <w:spacing w:val="8"/>
          <w:sz w:val="24"/>
          <w:szCs w:val="24"/>
        </w:rPr>
      </w:pPr>
      <w:r>
        <w:rPr>
          <w:rFonts w:hint="eastAsia" w:ascii="仿宋" w:hAnsi="仿宋" w:eastAsia="仿宋" w:cs="仿宋"/>
          <w:spacing w:val="8"/>
          <w:sz w:val="24"/>
          <w:szCs w:val="24"/>
        </w:rPr>
        <w:t>法定代表人（签章）：</w:t>
      </w:r>
    </w:p>
    <w:p w14:paraId="7130B99C">
      <w:pPr>
        <w:keepLines w:val="0"/>
        <w:pageBreakBefore w:val="0"/>
        <w:kinsoku/>
        <w:wordWrap/>
        <w:overflowPunct/>
        <w:topLinePunct w:val="0"/>
        <w:bidi w:val="0"/>
        <w:spacing w:before="143" w:line="229" w:lineRule="auto"/>
        <w:ind w:left="642"/>
        <w:jc w:val="center"/>
        <w:rPr>
          <w:rFonts w:hint="eastAsia" w:ascii="仿宋" w:hAnsi="仿宋" w:eastAsia="仿宋" w:cs="仿宋"/>
          <w:spacing w:val="8"/>
          <w:sz w:val="24"/>
          <w:szCs w:val="24"/>
        </w:rPr>
      </w:pPr>
    </w:p>
    <w:p w14:paraId="5FB9A48B">
      <w:pPr>
        <w:keepLines w:val="0"/>
        <w:pageBreakBefore w:val="0"/>
        <w:kinsoku/>
        <w:wordWrap/>
        <w:overflowPunct/>
        <w:topLinePunct w:val="0"/>
        <w:bidi w:val="0"/>
        <w:spacing w:before="143" w:line="229" w:lineRule="auto"/>
        <w:ind w:left="642"/>
        <w:jc w:val="center"/>
        <w:rPr>
          <w:rFonts w:hint="eastAsia" w:ascii="仿宋" w:hAnsi="仿宋" w:eastAsia="仿宋" w:cs="仿宋"/>
          <w:spacing w:val="8"/>
          <w:sz w:val="24"/>
          <w:szCs w:val="24"/>
        </w:rPr>
        <w:sectPr>
          <w:footerReference r:id="rId15" w:type="default"/>
          <w:pgSz w:w="11906" w:h="16838"/>
          <w:pgMar w:top="400" w:right="1079" w:bottom="1213" w:left="1089" w:header="0" w:footer="960" w:gutter="0"/>
          <w:pgNumType w:fmt="decimal"/>
          <w:cols w:space="720" w:num="1"/>
        </w:sectPr>
      </w:pP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日期：</w:t>
      </w:r>
    </w:p>
    <w:p w14:paraId="180B96CF">
      <w:pPr>
        <w:keepLines w:val="0"/>
        <w:pageBreakBefore w:val="0"/>
        <w:kinsoku/>
        <w:wordWrap/>
        <w:overflowPunct/>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5</w:t>
      </w:r>
      <w:r>
        <w:rPr>
          <w:rFonts w:ascii="仿宋" w:hAnsi="仿宋" w:eastAsia="仿宋" w:cs="仿宋"/>
          <w:b/>
          <w:bCs/>
          <w:spacing w:val="2"/>
          <w:sz w:val="24"/>
          <w:szCs w:val="24"/>
        </w:rPr>
        <w:t>.声明函</w:t>
      </w:r>
    </w:p>
    <w:p w14:paraId="70831970">
      <w:pPr>
        <w:pStyle w:val="7"/>
        <w:keepLines w:val="0"/>
        <w:pageBreakBefore w:val="0"/>
        <w:kinsoku/>
        <w:wordWrap/>
        <w:overflowPunct/>
        <w:topLinePunct w:val="0"/>
        <w:bidi w:val="0"/>
        <w:spacing w:line="388" w:lineRule="auto"/>
      </w:pPr>
    </w:p>
    <w:p w14:paraId="5314F775">
      <w:pPr>
        <w:keepNext w:val="0"/>
        <w:keepLines w:val="0"/>
        <w:pageBreakBefore w:val="0"/>
        <w:widowControl/>
        <w:suppressLineNumbers w:val="0"/>
        <w:kinsoku/>
        <w:wordWrap/>
        <w:overflowPunct/>
        <w:topLinePunct w:val="0"/>
        <w:bidi w:val="0"/>
        <w:snapToGrid/>
        <w:spacing w:line="52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中小企业声明函（货物）</w:t>
      </w:r>
    </w:p>
    <w:p w14:paraId="574A16A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1149DD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）行业</w:t>
      </w:r>
      <w:r>
        <w:rPr>
          <w:rFonts w:hint="eastAsia" w:ascii="宋体" w:hAnsi="宋体" w:eastAsia="宋体" w:cs="宋体"/>
          <w:color w:val="000000"/>
          <w:kern w:val="0"/>
          <w:sz w:val="24"/>
          <w:szCs w:val="24"/>
          <w:lang w:val="en-US" w:eastAsia="zh-CN" w:bidi="ar"/>
        </w:rPr>
        <w:t xml:space="preserve"> ；制造商为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46D8BB6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 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 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 企业、微型企业）</w:t>
      </w:r>
      <w:r>
        <w:rPr>
          <w:rFonts w:hint="eastAsia" w:ascii="宋体" w:hAnsi="宋体" w:eastAsia="宋体" w:cs="宋体"/>
          <w:color w:val="000000"/>
          <w:kern w:val="0"/>
          <w:sz w:val="24"/>
          <w:szCs w:val="24"/>
          <w:lang w:val="en-US" w:eastAsia="zh-CN" w:bidi="ar"/>
        </w:rPr>
        <w:t xml:space="preserve">； </w:t>
      </w:r>
    </w:p>
    <w:p w14:paraId="47D8AB3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6A9CC89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58EF411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54929A8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企业名称（盖章）： </w:t>
      </w:r>
    </w:p>
    <w:p w14:paraId="69D6438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660" w:firstLineChars="1525"/>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1E7BC0A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1从业人员、营业收入、资产总额填报上一年度数据，无上一年度数据的新成立企业可不填报。</w:t>
      </w:r>
    </w:p>
    <w:p w14:paraId="32B92C4B">
      <w:pPr>
        <w:pStyle w:val="7"/>
        <w:keepLines w:val="0"/>
        <w:pageBreakBefore w:val="0"/>
        <w:kinsoku/>
        <w:wordWrap/>
        <w:overflowPunct/>
        <w:topLinePunct w:val="0"/>
        <w:bidi w:val="0"/>
        <w:spacing w:line="257" w:lineRule="auto"/>
      </w:pPr>
    </w:p>
    <w:p w14:paraId="1986C432">
      <w:pPr>
        <w:pStyle w:val="7"/>
        <w:keepLines w:val="0"/>
        <w:pageBreakBefore w:val="0"/>
        <w:kinsoku/>
        <w:wordWrap/>
        <w:overflowPunct/>
        <w:topLinePunct w:val="0"/>
        <w:bidi w:val="0"/>
        <w:spacing w:line="257" w:lineRule="auto"/>
      </w:pPr>
    </w:p>
    <w:p w14:paraId="79788768">
      <w:pPr>
        <w:pStyle w:val="7"/>
        <w:keepLines w:val="0"/>
        <w:pageBreakBefore w:val="0"/>
        <w:kinsoku/>
        <w:wordWrap/>
        <w:overflowPunct/>
        <w:topLinePunct w:val="0"/>
        <w:bidi w:val="0"/>
        <w:spacing w:line="257" w:lineRule="auto"/>
      </w:pPr>
    </w:p>
    <w:p w14:paraId="2D4D4C6E">
      <w:pPr>
        <w:pStyle w:val="7"/>
        <w:keepLines w:val="0"/>
        <w:pageBreakBefore w:val="0"/>
        <w:kinsoku/>
        <w:wordWrap/>
        <w:overflowPunct/>
        <w:topLinePunct w:val="0"/>
        <w:bidi w:val="0"/>
        <w:spacing w:line="257" w:lineRule="auto"/>
      </w:pPr>
    </w:p>
    <w:p w14:paraId="791C84B3">
      <w:pPr>
        <w:pStyle w:val="25"/>
        <w:keepLines w:val="0"/>
        <w:pageBreakBefore w:val="0"/>
        <w:kinsoku/>
        <w:wordWrap/>
        <w:overflowPunct/>
        <w:topLinePunct w:val="0"/>
        <w:bidi w:val="0"/>
      </w:pPr>
    </w:p>
    <w:p w14:paraId="459F7C63">
      <w:pPr>
        <w:keepLines w:val="0"/>
        <w:pageBreakBefore w:val="0"/>
        <w:kinsoku/>
        <w:wordWrap/>
        <w:overflowPunct/>
        <w:topLinePunct w:val="0"/>
        <w:bidi w:val="0"/>
      </w:pPr>
    </w:p>
    <w:p w14:paraId="7DE1EA8A">
      <w:pPr>
        <w:keepLines w:val="0"/>
        <w:pageBreakBefore w:val="0"/>
        <w:kinsoku/>
        <w:wordWrap/>
        <w:overflowPunct/>
        <w:topLinePunct w:val="0"/>
        <w:bidi w:val="0"/>
      </w:pPr>
    </w:p>
    <w:p w14:paraId="42FAF388">
      <w:pPr>
        <w:pStyle w:val="7"/>
        <w:keepLines w:val="0"/>
        <w:pageBreakBefore w:val="0"/>
        <w:kinsoku/>
        <w:wordWrap/>
        <w:overflowPunct/>
        <w:topLinePunct w:val="0"/>
        <w:bidi w:val="0"/>
        <w:spacing w:line="257" w:lineRule="auto"/>
      </w:pPr>
    </w:p>
    <w:p w14:paraId="68460A7D">
      <w:pPr>
        <w:pStyle w:val="7"/>
        <w:keepLines w:val="0"/>
        <w:pageBreakBefore w:val="0"/>
        <w:kinsoku/>
        <w:wordWrap/>
        <w:overflowPunct/>
        <w:topLinePunct w:val="0"/>
        <w:bidi w:val="0"/>
        <w:spacing w:line="257" w:lineRule="auto"/>
      </w:pPr>
    </w:p>
    <w:p w14:paraId="1B7FD7FD">
      <w:pPr>
        <w:pStyle w:val="7"/>
        <w:keepLines w:val="0"/>
        <w:pageBreakBefore w:val="0"/>
        <w:kinsoku/>
        <w:wordWrap/>
        <w:overflowPunct/>
        <w:topLinePunct w:val="0"/>
        <w:bidi w:val="0"/>
        <w:spacing w:line="257" w:lineRule="auto"/>
        <w:rPr>
          <w:rFonts w:hint="eastAsia" w:ascii="仿宋" w:hAnsi="仿宋" w:eastAsia="仿宋" w:cs="仿宋"/>
        </w:rPr>
      </w:pPr>
    </w:p>
    <w:p w14:paraId="740E31AB">
      <w:pPr>
        <w:pStyle w:val="25"/>
        <w:keepLines w:val="0"/>
        <w:pageBreakBefore w:val="0"/>
        <w:kinsoku/>
        <w:wordWrap/>
        <w:overflowPunct/>
        <w:topLinePunct w:val="0"/>
        <w:bidi w:val="0"/>
        <w:rPr>
          <w:rFonts w:hint="eastAsia"/>
        </w:rPr>
      </w:pPr>
    </w:p>
    <w:p w14:paraId="69AF8D1D">
      <w:pPr>
        <w:keepLines w:val="0"/>
        <w:pageBreakBefore w:val="0"/>
        <w:kinsoku/>
        <w:wordWrap/>
        <w:overflowPunct/>
        <w:topLinePunct w:val="0"/>
        <w:bidi w:val="0"/>
        <w:rPr>
          <w:rFonts w:hint="eastAsia"/>
        </w:rPr>
      </w:pPr>
    </w:p>
    <w:p w14:paraId="655C8E1A">
      <w:pPr>
        <w:keepLines w:val="0"/>
        <w:pageBreakBefore w:val="0"/>
        <w:kinsoku/>
        <w:wordWrap/>
        <w:overflowPunct/>
        <w:topLinePunct w:val="0"/>
        <w:bidi w:val="0"/>
        <w:rPr>
          <w:rFonts w:hint="eastAsia"/>
        </w:rPr>
      </w:pPr>
    </w:p>
    <w:p w14:paraId="13B9BB9C">
      <w:pPr>
        <w:keepLines w:val="0"/>
        <w:pageBreakBefore w:val="0"/>
        <w:kinsoku/>
        <w:wordWrap/>
        <w:overflowPunct/>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577BEB44">
      <w:pPr>
        <w:pStyle w:val="7"/>
        <w:keepLines w:val="0"/>
        <w:pageBreakBefore w:val="0"/>
        <w:kinsoku/>
        <w:wordWrap/>
        <w:overflowPunct/>
        <w:topLinePunct w:val="0"/>
        <w:bidi w:val="0"/>
        <w:spacing w:line="245" w:lineRule="auto"/>
        <w:rPr>
          <w:rFonts w:hint="eastAsia" w:ascii="仿宋" w:hAnsi="仿宋" w:eastAsia="仿宋" w:cs="仿宋"/>
          <w:sz w:val="24"/>
          <w:szCs w:val="24"/>
        </w:rPr>
      </w:pPr>
    </w:p>
    <w:p w14:paraId="40425E2D">
      <w:pPr>
        <w:pStyle w:val="7"/>
        <w:keepLines w:val="0"/>
        <w:pageBreakBefore w:val="0"/>
        <w:kinsoku/>
        <w:wordWrap/>
        <w:overflowPunct/>
        <w:topLinePunct w:val="0"/>
        <w:bidi w:val="0"/>
        <w:spacing w:line="245" w:lineRule="auto"/>
        <w:rPr>
          <w:rFonts w:hint="eastAsia" w:ascii="仿宋" w:hAnsi="仿宋" w:eastAsia="仿宋" w:cs="仿宋"/>
          <w:sz w:val="24"/>
          <w:szCs w:val="24"/>
        </w:rPr>
      </w:pPr>
    </w:p>
    <w:p w14:paraId="20ABB2BB">
      <w:pPr>
        <w:keepLines w:val="0"/>
        <w:pageBreakBefore w:val="0"/>
        <w:kinsoku/>
        <w:wordWrap/>
        <w:overflowPunct/>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（财库〔2017〕141号）的规定，本单位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00F0855F">
      <w:pPr>
        <w:pStyle w:val="7"/>
        <w:keepLines w:val="0"/>
        <w:pageBreakBefore w:val="0"/>
        <w:kinsoku/>
        <w:wordWrap/>
        <w:overflowPunct/>
        <w:topLinePunct w:val="0"/>
        <w:bidi w:val="0"/>
        <w:spacing w:line="275" w:lineRule="auto"/>
        <w:rPr>
          <w:rFonts w:hint="eastAsia" w:ascii="仿宋" w:hAnsi="仿宋" w:eastAsia="仿宋" w:cs="仿宋"/>
          <w:sz w:val="24"/>
          <w:szCs w:val="24"/>
        </w:rPr>
      </w:pPr>
    </w:p>
    <w:p w14:paraId="555315DB">
      <w:pPr>
        <w:keepLines w:val="0"/>
        <w:pageBreakBefore w:val="0"/>
        <w:kinsoku/>
        <w:wordWrap/>
        <w:overflowPunct/>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3D545452">
      <w:pPr>
        <w:pStyle w:val="7"/>
        <w:keepLines w:val="0"/>
        <w:pageBreakBefore w:val="0"/>
        <w:kinsoku/>
        <w:wordWrap/>
        <w:overflowPunct/>
        <w:topLinePunct w:val="0"/>
        <w:bidi w:val="0"/>
        <w:spacing w:line="296" w:lineRule="auto"/>
        <w:rPr>
          <w:rFonts w:hint="eastAsia" w:ascii="仿宋" w:hAnsi="仿宋" w:eastAsia="仿宋" w:cs="仿宋"/>
          <w:sz w:val="24"/>
          <w:szCs w:val="24"/>
        </w:rPr>
      </w:pPr>
    </w:p>
    <w:p w14:paraId="1D1F2C9F">
      <w:pPr>
        <w:pStyle w:val="7"/>
        <w:keepLines w:val="0"/>
        <w:pageBreakBefore w:val="0"/>
        <w:kinsoku/>
        <w:wordWrap/>
        <w:overflowPunct/>
        <w:topLinePunct w:val="0"/>
        <w:bidi w:val="0"/>
        <w:spacing w:line="296" w:lineRule="auto"/>
        <w:rPr>
          <w:rFonts w:hint="eastAsia" w:ascii="仿宋" w:hAnsi="仿宋" w:eastAsia="仿宋" w:cs="仿宋"/>
          <w:sz w:val="24"/>
          <w:szCs w:val="24"/>
        </w:rPr>
      </w:pPr>
    </w:p>
    <w:p w14:paraId="4D185808">
      <w:pPr>
        <w:pStyle w:val="7"/>
        <w:keepLines w:val="0"/>
        <w:pageBreakBefore w:val="0"/>
        <w:kinsoku/>
        <w:wordWrap/>
        <w:overflowPunct/>
        <w:topLinePunct w:val="0"/>
        <w:bidi w:val="0"/>
        <w:spacing w:line="297" w:lineRule="auto"/>
        <w:rPr>
          <w:rFonts w:hint="eastAsia" w:ascii="仿宋" w:hAnsi="仿宋" w:eastAsia="仿宋" w:cs="仿宋"/>
          <w:sz w:val="24"/>
          <w:szCs w:val="24"/>
        </w:rPr>
      </w:pPr>
    </w:p>
    <w:p w14:paraId="18CD507B">
      <w:pPr>
        <w:pStyle w:val="7"/>
        <w:keepLines w:val="0"/>
        <w:pageBreakBefore w:val="0"/>
        <w:kinsoku/>
        <w:wordWrap/>
        <w:overflowPunct/>
        <w:topLinePunct w:val="0"/>
        <w:bidi w:val="0"/>
        <w:spacing w:line="297" w:lineRule="auto"/>
        <w:rPr>
          <w:rFonts w:hint="eastAsia" w:ascii="仿宋" w:hAnsi="仿宋" w:eastAsia="仿宋" w:cs="仿宋"/>
          <w:sz w:val="24"/>
          <w:szCs w:val="24"/>
        </w:rPr>
      </w:pPr>
    </w:p>
    <w:p w14:paraId="069B0BD0">
      <w:pPr>
        <w:keepLines w:val="0"/>
        <w:pageBreakBefore w:val="0"/>
        <w:kinsoku/>
        <w:wordWrap/>
        <w:overflowPunct/>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lang w:eastAsia="zh-CN"/>
        </w:rPr>
        <w:t>投标人</w:t>
      </w:r>
      <w:r>
        <w:rPr>
          <w:rFonts w:hint="eastAsia" w:ascii="仿宋" w:hAnsi="仿宋" w:eastAsia="仿宋" w:cs="仿宋"/>
          <w:spacing w:val="19"/>
          <w:sz w:val="24"/>
          <w:szCs w:val="24"/>
        </w:rPr>
        <w:t>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1B3FFB8E">
      <w:pPr>
        <w:keepLines w:val="0"/>
        <w:pageBreakBefore w:val="0"/>
        <w:kinsoku/>
        <w:wordWrap/>
        <w:overflowPunct/>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2AD7E7D0">
      <w:pPr>
        <w:keepLines w:val="0"/>
        <w:pageBreakBefore w:val="0"/>
        <w:tabs>
          <w:tab w:val="left" w:pos="4665"/>
        </w:tabs>
        <w:kinsoku/>
        <w:wordWrap/>
        <w:overflowPunct/>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59F46837">
      <w:pPr>
        <w:pStyle w:val="7"/>
        <w:keepLines w:val="0"/>
        <w:pageBreakBefore w:val="0"/>
        <w:kinsoku/>
        <w:wordWrap/>
        <w:overflowPunct/>
        <w:topLinePunct w:val="0"/>
        <w:bidi w:val="0"/>
        <w:spacing w:line="262" w:lineRule="auto"/>
        <w:rPr>
          <w:rFonts w:hint="eastAsia" w:ascii="仿宋" w:hAnsi="仿宋" w:eastAsia="仿宋" w:cs="仿宋"/>
          <w:sz w:val="24"/>
          <w:szCs w:val="24"/>
        </w:rPr>
      </w:pPr>
    </w:p>
    <w:p w14:paraId="0BC752BD">
      <w:pPr>
        <w:pStyle w:val="7"/>
        <w:keepLines w:val="0"/>
        <w:pageBreakBefore w:val="0"/>
        <w:kinsoku/>
        <w:wordWrap/>
        <w:overflowPunct/>
        <w:topLinePunct w:val="0"/>
        <w:bidi w:val="0"/>
        <w:spacing w:line="262" w:lineRule="auto"/>
        <w:rPr>
          <w:rFonts w:hint="eastAsia" w:ascii="仿宋" w:hAnsi="仿宋" w:eastAsia="仿宋" w:cs="仿宋"/>
          <w:sz w:val="24"/>
          <w:szCs w:val="24"/>
        </w:rPr>
      </w:pPr>
    </w:p>
    <w:p w14:paraId="7001515A">
      <w:pPr>
        <w:pStyle w:val="7"/>
        <w:keepLines w:val="0"/>
        <w:pageBreakBefore w:val="0"/>
        <w:kinsoku/>
        <w:wordWrap/>
        <w:overflowPunct/>
        <w:topLinePunct w:val="0"/>
        <w:bidi w:val="0"/>
        <w:spacing w:line="263" w:lineRule="auto"/>
        <w:rPr>
          <w:rFonts w:hint="eastAsia" w:ascii="仿宋" w:hAnsi="仿宋" w:eastAsia="仿宋" w:cs="仿宋"/>
          <w:sz w:val="24"/>
          <w:szCs w:val="24"/>
        </w:rPr>
      </w:pPr>
    </w:p>
    <w:p w14:paraId="080E8EC5">
      <w:pPr>
        <w:keepLines w:val="0"/>
        <w:pageBreakBefore w:val="0"/>
        <w:kinsoku/>
        <w:wordWrap/>
        <w:overflowPunct/>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7C35047C">
      <w:pPr>
        <w:keepLines w:val="0"/>
        <w:pageBreakBefore w:val="0"/>
        <w:kinsoku/>
        <w:wordWrap/>
        <w:overflowPunct/>
        <w:topLinePunct w:val="0"/>
        <w:bidi w:val="0"/>
        <w:spacing w:line="233" w:lineRule="auto"/>
        <w:rPr>
          <w:rFonts w:ascii="宋体" w:hAnsi="宋体" w:eastAsia="宋体" w:cs="宋体"/>
          <w:sz w:val="24"/>
          <w:szCs w:val="24"/>
        </w:rPr>
        <w:sectPr>
          <w:footerReference r:id="rId16" w:type="default"/>
          <w:pgSz w:w="11905" w:h="16838"/>
          <w:pgMar w:top="1440" w:right="1786" w:bottom="1440" w:left="1786" w:header="850" w:footer="850" w:gutter="0"/>
          <w:pgNumType w:fmt="decimal"/>
          <w:cols w:space="0" w:num="1"/>
          <w:rtlGutter w:val="0"/>
          <w:docGrid w:linePitch="0" w:charSpace="0"/>
        </w:sectPr>
      </w:pPr>
    </w:p>
    <w:p w14:paraId="31045ECB">
      <w:pPr>
        <w:keepLines w:val="0"/>
        <w:pageBreakBefore w:val="0"/>
        <w:kinsoku/>
        <w:wordWrap/>
        <w:overflowPunct/>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5A009FE0">
      <w:pPr>
        <w:pStyle w:val="7"/>
        <w:keepLines w:val="0"/>
        <w:pageBreakBefore w:val="0"/>
        <w:kinsoku/>
        <w:wordWrap/>
        <w:overflowPunct/>
        <w:topLinePunct w:val="0"/>
        <w:bidi w:val="0"/>
        <w:spacing w:line="296" w:lineRule="auto"/>
        <w:rPr>
          <w:sz w:val="24"/>
          <w:szCs w:val="24"/>
        </w:rPr>
      </w:pPr>
    </w:p>
    <w:p w14:paraId="17827306">
      <w:pPr>
        <w:pStyle w:val="7"/>
        <w:keepLines w:val="0"/>
        <w:pageBreakBefore w:val="0"/>
        <w:kinsoku/>
        <w:wordWrap/>
        <w:overflowPunct/>
        <w:topLinePunct w:val="0"/>
        <w:bidi w:val="0"/>
        <w:spacing w:line="296" w:lineRule="auto"/>
        <w:rPr>
          <w:sz w:val="24"/>
          <w:szCs w:val="24"/>
        </w:rPr>
      </w:pPr>
    </w:p>
    <w:p w14:paraId="137EAF44">
      <w:pPr>
        <w:keepLines w:val="0"/>
        <w:pageBreakBefore w:val="0"/>
        <w:kinsoku/>
        <w:wordWrap/>
        <w:overflowPunct/>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本单位郑重声明，根据《关于政府采购支持监狱企业发展有关问题的通知》（财</w:t>
      </w:r>
      <w:r>
        <w:rPr>
          <w:rFonts w:ascii="仿宋" w:hAnsi="仿宋" w:eastAsia="仿宋" w:cs="仿宋"/>
          <w:spacing w:val="10"/>
          <w:sz w:val="24"/>
          <w:szCs w:val="24"/>
        </w:rPr>
        <w:t>库〔2014〕68号</w:t>
      </w:r>
      <w:r>
        <w:rPr>
          <w:rFonts w:ascii="仿宋" w:hAnsi="仿宋" w:eastAsia="仿宋" w:cs="仿宋"/>
          <w:sz w:val="24"/>
          <w:szCs w:val="24"/>
        </w:rPr>
        <w:t xml:space="preserve"> </w:t>
      </w:r>
      <w:r>
        <w:rPr>
          <w:rFonts w:ascii="仿宋" w:hAnsi="仿宋" w:eastAsia="仿宋" w:cs="仿宋"/>
          <w:spacing w:val="17"/>
          <w:sz w:val="24"/>
          <w:szCs w:val="24"/>
        </w:rPr>
        <w:t>的规定，本单位为符合条件的监狱单位，且本单位参加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789EF17E">
      <w:pPr>
        <w:pStyle w:val="7"/>
        <w:keepLines w:val="0"/>
        <w:pageBreakBefore w:val="0"/>
        <w:kinsoku/>
        <w:wordWrap/>
        <w:overflowPunct/>
        <w:topLinePunct w:val="0"/>
        <w:bidi w:val="0"/>
        <w:spacing w:line="308" w:lineRule="auto"/>
        <w:rPr>
          <w:sz w:val="24"/>
          <w:szCs w:val="24"/>
        </w:rPr>
      </w:pPr>
    </w:p>
    <w:p w14:paraId="43EFBABF">
      <w:pPr>
        <w:keepLines w:val="0"/>
        <w:pageBreakBefore w:val="0"/>
        <w:kinsoku/>
        <w:wordWrap/>
        <w:overflowPunct/>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本单位对上述声明的真实性负责。如有虚假，将依法承担相应责任。</w:t>
      </w:r>
    </w:p>
    <w:p w14:paraId="3B0DDD71">
      <w:pPr>
        <w:pStyle w:val="7"/>
        <w:keepLines w:val="0"/>
        <w:pageBreakBefore w:val="0"/>
        <w:kinsoku/>
        <w:wordWrap/>
        <w:overflowPunct/>
        <w:topLinePunct w:val="0"/>
        <w:bidi w:val="0"/>
        <w:spacing w:line="242" w:lineRule="auto"/>
        <w:rPr>
          <w:sz w:val="24"/>
          <w:szCs w:val="24"/>
        </w:rPr>
      </w:pPr>
    </w:p>
    <w:p w14:paraId="24EB62E2">
      <w:pPr>
        <w:pStyle w:val="7"/>
        <w:keepLines w:val="0"/>
        <w:pageBreakBefore w:val="0"/>
        <w:kinsoku/>
        <w:wordWrap/>
        <w:overflowPunct/>
        <w:topLinePunct w:val="0"/>
        <w:bidi w:val="0"/>
        <w:spacing w:line="243" w:lineRule="auto"/>
        <w:rPr>
          <w:sz w:val="24"/>
          <w:szCs w:val="24"/>
        </w:rPr>
      </w:pPr>
    </w:p>
    <w:p w14:paraId="4BE9B9C7">
      <w:pPr>
        <w:pStyle w:val="7"/>
        <w:keepLines w:val="0"/>
        <w:pageBreakBefore w:val="0"/>
        <w:kinsoku/>
        <w:wordWrap/>
        <w:overflowPunct/>
        <w:topLinePunct w:val="0"/>
        <w:bidi w:val="0"/>
        <w:spacing w:line="243" w:lineRule="auto"/>
        <w:rPr>
          <w:sz w:val="24"/>
          <w:szCs w:val="24"/>
        </w:rPr>
      </w:pPr>
    </w:p>
    <w:p w14:paraId="0980F72F">
      <w:pPr>
        <w:pStyle w:val="7"/>
        <w:keepLines w:val="0"/>
        <w:pageBreakBefore w:val="0"/>
        <w:kinsoku/>
        <w:wordWrap/>
        <w:overflowPunct/>
        <w:topLinePunct w:val="0"/>
        <w:bidi w:val="0"/>
        <w:spacing w:line="243" w:lineRule="auto"/>
        <w:rPr>
          <w:sz w:val="24"/>
          <w:szCs w:val="24"/>
        </w:rPr>
      </w:pPr>
    </w:p>
    <w:p w14:paraId="5A4146FF">
      <w:pPr>
        <w:pStyle w:val="7"/>
        <w:keepLines w:val="0"/>
        <w:pageBreakBefore w:val="0"/>
        <w:kinsoku/>
        <w:wordWrap/>
        <w:overflowPunct/>
        <w:topLinePunct w:val="0"/>
        <w:bidi w:val="0"/>
        <w:spacing w:line="243" w:lineRule="auto"/>
        <w:rPr>
          <w:sz w:val="24"/>
          <w:szCs w:val="24"/>
        </w:rPr>
      </w:pPr>
    </w:p>
    <w:p w14:paraId="18D9CB2F">
      <w:pPr>
        <w:pStyle w:val="7"/>
        <w:keepLines w:val="0"/>
        <w:pageBreakBefore w:val="0"/>
        <w:kinsoku/>
        <w:wordWrap/>
        <w:overflowPunct/>
        <w:topLinePunct w:val="0"/>
        <w:bidi w:val="0"/>
        <w:spacing w:line="243" w:lineRule="auto"/>
        <w:rPr>
          <w:sz w:val="24"/>
          <w:szCs w:val="24"/>
        </w:rPr>
      </w:pPr>
    </w:p>
    <w:p w14:paraId="16C799A4">
      <w:pPr>
        <w:pStyle w:val="7"/>
        <w:keepLines w:val="0"/>
        <w:pageBreakBefore w:val="0"/>
        <w:kinsoku/>
        <w:wordWrap/>
        <w:overflowPunct/>
        <w:topLinePunct w:val="0"/>
        <w:bidi w:val="0"/>
        <w:spacing w:line="243" w:lineRule="auto"/>
        <w:rPr>
          <w:sz w:val="24"/>
          <w:szCs w:val="24"/>
        </w:rPr>
      </w:pPr>
    </w:p>
    <w:p w14:paraId="58ECD751">
      <w:pPr>
        <w:pStyle w:val="7"/>
        <w:keepLines w:val="0"/>
        <w:pageBreakBefore w:val="0"/>
        <w:kinsoku/>
        <w:wordWrap/>
        <w:overflowPunct/>
        <w:topLinePunct w:val="0"/>
        <w:bidi w:val="0"/>
        <w:spacing w:line="243" w:lineRule="auto"/>
        <w:rPr>
          <w:sz w:val="24"/>
          <w:szCs w:val="24"/>
        </w:rPr>
      </w:pPr>
    </w:p>
    <w:p w14:paraId="06228A5C">
      <w:pPr>
        <w:keepLines w:val="0"/>
        <w:pageBreakBefore w:val="0"/>
        <w:kinsoku/>
        <w:wordWrap/>
        <w:overflowPunct/>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投标人</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0EF7ABB3">
      <w:pPr>
        <w:keepLines w:val="0"/>
        <w:pageBreakBefore w:val="0"/>
        <w:kinsoku/>
        <w:wordWrap/>
        <w:overflowPunct/>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1B709963">
      <w:pPr>
        <w:keepLines w:val="0"/>
        <w:pageBreakBefore w:val="0"/>
        <w:tabs>
          <w:tab w:val="left" w:pos="4495"/>
        </w:tabs>
        <w:kinsoku/>
        <w:wordWrap/>
        <w:overflowPunct/>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6F58B6AB">
      <w:pPr>
        <w:pStyle w:val="7"/>
        <w:keepLines w:val="0"/>
        <w:pageBreakBefore w:val="0"/>
        <w:kinsoku/>
        <w:wordWrap/>
        <w:overflowPunct/>
        <w:topLinePunct w:val="0"/>
        <w:bidi w:val="0"/>
        <w:spacing w:line="255" w:lineRule="auto"/>
        <w:rPr>
          <w:sz w:val="24"/>
          <w:szCs w:val="24"/>
        </w:rPr>
      </w:pPr>
    </w:p>
    <w:p w14:paraId="10EAF6BE">
      <w:pPr>
        <w:pStyle w:val="7"/>
        <w:keepLines w:val="0"/>
        <w:pageBreakBefore w:val="0"/>
        <w:kinsoku/>
        <w:wordWrap/>
        <w:overflowPunct/>
        <w:topLinePunct w:val="0"/>
        <w:bidi w:val="0"/>
        <w:spacing w:line="255" w:lineRule="auto"/>
        <w:rPr>
          <w:sz w:val="24"/>
          <w:szCs w:val="24"/>
        </w:rPr>
      </w:pPr>
    </w:p>
    <w:p w14:paraId="62AA8E4C">
      <w:pPr>
        <w:pStyle w:val="7"/>
        <w:keepLines w:val="0"/>
        <w:pageBreakBefore w:val="0"/>
        <w:kinsoku/>
        <w:wordWrap/>
        <w:overflowPunct/>
        <w:topLinePunct w:val="0"/>
        <w:bidi w:val="0"/>
        <w:spacing w:line="255" w:lineRule="auto"/>
        <w:rPr>
          <w:sz w:val="24"/>
          <w:szCs w:val="24"/>
        </w:rPr>
      </w:pPr>
    </w:p>
    <w:p w14:paraId="10C1B240">
      <w:pPr>
        <w:pStyle w:val="7"/>
        <w:keepLines w:val="0"/>
        <w:pageBreakBefore w:val="0"/>
        <w:kinsoku/>
        <w:wordWrap/>
        <w:overflowPunct/>
        <w:topLinePunct w:val="0"/>
        <w:bidi w:val="0"/>
        <w:spacing w:line="256" w:lineRule="auto"/>
        <w:rPr>
          <w:sz w:val="24"/>
          <w:szCs w:val="24"/>
        </w:rPr>
      </w:pPr>
    </w:p>
    <w:p w14:paraId="2C8393C3">
      <w:pPr>
        <w:pStyle w:val="7"/>
        <w:keepLines w:val="0"/>
        <w:pageBreakBefore w:val="0"/>
        <w:kinsoku/>
        <w:wordWrap/>
        <w:overflowPunct/>
        <w:topLinePunct w:val="0"/>
        <w:bidi w:val="0"/>
        <w:spacing w:line="256" w:lineRule="auto"/>
        <w:rPr>
          <w:sz w:val="24"/>
          <w:szCs w:val="24"/>
        </w:rPr>
      </w:pPr>
    </w:p>
    <w:p w14:paraId="43A15475">
      <w:pPr>
        <w:pStyle w:val="7"/>
        <w:keepLines w:val="0"/>
        <w:pageBreakBefore w:val="0"/>
        <w:kinsoku/>
        <w:wordWrap/>
        <w:overflowPunct/>
        <w:topLinePunct w:val="0"/>
        <w:bidi w:val="0"/>
        <w:spacing w:line="256" w:lineRule="auto"/>
        <w:rPr>
          <w:sz w:val="24"/>
          <w:szCs w:val="24"/>
        </w:rPr>
      </w:pPr>
    </w:p>
    <w:p w14:paraId="4B3B8A80">
      <w:pPr>
        <w:keepLines w:val="0"/>
        <w:pageBreakBefore w:val="0"/>
        <w:kinsoku/>
        <w:wordWrap/>
        <w:overflowPunct/>
        <w:topLinePunct w:val="0"/>
        <w:bidi w:val="0"/>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不满足此要求则无须提供，一旦提供将视为满足其要求，如有虚假，将依法承担相应责任。</w:t>
      </w:r>
    </w:p>
    <w:p w14:paraId="2083A3CC">
      <w:pPr>
        <w:keepLines w:val="0"/>
        <w:pageBreakBefore w:val="0"/>
        <w:kinsoku/>
        <w:wordWrap/>
        <w:overflowPunct/>
        <w:topLinePunct w:val="0"/>
        <w:bidi w:val="0"/>
        <w:spacing w:before="58" w:line="233" w:lineRule="auto"/>
        <w:ind w:left="6" w:firstLine="362"/>
        <w:jc w:val="both"/>
        <w:rPr>
          <w:rFonts w:hint="eastAsia" w:ascii="仿宋" w:hAnsi="仿宋" w:eastAsia="仿宋" w:cs="仿宋"/>
          <w:spacing w:val="-1"/>
          <w:sz w:val="24"/>
          <w:szCs w:val="24"/>
        </w:rPr>
      </w:pPr>
    </w:p>
    <w:p w14:paraId="2F0E74E2">
      <w:pPr>
        <w:pStyle w:val="7"/>
        <w:keepLines w:val="0"/>
        <w:pageBreakBefore w:val="0"/>
        <w:kinsoku/>
        <w:wordWrap/>
        <w:overflowPunct/>
        <w:topLinePunct w:val="0"/>
        <w:bidi w:val="0"/>
        <w:spacing w:line="242" w:lineRule="auto"/>
      </w:pPr>
    </w:p>
    <w:p w14:paraId="1858D661">
      <w:pPr>
        <w:pStyle w:val="7"/>
        <w:keepLines w:val="0"/>
        <w:pageBreakBefore w:val="0"/>
        <w:kinsoku/>
        <w:wordWrap/>
        <w:overflowPunct/>
        <w:topLinePunct w:val="0"/>
        <w:bidi w:val="0"/>
        <w:spacing w:line="243" w:lineRule="auto"/>
      </w:pPr>
    </w:p>
    <w:p w14:paraId="11104AD5">
      <w:pPr>
        <w:pStyle w:val="7"/>
        <w:keepLines w:val="0"/>
        <w:pageBreakBefore w:val="0"/>
        <w:kinsoku/>
        <w:wordWrap/>
        <w:overflowPunct/>
        <w:topLinePunct w:val="0"/>
        <w:bidi w:val="0"/>
        <w:spacing w:line="243" w:lineRule="auto"/>
      </w:pPr>
    </w:p>
    <w:p w14:paraId="70F17591">
      <w:pPr>
        <w:pStyle w:val="7"/>
        <w:keepLines w:val="0"/>
        <w:pageBreakBefore w:val="0"/>
        <w:kinsoku/>
        <w:wordWrap/>
        <w:overflowPunct/>
        <w:topLinePunct w:val="0"/>
        <w:bidi w:val="0"/>
        <w:spacing w:line="243" w:lineRule="auto"/>
      </w:pPr>
    </w:p>
    <w:p w14:paraId="7BDCB109">
      <w:pPr>
        <w:pStyle w:val="7"/>
        <w:keepLines w:val="0"/>
        <w:pageBreakBefore w:val="0"/>
        <w:kinsoku/>
        <w:wordWrap/>
        <w:overflowPunct/>
        <w:topLinePunct w:val="0"/>
        <w:bidi w:val="0"/>
        <w:spacing w:line="243" w:lineRule="auto"/>
      </w:pPr>
    </w:p>
    <w:p w14:paraId="4777E6D6">
      <w:pPr>
        <w:pStyle w:val="7"/>
        <w:keepLines w:val="0"/>
        <w:pageBreakBefore w:val="0"/>
        <w:kinsoku/>
        <w:wordWrap/>
        <w:overflowPunct/>
        <w:topLinePunct w:val="0"/>
        <w:bidi w:val="0"/>
        <w:spacing w:line="243" w:lineRule="auto"/>
      </w:pPr>
    </w:p>
    <w:p w14:paraId="70643B7B">
      <w:pPr>
        <w:pStyle w:val="7"/>
        <w:keepLines w:val="0"/>
        <w:pageBreakBefore w:val="0"/>
        <w:kinsoku/>
        <w:wordWrap/>
        <w:overflowPunct/>
        <w:topLinePunct w:val="0"/>
        <w:bidi w:val="0"/>
        <w:spacing w:line="243" w:lineRule="auto"/>
      </w:pPr>
    </w:p>
    <w:p w14:paraId="64D96963">
      <w:pPr>
        <w:pStyle w:val="7"/>
        <w:keepLines w:val="0"/>
        <w:pageBreakBefore w:val="0"/>
        <w:kinsoku/>
        <w:wordWrap/>
        <w:overflowPunct/>
        <w:topLinePunct w:val="0"/>
        <w:bidi w:val="0"/>
        <w:spacing w:line="243" w:lineRule="auto"/>
      </w:pPr>
    </w:p>
    <w:p w14:paraId="3D400720">
      <w:pPr>
        <w:pStyle w:val="7"/>
        <w:keepLines w:val="0"/>
        <w:pageBreakBefore w:val="0"/>
        <w:kinsoku/>
        <w:wordWrap/>
        <w:overflowPunct/>
        <w:topLinePunct w:val="0"/>
        <w:bidi w:val="0"/>
        <w:spacing w:line="243" w:lineRule="auto"/>
      </w:pPr>
    </w:p>
    <w:p w14:paraId="1256AF83">
      <w:pPr>
        <w:pStyle w:val="7"/>
        <w:keepLines w:val="0"/>
        <w:pageBreakBefore w:val="0"/>
        <w:kinsoku/>
        <w:wordWrap/>
        <w:overflowPunct/>
        <w:topLinePunct w:val="0"/>
        <w:bidi w:val="0"/>
        <w:spacing w:line="243" w:lineRule="auto"/>
      </w:pPr>
    </w:p>
    <w:p w14:paraId="52347ED2">
      <w:pPr>
        <w:pStyle w:val="7"/>
        <w:keepLines w:val="0"/>
        <w:pageBreakBefore w:val="0"/>
        <w:kinsoku/>
        <w:wordWrap/>
        <w:overflowPunct/>
        <w:topLinePunct w:val="0"/>
        <w:bidi w:val="0"/>
        <w:spacing w:line="243" w:lineRule="auto"/>
      </w:pPr>
    </w:p>
    <w:p w14:paraId="6E14BF50">
      <w:pPr>
        <w:pStyle w:val="7"/>
        <w:keepLines w:val="0"/>
        <w:pageBreakBefore w:val="0"/>
        <w:kinsoku/>
        <w:wordWrap/>
        <w:overflowPunct/>
        <w:topLinePunct w:val="0"/>
        <w:bidi w:val="0"/>
        <w:spacing w:line="243" w:lineRule="auto"/>
      </w:pPr>
    </w:p>
    <w:p w14:paraId="2D619746">
      <w:pPr>
        <w:keepLines w:val="0"/>
        <w:pageBreakBefore w:val="0"/>
        <w:kinsoku/>
        <w:wordWrap/>
        <w:overflowPunct/>
        <w:topLinePunct w:val="0"/>
        <w:bidi w:val="0"/>
        <w:jc w:val="left"/>
        <w:rPr>
          <w:rFonts w:ascii="Arial" w:hAnsi="Arial" w:eastAsia="Arial" w:cs="Arial"/>
          <w:snapToGrid w:val="0"/>
          <w:color w:val="000000"/>
          <w:kern w:val="0"/>
          <w:sz w:val="21"/>
          <w:szCs w:val="21"/>
          <w:lang w:val="en-US" w:eastAsia="en-US" w:bidi="ar-SA"/>
        </w:rPr>
      </w:pPr>
    </w:p>
    <w:sectPr>
      <w:footerReference r:id="rId17" w:type="default"/>
      <w:pgSz w:w="11906" w:h="16839"/>
      <w:pgMar w:top="1440" w:right="1080" w:bottom="1440" w:left="1080" w:header="0" w:footer="10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思源黑体 CN Light">
    <w:altName w:val="黑体"/>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AF1B">
    <w:pPr>
      <w:pStyle w:val="10"/>
      <w:tabs>
        <w:tab w:val="center" w:pos="4873"/>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692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2859D">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12859D">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7653">
    <w:pPr>
      <w:pStyle w:val="7"/>
      <w:spacing w:line="243" w:lineRule="exact"/>
      <w:ind w:left="4582"/>
      <w:rPr>
        <w:sz w:val="22"/>
        <w:szCs w:val="2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93EA">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A48EF">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5CA48EF">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36BC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3DAE0">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03DAE0">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71AA">
    <w:pPr>
      <w:pStyle w:val="10"/>
      <w:tabs>
        <w:tab w:val="center" w:pos="4873"/>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D3A5E">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CD3A5E">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0602">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B6696">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CB6696">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F589">
    <w:pPr>
      <w:spacing w:line="176" w:lineRule="auto"/>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CDEE5">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1CDEE5">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8FF7">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66766">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E66766">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29D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EBE75">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7EBE75">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9D2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4916E">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84916E">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1B6C">
    <w:pPr>
      <w:spacing w:after="168" w:line="43"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D9A5B">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9D9A5B">
                    <w:pPr>
                      <w:pStyle w:val="10"/>
                    </w:pPr>
                    <w:r>
                      <w:fldChar w:fldCharType="begin"/>
                    </w:r>
                    <w:r>
                      <w:instrText xml:space="preserve"> PAGE  \* MERGEFORMAT </w:instrText>
                    </w:r>
                    <w:r>
                      <w:fldChar w:fldCharType="separate"/>
                    </w:r>
                    <w:r>
                      <w:t>64</w:t>
                    </w:r>
                    <w:r>
                      <w:fldChar w:fldCharType="end"/>
                    </w:r>
                  </w:p>
                </w:txbxContent>
              </v:textbox>
            </v:shape>
          </w:pict>
        </mc:Fallback>
      </mc:AlternateContent>
    </w:r>
  </w:p>
  <w:p w14:paraId="661E5289">
    <w:pPr>
      <w:spacing w:line="176"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AA5E">
    <w:pPr>
      <w:spacing w:after="168" w:line="43"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E562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4E562B">
                    <w:pPr>
                      <w:pStyle w:val="10"/>
                    </w:pPr>
                    <w:r>
                      <w:fldChar w:fldCharType="begin"/>
                    </w:r>
                    <w:r>
                      <w:instrText xml:space="preserve"> PAGE  \* MERGEFORMAT </w:instrText>
                    </w:r>
                    <w:r>
                      <w:fldChar w:fldCharType="separate"/>
                    </w:r>
                    <w:r>
                      <w:t>65</w:t>
                    </w:r>
                    <w:r>
                      <w:fldChar w:fldCharType="end"/>
                    </w:r>
                  </w:p>
                </w:txbxContent>
              </v:textbox>
            </v:shape>
          </w:pict>
        </mc:Fallback>
      </mc:AlternateContent>
    </w:r>
  </w:p>
  <w:p w14:paraId="1B30666B">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1A4AB"/>
    <w:multiLevelType w:val="singleLevel"/>
    <w:tmpl w:val="C2D1A4AB"/>
    <w:lvl w:ilvl="0" w:tentative="0">
      <w:start w:val="1"/>
      <w:numFmt w:val="decimal"/>
      <w:suff w:val="nothing"/>
      <w:lvlText w:val="（%1）"/>
      <w:lvlJc w:val="left"/>
    </w:lvl>
  </w:abstractNum>
  <w:abstractNum w:abstractNumId="1">
    <w:nsid w:val="DE881812"/>
    <w:multiLevelType w:val="singleLevel"/>
    <w:tmpl w:val="DE881812"/>
    <w:lvl w:ilvl="0" w:tentative="0">
      <w:start w:val="3"/>
      <w:numFmt w:val="chineseCounting"/>
      <w:suff w:val="space"/>
      <w:lvlText w:val="第%1节"/>
      <w:lvlJc w:val="left"/>
      <w:rPr>
        <w:rFonts w:hint="eastAsia"/>
      </w:rPr>
    </w:lvl>
  </w:abstractNum>
  <w:abstractNum w:abstractNumId="2">
    <w:nsid w:val="F174718B"/>
    <w:multiLevelType w:val="singleLevel"/>
    <w:tmpl w:val="F174718B"/>
    <w:lvl w:ilvl="0" w:tentative="0">
      <w:start w:val="1"/>
      <w:numFmt w:val="chineseCounting"/>
      <w:suff w:val="nothing"/>
      <w:lvlText w:val="%1、"/>
      <w:lvlJc w:val="left"/>
      <w:rPr>
        <w:rFonts w:hint="eastAsia"/>
      </w:rPr>
    </w:lvl>
  </w:abstractNum>
  <w:abstractNum w:abstractNumId="3">
    <w:nsid w:val="F6657D5D"/>
    <w:multiLevelType w:val="singleLevel"/>
    <w:tmpl w:val="F6657D5D"/>
    <w:lvl w:ilvl="0" w:tentative="0">
      <w:start w:val="1"/>
      <w:numFmt w:val="decimal"/>
      <w:suff w:val="nothing"/>
      <w:lvlText w:val="（%1）"/>
      <w:lvlJc w:val="left"/>
    </w:lvl>
  </w:abstractNum>
  <w:abstractNum w:abstractNumId="4">
    <w:nsid w:val="6BE922A1"/>
    <w:multiLevelType w:val="singleLevel"/>
    <w:tmpl w:val="6BE922A1"/>
    <w:lvl w:ilvl="0" w:tentative="0">
      <w:start w:val="5"/>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rawingGridHorizontalSpacing w:val="158"/>
  <w:drawingGridVerticalSpacing w:val="29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c5MzA1MjRjY2I1NDYxMzNjOWM4ODEyYjg5OTcxZGEifQ=="/>
  </w:docVars>
  <w:rsids>
    <w:rsidRoot w:val="00000000"/>
    <w:rsid w:val="003F152B"/>
    <w:rsid w:val="00475BA1"/>
    <w:rsid w:val="00665BAD"/>
    <w:rsid w:val="00775A3B"/>
    <w:rsid w:val="008658B1"/>
    <w:rsid w:val="00E32D5A"/>
    <w:rsid w:val="01012314"/>
    <w:rsid w:val="013D1CD1"/>
    <w:rsid w:val="01514187"/>
    <w:rsid w:val="018C1F1F"/>
    <w:rsid w:val="01AF5332"/>
    <w:rsid w:val="028F3341"/>
    <w:rsid w:val="02DE6E1F"/>
    <w:rsid w:val="03734073"/>
    <w:rsid w:val="03CD1071"/>
    <w:rsid w:val="03D461BA"/>
    <w:rsid w:val="043E46D8"/>
    <w:rsid w:val="047168CE"/>
    <w:rsid w:val="05043AAA"/>
    <w:rsid w:val="05AF0E39"/>
    <w:rsid w:val="06042115"/>
    <w:rsid w:val="06255BC2"/>
    <w:rsid w:val="065546FA"/>
    <w:rsid w:val="07034EEF"/>
    <w:rsid w:val="071F7C65"/>
    <w:rsid w:val="079B7E3C"/>
    <w:rsid w:val="07B91445"/>
    <w:rsid w:val="07FD25E9"/>
    <w:rsid w:val="083F2B76"/>
    <w:rsid w:val="08470AEB"/>
    <w:rsid w:val="08486C64"/>
    <w:rsid w:val="087418C9"/>
    <w:rsid w:val="089C7D27"/>
    <w:rsid w:val="08A4749C"/>
    <w:rsid w:val="08B3338B"/>
    <w:rsid w:val="08F83D92"/>
    <w:rsid w:val="090B10A0"/>
    <w:rsid w:val="0935611C"/>
    <w:rsid w:val="097906FF"/>
    <w:rsid w:val="0A1C72DC"/>
    <w:rsid w:val="0AC25040"/>
    <w:rsid w:val="0AD6644D"/>
    <w:rsid w:val="0ADF201C"/>
    <w:rsid w:val="0B0B5703"/>
    <w:rsid w:val="0C136807"/>
    <w:rsid w:val="0C492597"/>
    <w:rsid w:val="0CB952B6"/>
    <w:rsid w:val="0CC2278B"/>
    <w:rsid w:val="0CC779D3"/>
    <w:rsid w:val="0CE1087C"/>
    <w:rsid w:val="0CE92476"/>
    <w:rsid w:val="0D397509"/>
    <w:rsid w:val="0D960515"/>
    <w:rsid w:val="0DFA16E3"/>
    <w:rsid w:val="0E034839"/>
    <w:rsid w:val="0E166F38"/>
    <w:rsid w:val="0E1C6F15"/>
    <w:rsid w:val="0E2F3F20"/>
    <w:rsid w:val="0EE40496"/>
    <w:rsid w:val="0F3C729D"/>
    <w:rsid w:val="0F50661C"/>
    <w:rsid w:val="0F8932E2"/>
    <w:rsid w:val="0FD20B69"/>
    <w:rsid w:val="0FDD3C8F"/>
    <w:rsid w:val="11144937"/>
    <w:rsid w:val="12462F6C"/>
    <w:rsid w:val="128B02D5"/>
    <w:rsid w:val="129A7DF1"/>
    <w:rsid w:val="12C64072"/>
    <w:rsid w:val="139466E7"/>
    <w:rsid w:val="13B33D27"/>
    <w:rsid w:val="13ED66B2"/>
    <w:rsid w:val="14317917"/>
    <w:rsid w:val="14733F9D"/>
    <w:rsid w:val="14CE2940"/>
    <w:rsid w:val="14F31730"/>
    <w:rsid w:val="1532356A"/>
    <w:rsid w:val="15733C91"/>
    <w:rsid w:val="165C2AB4"/>
    <w:rsid w:val="166813BA"/>
    <w:rsid w:val="171E118D"/>
    <w:rsid w:val="173A1959"/>
    <w:rsid w:val="17514FCE"/>
    <w:rsid w:val="175728BF"/>
    <w:rsid w:val="17575DF8"/>
    <w:rsid w:val="17A32FF6"/>
    <w:rsid w:val="17F51899"/>
    <w:rsid w:val="182E6B10"/>
    <w:rsid w:val="18341577"/>
    <w:rsid w:val="18E979FA"/>
    <w:rsid w:val="19414963"/>
    <w:rsid w:val="194A1770"/>
    <w:rsid w:val="199F431D"/>
    <w:rsid w:val="19C36EF2"/>
    <w:rsid w:val="1B1A6E08"/>
    <w:rsid w:val="1B4030F3"/>
    <w:rsid w:val="1B636B19"/>
    <w:rsid w:val="1B8B42C2"/>
    <w:rsid w:val="1BAE5697"/>
    <w:rsid w:val="1C6E5776"/>
    <w:rsid w:val="1C8F10A8"/>
    <w:rsid w:val="1CAA2369"/>
    <w:rsid w:val="1CC27ED1"/>
    <w:rsid w:val="1D071A7F"/>
    <w:rsid w:val="1D2F1E9F"/>
    <w:rsid w:val="1D341918"/>
    <w:rsid w:val="1D3E3886"/>
    <w:rsid w:val="1D6A61E3"/>
    <w:rsid w:val="1E276524"/>
    <w:rsid w:val="1E9A1A93"/>
    <w:rsid w:val="1EB61656"/>
    <w:rsid w:val="1EC16497"/>
    <w:rsid w:val="1ED349D4"/>
    <w:rsid w:val="1F821BEB"/>
    <w:rsid w:val="1FC05A0A"/>
    <w:rsid w:val="202C1CA8"/>
    <w:rsid w:val="205C4E1A"/>
    <w:rsid w:val="206F6573"/>
    <w:rsid w:val="208C116B"/>
    <w:rsid w:val="20A4768F"/>
    <w:rsid w:val="20DD6A4C"/>
    <w:rsid w:val="211C6E33"/>
    <w:rsid w:val="214370BF"/>
    <w:rsid w:val="21521B0A"/>
    <w:rsid w:val="21B920B4"/>
    <w:rsid w:val="22462CF1"/>
    <w:rsid w:val="227E692E"/>
    <w:rsid w:val="22A4710F"/>
    <w:rsid w:val="22AF4D3A"/>
    <w:rsid w:val="22C40483"/>
    <w:rsid w:val="230F4EC9"/>
    <w:rsid w:val="232D6837"/>
    <w:rsid w:val="233B0019"/>
    <w:rsid w:val="23650372"/>
    <w:rsid w:val="236D6760"/>
    <w:rsid w:val="239134F1"/>
    <w:rsid w:val="24677933"/>
    <w:rsid w:val="246A14B7"/>
    <w:rsid w:val="24AA2F7B"/>
    <w:rsid w:val="25A563F3"/>
    <w:rsid w:val="25BD776E"/>
    <w:rsid w:val="262A4E03"/>
    <w:rsid w:val="26354AD3"/>
    <w:rsid w:val="26C62652"/>
    <w:rsid w:val="26DD5E92"/>
    <w:rsid w:val="26FE664D"/>
    <w:rsid w:val="2788267D"/>
    <w:rsid w:val="27A110F5"/>
    <w:rsid w:val="27C53B3E"/>
    <w:rsid w:val="28120F00"/>
    <w:rsid w:val="282D76DD"/>
    <w:rsid w:val="28461D2E"/>
    <w:rsid w:val="297A35CA"/>
    <w:rsid w:val="2A197071"/>
    <w:rsid w:val="2A4023DD"/>
    <w:rsid w:val="2A862824"/>
    <w:rsid w:val="2B1D7721"/>
    <w:rsid w:val="2BA458C2"/>
    <w:rsid w:val="2BE821A6"/>
    <w:rsid w:val="2BFA0DD4"/>
    <w:rsid w:val="2C0320EA"/>
    <w:rsid w:val="2C323F1B"/>
    <w:rsid w:val="2C7212B2"/>
    <w:rsid w:val="2CA709DE"/>
    <w:rsid w:val="2D0F6E05"/>
    <w:rsid w:val="2D2C767B"/>
    <w:rsid w:val="2D5A6D7E"/>
    <w:rsid w:val="2DAB78D5"/>
    <w:rsid w:val="2DB7189C"/>
    <w:rsid w:val="2DE27D71"/>
    <w:rsid w:val="2DE312CD"/>
    <w:rsid w:val="2E240862"/>
    <w:rsid w:val="2E676846"/>
    <w:rsid w:val="2E9D175B"/>
    <w:rsid w:val="2EE87609"/>
    <w:rsid w:val="2F1F4474"/>
    <w:rsid w:val="2F3E7229"/>
    <w:rsid w:val="2F854E58"/>
    <w:rsid w:val="2F971030"/>
    <w:rsid w:val="30BE2F3E"/>
    <w:rsid w:val="30E30DF8"/>
    <w:rsid w:val="31335715"/>
    <w:rsid w:val="31640E31"/>
    <w:rsid w:val="31864EB8"/>
    <w:rsid w:val="318E731F"/>
    <w:rsid w:val="3282377B"/>
    <w:rsid w:val="331B63F6"/>
    <w:rsid w:val="3391068E"/>
    <w:rsid w:val="33B7574B"/>
    <w:rsid w:val="33C04CC0"/>
    <w:rsid w:val="33EC6C5A"/>
    <w:rsid w:val="34C3033B"/>
    <w:rsid w:val="34DF0D53"/>
    <w:rsid w:val="352C502F"/>
    <w:rsid w:val="353B01B7"/>
    <w:rsid w:val="35B50293"/>
    <w:rsid w:val="35F613E1"/>
    <w:rsid w:val="36392E40"/>
    <w:rsid w:val="36396246"/>
    <w:rsid w:val="37712C8C"/>
    <w:rsid w:val="388E6B53"/>
    <w:rsid w:val="38A8605B"/>
    <w:rsid w:val="38FE5445"/>
    <w:rsid w:val="392C0A3B"/>
    <w:rsid w:val="392D1677"/>
    <w:rsid w:val="39451C35"/>
    <w:rsid w:val="39903E56"/>
    <w:rsid w:val="3A077920"/>
    <w:rsid w:val="3A0F0224"/>
    <w:rsid w:val="3A1F234D"/>
    <w:rsid w:val="3BDF4BD2"/>
    <w:rsid w:val="3BF34BD3"/>
    <w:rsid w:val="3CF87F8E"/>
    <w:rsid w:val="3D3138AE"/>
    <w:rsid w:val="3D614993"/>
    <w:rsid w:val="3D873A6C"/>
    <w:rsid w:val="3DAF6D4D"/>
    <w:rsid w:val="3DCE0312"/>
    <w:rsid w:val="3E1E1AF9"/>
    <w:rsid w:val="3E706AA3"/>
    <w:rsid w:val="3E7B7D67"/>
    <w:rsid w:val="3EEB1DFB"/>
    <w:rsid w:val="3F42078C"/>
    <w:rsid w:val="3F4A64F8"/>
    <w:rsid w:val="3F7171A7"/>
    <w:rsid w:val="3F80388E"/>
    <w:rsid w:val="3FBA1DBE"/>
    <w:rsid w:val="3FEF612A"/>
    <w:rsid w:val="3FF20B8C"/>
    <w:rsid w:val="40267E17"/>
    <w:rsid w:val="40B85FDB"/>
    <w:rsid w:val="40E90FBF"/>
    <w:rsid w:val="411A4648"/>
    <w:rsid w:val="418A27A2"/>
    <w:rsid w:val="42354B55"/>
    <w:rsid w:val="42626E97"/>
    <w:rsid w:val="428430D9"/>
    <w:rsid w:val="42B1476A"/>
    <w:rsid w:val="42CF3E6D"/>
    <w:rsid w:val="42F73E67"/>
    <w:rsid w:val="43087A30"/>
    <w:rsid w:val="43140A2D"/>
    <w:rsid w:val="43A976EF"/>
    <w:rsid w:val="43B04308"/>
    <w:rsid w:val="44E46590"/>
    <w:rsid w:val="44FB6469"/>
    <w:rsid w:val="455D3858"/>
    <w:rsid w:val="45B35763"/>
    <w:rsid w:val="45B918A8"/>
    <w:rsid w:val="46067F1E"/>
    <w:rsid w:val="465F6791"/>
    <w:rsid w:val="46647A66"/>
    <w:rsid w:val="46D9135A"/>
    <w:rsid w:val="47031760"/>
    <w:rsid w:val="47953C4F"/>
    <w:rsid w:val="47BA535A"/>
    <w:rsid w:val="4845019B"/>
    <w:rsid w:val="485C42E8"/>
    <w:rsid w:val="48B337FF"/>
    <w:rsid w:val="48D272C6"/>
    <w:rsid w:val="491613BB"/>
    <w:rsid w:val="492321E5"/>
    <w:rsid w:val="49725FF6"/>
    <w:rsid w:val="49B061AB"/>
    <w:rsid w:val="4A197695"/>
    <w:rsid w:val="4A527BD5"/>
    <w:rsid w:val="4A7F1575"/>
    <w:rsid w:val="4AA91EEB"/>
    <w:rsid w:val="4AAB68B4"/>
    <w:rsid w:val="4ACC4FC1"/>
    <w:rsid w:val="4AF15924"/>
    <w:rsid w:val="4B0610EB"/>
    <w:rsid w:val="4BDE558E"/>
    <w:rsid w:val="4C1677B0"/>
    <w:rsid w:val="4C181CE0"/>
    <w:rsid w:val="4C423B86"/>
    <w:rsid w:val="4C72630D"/>
    <w:rsid w:val="4CC31F2D"/>
    <w:rsid w:val="4CFA6A2E"/>
    <w:rsid w:val="4CFD02CC"/>
    <w:rsid w:val="4D2806F4"/>
    <w:rsid w:val="4D3F6AF3"/>
    <w:rsid w:val="4D8372A0"/>
    <w:rsid w:val="4D8409ED"/>
    <w:rsid w:val="4E1D159A"/>
    <w:rsid w:val="4E435700"/>
    <w:rsid w:val="4E56727D"/>
    <w:rsid w:val="4E5B34FC"/>
    <w:rsid w:val="4E9974A6"/>
    <w:rsid w:val="4EA17774"/>
    <w:rsid w:val="4EF6400F"/>
    <w:rsid w:val="4F02606E"/>
    <w:rsid w:val="4F887B91"/>
    <w:rsid w:val="4F8A0DCC"/>
    <w:rsid w:val="4FC861DA"/>
    <w:rsid w:val="4FD517AA"/>
    <w:rsid w:val="500D0826"/>
    <w:rsid w:val="50256815"/>
    <w:rsid w:val="506D5769"/>
    <w:rsid w:val="50A31352"/>
    <w:rsid w:val="50BB14A4"/>
    <w:rsid w:val="50C35534"/>
    <w:rsid w:val="511713D3"/>
    <w:rsid w:val="516528E4"/>
    <w:rsid w:val="51DD46C7"/>
    <w:rsid w:val="521D12A7"/>
    <w:rsid w:val="52281239"/>
    <w:rsid w:val="522F1477"/>
    <w:rsid w:val="52D86862"/>
    <w:rsid w:val="534B5553"/>
    <w:rsid w:val="548435E1"/>
    <w:rsid w:val="549E6E38"/>
    <w:rsid w:val="54F40B54"/>
    <w:rsid w:val="550B5550"/>
    <w:rsid w:val="55243AD1"/>
    <w:rsid w:val="563D6471"/>
    <w:rsid w:val="564A1DF3"/>
    <w:rsid w:val="566F457A"/>
    <w:rsid w:val="56960069"/>
    <w:rsid w:val="56F33B91"/>
    <w:rsid w:val="57471C8A"/>
    <w:rsid w:val="576A4B68"/>
    <w:rsid w:val="578735B4"/>
    <w:rsid w:val="57912A20"/>
    <w:rsid w:val="57B455BA"/>
    <w:rsid w:val="582C415B"/>
    <w:rsid w:val="58483A19"/>
    <w:rsid w:val="58FE349F"/>
    <w:rsid w:val="590442D0"/>
    <w:rsid w:val="59103328"/>
    <w:rsid w:val="59323A50"/>
    <w:rsid w:val="59941FB8"/>
    <w:rsid w:val="59A0095D"/>
    <w:rsid w:val="59BE35E2"/>
    <w:rsid w:val="59E79DE9"/>
    <w:rsid w:val="5A18343D"/>
    <w:rsid w:val="5A63073C"/>
    <w:rsid w:val="5A9F5E78"/>
    <w:rsid w:val="5AA4699A"/>
    <w:rsid w:val="5AAE3208"/>
    <w:rsid w:val="5B3E203C"/>
    <w:rsid w:val="5C7B120D"/>
    <w:rsid w:val="5C987A6F"/>
    <w:rsid w:val="5CA850E3"/>
    <w:rsid w:val="5CDE0128"/>
    <w:rsid w:val="5CF8460C"/>
    <w:rsid w:val="5D263E92"/>
    <w:rsid w:val="5D2E6280"/>
    <w:rsid w:val="5D4D7998"/>
    <w:rsid w:val="5DD60DF1"/>
    <w:rsid w:val="5DDF0F85"/>
    <w:rsid w:val="5E31411E"/>
    <w:rsid w:val="5EEC1F4F"/>
    <w:rsid w:val="5F0F3E1B"/>
    <w:rsid w:val="5F10773B"/>
    <w:rsid w:val="5F7E5159"/>
    <w:rsid w:val="60400176"/>
    <w:rsid w:val="60564642"/>
    <w:rsid w:val="6064215B"/>
    <w:rsid w:val="60652479"/>
    <w:rsid w:val="60791F08"/>
    <w:rsid w:val="60906C54"/>
    <w:rsid w:val="612739D7"/>
    <w:rsid w:val="61637887"/>
    <w:rsid w:val="617C53D9"/>
    <w:rsid w:val="61B0380A"/>
    <w:rsid w:val="61C9790C"/>
    <w:rsid w:val="6231554B"/>
    <w:rsid w:val="628A3147"/>
    <w:rsid w:val="629504EF"/>
    <w:rsid w:val="62BD348D"/>
    <w:rsid w:val="62CF5665"/>
    <w:rsid w:val="62F87114"/>
    <w:rsid w:val="632048BD"/>
    <w:rsid w:val="63234407"/>
    <w:rsid w:val="6343752F"/>
    <w:rsid w:val="63A55DE1"/>
    <w:rsid w:val="643C35AF"/>
    <w:rsid w:val="64455E07"/>
    <w:rsid w:val="64A62BA0"/>
    <w:rsid w:val="64B27796"/>
    <w:rsid w:val="64DF6267"/>
    <w:rsid w:val="656159AD"/>
    <w:rsid w:val="6565098C"/>
    <w:rsid w:val="657D732D"/>
    <w:rsid w:val="657F58CB"/>
    <w:rsid w:val="659F5D29"/>
    <w:rsid w:val="66354994"/>
    <w:rsid w:val="663E33D8"/>
    <w:rsid w:val="66DE7CCD"/>
    <w:rsid w:val="674A5735"/>
    <w:rsid w:val="675F3114"/>
    <w:rsid w:val="67746F85"/>
    <w:rsid w:val="67BA0E3C"/>
    <w:rsid w:val="67E70E1A"/>
    <w:rsid w:val="684D41D7"/>
    <w:rsid w:val="685700EF"/>
    <w:rsid w:val="687C4343"/>
    <w:rsid w:val="68964A1B"/>
    <w:rsid w:val="68A65B76"/>
    <w:rsid w:val="69A34123"/>
    <w:rsid w:val="6A4F08C6"/>
    <w:rsid w:val="6A8A7C42"/>
    <w:rsid w:val="6A9B65D4"/>
    <w:rsid w:val="6AA24125"/>
    <w:rsid w:val="6AE631D2"/>
    <w:rsid w:val="6B656486"/>
    <w:rsid w:val="6B700D5C"/>
    <w:rsid w:val="6C420FB1"/>
    <w:rsid w:val="6C691D5E"/>
    <w:rsid w:val="6C7A6DEC"/>
    <w:rsid w:val="6C9A24F6"/>
    <w:rsid w:val="6CA24044"/>
    <w:rsid w:val="6CC355C2"/>
    <w:rsid w:val="6CD2570F"/>
    <w:rsid w:val="6D7A6DBA"/>
    <w:rsid w:val="6D7B04E5"/>
    <w:rsid w:val="6DDFE04A"/>
    <w:rsid w:val="6E3C0282"/>
    <w:rsid w:val="6E46630C"/>
    <w:rsid w:val="6F6A5F99"/>
    <w:rsid w:val="6FF922AC"/>
    <w:rsid w:val="70413F71"/>
    <w:rsid w:val="70F3716D"/>
    <w:rsid w:val="71211228"/>
    <w:rsid w:val="71471E07"/>
    <w:rsid w:val="714C39A4"/>
    <w:rsid w:val="717676DE"/>
    <w:rsid w:val="71BB4D6E"/>
    <w:rsid w:val="71DE1BCB"/>
    <w:rsid w:val="71ED53C5"/>
    <w:rsid w:val="71FF291F"/>
    <w:rsid w:val="723E41E3"/>
    <w:rsid w:val="72D52FCE"/>
    <w:rsid w:val="72F816D1"/>
    <w:rsid w:val="73A82490"/>
    <w:rsid w:val="74065409"/>
    <w:rsid w:val="74B25471"/>
    <w:rsid w:val="74C460BA"/>
    <w:rsid w:val="74CE4BA1"/>
    <w:rsid w:val="75033411"/>
    <w:rsid w:val="75E63744"/>
    <w:rsid w:val="75EC6FE2"/>
    <w:rsid w:val="760C4C55"/>
    <w:rsid w:val="7625426C"/>
    <w:rsid w:val="76B733AB"/>
    <w:rsid w:val="76E40BD9"/>
    <w:rsid w:val="770C35E3"/>
    <w:rsid w:val="770D0406"/>
    <w:rsid w:val="770E27AC"/>
    <w:rsid w:val="77181C73"/>
    <w:rsid w:val="77533CFE"/>
    <w:rsid w:val="77774532"/>
    <w:rsid w:val="77F42082"/>
    <w:rsid w:val="7883171E"/>
    <w:rsid w:val="78897AFF"/>
    <w:rsid w:val="78AF725D"/>
    <w:rsid w:val="79751067"/>
    <w:rsid w:val="79C132E3"/>
    <w:rsid w:val="7A1268B5"/>
    <w:rsid w:val="7AB51E92"/>
    <w:rsid w:val="7AE87C4C"/>
    <w:rsid w:val="7B185B9D"/>
    <w:rsid w:val="7B18614D"/>
    <w:rsid w:val="7B9F289A"/>
    <w:rsid w:val="7BDC6677"/>
    <w:rsid w:val="7BF5648F"/>
    <w:rsid w:val="7C5207FC"/>
    <w:rsid w:val="7C9C234A"/>
    <w:rsid w:val="7CFD1A9F"/>
    <w:rsid w:val="7CFFB76D"/>
    <w:rsid w:val="7D133A6A"/>
    <w:rsid w:val="7DF509C8"/>
    <w:rsid w:val="7DF54524"/>
    <w:rsid w:val="7DFC2B7F"/>
    <w:rsid w:val="7E0A4C70"/>
    <w:rsid w:val="7E486D4A"/>
    <w:rsid w:val="7E9A7674"/>
    <w:rsid w:val="7EB63CCD"/>
    <w:rsid w:val="7F140C16"/>
    <w:rsid w:val="7F742D89"/>
    <w:rsid w:val="7FAB0A21"/>
    <w:rsid w:val="7FFA0E83"/>
    <w:rsid w:val="AF99DF3F"/>
    <w:rsid w:val="BF5EABF2"/>
    <w:rsid w:val="ED7DFC6B"/>
    <w:rsid w:val="EF3DD1FF"/>
    <w:rsid w:val="FFFD2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eastAsia="楷体" w:asciiTheme="majorHAnsi" w:hAnsiTheme="majorHAnsi" w:cstheme="majorBidi"/>
      <w:b/>
      <w:bCs/>
      <w:sz w:val="32"/>
      <w:szCs w:val="32"/>
    </w:rPr>
  </w:style>
  <w:style w:type="paragraph" w:styleId="3">
    <w:name w:val="heading 3"/>
    <w:basedOn w:val="1"/>
    <w:next w:val="1"/>
    <w:autoRedefine/>
    <w:qFormat/>
    <w:uiPriority w:val="0"/>
    <w:pPr>
      <w:keepNext/>
      <w:outlineLvl w:val="2"/>
    </w:pPr>
    <w:rPr>
      <w:rFonts w:ascii="楷体_GB2312" w:hAnsi="宋体" w:eastAsia="楷体_GB2312"/>
      <w:b/>
      <w:bCs/>
      <w:sz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宋体"/>
    </w:rPr>
  </w:style>
  <w:style w:type="paragraph" w:styleId="5">
    <w:name w:val="caption"/>
    <w:basedOn w:val="1"/>
    <w:next w:val="1"/>
    <w:autoRedefine/>
    <w:unhideWhenUsed/>
    <w:qFormat/>
    <w:uiPriority w:val="0"/>
    <w:rPr>
      <w:rFonts w:ascii="Arial" w:hAnsi="Arial" w:eastAsia="黑体"/>
      <w:sz w:val="20"/>
    </w:rPr>
  </w:style>
  <w:style w:type="paragraph" w:styleId="6">
    <w:name w:val="toa heading"/>
    <w:basedOn w:val="1"/>
    <w:next w:val="1"/>
    <w:autoRedefine/>
    <w:unhideWhenUsed/>
    <w:qFormat/>
    <w:uiPriority w:val="99"/>
    <w:pPr>
      <w:spacing w:before="120"/>
    </w:pPr>
    <w:rPr>
      <w:rFonts w:ascii="Cambria" w:hAnsi="Cambria" w:cs="Times New Roman"/>
      <w:sz w:val="24"/>
      <w:szCs w:val="24"/>
    </w:rPr>
  </w:style>
  <w:style w:type="paragraph" w:styleId="7">
    <w:name w:val="Body Text"/>
    <w:basedOn w:val="1"/>
    <w:next w:val="1"/>
    <w:autoRedefine/>
    <w:semiHidden/>
    <w:qFormat/>
    <w:uiPriority w:val="0"/>
    <w:rPr>
      <w:rFonts w:ascii="Arial" w:hAnsi="Arial" w:eastAsia="Arial" w:cs="Arial"/>
      <w:sz w:val="21"/>
      <w:szCs w:val="21"/>
      <w:lang w:val="en-US" w:eastAsia="en-US" w:bidi="ar-SA"/>
    </w:rPr>
  </w:style>
  <w:style w:type="paragraph" w:styleId="8">
    <w:name w:val="Body Text Indent"/>
    <w:basedOn w:val="1"/>
    <w:autoRedefine/>
    <w:qFormat/>
    <w:uiPriority w:val="0"/>
    <w:pPr>
      <w:spacing w:after="120"/>
      <w:ind w:left="420" w:leftChars="200"/>
    </w:pPr>
  </w:style>
  <w:style w:type="paragraph" w:styleId="9">
    <w:name w:val="Plain Text"/>
    <w:basedOn w:val="1"/>
    <w:next w:val="7"/>
    <w:autoRedefine/>
    <w:qFormat/>
    <w:uiPriority w:val="0"/>
    <w:rPr>
      <w:rFonts w:ascii="宋体" w:hAnsi="Courier New" w:eastAsia="宋体"/>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cs="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autoRedefine/>
    <w:qFormat/>
    <w:uiPriority w:val="0"/>
    <w:pPr>
      <w:ind w:left="200" w:hanging="200" w:hangingChars="200"/>
    </w:pPr>
    <w:rPr>
      <w:rFonts w:ascii="Calibri" w:hAnsi="Calibri"/>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next w:val="1"/>
    <w:autoRedefine/>
    <w:qFormat/>
    <w:uiPriority w:val="0"/>
    <w:pPr>
      <w:tabs>
        <w:tab w:val="left" w:pos="567"/>
      </w:tabs>
      <w:ind w:firstLine="420" w:firstLineChars="100"/>
    </w:pPr>
  </w:style>
  <w:style w:type="paragraph" w:styleId="16">
    <w:name w:val="Body Text First Indent 2"/>
    <w:basedOn w:val="8"/>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qFormat/>
    <w:uiPriority w:val="0"/>
    <w:rPr>
      <w:color w:val="0000FF"/>
      <w:u w:val="single"/>
    </w:rPr>
  </w:style>
  <w:style w:type="character" w:styleId="23">
    <w:name w:val="HTML Sample"/>
    <w:basedOn w:val="19"/>
    <w:autoRedefine/>
    <w:qFormat/>
    <w:uiPriority w:val="0"/>
    <w:rPr>
      <w:rFonts w:ascii="Courier New" w:hAnsi="Courier New"/>
    </w:rPr>
  </w:style>
  <w:style w:type="paragraph" w:customStyle="1" w:styleId="24">
    <w:name w:val="正文1"/>
    <w:basedOn w:val="15"/>
    <w:qFormat/>
    <w:uiPriority w:val="0"/>
    <w:pPr>
      <w:tabs>
        <w:tab w:val="left" w:pos="2160"/>
      </w:tabs>
      <w:topLinePunct/>
      <w:spacing w:line="360" w:lineRule="auto"/>
      <w:jc w:val="left"/>
    </w:pPr>
    <w:rPr>
      <w:rFonts w:ascii="仿宋_GB2312" w:hAnsi="仿宋_GB2312" w:eastAsia="宋体" w:cs="Times New Roman"/>
      <w:kern w:val="0"/>
      <w:sz w:val="28"/>
      <w:szCs w:val="20"/>
    </w:rPr>
  </w:style>
  <w:style w:type="paragraph" w:customStyle="1" w:styleId="25">
    <w:name w:val="Default"/>
    <w:basedOn w:val="9"/>
    <w:next w:val="26"/>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26">
    <w:name w:val="大标题"/>
    <w:basedOn w:val="1"/>
    <w:next w:val="16"/>
    <w:qFormat/>
    <w:uiPriority w:val="0"/>
    <w:pPr>
      <w:jc w:val="center"/>
    </w:pPr>
    <w:rPr>
      <w:rFonts w:ascii="Arial" w:hAnsi="Arial" w:eastAsia="宋体"/>
      <w:b/>
      <w:sz w:val="28"/>
    </w:rPr>
  </w:style>
  <w:style w:type="paragraph" w:customStyle="1" w:styleId="27">
    <w:name w:val="列出段落1"/>
    <w:basedOn w:val="1"/>
    <w:autoRedefine/>
    <w:qFormat/>
    <w:uiPriority w:val="34"/>
    <w:pPr>
      <w:ind w:firstLine="420" w:firstLineChars="200"/>
    </w:pPr>
  </w:style>
  <w:style w:type="table" w:customStyle="1" w:styleId="28">
    <w:name w:val="Table Normal"/>
    <w:autoRedefine/>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仿宋" w:hAnsi="仿宋" w:eastAsia="仿宋" w:cs="仿宋"/>
      <w:sz w:val="24"/>
      <w:szCs w:val="24"/>
      <w:lang w:val="en-US" w:eastAsia="en-US" w:bidi="ar-SA"/>
    </w:rPr>
  </w:style>
  <w:style w:type="paragraph" w:customStyle="1" w:styleId="30">
    <w:name w:val="List Paragraph"/>
    <w:basedOn w:val="1"/>
    <w:autoRedefine/>
    <w:qFormat/>
    <w:uiPriority w:val="34"/>
    <w:pPr>
      <w:ind w:firstLine="420" w:firstLineChars="200"/>
    </w:pPr>
    <w:rPr>
      <w:rFonts w:ascii="Calibri" w:hAnsi="Calibri"/>
      <w:szCs w:val="22"/>
    </w:rPr>
  </w:style>
  <w:style w:type="paragraph" w:customStyle="1" w:styleId="31">
    <w:name w:val="_Style 1"/>
    <w:basedOn w:val="1"/>
    <w:autoRedefine/>
    <w:qFormat/>
    <w:uiPriority w:val="0"/>
    <w:pPr>
      <w:ind w:firstLine="420" w:firstLineChars="200"/>
    </w:pPr>
    <w:rPr>
      <w:rFonts w:ascii="Calibri" w:hAnsi="Calibri"/>
      <w:szCs w:val="22"/>
    </w:rPr>
  </w:style>
  <w:style w:type="paragraph" w:customStyle="1" w:styleId="32">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33">
    <w:name w:val="标书正文"/>
    <w:basedOn w:val="1"/>
    <w:autoRedefine/>
    <w:qFormat/>
    <w:uiPriority w:val="0"/>
    <w:pPr>
      <w:spacing w:line="360" w:lineRule="auto"/>
      <w:ind w:firstLine="497" w:firstLineChars="207"/>
    </w:pPr>
    <w:rPr>
      <w:sz w:val="24"/>
      <w:szCs w:val="20"/>
    </w:rPr>
  </w:style>
  <w:style w:type="character" w:customStyle="1" w:styleId="34">
    <w:name w:val="NormalCharacter"/>
    <w:autoRedefine/>
    <w:semiHidden/>
    <w:qFormat/>
    <w:uiPriority w:val="0"/>
  </w:style>
  <w:style w:type="paragraph" w:styleId="35">
    <w:name w:val="No Spacing"/>
    <w:qFormat/>
    <w:uiPriority w:val="1"/>
    <w:pPr>
      <w:widowControl w:val="0"/>
      <w:jc w:val="both"/>
    </w:pPr>
    <w:rPr>
      <w:rFonts w:eastAsia="思源黑体 CN Light" w:asciiTheme="minorHAnsi" w:hAnsiTheme="minorHAnsi" w:cstheme="minorBidi"/>
      <w:kern w:val="2"/>
      <w:sz w:val="24"/>
      <w:szCs w:val="22"/>
      <w:lang w:val="en-US" w:eastAsia="zh-CN" w:bidi="ar-SA"/>
    </w:rPr>
  </w:style>
  <w:style w:type="character" w:customStyle="1" w:styleId="36">
    <w:name w:val="font51"/>
    <w:basedOn w:val="19"/>
    <w:qFormat/>
    <w:uiPriority w:val="0"/>
    <w:rPr>
      <w:rFonts w:hint="eastAsia" w:ascii="宋体" w:hAnsi="宋体" w:eastAsia="宋体" w:cs="宋体"/>
      <w:color w:val="000000"/>
      <w:sz w:val="20"/>
      <w:szCs w:val="20"/>
      <w:u w:val="none"/>
    </w:rPr>
  </w:style>
  <w:style w:type="character" w:customStyle="1" w:styleId="37">
    <w:name w:val="font91"/>
    <w:basedOn w:val="19"/>
    <w:qFormat/>
    <w:uiPriority w:val="0"/>
    <w:rPr>
      <w:rFonts w:hint="default" w:ascii="Times New Roman" w:hAnsi="Times New Roman" w:cs="Times New Roman"/>
      <w:color w:val="000000"/>
      <w:sz w:val="20"/>
      <w:szCs w:val="20"/>
      <w:u w:val="none"/>
    </w:rPr>
  </w:style>
  <w:style w:type="paragraph" w:customStyle="1" w:styleId="38">
    <w:name w:val="_Style 27"/>
    <w:basedOn w:val="1"/>
    <w:next w:val="30"/>
    <w:qFormat/>
    <w:uiPriority w:val="34"/>
    <w:pPr>
      <w:widowControl/>
      <w:ind w:firstLine="420" w:firstLineChars="20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4011</Words>
  <Characters>4427</Characters>
  <TotalTime>22</TotalTime>
  <ScaleCrop>false</ScaleCrop>
  <LinksUpToDate>false</LinksUpToDate>
  <CharactersWithSpaces>4506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2024-04-23T01:39:00Z</dcterms:created>
  <dc:creator>Administrator</dc:creator>
  <cp:lastModifiedBy>WPS_1704449864</cp:lastModifiedBy>
  <dcterms:modified xsi:type="dcterms:W3CDTF">2025-01-26T06:18:47Z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2024-04-22T17:39:26Z</vt:filetime>
  </property>
  <property fmtid="{D5CDD505-2E9C-101B-9397-08002B2CF9AE}" pid="4" name="UsrData">
    <vt:lpwstr>6626303b6ed6f9001f5f3b46wl</vt:lpwstr>
  </property>
  <property fmtid="{D5CDD505-2E9C-101B-9397-08002B2CF9AE}" pid="5" name="KSOProductBuildVer">
    <vt:lpwstr>2052-12.1.0.19770</vt:lpwstr>
  </property>
  <property fmtid="{D5CDD505-2E9C-101B-9397-08002B2CF9AE}" pid="6" name="ICV">
    <vt:lpwstr>F1B8DD45A60948B49F90376C3A8B7EAC_13</vt:lpwstr>
  </property>
  <property fmtid="{D5CDD505-2E9C-101B-9397-08002B2CF9AE}" pid="7" name="KSOTemplateDocerSaveRecord">
    <vt:lpwstr>eyJoZGlkIjoiZDQ3ODg0NmMyODYxODZlMWVhYzBlYTZhNjkxNGJlOTAiLCJ1c2VySWQiOiIxNTczMjE1MDY0In0=</vt:lpwstr>
  </property>
</Properties>
</file>