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方正小标宋_GBK" w:hAnsi="方正小标宋_GBK" w:eastAsia="方正小标宋_GBK" w:cs="方正小标宋_GBK"/>
          <w:bCs/>
          <w:sz w:val="72"/>
          <w:szCs w:val="72"/>
        </w:rPr>
      </w:pPr>
    </w:p>
    <w:p>
      <w:pPr>
        <w:jc w:val="center"/>
        <w:rPr>
          <w:rFonts w:ascii="方正仿宋_GBK" w:hAnsi="方正仿宋_GBK" w:eastAsia="方正仿宋_GBK" w:cs="方正仿宋_GBK"/>
        </w:rPr>
      </w:pPr>
      <w:r>
        <w:rPr>
          <w:rFonts w:hint="eastAsia" w:ascii="方正小标宋_GBK" w:hAnsi="方正小标宋_GBK" w:eastAsia="方正小标宋_GBK" w:cs="方正小标宋_GBK"/>
          <w:bCs/>
          <w:sz w:val="72"/>
          <w:szCs w:val="72"/>
        </w:rPr>
        <w:t>单一来源采购文件</w:t>
      </w:r>
    </w:p>
    <w:p>
      <w:pPr>
        <w:jc w:val="center"/>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（服务类）</w:t>
      </w:r>
    </w:p>
    <w:p>
      <w:pPr>
        <w:pStyle w:val="45"/>
        <w:ind w:left="1925" w:leftChars="152" w:hanging="1606" w:hangingChars="500"/>
        <w:jc w:val="both"/>
        <w:rPr>
          <w:rFonts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项目名称：和硕县人民医院关于“HIS、LIS、EMR”</w:t>
      </w:r>
    </w:p>
    <w:p>
      <w:pPr>
        <w:pStyle w:val="45"/>
        <w:ind w:left="1915" w:leftChars="912" w:firstLine="0"/>
        <w:rPr>
          <w:rFonts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系统升级服务项目</w:t>
      </w:r>
    </w:p>
    <w:p>
      <w:pPr>
        <w:pStyle w:val="45"/>
        <w:ind w:firstLine="321" w:firstLineChars="100"/>
        <w:jc w:val="both"/>
        <w:rPr>
          <w:rFonts w:ascii="微软雅黑" w:hAnsi="微软雅黑" w:eastAsia="微软雅黑" w:cs="微软雅黑"/>
          <w:sz w:val="32"/>
          <w:szCs w:val="32"/>
        </w:rPr>
      </w:pPr>
      <w:r>
        <w:rPr>
          <w:rFonts w:hint="eastAsia" w:ascii="方正小标宋_GBK" w:hAnsi="方正小标宋_GBK" w:eastAsia="方正小标宋_GBK" w:cs="方正小标宋_GBK"/>
          <w:b/>
          <w:bCs/>
          <w:sz w:val="32"/>
        </w:rPr>
        <w:t>项目编号：</w:t>
      </w:r>
      <w:r>
        <w:rPr>
          <w:rFonts w:hint="eastAsia" w:ascii="微软雅黑" w:hAnsi="微软雅黑" w:eastAsia="微软雅黑" w:cs="微软雅黑"/>
          <w:b/>
          <w:bCs/>
          <w:sz w:val="32"/>
          <w:szCs w:val="32"/>
        </w:rPr>
        <w:t>BZZZZX（DY）2025-001号</w:t>
      </w:r>
    </w:p>
    <w:p>
      <w:pPr>
        <w:pStyle w:val="45"/>
        <w:ind w:firstLine="520" w:firstLineChars="100"/>
        <w:jc w:val="both"/>
        <w:rPr>
          <w:rFonts w:ascii="方正小标宋_GBK" w:hAnsi="方正小标宋_GBK" w:eastAsia="方正小标宋_GBK" w:cs="方正小标宋_GBK"/>
          <w:bCs/>
          <w:sz w:val="52"/>
          <w:szCs w:val="52"/>
        </w:rPr>
      </w:pPr>
    </w:p>
    <w:p/>
    <w:tbl>
      <w:tblPr>
        <w:tblStyle w:val="25"/>
        <w:tblpPr w:leftFromText="180" w:rightFromText="180" w:vertAnchor="page" w:horzAnchor="page" w:tblpX="1900" w:tblpY="8460"/>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695" w:type="dxa"/>
            <w:noWrap/>
            <w:vAlign w:val="center"/>
          </w:tcPr>
          <w:p>
            <w:pPr>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采购人</w:t>
            </w:r>
          </w:p>
          <w:p>
            <w:pPr>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审核意见</w:t>
            </w:r>
          </w:p>
        </w:tc>
        <w:tc>
          <w:tcPr>
            <w:tcW w:w="7215" w:type="dxa"/>
            <w:noWrap/>
          </w:tcPr>
          <w:p>
            <w:pP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　　　　　　　　　　　　　　　　　　　</w:t>
            </w:r>
          </w:p>
          <w:p>
            <w:pPr>
              <w:rPr>
                <w:rFonts w:ascii="方正小标宋_GBK" w:hAnsi="方正小标宋_GBK" w:eastAsia="方正小标宋_GBK" w:cs="方正小标宋_GBK"/>
                <w:sz w:val="28"/>
                <w:szCs w:val="28"/>
              </w:rPr>
            </w:pPr>
          </w:p>
          <w:p>
            <w:pPr>
              <w:ind w:firstLine="4620" w:firstLineChars="1650"/>
              <w:rPr>
                <w:rFonts w:ascii="方正小标宋_GBK" w:hAnsi="方正小标宋_GBK" w:eastAsia="方正小标宋_GBK" w:cs="方正小标宋_GBK"/>
                <w:sz w:val="28"/>
                <w:szCs w:val="28"/>
              </w:rPr>
            </w:pPr>
          </w:p>
          <w:p>
            <w:pPr>
              <w:ind w:firstLine="3920" w:firstLineChars="1400"/>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采购人签章：</w:t>
            </w:r>
          </w:p>
          <w:p>
            <w:pP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　　　　　　　　　　　　　　　　      年  月  日</w:t>
            </w:r>
          </w:p>
        </w:tc>
      </w:tr>
    </w:tbl>
    <w:p>
      <w:pPr>
        <w:pStyle w:val="45"/>
        <w:spacing w:before="0" w:after="0"/>
        <w:ind w:firstLine="0"/>
        <w:rPr>
          <w:rFonts w:ascii="方正小标宋_GBK" w:hAnsi="方正小标宋_GBK" w:eastAsia="方正小标宋_GBK" w:cs="方正小标宋_GBK"/>
          <w:b/>
          <w:bCs/>
          <w:sz w:val="32"/>
        </w:rPr>
      </w:pPr>
    </w:p>
    <w:p>
      <w:pPr>
        <w:pStyle w:val="45"/>
        <w:spacing w:before="0" w:after="0"/>
        <w:ind w:firstLine="1054" w:firstLineChars="328"/>
        <w:rPr>
          <w:rFonts w:ascii="方正小标宋_GBK" w:hAnsi="方正小标宋_GBK" w:eastAsia="方正小标宋_GBK" w:cs="方正小标宋_GBK"/>
          <w:b/>
          <w:bCs/>
          <w:sz w:val="32"/>
        </w:rPr>
      </w:pPr>
    </w:p>
    <w:p>
      <w:pPr>
        <w:pStyle w:val="45"/>
        <w:spacing w:before="0" w:after="0"/>
        <w:ind w:firstLine="1054" w:firstLineChars="328"/>
        <w:rPr>
          <w:rFonts w:ascii="方正小标宋_GBK" w:hAnsi="方正小标宋_GBK" w:eastAsia="方正小标宋_GBK" w:cs="方正小标宋_GBK"/>
          <w:b/>
          <w:bCs/>
          <w:sz w:val="32"/>
        </w:rPr>
      </w:pPr>
    </w:p>
    <w:p>
      <w:pPr>
        <w:pStyle w:val="45"/>
        <w:spacing w:before="0" w:after="0"/>
        <w:ind w:firstLine="0"/>
        <w:jc w:val="center"/>
        <w:rPr>
          <w:rFonts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巴音郭楞蒙古自治州政务服务和公共资源交易中心</w:t>
      </w:r>
    </w:p>
    <w:p>
      <w:pPr>
        <w:pStyle w:val="45"/>
        <w:spacing w:before="0" w:after="0"/>
        <w:ind w:firstLine="0"/>
        <w:jc w:val="center"/>
        <w:rPr>
          <w:rFonts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2025年2月17日</w:t>
      </w:r>
    </w:p>
    <w:p>
      <w:pPr>
        <w:pStyle w:val="24"/>
        <w:ind w:firstLine="321"/>
        <w:jc w:val="center"/>
        <w:rPr>
          <w:rFonts w:ascii="方正仿宋_GBK" w:hAnsi="方正仿宋_GBK" w:eastAsia="方正仿宋_GBK" w:cs="方正仿宋_GBK"/>
          <w:b/>
          <w:color w:val="000000"/>
          <w:sz w:val="32"/>
        </w:rPr>
      </w:pPr>
    </w:p>
    <w:p>
      <w:pPr>
        <w:widowControl/>
        <w:spacing w:beforeAutospacing="1" w:afterAutospacing="1"/>
        <w:jc w:val="center"/>
        <w:outlineLvl w:val="1"/>
        <w:rPr>
          <w:rFonts w:ascii="黑体" w:hAnsi="宋体" w:eastAsia="黑体" w:cs="黑体"/>
          <w:kern w:val="0"/>
          <w:sz w:val="44"/>
          <w:szCs w:val="44"/>
        </w:rPr>
      </w:pPr>
      <w:bookmarkStart w:id="0" w:name="_Toc24858"/>
      <w:bookmarkStart w:id="1" w:name="_Toc21135"/>
      <w:bookmarkStart w:id="2" w:name="_Toc32397"/>
      <w:bookmarkStart w:id="3" w:name="_Toc31450"/>
      <w:bookmarkStart w:id="4" w:name="_Toc8982"/>
    </w:p>
    <w:p>
      <w:pPr>
        <w:pStyle w:val="2"/>
        <w:rPr>
          <w:rFonts w:ascii="黑体" w:hAnsi="宋体" w:eastAsia="黑体" w:cs="黑体"/>
          <w:sz w:val="44"/>
          <w:szCs w:val="44"/>
          <w:lang w:val="en-US"/>
        </w:rPr>
      </w:pPr>
    </w:p>
    <w:p>
      <w:pPr>
        <w:pStyle w:val="31"/>
        <w:ind w:firstLine="480"/>
      </w:pPr>
    </w:p>
    <w:p>
      <w:pPr>
        <w:widowControl/>
        <w:spacing w:beforeAutospacing="1" w:afterAutospacing="1"/>
        <w:jc w:val="center"/>
        <w:outlineLvl w:val="1"/>
        <w:rPr>
          <w:rFonts w:ascii="黑体" w:hAnsi="宋体" w:eastAsia="黑体" w:cs="黑体"/>
          <w:kern w:val="0"/>
          <w:sz w:val="44"/>
          <w:szCs w:val="44"/>
        </w:rPr>
      </w:pPr>
      <w:r>
        <w:rPr>
          <w:rFonts w:hint="eastAsia" w:ascii="黑体" w:hAnsi="宋体" w:eastAsia="黑体" w:cs="黑体"/>
          <w:kern w:val="0"/>
          <w:sz w:val="44"/>
          <w:szCs w:val="44"/>
        </w:rPr>
        <w:t>单一来源文件信息</w:t>
      </w:r>
    </w:p>
    <w:p>
      <w:pPr>
        <w:pStyle w:val="2"/>
      </w:pPr>
    </w:p>
    <w:tbl>
      <w:tblPr>
        <w:tblStyle w:val="25"/>
        <w:tblW w:w="794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2743"/>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sz w:val="30"/>
                <w:szCs w:val="30"/>
              </w:rPr>
            </w:pPr>
            <w:r>
              <w:rPr>
                <w:rFonts w:ascii="宋体" w:hAnsi="宋体" w:cs="宋体"/>
                <w:kern w:val="0"/>
                <w:sz w:val="30"/>
                <w:szCs w:val="30"/>
              </w:rPr>
              <w:t>项目编号：</w:t>
            </w:r>
          </w:p>
        </w:tc>
        <w:tc>
          <w:tcPr>
            <w:tcW w:w="5220" w:type="dxa"/>
            <w:noWrap/>
            <w:vAlign w:val="center"/>
          </w:tcPr>
          <w:p>
            <w:pPr>
              <w:widowControl/>
              <w:jc w:val="center"/>
              <w:rPr>
                <w:rFonts w:ascii="宋体" w:hAnsi="宋体" w:cs="宋体"/>
                <w:sz w:val="30"/>
                <w:szCs w:val="30"/>
              </w:rPr>
            </w:pPr>
            <w:r>
              <w:rPr>
                <w:rFonts w:hint="eastAsia" w:ascii="宋体" w:hAnsi="宋体" w:cs="宋体"/>
                <w:color w:val="FF0000"/>
                <w:sz w:val="30"/>
                <w:szCs w:val="30"/>
              </w:rPr>
              <w:t>BZZZZX(DY)2025-001号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sz w:val="30"/>
                <w:szCs w:val="30"/>
              </w:rPr>
            </w:pPr>
            <w:r>
              <w:rPr>
                <w:rFonts w:ascii="宋体" w:hAnsi="宋体" w:cs="宋体"/>
                <w:kern w:val="0"/>
                <w:sz w:val="30"/>
                <w:szCs w:val="30"/>
              </w:rPr>
              <w:t>项目名称：</w:t>
            </w:r>
          </w:p>
        </w:tc>
        <w:tc>
          <w:tcPr>
            <w:tcW w:w="5220" w:type="dxa"/>
            <w:noWrap/>
            <w:vAlign w:val="center"/>
          </w:tcPr>
          <w:p>
            <w:pPr>
              <w:pStyle w:val="45"/>
              <w:ind w:firstLine="0"/>
              <w:jc w:val="both"/>
              <w:rPr>
                <w:rFonts w:ascii="宋体" w:hAnsi="宋体" w:cs="宋体"/>
                <w:sz w:val="30"/>
                <w:szCs w:val="30"/>
              </w:rPr>
            </w:pPr>
            <w:r>
              <w:rPr>
                <w:rFonts w:hint="eastAsia" w:ascii="宋体" w:hAnsi="宋体" w:cs="宋体"/>
                <w:sz w:val="30"/>
                <w:szCs w:val="30"/>
              </w:rPr>
              <w:t>和硕县人民医院关于“HIS、LIS、EMR”系统升级服务项目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sz w:val="30"/>
                <w:szCs w:val="30"/>
              </w:rPr>
            </w:pPr>
            <w:r>
              <w:rPr>
                <w:rFonts w:hint="eastAsia" w:ascii="宋体" w:hAnsi="宋体" w:cs="宋体"/>
                <w:kern w:val="0"/>
                <w:sz w:val="30"/>
                <w:szCs w:val="30"/>
              </w:rPr>
              <w:t>标项</w:t>
            </w:r>
            <w:r>
              <w:rPr>
                <w:rFonts w:ascii="宋体" w:hAnsi="宋体" w:cs="宋体"/>
                <w:kern w:val="0"/>
                <w:sz w:val="30"/>
                <w:szCs w:val="30"/>
              </w:rPr>
              <w:t>：</w:t>
            </w:r>
          </w:p>
        </w:tc>
        <w:tc>
          <w:tcPr>
            <w:tcW w:w="5220" w:type="dxa"/>
            <w:noWrap/>
            <w:vAlign w:val="center"/>
          </w:tcPr>
          <w:p>
            <w:pPr>
              <w:widowControl/>
              <w:jc w:val="center"/>
              <w:rPr>
                <w:rFonts w:ascii="宋体" w:hAnsi="宋体" w:cs="宋体"/>
                <w:sz w:val="30"/>
                <w:szCs w:val="30"/>
              </w:rPr>
            </w:pPr>
            <w:r>
              <w:rPr>
                <w:rFonts w:hint="eastAsia" w:ascii="宋体" w:hAnsi="宋体" w:cs="宋体"/>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blCellSpacing w:w="0" w:type="dxa"/>
          <w:jc w:val="center"/>
        </w:trPr>
        <w:tc>
          <w:tcPr>
            <w:tcW w:w="2723" w:type="dxa"/>
            <w:noWrap/>
            <w:vAlign w:val="center"/>
          </w:tcPr>
          <w:p>
            <w:pPr>
              <w:widowControl/>
              <w:jc w:val="center"/>
              <w:rPr>
                <w:rFonts w:ascii="宋体" w:hAnsi="宋体" w:cs="宋体"/>
                <w:kern w:val="0"/>
                <w:sz w:val="30"/>
                <w:szCs w:val="30"/>
              </w:rPr>
            </w:pPr>
            <w:r>
              <w:rPr>
                <w:rFonts w:hint="eastAsia" w:ascii="宋体" w:hAnsi="宋体" w:cs="宋体"/>
                <w:kern w:val="0"/>
                <w:sz w:val="30"/>
                <w:szCs w:val="30"/>
              </w:rPr>
              <w:t>采购单位：</w:t>
            </w:r>
          </w:p>
        </w:tc>
        <w:tc>
          <w:tcPr>
            <w:tcW w:w="5220" w:type="dxa"/>
            <w:noWrap/>
            <w:vAlign w:val="center"/>
          </w:tcPr>
          <w:p>
            <w:pPr>
              <w:widowControl/>
              <w:jc w:val="center"/>
              <w:rPr>
                <w:rFonts w:ascii="宋体" w:hAnsi="宋体" w:cs="宋体"/>
                <w:kern w:val="0"/>
                <w:sz w:val="30"/>
                <w:szCs w:val="30"/>
              </w:rPr>
            </w:pPr>
            <w:r>
              <w:rPr>
                <w:rFonts w:hint="eastAsia" w:ascii="宋体" w:hAnsi="宋体" w:cs="宋体"/>
                <w:kern w:val="0"/>
                <w:sz w:val="30"/>
                <w:szCs w:val="30"/>
              </w:rPr>
              <w:t>和硕县人民医院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sz w:val="30"/>
                <w:szCs w:val="30"/>
              </w:rPr>
            </w:pPr>
            <w:r>
              <w:rPr>
                <w:rFonts w:ascii="宋体" w:hAnsi="宋体" w:cs="宋体"/>
                <w:kern w:val="0"/>
                <w:sz w:val="30"/>
                <w:szCs w:val="30"/>
              </w:rPr>
              <w:t>项目类型：</w:t>
            </w:r>
          </w:p>
        </w:tc>
        <w:tc>
          <w:tcPr>
            <w:tcW w:w="5220" w:type="dxa"/>
            <w:noWrap/>
            <w:vAlign w:val="center"/>
          </w:tcPr>
          <w:p>
            <w:pPr>
              <w:widowControl/>
              <w:jc w:val="center"/>
              <w:rPr>
                <w:rFonts w:ascii="宋体" w:hAnsi="宋体" w:cs="宋体"/>
                <w:sz w:val="30"/>
                <w:szCs w:val="30"/>
              </w:rPr>
            </w:pPr>
            <w:r>
              <w:rPr>
                <w:rFonts w:hint="eastAsia" w:ascii="宋体" w:hAnsi="宋体" w:cs="宋体"/>
                <w:kern w:val="0"/>
                <w:sz w:val="30"/>
                <w:szCs w:val="3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rFonts w:ascii="宋体" w:hAnsi="宋体" w:cs="宋体"/>
                <w:kern w:val="0"/>
                <w:sz w:val="30"/>
                <w:szCs w:val="30"/>
              </w:rPr>
            </w:pPr>
            <w:r>
              <w:rPr>
                <w:rFonts w:hint="eastAsia" w:ascii="宋体" w:hAnsi="宋体" w:cs="宋体"/>
                <w:kern w:val="0"/>
                <w:sz w:val="30"/>
                <w:szCs w:val="30"/>
              </w:rPr>
              <w:t>预算金额：</w:t>
            </w:r>
          </w:p>
        </w:tc>
        <w:tc>
          <w:tcPr>
            <w:tcW w:w="5220" w:type="dxa"/>
            <w:noWrap/>
            <w:vAlign w:val="center"/>
          </w:tcPr>
          <w:p>
            <w:pPr>
              <w:widowControl/>
              <w:jc w:val="center"/>
              <w:rPr>
                <w:rFonts w:ascii="宋体" w:hAnsi="宋体" w:cs="宋体"/>
                <w:kern w:val="0"/>
                <w:sz w:val="30"/>
                <w:szCs w:val="30"/>
              </w:rPr>
            </w:pPr>
            <w:r>
              <w:rPr>
                <w:rFonts w:hint="eastAsia" w:ascii="宋体" w:hAnsi="宋体" w:cs="宋体"/>
                <w:color w:val="FF0000"/>
                <w:kern w:val="0"/>
                <w:sz w:val="30"/>
                <w:szCs w:val="30"/>
              </w:rPr>
              <w:t>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sz w:val="30"/>
                <w:szCs w:val="30"/>
              </w:rPr>
            </w:pPr>
            <w:r>
              <w:rPr>
                <w:rFonts w:ascii="宋体" w:hAnsi="宋体" w:cs="宋体"/>
                <w:kern w:val="0"/>
                <w:sz w:val="30"/>
                <w:szCs w:val="30"/>
              </w:rPr>
              <w:t>采购方式：</w:t>
            </w:r>
          </w:p>
        </w:tc>
        <w:tc>
          <w:tcPr>
            <w:tcW w:w="5220" w:type="dxa"/>
            <w:noWrap/>
            <w:vAlign w:val="center"/>
          </w:tcPr>
          <w:p>
            <w:pPr>
              <w:widowControl/>
              <w:jc w:val="center"/>
              <w:rPr>
                <w:rFonts w:ascii="宋体" w:hAnsi="宋体" w:cs="宋体"/>
                <w:sz w:val="30"/>
                <w:szCs w:val="30"/>
              </w:rPr>
            </w:pPr>
            <w:r>
              <w:rPr>
                <w:rFonts w:hint="eastAsia" w:ascii="宋体" w:hAnsi="宋体" w:cs="宋体"/>
                <w:sz w:val="30"/>
                <w:szCs w:val="30"/>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sz w:val="30"/>
                <w:szCs w:val="30"/>
              </w:rPr>
            </w:pPr>
            <w:r>
              <w:rPr>
                <w:rFonts w:ascii="宋体" w:hAnsi="宋体" w:cs="宋体"/>
                <w:kern w:val="0"/>
                <w:sz w:val="30"/>
                <w:szCs w:val="30"/>
              </w:rPr>
              <w:t>货币类型：</w:t>
            </w:r>
          </w:p>
        </w:tc>
        <w:tc>
          <w:tcPr>
            <w:tcW w:w="5220" w:type="dxa"/>
            <w:noWrap/>
            <w:vAlign w:val="center"/>
          </w:tcPr>
          <w:p>
            <w:pPr>
              <w:widowControl/>
              <w:jc w:val="center"/>
              <w:rPr>
                <w:rFonts w:ascii="宋体" w:hAnsi="宋体" w:cs="宋体"/>
                <w:sz w:val="30"/>
                <w:szCs w:val="30"/>
              </w:rPr>
            </w:pPr>
            <w:r>
              <w:rPr>
                <w:rFonts w:hint="eastAsia" w:ascii="宋体" w:hAnsi="宋体" w:cs="宋体"/>
                <w:kern w:val="0"/>
                <w:sz w:val="30"/>
                <w:szCs w:val="3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noWrap/>
            <w:vAlign w:val="center"/>
          </w:tcPr>
          <w:p>
            <w:pPr>
              <w:widowControl/>
              <w:jc w:val="center"/>
              <w:rPr>
                <w:sz w:val="30"/>
                <w:szCs w:val="30"/>
              </w:rPr>
            </w:pPr>
            <w:r>
              <w:rPr>
                <w:rFonts w:ascii="宋体" w:hAnsi="宋体" w:cs="宋体"/>
                <w:kern w:val="0"/>
                <w:sz w:val="30"/>
                <w:szCs w:val="30"/>
              </w:rPr>
              <w:t>评标方法：</w:t>
            </w:r>
          </w:p>
        </w:tc>
        <w:tc>
          <w:tcPr>
            <w:tcW w:w="5220" w:type="dxa"/>
            <w:noWrap/>
            <w:vAlign w:val="center"/>
          </w:tcPr>
          <w:p>
            <w:pPr>
              <w:widowControl/>
              <w:jc w:val="center"/>
              <w:rPr>
                <w:rFonts w:ascii="宋体" w:hAnsi="宋体" w:cs="宋体"/>
                <w:sz w:val="30"/>
                <w:szCs w:val="30"/>
              </w:rPr>
            </w:pPr>
            <w:r>
              <w:rPr>
                <w:rFonts w:hint="eastAsia" w:ascii="宋体" w:hAnsi="宋体" w:cs="宋体"/>
                <w:sz w:val="30"/>
                <w:szCs w:val="30"/>
              </w:rPr>
              <w:t>最低评标价法</w:t>
            </w:r>
          </w:p>
        </w:tc>
      </w:tr>
    </w:tbl>
    <w:p>
      <w:pPr>
        <w:jc w:val="center"/>
        <w:rPr>
          <w:rFonts w:ascii="方正仿宋_GBK" w:hAnsi="方正仿宋_GBK" w:eastAsia="方正仿宋_GBK" w:cs="方正仿宋_GBK"/>
          <w:b/>
          <w:bCs/>
          <w:sz w:val="32"/>
          <w:szCs w:val="32"/>
        </w:rPr>
      </w:pPr>
    </w:p>
    <w:bookmarkEnd w:id="0"/>
    <w:bookmarkEnd w:id="1"/>
    <w:bookmarkEnd w:id="2"/>
    <w:bookmarkEnd w:id="3"/>
    <w:bookmarkEnd w:id="4"/>
    <w:p>
      <w:pPr>
        <w:pStyle w:val="45"/>
        <w:ind w:firstLine="0"/>
        <w:jc w:val="both"/>
        <w:rPr>
          <w:rFonts w:ascii="方正小标宋_GBK" w:hAnsi="方正小标宋_GBK" w:eastAsia="方正小标宋_GBK" w:cs="方正小标宋_GBK"/>
          <w:b/>
          <w:bCs/>
          <w:sz w:val="32"/>
        </w:rPr>
      </w:pPr>
    </w:p>
    <w:p>
      <w:pPr>
        <w:spacing w:line="360" w:lineRule="auto"/>
        <w:jc w:val="center"/>
        <w:rPr>
          <w:rFonts w:ascii="仿宋" w:hAnsi="仿宋" w:eastAsia="仿宋" w:cs="仿宋"/>
          <w:b/>
          <w:sz w:val="32"/>
          <w:szCs w:val="32"/>
        </w:rPr>
      </w:pPr>
    </w:p>
    <w:p>
      <w:pPr>
        <w:ind w:firstLine="3614" w:firstLineChars="1000"/>
        <w:rPr>
          <w:rFonts w:ascii="宋体" w:hAnsi="宋体" w:eastAsia="黑体"/>
          <w:b/>
          <w:bCs/>
          <w:color w:val="FF0000"/>
          <w:kern w:val="44"/>
          <w:sz w:val="36"/>
          <w:szCs w:val="36"/>
        </w:rPr>
      </w:pPr>
    </w:p>
    <w:p>
      <w:pPr>
        <w:ind w:firstLine="3614" w:firstLineChars="1000"/>
        <w:rPr>
          <w:rFonts w:ascii="宋体" w:hAnsi="宋体"/>
          <w:color w:val="FF0000"/>
        </w:rPr>
      </w:pPr>
      <w:r>
        <w:rPr>
          <w:rFonts w:hint="eastAsia" w:ascii="宋体" w:hAnsi="宋体" w:eastAsia="黑体"/>
          <w:b/>
          <w:bCs/>
          <w:color w:val="FF0000"/>
          <w:kern w:val="44"/>
          <w:sz w:val="36"/>
          <w:szCs w:val="36"/>
        </w:rPr>
        <w:t>警示条款</w:t>
      </w:r>
    </w:p>
    <w:p>
      <w:pPr>
        <w:ind w:firstLine="402" w:firstLineChars="200"/>
        <w:rPr>
          <w:rFonts w:ascii="宋体" w:hAnsi="宋体"/>
          <w:b/>
          <w:bCs/>
          <w:color w:val="FF0000"/>
          <w:sz w:val="20"/>
        </w:rPr>
      </w:pPr>
    </w:p>
    <w:p>
      <w:pPr>
        <w:ind w:firstLine="402" w:firstLineChars="200"/>
        <w:rPr>
          <w:rFonts w:ascii="宋体" w:hAnsi="宋体"/>
          <w:b/>
          <w:bCs/>
          <w:color w:val="FF0000"/>
          <w:sz w:val="20"/>
        </w:rPr>
      </w:pPr>
      <w:r>
        <w:rPr>
          <w:rFonts w:hint="eastAsia" w:ascii="宋体" w:hAnsi="宋体"/>
          <w:b/>
          <w:bCs/>
          <w:color w:val="FF0000"/>
          <w:sz w:val="20"/>
        </w:rPr>
        <w:t>一、 供应商在本项目政府采购中，有下列行为之一的，报财政主管部门记入供应商诚信档案，在一至三年内禁止参加政府采购活动；有违法所得的，并处没收违法所得；情节严重的，由工商行政管理机关依法吊销其营业执照；给他人造成损失的，依法承担赔偿责任；构成犯罪的，依法追究刑事责任：</w:t>
      </w:r>
    </w:p>
    <w:p>
      <w:pPr>
        <w:ind w:firstLine="400" w:firstLineChars="200"/>
        <w:rPr>
          <w:rFonts w:ascii="宋体" w:hAnsi="宋体"/>
          <w:color w:val="FF0000"/>
          <w:sz w:val="20"/>
        </w:rPr>
      </w:pPr>
      <w:r>
        <w:rPr>
          <w:rFonts w:hint="eastAsia" w:ascii="宋体" w:hAnsi="宋体"/>
          <w:color w:val="FF0000"/>
          <w:sz w:val="20"/>
        </w:rPr>
        <w:t>（一）在采购活动中应当回避而未回避的；</w:t>
      </w:r>
    </w:p>
    <w:p>
      <w:pPr>
        <w:ind w:firstLine="400" w:firstLineChars="200"/>
        <w:rPr>
          <w:rFonts w:ascii="宋体" w:hAnsi="宋体"/>
          <w:color w:val="FF0000"/>
          <w:sz w:val="20"/>
        </w:rPr>
      </w:pPr>
      <w:r>
        <w:rPr>
          <w:rFonts w:hint="eastAsia" w:ascii="宋体" w:hAnsi="宋体"/>
          <w:color w:val="FF0000"/>
          <w:sz w:val="20"/>
        </w:rPr>
        <w:t>（二）未按本条例规定签订、履行采购合同，造成严重后果的；</w:t>
      </w:r>
    </w:p>
    <w:p>
      <w:pPr>
        <w:ind w:firstLine="400" w:firstLineChars="200"/>
        <w:rPr>
          <w:rFonts w:ascii="宋体" w:hAnsi="宋体"/>
          <w:color w:val="FF0000"/>
          <w:sz w:val="20"/>
        </w:rPr>
      </w:pPr>
      <w:r>
        <w:rPr>
          <w:rFonts w:hint="eastAsia" w:ascii="宋体" w:hAnsi="宋体"/>
          <w:color w:val="FF0000"/>
          <w:sz w:val="20"/>
        </w:rPr>
        <w:t>（三）隐瞒真实情况，提供虚假资料的；</w:t>
      </w:r>
    </w:p>
    <w:p>
      <w:pPr>
        <w:ind w:firstLine="800" w:firstLineChars="400"/>
        <w:rPr>
          <w:rFonts w:ascii="宋体" w:hAnsi="宋体"/>
          <w:color w:val="FF0000"/>
          <w:sz w:val="20"/>
        </w:rPr>
      </w:pPr>
      <w:r>
        <w:rPr>
          <w:rFonts w:hint="eastAsia" w:ascii="宋体" w:hAnsi="宋体"/>
          <w:color w:val="FF0000"/>
          <w:sz w:val="20"/>
        </w:rPr>
        <w:t>1.通过转让或者租借等方式从其他单位获取资格或者资质证书投标的；</w:t>
      </w:r>
    </w:p>
    <w:p>
      <w:pPr>
        <w:ind w:firstLine="800" w:firstLineChars="400"/>
        <w:rPr>
          <w:rFonts w:ascii="宋体" w:hAnsi="宋体"/>
          <w:color w:val="FF0000"/>
          <w:sz w:val="20"/>
        </w:rPr>
      </w:pPr>
      <w:r>
        <w:rPr>
          <w:rFonts w:hint="eastAsia" w:ascii="宋体" w:hAnsi="宋体"/>
          <w:color w:val="FF0000"/>
          <w:sz w:val="20"/>
        </w:rPr>
        <w:t>2.由其他单位或者其他单位负责人在投标供应商编制的投标文件上加盖印章或者签字的；</w:t>
      </w:r>
    </w:p>
    <w:p>
      <w:pPr>
        <w:ind w:left="399" w:leftChars="190" w:firstLine="400" w:firstLineChars="200"/>
        <w:rPr>
          <w:rFonts w:ascii="宋体" w:hAnsi="宋体"/>
          <w:color w:val="FF0000"/>
          <w:sz w:val="20"/>
        </w:rPr>
      </w:pPr>
      <w:r>
        <w:rPr>
          <w:rFonts w:hint="eastAsia" w:ascii="宋体" w:hAnsi="宋体"/>
          <w:color w:val="FF0000"/>
          <w:sz w:val="20"/>
        </w:rPr>
        <w:t>3.投标供应商的项目负责人或者主要技术人员不是本单位人员的，不能提供项目负责人或者主要技术人员的劳动合同、社会保险等劳动关系证明材</w:t>
      </w:r>
    </w:p>
    <w:p>
      <w:pPr>
        <w:ind w:left="399" w:leftChars="190" w:firstLine="400" w:firstLineChars="200"/>
        <w:rPr>
          <w:rFonts w:ascii="宋体" w:hAnsi="宋体"/>
          <w:color w:val="FF0000"/>
          <w:sz w:val="20"/>
        </w:rPr>
      </w:pPr>
      <w:r>
        <w:rPr>
          <w:rFonts w:hint="eastAsia" w:ascii="宋体" w:hAnsi="宋体"/>
          <w:color w:val="FF0000"/>
          <w:sz w:val="20"/>
        </w:rPr>
        <w:t>料的。</w:t>
      </w:r>
    </w:p>
    <w:p>
      <w:pPr>
        <w:ind w:firstLine="800" w:firstLineChars="400"/>
        <w:rPr>
          <w:rFonts w:ascii="宋体" w:hAnsi="宋体"/>
          <w:color w:val="FF0000"/>
          <w:sz w:val="20"/>
        </w:rPr>
      </w:pPr>
      <w:r>
        <w:rPr>
          <w:rFonts w:hint="eastAsia" w:ascii="宋体" w:hAnsi="宋体"/>
          <w:color w:val="FF0000"/>
          <w:sz w:val="20"/>
        </w:rPr>
        <w:t>4.投标保证金不是从投标供应商基本账户转出的；</w:t>
      </w:r>
    </w:p>
    <w:p>
      <w:pPr>
        <w:ind w:firstLine="800" w:firstLineChars="400"/>
        <w:rPr>
          <w:rFonts w:ascii="宋体" w:hAnsi="宋体"/>
          <w:color w:val="FF0000"/>
          <w:sz w:val="20"/>
        </w:rPr>
      </w:pPr>
      <w:r>
        <w:rPr>
          <w:rFonts w:hint="eastAsia" w:ascii="宋体" w:hAnsi="宋体"/>
          <w:color w:val="FF0000"/>
          <w:sz w:val="20"/>
        </w:rPr>
        <w:t>5.其他隐瞒真实情况、提供虚假资料的行为。</w:t>
      </w:r>
    </w:p>
    <w:p>
      <w:pPr>
        <w:ind w:firstLine="400" w:firstLineChars="200"/>
        <w:rPr>
          <w:rFonts w:eastAsia="楷体_GB2312"/>
        </w:rPr>
      </w:pPr>
      <w:r>
        <w:rPr>
          <w:rFonts w:hint="eastAsia" w:ascii="宋体" w:hAnsi="宋体"/>
          <w:color w:val="FF0000"/>
          <w:sz w:val="20"/>
        </w:rPr>
        <w:t>（四）以非法手段排斥其他供应商参与竞争的；</w:t>
      </w:r>
    </w:p>
    <w:p>
      <w:pPr>
        <w:ind w:firstLine="400" w:firstLineChars="200"/>
        <w:rPr>
          <w:rFonts w:ascii="宋体" w:hAnsi="宋体"/>
          <w:color w:val="FF0000"/>
          <w:sz w:val="20"/>
        </w:rPr>
      </w:pPr>
      <w:r>
        <w:rPr>
          <w:rFonts w:hint="eastAsia" w:ascii="宋体" w:hAnsi="宋体"/>
          <w:color w:val="FF0000"/>
          <w:sz w:val="20"/>
        </w:rPr>
        <w:t>（五）与其他采购参加人串通投标的；</w:t>
      </w:r>
    </w:p>
    <w:p>
      <w:pPr>
        <w:ind w:firstLine="420" w:firstLineChars="200"/>
        <w:rPr>
          <w:rFonts w:ascii="宋体" w:hAnsi="宋体"/>
          <w:color w:val="FF0000"/>
          <w:sz w:val="20"/>
        </w:rPr>
      </w:pPr>
      <w:r>
        <w:rPr>
          <w:rFonts w:hint="eastAsia"/>
          <w:color w:val="FF0000"/>
        </w:rPr>
        <w:t>1.</w:t>
      </w:r>
      <w:r>
        <w:rPr>
          <w:rFonts w:hint="eastAsia" w:ascii="宋体" w:hAnsi="宋体"/>
          <w:color w:val="FF0000"/>
          <w:sz w:val="20"/>
        </w:rPr>
        <w:t>投标供应商之间相互约定给予未中标的供应商利益补偿；</w:t>
      </w:r>
    </w:p>
    <w:p>
      <w:pPr>
        <w:ind w:left="399" w:leftChars="190" w:firstLine="400" w:firstLineChars="200"/>
        <w:rPr>
          <w:rFonts w:ascii="宋体" w:hAnsi="宋体"/>
          <w:color w:val="FF0000"/>
          <w:sz w:val="20"/>
        </w:rPr>
      </w:pPr>
      <w:r>
        <w:rPr>
          <w:rFonts w:hint="eastAsia" w:ascii="宋体" w:hAnsi="宋体"/>
          <w:color w:val="FF0000"/>
          <w:sz w:val="20"/>
        </w:rPr>
        <w:t>2.不同投标供应商的法定代表人、主要经营负责人、项目投标授权代表人、项目负责人、主要技术人员为同一人、属同一单位或者在同一单位缴纳社会保险；</w:t>
      </w:r>
    </w:p>
    <w:p>
      <w:pPr>
        <w:ind w:firstLine="800" w:firstLineChars="400"/>
        <w:rPr>
          <w:rFonts w:ascii="宋体" w:hAnsi="宋体"/>
          <w:color w:val="FF0000"/>
          <w:sz w:val="20"/>
        </w:rPr>
      </w:pPr>
      <w:r>
        <w:rPr>
          <w:rFonts w:hint="eastAsia" w:ascii="宋体" w:hAnsi="宋体"/>
          <w:color w:val="FF0000"/>
          <w:sz w:val="20"/>
        </w:rPr>
        <w:t>3.不同投标供应商的投标文件由同一单位或者同一人编制，或者由同一人分阶段参与编制的；</w:t>
      </w:r>
    </w:p>
    <w:p>
      <w:pPr>
        <w:ind w:firstLine="800" w:firstLineChars="400"/>
        <w:rPr>
          <w:rFonts w:ascii="宋体" w:hAnsi="宋体"/>
          <w:color w:val="FF0000"/>
          <w:sz w:val="20"/>
        </w:rPr>
      </w:pPr>
      <w:r>
        <w:rPr>
          <w:rFonts w:hint="eastAsia" w:ascii="宋体" w:hAnsi="宋体"/>
          <w:color w:val="FF0000"/>
          <w:sz w:val="20"/>
        </w:rPr>
        <w:t>4.不同投标供应商的投标文件或部分投标文件相互混装；</w:t>
      </w:r>
    </w:p>
    <w:p>
      <w:pPr>
        <w:ind w:firstLine="800" w:firstLineChars="400"/>
        <w:rPr>
          <w:rFonts w:ascii="宋体" w:hAnsi="宋体"/>
          <w:color w:val="FF0000"/>
          <w:sz w:val="20"/>
        </w:rPr>
      </w:pPr>
      <w:r>
        <w:rPr>
          <w:rFonts w:hint="eastAsia" w:ascii="宋体" w:hAnsi="宋体"/>
          <w:color w:val="FF0000"/>
          <w:sz w:val="20"/>
        </w:rPr>
        <w:t>5.不同投标供应商的投标文件内容存在非正常一致；</w:t>
      </w:r>
    </w:p>
    <w:p>
      <w:pPr>
        <w:ind w:firstLine="800" w:firstLineChars="400"/>
        <w:rPr>
          <w:rFonts w:ascii="宋体" w:hAnsi="宋体"/>
          <w:color w:val="FF0000"/>
          <w:sz w:val="20"/>
        </w:rPr>
      </w:pPr>
      <w:r>
        <w:rPr>
          <w:rFonts w:hint="eastAsia" w:ascii="宋体" w:hAnsi="宋体"/>
          <w:color w:val="FF0000"/>
          <w:sz w:val="20"/>
        </w:rPr>
        <w:t>6.由同一单位工作人员为两家以上（含两家）供应商进行同一项投标活动的；</w:t>
      </w:r>
    </w:p>
    <w:p>
      <w:pPr>
        <w:ind w:firstLine="800" w:firstLineChars="400"/>
        <w:rPr>
          <w:rFonts w:ascii="宋体" w:hAnsi="宋体"/>
          <w:color w:val="FF0000"/>
          <w:sz w:val="20"/>
        </w:rPr>
      </w:pPr>
      <w:r>
        <w:rPr>
          <w:rFonts w:hint="eastAsia" w:ascii="宋体" w:hAnsi="宋体"/>
          <w:color w:val="FF0000"/>
          <w:sz w:val="20"/>
        </w:rPr>
        <w:t>7.主管部门依照法律、法规认定的其他情形。</w:t>
      </w:r>
    </w:p>
    <w:p>
      <w:pPr>
        <w:ind w:firstLine="400" w:firstLineChars="200"/>
        <w:rPr>
          <w:rFonts w:ascii="宋体" w:hAnsi="宋体"/>
          <w:color w:val="FF0000"/>
          <w:sz w:val="20"/>
        </w:rPr>
      </w:pPr>
      <w:r>
        <w:rPr>
          <w:rFonts w:hint="eastAsia" w:ascii="宋体" w:hAnsi="宋体"/>
          <w:color w:val="FF0000"/>
          <w:sz w:val="20"/>
        </w:rPr>
        <w:t>（六）恶意投诉的；</w:t>
      </w:r>
    </w:p>
    <w:p>
      <w:pPr>
        <w:ind w:firstLine="400" w:firstLineChars="200"/>
        <w:rPr>
          <w:rFonts w:ascii="宋体" w:hAnsi="宋体"/>
          <w:color w:val="FF0000"/>
          <w:sz w:val="20"/>
        </w:rPr>
      </w:pPr>
      <w:r>
        <w:rPr>
          <w:rFonts w:hint="eastAsia" w:ascii="宋体" w:hAnsi="宋体"/>
          <w:color w:val="FF0000"/>
          <w:sz w:val="20"/>
        </w:rPr>
        <w:t>（七）向采购项目相关人行贿或者提供其他不当利益的；</w:t>
      </w:r>
    </w:p>
    <w:p>
      <w:pPr>
        <w:ind w:firstLine="400" w:firstLineChars="200"/>
        <w:rPr>
          <w:rFonts w:ascii="宋体" w:hAnsi="宋体"/>
          <w:color w:val="FF0000"/>
          <w:sz w:val="20"/>
        </w:rPr>
      </w:pPr>
      <w:r>
        <w:rPr>
          <w:rFonts w:hint="eastAsia" w:ascii="宋体" w:hAnsi="宋体"/>
          <w:color w:val="FF0000"/>
          <w:sz w:val="20"/>
        </w:rPr>
        <w:t>（八）阻碍、抗拒主管部门监督检查的；</w:t>
      </w:r>
    </w:p>
    <w:p>
      <w:pPr>
        <w:ind w:firstLine="402" w:firstLineChars="200"/>
        <w:rPr>
          <w:rFonts w:ascii="宋体" w:hAnsi="宋体"/>
          <w:color w:val="FF0000"/>
          <w:sz w:val="20"/>
        </w:rPr>
      </w:pPr>
      <w:r>
        <w:rPr>
          <w:rFonts w:hint="eastAsia" w:ascii="宋体" w:hAnsi="宋体"/>
          <w:b/>
          <w:bCs/>
          <w:color w:val="FF0000"/>
          <w:sz w:val="20"/>
        </w:rPr>
        <w:t>二、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hint="eastAsia" w:ascii="宋体" w:hAnsi="宋体"/>
          <w:b/>
          <w:bCs/>
          <w:color w:val="FF0000"/>
          <w:sz w:val="20"/>
        </w:rPr>
        <w:br w:type="textWrapping"/>
      </w:r>
      <w:r>
        <w:rPr>
          <w:rFonts w:hint="eastAsia" w:ascii="宋体" w:hAnsi="宋体"/>
          <w:color w:val="FF0000"/>
          <w:sz w:val="20"/>
        </w:rPr>
        <w:t>注：该风险知悉确认书用于对供应商违法行为的警示，不作为供应商资格性审查及符合性审查条件。</w:t>
      </w:r>
    </w:p>
    <w:p>
      <w:pPr>
        <w:pStyle w:val="22"/>
      </w:pPr>
    </w:p>
    <w:p>
      <w:pPr>
        <w:ind w:firstLine="3092" w:firstLineChars="700"/>
        <w:rPr>
          <w:rFonts w:ascii="宋体" w:hAnsi="宋体" w:cs="宋体"/>
          <w:b/>
          <w:bCs/>
          <w:sz w:val="44"/>
          <w:szCs w:val="44"/>
        </w:rPr>
      </w:pPr>
    </w:p>
    <w:p>
      <w:pPr>
        <w:pStyle w:val="23"/>
        <w:jc w:val="center"/>
        <w:outlineLvl w:val="1"/>
        <w:rPr>
          <w:rFonts w:ascii="黑体" w:hAnsi="黑体" w:eastAsia="黑体"/>
          <w:sz w:val="40"/>
          <w:szCs w:val="40"/>
        </w:rPr>
      </w:pPr>
      <w:r>
        <w:rPr>
          <w:rFonts w:hint="eastAsia" w:ascii="黑体" w:hAnsi="黑体" w:eastAsia="黑体"/>
          <w:sz w:val="40"/>
          <w:szCs w:val="40"/>
        </w:rPr>
        <w:t>资格性审查表</w:t>
      </w:r>
    </w:p>
    <w:tbl>
      <w:tblPr>
        <w:tblStyle w:val="25"/>
        <w:tblW w:w="87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68"/>
        <w:gridCol w:w="80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3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DCE6F2"/>
            <w:noWrap/>
            <w:vAlign w:val="center"/>
          </w:tcPr>
          <w:p>
            <w:pPr>
              <w:jc w:val="center"/>
              <w:rPr>
                <w:rFonts w:ascii="宋体" w:hAnsi="宋体" w:cs="宋体"/>
                <w:sz w:val="28"/>
                <w:szCs w:val="28"/>
              </w:rPr>
            </w:pPr>
            <w:r>
              <w:rPr>
                <w:sz w:val="28"/>
                <w:szCs w:val="28"/>
              </w:rPr>
              <w:t>序号</w:t>
            </w:r>
          </w:p>
        </w:tc>
        <w:tc>
          <w:tcPr>
            <w:tcW w:w="8011" w:type="dxa"/>
            <w:tcBorders>
              <w:top w:val="single" w:color="000000" w:sz="8" w:space="0"/>
              <w:left w:val="single" w:color="000000" w:sz="8" w:space="0"/>
              <w:bottom w:val="single" w:color="000000" w:sz="8" w:space="0"/>
              <w:right w:val="single" w:color="000000" w:sz="8" w:space="0"/>
            </w:tcBorders>
            <w:shd w:val="clear" w:color="auto" w:fill="DCE6F2"/>
            <w:noWrap/>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9"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pStyle w:val="2"/>
              <w:jc w:val="center"/>
              <w:rPr>
                <w:rFonts w:ascii="宋体" w:hAnsi="宋体" w:cs="宋体"/>
                <w:sz w:val="21"/>
                <w:szCs w:val="21"/>
              </w:rPr>
            </w:pPr>
            <w:r>
              <w:rPr>
                <w:rFonts w:hint="eastAsia" w:ascii="宋体" w:hAnsi="宋体" w:cs="宋体"/>
                <w:sz w:val="21"/>
                <w:szCs w:val="21"/>
              </w:rPr>
              <w:t>1</w:t>
            </w:r>
          </w:p>
        </w:tc>
        <w:tc>
          <w:tcPr>
            <w:tcW w:w="8011" w:type="dxa"/>
            <w:tcBorders>
              <w:top w:val="single" w:color="000000" w:sz="8" w:space="0"/>
              <w:left w:val="single" w:color="000000" w:sz="8" w:space="0"/>
              <w:bottom w:val="single" w:color="000000" w:sz="8" w:space="0"/>
              <w:right w:val="single" w:color="000000" w:sz="8" w:space="0"/>
            </w:tcBorders>
            <w:noWrap/>
          </w:tcPr>
          <w:p>
            <w:pPr>
              <w:rPr>
                <w:rFonts w:hint="eastAsia"/>
                <w:b/>
                <w:bCs/>
                <w:lang w:val="en-US" w:eastAsia="zh-CN"/>
              </w:rPr>
            </w:pPr>
            <w:r>
              <w:rPr>
                <w:rFonts w:hint="eastAsia"/>
                <w:b/>
                <w:bCs/>
                <w:lang w:val="en-US" w:eastAsia="zh-CN"/>
              </w:rPr>
              <w:t>具有独立承担民事责任的能力：</w:t>
            </w:r>
          </w:p>
          <w:p>
            <w:pPr>
              <w:ind w:firstLine="210" w:firstLineChars="100"/>
            </w:pPr>
            <w:r>
              <w:t>在中华人民共和国境内注册的法人或其他组织或自然人， 投标（响应）时提交有效的营业执照（或事业法人登记证或身份证等相关证明） 副本复印件。</w:t>
            </w:r>
          </w:p>
          <w:p>
            <w:pPr>
              <w:rPr>
                <w:rFonts w:ascii="宋体" w:hAnsi="宋体" w:cs="宋体"/>
              </w:rPr>
            </w:pPr>
            <w:r>
              <w:rPr>
                <w:rFonts w:hint="eastAsia" w:eastAsia="宋体"/>
                <w:b w:val="0"/>
                <w:bCs w:val="0"/>
                <w:lang w:val="en-US" w:eastAsia="zh-CN"/>
              </w:rPr>
              <w:t>备注：</w:t>
            </w:r>
            <w:r>
              <w:rPr>
                <w:rFonts w:hint="eastAsia" w:ascii="Times New Roman" w:hAnsi="Times New Roman" w:eastAsia="宋体" w:cs="Times New Roman"/>
              </w:rPr>
              <w:t>分支机构</w:t>
            </w:r>
            <w:r>
              <w:rPr>
                <w:rFonts w:hint="eastAsia" w:ascii="Times New Roman" w:hAnsi="Times New Roman" w:eastAsia="宋体" w:cs="Times New Roman"/>
                <w:lang w:val="en-US" w:eastAsia="zh-CN"/>
              </w:rPr>
              <w:t>投标</w:t>
            </w:r>
            <w:r>
              <w:rPr>
                <w:rFonts w:hint="eastAsia" w:ascii="Times New Roman" w:hAnsi="Times New Roman" w:eastAsia="宋体" w:cs="Times New Roman"/>
              </w:rPr>
              <w:t>的</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仅限</w:t>
            </w:r>
            <w:r>
              <w:rPr>
                <w:rFonts w:hint="eastAsia" w:ascii="Times New Roman" w:hAnsi="Times New Roman" w:eastAsia="宋体" w:cs="Times New Roman"/>
              </w:rPr>
              <w:t>银行</w:t>
            </w:r>
            <w:r>
              <w:rPr>
                <w:rFonts w:hint="eastAsia" w:ascii="Times New Roman" w:hAnsi="Times New Roman" w:eastAsia="宋体" w:cs="Times New Roman"/>
                <w:lang w:eastAsia="zh-CN"/>
              </w:rPr>
              <w:t>、</w:t>
            </w:r>
            <w:r>
              <w:rPr>
                <w:rFonts w:hint="eastAsia" w:ascii="Times New Roman" w:hAnsi="Times New Roman" w:eastAsia="宋体" w:cs="Times New Roman"/>
              </w:rPr>
              <w:t>保险</w:t>
            </w:r>
            <w:r>
              <w:rPr>
                <w:rFonts w:hint="eastAsia" w:ascii="Times New Roman" w:hAnsi="Times New Roman" w:eastAsia="宋体" w:cs="Times New Roman"/>
                <w:lang w:eastAsia="zh-CN"/>
              </w:rPr>
              <w:t>、</w:t>
            </w:r>
            <w:r>
              <w:rPr>
                <w:rFonts w:hint="eastAsia" w:ascii="Times New Roman" w:hAnsi="Times New Roman" w:eastAsia="宋体" w:cs="Times New Roman"/>
              </w:rPr>
              <w:t>石油石化</w:t>
            </w:r>
            <w:r>
              <w:rPr>
                <w:rFonts w:hint="eastAsia" w:ascii="Times New Roman" w:hAnsi="Times New Roman" w:eastAsia="宋体" w:cs="Times New Roman"/>
                <w:lang w:eastAsia="zh-CN"/>
              </w:rPr>
              <w:t>、</w:t>
            </w:r>
            <w:r>
              <w:rPr>
                <w:rFonts w:hint="eastAsia" w:ascii="Times New Roman" w:hAnsi="Times New Roman" w:eastAsia="宋体" w:cs="Times New Roman"/>
              </w:rPr>
              <w:t>电力</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电信 </w:t>
            </w:r>
            <w:r>
              <w:rPr>
                <w:rFonts w:hint="eastAsia" w:ascii="Times New Roman" w:hAnsi="Times New Roman" w:eastAsia="宋体" w:cs="Times New Roman"/>
                <w:lang w:eastAsia="zh-CN"/>
              </w:rPr>
              <w:t>、</w:t>
            </w:r>
            <w:r>
              <w:rPr>
                <w:rFonts w:hint="eastAsia" w:ascii="Times New Roman" w:hAnsi="Times New Roman" w:eastAsia="宋体" w:cs="Times New Roman"/>
              </w:rPr>
              <w:t>邮政</w:t>
            </w:r>
            <w:r>
              <w:rPr>
                <w:rFonts w:hint="eastAsia" w:ascii="Times New Roman" w:hAnsi="Times New Roman" w:eastAsia="宋体" w:cs="Times New Roman"/>
                <w:lang w:eastAsia="zh-CN"/>
              </w:rPr>
              <w:t>、</w:t>
            </w:r>
            <w:r>
              <w:rPr>
                <w:rFonts w:hint="eastAsia" w:ascii="Times New Roman" w:hAnsi="Times New Roman" w:eastAsia="宋体" w:cs="Times New Roman"/>
              </w:rPr>
              <w:t>铁路等特殊</w:t>
            </w:r>
            <w:r>
              <w:rPr>
                <w:rFonts w:hint="eastAsia" w:ascii="Times New Roman" w:hAnsi="Times New Roman" w:eastAsia="宋体" w:cs="Times New Roman"/>
                <w:lang w:val="en-US" w:eastAsia="zh-CN"/>
              </w:rPr>
              <w:t>行业</w:t>
            </w:r>
            <w:r>
              <w:rPr>
                <w:rFonts w:hint="eastAsia" w:ascii="Times New Roman" w:hAnsi="Times New Roman" w:eastAsia="宋体" w:cs="Times New Roman"/>
                <w:lang w:eastAsia="zh-CN"/>
              </w:rPr>
              <w:t>）</w:t>
            </w:r>
            <w:r>
              <w:rPr>
                <w:rFonts w:hint="eastAsia" w:ascii="Times New Roman" w:hAnsi="Times New Roman" w:eastAsia="宋体" w:cs="Times New Roman"/>
              </w:rPr>
              <w:t>，须提供总公司和分公司营业执照</w:t>
            </w:r>
            <w:r>
              <w:rPr>
                <w:rFonts w:hint="eastAsia" w:ascii="Times New Roman" w:hAnsi="Times New Roman" w:eastAsia="宋体" w:cs="Times New Roman"/>
                <w:lang w:val="en-US" w:eastAsia="zh-CN"/>
              </w:rPr>
              <w:t>扫描件</w:t>
            </w:r>
            <w:r>
              <w:rPr>
                <w:rFonts w:hint="eastAsia" w:ascii="Times New Roman" w:hAnsi="Times New Roman" w:eastAsia="宋体" w:cs="Times New Roman"/>
              </w:rPr>
              <w:t>，总公司出具给分支机构的授权书</w:t>
            </w:r>
            <w:r>
              <w:rPr>
                <w:rFonts w:hint="eastAsia" w:ascii="Times New Roman" w:hAnsi="Times New Roman" w:eastAsia="宋体" w:cs="Times New Roman"/>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32"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宋体" w:hAnsi="宋体" w:cs="宋体"/>
              </w:rPr>
              <w:t>2</w:t>
            </w:r>
          </w:p>
        </w:tc>
        <w:tc>
          <w:tcPr>
            <w:tcW w:w="8011" w:type="dxa"/>
            <w:tcBorders>
              <w:top w:val="single" w:color="000000" w:sz="8" w:space="0"/>
              <w:left w:val="single" w:color="000000" w:sz="8" w:space="0"/>
              <w:bottom w:val="single" w:color="000000" w:sz="8" w:space="0"/>
              <w:right w:val="single" w:color="000000" w:sz="8" w:space="0"/>
            </w:tcBorders>
            <w:noWrap/>
            <w:vAlign w:val="center"/>
          </w:tcPr>
          <w:p>
            <w:pPr>
              <w:rPr>
                <w:rFonts w:hint="eastAsia" w:ascii="宋体" w:hAnsi="宋体" w:cs="宋体"/>
                <w:b/>
                <w:bCs/>
                <w:lang w:val="en-US" w:eastAsia="zh-CN"/>
              </w:rPr>
            </w:pPr>
            <w:r>
              <w:rPr>
                <w:rFonts w:hint="eastAsia" w:ascii="宋体" w:hAnsi="宋体" w:cs="宋体"/>
                <w:b/>
                <w:bCs/>
                <w:lang w:val="en-US" w:eastAsia="zh-CN"/>
              </w:rPr>
              <w:t>具有健全的财务会计制度：</w:t>
            </w:r>
          </w:p>
          <w:p>
            <w:pPr>
              <w:rPr>
                <w:rFonts w:ascii="宋体" w:hAnsi="宋体" w:cs="宋体"/>
                <w:iCs/>
              </w:rPr>
            </w:pPr>
            <w:r>
              <w:rPr>
                <w:rFonts w:hint="eastAsia" w:ascii="宋体" w:hAnsi="宋体" w:cs="宋体"/>
                <w:lang w:val="en-US" w:eastAsia="zh-CN"/>
              </w:rPr>
              <w:t>投标供应商须提供2023</w:t>
            </w:r>
            <w:r>
              <w:rPr>
                <w:rFonts w:hint="eastAsia" w:ascii="宋体" w:hAnsi="宋体" w:cs="宋体"/>
              </w:rPr>
              <w:t>年</w:t>
            </w:r>
            <w:r>
              <w:rPr>
                <w:rFonts w:hint="eastAsia" w:ascii="宋体" w:hAnsi="宋体" w:cs="宋体"/>
                <w:lang w:val="en-US" w:eastAsia="zh-CN"/>
              </w:rPr>
              <w:t>、2024年任意一年的</w:t>
            </w:r>
            <w:r>
              <w:rPr>
                <w:rFonts w:hint="eastAsia" w:ascii="宋体" w:hAnsi="宋体" w:cs="宋体"/>
              </w:rPr>
              <w:t>度财务状况报告（资产负债表、利润表）或财务审计报告，成立不满一年不需提供；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9"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p>
          <w:p>
            <w:pPr>
              <w:jc w:val="center"/>
              <w:rPr>
                <w:rFonts w:ascii="宋体" w:hAnsi="宋体" w:cs="宋体"/>
              </w:rPr>
            </w:pPr>
            <w:r>
              <w:rPr>
                <w:rFonts w:hint="eastAsia" w:ascii="宋体" w:hAnsi="宋体" w:cs="宋体"/>
              </w:rPr>
              <w:t>3</w:t>
            </w:r>
          </w:p>
        </w:tc>
        <w:tc>
          <w:tcPr>
            <w:tcW w:w="8011" w:type="dxa"/>
            <w:tcBorders>
              <w:top w:val="single" w:color="000000" w:sz="8" w:space="0"/>
              <w:left w:val="single" w:color="000000" w:sz="8" w:space="0"/>
              <w:bottom w:val="single" w:color="000000" w:sz="8" w:space="0"/>
              <w:right w:val="single" w:color="000000" w:sz="8" w:space="0"/>
            </w:tcBorders>
            <w:noWrap/>
            <w:vAlign w:val="center"/>
          </w:tcPr>
          <w:p>
            <w:pPr>
              <w:rPr>
                <w:rFonts w:hint="eastAsia" w:ascii="宋体" w:hAnsi="宋体" w:cs="宋体"/>
                <w:b/>
                <w:bCs/>
                <w:iCs/>
                <w:lang w:val="en-US" w:eastAsia="zh-CN"/>
              </w:rPr>
            </w:pPr>
            <w:r>
              <w:rPr>
                <w:rFonts w:hint="eastAsia" w:ascii="宋体" w:hAnsi="宋体" w:cs="宋体"/>
                <w:b/>
                <w:bCs/>
                <w:iCs/>
                <w:lang w:val="en-US" w:eastAsia="zh-CN"/>
              </w:rPr>
              <w:t>具有</w:t>
            </w:r>
            <w:r>
              <w:rPr>
                <w:rFonts w:hint="eastAsia" w:ascii="宋体" w:hAnsi="宋体" w:cs="宋体"/>
                <w:b/>
                <w:bCs/>
                <w:iCs/>
              </w:rPr>
              <w:t>依法缴纳税收和社会保障资金的</w:t>
            </w:r>
            <w:r>
              <w:rPr>
                <w:rFonts w:hint="eastAsia" w:ascii="宋体" w:hAnsi="宋体" w:cs="宋体"/>
                <w:b/>
                <w:bCs/>
                <w:iCs/>
                <w:lang w:val="en-US" w:eastAsia="zh-CN"/>
              </w:rPr>
              <w:t>良好记录：</w:t>
            </w:r>
          </w:p>
          <w:p>
            <w:pPr>
              <w:ind w:firstLine="210" w:firstLineChars="100"/>
              <w:rPr>
                <w:rFonts w:hint="eastAsia" w:ascii="宋体" w:hAnsi="宋体" w:cs="宋体"/>
                <w:iCs/>
              </w:rPr>
            </w:pPr>
            <w:r>
              <w:rPr>
                <w:rFonts w:hint="eastAsia" w:ascii="宋体" w:hAnsi="宋体" w:cs="宋体"/>
                <w:iCs/>
                <w:lang w:val="en-US" w:eastAsia="zh-CN"/>
              </w:rPr>
              <w:t>投标供应商须</w:t>
            </w:r>
            <w:r>
              <w:rPr>
                <w:rFonts w:hint="eastAsia" w:ascii="宋体" w:hAnsi="宋体" w:cs="宋体"/>
                <w:iCs/>
              </w:rPr>
              <w:t>提供</w:t>
            </w:r>
            <w:r>
              <w:rPr>
                <w:rFonts w:hint="eastAsia" w:ascii="宋体" w:hAnsi="宋体" w:cs="宋体"/>
                <w:iCs/>
                <w:lang w:val="en-US" w:eastAsia="zh-CN"/>
              </w:rPr>
              <w:t>开标时间</w:t>
            </w:r>
            <w:r>
              <w:rPr>
                <w:rFonts w:hint="eastAsia" w:ascii="宋体" w:hAnsi="宋体" w:cs="宋体"/>
                <w:iCs/>
              </w:rPr>
              <w:t>截止前6个月内至少三个月依法缴纳税收及缴纳社会保障资金的证明材料。</w:t>
            </w:r>
          </w:p>
          <w:p>
            <w:pPr>
              <w:rPr>
                <w:rFonts w:ascii="宋体" w:hAnsi="宋体" w:cs="宋体"/>
                <w:iCs/>
              </w:rPr>
            </w:pPr>
            <w:r>
              <w:rPr>
                <w:rFonts w:hint="eastAsia" w:ascii="宋体" w:hAnsi="宋体" w:cs="宋体"/>
                <w:b w:val="0"/>
                <w:bCs w:val="0"/>
                <w:iCs/>
                <w:lang w:val="en-US" w:eastAsia="zh-CN"/>
              </w:rPr>
              <w:t>备注：</w:t>
            </w:r>
            <w:r>
              <w:rPr>
                <w:rFonts w:hint="eastAsia" w:ascii="宋体" w:hAnsi="宋体" w:cs="宋体"/>
                <w:iCs/>
              </w:rPr>
              <w:t>依法享受缓缴、免缴税收、社会保障资金的</w:t>
            </w:r>
            <w:r>
              <w:rPr>
                <w:rFonts w:hint="eastAsia" w:ascii="宋体" w:hAnsi="宋体" w:cs="宋体"/>
                <w:iCs/>
                <w:lang w:val="en-US" w:eastAsia="zh-CN"/>
              </w:rPr>
              <w:t>需</w:t>
            </w:r>
            <w:r>
              <w:rPr>
                <w:rFonts w:hint="eastAsia" w:ascii="宋体" w:hAnsi="宋体" w:cs="宋体"/>
                <w:iCs/>
              </w:rPr>
              <w:t>提供证明材料；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87"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p>
          <w:p>
            <w:pPr>
              <w:jc w:val="center"/>
              <w:rPr>
                <w:rFonts w:ascii="宋体" w:hAnsi="宋体" w:cs="宋体"/>
              </w:rPr>
            </w:pPr>
            <w:r>
              <w:rPr>
                <w:rFonts w:hint="eastAsia" w:ascii="宋体" w:hAnsi="宋体" w:cs="宋体"/>
              </w:rPr>
              <w:t>4</w:t>
            </w:r>
          </w:p>
        </w:tc>
        <w:tc>
          <w:tcPr>
            <w:tcW w:w="8011" w:type="dxa"/>
            <w:tcBorders>
              <w:top w:val="single" w:color="000000" w:sz="8" w:space="0"/>
              <w:left w:val="single" w:color="000000" w:sz="8" w:space="0"/>
              <w:bottom w:val="single" w:color="000000" w:sz="8" w:space="0"/>
              <w:right w:val="single" w:color="000000" w:sz="8" w:space="0"/>
            </w:tcBorders>
            <w:noWrap/>
            <w:vAlign w:val="center"/>
          </w:tcPr>
          <w:p>
            <w:pPr>
              <w:rPr>
                <w:rFonts w:hint="eastAsia" w:ascii="宋体" w:hAnsi="宋体" w:cs="宋体"/>
                <w:b/>
                <w:bCs/>
                <w:lang w:val="en-US" w:eastAsia="zh-CN"/>
              </w:rPr>
            </w:pPr>
            <w:r>
              <w:rPr>
                <w:rFonts w:hint="eastAsia" w:ascii="宋体" w:hAnsi="宋体" w:cs="宋体"/>
                <w:b/>
                <w:bCs/>
                <w:lang w:val="en-US" w:eastAsia="zh-CN"/>
              </w:rPr>
              <w:t>参加政府采购活动前三年内，在经营活动中没有重大违法记录：</w:t>
            </w:r>
          </w:p>
          <w:p>
            <w:pPr>
              <w:rPr>
                <w:rFonts w:ascii="宋体" w:hAnsi="宋体" w:cs="宋体"/>
                <w:iCs/>
              </w:rPr>
            </w:pPr>
            <w:r>
              <w:rPr>
                <w:rFonts w:hint="eastAsia" w:ascii="宋体" w:hAnsi="宋体" w:cs="宋体"/>
                <w:lang w:val="en-US" w:eastAsia="zh-CN"/>
              </w:rPr>
              <w:t>投标供应商须提供</w:t>
            </w:r>
            <w:r>
              <w:rPr>
                <w:rFonts w:hint="eastAsia" w:ascii="宋体" w:hAnsi="宋体" w:cs="宋体"/>
              </w:rPr>
              <w:t>未被“信用中国”网站（http://www.creditchina.gov.cn）、中国政府采购网(http://www.ccgp.gov.cn)、国家企业信用信息公示系统(</w:t>
            </w:r>
            <w:r>
              <w:rPr>
                <w:rFonts w:hint="eastAsia" w:ascii="宋体" w:hAnsi="宋体" w:cs="宋体"/>
              </w:rPr>
              <w:fldChar w:fldCharType="begin"/>
            </w:r>
            <w:r>
              <w:rPr>
                <w:rFonts w:hint="eastAsia" w:ascii="宋体" w:hAnsi="宋体" w:cs="宋体"/>
              </w:rPr>
              <w:instrText xml:space="preserve"> HYPERLINK "http://www/" \t "_blank" </w:instrText>
            </w:r>
            <w:r>
              <w:rPr>
                <w:rFonts w:hint="eastAsia" w:ascii="宋体" w:hAnsi="宋体" w:cs="宋体"/>
              </w:rPr>
              <w:fldChar w:fldCharType="separate"/>
            </w:r>
            <w:r>
              <w:rPr>
                <w:rFonts w:hint="eastAsia" w:ascii="宋体" w:hAnsi="宋体" w:cs="宋体"/>
              </w:rPr>
              <w:t>http://www</w:t>
            </w:r>
            <w:r>
              <w:rPr>
                <w:rFonts w:hint="eastAsia" w:ascii="宋体" w:hAnsi="宋体" w:cs="宋体"/>
              </w:rPr>
              <w:fldChar w:fldCharType="end"/>
            </w:r>
            <w:r>
              <w:rPr>
                <w:rFonts w:hint="eastAsia" w:ascii="宋体" w:hAnsi="宋体" w:cs="宋体"/>
              </w:rPr>
              <w:t>.gsxt.gov.cn)</w:t>
            </w:r>
            <w:r>
              <w:rPr>
                <w:rFonts w:hint="eastAsia" w:ascii="宋体" w:hAnsi="宋体" w:cs="宋体"/>
                <w:kern w:val="0"/>
              </w:rPr>
              <w:t>列入失信被执行人、重大税收违法案件当事人名单、政府采购严重违法失信行为记录名单（提供开标</w:t>
            </w:r>
            <w:r>
              <w:rPr>
                <w:rFonts w:hint="eastAsia" w:ascii="宋体" w:hAnsi="宋体" w:cs="宋体"/>
                <w:kern w:val="0"/>
                <w:lang w:val="en-US" w:eastAsia="zh-CN"/>
              </w:rPr>
              <w:t>截止时间</w:t>
            </w:r>
            <w:r>
              <w:rPr>
                <w:rFonts w:hint="eastAsia" w:ascii="宋体" w:hAnsi="宋体" w:cs="宋体"/>
                <w:kern w:val="0"/>
              </w:rPr>
              <w:t>前7日内网站查询截图）；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5"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宋体" w:hAnsi="宋体" w:cs="宋体"/>
              </w:rPr>
              <w:t>5</w:t>
            </w:r>
          </w:p>
        </w:tc>
        <w:tc>
          <w:tcPr>
            <w:tcW w:w="8011" w:type="dxa"/>
            <w:tcBorders>
              <w:top w:val="single" w:color="000000" w:sz="8" w:space="0"/>
              <w:left w:val="single" w:color="000000" w:sz="8" w:space="0"/>
              <w:bottom w:val="single" w:color="000000" w:sz="8" w:space="0"/>
              <w:right w:val="single" w:color="000000" w:sz="8" w:space="0"/>
            </w:tcBorders>
            <w:noWrap/>
          </w:tcPr>
          <w:p>
            <w:pPr>
              <w:rPr>
                <w:rFonts w:ascii="宋体" w:hAnsi="宋体" w:cs="宋体"/>
                <w:iCs/>
              </w:rPr>
            </w:pPr>
            <w:r>
              <w:rPr>
                <w:rFonts w:hint="eastAsia"/>
              </w:rPr>
              <w:t>本项目特定资格要求证明文件：</w:t>
            </w:r>
            <w:r>
              <w:rPr>
                <w:rFonts w:hint="eastAsia"/>
                <w:color w:val="FF0000"/>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53"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p>
          <w:p>
            <w:pPr>
              <w:jc w:val="center"/>
              <w:rPr>
                <w:rFonts w:ascii="宋体" w:hAnsi="宋体" w:cs="宋体"/>
              </w:rPr>
            </w:pPr>
            <w:r>
              <w:rPr>
                <w:rFonts w:hint="eastAsia" w:ascii="宋体" w:hAnsi="宋体" w:cs="宋体"/>
              </w:rPr>
              <w:t>6</w:t>
            </w:r>
          </w:p>
        </w:tc>
        <w:tc>
          <w:tcPr>
            <w:tcW w:w="8011" w:type="dxa"/>
            <w:tcBorders>
              <w:top w:val="single" w:color="000000" w:sz="8" w:space="0"/>
              <w:left w:val="single" w:color="000000" w:sz="8" w:space="0"/>
              <w:bottom w:val="single" w:color="000000" w:sz="8" w:space="0"/>
              <w:right w:val="single" w:color="000000" w:sz="8" w:space="0"/>
            </w:tcBorders>
            <w:noWrap/>
          </w:tcPr>
          <w:p>
            <w:pPr>
              <w:pStyle w:val="46"/>
              <w:widowControl w:val="0"/>
              <w:tabs>
                <w:tab w:val="left" w:pos="1170"/>
              </w:tabs>
              <w:spacing w:line="400" w:lineRule="exact"/>
              <w:ind w:left="0"/>
              <w:jc w:val="both"/>
              <w:rPr>
                <w:rFonts w:ascii="宋体" w:hAnsi="宋体" w:cs="宋体"/>
                <w:b/>
                <w:bCs/>
                <w:iCs/>
                <w:lang w:eastAsia="zh-CN"/>
              </w:rPr>
            </w:pPr>
            <w:r>
              <w:rPr>
                <w:rFonts w:hint="eastAsia" w:ascii="宋体" w:hAnsi="宋体" w:cs="宋体"/>
                <w:b/>
                <w:bCs/>
                <w:iCs/>
                <w:lang w:eastAsia="zh-CN"/>
              </w:rPr>
              <w:t>落实政府采购政策：</w:t>
            </w:r>
          </w:p>
          <w:p>
            <w:pPr>
              <w:rPr>
                <w:rFonts w:ascii="宋体" w:hAnsi="宋体" w:cs="宋体"/>
                <w:kern w:val="0"/>
              </w:rPr>
            </w:pPr>
            <w:r>
              <w:rPr>
                <w:rFonts w:hint="eastAsia" w:ascii="宋体" w:hAnsi="宋体" w:cs="宋体"/>
                <w:highlight w:val="yellow"/>
              </w:rPr>
              <w:t>本项目</w:t>
            </w:r>
            <w:r>
              <w:rPr>
                <w:rFonts w:ascii="宋体" w:hAnsi="宋体" w:cs="宋体"/>
                <w:color w:val="FF0000"/>
                <w:highlight w:val="yellow"/>
              </w:rPr>
              <w:t>专门</w:t>
            </w:r>
            <w:r>
              <w:rPr>
                <w:rFonts w:hint="eastAsia" w:ascii="宋体" w:hAnsi="宋体" w:cs="宋体"/>
                <w:color w:val="FF0000"/>
                <w:highlight w:val="yellow"/>
              </w:rPr>
              <w:t>面向中小企业</w:t>
            </w:r>
            <w:r>
              <w:rPr>
                <w:rFonts w:hint="eastAsia" w:ascii="宋体" w:hAnsi="宋体" w:cs="宋体"/>
                <w:highlight w:val="yellow"/>
              </w:rPr>
              <w:t>，供应商所投全部服务由小微企业提供的，须提供 《中小企业声明函（服务）》并符合填报要求；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87"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宋体" w:hAnsi="宋体" w:cs="宋体"/>
              </w:rPr>
              <w:t>7</w:t>
            </w:r>
          </w:p>
        </w:tc>
        <w:tc>
          <w:tcPr>
            <w:tcW w:w="8011" w:type="dxa"/>
            <w:tcBorders>
              <w:top w:val="single" w:color="000000" w:sz="8" w:space="0"/>
              <w:left w:val="single" w:color="000000" w:sz="8" w:space="0"/>
              <w:bottom w:val="single" w:color="000000" w:sz="8" w:space="0"/>
              <w:right w:val="single" w:color="000000" w:sz="8" w:space="0"/>
            </w:tcBorders>
            <w:noWrap/>
          </w:tcPr>
          <w:p>
            <w:pPr>
              <w:rPr>
                <w:rFonts w:ascii="宋体" w:hAnsi="宋体" w:cs="宋体"/>
                <w:iCs/>
              </w:rPr>
            </w:pPr>
            <w:r>
              <w:rPr>
                <w:rFonts w:hint="eastAsia" w:ascii="宋体" w:hAnsi="宋体" w:cs="宋体"/>
                <w:iCs/>
              </w:rPr>
              <w:t>法人授权委托书；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81" w:hRule="atLeast"/>
          <w:jc w:val="center"/>
        </w:trPr>
        <w:tc>
          <w:tcPr>
            <w:tcW w:w="768" w:type="dxa"/>
            <w:tcBorders>
              <w:top w:val="single" w:color="000000" w:sz="8" w:space="0"/>
              <w:left w:val="single" w:color="000000" w:sz="8" w:space="0"/>
              <w:bottom w:val="single" w:color="000000" w:sz="8" w:space="0"/>
              <w:right w:val="single" w:color="000000" w:sz="8" w:space="0"/>
            </w:tcBorders>
            <w:noWrap/>
          </w:tcPr>
          <w:p>
            <w:pPr>
              <w:jc w:val="center"/>
              <w:rPr>
                <w:rFonts w:ascii="宋体" w:hAnsi="宋体" w:cs="宋体"/>
              </w:rPr>
            </w:pPr>
            <w:r>
              <w:rPr>
                <w:rFonts w:hint="eastAsia" w:ascii="宋体" w:hAnsi="宋体" w:cs="宋体"/>
              </w:rPr>
              <w:t>8</w:t>
            </w:r>
          </w:p>
        </w:tc>
        <w:tc>
          <w:tcPr>
            <w:tcW w:w="8011" w:type="dxa"/>
            <w:tcBorders>
              <w:top w:val="single" w:color="000000" w:sz="8" w:space="0"/>
              <w:left w:val="single" w:color="000000" w:sz="8" w:space="0"/>
              <w:bottom w:val="single" w:color="000000" w:sz="8" w:space="0"/>
              <w:right w:val="single" w:color="000000" w:sz="8" w:space="0"/>
            </w:tcBorders>
            <w:noWrap/>
          </w:tcPr>
          <w:p>
            <w:pPr>
              <w:rPr>
                <w:rFonts w:ascii="宋体" w:hAnsi="宋体" w:cs="宋体"/>
                <w:kern w:val="0"/>
              </w:rPr>
            </w:pPr>
            <w:r>
              <w:rPr>
                <w:rFonts w:hint="eastAsia" w:ascii="宋体" w:hAnsi="宋体" w:cs="宋体"/>
              </w:rPr>
              <w:t>是否按时足额的缴纳投标保证金（需提供投标保证金缴纳凭证/保函且加盖公章）</w:t>
            </w:r>
          </w:p>
        </w:tc>
      </w:tr>
    </w:tbl>
    <w:p/>
    <w:p/>
    <w:p/>
    <w:p/>
    <w:p>
      <w:pPr>
        <w:pStyle w:val="23"/>
        <w:spacing w:before="280"/>
        <w:jc w:val="center"/>
        <w:outlineLvl w:val="1"/>
      </w:pPr>
    </w:p>
    <w:p>
      <w:pPr>
        <w:pStyle w:val="23"/>
        <w:spacing w:before="280"/>
        <w:jc w:val="center"/>
        <w:outlineLvl w:val="1"/>
        <w:rPr>
          <w:rFonts w:ascii="黑体" w:hAnsi="黑体" w:eastAsia="黑体"/>
          <w:sz w:val="40"/>
          <w:szCs w:val="40"/>
        </w:rPr>
      </w:pPr>
    </w:p>
    <w:p>
      <w:pPr>
        <w:pStyle w:val="23"/>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25"/>
        <w:tblW w:w="91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66"/>
        <w:gridCol w:w="87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74" w:hRule="atLeast"/>
          <w:jc w:val="center"/>
        </w:trPr>
        <w:tc>
          <w:tcPr>
            <w:tcW w:w="466" w:type="dxa"/>
            <w:tcBorders>
              <w:top w:val="single" w:color="000000" w:sz="8" w:space="0"/>
              <w:left w:val="single" w:color="000000" w:sz="8" w:space="0"/>
              <w:bottom w:val="single" w:color="000000" w:sz="8" w:space="0"/>
              <w:right w:val="single" w:color="000000" w:sz="8" w:space="0"/>
            </w:tcBorders>
            <w:shd w:val="clear" w:color="auto" w:fill="E6EFFA"/>
            <w:noWrap/>
            <w:vAlign w:val="center"/>
          </w:tcPr>
          <w:p>
            <w:pPr>
              <w:widowControl/>
              <w:jc w:val="center"/>
              <w:rPr>
                <w:sz w:val="28"/>
                <w:szCs w:val="28"/>
              </w:rPr>
            </w:pPr>
            <w:r>
              <w:rPr>
                <w:rFonts w:ascii="宋体" w:hAnsi="宋体" w:cs="宋体"/>
                <w:kern w:val="0"/>
                <w:sz w:val="28"/>
                <w:szCs w:val="28"/>
              </w:rPr>
              <w:t>序号</w:t>
            </w:r>
          </w:p>
        </w:tc>
        <w:tc>
          <w:tcPr>
            <w:tcW w:w="8703" w:type="dxa"/>
            <w:tcBorders>
              <w:top w:val="single" w:color="000000" w:sz="8" w:space="0"/>
              <w:left w:val="single" w:color="000000" w:sz="8" w:space="0"/>
              <w:bottom w:val="single" w:color="000000" w:sz="8" w:space="0"/>
              <w:right w:val="single" w:color="000000" w:sz="8" w:space="0"/>
            </w:tcBorders>
            <w:shd w:val="clear" w:color="auto" w:fill="E6EFFA"/>
            <w:noWrap/>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8"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ind w:firstLine="210" w:firstLineChars="100"/>
              <w:textAlignment w:val="top"/>
              <w:rPr>
                <w:rFonts w:ascii="宋体" w:hAnsi="宋体" w:cs="宋体"/>
              </w:rPr>
            </w:pPr>
            <w:r>
              <w:rPr>
                <w:rFonts w:hint="eastAsia" w:ascii="宋体" w:hAnsi="宋体" w:cs="宋体"/>
              </w:rPr>
              <w:t>1</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rPr>
              <w:t>是否按采购文件所提供的样式填写《投标函》；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8"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ind w:firstLine="210" w:firstLineChars="100"/>
              <w:textAlignment w:val="top"/>
              <w:rPr>
                <w:rFonts w:ascii="宋体" w:hAnsi="宋体" w:cs="宋体"/>
              </w:rPr>
            </w:pPr>
            <w:r>
              <w:rPr>
                <w:rFonts w:hint="eastAsia" w:ascii="宋体" w:hAnsi="宋体" w:cs="宋体"/>
              </w:rPr>
              <w:t>2</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rPr>
              <w:t>是否按采购文件所提供的《政府采购投标及履约承诺函》进行承诺或不符合承诺的；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8"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kern w:val="0"/>
              </w:rPr>
            </w:pPr>
            <w:r>
              <w:rPr>
                <w:rFonts w:hint="eastAsia" w:ascii="宋体" w:hAnsi="宋体" w:cs="宋体"/>
                <w:kern w:val="0"/>
              </w:rPr>
              <w:t>3</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ascii="宋体" w:hAnsi="宋体" w:cs="宋体"/>
                <w:iCs/>
              </w:rPr>
              <w:t>是否具备履行合同所必需的设备和专业技术能力（提供书面声明函）；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8"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kern w:val="0"/>
              </w:rPr>
            </w:pPr>
            <w:r>
              <w:rPr>
                <w:rFonts w:hint="eastAsia" w:ascii="宋体" w:hAnsi="宋体" w:cs="宋体"/>
                <w:kern w:val="0"/>
              </w:rPr>
              <w:t>4</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rPr>
                <w:rFonts w:ascii="宋体" w:hAnsi="宋体" w:cs="宋体"/>
                <w:iCs/>
              </w:rPr>
            </w:pPr>
            <w:r>
              <w:rPr>
                <w:rFonts w:hint="eastAsia"/>
              </w:rPr>
              <w:t>是否按采购文件对投标文件组成的要求提供投标文件；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8"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kern w:val="0"/>
              </w:rPr>
            </w:pPr>
            <w:r>
              <w:rPr>
                <w:rFonts w:hint="eastAsia" w:ascii="宋体" w:hAnsi="宋体" w:cs="宋体"/>
                <w:kern w:val="0"/>
              </w:rPr>
              <w:t>5</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rPr>
                <w:rFonts w:ascii="宋体" w:hAnsi="宋体" w:cs="宋体"/>
                <w:iCs/>
              </w:rPr>
            </w:pPr>
            <w:r>
              <w:rPr>
                <w:rFonts w:hint="eastAsia" w:ascii="宋体" w:hAnsi="宋体" w:cs="宋体"/>
                <w:color w:val="000000"/>
              </w:rPr>
              <w:t>响应文件的编制、签署及盖章是否符合采购文件的要求；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8"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rPr>
            </w:pPr>
            <w:r>
              <w:rPr>
                <w:rFonts w:hint="eastAsia" w:ascii="宋体" w:hAnsi="宋体" w:cs="宋体"/>
              </w:rPr>
              <w:t>6</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8"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rPr>
            </w:pPr>
            <w:r>
              <w:rPr>
                <w:rFonts w:hint="eastAsia" w:ascii="宋体" w:hAnsi="宋体" w:cs="宋体"/>
              </w:rPr>
              <w:t>7</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ascii="宋体" w:hAnsi="宋体" w:cs="宋体"/>
                <w:color w:val="000000" w:themeColor="text1"/>
                <w:szCs w:val="21"/>
                <w14:textFill>
                  <w14:solidFill>
                    <w14:schemeClr w14:val="tx1"/>
                  </w14:solidFill>
                </w14:textFill>
              </w:rPr>
              <w:t>投标文件载明的服务期限是否符合采购文件规定的期限；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063"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rPr>
            </w:pPr>
          </w:p>
          <w:p>
            <w:pPr>
              <w:widowControl/>
              <w:jc w:val="center"/>
              <w:textAlignment w:val="top"/>
              <w:rPr>
                <w:rFonts w:ascii="宋体" w:hAnsi="宋体" w:cs="宋体"/>
              </w:rPr>
            </w:pPr>
            <w:r>
              <w:rPr>
                <w:rFonts w:hint="eastAsia" w:ascii="宋体" w:hAnsi="宋体" w:cs="宋体"/>
              </w:rPr>
              <w:t>8</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74"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rPr>
            </w:pPr>
            <w:r>
              <w:rPr>
                <w:rFonts w:hint="eastAsia" w:ascii="宋体" w:hAnsi="宋体" w:cs="宋体"/>
                <w:kern w:val="0"/>
              </w:rPr>
              <w:t>9</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rPr>
              <w:t>所投服务在技术商务等方面是否实质性满足采购文件要求（第三章用户需求书中附表四实质性条款要求），由评审委员会根据实质性条款响应情况作出评判；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74"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rPr>
            </w:pPr>
            <w:r>
              <w:rPr>
                <w:rFonts w:hint="eastAsia" w:ascii="宋体" w:hAnsi="宋体" w:cs="宋体"/>
                <w:kern w:val="0"/>
              </w:rPr>
              <w:t>10</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rPr>
              <w:t>投标报价有缺漏项目,或者对采购文件规定的项目需求内容或者需求数量进行修改，评审委员会判定投标响应不满足采购需求；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05" w:hRule="atLeast"/>
          <w:jc w:val="center"/>
        </w:trPr>
        <w:tc>
          <w:tcPr>
            <w:tcW w:w="466" w:type="dxa"/>
            <w:tcBorders>
              <w:top w:val="single" w:color="000000" w:sz="8" w:space="0"/>
              <w:left w:val="single" w:color="000000" w:sz="8" w:space="0"/>
              <w:bottom w:val="single" w:color="000000" w:sz="8" w:space="0"/>
              <w:right w:val="single" w:color="000000" w:sz="8" w:space="0"/>
            </w:tcBorders>
            <w:noWrap/>
          </w:tcPr>
          <w:p>
            <w:pPr>
              <w:widowControl/>
              <w:jc w:val="center"/>
              <w:textAlignment w:val="top"/>
              <w:rPr>
                <w:rFonts w:ascii="宋体" w:hAnsi="宋体" w:cs="宋体"/>
              </w:rPr>
            </w:pPr>
            <w:r>
              <w:rPr>
                <w:rFonts w:hint="eastAsia" w:ascii="宋体" w:hAnsi="宋体" w:cs="宋体"/>
                <w:kern w:val="0"/>
              </w:rPr>
              <w:t>11</w:t>
            </w:r>
          </w:p>
        </w:tc>
        <w:tc>
          <w:tcPr>
            <w:tcW w:w="8703" w:type="dxa"/>
            <w:tcBorders>
              <w:top w:val="single" w:color="000000" w:sz="8" w:space="0"/>
              <w:left w:val="single" w:color="000000" w:sz="8" w:space="0"/>
              <w:bottom w:val="single" w:color="000000" w:sz="8" w:space="0"/>
              <w:right w:val="single" w:color="000000" w:sz="8" w:space="0"/>
            </w:tcBorders>
            <w:noWrap/>
          </w:tcPr>
          <w:p>
            <w:pPr>
              <w:widowControl/>
              <w:jc w:val="left"/>
              <w:textAlignment w:val="top"/>
            </w:pPr>
            <w:r>
              <w:rPr>
                <w:rFonts w:hint="eastAsia"/>
              </w:rPr>
              <w:t>法律、法规、规章、规范性文件规定的其他情形。</w:t>
            </w:r>
          </w:p>
        </w:tc>
      </w:tr>
    </w:tbl>
    <w:p>
      <w:pPr>
        <w:pStyle w:val="23"/>
        <w:ind w:firstLine="3600" w:firstLineChars="900"/>
        <w:jc w:val="both"/>
        <w:outlineLvl w:val="1"/>
        <w:rPr>
          <w:rFonts w:ascii="黑体" w:hAnsi="黑体" w:eastAsia="黑体"/>
          <w:sz w:val="40"/>
          <w:szCs w:val="40"/>
        </w:rPr>
      </w:pPr>
    </w:p>
    <w:p>
      <w:pPr>
        <w:pStyle w:val="13"/>
        <w:rPr>
          <w:rFonts w:ascii="宋体" w:hAnsi="宋体"/>
          <w:b/>
          <w:bCs/>
          <w:sz w:val="44"/>
          <w:szCs w:val="44"/>
        </w:rPr>
      </w:pPr>
    </w:p>
    <w:p/>
    <w:p/>
    <w:p>
      <w:pPr>
        <w:ind w:firstLine="3092" w:firstLineChars="700"/>
        <w:rPr>
          <w:rFonts w:ascii="宋体" w:hAnsi="宋体" w:cs="宋体"/>
          <w:b/>
          <w:bCs/>
          <w:sz w:val="44"/>
          <w:szCs w:val="44"/>
        </w:rPr>
      </w:pPr>
    </w:p>
    <w:p/>
    <w:p>
      <w:pPr>
        <w:pStyle w:val="3"/>
        <w:numPr>
          <w:ilvl w:val="0"/>
          <w:numId w:val="0"/>
        </w:numPr>
        <w:spacing w:line="360" w:lineRule="auto"/>
        <w:ind w:left="2520" w:leftChars="1200" w:firstLine="904" w:firstLineChars="300"/>
        <w:jc w:val="both"/>
        <w:rPr>
          <w:sz w:val="30"/>
          <w:szCs w:val="30"/>
        </w:rPr>
      </w:pPr>
      <w:r>
        <w:rPr>
          <w:rFonts w:hint="eastAsia" w:ascii="宋体" w:hAnsi="宋体" w:cs="宋体"/>
          <w:sz w:val="30"/>
          <w:szCs w:val="30"/>
        </w:rPr>
        <w:t>目   录</w:t>
      </w:r>
    </w:p>
    <w:p>
      <w:pPr>
        <w:spacing w:line="360" w:lineRule="auto"/>
        <w:ind w:firstLine="482" w:firstLineChars="200"/>
        <w:outlineLvl w:val="0"/>
        <w:rPr>
          <w:b/>
          <w:sz w:val="24"/>
        </w:rPr>
      </w:pPr>
      <w:r>
        <w:rPr>
          <w:rFonts w:hint="eastAsia"/>
          <w:b/>
          <w:sz w:val="24"/>
        </w:rPr>
        <w:t>第一册  专用条款</w:t>
      </w:r>
    </w:p>
    <w:p>
      <w:pPr>
        <w:spacing w:line="360" w:lineRule="auto"/>
        <w:rPr>
          <w:sz w:val="24"/>
        </w:rPr>
      </w:pPr>
      <w:r>
        <w:rPr>
          <w:rFonts w:hint="eastAsia"/>
          <w:sz w:val="24"/>
        </w:rPr>
        <w:t xml:space="preserve"> 关键信息</w:t>
      </w:r>
    </w:p>
    <w:p>
      <w:pPr>
        <w:spacing w:line="360" w:lineRule="auto"/>
        <w:ind w:left="630" w:leftChars="300" w:firstLine="840" w:firstLineChars="400"/>
        <w:rPr>
          <w:rFonts w:ascii="宋体" w:hAnsi="宋体"/>
          <w:szCs w:val="21"/>
        </w:rPr>
      </w:pPr>
      <w:r>
        <w:rPr>
          <w:rFonts w:hint="eastAsia" w:ascii="宋体" w:hAnsi="宋体"/>
          <w:szCs w:val="21"/>
        </w:rPr>
        <w:t>第一章  单一来源采购公示、单一来源采购邀请函</w:t>
      </w:r>
    </w:p>
    <w:p>
      <w:pPr>
        <w:spacing w:line="360" w:lineRule="auto"/>
        <w:ind w:firstLine="1470" w:firstLineChars="700"/>
        <w:rPr>
          <w:rFonts w:ascii="宋体" w:hAnsi="宋体"/>
          <w:szCs w:val="21"/>
        </w:rPr>
      </w:pPr>
      <w:r>
        <w:rPr>
          <w:rFonts w:hint="eastAsia" w:ascii="宋体" w:hAnsi="宋体"/>
          <w:szCs w:val="21"/>
        </w:rPr>
        <w:t xml:space="preserve">第二章  </w:t>
      </w:r>
      <w:bookmarkStart w:id="5" w:name="_Hlk71994379"/>
      <w:r>
        <w:rPr>
          <w:rFonts w:hint="eastAsia" w:ascii="宋体" w:hAnsi="宋体"/>
          <w:szCs w:val="21"/>
        </w:rPr>
        <w:t>对通用条款的补充内容及其他关键信息</w:t>
      </w:r>
      <w:bookmarkEnd w:id="5"/>
    </w:p>
    <w:p>
      <w:pPr>
        <w:spacing w:line="360" w:lineRule="auto"/>
        <w:ind w:left="630" w:leftChars="300" w:firstLine="840" w:firstLineChars="400"/>
        <w:rPr>
          <w:rFonts w:ascii="宋体" w:hAnsi="宋体"/>
          <w:szCs w:val="21"/>
        </w:rPr>
      </w:pPr>
      <w:r>
        <w:rPr>
          <w:rFonts w:hint="eastAsia" w:ascii="宋体" w:hAnsi="宋体"/>
          <w:szCs w:val="21"/>
        </w:rPr>
        <w:t>第三章 用户需求书</w:t>
      </w:r>
    </w:p>
    <w:p>
      <w:pPr>
        <w:spacing w:line="360" w:lineRule="auto"/>
        <w:ind w:left="630" w:leftChars="300" w:firstLine="840" w:firstLineChars="400"/>
        <w:rPr>
          <w:rFonts w:ascii="宋体" w:hAnsi="宋体"/>
          <w:szCs w:val="21"/>
        </w:rPr>
      </w:pPr>
      <w:r>
        <w:rPr>
          <w:rFonts w:hint="eastAsia" w:ascii="宋体" w:hAnsi="宋体"/>
          <w:szCs w:val="21"/>
        </w:rPr>
        <w:t>第四章 采购文件组成要求及格式</w:t>
      </w:r>
    </w:p>
    <w:p>
      <w:pPr>
        <w:spacing w:line="360" w:lineRule="auto"/>
        <w:ind w:left="630" w:leftChars="300" w:firstLine="840" w:firstLineChars="400"/>
        <w:rPr>
          <w:rFonts w:ascii="宋体" w:hAnsi="宋体"/>
          <w:szCs w:val="21"/>
        </w:rPr>
      </w:pPr>
      <w:r>
        <w:rPr>
          <w:rFonts w:hint="eastAsia" w:ascii="宋体" w:hAnsi="宋体"/>
          <w:szCs w:val="21"/>
        </w:rPr>
        <w:t>第五章  合同条款及格式</w:t>
      </w:r>
    </w:p>
    <w:p>
      <w:pPr>
        <w:spacing w:line="360" w:lineRule="auto"/>
        <w:rPr>
          <w:b/>
          <w:sz w:val="24"/>
        </w:rPr>
      </w:pPr>
    </w:p>
    <w:p>
      <w:pPr>
        <w:spacing w:line="360" w:lineRule="auto"/>
        <w:ind w:firstLine="482" w:firstLineChars="200"/>
        <w:outlineLvl w:val="0"/>
        <w:rPr>
          <w:b/>
          <w:sz w:val="24"/>
        </w:rPr>
      </w:pPr>
      <w:r>
        <w:rPr>
          <w:rFonts w:hint="eastAsia"/>
          <w:b/>
          <w:sz w:val="24"/>
        </w:rPr>
        <w:t>第二册  通用条款</w:t>
      </w:r>
    </w:p>
    <w:p>
      <w:pPr>
        <w:spacing w:line="360" w:lineRule="auto"/>
        <w:ind w:firstLine="1470" w:firstLineChars="700"/>
        <w:rPr>
          <w:rFonts w:ascii="宋体" w:hAnsi="宋体"/>
          <w:szCs w:val="21"/>
        </w:rPr>
      </w:pPr>
      <w:r>
        <w:rPr>
          <w:rFonts w:hint="eastAsia" w:ascii="宋体" w:hAnsi="宋体"/>
          <w:szCs w:val="21"/>
        </w:rPr>
        <w:t>第一章  总则</w:t>
      </w:r>
    </w:p>
    <w:p>
      <w:pPr>
        <w:spacing w:line="360" w:lineRule="auto"/>
        <w:ind w:left="630" w:leftChars="300" w:firstLine="831" w:firstLineChars="396"/>
        <w:rPr>
          <w:rFonts w:ascii="宋体" w:hAnsi="宋体"/>
          <w:szCs w:val="21"/>
        </w:rPr>
      </w:pPr>
      <w:r>
        <w:rPr>
          <w:rFonts w:hint="eastAsia" w:ascii="宋体" w:hAnsi="宋体"/>
          <w:szCs w:val="21"/>
        </w:rPr>
        <w:t>第二章  单一来源采购文件</w:t>
      </w:r>
    </w:p>
    <w:p>
      <w:pPr>
        <w:spacing w:line="360" w:lineRule="auto"/>
        <w:ind w:left="630" w:leftChars="300" w:firstLine="831" w:firstLineChars="396"/>
        <w:rPr>
          <w:rFonts w:ascii="宋体" w:hAnsi="宋体"/>
          <w:szCs w:val="21"/>
        </w:rPr>
      </w:pPr>
      <w:r>
        <w:rPr>
          <w:rFonts w:hint="eastAsia" w:ascii="宋体" w:hAnsi="宋体"/>
          <w:szCs w:val="21"/>
        </w:rPr>
        <w:t>第三章  投标文件的编制</w:t>
      </w:r>
    </w:p>
    <w:p>
      <w:pPr>
        <w:spacing w:line="360" w:lineRule="auto"/>
        <w:ind w:left="630" w:leftChars="300" w:firstLine="831" w:firstLineChars="396"/>
        <w:rPr>
          <w:rFonts w:ascii="宋体" w:hAnsi="宋体"/>
          <w:szCs w:val="21"/>
        </w:rPr>
      </w:pPr>
      <w:r>
        <w:rPr>
          <w:rFonts w:hint="eastAsia" w:ascii="宋体" w:hAnsi="宋体"/>
          <w:szCs w:val="21"/>
        </w:rPr>
        <w:t>第四章  投标文件的递交</w:t>
      </w:r>
    </w:p>
    <w:p>
      <w:pPr>
        <w:spacing w:line="360" w:lineRule="auto"/>
        <w:ind w:left="630" w:leftChars="300" w:firstLine="831" w:firstLineChars="396"/>
        <w:rPr>
          <w:rFonts w:ascii="宋体" w:hAnsi="宋体"/>
          <w:szCs w:val="21"/>
        </w:rPr>
      </w:pPr>
      <w:r>
        <w:rPr>
          <w:rFonts w:hint="eastAsia" w:ascii="宋体" w:hAnsi="宋体"/>
          <w:szCs w:val="21"/>
        </w:rPr>
        <w:t>第五章  开标</w:t>
      </w:r>
    </w:p>
    <w:p>
      <w:pPr>
        <w:spacing w:line="360" w:lineRule="auto"/>
        <w:ind w:left="630" w:leftChars="300" w:firstLine="831" w:firstLineChars="396"/>
        <w:rPr>
          <w:rFonts w:ascii="宋体" w:hAnsi="宋体"/>
          <w:szCs w:val="21"/>
        </w:rPr>
      </w:pPr>
      <w:r>
        <w:rPr>
          <w:rFonts w:hint="eastAsia" w:ascii="宋体" w:hAnsi="宋体"/>
          <w:szCs w:val="21"/>
        </w:rPr>
        <w:t>第六章  评审要求</w:t>
      </w:r>
    </w:p>
    <w:p>
      <w:pPr>
        <w:spacing w:line="360" w:lineRule="auto"/>
        <w:ind w:left="630" w:leftChars="300" w:firstLine="831" w:firstLineChars="396"/>
        <w:rPr>
          <w:rFonts w:ascii="宋体" w:hAnsi="宋体"/>
          <w:szCs w:val="21"/>
        </w:rPr>
      </w:pPr>
      <w:r>
        <w:rPr>
          <w:rFonts w:hint="eastAsia" w:ascii="宋体" w:hAnsi="宋体"/>
          <w:szCs w:val="21"/>
        </w:rPr>
        <w:t>第七章  评审程序及评审方法</w:t>
      </w:r>
    </w:p>
    <w:p>
      <w:pPr>
        <w:spacing w:line="360" w:lineRule="auto"/>
        <w:ind w:left="630" w:leftChars="300" w:firstLine="831" w:firstLineChars="396"/>
        <w:rPr>
          <w:rFonts w:ascii="宋体" w:hAnsi="宋体"/>
          <w:szCs w:val="21"/>
        </w:rPr>
      </w:pPr>
      <w:r>
        <w:rPr>
          <w:rFonts w:hint="eastAsia" w:ascii="宋体" w:hAnsi="宋体"/>
          <w:szCs w:val="21"/>
        </w:rPr>
        <w:t>第八章  定标及公示</w:t>
      </w:r>
    </w:p>
    <w:p>
      <w:pPr>
        <w:spacing w:line="360" w:lineRule="auto"/>
        <w:ind w:left="630" w:leftChars="300" w:firstLine="831" w:firstLineChars="396"/>
        <w:rPr>
          <w:rFonts w:ascii="宋体" w:hAnsi="宋体"/>
          <w:szCs w:val="21"/>
        </w:rPr>
      </w:pPr>
      <w:r>
        <w:rPr>
          <w:rFonts w:hint="eastAsia" w:ascii="宋体" w:hAnsi="宋体"/>
          <w:szCs w:val="21"/>
        </w:rPr>
        <w:t>第九章  采购事项</w:t>
      </w:r>
    </w:p>
    <w:p>
      <w:pPr>
        <w:spacing w:line="360" w:lineRule="auto"/>
        <w:ind w:left="630" w:leftChars="300" w:firstLine="831" w:firstLineChars="396"/>
        <w:rPr>
          <w:rFonts w:ascii="宋体" w:hAnsi="宋体"/>
          <w:szCs w:val="21"/>
        </w:rPr>
      </w:pPr>
      <w:r>
        <w:rPr>
          <w:rFonts w:hint="eastAsia" w:ascii="宋体" w:hAnsi="宋体"/>
          <w:szCs w:val="21"/>
        </w:rPr>
        <w:t>第十章  合同的授予与备案</w:t>
      </w:r>
    </w:p>
    <w:p>
      <w:pPr>
        <w:spacing w:line="360" w:lineRule="auto"/>
        <w:ind w:firstLine="1470" w:firstLineChars="700"/>
        <w:outlineLvl w:val="0"/>
        <w:rPr>
          <w:b/>
          <w:sz w:val="24"/>
        </w:rPr>
      </w:pPr>
      <w:r>
        <w:rPr>
          <w:rFonts w:hint="eastAsia" w:ascii="宋体" w:hAnsi="宋体"/>
          <w:szCs w:val="21"/>
        </w:rPr>
        <w:t>第十一章  质疑处理</w:t>
      </w:r>
    </w:p>
    <w:p>
      <w:pPr>
        <w:pStyle w:val="23"/>
        <w:spacing w:before="0" w:beforeAutospacing="0" w:after="0" w:afterAutospacing="0" w:line="360" w:lineRule="auto"/>
        <w:jc w:val="both"/>
        <w:rPr>
          <w:rFonts w:ascii="方正小标宋_GBK" w:hAnsi="方正小标宋_GBK" w:eastAsia="方正小标宋_GBK" w:cs="方正小标宋_GBK"/>
          <w:color w:val="000000"/>
          <w:spacing w:val="-20"/>
          <w:sz w:val="36"/>
          <w:szCs w:val="36"/>
        </w:rPr>
      </w:pPr>
    </w:p>
    <w:p>
      <w:pPr>
        <w:pStyle w:val="23"/>
        <w:spacing w:before="0" w:beforeAutospacing="0" w:after="0" w:afterAutospacing="0" w:line="500" w:lineRule="exact"/>
        <w:ind w:firstLine="320" w:firstLineChars="100"/>
        <w:jc w:val="both"/>
        <w:rPr>
          <w:rFonts w:ascii="方正小标宋_GBK" w:hAnsi="方正小标宋_GBK" w:eastAsia="方正小标宋_GBK" w:cs="方正小标宋_GBK"/>
          <w:color w:val="000000"/>
          <w:spacing w:val="-20"/>
          <w:sz w:val="36"/>
          <w:szCs w:val="36"/>
        </w:rPr>
      </w:pPr>
    </w:p>
    <w:p>
      <w:pPr>
        <w:pStyle w:val="13"/>
      </w:pPr>
    </w:p>
    <w:p/>
    <w:p>
      <w:pPr>
        <w:pStyle w:val="3"/>
        <w:numPr>
          <w:ilvl w:val="0"/>
          <w:numId w:val="0"/>
        </w:numPr>
        <w:rPr>
          <w:rFonts w:ascii="方正黑体_GBK" w:hAnsi="方正黑体_GBK" w:eastAsia="方正黑体_GBK" w:cs="方正黑体_GBK"/>
          <w:bCs w:val="0"/>
          <w:szCs w:val="32"/>
        </w:rPr>
      </w:pPr>
      <w:r>
        <w:rPr>
          <w:rFonts w:hint="eastAsia" w:ascii="方正小标宋_GBK" w:hAnsi="方正小标宋_GBK" w:eastAsia="方正小标宋_GBK" w:cs="方正小标宋_GBK"/>
          <w:bCs w:val="0"/>
          <w:sz w:val="36"/>
          <w:szCs w:val="36"/>
        </w:rPr>
        <w:t>第一册 专用条款</w:t>
      </w:r>
    </w:p>
    <w:p>
      <w:pPr>
        <w:pStyle w:val="23"/>
        <w:spacing w:before="0" w:beforeAutospacing="0" w:after="0" w:afterAutospacing="0" w:line="500" w:lineRule="exact"/>
        <w:ind w:firstLine="643" w:firstLineChars="200"/>
        <w:jc w:val="both"/>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 xml:space="preserve">第一章 </w:t>
      </w:r>
      <w:r>
        <w:rPr>
          <w:rFonts w:hint="eastAsia"/>
          <w:b/>
          <w:bCs/>
          <w:sz w:val="30"/>
          <w:szCs w:val="30"/>
        </w:rPr>
        <w:t>和硕县人民医院关于“HIS、LIS、EMR”系统升级服务项目</w:t>
      </w:r>
      <w:r>
        <w:rPr>
          <w:rFonts w:hint="eastAsia" w:ascii="方正黑体_GBK" w:hAnsi="方正黑体_GBK" w:eastAsia="方正黑体_GBK" w:cs="方正黑体_GBK"/>
          <w:b/>
          <w:bCs/>
          <w:sz w:val="32"/>
          <w:szCs w:val="32"/>
        </w:rPr>
        <w:t>单一来源采购公示</w:t>
      </w:r>
    </w:p>
    <w:p>
      <w:pPr>
        <w:rPr>
          <w:rFonts w:ascii="仿宋" w:hAnsi="仿宋" w:eastAsia="仿宋" w:cs="仿宋"/>
          <w:b/>
          <w:bCs/>
          <w:spacing w:val="20"/>
          <w:sz w:val="24"/>
          <w:szCs w:val="24"/>
        </w:rPr>
      </w:pPr>
    </w:p>
    <w:p>
      <w:pPr>
        <w:ind w:firstLine="422" w:firstLineChars="200"/>
        <w:rPr>
          <w:rFonts w:ascii="宋体" w:hAnsi="宋体" w:cs="宋体"/>
          <w:b/>
          <w:bCs/>
          <w:kern w:val="0"/>
        </w:rPr>
      </w:pPr>
      <w:r>
        <w:rPr>
          <w:rFonts w:hint="eastAsia" w:ascii="宋体" w:hAnsi="宋体" w:cs="宋体"/>
          <w:b/>
          <w:bCs/>
          <w:kern w:val="0"/>
        </w:rPr>
        <w:t>一、项目信息</w:t>
      </w:r>
    </w:p>
    <w:p>
      <w:pPr>
        <w:ind w:firstLine="420" w:firstLineChars="200"/>
      </w:pPr>
      <w:r>
        <w:rPr>
          <w:rFonts w:hint="eastAsia" w:ascii="宋体" w:hAnsi="宋体" w:cs="宋体"/>
          <w:kern w:val="0"/>
        </w:rPr>
        <w:t>采购人：和硕县人民医院</w:t>
      </w:r>
    </w:p>
    <w:p>
      <w:pPr>
        <w:ind w:firstLine="420" w:firstLineChars="200"/>
        <w:rPr>
          <w:rFonts w:ascii="宋体" w:hAnsi="宋体" w:cs="宋体"/>
          <w:color w:val="FF0000"/>
          <w:kern w:val="0"/>
        </w:rPr>
      </w:pPr>
      <w:r>
        <w:rPr>
          <w:rFonts w:hint="eastAsia" w:ascii="宋体" w:hAnsi="宋体" w:cs="宋体"/>
          <w:kern w:val="0"/>
        </w:rPr>
        <w:t>项目名称：和硕县人民医院关于“HIS、LIS、EMR”系统升级服务项目</w:t>
      </w:r>
    </w:p>
    <w:p>
      <w:pPr>
        <w:ind w:firstLine="420" w:firstLineChars="200"/>
        <w:rPr>
          <w:rFonts w:ascii="宋体" w:hAnsi="宋体" w:cs="宋体"/>
          <w:kern w:val="0"/>
        </w:rPr>
      </w:pPr>
      <w:r>
        <w:rPr>
          <w:rFonts w:hint="eastAsia" w:ascii="宋体" w:hAnsi="宋体" w:cs="宋体"/>
          <w:kern w:val="0"/>
        </w:rPr>
        <w:t>拟采购货物或服务的说明：①HIS系统全面升级，升级后实现健康医疗大数据平台数据元值域功能 达到国家数据监管要求数据标准。</w:t>
      </w:r>
    </w:p>
    <w:p>
      <w:pPr>
        <w:ind w:firstLine="420" w:firstLineChars="200"/>
        <w:rPr>
          <w:rFonts w:ascii="宋体" w:hAnsi="宋体" w:cs="宋体"/>
          <w:kern w:val="0"/>
        </w:rPr>
      </w:pPr>
      <w:r>
        <w:rPr>
          <w:rFonts w:hint="eastAsia" w:ascii="宋体" w:hAnsi="宋体" w:cs="宋体"/>
          <w:kern w:val="0"/>
        </w:rPr>
        <w:t>②EMR一体化智能电子病历系统建设将实现电子医嘱和电子病历一体化集成，系统提供三级质控体系，预警规则配置模块对预警规则进行管理，实现数据纯结构化存储功能，实现首页质控、医保事前、事中控制。</w:t>
      </w:r>
    </w:p>
    <w:p>
      <w:pPr>
        <w:ind w:firstLine="420" w:firstLineChars="200"/>
        <w:rPr>
          <w:rFonts w:ascii="宋体" w:hAnsi="宋体" w:cs="宋体"/>
          <w:kern w:val="0"/>
        </w:rPr>
      </w:pPr>
      <w:r>
        <w:rPr>
          <w:rFonts w:hint="eastAsia" w:ascii="宋体" w:hAnsi="宋体" w:cs="宋体"/>
          <w:kern w:val="0"/>
        </w:rPr>
        <w:t>③LIS升级对实验室的检测设备、试剂进行统一管理，设置系统的安全策略，如用户认证、数据加密、访问控制等，确保系统的安全性和保密性。</w:t>
      </w:r>
    </w:p>
    <w:p>
      <w:pPr>
        <w:ind w:firstLine="420" w:firstLineChars="200"/>
        <w:rPr>
          <w:rFonts w:ascii="宋体" w:hAnsi="宋体" w:cs="宋体"/>
          <w:kern w:val="0"/>
        </w:rPr>
      </w:pPr>
      <w:r>
        <w:rPr>
          <w:rFonts w:hint="eastAsia" w:ascii="宋体" w:hAnsi="宋体" w:cs="宋体"/>
          <w:kern w:val="0"/>
        </w:rPr>
        <w:t xml:space="preserve">拟采购货物或服务的预算金额：68万元　 </w:t>
      </w:r>
    </w:p>
    <w:p>
      <w:pPr>
        <w:ind w:firstLine="420" w:firstLineChars="200"/>
        <w:rPr>
          <w:rFonts w:ascii="宋体" w:hAnsi="宋体" w:cs="宋体"/>
          <w:kern w:val="0"/>
        </w:rPr>
      </w:pPr>
      <w:r>
        <w:rPr>
          <w:rFonts w:hint="eastAsia" w:ascii="宋体" w:hAnsi="宋体" w:cs="宋体"/>
          <w:kern w:val="0"/>
        </w:rPr>
        <w:t>采用单一来源采购方式的原因及说明：为落实自治区、自治州纪委监委集中整治群众身边不正之风和腐败问题15件具体事实之一，根据自治区卫健委下发的《关于推进自治区医疗机构间医学检查检验结果互认试点工作的通知》和《巴州医学检查检验结果互认试点工作安排》文件精神，自治州卫健委结合自治区卫健委文件要求，各级医疗机构必须完成数据平台上传工作、电子健康档案浏览器数据对接和安装以及所有检查检验结果互认数据上传自治区平台工作。按照自治区的统一部署，启动实施全区二级及以上医院检查检验结果互认工作。紧密型县域医共体同步推进“影像、心电、检验”等共享中心建设，实施基层检查、上级诊断、检查互认共享。</w:t>
      </w:r>
    </w:p>
    <w:p>
      <w:pPr>
        <w:ind w:firstLine="420" w:firstLineChars="200"/>
        <w:rPr>
          <w:rFonts w:ascii="宋体" w:hAnsi="宋体" w:cs="宋体"/>
          <w:kern w:val="0"/>
        </w:rPr>
      </w:pPr>
      <w:r>
        <w:rPr>
          <w:rFonts w:hint="eastAsia" w:ascii="宋体" w:hAnsi="宋体" w:cs="宋体"/>
          <w:kern w:val="0"/>
        </w:rPr>
        <w:t>我院医学检查检验结果互认改造项目金额为68万元，需在政采云上进行招标采购。经专家论证，我院医学检查检验结果互认改造项目的相关系统升级任务由原有的供应商提供系统升级服务，进行单一来源采购。</w:t>
      </w:r>
    </w:p>
    <w:p>
      <w:pPr>
        <w:ind w:firstLine="422" w:firstLineChars="200"/>
        <w:rPr>
          <w:rFonts w:ascii="宋体" w:hAnsi="宋体" w:cs="宋体"/>
          <w:b/>
          <w:bCs/>
          <w:kern w:val="0"/>
        </w:rPr>
      </w:pPr>
      <w:r>
        <w:rPr>
          <w:rFonts w:hint="eastAsia" w:ascii="宋体" w:hAnsi="宋体" w:cs="宋体"/>
          <w:b/>
          <w:bCs/>
          <w:kern w:val="0"/>
        </w:rPr>
        <w:t>二、拟定供应商信息</w:t>
      </w:r>
    </w:p>
    <w:p>
      <w:pPr>
        <w:ind w:firstLine="420" w:firstLineChars="200"/>
        <w:rPr>
          <w:rFonts w:ascii="宋体" w:hAnsi="宋体" w:cs="宋体"/>
          <w:kern w:val="0"/>
        </w:rPr>
      </w:pPr>
      <w:r>
        <w:rPr>
          <w:rFonts w:hint="eastAsia" w:ascii="宋体" w:hAnsi="宋体" w:cs="宋体"/>
          <w:kern w:val="0"/>
        </w:rPr>
        <w:t>名称：乌鲁木齐高新技术产业开发区新益康软件有限公司</w:t>
      </w:r>
    </w:p>
    <w:p>
      <w:pPr>
        <w:ind w:firstLine="420" w:firstLineChars="200"/>
        <w:rPr>
          <w:rFonts w:ascii="宋体" w:hAnsi="宋体" w:cs="宋体"/>
          <w:kern w:val="0"/>
        </w:rPr>
      </w:pPr>
      <w:r>
        <w:rPr>
          <w:rFonts w:hint="eastAsia" w:ascii="宋体" w:hAnsi="宋体" w:cs="宋体"/>
          <w:kern w:val="0"/>
        </w:rPr>
        <w:t>地址：新疆维吾尔自治区乌鲁木齐市新市区长春中路525号城建大厦办公2106室</w:t>
      </w:r>
    </w:p>
    <w:p>
      <w:pPr>
        <w:ind w:firstLine="422" w:firstLineChars="200"/>
        <w:rPr>
          <w:rFonts w:ascii="宋体" w:hAnsi="宋体" w:cs="宋体"/>
          <w:b/>
          <w:bCs/>
          <w:kern w:val="0"/>
        </w:rPr>
      </w:pPr>
      <w:r>
        <w:rPr>
          <w:rFonts w:hint="eastAsia" w:ascii="宋体" w:hAnsi="宋体" w:cs="宋体"/>
          <w:b/>
          <w:bCs/>
          <w:kern w:val="0"/>
        </w:rPr>
        <w:t>三、公示期限</w:t>
      </w:r>
    </w:p>
    <w:p>
      <w:pPr>
        <w:ind w:firstLine="420" w:firstLineChars="200"/>
        <w:rPr>
          <w:rFonts w:ascii="宋体" w:hAnsi="宋体" w:cs="宋体"/>
          <w:kern w:val="0"/>
        </w:rPr>
      </w:pPr>
      <w:r>
        <w:rPr>
          <w:rFonts w:hint="eastAsia" w:ascii="宋体" w:hAnsi="宋体" w:cs="宋体"/>
          <w:color w:val="FF0000"/>
          <w:kern w:val="0"/>
        </w:rPr>
        <w:t>2024</w:t>
      </w:r>
      <w:r>
        <w:rPr>
          <w:rFonts w:hint="eastAsia" w:ascii="宋体" w:hAnsi="宋体" w:cs="宋体"/>
          <w:kern w:val="0"/>
        </w:rPr>
        <w:t xml:space="preserve">年12月12日 至2024年12月18日 </w:t>
      </w:r>
    </w:p>
    <w:p>
      <w:pPr>
        <w:ind w:firstLine="422" w:firstLineChars="200"/>
        <w:rPr>
          <w:rFonts w:ascii="宋体" w:hAnsi="宋体" w:cs="宋体"/>
          <w:kern w:val="0"/>
        </w:rPr>
      </w:pPr>
      <w:r>
        <w:rPr>
          <w:rFonts w:hint="eastAsia" w:ascii="宋体" w:hAnsi="宋体" w:cs="宋体"/>
          <w:b/>
          <w:bCs/>
          <w:kern w:val="0"/>
        </w:rPr>
        <w:t>四、其他补充事宜</w:t>
      </w:r>
      <w:r>
        <w:rPr>
          <w:rFonts w:hint="eastAsia" w:ascii="宋体" w:hAnsi="宋体" w:cs="宋体"/>
          <w:kern w:val="0"/>
        </w:rPr>
        <w:t>：本项目公告期限为5个工作日，供应商对该项目拟采用单一来源采购方式及其理由和相关需求有异议的，可以在公示期限内以书面形式向采购人及同级财政监管部门提出异议。</w:t>
      </w:r>
    </w:p>
    <w:p>
      <w:pPr>
        <w:ind w:firstLine="422" w:firstLineChars="200"/>
        <w:rPr>
          <w:rFonts w:ascii="宋体" w:hAnsi="宋体" w:cs="宋体"/>
          <w:b/>
          <w:bCs/>
          <w:kern w:val="0"/>
        </w:rPr>
      </w:pPr>
      <w:r>
        <w:rPr>
          <w:rFonts w:hint="eastAsia" w:ascii="宋体" w:hAnsi="宋体" w:cs="宋体"/>
          <w:b/>
          <w:bCs/>
          <w:kern w:val="0"/>
        </w:rPr>
        <w:t>五、联系方式</w:t>
      </w:r>
    </w:p>
    <w:p>
      <w:pPr>
        <w:ind w:firstLine="420" w:firstLineChars="200"/>
        <w:rPr>
          <w:rFonts w:ascii="宋体" w:hAnsi="宋体" w:cs="宋体"/>
          <w:kern w:val="0"/>
        </w:rPr>
      </w:pPr>
      <w:r>
        <w:rPr>
          <w:rFonts w:hint="eastAsia" w:ascii="宋体" w:hAnsi="宋体" w:cs="宋体"/>
          <w:kern w:val="0"/>
        </w:rPr>
        <w:t>1.采购方：和硕县人民医院</w:t>
      </w:r>
    </w:p>
    <w:p>
      <w:pPr>
        <w:ind w:firstLine="420" w:firstLineChars="200"/>
        <w:rPr>
          <w:rFonts w:ascii="宋体" w:hAnsi="宋体" w:cs="宋体"/>
          <w:kern w:val="0"/>
        </w:rPr>
      </w:pPr>
      <w:r>
        <w:rPr>
          <w:rFonts w:hint="eastAsia" w:ascii="宋体" w:hAnsi="宋体" w:cs="宋体"/>
          <w:kern w:val="0"/>
        </w:rPr>
        <w:t>联 系 人：尼米格尔</w:t>
      </w:r>
    </w:p>
    <w:p>
      <w:pPr>
        <w:ind w:firstLine="420" w:firstLineChars="200"/>
        <w:rPr>
          <w:rFonts w:ascii="宋体" w:hAnsi="宋体" w:cs="宋体"/>
          <w:kern w:val="0"/>
        </w:rPr>
      </w:pPr>
      <w:r>
        <w:rPr>
          <w:rFonts w:hint="eastAsia" w:ascii="宋体" w:hAnsi="宋体" w:cs="宋体"/>
          <w:kern w:val="0"/>
        </w:rPr>
        <w:t>联系地址：和硕县人民医院信息科</w:t>
      </w:r>
    </w:p>
    <w:p>
      <w:pPr>
        <w:ind w:firstLine="420" w:firstLineChars="200"/>
        <w:rPr>
          <w:rFonts w:ascii="宋体" w:hAnsi="宋体" w:cs="宋体"/>
          <w:kern w:val="0"/>
        </w:rPr>
      </w:pPr>
      <w:r>
        <w:rPr>
          <w:rFonts w:hint="eastAsia" w:ascii="宋体" w:hAnsi="宋体" w:cs="宋体"/>
          <w:kern w:val="0"/>
        </w:rPr>
        <w:t>联系电话：13150259359</w:t>
      </w:r>
    </w:p>
    <w:p>
      <w:pPr>
        <w:ind w:firstLine="420" w:firstLineChars="200"/>
        <w:rPr>
          <w:rFonts w:ascii="宋体" w:hAnsi="宋体" w:cs="宋体"/>
          <w:kern w:val="0"/>
        </w:rPr>
      </w:pPr>
      <w:r>
        <w:rPr>
          <w:rFonts w:hint="eastAsia" w:ascii="宋体" w:hAnsi="宋体" w:cs="宋体"/>
          <w:kern w:val="0"/>
        </w:rPr>
        <w:t>2.财政部门</w:t>
      </w:r>
    </w:p>
    <w:p>
      <w:pPr>
        <w:ind w:firstLine="420" w:firstLineChars="200"/>
        <w:rPr>
          <w:rFonts w:ascii="宋体" w:hAnsi="宋体" w:cs="宋体"/>
          <w:kern w:val="0"/>
        </w:rPr>
      </w:pPr>
      <w:r>
        <w:rPr>
          <w:rFonts w:hint="eastAsia" w:ascii="宋体" w:hAnsi="宋体" w:cs="宋体"/>
          <w:kern w:val="0"/>
        </w:rPr>
        <w:t>联 系 人：阿丽米热</w:t>
      </w:r>
    </w:p>
    <w:p>
      <w:pPr>
        <w:ind w:firstLine="420" w:firstLineChars="200"/>
        <w:rPr>
          <w:rFonts w:ascii="宋体" w:hAnsi="宋体" w:cs="宋体"/>
          <w:kern w:val="0"/>
        </w:rPr>
      </w:pPr>
      <w:r>
        <w:rPr>
          <w:rFonts w:hint="eastAsia" w:ascii="宋体" w:hAnsi="宋体" w:cs="宋体"/>
          <w:kern w:val="0"/>
        </w:rPr>
        <w:t>联系地址： 和硕县财政局</w:t>
      </w:r>
    </w:p>
    <w:p>
      <w:pPr>
        <w:ind w:firstLine="420" w:firstLineChars="200"/>
        <w:rPr>
          <w:rFonts w:ascii="宋体" w:hAnsi="宋体" w:cs="宋体"/>
          <w:kern w:val="0"/>
        </w:rPr>
      </w:pPr>
      <w:r>
        <w:rPr>
          <w:rFonts w:hint="eastAsia" w:ascii="宋体" w:hAnsi="宋体" w:cs="宋体"/>
          <w:kern w:val="0"/>
        </w:rPr>
        <w:t>联系电话： 18599446810</w:t>
      </w:r>
    </w:p>
    <w:p>
      <w:pPr>
        <w:ind w:firstLine="420" w:firstLineChars="200"/>
        <w:rPr>
          <w:rFonts w:ascii="宋体" w:hAnsi="宋体" w:cs="宋体"/>
          <w:kern w:val="0"/>
        </w:rPr>
      </w:pPr>
      <w:r>
        <w:rPr>
          <w:rFonts w:hint="eastAsia" w:ascii="宋体" w:hAnsi="宋体" w:cs="宋体"/>
          <w:kern w:val="0"/>
        </w:rPr>
        <w:t>3.采购代理机构</w:t>
      </w:r>
    </w:p>
    <w:p>
      <w:pPr>
        <w:pStyle w:val="2"/>
        <w:ind w:firstLine="440" w:firstLineChars="200"/>
        <w:rPr>
          <w:rFonts w:ascii="宋体" w:hAnsi="宋体" w:cs="宋体"/>
          <w:color w:val="FF0000"/>
          <w:lang w:val="en-US"/>
        </w:rPr>
      </w:pPr>
      <w:r>
        <w:rPr>
          <w:rFonts w:hint="eastAsia" w:ascii="宋体" w:hAnsi="宋体" w:cs="宋体"/>
        </w:rPr>
        <w:t>联 系 人：</w:t>
      </w:r>
    </w:p>
    <w:p>
      <w:pPr>
        <w:ind w:firstLine="420" w:firstLineChars="200"/>
        <w:rPr>
          <w:rFonts w:ascii="宋体" w:hAnsi="宋体" w:cs="宋体"/>
          <w:kern w:val="0"/>
        </w:rPr>
      </w:pPr>
      <w:r>
        <w:rPr>
          <w:rFonts w:hint="eastAsia" w:ascii="宋体" w:hAnsi="宋体" w:cs="宋体"/>
          <w:kern w:val="0"/>
        </w:rPr>
        <w:t>联系地址：库尔勒市索克巴格路州住建大厦14楼</w:t>
      </w:r>
    </w:p>
    <w:p>
      <w:pPr>
        <w:ind w:firstLine="420" w:firstLineChars="200"/>
        <w:rPr>
          <w:rFonts w:ascii="宋体" w:hAnsi="宋体" w:cs="宋体"/>
          <w:kern w:val="0"/>
        </w:rPr>
      </w:pPr>
      <w:r>
        <w:rPr>
          <w:rFonts w:hint="eastAsia" w:ascii="宋体" w:hAnsi="宋体" w:cs="宋体"/>
          <w:kern w:val="0"/>
        </w:rPr>
        <w:t>联系电话：0996-2035295</w:t>
      </w:r>
    </w:p>
    <w:p>
      <w:pPr>
        <w:pStyle w:val="34"/>
        <w:rPr>
          <w:rFonts w:ascii="仿宋" w:hAnsi="仿宋" w:eastAsia="仿宋" w:cs="仿宋"/>
          <w:spacing w:val="20"/>
          <w:sz w:val="28"/>
          <w:szCs w:val="28"/>
        </w:rPr>
      </w:pPr>
    </w:p>
    <w:p>
      <w:pPr>
        <w:spacing w:line="360" w:lineRule="auto"/>
        <w:rPr>
          <w:rFonts w:ascii="方正小标宋_GBK" w:hAnsi="方正小标宋_GBK" w:eastAsia="方正小标宋_GBK" w:cs="方正小标宋_GBK"/>
          <w:b/>
          <w:bCs/>
          <w:sz w:val="36"/>
          <w:szCs w:val="36"/>
        </w:rPr>
      </w:pPr>
    </w:p>
    <w:p>
      <w:pPr>
        <w:pStyle w:val="2"/>
        <w:rPr>
          <w:rFonts w:ascii="方正小标宋_GBK" w:hAnsi="方正小标宋_GBK" w:eastAsia="方正小标宋_GBK" w:cs="方正小标宋_GBK"/>
          <w:b/>
          <w:bCs/>
          <w:sz w:val="36"/>
          <w:szCs w:val="36"/>
          <w:lang w:val="en-US"/>
        </w:rPr>
      </w:pPr>
    </w:p>
    <w:p>
      <w:pPr>
        <w:pStyle w:val="31"/>
        <w:ind w:firstLine="723"/>
        <w:rPr>
          <w:rFonts w:ascii="方正小标宋_GBK" w:hAnsi="方正小标宋_GBK" w:eastAsia="方正小标宋_GBK" w:cs="方正小标宋_GBK"/>
          <w:b/>
          <w:bCs/>
          <w:sz w:val="36"/>
          <w:szCs w:val="36"/>
        </w:rPr>
      </w:pPr>
    </w:p>
    <w:p>
      <w:pPr>
        <w:rPr>
          <w:rFonts w:ascii="方正小标宋_GBK" w:hAnsi="方正小标宋_GBK" w:eastAsia="方正小标宋_GBK" w:cs="方正小标宋_GBK"/>
          <w:b/>
          <w:bCs/>
          <w:sz w:val="36"/>
          <w:szCs w:val="36"/>
        </w:rPr>
      </w:pPr>
    </w:p>
    <w:p>
      <w:pPr>
        <w:pStyle w:val="2"/>
        <w:rPr>
          <w:lang w:val="en-US"/>
        </w:rPr>
      </w:pPr>
    </w:p>
    <w:p>
      <w:pPr>
        <w:spacing w:line="360" w:lineRule="auto"/>
        <w:jc w:val="center"/>
        <w:rPr>
          <w:rFonts w:ascii="方正黑体_GBK" w:hAnsi="方正黑体_GBK" w:eastAsia="方正黑体_GBK" w:cs="方正黑体_GBK"/>
          <w:kern w:val="0"/>
          <w:sz w:val="32"/>
          <w:szCs w:val="32"/>
        </w:rPr>
      </w:pPr>
    </w:p>
    <w:p>
      <w:pPr>
        <w:spacing w:line="360" w:lineRule="auto"/>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单一来源采购邀请函</w:t>
      </w:r>
    </w:p>
    <w:p>
      <w:pPr>
        <w:ind w:firstLine="420" w:firstLineChars="200"/>
        <w:rPr>
          <w:rFonts w:ascii="宋体" w:hAnsi="宋体" w:cs="宋体"/>
          <w:kern w:val="0"/>
        </w:rPr>
      </w:pPr>
    </w:p>
    <w:p>
      <w:pPr>
        <w:ind w:firstLine="420" w:firstLineChars="200"/>
        <w:rPr>
          <w:rFonts w:ascii="宋体" w:hAnsi="宋体" w:cs="宋体"/>
          <w:color w:val="FF0000"/>
          <w:kern w:val="0"/>
        </w:rPr>
      </w:pPr>
      <w:r>
        <w:rPr>
          <w:rFonts w:hint="eastAsia" w:ascii="宋体" w:hAnsi="宋体" w:cs="宋体"/>
          <w:kern w:val="0"/>
        </w:rPr>
        <w:t>乌鲁木齐高新技术产业开发区新益康软件有限公司</w:t>
      </w:r>
      <w:r>
        <w:rPr>
          <w:rFonts w:hint="eastAsia" w:ascii="宋体" w:hAnsi="宋体" w:cs="宋体"/>
          <w:color w:val="FF0000"/>
          <w:kern w:val="0"/>
        </w:rPr>
        <w:t>：</w:t>
      </w:r>
    </w:p>
    <w:p>
      <w:pPr>
        <w:ind w:firstLine="420" w:firstLineChars="200"/>
        <w:rPr>
          <w:rFonts w:ascii="宋体" w:hAnsi="宋体" w:cs="宋体"/>
          <w:kern w:val="0"/>
        </w:rPr>
      </w:pPr>
      <w:r>
        <w:rPr>
          <w:rFonts w:hint="eastAsia" w:ascii="宋体" w:hAnsi="宋体" w:cs="宋体"/>
          <w:kern w:val="0"/>
        </w:rPr>
        <w:t>巴州政务服务和公共资源交易中心（以下简称“集采代理机构”）</w:t>
      </w:r>
      <w:r>
        <w:rPr>
          <w:rFonts w:hint="eastAsia" w:ascii="宋体" w:hAnsi="宋体" w:cs="宋体"/>
          <w:color w:val="FF0000"/>
          <w:kern w:val="0"/>
        </w:rPr>
        <w:t>受</w:t>
      </w:r>
      <w:r>
        <w:rPr>
          <w:rFonts w:hint="eastAsia" w:ascii="宋体" w:hAnsi="宋体" w:cs="宋体"/>
          <w:color w:val="FF0000"/>
          <w:kern w:val="0"/>
          <w:u w:val="single"/>
        </w:rPr>
        <w:t>和硕县人民医院</w:t>
      </w:r>
      <w:r>
        <w:rPr>
          <w:rFonts w:hint="eastAsia" w:ascii="宋体" w:hAnsi="宋体" w:cs="宋体"/>
          <w:color w:val="FF0000"/>
          <w:kern w:val="0"/>
        </w:rPr>
        <w:t>（以下简称“采购人”）的委托，对</w:t>
      </w:r>
      <w:r>
        <w:rPr>
          <w:rFonts w:hint="eastAsia" w:ascii="宋体" w:hAnsi="宋体" w:cs="宋体"/>
          <w:color w:val="FF0000"/>
          <w:kern w:val="0"/>
          <w:u w:val="single"/>
        </w:rPr>
        <w:t>和硕县人民医院关于“HIS、LIS、EMR”系统升级服务</w:t>
      </w:r>
      <w:r>
        <w:rPr>
          <w:rFonts w:hint="eastAsia" w:ascii="宋体" w:hAnsi="宋体" w:cs="宋体"/>
          <w:kern w:val="0"/>
        </w:rPr>
        <w:t>项目进行单一来源采购，请你公司严格按照采购文件要求，做好投标文件和谈判准备工作。</w:t>
      </w:r>
      <w:bookmarkStart w:id="6" w:name="_Toc28359079"/>
      <w:bookmarkStart w:id="7" w:name="_Toc35393621"/>
      <w:bookmarkStart w:id="8" w:name="_Toc28359002"/>
      <w:bookmarkStart w:id="9" w:name="_Toc35393790"/>
      <w:bookmarkStart w:id="10" w:name="_Hlk24379207"/>
    </w:p>
    <w:bookmarkEnd w:id="6"/>
    <w:bookmarkEnd w:id="7"/>
    <w:bookmarkEnd w:id="8"/>
    <w:bookmarkEnd w:id="9"/>
    <w:bookmarkEnd w:id="10"/>
    <w:p>
      <w:pPr>
        <w:ind w:firstLine="420" w:firstLineChars="200"/>
        <w:rPr>
          <w:rFonts w:ascii="宋体" w:hAnsi="宋体" w:cs="宋体"/>
          <w:kern w:val="0"/>
        </w:rPr>
      </w:pPr>
      <w:r>
        <w:rPr>
          <w:rFonts w:hint="eastAsia" w:ascii="宋体" w:hAnsi="宋体" w:cs="宋体"/>
          <w:kern w:val="0"/>
        </w:rPr>
        <w:t>一、项目基本情况</w:t>
      </w:r>
    </w:p>
    <w:p>
      <w:pPr>
        <w:ind w:firstLine="420" w:firstLineChars="200"/>
        <w:rPr>
          <w:rFonts w:ascii="宋体" w:hAnsi="宋体" w:cs="宋体"/>
          <w:kern w:val="0"/>
        </w:rPr>
      </w:pPr>
      <w:r>
        <w:rPr>
          <w:rFonts w:hint="eastAsia" w:ascii="宋体" w:hAnsi="宋体" w:cs="宋体"/>
          <w:kern w:val="0"/>
        </w:rPr>
        <w:t xml:space="preserve">1.项目编号: BZZZZX(DY)2025-001号   </w:t>
      </w:r>
    </w:p>
    <w:p>
      <w:pPr>
        <w:ind w:firstLine="420" w:firstLineChars="200"/>
        <w:rPr>
          <w:rFonts w:ascii="宋体" w:hAnsi="宋体" w:cs="宋体"/>
          <w:kern w:val="0"/>
        </w:rPr>
      </w:pPr>
      <w:r>
        <w:rPr>
          <w:rFonts w:hint="eastAsia" w:ascii="宋体" w:hAnsi="宋体" w:cs="宋体"/>
          <w:kern w:val="0"/>
        </w:rPr>
        <w:t>2.项目名称：和硕县人民医院关于“HIS、LIS、EMR”系统升级服务项目；</w:t>
      </w:r>
    </w:p>
    <w:p>
      <w:pPr>
        <w:ind w:firstLine="420" w:firstLineChars="200"/>
        <w:rPr>
          <w:rFonts w:ascii="宋体" w:hAnsi="宋体" w:cs="宋体"/>
          <w:kern w:val="0"/>
        </w:rPr>
      </w:pPr>
      <w:r>
        <w:rPr>
          <w:rFonts w:hint="eastAsia" w:ascii="宋体" w:hAnsi="宋体" w:cs="宋体"/>
          <w:kern w:val="0"/>
        </w:rPr>
        <w:t>3.预算金额：68万元；</w:t>
      </w:r>
    </w:p>
    <w:p>
      <w:pPr>
        <w:ind w:firstLine="420" w:firstLineChars="200"/>
        <w:rPr>
          <w:rFonts w:ascii="宋体" w:hAnsi="宋体" w:cs="宋体"/>
          <w:kern w:val="0"/>
        </w:rPr>
      </w:pPr>
      <w:r>
        <w:rPr>
          <w:rFonts w:hint="eastAsia" w:ascii="宋体" w:hAnsi="宋体" w:cs="宋体"/>
          <w:kern w:val="0"/>
        </w:rPr>
        <w:t>4.最高限价: 68万元；</w:t>
      </w:r>
    </w:p>
    <w:p>
      <w:pPr>
        <w:ind w:firstLine="420" w:firstLineChars="200"/>
        <w:rPr>
          <w:rFonts w:ascii="宋体" w:hAnsi="宋体" w:cs="宋体"/>
          <w:kern w:val="0"/>
        </w:rPr>
      </w:pPr>
      <w:r>
        <w:rPr>
          <w:rFonts w:hint="eastAsia" w:ascii="宋体" w:hAnsi="宋体" w:cs="宋体"/>
          <w:kern w:val="0"/>
        </w:rPr>
        <w:t>5.采购需求：乌鲁木齐高新技术产业开发区新益康软件有限公司负责完成和硕县人民医院HIS、LIS、EMR系统的升级改造，涵盖的范围包括系统软件安装、调试和对整个所涉软件的技术支持、服务与培训等工作。</w:t>
      </w:r>
    </w:p>
    <w:p>
      <w:pPr>
        <w:ind w:firstLine="420" w:firstLineChars="200"/>
        <w:rPr>
          <w:rFonts w:ascii="宋体" w:hAnsi="宋体" w:cs="宋体"/>
          <w:kern w:val="0"/>
          <w:highlight w:val="yellow"/>
        </w:rPr>
      </w:pPr>
      <w:r>
        <w:rPr>
          <w:rFonts w:hint="eastAsia" w:ascii="宋体" w:hAnsi="宋体" w:cs="宋体"/>
          <w:kern w:val="0"/>
        </w:rPr>
        <w:t>6.合同履行期限：</w:t>
      </w:r>
      <w:r>
        <w:rPr>
          <w:rFonts w:hint="eastAsia" w:ascii="宋体" w:hAnsi="宋体" w:cs="宋体"/>
          <w:kern w:val="0"/>
          <w:highlight w:val="yellow"/>
        </w:rPr>
        <w:t>本合同签订后15个工作日</w:t>
      </w:r>
      <w:bookmarkStart w:id="11" w:name="_Toc28359003"/>
      <w:bookmarkStart w:id="12" w:name="_Toc28359080"/>
      <w:bookmarkStart w:id="13" w:name="_Toc35393622"/>
      <w:bookmarkStart w:id="14" w:name="_Toc35393791"/>
      <w:r>
        <w:rPr>
          <w:rFonts w:hint="eastAsia" w:ascii="宋体" w:hAnsi="宋体" w:cs="宋体"/>
          <w:kern w:val="0"/>
          <w:highlight w:val="yellow"/>
        </w:rPr>
        <w:t>；</w:t>
      </w:r>
    </w:p>
    <w:p>
      <w:pPr>
        <w:ind w:firstLine="420" w:firstLineChars="200"/>
        <w:rPr>
          <w:rFonts w:ascii="宋体" w:hAnsi="宋体" w:cs="宋体"/>
          <w:kern w:val="0"/>
        </w:rPr>
      </w:pPr>
      <w:r>
        <w:rPr>
          <w:rFonts w:hint="eastAsia" w:ascii="宋体" w:hAnsi="宋体" w:cs="宋体"/>
          <w:kern w:val="0"/>
        </w:rPr>
        <w:t>7.本项目</w:t>
      </w:r>
      <w:r>
        <w:rPr>
          <w:rFonts w:hint="eastAsia" w:ascii="宋体" w:hAnsi="宋体" w:cs="宋体"/>
          <w:color w:val="FF0000"/>
          <w:kern w:val="0"/>
        </w:rPr>
        <w:t>不接受</w:t>
      </w:r>
      <w:r>
        <w:rPr>
          <w:rFonts w:hint="eastAsia" w:ascii="宋体" w:hAnsi="宋体" w:cs="宋体"/>
          <w:kern w:val="0"/>
        </w:rPr>
        <w:t>联合体投标；</w:t>
      </w:r>
    </w:p>
    <w:p>
      <w:pPr>
        <w:tabs>
          <w:tab w:val="left" w:pos="900"/>
        </w:tabs>
        <w:ind w:firstLine="420" w:firstLineChars="200"/>
        <w:rPr>
          <w:rFonts w:ascii="宋体" w:hAnsi="宋体" w:cs="宋体"/>
          <w:kern w:val="0"/>
        </w:rPr>
      </w:pPr>
      <w:r>
        <w:rPr>
          <w:rFonts w:hint="eastAsia" w:ascii="宋体" w:hAnsi="宋体" w:cs="宋体"/>
          <w:kern w:val="0"/>
        </w:rPr>
        <w:t>8.本项目</w:t>
      </w:r>
      <w:r>
        <w:rPr>
          <w:rFonts w:hint="eastAsia" w:ascii="宋体" w:hAnsi="宋体" w:cs="宋体"/>
          <w:color w:val="FF0000"/>
          <w:kern w:val="0"/>
        </w:rPr>
        <w:t>不接受</w:t>
      </w:r>
      <w:r>
        <w:rPr>
          <w:rFonts w:hint="eastAsia" w:ascii="宋体" w:hAnsi="宋体" w:cs="宋体"/>
          <w:kern w:val="0"/>
        </w:rPr>
        <w:t>项目分包；</w:t>
      </w:r>
    </w:p>
    <w:p>
      <w:pPr>
        <w:tabs>
          <w:tab w:val="left" w:pos="900"/>
        </w:tabs>
        <w:ind w:firstLine="422" w:firstLineChars="200"/>
        <w:rPr>
          <w:rFonts w:ascii="宋体" w:hAnsi="宋体" w:cs="宋体"/>
          <w:b/>
          <w:bCs/>
        </w:rPr>
      </w:pPr>
      <w:r>
        <w:rPr>
          <w:rFonts w:hint="eastAsia" w:ascii="宋体" w:hAnsi="宋体" w:cs="宋体"/>
          <w:b/>
          <w:bCs/>
        </w:rPr>
        <w:t>二、合格投标供应商资格要求：</w:t>
      </w:r>
      <w:bookmarkEnd w:id="11"/>
      <w:bookmarkEnd w:id="12"/>
      <w:bookmarkEnd w:id="13"/>
      <w:bookmarkEnd w:id="14"/>
    </w:p>
    <w:p>
      <w:pPr>
        <w:tabs>
          <w:tab w:val="left" w:pos="900"/>
        </w:tabs>
        <w:ind w:firstLine="420" w:firstLineChars="200"/>
        <w:rPr>
          <w:rFonts w:ascii="宋体" w:hAnsi="宋体" w:cs="宋体"/>
        </w:rPr>
      </w:pPr>
      <w:bookmarkStart w:id="15" w:name="_Toc28359004"/>
      <w:bookmarkStart w:id="16" w:name="_Toc28359081"/>
      <w:r>
        <w:rPr>
          <w:rFonts w:hint="eastAsia" w:ascii="宋体" w:hAnsi="宋体" w:cs="宋体"/>
        </w:rPr>
        <w:t>1.满足《中华人民共和国政府采购法》第二十二条规定；</w:t>
      </w:r>
    </w:p>
    <w:p>
      <w:pPr>
        <w:tabs>
          <w:tab w:val="left" w:pos="900"/>
        </w:tabs>
        <w:ind w:firstLine="420" w:firstLineChars="200"/>
        <w:rPr>
          <w:rFonts w:ascii="宋体" w:hAnsi="宋体" w:cs="宋体"/>
        </w:rPr>
      </w:pPr>
      <w:r>
        <w:rPr>
          <w:rFonts w:hint="eastAsia" w:ascii="宋体" w:hAnsi="宋体" w:cs="宋体"/>
        </w:rPr>
        <w:t>（1）</w:t>
      </w:r>
      <w:r>
        <w:t>具有独立承担民事责任的能力：</w:t>
      </w:r>
      <w:r>
        <w:rPr>
          <w:rFonts w:hint="eastAsia" w:ascii="宋体" w:hAnsi="宋体" w:cs="宋体"/>
        </w:rPr>
        <w:t>在中华人民共和国境内注册的法人或其他组织或自然人， 投标（响应）时提交有效的营业执照（或事业法人登记证或身份证等相关证明）复印件。分支机构投标的，须提供总公司和分公司营业执照副本复印件，总公司出具给分支机构的授权书。</w:t>
      </w:r>
    </w:p>
    <w:p>
      <w:pPr>
        <w:ind w:firstLine="420" w:firstLineChars="200"/>
        <w:rPr>
          <w:rFonts w:ascii="宋体" w:hAnsi="宋体" w:cs="宋体"/>
          <w:kern w:val="0"/>
        </w:rPr>
      </w:pPr>
      <w:r>
        <w:rPr>
          <w:rFonts w:hint="eastAsia" w:ascii="宋体" w:hAnsi="宋体" w:cs="宋体"/>
          <w:kern w:val="0"/>
        </w:rPr>
        <w:t>（2）参与本项目投标前三年内，在经营活动中没有重大违法记录（由供应商在《政府采购投标及履约承诺函》中作出声明）；</w:t>
      </w:r>
    </w:p>
    <w:p>
      <w:pPr>
        <w:ind w:firstLine="420" w:firstLineChars="200"/>
        <w:rPr>
          <w:rFonts w:ascii="宋体" w:hAnsi="宋体" w:cs="宋体"/>
          <w:kern w:val="0"/>
        </w:rPr>
      </w:pPr>
      <w:r>
        <w:rPr>
          <w:rFonts w:hint="eastAsia" w:ascii="宋体" w:hAnsi="宋体" w:cs="宋体"/>
          <w:kern w:val="0"/>
        </w:rPr>
        <w:t>（3）参与本项目政府采购活动时不存在被有关部门禁止参与政府采购活动且在有效期内的情况（由供应商在《政府采购投标及履约承诺函》中作出声明）；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kern w:val="0"/>
        </w:rPr>
      </w:pPr>
      <w:r>
        <w:rPr>
          <w:rFonts w:hint="eastAsia" w:ascii="宋体" w:hAnsi="宋体" w:cs="宋体"/>
          <w:kern w:val="0"/>
        </w:rPr>
        <w:t>（4）</w:t>
      </w:r>
      <w:r>
        <w:rPr>
          <w:rFonts w:hint="eastAsia" w:ascii="宋体" w:hAnsi="宋体" w:cs="宋体"/>
        </w:rPr>
        <w:t>未被“信用中国”网站（http://www.creditchina.gov.cn）、中国政府采购网(http://www.ccgp.gov.cn)、国家企业信用信息公示系统(</w:t>
      </w:r>
      <w:r>
        <w:fldChar w:fldCharType="begin"/>
      </w:r>
      <w:r>
        <w:instrText xml:space="preserve"> HYPERLINK "http://www/" \t "_blank" </w:instrText>
      </w:r>
      <w:r>
        <w:fldChar w:fldCharType="separate"/>
      </w:r>
      <w:r>
        <w:rPr>
          <w:rFonts w:hint="eastAsia" w:ascii="宋体" w:hAnsi="宋体" w:cs="宋体"/>
        </w:rPr>
        <w:t>http://www</w:t>
      </w:r>
      <w:r>
        <w:rPr>
          <w:rFonts w:hint="eastAsia" w:ascii="宋体" w:hAnsi="宋体" w:cs="宋体"/>
        </w:rPr>
        <w:fldChar w:fldCharType="end"/>
      </w:r>
      <w:r>
        <w:rPr>
          <w:rFonts w:hint="eastAsia" w:ascii="宋体" w:hAnsi="宋体" w:cs="宋体"/>
        </w:rPr>
        <w:t>.gsxt.gov.cn)列</w:t>
      </w:r>
      <w:r>
        <w:rPr>
          <w:rFonts w:hint="eastAsia" w:ascii="宋体" w:hAnsi="宋体" w:cs="宋体"/>
          <w:kern w:val="0"/>
        </w:rPr>
        <w:t>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rPr>
      </w:pPr>
      <w:r>
        <w:rPr>
          <w:rFonts w:hint="eastAsia" w:ascii="宋体" w:hAnsi="宋体" w:cs="宋体"/>
          <w:kern w:val="0"/>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tabs>
          <w:tab w:val="left" w:pos="900"/>
        </w:tabs>
        <w:ind w:firstLine="420" w:firstLineChars="200"/>
        <w:rPr>
          <w:rFonts w:hint="default" w:ascii="宋体" w:hAnsi="宋体" w:eastAsia="宋体" w:cs="宋体"/>
          <w:color w:val="FF0000"/>
          <w:lang w:val="en-US" w:eastAsia="zh-CN"/>
        </w:rPr>
      </w:pPr>
      <w:r>
        <w:rPr>
          <w:rFonts w:hint="eastAsia" w:ascii="宋体" w:hAnsi="宋体" w:cs="宋体"/>
        </w:rPr>
        <w:t>2.落实政府采购政策需满足的资格要求：</w:t>
      </w:r>
      <w:r>
        <w:rPr>
          <w:rFonts w:hint="eastAsia" w:ascii="宋体" w:hAnsi="宋体" w:cs="宋体"/>
          <w:color w:val="FF0000"/>
          <w:lang w:val="en-US" w:eastAsia="zh-CN"/>
        </w:rPr>
        <w:t>本项目专门面向中小企业</w:t>
      </w:r>
    </w:p>
    <w:p>
      <w:pPr>
        <w:tabs>
          <w:tab w:val="left" w:pos="900"/>
        </w:tabs>
        <w:ind w:firstLine="420" w:firstLineChars="200"/>
        <w:rPr>
          <w:rFonts w:ascii="宋体" w:hAnsi="宋体" w:cs="宋体"/>
        </w:rPr>
      </w:pPr>
      <w:r>
        <w:rPr>
          <w:rFonts w:hint="eastAsia" w:ascii="宋体" w:hAnsi="宋体" w:cs="宋体"/>
        </w:rPr>
        <w:t>本项目采购标的对应的中小企业划分标准所属行业为</w:t>
      </w:r>
      <w:r>
        <w:rPr>
          <w:rFonts w:hint="eastAsia" w:ascii="宋体" w:hAnsi="宋体" w:cs="宋体"/>
          <w:color w:val="FF0000"/>
        </w:rPr>
        <w:t>“软件和信息技术服务业 ”</w:t>
      </w:r>
      <w:r>
        <w:rPr>
          <w:rFonts w:hint="eastAsia" w:ascii="宋体" w:hAnsi="宋体" w:cs="宋体"/>
        </w:rPr>
        <w:t>。行业划分标准按《国民经济行业分类》执行。中小企业划分标准按《中小企业划型标准规定》（工信部联企业[2011]300号）文件规定执行。</w:t>
      </w:r>
    </w:p>
    <w:p>
      <w:pPr>
        <w:pStyle w:val="2"/>
        <w:widowControl w:val="0"/>
        <w:ind w:firstLine="420" w:firstLineChars="200"/>
        <w:rPr>
          <w:rFonts w:ascii="宋体" w:hAnsi="宋体" w:cs="宋体"/>
          <w:color w:val="FF0000"/>
          <w:sz w:val="21"/>
          <w:szCs w:val="21"/>
          <w:lang w:val="en-US"/>
        </w:rPr>
      </w:pPr>
      <w:r>
        <w:rPr>
          <w:rFonts w:hint="eastAsia" w:ascii="宋体" w:hAnsi="宋体" w:cs="宋体"/>
          <w:sz w:val="21"/>
          <w:szCs w:val="21"/>
        </w:rPr>
        <w:t>3.本项目的特定资格要求：</w:t>
      </w:r>
      <w:r>
        <w:rPr>
          <w:rFonts w:hint="eastAsia" w:ascii="宋体" w:hAnsi="宋体" w:cs="宋体"/>
          <w:color w:val="FF0000"/>
          <w:sz w:val="21"/>
          <w:szCs w:val="21"/>
          <w:lang w:val="en-US"/>
        </w:rPr>
        <w:t>无</w:t>
      </w:r>
    </w:p>
    <w:p>
      <w:pPr>
        <w:tabs>
          <w:tab w:val="left" w:pos="900"/>
        </w:tabs>
        <w:ind w:firstLine="422" w:firstLineChars="200"/>
        <w:rPr>
          <w:rFonts w:ascii="宋体" w:hAnsi="宋体" w:cs="宋体"/>
          <w:b/>
          <w:bCs/>
        </w:rPr>
      </w:pPr>
      <w:bookmarkStart w:id="17" w:name="_Toc35393792"/>
      <w:bookmarkStart w:id="18" w:name="_Toc35393623"/>
      <w:r>
        <w:rPr>
          <w:rFonts w:hint="eastAsia" w:ascii="宋体" w:hAnsi="宋体" w:cs="宋体"/>
          <w:b/>
          <w:bCs/>
        </w:rPr>
        <w:t>三、获取</w:t>
      </w:r>
      <w:bookmarkEnd w:id="15"/>
      <w:bookmarkEnd w:id="16"/>
      <w:bookmarkEnd w:id="17"/>
      <w:bookmarkEnd w:id="18"/>
      <w:r>
        <w:rPr>
          <w:rFonts w:hint="eastAsia" w:ascii="宋体" w:hAnsi="宋体" w:cs="宋体"/>
          <w:b/>
          <w:bCs/>
        </w:rPr>
        <w:t>采购文件时间及方式</w:t>
      </w:r>
    </w:p>
    <w:p>
      <w:pPr>
        <w:tabs>
          <w:tab w:val="left" w:pos="900"/>
        </w:tabs>
        <w:ind w:firstLine="420" w:firstLineChars="200"/>
        <w:rPr>
          <w:rFonts w:ascii="宋体" w:hAnsi="宋体" w:cs="宋体"/>
        </w:rPr>
      </w:pPr>
      <w:r>
        <w:rPr>
          <w:rFonts w:hint="eastAsia" w:ascii="宋体" w:hAnsi="宋体" w:cs="宋体"/>
        </w:rPr>
        <w:t>时间：</w:t>
      </w:r>
      <w:r>
        <w:rPr>
          <w:rFonts w:hint="eastAsia" w:ascii="宋体" w:hAnsi="宋体" w:cs="宋体"/>
          <w:color w:val="FF0000"/>
        </w:rPr>
        <w:t>2025年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4</w:t>
      </w:r>
      <w:r>
        <w:rPr>
          <w:rFonts w:hint="eastAsia" w:ascii="宋体" w:hAnsi="宋体" w:cs="宋体"/>
          <w:color w:val="FF0000"/>
        </w:rPr>
        <w:t>日至2025 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6</w:t>
      </w:r>
      <w:r>
        <w:rPr>
          <w:rFonts w:hint="eastAsia" w:ascii="宋体" w:hAnsi="宋体" w:cs="宋体"/>
          <w:color w:val="FF0000"/>
        </w:rPr>
        <w:t>日，</w:t>
      </w:r>
      <w:r>
        <w:rPr>
          <w:rFonts w:hint="eastAsia" w:ascii="宋体" w:hAnsi="宋体" w:cs="宋体"/>
        </w:rPr>
        <w:t>每天上午</w:t>
      </w:r>
      <w:r>
        <w:rPr>
          <w:rFonts w:hint="eastAsia" w:ascii="宋体" w:hAnsi="宋体" w:cs="宋体"/>
          <w:color w:val="FF0000"/>
        </w:rPr>
        <w:t>10:00</w:t>
      </w:r>
      <w:r>
        <w:rPr>
          <w:rFonts w:hint="eastAsia" w:ascii="宋体" w:hAnsi="宋体" w:cs="宋体"/>
        </w:rPr>
        <w:t>至</w:t>
      </w:r>
      <w:r>
        <w:rPr>
          <w:rFonts w:hint="eastAsia" w:ascii="宋体" w:hAnsi="宋体" w:cs="宋体"/>
          <w:color w:val="FF0000"/>
        </w:rPr>
        <w:t>14:00</w:t>
      </w:r>
      <w:r>
        <w:rPr>
          <w:rFonts w:hint="eastAsia" w:ascii="宋体" w:hAnsi="宋体" w:cs="宋体"/>
        </w:rPr>
        <w:t>，下午</w:t>
      </w:r>
      <w:r>
        <w:rPr>
          <w:rFonts w:hint="eastAsia" w:ascii="宋体" w:hAnsi="宋体" w:cs="宋体"/>
          <w:color w:val="FF0000"/>
        </w:rPr>
        <w:t>14:00</w:t>
      </w:r>
      <w:r>
        <w:rPr>
          <w:rFonts w:hint="eastAsia" w:ascii="宋体" w:hAnsi="宋体" w:cs="宋体"/>
        </w:rPr>
        <w:t>至</w:t>
      </w:r>
      <w:r>
        <w:rPr>
          <w:rFonts w:hint="eastAsia" w:ascii="宋体" w:hAnsi="宋体" w:cs="宋体"/>
          <w:color w:val="FF0000"/>
        </w:rPr>
        <w:t>23:59</w:t>
      </w:r>
      <w:r>
        <w:rPr>
          <w:rFonts w:hint="eastAsia" w:ascii="宋体" w:hAnsi="宋体" w:cs="宋体"/>
        </w:rPr>
        <w:t>（提供期限自本公告发布之日起不得少于1个工作日，北京时间，法定节假日除外）</w:t>
      </w:r>
    </w:p>
    <w:p>
      <w:pPr>
        <w:tabs>
          <w:tab w:val="left" w:pos="900"/>
        </w:tabs>
        <w:ind w:firstLine="420" w:firstLineChars="200"/>
        <w:rPr>
          <w:rFonts w:ascii="宋体" w:hAnsi="宋体" w:cs="宋体"/>
        </w:rPr>
      </w:pPr>
      <w:r>
        <w:rPr>
          <w:rFonts w:hint="eastAsia" w:ascii="宋体" w:hAnsi="宋体" w:cs="宋体"/>
        </w:rPr>
        <w:t>地点：</w:t>
      </w:r>
      <w:r>
        <w:rPr>
          <w:rFonts w:hint="eastAsia" w:ascii="宋体" w:hAnsi="宋体" w:cs="宋体"/>
          <w:color w:val="FF0000"/>
        </w:rPr>
        <w:t>新疆政采云平台</w:t>
      </w:r>
    </w:p>
    <w:p>
      <w:pPr>
        <w:tabs>
          <w:tab w:val="left" w:pos="900"/>
        </w:tabs>
        <w:ind w:firstLine="420" w:firstLineChars="200"/>
        <w:rPr>
          <w:rFonts w:ascii="宋体" w:hAnsi="宋体" w:cs="宋体"/>
        </w:rPr>
      </w:pPr>
      <w:r>
        <w:rPr>
          <w:rFonts w:hint="eastAsia" w:ascii="宋体" w:hAnsi="宋体" w:cs="宋体"/>
        </w:rPr>
        <w:t>方式：供应商登陆政采云平台http://www.zcygov.cn/，在线申请获取采购文件（登录政府采购云平台 → 项目采购 → 获取采购文件 → 申请，审核通过后可下载采购文件，如有操作性问题，可与政采云在线客服进行咨询，咨询电话：95763）</w:t>
      </w:r>
    </w:p>
    <w:p>
      <w:pPr>
        <w:tabs>
          <w:tab w:val="left" w:pos="900"/>
        </w:tabs>
        <w:ind w:firstLine="420" w:firstLineChars="200"/>
        <w:rPr>
          <w:rFonts w:ascii="宋体" w:hAnsi="宋体" w:cs="宋体"/>
        </w:rPr>
      </w:pPr>
      <w:r>
        <w:rPr>
          <w:rFonts w:hint="eastAsia" w:ascii="宋体" w:hAnsi="宋体" w:cs="宋体"/>
        </w:rPr>
        <w:t>售价：0元</w:t>
      </w:r>
    </w:p>
    <w:p>
      <w:pPr>
        <w:tabs>
          <w:tab w:val="left" w:pos="900"/>
        </w:tabs>
        <w:ind w:firstLine="422" w:firstLineChars="200"/>
        <w:rPr>
          <w:rFonts w:ascii="宋体" w:hAnsi="宋体" w:cs="宋体"/>
          <w:b/>
          <w:bCs/>
        </w:rPr>
      </w:pPr>
      <w:bookmarkStart w:id="19" w:name="_Toc28359005"/>
      <w:bookmarkStart w:id="20" w:name="_Toc28359082"/>
      <w:bookmarkStart w:id="21" w:name="_Toc35393624"/>
      <w:bookmarkStart w:id="22" w:name="_Toc35393793"/>
      <w:r>
        <w:rPr>
          <w:rFonts w:hint="eastAsia" w:ascii="宋体" w:hAnsi="宋体" w:cs="宋体"/>
          <w:b/>
          <w:bCs/>
        </w:rPr>
        <w:t>四、提交投标文件</w:t>
      </w:r>
      <w:bookmarkEnd w:id="19"/>
      <w:bookmarkEnd w:id="20"/>
      <w:r>
        <w:rPr>
          <w:rFonts w:hint="eastAsia" w:ascii="宋体" w:hAnsi="宋体" w:cs="宋体"/>
          <w:b/>
          <w:bCs/>
        </w:rPr>
        <w:t>截止时间、开标时间和地点</w:t>
      </w:r>
      <w:bookmarkEnd w:id="21"/>
      <w:bookmarkEnd w:id="22"/>
    </w:p>
    <w:p>
      <w:pPr>
        <w:tabs>
          <w:tab w:val="left" w:pos="900"/>
        </w:tabs>
        <w:ind w:firstLine="420" w:firstLineChars="200"/>
        <w:rPr>
          <w:rFonts w:ascii="宋体" w:hAnsi="宋体" w:cs="宋体"/>
        </w:rPr>
      </w:pPr>
      <w:r>
        <w:rPr>
          <w:rFonts w:hint="eastAsia" w:ascii="宋体" w:hAnsi="宋体" w:cs="宋体"/>
        </w:rPr>
        <w:t>提交投标文件截止时间：</w:t>
      </w:r>
      <w:r>
        <w:rPr>
          <w:rFonts w:hint="eastAsia" w:ascii="宋体" w:hAnsi="宋体" w:cs="宋体"/>
          <w:color w:val="FF0000"/>
        </w:rPr>
        <w:t>2025年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11</w:t>
      </w:r>
      <w:r>
        <w:rPr>
          <w:rFonts w:hint="eastAsia" w:ascii="宋体" w:hAnsi="宋体" w:cs="宋体"/>
          <w:color w:val="FF0000"/>
        </w:rPr>
        <w:t>日 1</w:t>
      </w:r>
      <w:r>
        <w:rPr>
          <w:rFonts w:hint="eastAsia" w:ascii="宋体" w:hAnsi="宋体" w:cs="宋体"/>
          <w:color w:val="FF0000"/>
          <w:lang w:val="en-US" w:eastAsia="zh-CN"/>
        </w:rPr>
        <w:t>0</w:t>
      </w:r>
      <w:r>
        <w:rPr>
          <w:rFonts w:hint="eastAsia" w:ascii="宋体" w:hAnsi="宋体" w:cs="宋体"/>
          <w:color w:val="FF0000"/>
        </w:rPr>
        <w:t>:</w:t>
      </w:r>
      <w:r>
        <w:rPr>
          <w:rFonts w:hint="eastAsia" w:ascii="宋体" w:hAnsi="宋体" w:cs="宋体"/>
          <w:color w:val="FF0000"/>
          <w:lang w:val="en-US" w:eastAsia="zh-CN"/>
        </w:rPr>
        <w:t>3</w:t>
      </w:r>
      <w:r>
        <w:rPr>
          <w:rFonts w:hint="eastAsia" w:ascii="宋体" w:hAnsi="宋体" w:cs="宋体"/>
          <w:color w:val="FF0000"/>
        </w:rPr>
        <w:t>0</w:t>
      </w:r>
      <w:r>
        <w:rPr>
          <w:rFonts w:hint="eastAsia" w:ascii="宋体" w:hAnsi="宋体" w:cs="宋体"/>
        </w:rPr>
        <w:t>（北京时间）</w:t>
      </w:r>
    </w:p>
    <w:p>
      <w:pPr>
        <w:tabs>
          <w:tab w:val="left" w:pos="900"/>
        </w:tabs>
        <w:ind w:firstLine="420" w:firstLineChars="200"/>
        <w:rPr>
          <w:rFonts w:ascii="宋体" w:hAnsi="宋体" w:cs="宋体"/>
        </w:rPr>
      </w:pPr>
      <w:r>
        <w:rPr>
          <w:rFonts w:hint="eastAsia" w:ascii="宋体" w:hAnsi="宋体" w:cs="宋体"/>
        </w:rPr>
        <w:t>投标地点：政采云平台客户端投标</w:t>
      </w:r>
    </w:p>
    <w:p>
      <w:pPr>
        <w:tabs>
          <w:tab w:val="left" w:pos="900"/>
        </w:tabs>
        <w:ind w:firstLine="420" w:firstLineChars="200"/>
        <w:rPr>
          <w:rFonts w:ascii="宋体" w:hAnsi="宋体" w:cs="宋体"/>
        </w:rPr>
      </w:pPr>
      <w:r>
        <w:rPr>
          <w:rFonts w:hint="eastAsia" w:ascii="宋体" w:hAnsi="宋体" w:cs="宋体"/>
        </w:rPr>
        <w:t>开标时间：</w:t>
      </w:r>
      <w:r>
        <w:rPr>
          <w:rFonts w:hint="eastAsia" w:ascii="宋体" w:hAnsi="宋体" w:cs="宋体"/>
          <w:color w:val="FF0000"/>
        </w:rPr>
        <w:t>2025年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11</w:t>
      </w:r>
      <w:r>
        <w:rPr>
          <w:rFonts w:hint="eastAsia" w:ascii="宋体" w:hAnsi="宋体" w:cs="宋体"/>
          <w:color w:val="FF0000"/>
        </w:rPr>
        <w:t>日 1</w:t>
      </w:r>
      <w:r>
        <w:rPr>
          <w:rFonts w:hint="eastAsia" w:ascii="宋体" w:hAnsi="宋体" w:cs="宋体"/>
          <w:color w:val="FF0000"/>
          <w:lang w:val="en-US" w:eastAsia="zh-CN"/>
        </w:rPr>
        <w:t>0</w:t>
      </w:r>
      <w:r>
        <w:rPr>
          <w:rFonts w:hint="eastAsia" w:ascii="宋体" w:hAnsi="宋体" w:cs="宋体"/>
          <w:color w:val="FF0000"/>
        </w:rPr>
        <w:t>:</w:t>
      </w:r>
      <w:r>
        <w:rPr>
          <w:rFonts w:hint="eastAsia" w:ascii="宋体" w:hAnsi="宋体" w:cs="宋体"/>
          <w:color w:val="FF0000"/>
          <w:lang w:val="en-US" w:eastAsia="zh-CN"/>
        </w:rPr>
        <w:t>3</w:t>
      </w:r>
      <w:r>
        <w:rPr>
          <w:rFonts w:hint="eastAsia" w:ascii="宋体" w:hAnsi="宋体" w:cs="宋体"/>
          <w:color w:val="FF0000"/>
        </w:rPr>
        <w:t>0</w:t>
      </w:r>
      <w:r>
        <w:rPr>
          <w:rFonts w:hint="eastAsia" w:ascii="宋体" w:hAnsi="宋体" w:cs="宋体"/>
        </w:rPr>
        <w:t>（北京时间）</w:t>
      </w:r>
    </w:p>
    <w:p>
      <w:pPr>
        <w:tabs>
          <w:tab w:val="left" w:pos="900"/>
        </w:tabs>
        <w:ind w:firstLine="420" w:firstLineChars="200"/>
        <w:rPr>
          <w:rFonts w:ascii="宋体" w:hAnsi="宋体" w:cs="宋体"/>
          <w:color w:val="FF0000"/>
        </w:rPr>
      </w:pPr>
      <w:r>
        <w:rPr>
          <w:rFonts w:hint="eastAsia" w:ascii="宋体" w:hAnsi="宋体" w:cs="宋体"/>
        </w:rPr>
        <w:t>开标地点：</w:t>
      </w:r>
      <w:r>
        <w:rPr>
          <w:rFonts w:hint="eastAsia" w:ascii="宋体" w:hAnsi="宋体" w:cs="宋体"/>
          <w:color w:val="FF0000"/>
        </w:rPr>
        <w:t>政采云电子开标大厅</w:t>
      </w:r>
    </w:p>
    <w:p>
      <w:pPr>
        <w:tabs>
          <w:tab w:val="left" w:pos="900"/>
        </w:tabs>
        <w:ind w:firstLine="422" w:firstLineChars="200"/>
        <w:rPr>
          <w:rFonts w:ascii="宋体" w:hAnsi="宋体" w:cs="宋体"/>
          <w:b/>
          <w:bCs/>
        </w:rPr>
      </w:pPr>
      <w:bookmarkStart w:id="23" w:name="_Toc35393795"/>
      <w:bookmarkStart w:id="24" w:name="_Toc35393626"/>
      <w:r>
        <w:rPr>
          <w:rFonts w:hint="eastAsia" w:ascii="宋体" w:hAnsi="宋体" w:cs="宋体"/>
          <w:b/>
          <w:bCs/>
        </w:rPr>
        <w:t>五、其他补充事宜</w:t>
      </w:r>
      <w:bookmarkEnd w:id="23"/>
      <w:bookmarkEnd w:id="24"/>
    </w:p>
    <w:p>
      <w:pPr>
        <w:tabs>
          <w:tab w:val="left" w:pos="900"/>
        </w:tabs>
        <w:ind w:firstLine="420" w:firstLineChars="200"/>
        <w:rPr>
          <w:rFonts w:ascii="宋体" w:hAnsi="宋体" w:cs="宋体"/>
        </w:rPr>
      </w:pPr>
      <w:bookmarkStart w:id="25" w:name="_Toc35393627"/>
      <w:bookmarkStart w:id="26" w:name="_Toc35393796"/>
      <w:bookmarkStart w:id="27" w:name="_Toc28359008"/>
      <w:bookmarkStart w:id="28" w:name="_Toc28359085"/>
      <w:r>
        <w:rPr>
          <w:rFonts w:hint="eastAsia" w:ascii="宋体" w:hAnsi="宋体" w:cs="宋体"/>
        </w:rPr>
        <w:t>1.本项目实行网上投标，采用投标文件电子标书；</w:t>
      </w:r>
    </w:p>
    <w:p>
      <w:pPr>
        <w:tabs>
          <w:tab w:val="left" w:pos="900"/>
        </w:tabs>
        <w:ind w:firstLine="420" w:firstLineChars="200"/>
        <w:rPr>
          <w:rFonts w:ascii="宋体" w:hAnsi="宋体" w:cs="宋体"/>
        </w:rPr>
      </w:pPr>
      <w:r>
        <w:rPr>
          <w:rFonts w:hint="eastAsia" w:ascii="宋体" w:hAnsi="宋体" w:cs="宋体"/>
        </w:rPr>
        <w:t>2.各供应商在开标前应确保成为新疆政府采购网正式注册入库供应商，并完成CA数字证书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r>
        <w:rPr>
          <w:rFonts w:hint="eastAsia" w:ascii="宋体" w:hAnsi="宋体" w:cs="宋体"/>
        </w:rPr>
        <w:br w:type="textWrapping"/>
      </w:r>
      <w:r>
        <w:rPr>
          <w:rFonts w:hint="eastAsia" w:ascii="宋体" w:hAnsi="宋体" w:cs="宋体"/>
        </w:rPr>
        <w:t xml:space="preserve">   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cs="宋体"/>
        </w:rPr>
        <w:br w:type="textWrapping"/>
      </w:r>
      <w:r>
        <w:rPr>
          <w:rFonts w:hint="eastAsia" w:ascii="宋体" w:hAnsi="宋体" w:cs="宋体"/>
        </w:rPr>
        <w:t xml:space="preserve">   4.供应商应当在投标截止时间前,将生成的“电子加密投标文件”上传递交至“政府采购云平台”,投标截止时间以后上传递交的投标文件将被“政府采购云平台”拒收；</w:t>
      </w:r>
      <w:r>
        <w:rPr>
          <w:rFonts w:hint="eastAsia" w:ascii="宋体" w:hAnsi="宋体" w:cs="宋体"/>
        </w:rPr>
        <w:br w:type="textWrapping"/>
      </w:r>
      <w:r>
        <w:rPr>
          <w:rFonts w:hint="eastAsia" w:ascii="宋体" w:hAnsi="宋体" w:cs="宋体"/>
        </w:rPr>
        <w:t xml:space="preserve">   5.供应商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w:t>
      </w:r>
      <w:r>
        <w:rPr>
          <w:rFonts w:hint="eastAsia" w:ascii="宋体" w:hAnsi="宋体" w:cs="宋体"/>
        </w:rPr>
        <w:br w:type="textWrapping"/>
      </w:r>
      <w:r>
        <w:rPr>
          <w:rFonts w:hint="eastAsia" w:ascii="宋体" w:hAnsi="宋体" w:cs="宋体"/>
        </w:rPr>
        <w:t xml:space="preserve">    6、供应商登录政采云平台，在开标时间后30分钟内用“项目采购-开标评标”功能进行解密投标文件。若供应商在规定时间内未按时解密的，视为无效投标，解密与加密投标文件须使用同一个 CA。   </w:t>
      </w:r>
    </w:p>
    <w:p>
      <w:pPr>
        <w:tabs>
          <w:tab w:val="left" w:pos="900"/>
        </w:tabs>
        <w:ind w:firstLine="420" w:firstLineChars="200"/>
        <w:rPr>
          <w:rFonts w:ascii="宋体" w:hAnsi="宋体" w:cs="宋体"/>
        </w:rPr>
      </w:pPr>
      <w:r>
        <w:rPr>
          <w:rFonts w:hint="eastAsia" w:ascii="宋体" w:hAnsi="宋体" w:cs="宋体"/>
        </w:rPr>
        <w:t>7.有关本次采购的事项若存在变动或修改，敬请及时关注新疆政府采购网发布的澄清变更公告，网址为“http://www.ccgp-xinjiang.gov.cn”。</w:t>
      </w:r>
    </w:p>
    <w:p>
      <w:pPr>
        <w:tabs>
          <w:tab w:val="left" w:pos="900"/>
        </w:tabs>
        <w:ind w:firstLine="420" w:firstLineChars="200"/>
        <w:rPr>
          <w:rFonts w:ascii="宋体" w:hAnsi="宋体" w:cs="宋体"/>
        </w:rPr>
      </w:pPr>
      <w:r>
        <w:rPr>
          <w:rFonts w:hint="eastAsia" w:ascii="宋体" w:hAnsi="宋体" w:cs="宋体"/>
        </w:rPr>
        <w:t>七、对本次采购提出询问，请按以下方式联系。</w:t>
      </w:r>
      <w:bookmarkEnd w:id="25"/>
      <w:bookmarkEnd w:id="26"/>
      <w:bookmarkEnd w:id="27"/>
      <w:bookmarkEnd w:id="28"/>
    </w:p>
    <w:p>
      <w:pPr>
        <w:tabs>
          <w:tab w:val="left" w:pos="900"/>
        </w:tabs>
        <w:ind w:firstLine="420" w:firstLineChars="200"/>
        <w:rPr>
          <w:rFonts w:ascii="宋体" w:hAnsi="宋体" w:cs="宋体"/>
          <w:highlight w:val="yellow"/>
        </w:rPr>
      </w:pPr>
      <w:r>
        <w:rPr>
          <w:rFonts w:hint="eastAsia" w:ascii="宋体" w:hAnsi="宋体" w:cs="宋体"/>
          <w:highlight w:val="yellow"/>
        </w:rPr>
        <w:t>1.采购人信息</w:t>
      </w:r>
    </w:p>
    <w:p>
      <w:pPr>
        <w:tabs>
          <w:tab w:val="left" w:pos="900"/>
        </w:tabs>
        <w:ind w:firstLine="420" w:firstLineChars="200"/>
        <w:rPr>
          <w:rFonts w:ascii="宋体" w:hAnsi="宋体" w:cs="宋体"/>
          <w:highlight w:val="yellow"/>
        </w:rPr>
      </w:pPr>
      <w:r>
        <w:rPr>
          <w:rFonts w:hint="eastAsia" w:ascii="宋体" w:hAnsi="宋体" w:cs="宋体"/>
          <w:highlight w:val="yellow"/>
        </w:rPr>
        <w:t>名 称：</w:t>
      </w:r>
      <w:r>
        <w:rPr>
          <w:rFonts w:hint="eastAsia" w:ascii="宋体" w:hAnsi="宋体" w:cs="宋体"/>
          <w:kern w:val="0"/>
          <w:highlight w:val="yellow"/>
        </w:rPr>
        <w:t>和硕县人民医院关于“HIS、LIS、EMR”系统升级</w:t>
      </w:r>
    </w:p>
    <w:p>
      <w:pPr>
        <w:tabs>
          <w:tab w:val="left" w:pos="900"/>
        </w:tabs>
        <w:ind w:firstLine="420" w:firstLineChars="200"/>
        <w:rPr>
          <w:rFonts w:ascii="宋体" w:hAnsi="宋体" w:cs="宋体"/>
          <w:color w:val="FF0000"/>
          <w:highlight w:val="yellow"/>
        </w:rPr>
      </w:pPr>
      <w:r>
        <w:rPr>
          <w:rFonts w:hint="eastAsia" w:ascii="宋体" w:hAnsi="宋体" w:cs="宋体"/>
          <w:highlight w:val="yellow"/>
        </w:rPr>
        <w:t>地 址：和硕县人民医院招标采购办</w:t>
      </w:r>
    </w:p>
    <w:p>
      <w:pPr>
        <w:tabs>
          <w:tab w:val="left" w:pos="900"/>
        </w:tabs>
        <w:ind w:firstLine="420" w:firstLineChars="200"/>
        <w:rPr>
          <w:rFonts w:ascii="宋体" w:hAnsi="宋体" w:cs="宋体"/>
          <w:color w:val="FF0000"/>
          <w:highlight w:val="yellow"/>
        </w:rPr>
      </w:pPr>
      <w:r>
        <w:rPr>
          <w:rFonts w:hint="eastAsia" w:ascii="宋体" w:hAnsi="宋体" w:cs="宋体"/>
          <w:highlight w:val="yellow"/>
        </w:rPr>
        <w:t>项目联系人：杨李</w:t>
      </w:r>
    </w:p>
    <w:p>
      <w:pPr>
        <w:ind w:firstLine="420" w:firstLineChars="200"/>
        <w:rPr>
          <w:rFonts w:ascii="宋体" w:hAnsi="宋体" w:cs="宋体"/>
          <w:color w:val="FF0000"/>
          <w:highlight w:val="yellow"/>
        </w:rPr>
      </w:pPr>
      <w:r>
        <w:rPr>
          <w:rFonts w:hint="eastAsia" w:ascii="宋体" w:hAnsi="宋体" w:cs="宋体"/>
          <w:highlight w:val="yellow"/>
        </w:rPr>
        <w:t>联系方式：</w:t>
      </w:r>
      <w:bookmarkStart w:id="29" w:name="_Toc28359009"/>
      <w:bookmarkStart w:id="30" w:name="_Toc28359086"/>
      <w:r>
        <w:rPr>
          <w:rFonts w:hint="eastAsia" w:ascii="宋体" w:hAnsi="宋体" w:cs="宋体"/>
          <w:highlight w:val="yellow"/>
        </w:rPr>
        <w:t>15299375120</w:t>
      </w:r>
    </w:p>
    <w:p>
      <w:pPr>
        <w:tabs>
          <w:tab w:val="left" w:pos="900"/>
        </w:tabs>
        <w:ind w:firstLine="420" w:firstLineChars="200"/>
        <w:rPr>
          <w:rFonts w:ascii="宋体" w:hAnsi="宋体" w:cs="宋体"/>
        </w:rPr>
      </w:pPr>
      <w:r>
        <w:rPr>
          <w:rFonts w:hint="eastAsia" w:ascii="宋体" w:hAnsi="宋体" w:cs="宋体"/>
        </w:rPr>
        <w:t>2.采购代理机构信息</w:t>
      </w:r>
      <w:bookmarkEnd w:id="29"/>
      <w:bookmarkEnd w:id="30"/>
    </w:p>
    <w:p>
      <w:pPr>
        <w:tabs>
          <w:tab w:val="left" w:pos="900"/>
        </w:tabs>
        <w:ind w:firstLine="420" w:firstLineChars="200"/>
        <w:rPr>
          <w:rFonts w:ascii="宋体" w:hAnsi="宋体" w:cs="宋体"/>
        </w:rPr>
      </w:pPr>
      <w:r>
        <w:rPr>
          <w:rFonts w:hint="eastAsia" w:ascii="宋体" w:hAnsi="宋体" w:cs="宋体"/>
        </w:rPr>
        <w:t>名 称：巴州政务服务和公共资源交易中心　　　　　　　　　　　　</w:t>
      </w:r>
    </w:p>
    <w:p>
      <w:pPr>
        <w:tabs>
          <w:tab w:val="left" w:pos="900"/>
        </w:tabs>
        <w:ind w:firstLine="420" w:firstLineChars="200"/>
        <w:rPr>
          <w:rFonts w:ascii="宋体" w:hAnsi="宋体" w:cs="宋体"/>
        </w:rPr>
      </w:pPr>
      <w:r>
        <w:rPr>
          <w:rFonts w:hint="eastAsia" w:ascii="宋体" w:hAnsi="宋体" w:cs="宋体"/>
        </w:rPr>
        <w:t>地　址：库尔勒市索克巴格路州住建大厦14楼　　　　　　　　　　　　</w:t>
      </w:r>
    </w:p>
    <w:p>
      <w:pPr>
        <w:tabs>
          <w:tab w:val="left" w:pos="900"/>
        </w:tabs>
        <w:ind w:firstLine="420" w:firstLineChars="200"/>
        <w:rPr>
          <w:rFonts w:ascii="宋体" w:hAnsi="宋体" w:cs="宋体"/>
        </w:rPr>
      </w:pPr>
      <w:r>
        <w:rPr>
          <w:rFonts w:hint="eastAsia" w:ascii="宋体" w:hAnsi="宋体" w:cs="宋体"/>
        </w:rPr>
        <w:t>联系方式：</w:t>
      </w:r>
      <w:bookmarkStart w:id="31" w:name="_Toc28359087"/>
      <w:bookmarkStart w:id="32" w:name="_Toc28359010"/>
      <w:r>
        <w:rPr>
          <w:rFonts w:hint="eastAsia" w:ascii="宋体" w:hAnsi="宋体" w:cs="宋体"/>
        </w:rPr>
        <w:t>0996-2035295　0996-2704855　　　　　　　　　　　</w:t>
      </w:r>
    </w:p>
    <w:p>
      <w:pPr>
        <w:tabs>
          <w:tab w:val="left" w:pos="900"/>
        </w:tabs>
        <w:ind w:firstLine="420" w:firstLineChars="200"/>
        <w:rPr>
          <w:rFonts w:ascii="宋体" w:hAnsi="宋体" w:cs="宋体"/>
        </w:rPr>
      </w:pPr>
      <w:r>
        <w:rPr>
          <w:rFonts w:hint="eastAsia" w:ascii="宋体" w:hAnsi="宋体" w:cs="宋体"/>
        </w:rPr>
        <w:t>3.项目联系方式</w:t>
      </w:r>
      <w:bookmarkEnd w:id="31"/>
      <w:bookmarkEnd w:id="32"/>
    </w:p>
    <w:p>
      <w:pPr>
        <w:tabs>
          <w:tab w:val="left" w:pos="900"/>
        </w:tabs>
        <w:ind w:firstLine="420" w:firstLineChars="200"/>
        <w:rPr>
          <w:rFonts w:ascii="宋体" w:hAnsi="宋体" w:cs="宋体"/>
          <w:color w:val="FF0000"/>
        </w:rPr>
      </w:pPr>
      <w:r>
        <w:rPr>
          <w:rFonts w:hint="eastAsia" w:ascii="宋体" w:hAnsi="宋体" w:cs="宋体"/>
        </w:rPr>
        <w:t>项目负责人：        联系电话：0996-2035295</w:t>
      </w:r>
    </w:p>
    <w:p>
      <w:pPr>
        <w:pStyle w:val="23"/>
        <w:spacing w:before="0" w:beforeAutospacing="0" w:after="0" w:afterAutospacing="0" w:line="360" w:lineRule="auto"/>
        <w:ind w:firstLine="480" w:firstLineChars="200"/>
        <w:jc w:val="both"/>
        <w:rPr>
          <w:rFonts w:ascii="方正小标宋_GBK" w:hAnsi="方正小标宋_GBK" w:eastAsia="方正小标宋_GBK" w:cs="方正小标宋_GBK"/>
          <w:sz w:val="32"/>
          <w:szCs w:val="32"/>
        </w:rPr>
      </w:pPr>
      <w:r>
        <w:rPr>
          <w:rFonts w:hint="eastAsia"/>
          <w:szCs w:val="22"/>
        </w:rPr>
        <w:t>　　　　　　　　</w:t>
      </w:r>
    </w:p>
    <w:p>
      <w:pPr>
        <w:pStyle w:val="6"/>
        <w:ind w:firstLine="720" w:firstLineChars="200"/>
        <w:rPr>
          <w:rFonts w:ascii="方正黑体_GBK" w:hAnsi="方正黑体_GBK" w:eastAsia="方正黑体_GBK" w:cs="方正黑体_GBK"/>
          <w:b w:val="0"/>
          <w:bCs w:val="0"/>
          <w:sz w:val="36"/>
          <w:szCs w:val="36"/>
        </w:rPr>
      </w:pPr>
    </w:p>
    <w:p>
      <w:pPr>
        <w:pStyle w:val="6"/>
        <w:ind w:firstLine="720" w:firstLineChars="200"/>
        <w:rPr>
          <w:rFonts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rPr>
        <w:t>第二章 对通用条款的补充内容及其他关键信息</w:t>
      </w:r>
    </w:p>
    <w:p>
      <w:pPr>
        <w:pStyle w:val="6"/>
        <w:spacing w:beforeLines="50" w:afterLines="50"/>
        <w:rPr>
          <w:rFonts w:ascii="方正黑体_GBK" w:hAnsi="方正黑体_GBK" w:eastAsia="方正黑体_GBK" w:cs="方正黑体_GBK"/>
          <w:b w:val="0"/>
          <w:sz w:val="30"/>
          <w:szCs w:val="30"/>
        </w:rPr>
      </w:pPr>
      <w:bookmarkStart w:id="33" w:name="_Toc60631620"/>
      <w:bookmarkStart w:id="34" w:name="_Toc73518117"/>
      <w:bookmarkStart w:id="35" w:name="_Toc100052364"/>
      <w:bookmarkStart w:id="36" w:name="_Toc60560625"/>
      <w:bookmarkStart w:id="37" w:name="_Toc73517639"/>
      <w:bookmarkStart w:id="38" w:name="_Toc73521635"/>
      <w:bookmarkStart w:id="39" w:name="_Toc73521547"/>
      <w:bookmarkStart w:id="40" w:name="_Toc101074876"/>
      <w:r>
        <w:rPr>
          <w:rFonts w:hint="eastAsia" w:ascii="方正黑体_GBK" w:hAnsi="方正黑体_GBK" w:eastAsia="方正黑体_GBK" w:cs="方正黑体_GBK"/>
          <w:b w:val="0"/>
          <w:sz w:val="30"/>
          <w:szCs w:val="30"/>
        </w:rPr>
        <w:t>一、对通用条款的补充内容</w:t>
      </w:r>
    </w:p>
    <w:bookmarkEnd w:id="33"/>
    <w:bookmarkEnd w:id="34"/>
    <w:bookmarkEnd w:id="35"/>
    <w:bookmarkEnd w:id="36"/>
    <w:bookmarkEnd w:id="37"/>
    <w:bookmarkEnd w:id="38"/>
    <w:bookmarkEnd w:id="39"/>
    <w:bookmarkEnd w:id="40"/>
    <w:tbl>
      <w:tblPr>
        <w:tblStyle w:val="25"/>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034"/>
        <w:gridCol w:w="74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393" w:type="pct"/>
            <w:noWrap/>
            <w:vAlign w:val="center"/>
          </w:tcPr>
          <w:p>
            <w:pPr>
              <w:jc w:val="center"/>
              <w:rPr>
                <w:rFonts w:ascii="宋体" w:hAnsi="宋体"/>
                <w:b/>
                <w:bCs/>
              </w:rPr>
            </w:pPr>
            <w:r>
              <w:rPr>
                <w:rFonts w:hint="eastAsia" w:ascii="宋体" w:hAnsi="宋体"/>
                <w:b/>
                <w:bCs/>
              </w:rPr>
              <w:t>通用条款序号</w:t>
            </w:r>
          </w:p>
        </w:tc>
        <w:tc>
          <w:tcPr>
            <w:tcW w:w="564" w:type="pct"/>
            <w:noWrap/>
            <w:vAlign w:val="center"/>
          </w:tcPr>
          <w:p>
            <w:pPr>
              <w:jc w:val="center"/>
              <w:rPr>
                <w:rFonts w:ascii="宋体" w:hAnsi="宋体"/>
                <w:b/>
                <w:bCs/>
              </w:rPr>
            </w:pPr>
            <w:r>
              <w:rPr>
                <w:rFonts w:hint="eastAsia" w:ascii="宋体" w:hAnsi="宋体"/>
                <w:b/>
                <w:bCs/>
              </w:rPr>
              <w:t>涉及事项</w:t>
            </w:r>
          </w:p>
        </w:tc>
        <w:tc>
          <w:tcPr>
            <w:tcW w:w="4042" w:type="pct"/>
            <w:noWrap/>
            <w:vAlign w:val="center"/>
          </w:tcPr>
          <w:p>
            <w:pPr>
              <w:jc w:val="center"/>
              <w:rPr>
                <w:rFonts w:ascii="宋体" w:hAnsi="宋体"/>
                <w:b/>
                <w:bCs/>
              </w:rPr>
            </w:pPr>
            <w:r>
              <w:rPr>
                <w:rFonts w:hint="eastAsia" w:ascii="宋体" w:hAnsi="宋体"/>
                <w:b/>
                <w:bCs/>
              </w:rPr>
              <w:t>具 体 补 充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393" w:type="pct"/>
            <w:noWrap/>
            <w:vAlign w:val="center"/>
          </w:tcPr>
          <w:p>
            <w:pPr>
              <w:jc w:val="center"/>
              <w:rPr>
                <w:rFonts w:ascii="宋体" w:hAnsi="宋体"/>
              </w:rPr>
            </w:pPr>
            <w:r>
              <w:rPr>
                <w:rFonts w:hint="eastAsia" w:ascii="宋体" w:hAnsi="宋体"/>
              </w:rPr>
              <w:t>3.1</w:t>
            </w:r>
          </w:p>
        </w:tc>
        <w:tc>
          <w:tcPr>
            <w:tcW w:w="564" w:type="pct"/>
            <w:noWrap/>
            <w:vAlign w:val="center"/>
          </w:tcPr>
          <w:p>
            <w:pPr>
              <w:jc w:val="center"/>
            </w:pPr>
            <w:r>
              <w:rPr>
                <w:rFonts w:hint="eastAsia"/>
              </w:rPr>
              <w:t>采购人</w:t>
            </w:r>
          </w:p>
        </w:tc>
        <w:tc>
          <w:tcPr>
            <w:tcW w:w="4042" w:type="pct"/>
            <w:noWrap/>
            <w:vAlign w:val="center"/>
          </w:tcPr>
          <w:p>
            <w:pPr>
              <w:ind w:firstLine="1680" w:firstLineChars="800"/>
              <w:rPr>
                <w:rFonts w:ascii="宋体" w:hAnsi="宋体"/>
              </w:rPr>
            </w:pPr>
            <w:r>
              <w:rPr>
                <w:rFonts w:hint="eastAsia" w:ascii="宋体" w:hAnsi="宋体"/>
              </w:rPr>
              <w:t>和硕县人民医院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393" w:type="pct"/>
            <w:noWrap/>
            <w:vAlign w:val="center"/>
          </w:tcPr>
          <w:p>
            <w:pPr>
              <w:jc w:val="center"/>
              <w:rPr>
                <w:rFonts w:ascii="宋体" w:hAnsi="宋体"/>
              </w:rPr>
            </w:pPr>
            <w:r>
              <w:rPr>
                <w:rFonts w:hint="eastAsia" w:ascii="宋体" w:hAnsi="宋体"/>
              </w:rPr>
              <w:t>3.2</w:t>
            </w:r>
          </w:p>
        </w:tc>
        <w:tc>
          <w:tcPr>
            <w:tcW w:w="564" w:type="pct"/>
            <w:noWrap/>
            <w:vAlign w:val="center"/>
          </w:tcPr>
          <w:p>
            <w:pPr>
              <w:jc w:val="center"/>
            </w:pPr>
            <w:r>
              <w:rPr>
                <w:rFonts w:hint="eastAsia"/>
              </w:rPr>
              <w:t>政府集中采购机构</w:t>
            </w:r>
          </w:p>
        </w:tc>
        <w:tc>
          <w:tcPr>
            <w:tcW w:w="4042" w:type="pct"/>
            <w:noWrap/>
            <w:vAlign w:val="center"/>
          </w:tcPr>
          <w:p>
            <w:pPr>
              <w:jc w:val="center"/>
              <w:rPr>
                <w:rStyle w:val="47"/>
                <w:rFonts w:ascii="宋体" w:hAnsi="宋体" w:cs="宋体"/>
                <w:color w:val="FF0000"/>
              </w:rPr>
            </w:pPr>
            <w:r>
              <w:rPr>
                <w:rStyle w:val="47"/>
                <w:rFonts w:hint="eastAsia" w:ascii="宋体" w:hAnsi="宋体" w:cs="宋体"/>
              </w:rPr>
              <w:t>巴音郭楞蒙古自治州政务服务和公共资源交易中心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87" w:hRule="atLeast"/>
          <w:jc w:val="center"/>
        </w:trPr>
        <w:tc>
          <w:tcPr>
            <w:tcW w:w="393" w:type="pct"/>
            <w:noWrap/>
            <w:vAlign w:val="center"/>
          </w:tcPr>
          <w:p>
            <w:pPr>
              <w:jc w:val="center"/>
              <w:rPr>
                <w:rFonts w:ascii="宋体" w:hAnsi="宋体"/>
              </w:rPr>
            </w:pPr>
            <w:r>
              <w:rPr>
                <w:rFonts w:hint="eastAsia" w:ascii="宋体" w:hAnsi="宋体"/>
              </w:rPr>
              <w:t>5</w:t>
            </w:r>
            <w:r>
              <w:rPr>
                <w:rFonts w:ascii="宋体" w:hAnsi="宋体"/>
              </w:rPr>
              <w:t>.3</w:t>
            </w:r>
          </w:p>
        </w:tc>
        <w:tc>
          <w:tcPr>
            <w:tcW w:w="564" w:type="pct"/>
            <w:noWrap/>
            <w:vAlign w:val="center"/>
          </w:tcPr>
          <w:p>
            <w:pPr>
              <w:jc w:val="center"/>
              <w:rPr>
                <w:rFonts w:ascii="宋体" w:hAnsi="宋体"/>
              </w:rPr>
            </w:pPr>
            <w:r>
              <w:rPr>
                <w:rFonts w:hint="eastAsia" w:ascii="宋体" w:hAnsi="宋体"/>
              </w:rPr>
              <w:t>联合体投标</w:t>
            </w:r>
          </w:p>
        </w:tc>
        <w:tc>
          <w:tcPr>
            <w:tcW w:w="4042" w:type="pct"/>
            <w:noWrap/>
            <w:vAlign w:val="center"/>
          </w:tcPr>
          <w:p>
            <w:pPr>
              <w:jc w:val="left"/>
              <w:rPr>
                <w:rFonts w:ascii="宋体" w:hAnsi="宋体"/>
              </w:rPr>
            </w:pPr>
            <w:r>
              <w:rPr>
                <w:rFonts w:hint="eastAsia" w:ascii="宋体" w:hAnsi="宋体"/>
              </w:rPr>
              <w:sym w:font="Wingdings" w:char="00FE"/>
            </w:r>
            <w:r>
              <w:rPr>
                <w:rFonts w:hint="eastAsia" w:ascii="宋体" w:hAnsi="宋体"/>
              </w:rPr>
              <w:t>不接受</w:t>
            </w:r>
          </w:p>
          <w:p>
            <w:pPr>
              <w:jc w:val="left"/>
              <w:rPr>
                <w:rFonts w:ascii="宋体" w:hAnsi="宋体"/>
              </w:rPr>
            </w:pPr>
            <w:r>
              <w:rPr>
                <w:rFonts w:hint="eastAsia" w:ascii="宋体" w:hAnsi="宋体"/>
              </w:rPr>
              <w:sym w:font="Wingdings" w:char="00A8"/>
            </w:r>
            <w:r>
              <w:rPr>
                <w:rFonts w:hint="eastAsia" w:ascii="宋体" w:hAnsi="宋体"/>
              </w:rPr>
              <w:t>接受，以联合体形式投标的，投标人还必须提供《联合体共同投标协议》（格式见附件，加盖联合体各方公章），并在协议中明确牵头人和各参与方各自承担的工作和义务。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85" w:hRule="atLeast"/>
          <w:jc w:val="center"/>
        </w:trPr>
        <w:tc>
          <w:tcPr>
            <w:tcW w:w="393" w:type="pct"/>
            <w:noWrap/>
            <w:vAlign w:val="center"/>
          </w:tcPr>
          <w:p>
            <w:pPr>
              <w:jc w:val="center"/>
              <w:rPr>
                <w:rFonts w:ascii="宋体" w:hAnsi="宋体"/>
              </w:rPr>
            </w:pPr>
            <w:r>
              <w:rPr>
                <w:rFonts w:hint="eastAsia" w:ascii="宋体" w:hAnsi="宋体"/>
              </w:rPr>
              <w:t>5.3</w:t>
            </w:r>
          </w:p>
        </w:tc>
        <w:tc>
          <w:tcPr>
            <w:tcW w:w="564" w:type="pct"/>
            <w:noWrap/>
            <w:vAlign w:val="center"/>
          </w:tcPr>
          <w:p>
            <w:pPr>
              <w:jc w:val="center"/>
              <w:rPr>
                <w:rFonts w:ascii="宋体" w:hAnsi="宋体"/>
              </w:rPr>
            </w:pPr>
            <w:r>
              <w:rPr>
                <w:rFonts w:hint="eastAsia" w:ascii="宋体" w:hAnsi="宋体"/>
              </w:rPr>
              <w:t>项目分包</w:t>
            </w:r>
          </w:p>
        </w:tc>
        <w:tc>
          <w:tcPr>
            <w:tcW w:w="4042" w:type="pct"/>
            <w:noWrap/>
            <w:vAlign w:val="center"/>
          </w:tcPr>
          <w:p>
            <w:pPr>
              <w:jc w:val="left"/>
              <w:rPr>
                <w:rFonts w:ascii="宋体" w:hAnsi="宋体"/>
              </w:rPr>
            </w:pPr>
            <w:r>
              <w:rPr>
                <w:rFonts w:hint="eastAsia" w:ascii="宋体" w:hAnsi="宋体"/>
              </w:rPr>
              <w:sym w:font="Wingdings" w:char="00FE"/>
            </w:r>
            <w:r>
              <w:rPr>
                <w:rFonts w:hint="eastAsia" w:ascii="宋体" w:hAnsi="宋体"/>
              </w:rPr>
              <w:t>不允许</w:t>
            </w:r>
          </w:p>
          <w:p>
            <w:pPr>
              <w:jc w:val="left"/>
              <w:rPr>
                <w:rFonts w:ascii="宋体" w:hAnsi="宋体"/>
              </w:rPr>
            </w:pPr>
            <w:r>
              <w:rPr>
                <w:rFonts w:hint="eastAsia" w:ascii="宋体" w:hAnsi="宋体"/>
              </w:rPr>
              <w:sym w:font="Wingdings" w:char="00A8"/>
            </w:r>
            <w:r>
              <w:rPr>
                <w:rFonts w:hint="eastAsia" w:ascii="宋体" w:hAnsi="宋体"/>
              </w:rPr>
              <w:t>允许中标投标供应商将****分包给具有相应资质的公司执行。</w:t>
            </w:r>
          </w:p>
          <w:p>
            <w:pPr>
              <w:jc w:val="left"/>
              <w:rPr>
                <w:rFonts w:ascii="宋体" w:hAnsi="宋体"/>
              </w:rPr>
            </w:pPr>
            <w:r>
              <w:rPr>
                <w:rFonts w:hint="eastAsia" w:ascii="宋体" w:hAnsi="宋体"/>
              </w:rPr>
              <w:t>（1）如需分包，须提供分包供应商的营业执照、对应资质证书***、分包协议及承诺函（承诺此部分内容不再分包，格式自拟）的扫描件作为依据，否则按资格审查不通过处理。</w:t>
            </w:r>
          </w:p>
          <w:p>
            <w:pPr>
              <w:jc w:val="left"/>
              <w:rPr>
                <w:rFonts w:ascii="宋体" w:hAnsi="宋体"/>
              </w:rPr>
            </w:pPr>
            <w:r>
              <w:rPr>
                <w:rFonts w:hint="eastAsia" w:ascii="宋体" w:hAnsi="宋体"/>
              </w:rPr>
              <w:t>（2）如无需分包，投标人须提供本单位的***资质证书扫描件，否则按资格审查不通过处理。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80" w:hRule="atLeast"/>
          <w:jc w:val="center"/>
        </w:trPr>
        <w:tc>
          <w:tcPr>
            <w:tcW w:w="393" w:type="pct"/>
            <w:noWrap/>
            <w:vAlign w:val="center"/>
          </w:tcPr>
          <w:p>
            <w:pPr>
              <w:jc w:val="center"/>
              <w:rPr>
                <w:rFonts w:ascii="宋体" w:hAnsi="宋体"/>
              </w:rPr>
            </w:pPr>
            <w:r>
              <w:rPr>
                <w:rFonts w:hint="eastAsia" w:ascii="宋体" w:hAnsi="宋体"/>
              </w:rPr>
              <w:t>9</w:t>
            </w:r>
          </w:p>
        </w:tc>
        <w:tc>
          <w:tcPr>
            <w:tcW w:w="564" w:type="pct"/>
            <w:noWrap/>
            <w:vAlign w:val="center"/>
          </w:tcPr>
          <w:p>
            <w:pPr>
              <w:jc w:val="center"/>
              <w:rPr>
                <w:rFonts w:ascii="宋体" w:hAnsi="宋体"/>
              </w:rPr>
            </w:pPr>
            <w:r>
              <w:rPr>
                <w:rFonts w:hint="eastAsia" w:ascii="宋体" w:hAnsi="宋体"/>
              </w:rPr>
              <w:t>踏勘现场</w:t>
            </w:r>
          </w:p>
        </w:tc>
        <w:tc>
          <w:tcPr>
            <w:tcW w:w="4042" w:type="pct"/>
            <w:noWrap/>
            <w:vAlign w:val="center"/>
          </w:tcPr>
          <w:p>
            <w:pPr>
              <w:spacing w:line="440" w:lineRule="exact"/>
              <w:jc w:val="left"/>
            </w:pPr>
            <w:r>
              <w:rPr>
                <w:rFonts w:hint="eastAsia"/>
              </w:rPr>
              <w:sym w:font="Wingdings" w:char="00FE"/>
            </w:r>
            <w:r>
              <w:rPr>
                <w:rFonts w:hint="eastAsia"/>
              </w:rPr>
              <w:t>不组织</w:t>
            </w:r>
          </w:p>
          <w:p>
            <w:pPr>
              <w:pStyle w:val="2"/>
              <w:rPr>
                <w:rFonts w:ascii="宋体" w:hAnsi="宋体" w:cs="宋体"/>
                <w:sz w:val="21"/>
                <w:szCs w:val="21"/>
              </w:rPr>
            </w:pPr>
            <w:r>
              <w:rPr>
                <w:rFonts w:hint="eastAsia" w:ascii="宋体" w:hAnsi="宋体" w:cs="宋体"/>
                <w:sz w:val="21"/>
                <w:szCs w:val="21"/>
              </w:rPr>
              <w:sym w:font="Wingdings" w:char="00A8"/>
            </w:r>
            <w:r>
              <w:rPr>
                <w:rFonts w:hint="eastAsia" w:ascii="宋体" w:hAnsi="宋体" w:cs="宋体"/>
                <w:sz w:val="21"/>
                <w:szCs w:val="21"/>
              </w:rPr>
              <w:t>组织，踏勘时间：各投标单位需在(2024年</w:t>
            </w:r>
            <w:r>
              <w:rPr>
                <w:rFonts w:hint="eastAsia" w:ascii="宋体" w:hAnsi="宋体" w:cs="宋体"/>
                <w:color w:val="FF0000"/>
                <w:sz w:val="21"/>
                <w:szCs w:val="21"/>
                <w:lang w:val="en-US"/>
              </w:rPr>
              <w:t>**</w:t>
            </w:r>
            <w:r>
              <w:rPr>
                <w:rFonts w:hint="eastAsia" w:ascii="宋体" w:hAnsi="宋体" w:cs="宋体"/>
                <w:sz w:val="21"/>
                <w:szCs w:val="21"/>
              </w:rPr>
              <w:t>月</w:t>
            </w:r>
            <w:r>
              <w:rPr>
                <w:rFonts w:hint="eastAsia" w:ascii="宋体" w:hAnsi="宋体" w:cs="宋体"/>
                <w:color w:val="FF0000"/>
                <w:sz w:val="21"/>
                <w:szCs w:val="21"/>
              </w:rPr>
              <w:t>*</w:t>
            </w:r>
            <w:r>
              <w:rPr>
                <w:rFonts w:hint="eastAsia" w:ascii="宋体" w:hAnsi="宋体" w:cs="宋体"/>
                <w:color w:val="FF0000"/>
                <w:sz w:val="21"/>
                <w:szCs w:val="21"/>
                <w:lang w:val="en-US"/>
              </w:rPr>
              <w:t>*</w:t>
            </w:r>
            <w:r>
              <w:rPr>
                <w:rFonts w:hint="eastAsia" w:ascii="宋体" w:hAnsi="宋体" w:cs="宋体"/>
                <w:sz w:val="21"/>
                <w:szCs w:val="21"/>
              </w:rPr>
              <w:t>日至</w:t>
            </w:r>
            <w:r>
              <w:rPr>
                <w:rFonts w:hint="eastAsia" w:ascii="宋体" w:hAnsi="宋体" w:cs="宋体"/>
                <w:sz w:val="21"/>
                <w:szCs w:val="21"/>
                <w:lang w:val="en-US"/>
              </w:rPr>
              <w:t>*</w:t>
            </w:r>
            <w:r>
              <w:rPr>
                <w:rFonts w:hint="eastAsia" w:ascii="宋体" w:hAnsi="宋体" w:cs="宋体"/>
                <w:color w:val="FF0000"/>
                <w:sz w:val="21"/>
                <w:szCs w:val="21"/>
              </w:rPr>
              <w:t>*</w:t>
            </w:r>
            <w:r>
              <w:rPr>
                <w:rFonts w:hint="eastAsia" w:ascii="宋体" w:hAnsi="宋体" w:cs="宋体"/>
                <w:sz w:val="21"/>
                <w:szCs w:val="21"/>
              </w:rPr>
              <w:t>月</w:t>
            </w:r>
            <w:r>
              <w:rPr>
                <w:rFonts w:hint="eastAsia" w:ascii="宋体" w:hAnsi="宋体" w:cs="宋体"/>
                <w:sz w:val="21"/>
                <w:szCs w:val="21"/>
                <w:lang w:val="en-US"/>
              </w:rPr>
              <w:t>*</w:t>
            </w:r>
            <w:r>
              <w:rPr>
                <w:rFonts w:hint="eastAsia" w:ascii="宋体" w:hAnsi="宋体" w:cs="宋体"/>
                <w:color w:val="FF0000"/>
                <w:sz w:val="21"/>
                <w:szCs w:val="21"/>
              </w:rPr>
              <w:t>*</w:t>
            </w:r>
            <w:r>
              <w:rPr>
                <w:rFonts w:hint="eastAsia" w:ascii="宋体" w:hAnsi="宋体" w:cs="宋体"/>
                <w:sz w:val="21"/>
                <w:szCs w:val="21"/>
              </w:rPr>
              <w:t>日早上10：00至13：30下午16:00至19:30前）至采购方领取现场踏勘表并进行现场踏勘。踏勘地点：</w:t>
            </w:r>
            <w:r>
              <w:rPr>
                <w:rFonts w:hint="eastAsia" w:ascii="宋体" w:hAnsi="宋体" w:cs="宋体"/>
                <w:color w:val="FF0000"/>
                <w:sz w:val="21"/>
                <w:szCs w:val="21"/>
                <w:lang w:val="en-US"/>
              </w:rPr>
              <w:t>****</w:t>
            </w:r>
            <w:r>
              <w:rPr>
                <w:rFonts w:hint="eastAsia" w:ascii="宋体" w:hAnsi="宋体" w:cs="宋体"/>
                <w:sz w:val="21"/>
                <w:szCs w:val="21"/>
              </w:rPr>
              <w:t>；联系人：</w:t>
            </w:r>
            <w:r>
              <w:rPr>
                <w:rFonts w:hint="eastAsia" w:ascii="宋体" w:hAnsi="宋体" w:cs="宋体"/>
                <w:color w:val="FF0000"/>
                <w:sz w:val="21"/>
                <w:szCs w:val="21"/>
                <w:lang w:val="en-US"/>
              </w:rPr>
              <w:t>****</w:t>
            </w:r>
            <w:r>
              <w:rPr>
                <w:rFonts w:hint="eastAsia" w:ascii="宋体" w:hAnsi="宋体" w:cs="宋体"/>
                <w:sz w:val="21"/>
                <w:szCs w:val="21"/>
              </w:rPr>
              <w:t>；联系电话：</w:t>
            </w:r>
            <w:r>
              <w:rPr>
                <w:rFonts w:hint="eastAsia" w:ascii="宋体" w:hAnsi="宋体" w:cs="宋体"/>
                <w:color w:val="FF0000"/>
                <w:sz w:val="21"/>
                <w:szCs w:val="21"/>
                <w:lang w:val="en-US"/>
              </w:rPr>
              <w:t>****</w:t>
            </w:r>
            <w:r>
              <w:rPr>
                <w:rFonts w:hint="eastAsia" w:ascii="宋体" w:hAnsi="宋体" w:cs="宋体"/>
                <w:sz w:val="21"/>
                <w:szCs w:val="21"/>
              </w:rPr>
              <w:t>）</w:t>
            </w:r>
          </w:p>
          <w:p>
            <w:pPr>
              <w:jc w:val="left"/>
              <w:rPr>
                <w:rFonts w:ascii="宋体" w:hAnsi="宋体"/>
                <w:color w:val="FF0000"/>
              </w:rPr>
            </w:pPr>
            <w:r>
              <w:rPr>
                <w:rFonts w:hint="eastAsia" w:ascii="宋体" w:hAnsi="宋体"/>
                <w:color w:val="FF0000"/>
              </w:rPr>
              <w:t>踏勘要求：</w:t>
            </w:r>
          </w:p>
          <w:p>
            <w:r>
              <w:rPr>
                <w:rFonts w:hint="eastAsia" w:ascii="宋体" w:hAnsi="宋体"/>
              </w:rPr>
              <w:t xml:space="preserve">    踏勘人员须携带加盖投标单位公章的</w:t>
            </w:r>
            <w:r>
              <w:rPr>
                <w:rFonts w:hint="eastAsia" w:ascii="宋体" w:hAnsi="宋体"/>
                <w:color w:val="FF0000"/>
              </w:rPr>
              <w:t>授权委托书原件</w:t>
            </w:r>
            <w:r>
              <w:rPr>
                <w:rFonts w:hint="eastAsia" w:ascii="宋体" w:hAnsi="宋体"/>
              </w:rPr>
              <w:t>及</w:t>
            </w:r>
            <w:r>
              <w:rPr>
                <w:rFonts w:hint="eastAsia" w:ascii="宋体" w:hAnsi="宋体"/>
                <w:color w:val="FF0000"/>
              </w:rPr>
              <w:t>本人身份证（须人证相符），</w:t>
            </w:r>
            <w:r>
              <w:rPr>
                <w:rFonts w:hint="eastAsia" w:ascii="宋体" w:hAnsi="宋体"/>
              </w:rPr>
              <w:t>由采购人核验身份，并填写《项目采购前期现场踏勘记录表》回执一份（ 详见后附表）。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393" w:type="pct"/>
            <w:noWrap/>
            <w:vAlign w:val="center"/>
          </w:tcPr>
          <w:p>
            <w:pPr>
              <w:jc w:val="center"/>
              <w:rPr>
                <w:rFonts w:ascii="宋体" w:hAnsi="宋体"/>
              </w:rPr>
            </w:pPr>
            <w:r>
              <w:rPr>
                <w:rFonts w:hint="eastAsia" w:ascii="宋体" w:hAnsi="宋体"/>
              </w:rPr>
              <w:t>1</w:t>
            </w:r>
            <w:r>
              <w:rPr>
                <w:rFonts w:ascii="宋体" w:hAnsi="宋体"/>
              </w:rPr>
              <w:t>0</w:t>
            </w:r>
          </w:p>
        </w:tc>
        <w:tc>
          <w:tcPr>
            <w:tcW w:w="564" w:type="pct"/>
            <w:noWrap/>
            <w:vAlign w:val="center"/>
          </w:tcPr>
          <w:p>
            <w:pPr>
              <w:jc w:val="center"/>
              <w:rPr>
                <w:rFonts w:ascii="宋体" w:hAnsi="宋体"/>
              </w:rPr>
            </w:pPr>
            <w:r>
              <w:rPr>
                <w:rFonts w:hint="eastAsia" w:ascii="宋体" w:hAnsi="宋体"/>
              </w:rPr>
              <w:t>标前会议</w:t>
            </w:r>
          </w:p>
        </w:tc>
        <w:tc>
          <w:tcPr>
            <w:tcW w:w="4042" w:type="pct"/>
            <w:noWrap/>
            <w:vAlign w:val="center"/>
          </w:tcPr>
          <w:p>
            <w:pPr>
              <w:jc w:val="left"/>
              <w:rPr>
                <w:rFonts w:ascii="宋体" w:hAnsi="宋体"/>
              </w:rPr>
            </w:pPr>
            <w:r>
              <w:rPr>
                <w:rFonts w:hint="eastAsia" w:ascii="宋体" w:hAnsi="宋体"/>
              </w:rPr>
              <w:sym w:font="Wingdings" w:char="00FE"/>
            </w:r>
            <w:r>
              <w:rPr>
                <w:rFonts w:hint="eastAsia" w:ascii="宋体" w:hAnsi="宋体"/>
              </w:rPr>
              <w:t>不组织</w:t>
            </w:r>
          </w:p>
          <w:p>
            <w:pPr>
              <w:rPr>
                <w:rFonts w:ascii="宋体" w:hAnsi="宋体"/>
              </w:rPr>
            </w:pPr>
            <w:r>
              <w:rPr>
                <w:rFonts w:hint="eastAsia" w:ascii="宋体" w:hAnsi="宋体"/>
              </w:rPr>
              <w:sym w:font="Wingdings" w:char="00A8"/>
            </w:r>
            <w:r>
              <w:rPr>
                <w:rFonts w:hint="eastAsia" w:ascii="宋体" w:hAnsi="宋体"/>
              </w:rPr>
              <w:t>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393" w:type="pct"/>
            <w:noWrap/>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564" w:type="pct"/>
            <w:noWrap/>
            <w:vAlign w:val="center"/>
          </w:tcPr>
          <w:p>
            <w:pPr>
              <w:jc w:val="center"/>
              <w:rPr>
                <w:rFonts w:ascii="宋体" w:hAnsi="宋体"/>
              </w:rPr>
            </w:pPr>
            <w:r>
              <w:rPr>
                <w:rFonts w:hint="eastAsia" w:ascii="宋体" w:hAnsi="宋体"/>
              </w:rPr>
              <w:t>采购文件的澄清和修改</w:t>
            </w:r>
          </w:p>
        </w:tc>
        <w:tc>
          <w:tcPr>
            <w:tcW w:w="4042" w:type="pct"/>
            <w:noWrap/>
            <w:vAlign w:val="center"/>
          </w:tcPr>
          <w:p>
            <w:pPr>
              <w:jc w:val="left"/>
              <w:rPr>
                <w:rFonts w:ascii="宋体" w:hAnsi="宋体"/>
              </w:rPr>
            </w:pPr>
            <w:r>
              <w:rPr>
                <w:rFonts w:hint="eastAsia" w:ascii="宋体" w:hAnsi="宋体"/>
              </w:rPr>
              <w:t>不晚于投标截止日三日前（详见采购公告），投标人有义务在招标期间在政府集中采购机构网站浏览与本项目有关的澄清和修改信息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393" w:type="pct"/>
            <w:noWrap/>
            <w:vAlign w:val="center"/>
          </w:tcPr>
          <w:p>
            <w:pPr>
              <w:jc w:val="center"/>
              <w:rPr>
                <w:rFonts w:ascii="宋体" w:hAnsi="宋体"/>
              </w:rPr>
            </w:pPr>
            <w:r>
              <w:rPr>
                <w:rFonts w:hint="eastAsia" w:ascii="宋体" w:hAnsi="宋体"/>
              </w:rPr>
              <w:t>2</w:t>
            </w:r>
            <w:r>
              <w:rPr>
                <w:rFonts w:ascii="宋体" w:hAnsi="宋体"/>
              </w:rPr>
              <w:t>0</w:t>
            </w:r>
          </w:p>
        </w:tc>
        <w:tc>
          <w:tcPr>
            <w:tcW w:w="564" w:type="pct"/>
            <w:noWrap/>
            <w:vAlign w:val="center"/>
          </w:tcPr>
          <w:p>
            <w:pPr>
              <w:jc w:val="center"/>
              <w:rPr>
                <w:rFonts w:ascii="宋体" w:hAnsi="宋体"/>
              </w:rPr>
            </w:pPr>
            <w:r>
              <w:rPr>
                <w:rFonts w:hint="eastAsia" w:ascii="宋体" w:hAnsi="宋体"/>
              </w:rPr>
              <w:t>投标有效期</w:t>
            </w:r>
          </w:p>
        </w:tc>
        <w:tc>
          <w:tcPr>
            <w:tcW w:w="4042" w:type="pct"/>
            <w:noWrap/>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393" w:type="pct"/>
            <w:noWrap/>
            <w:vAlign w:val="center"/>
          </w:tcPr>
          <w:p>
            <w:pPr>
              <w:jc w:val="center"/>
              <w:rPr>
                <w:rFonts w:ascii="宋体" w:hAnsi="宋体"/>
              </w:rPr>
            </w:pPr>
            <w:r>
              <w:rPr>
                <w:rFonts w:hint="eastAsia" w:ascii="宋体" w:hAnsi="宋体"/>
              </w:rPr>
              <w:t>2</w:t>
            </w:r>
            <w:r>
              <w:rPr>
                <w:rFonts w:ascii="宋体" w:hAnsi="宋体"/>
              </w:rPr>
              <w:t>2</w:t>
            </w:r>
          </w:p>
        </w:tc>
        <w:tc>
          <w:tcPr>
            <w:tcW w:w="564" w:type="pct"/>
            <w:noWrap/>
            <w:vAlign w:val="center"/>
          </w:tcPr>
          <w:p>
            <w:pPr>
              <w:jc w:val="center"/>
              <w:rPr>
                <w:rFonts w:ascii="宋体" w:hAnsi="宋体"/>
              </w:rPr>
            </w:pPr>
            <w:r>
              <w:rPr>
                <w:rFonts w:hint="eastAsia" w:ascii="宋体" w:hAnsi="宋体"/>
              </w:rPr>
              <w:t>投标人的替代方案</w:t>
            </w:r>
          </w:p>
        </w:tc>
        <w:tc>
          <w:tcPr>
            <w:tcW w:w="4042" w:type="pct"/>
            <w:noWrap/>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93" w:type="pct"/>
            <w:noWrap/>
            <w:vAlign w:val="center"/>
          </w:tcPr>
          <w:p>
            <w:pPr>
              <w:jc w:val="center"/>
              <w:rPr>
                <w:rFonts w:ascii="宋体" w:hAnsi="宋体"/>
              </w:rPr>
            </w:pPr>
            <w:r>
              <w:rPr>
                <w:rFonts w:hint="eastAsia" w:ascii="宋体" w:hAnsi="宋体"/>
              </w:rPr>
              <w:t>2</w:t>
            </w:r>
            <w:r>
              <w:rPr>
                <w:rFonts w:ascii="宋体" w:hAnsi="宋体"/>
              </w:rPr>
              <w:t>5</w:t>
            </w:r>
          </w:p>
        </w:tc>
        <w:tc>
          <w:tcPr>
            <w:tcW w:w="564" w:type="pct"/>
            <w:noWrap/>
            <w:vAlign w:val="center"/>
          </w:tcPr>
          <w:p>
            <w:pPr>
              <w:jc w:val="center"/>
              <w:rPr>
                <w:rFonts w:ascii="宋体" w:hAnsi="宋体"/>
              </w:rPr>
            </w:pPr>
            <w:r>
              <w:rPr>
                <w:rFonts w:hint="eastAsia" w:ascii="宋体" w:hAnsi="宋体"/>
              </w:rPr>
              <w:t>投标文件递交形式</w:t>
            </w:r>
          </w:p>
        </w:tc>
        <w:tc>
          <w:tcPr>
            <w:tcW w:w="4042" w:type="pct"/>
            <w:noWrap/>
            <w:vAlign w:val="center"/>
          </w:tcPr>
          <w:p>
            <w:pPr>
              <w:jc w:val="center"/>
              <w:rPr>
                <w:rFonts w:ascii="宋体" w:hAnsi="宋体"/>
              </w:rPr>
            </w:pPr>
            <w:r>
              <w:rPr>
                <w:rFonts w:hint="eastAsia" w:ascii="宋体" w:hAnsi="宋体"/>
              </w:rPr>
              <w:t>电子投标文件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393" w:type="pct"/>
            <w:noWrap/>
            <w:vAlign w:val="center"/>
          </w:tcPr>
          <w:p>
            <w:pPr>
              <w:jc w:val="center"/>
              <w:rPr>
                <w:rFonts w:ascii="宋体" w:hAnsi="宋体"/>
              </w:rPr>
            </w:pPr>
            <w:r>
              <w:rPr>
                <w:rFonts w:hint="eastAsia" w:ascii="宋体" w:hAnsi="宋体"/>
              </w:rPr>
              <w:t>2</w:t>
            </w:r>
            <w:r>
              <w:rPr>
                <w:rFonts w:ascii="宋体" w:hAnsi="宋体"/>
              </w:rPr>
              <w:t>6</w:t>
            </w:r>
          </w:p>
        </w:tc>
        <w:tc>
          <w:tcPr>
            <w:tcW w:w="564" w:type="pct"/>
            <w:noWrap/>
            <w:vAlign w:val="center"/>
          </w:tcPr>
          <w:p>
            <w:pPr>
              <w:jc w:val="center"/>
              <w:rPr>
                <w:rFonts w:ascii="宋体" w:hAnsi="宋体"/>
              </w:rPr>
            </w:pPr>
            <w:bookmarkStart w:id="41" w:name="_Hlk71664860"/>
            <w:r>
              <w:rPr>
                <w:rFonts w:hint="eastAsia" w:ascii="宋体" w:hAnsi="宋体"/>
              </w:rPr>
              <w:t>样品、演示、方案讲解</w:t>
            </w:r>
            <w:bookmarkEnd w:id="41"/>
          </w:p>
        </w:tc>
        <w:tc>
          <w:tcPr>
            <w:tcW w:w="4042" w:type="pct"/>
            <w:noWrap/>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393" w:type="pct"/>
            <w:noWrap/>
            <w:vAlign w:val="center"/>
          </w:tcPr>
          <w:p>
            <w:pPr>
              <w:jc w:val="center"/>
              <w:rPr>
                <w:rFonts w:ascii="宋体" w:hAnsi="宋体"/>
              </w:rPr>
            </w:pPr>
            <w:r>
              <w:rPr>
                <w:rFonts w:hint="eastAsia" w:ascii="宋体" w:hAnsi="宋体"/>
              </w:rPr>
              <w:t>3</w:t>
            </w:r>
            <w:r>
              <w:rPr>
                <w:rFonts w:ascii="宋体" w:hAnsi="宋体"/>
              </w:rPr>
              <w:t>7</w:t>
            </w:r>
          </w:p>
        </w:tc>
        <w:tc>
          <w:tcPr>
            <w:tcW w:w="564" w:type="pct"/>
            <w:noWrap/>
            <w:vAlign w:val="center"/>
          </w:tcPr>
          <w:p>
            <w:pPr>
              <w:jc w:val="center"/>
              <w:rPr>
                <w:rFonts w:ascii="宋体" w:hAnsi="宋体"/>
              </w:rPr>
            </w:pPr>
            <w:r>
              <w:rPr>
                <w:rFonts w:hint="eastAsia" w:ascii="宋体" w:hAnsi="宋体"/>
              </w:rPr>
              <w:t>评审方法</w:t>
            </w:r>
          </w:p>
        </w:tc>
        <w:tc>
          <w:tcPr>
            <w:tcW w:w="4042" w:type="pct"/>
            <w:noWrap/>
            <w:vAlign w:val="center"/>
          </w:tcPr>
          <w:p>
            <w:pPr>
              <w:jc w:val="center"/>
              <w:rPr>
                <w:rFonts w:ascii="宋体" w:hAnsi="宋体"/>
              </w:rPr>
            </w:pPr>
            <w:r>
              <w:rPr>
                <w:rFonts w:hint="eastAsia" w:ascii="宋体" w:hAnsi="宋体"/>
                <w:color w:val="FF0000"/>
              </w:rPr>
              <w:t>最低评标价法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393" w:type="pct"/>
            <w:noWrap/>
            <w:vAlign w:val="center"/>
          </w:tcPr>
          <w:p>
            <w:pPr>
              <w:jc w:val="center"/>
              <w:rPr>
                <w:rFonts w:ascii="宋体" w:hAnsi="宋体"/>
              </w:rPr>
            </w:pPr>
            <w:r>
              <w:rPr>
                <w:rFonts w:hint="eastAsia" w:ascii="宋体" w:hAnsi="宋体"/>
              </w:rPr>
              <w:t>3</w:t>
            </w:r>
            <w:r>
              <w:rPr>
                <w:rFonts w:ascii="宋体" w:hAnsi="宋体"/>
              </w:rPr>
              <w:t>8</w:t>
            </w:r>
          </w:p>
        </w:tc>
        <w:tc>
          <w:tcPr>
            <w:tcW w:w="564" w:type="pct"/>
            <w:noWrap/>
            <w:vAlign w:val="center"/>
          </w:tcPr>
          <w:p>
            <w:pPr>
              <w:jc w:val="center"/>
              <w:rPr>
                <w:rFonts w:ascii="宋体" w:hAnsi="宋体"/>
              </w:rPr>
            </w:pPr>
            <w:r>
              <w:rPr>
                <w:rFonts w:hint="eastAsia" w:ascii="宋体" w:hAnsi="宋体"/>
              </w:rPr>
              <w:t>定标方法</w:t>
            </w:r>
          </w:p>
        </w:tc>
        <w:tc>
          <w:tcPr>
            <w:tcW w:w="4042" w:type="pct"/>
            <w:noWrap/>
            <w:vAlign w:val="center"/>
          </w:tcPr>
          <w:p>
            <w:pPr>
              <w:jc w:val="left"/>
              <w:rPr>
                <w:rFonts w:ascii="宋体" w:hAnsi="宋体"/>
              </w:rPr>
            </w:pPr>
            <w:r>
              <w:rPr>
                <w:rFonts w:hint="eastAsia" w:ascii="宋体" w:hAnsi="宋体"/>
              </w:rPr>
              <w:sym w:font="Wingdings" w:char="00A8"/>
            </w:r>
            <w:r>
              <w:rPr>
                <w:rFonts w:hint="eastAsia" w:ascii="宋体" w:hAnsi="宋体"/>
              </w:rPr>
              <w:t>评定分离</w:t>
            </w:r>
          </w:p>
          <w:p>
            <w:pPr>
              <w:jc w:val="left"/>
              <w:rPr>
                <w:rFonts w:ascii="宋体" w:hAnsi="宋体"/>
              </w:rPr>
            </w:pPr>
            <w:r>
              <w:rPr>
                <w:rFonts w:hint="eastAsia" w:ascii="宋体" w:hAnsi="宋体"/>
              </w:rPr>
              <w:sym w:font="Wingdings" w:char="00FE"/>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700" w:hRule="atLeast"/>
          <w:jc w:val="center"/>
        </w:trPr>
        <w:tc>
          <w:tcPr>
            <w:tcW w:w="393" w:type="pct"/>
            <w:noWrap/>
            <w:vAlign w:val="center"/>
          </w:tcPr>
          <w:p>
            <w:pPr>
              <w:jc w:val="center"/>
              <w:rPr>
                <w:rFonts w:ascii="宋体" w:hAnsi="宋体"/>
              </w:rPr>
            </w:pPr>
            <w:r>
              <w:rPr>
                <w:rFonts w:hint="eastAsia" w:ascii="宋体" w:hAnsi="宋体"/>
              </w:rPr>
              <w:t>4</w:t>
            </w:r>
            <w:r>
              <w:rPr>
                <w:rFonts w:ascii="宋体" w:hAnsi="宋体"/>
              </w:rPr>
              <w:t>6</w:t>
            </w:r>
          </w:p>
        </w:tc>
        <w:tc>
          <w:tcPr>
            <w:tcW w:w="564" w:type="pct"/>
            <w:noWrap/>
            <w:vAlign w:val="center"/>
          </w:tcPr>
          <w:p>
            <w:pPr>
              <w:jc w:val="center"/>
              <w:rPr>
                <w:rFonts w:ascii="宋体" w:hAnsi="宋体"/>
              </w:rPr>
            </w:pPr>
            <w:r>
              <w:rPr>
                <w:rFonts w:hint="eastAsia" w:ascii="宋体" w:hAnsi="宋体"/>
              </w:rPr>
              <w:t>投标保证金</w:t>
            </w:r>
          </w:p>
        </w:tc>
        <w:tc>
          <w:tcPr>
            <w:tcW w:w="4042" w:type="pct"/>
            <w:noWrap/>
            <w:vAlign w:val="center"/>
          </w:tcPr>
          <w:p>
            <w:pPr>
              <w:spacing w:line="440" w:lineRule="exact"/>
              <w:jc w:val="left"/>
              <w:rPr>
                <w:rFonts w:ascii="宋体" w:hAnsi="宋体" w:cs="宋体"/>
              </w:rPr>
            </w:pPr>
            <w:r>
              <w:rPr>
                <w:rFonts w:hint="eastAsia" w:ascii="宋体" w:hAnsi="宋体" w:cs="宋体"/>
              </w:rPr>
              <w:sym w:font="Wingdings" w:char="00A8"/>
            </w:r>
            <w:r>
              <w:rPr>
                <w:rFonts w:hint="eastAsia" w:ascii="宋体" w:hAnsi="宋体" w:cs="宋体"/>
              </w:rPr>
              <w:t>不需要缴纳</w:t>
            </w:r>
          </w:p>
          <w:p>
            <w:pPr>
              <w:jc w:val="left"/>
              <w:rPr>
                <w:rFonts w:ascii="宋体" w:hAnsi="宋体"/>
              </w:rPr>
            </w:pPr>
            <w:r>
              <w:rPr>
                <w:rFonts w:hint="eastAsia" w:ascii="宋体" w:hAnsi="宋体"/>
              </w:rPr>
              <w:sym w:font="Wingdings" w:char="00FE"/>
            </w:r>
            <w:r>
              <w:rPr>
                <w:rFonts w:hint="eastAsia" w:ascii="宋体" w:hAnsi="宋体"/>
              </w:rPr>
              <w:t>需要缴纳，投标保证金金额：</w:t>
            </w:r>
            <w:r>
              <w:rPr>
                <w:rFonts w:hint="eastAsia" w:ascii="宋体" w:hAnsi="宋体"/>
                <w:color w:val="FF0000"/>
              </w:rPr>
              <w:t>大写：壹万叁仟元整 ；小写：13000元</w:t>
            </w:r>
          </w:p>
          <w:p>
            <w:pPr>
              <w:ind w:firstLine="420" w:firstLineChars="200"/>
              <w:jc w:val="left"/>
              <w:rPr>
                <w:rFonts w:ascii="宋体" w:hAnsi="宋体"/>
              </w:rPr>
            </w:pPr>
            <w:r>
              <w:rPr>
                <w:rFonts w:hint="eastAsia" w:ascii="宋体" w:hAnsi="宋体"/>
              </w:rPr>
              <w:t>投标保证金缴纳形式：供应商自主选择以电汇、网银、支票、汇票、本票或者金融机构、担保机构出具的保函等非现金形式提交投标保证金。以保函形式（银行保函、担保保函）提交的，</w:t>
            </w:r>
            <w:r>
              <w:rPr>
                <w:rFonts w:hint="eastAsia" w:ascii="宋体" w:hAnsi="宋体"/>
                <w:color w:val="FF0000"/>
              </w:rPr>
              <w:t>保函有效期开具不少于4个月</w:t>
            </w:r>
            <w:r>
              <w:rPr>
                <w:rFonts w:hint="eastAsia" w:ascii="宋体" w:hAnsi="宋体"/>
              </w:rPr>
              <w:t>。 以电子保函形式提交的，请登录政府采购云平台-金融服务中心-保险保函服务，进行在线保函申请、受理、费用支付。</w:t>
            </w:r>
          </w:p>
          <w:p>
            <w:pPr>
              <w:ind w:firstLine="420" w:firstLineChars="200"/>
              <w:jc w:val="left"/>
              <w:rPr>
                <w:rFonts w:ascii="宋体" w:hAnsi="宋体"/>
                <w:b/>
                <w:bCs/>
                <w:color w:val="FF0000"/>
              </w:rPr>
            </w:pPr>
            <w:r>
              <w:rPr>
                <w:rFonts w:hint="eastAsia" w:ascii="宋体" w:hAnsi="宋体"/>
              </w:rPr>
              <w:t>供应商须在汇款凭证上的用途栏注明所投标的项目名称或项目编号，</w:t>
            </w:r>
            <w:r>
              <w:rPr>
                <w:rFonts w:hint="eastAsia" w:ascii="宋体" w:hAnsi="宋体"/>
                <w:color w:val="FF0000"/>
              </w:rPr>
              <w:t>标准格式为：BZZZZX(DY)2025-001号投标保证金</w:t>
            </w:r>
          </w:p>
          <w:p>
            <w:pPr>
              <w:jc w:val="left"/>
              <w:rPr>
                <w:rFonts w:ascii="宋体" w:hAnsi="宋体"/>
              </w:rPr>
            </w:pPr>
            <w:r>
              <w:rPr>
                <w:rFonts w:hint="eastAsia" w:ascii="宋体" w:hAnsi="宋体"/>
              </w:rPr>
              <w:t>账户名称：巴音郭楞蒙古自治州政务服务和公共资源交易中心</w:t>
            </w:r>
          </w:p>
          <w:p>
            <w:pPr>
              <w:jc w:val="left"/>
              <w:rPr>
                <w:rFonts w:ascii="宋体" w:hAnsi="宋体"/>
              </w:rPr>
            </w:pPr>
            <w:r>
              <w:rPr>
                <w:rFonts w:hint="eastAsia" w:ascii="宋体" w:hAnsi="宋体"/>
              </w:rPr>
              <w:t>开户银行：中国工商银行股份有限公司库尔勒香梨大道支行</w:t>
            </w:r>
          </w:p>
          <w:p>
            <w:pPr>
              <w:jc w:val="left"/>
              <w:rPr>
                <w:rFonts w:ascii="宋体" w:hAnsi="宋体"/>
              </w:rPr>
            </w:pPr>
            <w:r>
              <w:rPr>
                <w:rFonts w:hint="eastAsia" w:ascii="宋体" w:hAnsi="宋体"/>
              </w:rPr>
              <w:t>银行行号：102888000216</w:t>
            </w:r>
          </w:p>
          <w:p>
            <w:pPr>
              <w:jc w:val="left"/>
              <w:rPr>
                <w:rFonts w:ascii="宋体" w:hAnsi="宋体"/>
              </w:rPr>
            </w:pPr>
            <w:r>
              <w:rPr>
                <w:rFonts w:hint="eastAsia" w:ascii="宋体" w:hAnsi="宋体"/>
              </w:rPr>
              <w:t>银行账号：3010029129200100817-000000004</w:t>
            </w:r>
          </w:p>
          <w:p>
            <w:pPr>
              <w:jc w:val="left"/>
              <w:rPr>
                <w:rFonts w:ascii="宋体" w:hAnsi="宋体"/>
              </w:rPr>
            </w:pPr>
            <w:r>
              <w:rPr>
                <w:rFonts w:hint="eastAsia" w:ascii="宋体" w:hAnsi="宋体"/>
              </w:rPr>
              <w:t>供应商应于</w:t>
            </w:r>
            <w:r>
              <w:rPr>
                <w:rFonts w:hint="eastAsia" w:ascii="宋体" w:hAnsi="宋体"/>
                <w:color w:val="FF0000"/>
              </w:rPr>
              <w:t>2025年</w:t>
            </w:r>
            <w:r>
              <w:rPr>
                <w:rFonts w:hint="eastAsia" w:ascii="宋体" w:hAnsi="宋体"/>
                <w:color w:val="FF0000"/>
                <w:lang w:val="en-US" w:eastAsia="zh-CN"/>
              </w:rPr>
              <w:t>03</w:t>
            </w:r>
            <w:r>
              <w:rPr>
                <w:rFonts w:hint="eastAsia" w:ascii="宋体" w:hAnsi="宋体"/>
                <w:color w:val="FF0000"/>
              </w:rPr>
              <w:t>月</w:t>
            </w:r>
            <w:r>
              <w:rPr>
                <w:rFonts w:hint="eastAsia" w:ascii="宋体" w:hAnsi="宋体"/>
                <w:color w:val="FF0000"/>
                <w:lang w:val="en-US" w:eastAsia="zh-CN"/>
              </w:rPr>
              <w:t>11</w:t>
            </w:r>
            <w:bookmarkStart w:id="212" w:name="_GoBack"/>
            <w:bookmarkEnd w:id="212"/>
            <w:r>
              <w:rPr>
                <w:rFonts w:hint="eastAsia" w:ascii="宋体" w:hAnsi="宋体"/>
                <w:color w:val="FF0000"/>
              </w:rPr>
              <w:t>日 上午10：30 时前</w:t>
            </w:r>
            <w:r>
              <w:rPr>
                <w:rFonts w:hint="eastAsia" w:ascii="宋体" w:hAnsi="宋体"/>
              </w:rPr>
              <w:t>（北京时间）将投标保证金缴纳至集采机构指定账户（选择上述任意一家银行），非现金形式的电汇、网银支付等方式必须从供应商的基本账户汇出(个体工商户除外)。</w:t>
            </w:r>
          </w:p>
          <w:p>
            <w:pPr>
              <w:jc w:val="left"/>
              <w:rPr>
                <w:rFonts w:ascii="宋体" w:hAnsi="宋体"/>
                <w:b/>
                <w:bCs/>
              </w:rPr>
            </w:pPr>
          </w:p>
          <w:p>
            <w:pPr>
              <w:jc w:val="left"/>
              <w:rPr>
                <w:rFonts w:ascii="宋体" w:hAnsi="宋体"/>
                <w:b/>
                <w:bCs/>
              </w:rPr>
            </w:pPr>
            <w:r>
              <w:rPr>
                <w:rFonts w:hint="eastAsia" w:ascii="宋体" w:hAnsi="宋体"/>
                <w:b/>
                <w:bCs/>
              </w:rPr>
              <w:t>备注：</w:t>
            </w:r>
          </w:p>
          <w:p>
            <w:pPr>
              <w:ind w:firstLine="420" w:firstLineChars="200"/>
              <w:jc w:val="left"/>
              <w:rPr>
                <w:rFonts w:ascii="宋体" w:hAnsi="宋体"/>
              </w:rPr>
            </w:pPr>
            <w:r>
              <w:rPr>
                <w:rFonts w:hint="eastAsia" w:ascii="宋体" w:hAnsi="宋体"/>
              </w:rPr>
              <w:t>1.投标保证金/电子保函未按规定时间缴纳或提交金额（担保金额）不足的，将被视为无效投标,其投标文件将不予接受（供应商应充分考虑资金在途时间）；</w:t>
            </w:r>
          </w:p>
          <w:p>
            <w:pPr>
              <w:ind w:firstLine="420" w:firstLineChars="200"/>
              <w:jc w:val="left"/>
            </w:pPr>
            <w:r>
              <w:rPr>
                <w:rFonts w:hint="eastAsia" w:ascii="宋体" w:hAnsi="宋体"/>
              </w:rPr>
              <w:t>2.未中标供应商的投标保证金自中标通知书发出之日起5个工作日内原路退还；中标供应商的投标保证金在缴纳完成履约保证金并签订合同后，我中心自收到材料之日起5个工作日内原路退还。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080" w:hRule="atLeast"/>
          <w:jc w:val="center"/>
        </w:trPr>
        <w:tc>
          <w:tcPr>
            <w:tcW w:w="393" w:type="pct"/>
            <w:noWrap/>
            <w:vAlign w:val="center"/>
          </w:tcPr>
          <w:p>
            <w:pPr>
              <w:jc w:val="center"/>
              <w:rPr>
                <w:rFonts w:ascii="宋体" w:hAnsi="宋体"/>
              </w:rPr>
            </w:pPr>
            <w:r>
              <w:rPr>
                <w:rFonts w:hint="eastAsia" w:ascii="宋体" w:hAnsi="宋体"/>
              </w:rPr>
              <w:t>46</w:t>
            </w:r>
          </w:p>
        </w:tc>
        <w:tc>
          <w:tcPr>
            <w:tcW w:w="564" w:type="pct"/>
            <w:noWrap/>
            <w:vAlign w:val="center"/>
          </w:tcPr>
          <w:p>
            <w:pPr>
              <w:jc w:val="center"/>
              <w:rPr>
                <w:rFonts w:ascii="宋体" w:hAnsi="宋体"/>
              </w:rPr>
            </w:pPr>
            <w:r>
              <w:rPr>
                <w:rFonts w:hint="eastAsia" w:ascii="宋体" w:hAnsi="宋体"/>
              </w:rPr>
              <w:t>履约保证金</w:t>
            </w:r>
          </w:p>
        </w:tc>
        <w:tc>
          <w:tcPr>
            <w:tcW w:w="4042" w:type="pct"/>
            <w:noWrap/>
            <w:vAlign w:val="center"/>
          </w:tcPr>
          <w:p>
            <w:pPr>
              <w:jc w:val="left"/>
              <w:rPr>
                <w:rFonts w:ascii="宋体" w:hAnsi="宋体"/>
              </w:rPr>
            </w:pPr>
            <w:r>
              <w:rPr>
                <w:rFonts w:hint="eastAsia" w:ascii="宋体" w:hAnsi="宋体"/>
              </w:rPr>
              <w:sym w:font="Wingdings" w:char="00A8"/>
            </w:r>
            <w:r>
              <w:rPr>
                <w:rFonts w:hint="eastAsia" w:ascii="宋体" w:hAnsi="宋体"/>
              </w:rPr>
              <w:t>不需要缴纳</w:t>
            </w:r>
          </w:p>
          <w:p>
            <w:pPr>
              <w:jc w:val="left"/>
              <w:rPr>
                <w:rFonts w:ascii="宋体" w:hAnsi="宋体"/>
              </w:rPr>
            </w:pPr>
            <w:r>
              <w:rPr>
                <w:rFonts w:hint="eastAsia" w:ascii="宋体" w:hAnsi="宋体"/>
              </w:rPr>
              <w:sym w:font="Wingdings" w:char="00FE"/>
            </w:r>
            <w:r>
              <w:rPr>
                <w:rFonts w:hint="eastAsia" w:ascii="宋体" w:hAnsi="宋体"/>
              </w:rPr>
              <w:t>需要缴纳</w:t>
            </w:r>
          </w:p>
          <w:p>
            <w:pPr>
              <w:jc w:val="left"/>
              <w:rPr>
                <w:rFonts w:ascii="宋体" w:hAnsi="宋体"/>
              </w:rPr>
            </w:pPr>
            <w:r>
              <w:rPr>
                <w:rFonts w:hint="eastAsia" w:ascii="宋体" w:hAnsi="宋体"/>
              </w:rPr>
              <w:t>1.履约保证金为中标金额的5 %；</w:t>
            </w:r>
          </w:p>
          <w:p>
            <w:pPr>
              <w:jc w:val="left"/>
              <w:rPr>
                <w:rFonts w:ascii="宋体" w:hAnsi="宋体"/>
              </w:rPr>
            </w:pPr>
            <w:r>
              <w:rPr>
                <w:rFonts w:hint="eastAsia" w:ascii="宋体" w:hAnsi="宋体"/>
              </w:rPr>
              <w:t>2.履约保证金缴纳形式及账号</w:t>
            </w:r>
            <w:r>
              <w:rPr>
                <w:rFonts w:hint="eastAsia" w:ascii="宋体" w:hAnsi="宋体"/>
              </w:rPr>
              <w:br w:type="textWrapping"/>
            </w:r>
            <w:r>
              <w:rPr>
                <w:rFonts w:hint="eastAsia" w:ascii="宋体" w:hAnsi="宋体"/>
              </w:rPr>
              <w:t>账户名称：巴音郭楞蒙古自治州政务服务和公共资源交易中心</w:t>
            </w:r>
          </w:p>
          <w:p>
            <w:pPr>
              <w:jc w:val="left"/>
              <w:rPr>
                <w:rFonts w:ascii="宋体" w:hAnsi="宋体"/>
              </w:rPr>
            </w:pPr>
            <w:r>
              <w:rPr>
                <w:rFonts w:hint="eastAsia" w:ascii="宋体" w:hAnsi="宋体"/>
              </w:rPr>
              <w:t>开户银行：中国建设银行股份有限公司库尔勒香梨大道支行</w:t>
            </w:r>
          </w:p>
          <w:p>
            <w:pPr>
              <w:jc w:val="left"/>
              <w:rPr>
                <w:rFonts w:ascii="宋体" w:hAnsi="宋体"/>
              </w:rPr>
            </w:pPr>
            <w:r>
              <w:rPr>
                <w:rFonts w:hint="eastAsia" w:ascii="宋体" w:hAnsi="宋体"/>
              </w:rPr>
              <w:t>银行行号：105888000160</w:t>
            </w:r>
          </w:p>
          <w:p>
            <w:pPr>
              <w:jc w:val="left"/>
              <w:rPr>
                <w:rFonts w:ascii="宋体" w:hAnsi="宋体"/>
              </w:rPr>
            </w:pPr>
            <w:r>
              <w:rPr>
                <w:rFonts w:hint="eastAsia" w:ascii="宋体" w:hAnsi="宋体"/>
              </w:rPr>
              <w:t>银行账号：65050170604600000534-00004</w:t>
            </w:r>
          </w:p>
          <w:p>
            <w:pPr>
              <w:jc w:val="left"/>
              <w:rPr>
                <w:rFonts w:ascii="宋体" w:hAnsi="宋体"/>
                <w:b/>
                <w:bCs/>
                <w:color w:val="FF0000"/>
              </w:rPr>
            </w:pPr>
            <w:r>
              <w:rPr>
                <w:rFonts w:hint="eastAsia" w:ascii="宋体" w:hAnsi="宋体"/>
              </w:rPr>
              <w:t>中标供应商须在汇款凭证上的用途栏注明中标项目名称或项目编号，标准格式为：</w:t>
            </w:r>
            <w:r>
              <w:rPr>
                <w:rFonts w:hint="eastAsia" w:ascii="宋体" w:hAnsi="宋体"/>
                <w:color w:val="FF0000"/>
              </w:rPr>
              <w:t>BZZZZX(DY)2025-001号履约保证金</w:t>
            </w:r>
          </w:p>
          <w:p>
            <w:pPr>
              <w:jc w:val="left"/>
              <w:rPr>
                <w:rFonts w:ascii="宋体" w:hAnsi="宋体"/>
              </w:rPr>
            </w:pPr>
            <w:r>
              <w:rPr>
                <w:rFonts w:hint="eastAsia" w:ascii="宋体" w:hAnsi="宋体"/>
              </w:rPr>
              <w:t>3.以保函形式（银行保函、担保保函）提交的，保函有效期开具不少于12个月。</w:t>
            </w:r>
          </w:p>
          <w:p>
            <w:pPr>
              <w:jc w:val="left"/>
              <w:rPr>
                <w:rFonts w:ascii="宋体" w:hAnsi="宋体"/>
              </w:rPr>
            </w:pPr>
            <w:r>
              <w:rPr>
                <w:rFonts w:hint="eastAsia" w:ascii="宋体" w:hAnsi="宋体"/>
              </w:rPr>
              <w:t>4.履约保证金退付：项目质量达合格验收标准后，由采购人出具验收单及无质量问题证明原件后，由中标（成交）供应商至我中心办理无息退付手续。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95" w:hRule="atLeast"/>
          <w:jc w:val="center"/>
        </w:trPr>
        <w:tc>
          <w:tcPr>
            <w:tcW w:w="393" w:type="pct"/>
            <w:noWrap/>
            <w:vAlign w:val="center"/>
          </w:tcPr>
          <w:p>
            <w:pPr>
              <w:jc w:val="center"/>
              <w:rPr>
                <w:rFonts w:ascii="宋体" w:hAnsi="宋体"/>
              </w:rPr>
            </w:pPr>
          </w:p>
        </w:tc>
        <w:tc>
          <w:tcPr>
            <w:tcW w:w="564" w:type="pct"/>
            <w:noWrap/>
            <w:vAlign w:val="center"/>
          </w:tcPr>
          <w:p>
            <w:pPr>
              <w:jc w:val="center"/>
              <w:rPr>
                <w:rFonts w:ascii="宋体" w:hAnsi="宋体"/>
              </w:rPr>
            </w:pPr>
            <w:r>
              <w:rPr>
                <w:rFonts w:hint="eastAsia" w:ascii="宋体" w:hAnsi="宋体"/>
              </w:rPr>
              <w:t>付款方式</w:t>
            </w:r>
          </w:p>
        </w:tc>
        <w:tc>
          <w:tcPr>
            <w:tcW w:w="4042" w:type="pct"/>
            <w:noWrap/>
            <w:vAlign w:val="center"/>
          </w:tcPr>
          <w:p>
            <w:pPr>
              <w:pStyle w:val="2"/>
              <w:rPr>
                <w:rFonts w:ascii="宋体" w:hAnsi="宋体" w:cs="宋体"/>
                <w:highlight w:val="yellow"/>
                <w:lang w:val="en-US"/>
              </w:rPr>
            </w:pPr>
            <w:r>
              <w:rPr>
                <w:rFonts w:hint="eastAsia" w:ascii="宋体" w:hAnsi="宋体"/>
                <w:color w:val="FF0000"/>
                <w:highlight w:val="yellow"/>
              </w:rPr>
              <w:t>合同签订生效后，甲方向乙方</w:t>
            </w:r>
            <w:r>
              <w:rPr>
                <w:rFonts w:hint="eastAsia" w:ascii="宋体" w:hAnsi="宋体" w:cs="宋体"/>
                <w:highlight w:val="yellow"/>
                <w:lang w:val="en-US"/>
              </w:rPr>
              <w:t>支付合同款60%；软件安装完成验收合格后甲方向乙方支付合同款40%。</w:t>
            </w:r>
          </w:p>
        </w:tc>
      </w:tr>
    </w:tbl>
    <w:p>
      <w:pPr>
        <w:jc w:val="left"/>
      </w:pPr>
    </w:p>
    <w:p>
      <w:pPr>
        <w:jc w:val="left"/>
        <w:rPr>
          <w:b/>
        </w:rPr>
      </w:pPr>
      <w:r>
        <w:rPr>
          <w:rFonts w:hint="eastAsia"/>
        </w:rPr>
        <w:t>备注：本表是通用条款相关条款的补充和明确，如与通用条款内容相冲突的，以本表为准。</w:t>
      </w:r>
    </w:p>
    <w:p>
      <w:pPr>
        <w:rPr>
          <w:b/>
        </w:rPr>
      </w:pPr>
    </w:p>
    <w:p>
      <w:pPr>
        <w:pStyle w:val="6"/>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二、其他关键信息</w:t>
      </w:r>
    </w:p>
    <w:p>
      <w:pPr>
        <w:rPr>
          <w:b/>
          <w:bCs/>
        </w:rPr>
      </w:pPr>
      <w:r>
        <w:rPr>
          <w:rFonts w:hint="eastAsia"/>
          <w:b/>
          <w:bCs/>
        </w:rPr>
        <w:t>（一）与“对通用条款的补充内容”章节相关的事项</w:t>
      </w:r>
    </w:p>
    <w:p>
      <w:pPr>
        <w:ind w:firstLine="422" w:firstLineChars="200"/>
        <w:rPr>
          <w:b/>
          <w:bCs/>
        </w:rPr>
      </w:pPr>
    </w:p>
    <w:tbl>
      <w:tblPr>
        <w:tblStyle w:val="25"/>
        <w:tblpPr w:leftFromText="180" w:rightFromText="180" w:vertAnchor="text" w:horzAnchor="page" w:tblpX="1660" w:tblpY="313"/>
        <w:tblOverlap w:val="never"/>
        <w:tblW w:w="47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442" w:type="pct"/>
            <w:noWrap/>
          </w:tcPr>
          <w:p>
            <w:bookmarkStart w:id="42" w:name="_Hlk72579465"/>
          </w:p>
          <w:p>
            <w:pPr>
              <w:ind w:firstLine="210" w:firstLineChars="100"/>
            </w:pPr>
            <w:r>
              <w:rPr>
                <w:rFonts w:hint="eastAsia"/>
              </w:rPr>
              <w:t>评审专家组建及抽取</w:t>
            </w:r>
          </w:p>
        </w:tc>
        <w:tc>
          <w:tcPr>
            <w:tcW w:w="3557" w:type="pct"/>
            <w:noWrap/>
          </w:tcPr>
          <w:p>
            <w:pPr>
              <w:pStyle w:val="10"/>
              <w:ind w:firstLine="420" w:firstLineChars="200"/>
              <w:jc w:val="both"/>
              <w:rPr>
                <w:rFonts w:ascii="宋体" w:hAnsi="宋体" w:cs="宋体"/>
              </w:rPr>
            </w:pPr>
          </w:p>
          <w:p>
            <w:pPr>
              <w:pStyle w:val="10"/>
              <w:jc w:val="both"/>
              <w:rPr>
                <w:szCs w:val="24"/>
              </w:rPr>
            </w:pPr>
            <w:r>
              <w:rPr>
                <w:rFonts w:hint="eastAsia" w:ascii="宋体" w:hAnsi="宋体" w:cs="宋体"/>
              </w:rPr>
              <w:t>专家抽取共5人，其中采购人代表</w:t>
            </w:r>
            <w:r>
              <w:rPr>
                <w:rFonts w:hint="eastAsia" w:ascii="宋体" w:hAnsi="宋体" w:cs="宋体"/>
                <w:color w:val="FF0000"/>
              </w:rPr>
              <w:t>1</w:t>
            </w:r>
            <w:r>
              <w:rPr>
                <w:rFonts w:hint="eastAsia" w:ascii="宋体" w:hAnsi="宋体" w:cs="宋体"/>
              </w:rPr>
              <w:t xml:space="preserve">人，政采云评标专家库中随机抽取4人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42" w:type="pct"/>
            <w:noWrap/>
          </w:tcPr>
          <w:p>
            <w:pPr>
              <w:jc w:val="center"/>
            </w:pPr>
          </w:p>
          <w:p>
            <w:pPr>
              <w:jc w:val="center"/>
            </w:pPr>
            <w:r>
              <w:rPr>
                <w:rFonts w:hint="eastAsia"/>
              </w:rPr>
              <w:t>评标方法</w:t>
            </w:r>
          </w:p>
        </w:tc>
        <w:tc>
          <w:tcPr>
            <w:tcW w:w="3557" w:type="pct"/>
            <w:noWrap/>
          </w:tcPr>
          <w:p>
            <w:pPr>
              <w:pStyle w:val="10"/>
              <w:jc w:val="center"/>
              <w:rPr>
                <w:szCs w:val="24"/>
              </w:rPr>
            </w:pPr>
          </w:p>
          <w:p>
            <w:pPr>
              <w:pStyle w:val="10"/>
              <w:jc w:val="center"/>
              <w:rPr>
                <w:szCs w:val="24"/>
              </w:rPr>
            </w:pPr>
            <w:r>
              <w:rPr>
                <w:rFonts w:hint="eastAsia"/>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42" w:type="pct"/>
            <w:noWrap/>
            <w:vAlign w:val="center"/>
          </w:tcPr>
          <w:p>
            <w:pPr>
              <w:ind w:firstLine="210" w:firstLineChars="100"/>
              <w:jc w:val="center"/>
            </w:pPr>
            <w:r>
              <w:rPr>
                <w:rFonts w:hint="eastAsia"/>
              </w:rPr>
              <w:t>候选成交供应商数量</w:t>
            </w:r>
          </w:p>
        </w:tc>
        <w:tc>
          <w:tcPr>
            <w:tcW w:w="3557" w:type="pct"/>
            <w:noWrap/>
            <w:vAlign w:val="center"/>
          </w:tcPr>
          <w:p>
            <w:pPr>
              <w:ind w:firstLine="210" w:firstLineChars="10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42" w:type="pct"/>
            <w:noWrap/>
            <w:vAlign w:val="center"/>
          </w:tcPr>
          <w:p>
            <w:pPr>
              <w:ind w:firstLine="210" w:firstLineChars="100"/>
              <w:jc w:val="center"/>
            </w:pPr>
            <w:r>
              <w:rPr>
                <w:rFonts w:hint="eastAsia"/>
              </w:rPr>
              <w:t>成交供应商数量</w:t>
            </w:r>
          </w:p>
        </w:tc>
        <w:tc>
          <w:tcPr>
            <w:tcW w:w="3557" w:type="pct"/>
            <w:noWrap/>
            <w:vAlign w:val="center"/>
          </w:tcPr>
          <w:p>
            <w:pPr>
              <w:ind w:firstLine="210" w:firstLineChars="100"/>
              <w:jc w:val="center"/>
            </w:pPr>
            <w:r>
              <w:rPr>
                <w:rFonts w:hint="eastAsia"/>
              </w:rPr>
              <w:t>1</w:t>
            </w:r>
          </w:p>
        </w:tc>
      </w:tr>
    </w:tbl>
    <w:p>
      <w:pPr>
        <w:jc w:val="center"/>
        <w:rPr>
          <w:b/>
        </w:rPr>
      </w:pPr>
      <w:r>
        <w:rPr>
          <w:rFonts w:hint="eastAsia"/>
          <w:b/>
        </w:rPr>
        <w:t>评标定标信息</w:t>
      </w:r>
    </w:p>
    <w:p>
      <w:pPr>
        <w:ind w:firstLine="420" w:firstLineChars="200"/>
      </w:pPr>
    </w:p>
    <w:bookmarkEnd w:id="42"/>
    <w:p>
      <w:pPr>
        <w:spacing w:line="276" w:lineRule="auto"/>
        <w:rPr>
          <w:rFonts w:ascii="宋体" w:hAnsi="宋体"/>
          <w:b/>
        </w:rPr>
      </w:pPr>
      <w:r>
        <w:rPr>
          <w:rFonts w:hint="eastAsia" w:ascii="宋体" w:hAnsi="宋体"/>
          <w:b/>
        </w:rPr>
        <w:t>投标报价要求：</w:t>
      </w:r>
    </w:p>
    <w:p>
      <w:pPr>
        <w:ind w:firstLine="420" w:firstLineChars="200"/>
      </w:pPr>
      <w:r>
        <w:rPr>
          <w:rFonts w:hint="eastAsi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pPr>
      <w:r>
        <w:rPr>
          <w:rFonts w:hint="eastAsia"/>
        </w:rPr>
        <w:t>（2）投标人应充分了解项目基本情况及任何其它足以影响投标报价的情况，任何因忽视或误解项目情况而导致的索赔或服务期限延长申请将不获批准。</w:t>
      </w:r>
    </w:p>
    <w:p>
      <w:pPr>
        <w:ind w:firstLine="420" w:firstLineChars="200"/>
      </w:pPr>
      <w:r>
        <w:rPr>
          <w:rFonts w:hint="eastAsia"/>
        </w:rPr>
        <w:t>（3）投标报价超出财政预算，或者项目报价表中单个采购预算条目报价超过对应的财政预算的，投标将被否决。</w:t>
      </w:r>
    </w:p>
    <w:p>
      <w:pPr>
        <w:ind w:firstLine="420" w:firstLineChars="200"/>
      </w:pPr>
      <w:r>
        <w:rPr>
          <w:rFonts w:hint="eastAsia"/>
        </w:rPr>
        <w:t>（4）合理评判供应商报价；</w:t>
      </w:r>
    </w:p>
    <w:p>
      <w:pPr>
        <w:ind w:firstLine="420" w:firstLineChars="200"/>
      </w:pPr>
      <w:r>
        <w:rPr>
          <w:rFonts w:hint="eastAsia"/>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ind w:firstLine="420" w:firstLineChars="200"/>
      </w:pPr>
      <w:r>
        <w:rPr>
          <w:rFonts w:hint="eastAsia"/>
        </w:rPr>
        <w:t>若评标委员会成员对是否须由投标人作出报价合理性说明，以及书面说明是否采纳等判断不一致的，按照“少数服从多数”的原则确定评标委员会的意见。</w:t>
      </w:r>
      <w:bookmarkStart w:id="43" w:name="_Hlk81898283"/>
    </w:p>
    <w:p>
      <w:pPr>
        <w:ind w:firstLine="420" w:firstLineChars="200"/>
      </w:pPr>
      <w:r>
        <w:rPr>
          <w:rFonts w:hint="eastAsia"/>
        </w:rPr>
        <w:t>（5）除政府采购合同继续履行将损害国家利益和社会公共利益外，双方当事人不得擅自变更、中止或者终止合同。</w:t>
      </w:r>
    </w:p>
    <w:bookmarkEnd w:id="43"/>
    <w:p>
      <w:pPr>
        <w:ind w:firstLine="422" w:firstLineChars="200"/>
        <w:rPr>
          <w:b/>
        </w:rPr>
      </w:pPr>
    </w:p>
    <w:p>
      <w:pPr>
        <w:ind w:firstLine="211" w:firstLineChars="100"/>
        <w:rPr>
          <w:b/>
          <w:bCs/>
        </w:rPr>
      </w:pPr>
      <w:r>
        <w:rPr>
          <w:rFonts w:hint="eastAsia"/>
          <w:b/>
        </w:rPr>
        <w:t>（二）其他事项</w:t>
      </w:r>
    </w:p>
    <w:p>
      <w:pPr>
        <w:ind w:firstLine="422" w:firstLineChars="200"/>
        <w:rPr>
          <w:b/>
          <w:bCs/>
        </w:rPr>
      </w:pPr>
      <w:r>
        <w:rPr>
          <w:b/>
          <w:bCs/>
        </w:rPr>
        <w:t>1</w:t>
      </w:r>
      <w:r>
        <w:rPr>
          <w:rFonts w:hint="eastAsia"/>
          <w:b/>
          <w:bCs/>
        </w:rPr>
        <w:t>、关于享受优惠政策的主体及价格扣除比例</w:t>
      </w:r>
    </w:p>
    <w:p>
      <w:pPr>
        <w:ind w:firstLine="420" w:firstLineChars="200"/>
      </w:pPr>
      <w:r>
        <w:rPr>
          <w:rFonts w:hint="eastAsia"/>
        </w:rPr>
        <w:t>（1）专门面向中小企业采购项目（不享受价格扣除）；非专门面向中小企业采购项目，服务类、工程类项目投标人提供的服务全部均由优惠主体承接，货物类项目投标人提供的货物全部均由优惠主题承接，则对其投标总价给予</w:t>
      </w:r>
      <w:r>
        <w:rPr>
          <w:rFonts w:hint="eastAsia"/>
          <w:b/>
          <w:bCs/>
          <w:color w:val="FF0000"/>
          <w:u w:val="single"/>
        </w:rPr>
        <w:t xml:space="preserve"> 10 </w:t>
      </w:r>
      <w:r>
        <w:rPr>
          <w:b/>
          <w:bCs/>
          <w:color w:val="FF0000"/>
          <w:u w:val="single"/>
        </w:rPr>
        <w:t>%</w:t>
      </w:r>
      <w:r>
        <w:rPr>
          <w:rFonts w:hint="eastAsia" w:ascii="宋体" w:hAnsi="宋体"/>
          <w:color w:val="FF0000"/>
        </w:rPr>
        <w:t xml:space="preserve">（请在/ </w:t>
      </w:r>
      <w:r>
        <w:rPr>
          <w:rFonts w:ascii="宋体" w:hAnsi="宋体"/>
          <w:color w:val="FF0000"/>
        </w:rPr>
        <w:t>%-</w:t>
      </w:r>
      <w:r>
        <w:rPr>
          <w:rFonts w:hint="eastAsia" w:ascii="宋体" w:hAnsi="宋体"/>
          <w:color w:val="FF0000"/>
        </w:rPr>
        <w:t xml:space="preserve">/ </w:t>
      </w:r>
      <w:r>
        <w:rPr>
          <w:rFonts w:ascii="宋体" w:hAnsi="宋体"/>
          <w:color w:val="FF0000"/>
        </w:rPr>
        <w:t>%</w:t>
      </w:r>
      <w:r>
        <w:rPr>
          <w:rFonts w:hint="eastAsia" w:ascii="宋体" w:hAnsi="宋体"/>
          <w:color w:val="FF0000"/>
        </w:rPr>
        <w:t>范围内选择）</w:t>
      </w:r>
      <w:r>
        <w:rPr>
          <w:rFonts w:hint="eastAsia" w:ascii="宋体" w:hAnsi="宋体"/>
        </w:rPr>
        <w:t>的价格扣除</w:t>
      </w:r>
      <w:r>
        <w:rPr>
          <w:rFonts w:hint="eastAsia"/>
        </w:rPr>
        <w:t>，用扣除后的价格参与评审。满足多项优惠政策的企业，不重复享受多项价格扣除政策。</w:t>
      </w:r>
      <w:r>
        <w:rPr>
          <w:rFonts w:hint="eastAsia" w:ascii="宋体" w:hAnsi="宋体"/>
          <w:color w:val="FF0000"/>
        </w:rPr>
        <w:t>联合协议/分包协议</w:t>
      </w:r>
      <w:r>
        <w:rPr>
          <w:rFonts w:hint="eastAsia" w:ascii="宋体" w:hAnsi="宋体"/>
        </w:rPr>
        <w:t>中约定，小型、微型企业的协议合同金额占到联合体协议合同总金额</w:t>
      </w:r>
      <w:r>
        <w:rPr>
          <w:rFonts w:hint="eastAsia" w:ascii="宋体" w:hAnsi="宋体"/>
          <w:b/>
          <w:bCs/>
          <w:color w:val="FF0000"/>
          <w:u w:val="single"/>
        </w:rPr>
        <w:t xml:space="preserve">/ % </w:t>
      </w:r>
      <w:r>
        <w:rPr>
          <w:rFonts w:hint="eastAsia" w:ascii="宋体" w:hAnsi="宋体"/>
        </w:rPr>
        <w:t>以上的，可给予</w:t>
      </w:r>
      <w:r>
        <w:rPr>
          <w:rFonts w:hint="eastAsia" w:ascii="宋体" w:hAnsi="宋体"/>
          <w:b/>
        </w:rPr>
        <w:t>联合体</w:t>
      </w:r>
      <w:r>
        <w:rPr>
          <w:rFonts w:hint="eastAsia" w:ascii="宋体" w:hAnsi="宋体"/>
          <w:b/>
          <w:color w:val="FF0000"/>
          <w:u w:val="single"/>
        </w:rPr>
        <w:t xml:space="preserve"> / </w:t>
      </w:r>
      <w:r>
        <w:rPr>
          <w:rFonts w:hint="eastAsia" w:ascii="宋体" w:hAnsi="宋体"/>
          <w:b/>
          <w:color w:val="FF0000"/>
        </w:rPr>
        <w:t>%</w:t>
      </w:r>
      <w:r>
        <w:rPr>
          <w:rFonts w:hint="eastAsia" w:ascii="宋体" w:hAnsi="宋体"/>
          <w:bCs/>
          <w:color w:val="FF0000"/>
        </w:rPr>
        <w:t xml:space="preserve">（请在/ </w:t>
      </w:r>
      <w:r>
        <w:rPr>
          <w:rFonts w:ascii="宋体" w:hAnsi="宋体"/>
          <w:bCs/>
          <w:color w:val="FF0000"/>
        </w:rPr>
        <w:t>%-</w:t>
      </w:r>
      <w:r>
        <w:rPr>
          <w:rFonts w:hint="eastAsia" w:ascii="宋体" w:hAnsi="宋体"/>
          <w:bCs/>
          <w:color w:val="FF0000"/>
        </w:rPr>
        <w:t xml:space="preserve">/ </w:t>
      </w:r>
      <w:r>
        <w:rPr>
          <w:rFonts w:ascii="宋体" w:hAnsi="宋体"/>
          <w:bCs/>
          <w:color w:val="FF0000"/>
        </w:rPr>
        <w:t>%</w:t>
      </w:r>
      <w:r>
        <w:rPr>
          <w:rFonts w:hint="eastAsia" w:ascii="宋体" w:hAnsi="宋体"/>
          <w:bCs/>
          <w:color w:val="FF0000"/>
        </w:rPr>
        <w:t>范围内选择）</w:t>
      </w:r>
      <w:r>
        <w:rPr>
          <w:rFonts w:hint="eastAsia" w:ascii="宋体" w:hAnsi="宋体"/>
        </w:rPr>
        <w:t>的价格扣除。</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ind w:firstLine="42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44" w:name="_Hlk71970739"/>
      <w:r>
        <w:rPr>
          <w:rFonts w:hint="eastAsia"/>
        </w:rPr>
        <w:t>本项目</w:t>
      </w:r>
      <w:bookmarkStart w:id="45" w:name="_Hlk71924718"/>
      <w:r>
        <w:rPr>
          <w:rFonts w:hint="eastAsia"/>
        </w:rPr>
        <w:t>采购标的（服务需求）对应的中小企业划分标准所属行业</w:t>
      </w:r>
      <w:bookmarkEnd w:id="45"/>
      <w:r>
        <w:rPr>
          <w:rFonts w:hint="eastAsia"/>
        </w:rPr>
        <w:t>为“</w:t>
      </w:r>
      <w:r>
        <w:rPr>
          <w:rFonts w:hint="eastAsia"/>
          <w:shd w:val="pct10" w:color="auto" w:fill="FFFFFF"/>
        </w:rPr>
        <w:t>其他未列明行</w:t>
      </w:r>
      <w:r>
        <w:rPr>
          <w:rFonts w:hint="eastAsia"/>
        </w:rPr>
        <w:t>业”。</w:t>
      </w:r>
      <w:bookmarkEnd w:id="44"/>
    </w:p>
    <w:p>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w:t>
      </w:r>
      <w:r>
        <w:rPr>
          <w:rFonts w:hint="eastAsia" w:ascii="宋体" w:hAnsi="宋体"/>
        </w:rPr>
        <w:t>投标文件组成要求及格式</w:t>
      </w:r>
      <w:r>
        <w:rPr>
          <w:rFonts w:hint="eastAsia"/>
        </w:rPr>
        <w:t>”中“三、投标人情况及资格证明文件”章节提供的格式）。</w:t>
      </w:r>
    </w:p>
    <w:p>
      <w:pPr>
        <w:ind w:firstLine="420" w:firstLineChars="200"/>
        <w:rPr>
          <w:rFonts w:eastAsia="楷体_GB2312"/>
        </w:rPr>
      </w:pPr>
      <w:r>
        <w:rPr>
          <w:rFonts w:hint="eastAsia"/>
        </w:rPr>
        <w:t>（4）享受价格扣除获得政府采购合同的，小微企业不得将合同分包给大中型企业。</w:t>
      </w:r>
    </w:p>
    <w:p>
      <w:pPr>
        <w:ind w:firstLine="422" w:firstLineChars="200"/>
        <w:rPr>
          <w:b/>
        </w:rPr>
      </w:pPr>
      <w:r>
        <w:rPr>
          <w:rFonts w:hint="eastAsia"/>
          <w:b/>
        </w:rPr>
        <w:t>2.关于政府采购订单融资政策</w:t>
      </w:r>
    </w:p>
    <w:p>
      <w:pPr>
        <w:ind w:firstLine="420" w:firstLineChars="200"/>
      </w:pPr>
      <w:r>
        <w:rPr>
          <w:rFonts w:hint="eastAsia"/>
        </w:rPr>
        <w:t>为进一步拓宽企业融资渠道，降低企业融资成本，根据《新疆维吾尔自治区政府采购合同融资工作方案》(新财购[2022]17号)，现推出政府采购订单融资服务，中标（成交）供应商可以凭借中标（成交）通知书或政府采购合同，通过自治区财政厅搭建的“政采云”平台，向参与政府采购合同融资业务的金融机构申请线上融资。金融机构在政策范围内，以供应商信用审查和政府采购信誉为基础，无财产抵押、按便捷贷款程序和优惠利率，为供应商提供一站式融资服务，订单融资具体流程可登录新疆政采云服务平台政采贷。</w:t>
      </w:r>
    </w:p>
    <w:p>
      <w:pPr>
        <w:ind w:firstLine="422" w:firstLineChars="200"/>
        <w:rPr>
          <w:b/>
        </w:rPr>
      </w:pPr>
      <w:r>
        <w:rPr>
          <w:rFonts w:hint="eastAsia"/>
          <w:b/>
        </w:rPr>
        <w:t>3.代理服务费</w:t>
      </w:r>
    </w:p>
    <w:p>
      <w:pPr>
        <w:ind w:firstLine="420" w:firstLineChars="200"/>
        <w:rPr>
          <w:bCs/>
        </w:rPr>
      </w:pPr>
      <w:r>
        <w:rPr>
          <w:rFonts w:hint="eastAsia"/>
          <w:bCs/>
        </w:rPr>
        <w:t>本项目不向中标供应商收取代理服务费</w:t>
      </w:r>
    </w:p>
    <w:p>
      <w:pPr>
        <w:ind w:firstLine="422" w:firstLineChars="200"/>
        <w:rPr>
          <w:b/>
          <w:bCs/>
        </w:rPr>
      </w:pPr>
      <w:r>
        <w:rPr>
          <w:rFonts w:hint="eastAsia"/>
          <w:b/>
          <w:bCs/>
        </w:rPr>
        <w:t>4.节能环保产品说明</w:t>
      </w:r>
    </w:p>
    <w:p>
      <w:pPr>
        <w:ind w:firstLine="420" w:firstLineChars="200"/>
        <w:rPr>
          <w:b/>
        </w:rPr>
      </w:pPr>
      <w:r>
        <w:rPr>
          <w:rFonts w:hint="eastAsia"/>
        </w:rPr>
        <w:t>拟采购的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w:t>
      </w:r>
      <w:r>
        <w:rPr>
          <w:rFonts w:hint="eastAsia"/>
          <w:color w:val="FF0000"/>
        </w:rPr>
        <w:t>认证机构出具的、处于有效期之内的节能产品、环境标志产品认证证书</w:t>
      </w:r>
      <w:r>
        <w:rPr>
          <w:rFonts w:hint="eastAsia"/>
        </w:rPr>
        <w:t>，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pStyle w:val="5"/>
        <w:jc w:val="both"/>
        <w:rPr>
          <w:rFonts w:ascii="方正小标宋_GBK" w:hAnsi="方正小标宋_GBK" w:eastAsia="方正小标宋_GBK" w:cs="方正小标宋_GBK"/>
          <w:b w:val="0"/>
          <w:sz w:val="32"/>
          <w:szCs w:val="32"/>
        </w:rPr>
      </w:pPr>
    </w:p>
    <w:p/>
    <w:p>
      <w:pPr>
        <w:pStyle w:val="5"/>
        <w:jc w:val="both"/>
        <w:rPr>
          <w:rFonts w:ascii="方正小标宋_GBK" w:hAnsi="方正小标宋_GBK" w:eastAsia="方正小标宋_GBK" w:cs="方正小标宋_GBK"/>
          <w:b w:val="0"/>
          <w:sz w:val="32"/>
          <w:szCs w:val="32"/>
        </w:rPr>
      </w:pPr>
    </w:p>
    <w:p/>
    <w:p>
      <w:pPr>
        <w:pStyle w:val="5"/>
        <w:ind w:firstLine="2880" w:firstLineChars="900"/>
        <w:jc w:val="both"/>
        <w:rPr>
          <w:rFonts w:ascii="方正小标宋_GBK" w:hAnsi="方正小标宋_GBK" w:eastAsia="方正小标宋_GBK" w:cs="方正小标宋_GBK"/>
          <w:b w:val="0"/>
          <w:sz w:val="32"/>
          <w:szCs w:val="32"/>
        </w:rPr>
      </w:pPr>
    </w:p>
    <w:p>
      <w:pPr>
        <w:rPr>
          <w:rFonts w:ascii="方正小标宋_GBK" w:hAnsi="方正小标宋_GBK" w:eastAsia="方正小标宋_GBK" w:cs="方正小标宋_GBK"/>
          <w:sz w:val="32"/>
          <w:szCs w:val="32"/>
        </w:rPr>
      </w:pPr>
    </w:p>
    <w:p>
      <w:pPr>
        <w:pStyle w:val="2"/>
      </w:pPr>
    </w:p>
    <w:p/>
    <w:p>
      <w:pPr>
        <w:pStyle w:val="5"/>
        <w:ind w:firstLine="2880" w:firstLineChars="900"/>
        <w:jc w:val="both"/>
        <w:rPr>
          <w:rFonts w:ascii="方正小标宋_GBK" w:hAnsi="方正小标宋_GBK" w:eastAsia="方正小标宋_GBK" w:cs="方正小标宋_GBK"/>
          <w:b w:val="0"/>
          <w:sz w:val="32"/>
          <w:szCs w:val="32"/>
        </w:rPr>
      </w:pPr>
      <w:r>
        <w:rPr>
          <w:rFonts w:hint="eastAsia" w:ascii="方正小标宋_GBK" w:hAnsi="方正小标宋_GBK" w:eastAsia="方正小标宋_GBK" w:cs="方正小标宋_GBK"/>
          <w:b w:val="0"/>
          <w:sz w:val="32"/>
          <w:szCs w:val="32"/>
        </w:rPr>
        <w:t>第三章 用户需求书</w:t>
      </w:r>
    </w:p>
    <w:p>
      <w:pPr>
        <w:ind w:firstLine="420" w:firstLineChars="200"/>
        <w:jc w:val="left"/>
        <w:outlineLvl w:val="0"/>
        <w:rPr>
          <w:rFonts w:ascii="宋体" w:hAnsi="宋体"/>
          <w:color w:val="0000FF"/>
        </w:rPr>
      </w:pPr>
      <w:r>
        <w:rPr>
          <w:rFonts w:hint="eastAsia" w:ascii="宋体" w:hAnsi="宋体"/>
          <w:color w:val="0000FF"/>
        </w:rPr>
        <w:t>1.本章带★号条款为不可偏离条款，供应商必须完全响应满足，否则将导致投标无效。供应商是否满足本章带★号条款要求，以附件《实质性条款响应表》响应为准。</w:t>
      </w:r>
    </w:p>
    <w:p>
      <w:pPr>
        <w:ind w:firstLine="420" w:firstLineChars="200"/>
        <w:jc w:val="left"/>
        <w:outlineLvl w:val="0"/>
        <w:rPr>
          <w:rFonts w:ascii="宋体" w:hAnsi="宋体"/>
          <w:color w:val="0000FF"/>
        </w:rPr>
      </w:pPr>
      <w:r>
        <w:rPr>
          <w:rFonts w:hint="eastAsia" w:ascii="宋体" w:hAnsi="宋体"/>
          <w:color w:val="0000FF"/>
        </w:rPr>
        <w:t>2.如供应商中标后被发现不能满足本章带★号条款要求的，采购方有权拒绝签订合同，一切后果由供应商承担。</w:t>
      </w:r>
    </w:p>
    <w:p>
      <w:pPr>
        <w:ind w:firstLine="420" w:firstLineChars="200"/>
        <w:jc w:val="left"/>
        <w:outlineLvl w:val="0"/>
        <w:rPr>
          <w:rFonts w:ascii="宋体" w:hAnsi="宋体"/>
          <w:color w:val="0000FF"/>
        </w:rPr>
      </w:pPr>
      <w:r>
        <w:rPr>
          <w:rFonts w:hint="eastAsia" w:ascii="宋体" w:hAnsi="宋体"/>
          <w:color w:val="0000FF"/>
        </w:rPr>
        <w:t>3.带“▲”指标项标注的商务技术条款为要求提供证明资料的条款，以附件《重要技术参数响应情况表》为准，</w:t>
      </w:r>
      <w:r>
        <w:rPr>
          <w:rFonts w:hint="eastAsia" w:ascii="宋体" w:hAnsi="宋体"/>
          <w:color w:val="FF0000"/>
        </w:rPr>
        <w:t>共</w:t>
      </w:r>
      <w:r>
        <w:rPr>
          <w:rFonts w:hint="eastAsia" w:ascii="宋体" w:hAnsi="宋体"/>
          <w:color w:val="FF0000"/>
          <w:lang w:val="en-US" w:eastAsia="zh-CN"/>
        </w:rPr>
        <w:t>10</w:t>
      </w:r>
      <w:r>
        <w:rPr>
          <w:rFonts w:hint="eastAsia" w:ascii="宋体" w:hAnsi="宋体"/>
          <w:color w:val="FF0000"/>
        </w:rPr>
        <w:t>项</w:t>
      </w:r>
      <w:r>
        <w:rPr>
          <w:rFonts w:hint="eastAsia" w:ascii="宋体" w:hAnsi="宋体"/>
          <w:color w:val="0000FF"/>
        </w:rPr>
        <w:t>，其余为未要求提供证明资料的条款，无需提供相关证明资料。</w:t>
      </w:r>
    </w:p>
    <w:p>
      <w:pPr>
        <w:pStyle w:val="4"/>
        <w:rPr>
          <w:rFonts w:ascii="黑体" w:eastAsia="黑体"/>
          <w:bCs w:val="0"/>
          <w:sz w:val="24"/>
        </w:rPr>
      </w:pPr>
    </w:p>
    <w:p>
      <w:pPr>
        <w:pStyle w:val="4"/>
        <w:rPr>
          <w:rFonts w:ascii="黑体" w:eastAsia="黑体"/>
          <w:bCs w:val="0"/>
          <w:sz w:val="24"/>
        </w:rPr>
      </w:pPr>
      <w:r>
        <w:rPr>
          <w:rFonts w:hint="eastAsia" w:ascii="黑体" w:eastAsia="黑体"/>
          <w:bCs w:val="0"/>
          <w:sz w:val="24"/>
        </w:rPr>
        <w:t>一、项目基本信息</w:t>
      </w:r>
    </w:p>
    <w:p>
      <w:pPr>
        <w:rPr>
          <w:rFonts w:ascii="宋体" w:hAnsi="宋体"/>
          <w:b/>
          <w:color w:val="FF0000"/>
        </w:rPr>
      </w:pPr>
    </w:p>
    <w:tbl>
      <w:tblPr>
        <w:tblStyle w:val="2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95"/>
        <w:gridCol w:w="1995"/>
        <w:gridCol w:w="2850"/>
        <w:gridCol w:w="13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2" w:type="dxa"/>
            <w:noWrap/>
            <w:vAlign w:val="center"/>
          </w:tcPr>
          <w:p>
            <w:pPr>
              <w:spacing w:line="276" w:lineRule="auto"/>
              <w:jc w:val="center"/>
              <w:rPr>
                <w:rFonts w:ascii="宋体" w:hAnsi="宋体"/>
                <w:bCs/>
              </w:rPr>
            </w:pPr>
            <w:r>
              <w:rPr>
                <w:rFonts w:hint="eastAsia" w:ascii="宋体" w:hAnsi="宋体"/>
                <w:bCs/>
              </w:rPr>
              <w:t>序号</w:t>
            </w:r>
          </w:p>
        </w:tc>
        <w:tc>
          <w:tcPr>
            <w:tcW w:w="1395" w:type="dxa"/>
            <w:noWrap/>
            <w:vAlign w:val="center"/>
          </w:tcPr>
          <w:p>
            <w:pPr>
              <w:spacing w:line="276" w:lineRule="auto"/>
              <w:jc w:val="center"/>
              <w:rPr>
                <w:rFonts w:ascii="宋体" w:hAnsi="宋体"/>
                <w:bCs/>
              </w:rPr>
            </w:pPr>
            <w:r>
              <w:rPr>
                <w:rFonts w:hint="eastAsia"/>
              </w:rPr>
              <w:t>采购计划编号</w:t>
            </w:r>
          </w:p>
        </w:tc>
        <w:tc>
          <w:tcPr>
            <w:tcW w:w="1995" w:type="dxa"/>
            <w:noWrap/>
            <w:vAlign w:val="center"/>
          </w:tcPr>
          <w:p>
            <w:pPr>
              <w:spacing w:line="276" w:lineRule="auto"/>
              <w:jc w:val="center"/>
              <w:rPr>
                <w:rFonts w:ascii="宋体" w:hAnsi="宋体"/>
                <w:bCs/>
              </w:rPr>
            </w:pPr>
            <w:r>
              <w:rPr>
                <w:rFonts w:hint="eastAsia" w:ascii="宋体" w:hAnsi="宋体"/>
                <w:bCs/>
              </w:rPr>
              <w:t>项目名称</w:t>
            </w:r>
          </w:p>
        </w:tc>
        <w:tc>
          <w:tcPr>
            <w:tcW w:w="2850" w:type="dxa"/>
            <w:noWrap/>
            <w:vAlign w:val="center"/>
          </w:tcPr>
          <w:p>
            <w:pPr>
              <w:spacing w:line="276" w:lineRule="auto"/>
              <w:jc w:val="center"/>
              <w:rPr>
                <w:rFonts w:ascii="宋体" w:hAnsi="宋体"/>
                <w:bCs/>
              </w:rPr>
            </w:pPr>
            <w:r>
              <w:rPr>
                <w:rFonts w:hint="eastAsia" w:ascii="宋体" w:hAnsi="宋体"/>
                <w:bCs/>
              </w:rPr>
              <w:t>服务期限或完成时间</w:t>
            </w:r>
          </w:p>
        </w:tc>
        <w:tc>
          <w:tcPr>
            <w:tcW w:w="1335" w:type="dxa"/>
            <w:noWrap/>
            <w:vAlign w:val="center"/>
          </w:tcPr>
          <w:p>
            <w:pPr>
              <w:spacing w:line="276" w:lineRule="auto"/>
              <w:jc w:val="center"/>
              <w:rPr>
                <w:rFonts w:ascii="宋体" w:hAnsi="宋体"/>
                <w:bCs/>
              </w:rPr>
            </w:pPr>
            <w:r>
              <w:rPr>
                <w:rFonts w:hint="eastAsia" w:ascii="宋体" w:hAnsi="宋体"/>
                <w:bCs/>
              </w:rPr>
              <w:t>所属行业</w:t>
            </w:r>
          </w:p>
        </w:tc>
        <w:tc>
          <w:tcPr>
            <w:tcW w:w="1560" w:type="dxa"/>
            <w:noWrap/>
            <w:vAlign w:val="center"/>
          </w:tcPr>
          <w:p>
            <w:pPr>
              <w:spacing w:line="276" w:lineRule="auto"/>
              <w:jc w:val="center"/>
              <w:rPr>
                <w:rFonts w:ascii="宋体" w:hAnsi="宋体"/>
                <w:bCs/>
              </w:rPr>
            </w:pPr>
            <w:r>
              <w:rPr>
                <w:rFonts w:hint="eastAsia" w:ascii="宋体" w:hAnsi="宋体"/>
                <w:bCs/>
              </w:rPr>
              <w:t>财政预算限额（元/年）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602" w:type="dxa"/>
            <w:noWrap/>
            <w:vAlign w:val="center"/>
          </w:tcPr>
          <w:p>
            <w:pPr>
              <w:spacing w:line="276" w:lineRule="auto"/>
              <w:jc w:val="center"/>
              <w:rPr>
                <w:rFonts w:ascii="宋体" w:hAnsi="宋体"/>
                <w:bCs/>
              </w:rPr>
            </w:pPr>
            <w:r>
              <w:rPr>
                <w:rFonts w:hint="eastAsia" w:ascii="宋体" w:hAnsi="宋体"/>
                <w:bCs/>
              </w:rPr>
              <w:t>1</w:t>
            </w:r>
          </w:p>
        </w:tc>
        <w:tc>
          <w:tcPr>
            <w:tcW w:w="1395" w:type="dxa"/>
            <w:noWrap/>
            <w:vAlign w:val="center"/>
          </w:tcPr>
          <w:p>
            <w:pPr>
              <w:jc w:val="center"/>
              <w:rPr>
                <w:rFonts w:ascii="宋体" w:hAnsi="宋体" w:cs="宋体"/>
                <w:bCs/>
                <w:color w:val="FF0000"/>
              </w:rPr>
            </w:pPr>
            <w:r>
              <w:rPr>
                <w:rFonts w:hint="eastAsia" w:ascii="宋体" w:hAnsi="宋体" w:cs="宋体"/>
                <w:bCs/>
                <w:color w:val="FF0000"/>
              </w:rPr>
              <w:t>[2025]9号</w:t>
            </w:r>
          </w:p>
        </w:tc>
        <w:tc>
          <w:tcPr>
            <w:tcW w:w="1995" w:type="dxa"/>
            <w:noWrap/>
            <w:vAlign w:val="center"/>
          </w:tcPr>
          <w:p>
            <w:pPr>
              <w:spacing w:line="276" w:lineRule="auto"/>
              <w:jc w:val="center"/>
              <w:rPr>
                <w:rFonts w:ascii="宋体" w:hAnsi="宋体"/>
                <w:bCs/>
                <w:color w:val="FF0000"/>
              </w:rPr>
            </w:pPr>
            <w:r>
              <w:rPr>
                <w:rFonts w:hint="eastAsia" w:ascii="宋体" w:hAnsi="宋体"/>
                <w:bCs/>
                <w:color w:val="FF0000"/>
              </w:rPr>
              <w:t>和硕县人民医院关于“HIS、LIS、EMR”</w:t>
            </w:r>
          </w:p>
          <w:p>
            <w:pPr>
              <w:spacing w:line="276" w:lineRule="auto"/>
              <w:jc w:val="center"/>
              <w:rPr>
                <w:rFonts w:ascii="宋体" w:hAnsi="宋体"/>
                <w:bCs/>
                <w:color w:val="FF0000"/>
              </w:rPr>
            </w:pPr>
            <w:r>
              <w:rPr>
                <w:rFonts w:hint="eastAsia" w:ascii="宋体" w:hAnsi="宋体"/>
                <w:bCs/>
                <w:color w:val="FF0000"/>
              </w:rPr>
              <w:t>系统升级服务项目</w:t>
            </w:r>
          </w:p>
        </w:tc>
        <w:tc>
          <w:tcPr>
            <w:tcW w:w="2850" w:type="dxa"/>
            <w:noWrap/>
            <w:vAlign w:val="center"/>
          </w:tcPr>
          <w:p>
            <w:pPr>
              <w:pStyle w:val="7"/>
              <w:ind w:firstLine="0" w:firstLineChars="0"/>
              <w:jc w:val="center"/>
            </w:pPr>
            <w:r>
              <w:rPr>
                <w:rFonts w:hint="eastAsia" w:ascii="宋体" w:hAnsi="宋体" w:eastAsia="宋体" w:cs="宋体"/>
                <w:b w:val="0"/>
                <w:bCs w:val="0"/>
                <w:color w:val="auto"/>
                <w:sz w:val="22"/>
                <w:szCs w:val="22"/>
                <w:highlight w:val="none"/>
              </w:rPr>
              <w:t>合同签订后于</w:t>
            </w:r>
            <w:r>
              <w:rPr>
                <w:rFonts w:hint="eastAsia" w:ascii="宋体" w:hAnsi="宋体" w:eastAsia="宋体" w:cs="宋体"/>
                <w:b w:val="0"/>
                <w:bCs w:val="0"/>
                <w:color w:val="auto"/>
                <w:sz w:val="22"/>
                <w:szCs w:val="22"/>
                <w:highlight w:val="none"/>
                <w:lang w:val="en-US" w:eastAsia="zh-CN"/>
              </w:rPr>
              <w:t>15个工作</w:t>
            </w:r>
            <w:r>
              <w:rPr>
                <w:rFonts w:hint="eastAsia" w:ascii="宋体" w:hAnsi="宋体" w:eastAsia="宋体" w:cs="宋体"/>
                <w:b w:val="0"/>
                <w:bCs w:val="0"/>
                <w:color w:val="auto"/>
                <w:sz w:val="22"/>
                <w:szCs w:val="22"/>
                <w:highlight w:val="none"/>
              </w:rPr>
              <w:t>日内全部安装、调试、试运行完毕。</w:t>
            </w:r>
          </w:p>
        </w:tc>
        <w:tc>
          <w:tcPr>
            <w:tcW w:w="1335" w:type="dxa"/>
            <w:noWrap/>
            <w:vAlign w:val="center"/>
          </w:tcPr>
          <w:p>
            <w:pPr>
              <w:spacing w:line="276" w:lineRule="auto"/>
              <w:jc w:val="center"/>
              <w:rPr>
                <w:rFonts w:ascii="宋体" w:hAnsi="宋体"/>
                <w:bCs/>
              </w:rPr>
            </w:pPr>
            <w:r>
              <w:rPr>
                <w:rFonts w:hint="eastAsia" w:ascii="宋体" w:hAnsi="宋体" w:cs="宋体"/>
                <w:color w:val="FF0000"/>
              </w:rPr>
              <w:t>软件和信息技术服务业</w:t>
            </w:r>
          </w:p>
        </w:tc>
        <w:tc>
          <w:tcPr>
            <w:tcW w:w="1560" w:type="dxa"/>
            <w:noWrap/>
            <w:vAlign w:val="center"/>
          </w:tcPr>
          <w:p>
            <w:pPr>
              <w:jc w:val="center"/>
              <w:rPr>
                <w:rFonts w:ascii="宋体" w:hAnsi="宋体"/>
                <w:bCs/>
              </w:rPr>
            </w:pPr>
            <w:r>
              <w:rPr>
                <w:rFonts w:hint="eastAsia" w:ascii="宋体" w:hAnsi="宋体"/>
                <w:bCs/>
              </w:rPr>
              <w:t>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77" w:type="dxa"/>
            <w:gridSpan w:val="5"/>
            <w:noWrap/>
          </w:tcPr>
          <w:p>
            <w:pPr>
              <w:spacing w:line="276" w:lineRule="auto"/>
              <w:jc w:val="center"/>
              <w:rPr>
                <w:rFonts w:ascii="宋体" w:hAnsi="宋体"/>
                <w:bCs/>
              </w:rPr>
            </w:pPr>
            <w:r>
              <w:rPr>
                <w:rFonts w:hint="eastAsia" w:ascii="宋体" w:hAnsi="宋体"/>
                <w:bCs/>
              </w:rPr>
              <w:t>合计</w:t>
            </w:r>
          </w:p>
        </w:tc>
        <w:tc>
          <w:tcPr>
            <w:tcW w:w="1560" w:type="dxa"/>
            <w:noWrap/>
          </w:tcPr>
          <w:p>
            <w:pPr>
              <w:spacing w:line="276" w:lineRule="auto"/>
              <w:jc w:val="center"/>
              <w:rPr>
                <w:rFonts w:ascii="宋体" w:hAnsi="宋体"/>
                <w:bCs/>
              </w:rPr>
            </w:pPr>
            <w:r>
              <w:rPr>
                <w:rFonts w:hint="eastAsia" w:ascii="宋体" w:hAnsi="宋体"/>
                <w:bCs/>
              </w:rPr>
              <w:t>元</w:t>
            </w:r>
          </w:p>
        </w:tc>
      </w:tr>
    </w:tbl>
    <w:p>
      <w:pPr>
        <w:rPr>
          <w:rFonts w:ascii="宋体" w:hAnsi="宋体"/>
          <w:b/>
          <w:color w:val="FF0000"/>
        </w:rPr>
      </w:pPr>
    </w:p>
    <w:p>
      <w:pPr>
        <w:pStyle w:val="4"/>
        <w:rPr>
          <w:rFonts w:ascii="黑体" w:eastAsia="黑体"/>
          <w:bCs w:val="0"/>
          <w:sz w:val="24"/>
        </w:rPr>
      </w:pPr>
    </w:p>
    <w:p>
      <w:pPr>
        <w:pStyle w:val="4"/>
        <w:rPr>
          <w:rFonts w:ascii="黑体" w:eastAsia="黑体"/>
          <w:bCs w:val="0"/>
          <w:sz w:val="24"/>
        </w:rPr>
      </w:pPr>
      <w:r>
        <w:rPr>
          <w:rFonts w:hint="eastAsia" w:ascii="黑体" w:eastAsia="黑体"/>
          <w:bCs w:val="0"/>
          <w:sz w:val="24"/>
        </w:rPr>
        <w:t>二、项目概况</w:t>
      </w:r>
    </w:p>
    <w:p>
      <w:pPr>
        <w:pStyle w:val="13"/>
        <w:ind w:left="0" w:leftChars="0" w:firstLine="0"/>
        <w:rPr>
          <w:rFonts w:ascii="宋体" w:hAnsi="宋体"/>
        </w:rPr>
      </w:pPr>
      <w:r>
        <w:rPr>
          <w:rFonts w:hint="eastAsia" w:ascii="宋体" w:hAnsi="宋体"/>
        </w:rPr>
        <w:t>（一）</w:t>
      </w:r>
      <w:r>
        <w:rPr>
          <w:rFonts w:ascii="宋体" w:hAnsi="宋体"/>
        </w:rPr>
        <w:t>项目简介</w:t>
      </w:r>
    </w:p>
    <w:p>
      <w:pPr>
        <w:pStyle w:val="13"/>
        <w:ind w:left="0" w:leftChars="0" w:firstLine="0"/>
        <w:jc w:val="left"/>
        <w:rPr>
          <w:rFonts w:ascii="宋体" w:hAnsi="宋体"/>
        </w:rPr>
      </w:pPr>
      <w:r>
        <w:rPr>
          <w:rFonts w:hint="eastAsia" w:ascii="宋体" w:hAnsi="宋体"/>
        </w:rPr>
        <w:t>1.</w:t>
      </w:r>
      <w:r>
        <w:rPr>
          <w:rFonts w:ascii="宋体" w:hAnsi="宋体"/>
        </w:rPr>
        <w:t>项目名称：</w:t>
      </w:r>
      <w:r>
        <w:rPr>
          <w:rFonts w:hint="eastAsia" w:ascii="宋体" w:hAnsi="宋体"/>
          <w:kern w:val="0"/>
        </w:rPr>
        <w:t>和硕县人民医院关于“HIS、LIS、EMR”系统升级服务项目</w:t>
      </w:r>
    </w:p>
    <w:p>
      <w:pPr>
        <w:pStyle w:val="13"/>
        <w:ind w:left="0" w:leftChars="0" w:firstLine="0"/>
        <w:rPr>
          <w:rFonts w:ascii="宋体" w:hAnsi="宋体"/>
        </w:rPr>
      </w:pPr>
      <w:r>
        <w:rPr>
          <w:rFonts w:hint="eastAsia" w:ascii="宋体" w:hAnsi="宋体"/>
        </w:rPr>
        <w:t>2.</w:t>
      </w:r>
      <w:r>
        <w:rPr>
          <w:rFonts w:ascii="宋体" w:hAnsi="宋体"/>
        </w:rPr>
        <w:t>项目预算：</w:t>
      </w:r>
      <w:r>
        <w:rPr>
          <w:rFonts w:hint="eastAsia" w:ascii="宋体" w:hAnsi="宋体"/>
        </w:rPr>
        <w:t>68万元；</w:t>
      </w:r>
    </w:p>
    <w:p>
      <w:pPr>
        <w:pStyle w:val="13"/>
        <w:ind w:left="0" w:leftChars="0" w:firstLine="0"/>
        <w:rPr>
          <w:rFonts w:ascii="宋体" w:hAnsi="宋体"/>
          <w:highlight w:val="yellow"/>
        </w:rPr>
      </w:pPr>
      <w:r>
        <w:rPr>
          <w:rFonts w:ascii="宋体" w:hAnsi="宋体"/>
        </w:rPr>
        <w:t>3.项目</w:t>
      </w:r>
      <w:r>
        <w:rPr>
          <w:rFonts w:hint="eastAsia" w:ascii="宋体" w:hAnsi="宋体"/>
          <w:bCs/>
        </w:rPr>
        <w:t>服务期限或完成时间</w:t>
      </w:r>
      <w:r>
        <w:rPr>
          <w:rFonts w:ascii="宋体" w:hAnsi="宋体"/>
        </w:rPr>
        <w:t>：</w:t>
      </w:r>
      <w:r>
        <w:rPr>
          <w:rFonts w:hint="eastAsia" w:ascii="宋体" w:hAnsi="宋体"/>
          <w:highlight w:val="yellow"/>
        </w:rPr>
        <w:t>15个工作日</w:t>
      </w:r>
      <w:r>
        <w:rPr>
          <w:rFonts w:hint="eastAsia"/>
          <w:highlight w:val="yellow"/>
        </w:rPr>
        <w:t>；</w:t>
      </w:r>
    </w:p>
    <w:p>
      <w:pPr>
        <w:rPr>
          <w:rFonts w:ascii="宋体" w:hAnsi="宋体" w:cs="宋体"/>
          <w:szCs w:val="21"/>
        </w:rPr>
      </w:pPr>
      <w:r>
        <w:rPr>
          <w:szCs w:val="21"/>
        </w:rPr>
        <w:t>4.项目背景：</w:t>
      </w:r>
      <w:r>
        <w:rPr>
          <w:rFonts w:hint="eastAsia" w:ascii="宋体" w:hAnsi="宋体" w:cs="宋体"/>
          <w:szCs w:val="21"/>
        </w:rPr>
        <w:t>根据国家卫健委医疗信息化建设要求，系统全面升级，升级后实现健康医疗大数据平台数据元值域功能达到国家数据监管要求数据标准，实现在诊疗过程完成中国家传染病数据直报和预警，实现自治区医疗机构间医学检查检验结果在医生诊疗过程中互认。</w:t>
      </w:r>
    </w:p>
    <w:p>
      <w:pPr>
        <w:pStyle w:val="2"/>
        <w:rPr>
          <w:lang w:val="en-US"/>
        </w:rPr>
      </w:pPr>
    </w:p>
    <w:p>
      <w:pPr>
        <w:pStyle w:val="7"/>
        <w:spacing w:line="240" w:lineRule="auto"/>
        <w:ind w:firstLine="0" w:firstLineChars="0"/>
        <w:rPr>
          <w:rFonts w:ascii="宋体" w:hAnsi="宋体"/>
          <w:color w:val="0000FF"/>
          <w:kern w:val="2"/>
        </w:rPr>
      </w:pPr>
    </w:p>
    <w:p>
      <w:pPr>
        <w:pStyle w:val="4"/>
        <w:numPr>
          <w:ilvl w:val="0"/>
          <w:numId w:val="2"/>
        </w:numPr>
        <w:rPr>
          <w:color w:val="000000" w:themeColor="text1"/>
          <w:sz w:val="21"/>
          <w:szCs w:val="20"/>
          <w14:textFill>
            <w14:solidFill>
              <w14:schemeClr w14:val="tx1"/>
            </w14:solidFill>
          </w14:textFill>
        </w:rPr>
      </w:pPr>
      <w:r>
        <w:rPr>
          <w:rFonts w:hint="eastAsia" w:ascii="黑体" w:hAnsi="Arial" w:eastAsia="黑体" w:cs="Arial"/>
          <w:sz w:val="24"/>
        </w:rPr>
        <w:t>服务需求明细</w:t>
      </w:r>
    </w:p>
    <w:p>
      <w:pPr>
        <w:rPr>
          <w:color w:val="FF0000"/>
          <w:szCs w:val="21"/>
        </w:rPr>
      </w:pPr>
    </w:p>
    <w:p>
      <w:pPr>
        <w:rPr>
          <w:color w:val="FF0000"/>
          <w:szCs w:val="21"/>
        </w:rPr>
      </w:pPr>
      <w:r>
        <w:rPr>
          <w:color w:val="FF0000"/>
          <w:szCs w:val="21"/>
        </w:rPr>
        <w:t>项目</w:t>
      </w:r>
      <w:r>
        <w:rPr>
          <w:rFonts w:hint="eastAsia"/>
          <w:color w:val="FF0000"/>
          <w:szCs w:val="21"/>
        </w:rPr>
        <w:t>服务需</w:t>
      </w:r>
      <w:r>
        <w:rPr>
          <w:color w:val="FF0000"/>
          <w:szCs w:val="21"/>
        </w:rPr>
        <w:t>求</w:t>
      </w:r>
      <w:r>
        <w:rPr>
          <w:rFonts w:hint="eastAsia"/>
          <w:color w:val="FF0000"/>
          <w:szCs w:val="21"/>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193"/>
        <w:gridCol w:w="4859"/>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tcPr>
          <w:p>
            <w:pPr>
              <w:pStyle w:val="24"/>
              <w:ind w:firstLine="0" w:firstLineChars="0"/>
              <w:rPr>
                <w:sz w:val="28"/>
                <w:szCs w:val="28"/>
              </w:rPr>
            </w:pPr>
            <w:r>
              <w:rPr>
                <w:rFonts w:hint="eastAsia"/>
                <w:sz w:val="28"/>
                <w:szCs w:val="28"/>
              </w:rPr>
              <w:t>序号</w:t>
            </w:r>
          </w:p>
        </w:tc>
        <w:tc>
          <w:tcPr>
            <w:tcW w:w="2261" w:type="dxa"/>
            <w:noWrap/>
          </w:tcPr>
          <w:p>
            <w:pPr>
              <w:pStyle w:val="24"/>
              <w:ind w:firstLine="280"/>
              <w:rPr>
                <w:sz w:val="28"/>
                <w:szCs w:val="28"/>
              </w:rPr>
            </w:pPr>
            <w:r>
              <w:rPr>
                <w:rFonts w:hint="eastAsia"/>
                <w:sz w:val="28"/>
                <w:szCs w:val="28"/>
              </w:rPr>
              <w:t>名称</w:t>
            </w:r>
          </w:p>
        </w:tc>
        <w:tc>
          <w:tcPr>
            <w:tcW w:w="5018" w:type="dxa"/>
            <w:noWrap/>
          </w:tcPr>
          <w:p>
            <w:pPr>
              <w:pStyle w:val="24"/>
              <w:ind w:firstLine="280"/>
              <w:rPr>
                <w:sz w:val="28"/>
                <w:szCs w:val="28"/>
              </w:rPr>
            </w:pPr>
            <w:r>
              <w:rPr>
                <w:rFonts w:hint="eastAsia"/>
                <w:sz w:val="28"/>
                <w:szCs w:val="28"/>
              </w:rPr>
              <w:t>内容</w:t>
            </w:r>
          </w:p>
        </w:tc>
        <w:tc>
          <w:tcPr>
            <w:tcW w:w="1070" w:type="dxa"/>
            <w:noWrap/>
          </w:tcPr>
          <w:p>
            <w:pPr>
              <w:pStyle w:val="24"/>
              <w:ind w:firstLine="0" w:firstLineChars="0"/>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ign w:val="center"/>
          </w:tcPr>
          <w:p>
            <w:pPr>
              <w:pStyle w:val="24"/>
              <w:ind w:firstLine="280"/>
              <w:jc w:val="center"/>
              <w:rPr>
                <w:rFonts w:ascii="宋体" w:hAnsi="宋体" w:cs="宋体"/>
                <w:sz w:val="28"/>
                <w:szCs w:val="28"/>
              </w:rPr>
            </w:pPr>
            <w:r>
              <w:rPr>
                <w:rFonts w:hint="eastAsia" w:ascii="宋体" w:hAnsi="宋体" w:cs="宋体"/>
                <w:sz w:val="28"/>
                <w:szCs w:val="28"/>
              </w:rPr>
              <w:t>1</w:t>
            </w:r>
          </w:p>
        </w:tc>
        <w:tc>
          <w:tcPr>
            <w:tcW w:w="2261" w:type="dxa"/>
            <w:noWrap/>
            <w:vAlign w:val="center"/>
          </w:tcPr>
          <w:p>
            <w:pPr>
              <w:pStyle w:val="24"/>
              <w:ind w:firstLine="0" w:firstLineChars="0"/>
              <w:jc w:val="center"/>
              <w:rPr>
                <w:rFonts w:ascii="宋体" w:hAnsi="宋体" w:cs="宋体"/>
                <w:sz w:val="28"/>
                <w:szCs w:val="28"/>
              </w:rPr>
            </w:pPr>
            <w:r>
              <w:rPr>
                <w:rFonts w:hint="eastAsia" w:ascii="宋体" w:hAnsi="宋体" w:cs="宋体"/>
                <w:sz w:val="28"/>
                <w:szCs w:val="28"/>
              </w:rPr>
              <w:t>医院信息管理系统（HIS）升级</w:t>
            </w:r>
          </w:p>
        </w:tc>
        <w:tc>
          <w:tcPr>
            <w:tcW w:w="5018" w:type="dxa"/>
            <w:noWrap/>
          </w:tcPr>
          <w:p>
            <w:pPr>
              <w:pStyle w:val="24"/>
              <w:ind w:firstLine="0" w:firstLineChars="0"/>
              <w:rPr>
                <w:rFonts w:ascii="宋体" w:hAnsi="宋体" w:cs="宋体"/>
                <w:sz w:val="28"/>
                <w:szCs w:val="28"/>
              </w:rPr>
            </w:pPr>
            <w:r>
              <w:rPr>
                <w:rFonts w:hint="eastAsia" w:ascii="宋体" w:hAnsi="宋体" w:cs="宋体"/>
                <w:sz w:val="28"/>
                <w:szCs w:val="28"/>
              </w:rPr>
              <w:t>传染病预警检测平台接口在诊疗过程中实现国家传染病数据直报和预警，自治区医疗机构间医学检查检验结果互认接口，实现本院与全疆医疗机构间医学检查检验结果互认，相互之间调阅等，根据国家卫健委医疗信息化建设要求，系统全面升级，升级后实现健康医疗大数据平台数据元值域功能达到国家数据监管要求数据标准，实现在诊疗过程完成中国家传染病数据直报和预警，实现自治区医疗机构间医学检查检验结果在医生诊疗过程中互认。</w:t>
            </w:r>
          </w:p>
        </w:tc>
        <w:tc>
          <w:tcPr>
            <w:tcW w:w="1070" w:type="dxa"/>
            <w:noWrap/>
          </w:tcPr>
          <w:p>
            <w:pPr>
              <w:pStyle w:val="24"/>
              <w:ind w:firstLine="28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ign w:val="center"/>
          </w:tcPr>
          <w:p>
            <w:pPr>
              <w:pStyle w:val="24"/>
              <w:ind w:firstLine="280"/>
              <w:jc w:val="center"/>
              <w:rPr>
                <w:rFonts w:ascii="宋体" w:hAnsi="宋体" w:cs="宋体"/>
                <w:sz w:val="28"/>
                <w:szCs w:val="28"/>
              </w:rPr>
            </w:pPr>
            <w:r>
              <w:rPr>
                <w:rFonts w:hint="eastAsia" w:ascii="宋体" w:hAnsi="宋体" w:cs="宋体"/>
                <w:sz w:val="28"/>
                <w:szCs w:val="28"/>
              </w:rPr>
              <w:t>2</w:t>
            </w:r>
          </w:p>
        </w:tc>
        <w:tc>
          <w:tcPr>
            <w:tcW w:w="2261" w:type="dxa"/>
            <w:noWrap/>
            <w:vAlign w:val="center"/>
          </w:tcPr>
          <w:p>
            <w:pPr>
              <w:pStyle w:val="24"/>
              <w:ind w:firstLine="0" w:firstLineChars="0"/>
              <w:jc w:val="center"/>
              <w:rPr>
                <w:rFonts w:ascii="宋体" w:hAnsi="宋体" w:cs="宋体"/>
                <w:sz w:val="28"/>
                <w:szCs w:val="28"/>
              </w:rPr>
            </w:pPr>
            <w:r>
              <w:rPr>
                <w:rFonts w:hint="eastAsia" w:ascii="宋体" w:hAnsi="宋体" w:cs="宋体"/>
                <w:sz w:val="28"/>
                <w:szCs w:val="28"/>
              </w:rPr>
              <w:t>电子病历系统(EMR)升级</w:t>
            </w:r>
          </w:p>
        </w:tc>
        <w:tc>
          <w:tcPr>
            <w:tcW w:w="5018" w:type="dxa"/>
            <w:noWrap/>
          </w:tcPr>
          <w:p>
            <w:pPr>
              <w:spacing w:line="540" w:lineRule="exact"/>
              <w:rPr>
                <w:rFonts w:ascii="宋体" w:hAnsi="宋体" w:cs="宋体"/>
                <w:sz w:val="28"/>
                <w:szCs w:val="28"/>
              </w:rPr>
            </w:pPr>
            <w:r>
              <w:rPr>
                <w:rFonts w:hint="eastAsia" w:ascii="宋体" w:hAnsi="宋体" w:cs="宋体"/>
                <w:sz w:val="28"/>
                <w:szCs w:val="28"/>
              </w:rPr>
              <w:t xml:space="preserve">病历医嘱一体化界面，100%纯结构数据存储，符合传染病智能检测预警平台数据要求，符合电子三级质控要求等，一体化智能电子病历系统建设将实现电子医嘱和电子病历一体化集成，系统提供三级质控体系，预警规则配置模块对预警规则进行管理，实现数据纯结构化存储功能，实现首页质控、医保事前、事中控制。 </w:t>
            </w:r>
          </w:p>
        </w:tc>
        <w:tc>
          <w:tcPr>
            <w:tcW w:w="1070" w:type="dxa"/>
            <w:noWrap/>
          </w:tcPr>
          <w:p>
            <w:pPr>
              <w:pStyle w:val="24"/>
              <w:ind w:firstLine="28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ign w:val="center"/>
          </w:tcPr>
          <w:p>
            <w:pPr>
              <w:pStyle w:val="24"/>
              <w:ind w:firstLine="280"/>
              <w:jc w:val="center"/>
              <w:rPr>
                <w:rFonts w:ascii="宋体" w:hAnsi="宋体" w:cs="宋体"/>
                <w:sz w:val="28"/>
                <w:szCs w:val="28"/>
              </w:rPr>
            </w:pPr>
            <w:r>
              <w:rPr>
                <w:rFonts w:hint="eastAsia" w:ascii="宋体" w:hAnsi="宋体" w:cs="宋体"/>
                <w:sz w:val="28"/>
                <w:szCs w:val="28"/>
              </w:rPr>
              <w:t>3</w:t>
            </w:r>
          </w:p>
        </w:tc>
        <w:tc>
          <w:tcPr>
            <w:tcW w:w="2261" w:type="dxa"/>
            <w:noWrap/>
            <w:vAlign w:val="center"/>
          </w:tcPr>
          <w:p>
            <w:pPr>
              <w:pStyle w:val="24"/>
              <w:ind w:firstLine="0" w:firstLineChars="0"/>
              <w:jc w:val="center"/>
              <w:rPr>
                <w:rFonts w:ascii="宋体" w:hAnsi="宋体" w:cs="宋体"/>
                <w:sz w:val="28"/>
                <w:szCs w:val="28"/>
              </w:rPr>
            </w:pPr>
            <w:bookmarkStart w:id="46" w:name="OLE_LINK1"/>
            <w:r>
              <w:rPr>
                <w:rFonts w:hint="eastAsia" w:ascii="宋体" w:hAnsi="宋体" w:cs="宋体"/>
                <w:sz w:val="28"/>
                <w:szCs w:val="28"/>
              </w:rPr>
              <w:t>检验信息管理系统</w:t>
            </w:r>
            <w:bookmarkStart w:id="47" w:name="OLE_LINK2"/>
            <w:r>
              <w:rPr>
                <w:rFonts w:hint="eastAsia" w:ascii="宋体" w:hAnsi="宋体" w:cs="宋体"/>
                <w:sz w:val="28"/>
                <w:szCs w:val="28"/>
              </w:rPr>
              <w:t>(</w:t>
            </w:r>
            <w:bookmarkEnd w:id="47"/>
            <w:r>
              <w:rPr>
                <w:rFonts w:hint="eastAsia" w:ascii="宋体" w:hAnsi="宋体" w:cs="宋体"/>
                <w:sz w:val="28"/>
                <w:szCs w:val="28"/>
              </w:rPr>
              <w:t>LIS</w:t>
            </w:r>
            <w:bookmarkEnd w:id="46"/>
            <w:r>
              <w:rPr>
                <w:rFonts w:hint="eastAsia" w:ascii="宋体" w:hAnsi="宋体" w:cs="宋体"/>
                <w:sz w:val="28"/>
                <w:szCs w:val="28"/>
              </w:rPr>
              <w:t>)升级</w:t>
            </w:r>
          </w:p>
        </w:tc>
        <w:tc>
          <w:tcPr>
            <w:tcW w:w="5018" w:type="dxa"/>
            <w:noWrap/>
          </w:tcPr>
          <w:p>
            <w:pPr>
              <w:pStyle w:val="24"/>
              <w:ind w:firstLine="280"/>
              <w:rPr>
                <w:rFonts w:ascii="宋体" w:hAnsi="宋体" w:cs="宋体"/>
                <w:sz w:val="28"/>
                <w:szCs w:val="28"/>
              </w:rPr>
            </w:pPr>
            <w:r>
              <w:rPr>
                <w:rFonts w:hint="eastAsia" w:ascii="宋体" w:hAnsi="宋体" w:cs="宋体"/>
                <w:sz w:val="28"/>
                <w:szCs w:val="28"/>
              </w:rPr>
              <w:t>对实验室的检测设备、试剂进行统一管理，设置系统的安全策略，如用户认证、数据加密、访问控制等，确保系统的安全性和保密性。</w:t>
            </w:r>
          </w:p>
        </w:tc>
        <w:tc>
          <w:tcPr>
            <w:tcW w:w="1070" w:type="dxa"/>
            <w:noWrap/>
          </w:tcPr>
          <w:p>
            <w:pPr>
              <w:pStyle w:val="24"/>
              <w:ind w:firstLine="280"/>
              <w:rPr>
                <w:rFonts w:ascii="宋体" w:hAnsi="宋体" w:cs="宋体"/>
                <w:sz w:val="28"/>
                <w:szCs w:val="28"/>
              </w:rPr>
            </w:pPr>
          </w:p>
        </w:tc>
      </w:tr>
    </w:tbl>
    <w:p>
      <w:pPr>
        <w:rPr>
          <w:szCs w:val="21"/>
        </w:rPr>
      </w:pPr>
    </w:p>
    <w:p>
      <w:pPr>
        <w:pStyle w:val="7"/>
        <w:spacing w:line="240" w:lineRule="auto"/>
        <w:ind w:firstLine="0" w:firstLineChars="0"/>
        <w:rPr>
          <w:rFonts w:ascii="宋体" w:hAnsi="宋体"/>
          <w:color w:val="0000FF"/>
          <w:kern w:val="2"/>
        </w:rPr>
      </w:pPr>
    </w:p>
    <w:p>
      <w:pPr>
        <w:pStyle w:val="7"/>
        <w:spacing w:line="240" w:lineRule="auto"/>
        <w:ind w:firstLine="0" w:firstLineChars="0"/>
        <w:rPr>
          <w:rFonts w:ascii="宋体" w:hAnsi="宋体"/>
          <w:color w:val="0000FF"/>
          <w:kern w:val="2"/>
        </w:rPr>
      </w:pPr>
    </w:p>
    <w:p>
      <w:pPr>
        <w:rPr>
          <w:sz w:val="28"/>
          <w:szCs w:val="28"/>
        </w:rPr>
      </w:pPr>
      <w:r>
        <w:rPr>
          <w:rFonts w:hint="eastAsia"/>
          <w:sz w:val="28"/>
          <w:szCs w:val="28"/>
        </w:rPr>
        <w:t>后附详细参数</w:t>
      </w:r>
    </w:p>
    <w:p>
      <w:pPr>
        <w:rPr>
          <w:b/>
          <w:kern w:val="44"/>
          <w:sz w:val="32"/>
        </w:rPr>
      </w:pPr>
      <w:r>
        <w:rPr>
          <w:rFonts w:hint="eastAsia"/>
          <w:sz w:val="28"/>
          <w:szCs w:val="28"/>
        </w:rPr>
        <w:br w:type="page"/>
      </w:r>
      <w:r>
        <w:rPr>
          <w:rFonts w:hint="eastAsia"/>
          <w:sz w:val="28"/>
          <w:szCs w:val="28"/>
        </w:rPr>
        <w:t>一、</w:t>
      </w:r>
      <w:r>
        <w:rPr>
          <w:rFonts w:hint="eastAsia"/>
          <w:b/>
          <w:kern w:val="44"/>
          <w:sz w:val="32"/>
        </w:rPr>
        <w:t>医院信息管理系统（HIS）升级</w:t>
      </w:r>
    </w:p>
    <w:p>
      <w:pPr>
        <w:pStyle w:val="6"/>
        <w:tabs>
          <w:tab w:val="left" w:pos="576"/>
        </w:tabs>
        <w:spacing w:before="20" w:after="20" w:line="240" w:lineRule="auto"/>
        <w:ind w:left="425" w:hanging="425"/>
        <w:jc w:val="left"/>
      </w:pPr>
      <w:bookmarkStart w:id="48" w:name="_Toc26566"/>
      <w:r>
        <w:t>1.</w:t>
      </w:r>
      <w:r>
        <w:rPr>
          <w:rFonts w:hint="eastAsia"/>
        </w:rPr>
        <w:t>一卡通管理系统</w:t>
      </w:r>
      <w:bookmarkEnd w:id="48"/>
    </w:p>
    <w:p>
      <w:r>
        <w:rPr>
          <w:rFonts w:hint="eastAsia"/>
        </w:rPr>
        <w:tab/>
      </w:r>
      <w:r>
        <w:rPr>
          <w:rFonts w:hint="eastAsia"/>
        </w:rPr>
        <w:t>一卡通管理系统涉及患者在门诊、住院、体检等各诊疗环节上的业务系统，每个系统都需一体化设计。针对其预交金特性，需支持门诊、住院单独设计的就诊模式。实现对病人信息的统一管理，同时实现病人在医院所有就诊记录的完整性与连续性。病人就诊时需持有医院发行的就诊卡就诊，每一个病人将拥有一个唯一的病人码，一个部门录入的信息，相关部门可共享使用有关信息。使病人信息在整个就医过程中各个子系统流畅的运行起来，减少操作人员重复录入,避免各子系统孤立运行。同时通过发卡获取病人基本信息，建立病人基本信息档案。</w:t>
      </w:r>
    </w:p>
    <w:p>
      <w:pPr>
        <w:pStyle w:val="46"/>
        <w:ind w:left="420"/>
        <w:rPr>
          <w:lang w:eastAsia="zh-CN"/>
        </w:rPr>
      </w:pPr>
      <w:r>
        <w:rPr>
          <w:rFonts w:hint="eastAsia"/>
          <w:b/>
          <w:lang w:eastAsia="zh-CN"/>
        </w:rPr>
        <w:t>功能升级要求：</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 xml:space="preserve">1)具有录入病人基本信息、建立病人档案、建立唯一的病人码功能、发卡功能，丢失卡的挂失功能，补发卡功能，查询发卡病人信息，并处理各种与卡有关的问题。 </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 xml:space="preserve">2)支持门诊预交金，用于门急诊医疗费用的支付，支持冲值、扣款、退费、密码维护以及财务核算等功能，在发放就诊卡时，支持收取手续费，并做相应的统计，医院可以根据情况择时启用。 </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 xml:space="preserve">3)支持发卡系统单独运行，发卡与挂号系统医二为一，支持发卡与录入病人基本信息前后台分步操作。 </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4)支持院内医保电子凭证全流程、二代居民身份证全流程、居民电子健康卡全流程结算。</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5)实现病人身份与卡统一管理，即通过卡信息来识别病人身份，建立病人基本信息与诊疗档案主索引，同时也可以完成通过病人名字查询病人卡号及相关信息。</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6)支持院内诊疗卡管理，包括发卡、退卡、充值、挂失、密码设置/修改、补卡、查询卡片状态等功能。</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7)支持自定义卡类型以区分不同病人类型，如：普通病人、院内职工、VIP病人及一些需特殊对待的病人等。</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8)院内诊疗卡支持病人使用预交金就诊、现金就诊、刷卡就诊或三种模式。</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9)支持预交金管理，含预交、充值、扣费、退费、余额查询等功能；支持门急诊预交金方式；支持执行端（如检验、检查科室等）刷卡扣费；支持预交金冻结功能。</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10)院内诊疗卡支持自助服务终端的身份识别。</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11)支持与银行卡绑定并充值、退费。</w:t>
      </w:r>
    </w:p>
    <w:p>
      <w:pPr>
        <w:pStyle w:val="46"/>
        <w:widowControl w:val="0"/>
        <w:ind w:left="425" w:hanging="425"/>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12)支持空号统计，避免漏号</w:t>
      </w:r>
    </w:p>
    <w:p>
      <w:pPr>
        <w:pStyle w:val="6"/>
        <w:tabs>
          <w:tab w:val="left" w:pos="576"/>
        </w:tabs>
        <w:spacing w:before="20" w:after="20" w:line="240" w:lineRule="auto"/>
        <w:ind w:left="425" w:hanging="425"/>
        <w:jc w:val="left"/>
      </w:pPr>
      <w:bookmarkStart w:id="49" w:name="_Toc2123"/>
      <w:r>
        <w:t>2.</w:t>
      </w:r>
      <w:r>
        <w:rPr>
          <w:rFonts w:hint="eastAsia"/>
        </w:rPr>
        <w:t>费用管理系统</w:t>
      </w:r>
      <w:bookmarkEnd w:id="49"/>
    </w:p>
    <w:p>
      <w:pPr>
        <w:pStyle w:val="46"/>
        <w:widowControl w:val="0"/>
        <w:ind w:left="0" w:leftChars="0" w:firstLine="420" w:firstLineChars="200"/>
        <w:contextualSpacing w:val="0"/>
        <w:jc w:val="both"/>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费用管理系统用于病人费用管理的计算机应用程序，包括病人结算、费用录入、打印收费细目和发票、预交金管理、欠款管理等功能。医院收费管理软件的设计应能够及时准确地为患者和临床医护人员提供费用信息，及时准确地为患者办理出院手续，支持医院经济核算、提供信息共享和减轻工作人员的劳动强度。</w:t>
      </w:r>
    </w:p>
    <w:p>
      <w:pPr>
        <w:pStyle w:val="46"/>
        <w:ind w:left="420"/>
        <w:rPr>
          <w:rFonts w:hint="eastAsia"/>
          <w:b/>
          <w:lang w:eastAsia="zh-CN"/>
        </w:rPr>
      </w:pPr>
      <w:r>
        <w:rPr>
          <w:rFonts w:hint="eastAsia"/>
          <w:b/>
          <w:lang w:eastAsia="zh-CN"/>
        </w:rPr>
        <w:t>功能升级要求：</w:t>
      </w:r>
    </w:p>
    <w:p>
      <w:pPr>
        <w:pStyle w:val="46"/>
        <w:ind w:left="420"/>
        <w:rPr>
          <w:rFonts w:hint="eastAsia"/>
          <w:b/>
          <w:lang w:eastAsia="zh-CN"/>
        </w:rPr>
      </w:pPr>
      <w:r>
        <w:rPr>
          <w:rFonts w:hint="eastAsia"/>
          <w:b/>
          <w:lang w:eastAsia="zh-CN"/>
        </w:rPr>
        <w:t>病人出院及费用管理：</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1）出院管理：出院登记；出院召回；出入院统计；</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出院登记：在患者结算前作出院登记，由于患者结算流程方便原因可放在住院收费系统中，要考虑到医保患者的出院流程。</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出院召回：对已经作了出院登记，但未作出院结算的患者取消出院登记处理。</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2）物价管理与监控，物价、费用与医嘱有清晰的逻辑。</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3）病人费用录入：补输住院患者所发生的费用，审核医生医嘱计费。具有单项费用录入和全项费用录入功能选择，可以从检查、诊察、治疗、药房、病房费用发生处录入或集中费用单据由收费处录入；读取医嘱并计算费用。后台计费：住院固定费用计费，已发生医嘱计费，退费纪录。</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 xml:space="preserve">4）预交金管理：交纳预交金管理，打印预交金收据凭证；预交金日结并打印清单；按照不同方式统计预交金并打印清单；按照不同方式查询预交金并打印清单；提供预交金查询管理功能。 </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5）病人预交金使用最低限额警告功能；</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6）病人结账处理：具备病人住院期间的结算和出院总结算，以及病人出院后再召回病人的能力。</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出院结算：根据患者身份类别，按不同的结算方式，给患者结算（包含医保患者）。打印结算清单。也要有结算取消功能。</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院中结算：可以实现在患者住院中，阶段性的结算（包含医保患者），并能够在财务上有清晰的体现。</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结算取消：实现对出院结算和院中结算的逆操作。</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 xml:space="preserve">7）病人费用查询：提供病人/家属查询自己的各项费用使用情况； </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8）病人欠费和退费管理功能；</w:t>
      </w:r>
    </w:p>
    <w:p>
      <w:pPr>
        <w:pStyle w:val="46"/>
        <w:ind w:left="420"/>
        <w:rPr>
          <w:rFonts w:hint="eastAsia"/>
          <w:b/>
          <w:lang w:eastAsia="zh-CN"/>
        </w:rPr>
      </w:pPr>
      <w:r>
        <w:rPr>
          <w:rFonts w:hint="eastAsia"/>
          <w:b/>
          <w:lang w:eastAsia="zh-CN"/>
        </w:rPr>
        <w:t>财务管理：</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1)日结账：包括当日病人预交金、入院病人预交费、在院病人各项费用、出院病人结账和退款等统计汇总；</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2)旬、月、季、年结账：包括住院病人预交金、出院病人结账等帐务处理；</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3)住院财务分析：应具有住院收费财务管理的月、季、年度和不同年、季、月度的收费经济分析评价功能；</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4)查询报表：要能同财务系统整合在一起，出示各种财务报表。</w:t>
      </w:r>
    </w:p>
    <w:p>
      <w:pPr>
        <w:pStyle w:val="46"/>
        <w:ind w:left="420"/>
        <w:rPr>
          <w:rFonts w:hint="eastAsia"/>
          <w:b/>
          <w:lang w:eastAsia="zh-CN"/>
        </w:rPr>
      </w:pPr>
      <w:r>
        <w:rPr>
          <w:rFonts w:hint="eastAsia"/>
          <w:b/>
          <w:lang w:eastAsia="zh-CN"/>
        </w:rPr>
        <w:t>收费科室工作量统计：</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1）月科室工作量统计：完成月科室、病房、药房、检查治疗科室工作量统计和费用汇总工作；</w:t>
      </w:r>
    </w:p>
    <w:p>
      <w:pPr>
        <w:rPr>
          <w:rFonts w:hint="eastAsia" w:ascii="Calibri" w:hAnsi="Calibri" w:eastAsia="宋体" w:cs="Times New Roman"/>
          <w:kern w:val="2"/>
          <w:sz w:val="21"/>
          <w:szCs w:val="20"/>
          <w:lang w:val="en-US" w:eastAsia="zh-CN" w:bidi="ar-SA"/>
        </w:rPr>
      </w:pPr>
      <w:r>
        <w:rPr>
          <w:rFonts w:hint="eastAsia" w:ascii="Calibri" w:hAnsi="Calibri" w:eastAsia="宋体" w:cs="Times New Roman"/>
          <w:kern w:val="2"/>
          <w:sz w:val="21"/>
          <w:szCs w:val="20"/>
          <w:lang w:val="en-US" w:eastAsia="zh-CN" w:bidi="ar-SA"/>
        </w:rPr>
        <w:t>2）年科室工作量统计：完成年度全院、科室、病房、药房、检查治疗科室工作量统计、费用汇总功能；</w:t>
      </w:r>
    </w:p>
    <w:p>
      <w:pPr>
        <w:pStyle w:val="46"/>
        <w:ind w:left="420"/>
        <w:rPr>
          <w:rFonts w:hint="eastAsia"/>
          <w:b/>
          <w:lang w:eastAsia="zh-CN"/>
        </w:rPr>
      </w:pPr>
      <w:r>
        <w:rPr>
          <w:rFonts w:hint="eastAsia"/>
          <w:b/>
          <w:lang w:eastAsia="zh-CN"/>
        </w:rPr>
        <w:t>查询统计功能：</w:t>
      </w:r>
    </w:p>
    <w:p>
      <w:r>
        <w:t>1)包括药品、诊疗项目（名称、用量、使用者名称、单价等相关信息）查询、科室收入统计、患者住院信息查询、病人查询、结算查询和住院发票查询；</w:t>
      </w:r>
    </w:p>
    <w:p>
      <w:r>
        <w:t>2)能够满足行政部门对收费进行监控的要求。</w:t>
      </w:r>
    </w:p>
    <w:p>
      <w:pPr>
        <w:pStyle w:val="46"/>
        <w:ind w:left="420"/>
        <w:rPr>
          <w:rFonts w:hint="eastAsia"/>
          <w:b/>
          <w:lang w:eastAsia="zh-CN"/>
        </w:rPr>
      </w:pPr>
      <w:r>
        <w:rPr>
          <w:rFonts w:hint="eastAsia"/>
          <w:b/>
          <w:lang w:eastAsia="zh-CN"/>
        </w:rPr>
        <w:t>打印输出功能：</w:t>
      </w:r>
    </w:p>
    <w:p>
      <w:r>
        <w:t>1)打印各种统计查询内容；</w:t>
      </w:r>
    </w:p>
    <w:p>
      <w:r>
        <w:t>2)能够打印病人一日清单；</w:t>
      </w:r>
    </w:p>
    <w:p>
      <w:r>
        <w:t>3)打印病人报销凭证和住院费用清单：凭证格式必须符合财政和卫生行政部门的统一要求或承认的凭证格式和报销收费科目，符合会计制度的规定，住院费用清单需要满足有关部门要求；</w:t>
      </w:r>
    </w:p>
    <w:p>
      <w:r>
        <w:t>4)打印日结账汇总表；</w:t>
      </w:r>
    </w:p>
    <w:p>
      <w:r>
        <w:t>5)打印日结账明细表；</w:t>
      </w:r>
    </w:p>
    <w:p>
      <w:r>
        <w:t>6)打印月、旬结账报表；</w:t>
      </w:r>
    </w:p>
    <w:p>
      <w:r>
        <w:t>7)打印科室核算月统计报表；</w:t>
      </w:r>
    </w:p>
    <w:p>
      <w:r>
        <w:t>8)打印病人预交金清单；</w:t>
      </w:r>
    </w:p>
    <w:p>
      <w:r>
        <w:t>9)打印病人欠款清单；</w:t>
      </w:r>
    </w:p>
    <w:p>
      <w:r>
        <w:t>10)打印月、季、年收费统计报表；</w:t>
      </w:r>
    </w:p>
    <w:p>
      <w:pPr>
        <w:pStyle w:val="46"/>
        <w:ind w:left="420"/>
        <w:rPr>
          <w:rFonts w:hint="eastAsia"/>
          <w:b/>
          <w:lang w:eastAsia="zh-CN"/>
        </w:rPr>
      </w:pPr>
      <w:r>
        <w:rPr>
          <w:rFonts w:hint="eastAsia"/>
          <w:b/>
          <w:lang w:eastAsia="zh-CN"/>
        </w:rPr>
        <w:t>医保界面；</w:t>
      </w:r>
    </w:p>
    <w:p>
      <w:pPr>
        <w:ind w:left="425" w:hanging="425"/>
      </w:pPr>
      <w:r>
        <w:t xml:space="preserve">1)收费录入：无论从何处、何种方式录入病人费用，应保留录入者痕迹。费用修改必须有原始单据为依据，以补充原始单位录入进行更正。 </w:t>
      </w:r>
    </w:p>
    <w:p>
      <w:pPr>
        <w:ind w:left="425" w:hanging="425"/>
      </w:pPr>
      <w:r>
        <w:t>2)安全管理：处理数据应准确无误、保密性强。</w:t>
      </w:r>
    </w:p>
    <w:p>
      <w:pPr>
        <w:ind w:left="425" w:hanging="425"/>
      </w:pPr>
      <w:r>
        <w:t>3)满足医疗保险对收费和打印票据的要求。</w:t>
      </w:r>
    </w:p>
    <w:p>
      <w:pPr>
        <w:ind w:left="425" w:hanging="425"/>
      </w:pPr>
      <w:r>
        <w:t>4)打印住院预交金收据、汇总单；</w:t>
      </w:r>
    </w:p>
    <w:p>
      <w:pPr>
        <w:ind w:left="425" w:hanging="425"/>
      </w:pPr>
      <w:r>
        <w:t xml:space="preserve">5)严格住院费的日期管理，预交金、结账单、退款单日期不得改动； </w:t>
      </w:r>
    </w:p>
    <w:p>
      <w:pPr>
        <w:ind w:left="425" w:hanging="425"/>
      </w:pPr>
      <w:r>
        <w:t xml:space="preserve">6)严格退款管理，必须核对预交金、结账单、退款单，方可办理退款； </w:t>
      </w:r>
    </w:p>
    <w:p>
      <w:pPr>
        <w:ind w:left="425" w:hanging="425"/>
      </w:pPr>
      <w:r>
        <w:t xml:space="preserve">7)严格发票管理，建立严格的领取和交还发票管理制度，建立机器核对制度； </w:t>
      </w:r>
    </w:p>
    <w:p>
      <w:pPr>
        <w:ind w:left="425" w:hanging="425"/>
      </w:pPr>
      <w:r>
        <w:t>8)严格交款管理，财物处需要使用计算机复核交款单；</w:t>
      </w:r>
    </w:p>
    <w:p>
      <w:pPr>
        <w:ind w:left="425" w:hanging="425"/>
      </w:pPr>
      <w:r>
        <w:t>9)支持财务处定期复核在院病人预交金；</w:t>
      </w:r>
    </w:p>
    <w:p>
      <w:pPr>
        <w:pStyle w:val="6"/>
        <w:tabs>
          <w:tab w:val="left" w:pos="576"/>
        </w:tabs>
        <w:spacing w:before="20" w:after="20" w:line="240" w:lineRule="auto"/>
        <w:ind w:left="425" w:hanging="425"/>
        <w:jc w:val="left"/>
      </w:pPr>
      <w:bookmarkStart w:id="50" w:name="_Toc19412"/>
      <w:r>
        <w:t>3.</w:t>
      </w:r>
      <w:r>
        <w:rPr>
          <w:rFonts w:hint="eastAsia"/>
        </w:rPr>
        <w:t>药房管理系统</w:t>
      </w:r>
      <w:bookmarkEnd w:id="50"/>
    </w:p>
    <w:p>
      <w:pPr>
        <w:ind w:firstLine="420" w:firstLineChars="200"/>
      </w:pPr>
      <w:r>
        <w:rPr>
          <w:rFonts w:hint="eastAsia"/>
        </w:rPr>
        <w:t>药房管理系统用于协助整个医院住院业务完成对药品管理的计算机应用程序，其主要目标是实现</w:t>
      </w:r>
      <w:r>
        <w:rPr>
          <w:rFonts w:hint="eastAsia" w:ascii="宋体" w:hAnsi="宋体" w:cs="宋体"/>
          <w:szCs w:val="21"/>
        </w:rPr>
        <w:t>药品申领、划价、配药、发药、退药，以及药品的大处方审查、工作量统计、盘点</w:t>
      </w:r>
      <w:r>
        <w:rPr>
          <w:rFonts w:hint="eastAsia"/>
        </w:rPr>
        <w:t>、住院医生站连接，实现后台配药，药品台帐体系，结合统计期和月结、对帐功能。</w:t>
      </w:r>
    </w:p>
    <w:p>
      <w:pPr>
        <w:pStyle w:val="46"/>
        <w:ind w:left="420"/>
        <w:rPr>
          <w:rFonts w:hint="eastAsia"/>
          <w:b/>
          <w:lang w:eastAsia="zh-CN"/>
        </w:rPr>
      </w:pPr>
      <w:r>
        <w:rPr>
          <w:rFonts w:hint="eastAsia"/>
          <w:b/>
          <w:lang w:eastAsia="zh-CN"/>
        </w:rPr>
        <w:t>功能升级要求：</w:t>
      </w:r>
    </w:p>
    <w:p>
      <w:pPr>
        <w:pStyle w:val="46"/>
        <w:ind w:left="420"/>
        <w:rPr>
          <w:rFonts w:hint="eastAsia"/>
          <w:b/>
          <w:lang w:eastAsia="zh-CN"/>
        </w:rPr>
      </w:pPr>
      <w:r>
        <w:rPr>
          <w:rFonts w:hint="eastAsia"/>
          <w:b/>
          <w:lang w:eastAsia="zh-CN"/>
        </w:rPr>
        <w:t>住院药房发/退药处理</w:t>
      </w:r>
    </w:p>
    <w:p>
      <w:r>
        <w:rPr>
          <w:rFonts w:hint="eastAsia"/>
        </w:rPr>
        <w:t>1)发药：能够自动接收由护士站确认后的药品单，住院药房据此发药，同时减去住院药房库存。确认发药后，即进行上账。提供紧急发药、出院带药医嘱发药功能。</w:t>
      </w:r>
    </w:p>
    <w:p>
      <w:r>
        <w:rPr>
          <w:rFonts w:hint="eastAsia"/>
        </w:rPr>
        <w:t>2)退药处理：能够进行单个病人退药和病房、病区退药处理，并自动增加本地库存。</w:t>
      </w:r>
    </w:p>
    <w:p>
      <w:r>
        <w:rPr>
          <w:rFonts w:hint="eastAsia"/>
        </w:rPr>
        <w:t>3)科室领药：能够进行科室领药（如手术室）确认，对其进行查询、修改、打印等，并同时减去本地库存。</w:t>
      </w:r>
    </w:p>
    <w:p>
      <w:r>
        <w:rPr>
          <w:rFonts w:hint="eastAsia"/>
        </w:rPr>
        <w:t>4)能够进行病人用药查询。</w:t>
      </w:r>
    </w:p>
    <w:p>
      <w:r>
        <w:rPr>
          <w:rFonts w:hint="eastAsia"/>
        </w:rPr>
        <w:t>5)支持住院药房根据医嘱整批配药，由配药药师统计确认该病区的发药药品,并打印出发药清单,分药药师核对发药清单后，再与请领护士确认，在双方签字后发放药品。</w:t>
      </w:r>
    </w:p>
    <w:p>
      <w:r>
        <w:rPr>
          <w:rFonts w:hint="eastAsia"/>
        </w:rPr>
        <w:t>6)能实现不同批次发药功能，自动判断发药批次。</w:t>
      </w:r>
    </w:p>
    <w:p>
      <w:pPr>
        <w:pStyle w:val="46"/>
        <w:ind w:left="420"/>
        <w:rPr>
          <w:rFonts w:hint="eastAsia"/>
          <w:b/>
          <w:lang w:eastAsia="zh-CN"/>
        </w:rPr>
      </w:pPr>
      <w:r>
        <w:rPr>
          <w:rFonts w:hint="eastAsia"/>
          <w:b/>
          <w:lang w:eastAsia="zh-CN"/>
        </w:rPr>
        <w:t>药房库存管理要求</w:t>
      </w:r>
    </w:p>
    <w:p>
      <w:r>
        <w:rPr>
          <w:rFonts w:hint="eastAsia"/>
        </w:rPr>
        <w:t>1)药品上下限控制，可自动生成药品进药计划申请单，并发往药库。</w:t>
      </w:r>
    </w:p>
    <w:p>
      <w:r>
        <w:rPr>
          <w:rFonts w:hint="eastAsia"/>
        </w:rPr>
        <w:t>2)提供对药库发到本药房的药品的出库单进行入库确认。</w:t>
      </w:r>
    </w:p>
    <w:p>
      <w:r>
        <w:rPr>
          <w:rFonts w:hint="eastAsia"/>
        </w:rPr>
        <w:t>3)提供本药房药品的调拨、盘点、报损、调换。</w:t>
      </w:r>
    </w:p>
    <w:p>
      <w:r>
        <w:rPr>
          <w:rFonts w:hint="eastAsia"/>
        </w:rPr>
        <w:t>4)可向药库进行药品退药操作。</w:t>
      </w:r>
    </w:p>
    <w:p>
      <w:r>
        <w:rPr>
          <w:rFonts w:hint="eastAsia"/>
        </w:rPr>
        <w:t>5)有效期和批次管理。</w:t>
      </w:r>
    </w:p>
    <w:p>
      <w:r>
        <w:rPr>
          <w:rFonts w:hint="eastAsia"/>
        </w:rPr>
        <w:t>6)支持多个住院药房管理，遇节假日等特殊情况能按需合并为一个住院药房进行管理。</w:t>
      </w:r>
    </w:p>
    <w:p>
      <w:r>
        <w:rPr>
          <w:rFonts w:hint="eastAsia"/>
        </w:rPr>
        <w:t>7)支持实库存管理。</w:t>
      </w:r>
    </w:p>
    <w:p>
      <w:r>
        <w:rPr>
          <w:rFonts w:hint="eastAsia"/>
        </w:rPr>
        <w:t>8)提供药品会计账目、药品库管账目及与财务系统的接口，实现数据共享。按会计制度规定，提供自动报账和手工报账核算功能。</w:t>
      </w:r>
    </w:p>
    <w:p>
      <w:pPr>
        <w:pStyle w:val="46"/>
        <w:ind w:left="420"/>
        <w:rPr>
          <w:rFonts w:hint="eastAsia"/>
          <w:b/>
          <w:lang w:eastAsia="zh-CN"/>
        </w:rPr>
      </w:pPr>
      <w:r>
        <w:rPr>
          <w:rFonts w:hint="eastAsia"/>
          <w:b/>
          <w:lang w:eastAsia="zh-CN"/>
        </w:rPr>
        <w:t>统计查询</w:t>
      </w:r>
    </w:p>
    <w:p>
      <w:r>
        <w:rPr>
          <w:rFonts w:hint="eastAsia"/>
        </w:rPr>
        <w:t>1)具有统计权限管理功能。</w:t>
      </w:r>
    </w:p>
    <w:p>
      <w:r>
        <w:rPr>
          <w:rFonts w:hint="eastAsia"/>
        </w:rPr>
        <w:t>2)提供药品库存的日结、月结、年结功能，并能校对账目及库存的平衡关系。</w:t>
      </w:r>
    </w:p>
    <w:p>
      <w:r>
        <w:rPr>
          <w:rFonts w:hint="eastAsia"/>
        </w:rPr>
        <w:t>3)可随时查询某日和任意时间段的入库药品消耗，能够进行分类查询和单种药品查询，并且可以查询打印任意某一药品的入、出、存明细账。</w:t>
      </w:r>
    </w:p>
    <w:p>
      <w:r>
        <w:rPr>
          <w:rFonts w:hint="eastAsia"/>
        </w:rPr>
        <w:t>4)查询药品信息：药品名称、规格、批号、价格、生产厂家、药品来源、药品剂型、属性、类别。</w:t>
      </w:r>
    </w:p>
    <w:p>
      <w:r>
        <w:rPr>
          <w:rFonts w:hint="eastAsia"/>
        </w:rPr>
        <w:t>5)病人用药品及费用查询。</w:t>
      </w:r>
    </w:p>
    <w:p>
      <w:r>
        <w:rPr>
          <w:rFonts w:hint="eastAsia"/>
        </w:rPr>
        <w:t>6)发药人工作量查询。</w:t>
      </w:r>
    </w:p>
    <w:p>
      <w:pPr>
        <w:pStyle w:val="6"/>
        <w:tabs>
          <w:tab w:val="left" w:pos="576"/>
        </w:tabs>
        <w:spacing w:before="20" w:after="20" w:line="240" w:lineRule="auto"/>
        <w:ind w:left="425" w:hanging="425"/>
        <w:jc w:val="left"/>
      </w:pPr>
      <w:bookmarkStart w:id="51" w:name="_Toc27167"/>
      <w:r>
        <w:t>4.</w:t>
      </w:r>
      <w:r>
        <w:rPr>
          <w:rFonts w:hint="eastAsia"/>
        </w:rPr>
        <w:t>药库管理系统</w:t>
      </w:r>
      <w:bookmarkEnd w:id="51"/>
    </w:p>
    <w:p>
      <w:pPr>
        <w:rPr>
          <w:rFonts w:hint="eastAsia"/>
          <w:lang w:eastAsia="zh-CN"/>
        </w:rPr>
      </w:pPr>
      <w:r>
        <w:rPr>
          <w:rFonts w:hint="eastAsia"/>
          <w:lang w:eastAsia="zh-CN"/>
        </w:rPr>
        <w:t>用于管理药品基础信息及入库、出库、调拨、应付款等相关事务的信息系统。</w:t>
      </w:r>
    </w:p>
    <w:p>
      <w:pPr>
        <w:pStyle w:val="46"/>
        <w:ind w:left="420"/>
        <w:rPr>
          <w:rFonts w:hint="eastAsia"/>
          <w:b/>
          <w:lang w:eastAsia="zh-CN"/>
        </w:rPr>
      </w:pPr>
      <w:r>
        <w:rPr>
          <w:rFonts w:hint="eastAsia"/>
          <w:b/>
          <w:lang w:eastAsia="zh-CN"/>
        </w:rPr>
        <w:t>功能升级要求：</w:t>
      </w:r>
    </w:p>
    <w:p>
      <w:pPr>
        <w:rPr>
          <w:rFonts w:hint="eastAsia"/>
          <w:lang w:eastAsia="zh-CN"/>
        </w:rPr>
      </w:pPr>
      <w:r>
        <w:rPr>
          <w:rFonts w:hint="eastAsia"/>
          <w:lang w:eastAsia="zh-CN"/>
        </w:rPr>
        <w:t>1)提供药品字典库维护功能(如品种、价格、单位、规格、批号、生产厂家、供货商、包装单位等信息以及医保类别和处方药标志等) ，支持一药多名。</w:t>
      </w:r>
    </w:p>
    <w:p>
      <w:pPr>
        <w:rPr>
          <w:rFonts w:hint="eastAsia"/>
          <w:lang w:eastAsia="zh-CN"/>
        </w:rPr>
      </w:pPr>
      <w:r>
        <w:rPr>
          <w:rFonts w:hint="eastAsia"/>
          <w:lang w:eastAsia="zh-CN"/>
        </w:rPr>
        <w:t>2)支持药品配伍禁忌、用法用量、处方职务、适用性别、存储条件等属性的管理。</w:t>
      </w:r>
    </w:p>
    <w:p>
      <w:pPr>
        <w:rPr>
          <w:rFonts w:hint="eastAsia"/>
          <w:lang w:eastAsia="zh-CN"/>
        </w:rPr>
      </w:pPr>
      <w:r>
        <w:rPr>
          <w:rFonts w:hint="eastAsia"/>
          <w:lang w:eastAsia="zh-CN"/>
        </w:rPr>
        <w:t>3)自动接收科室领药单、自动生成采购计划及采购单。</w:t>
      </w:r>
    </w:p>
    <w:p>
      <w:pPr>
        <w:rPr>
          <w:rFonts w:hint="eastAsia"/>
          <w:lang w:eastAsia="zh-CN"/>
        </w:rPr>
      </w:pPr>
      <w:r>
        <w:rPr>
          <w:rFonts w:hint="eastAsia"/>
          <w:lang w:eastAsia="zh-CN"/>
        </w:rPr>
        <w:t>4)提供药品入库、出库、调价、调拨、盘点、报损、退药等功能。</w:t>
      </w:r>
    </w:p>
    <w:p>
      <w:pPr>
        <w:rPr>
          <w:rFonts w:hint="eastAsia"/>
          <w:lang w:eastAsia="zh-CN"/>
        </w:rPr>
      </w:pPr>
      <w:r>
        <w:rPr>
          <w:rFonts w:hint="eastAsia"/>
          <w:lang w:eastAsia="zh-CN"/>
        </w:rPr>
        <w:t>5)提供药品会计核算功能，可随时生成各种药品的入库、出库、盘点、调价、调拨、报损、退药明细及汇总数据，报表格式可根据业务需要自定义；提供药品采购应付款管理、付款计划管理功能。</w:t>
      </w:r>
    </w:p>
    <w:p>
      <w:pPr>
        <w:rPr>
          <w:rFonts w:hint="eastAsia"/>
          <w:lang w:eastAsia="zh-CN"/>
        </w:rPr>
      </w:pPr>
      <w:r>
        <w:rPr>
          <w:rFonts w:hint="eastAsia"/>
          <w:lang w:eastAsia="zh-CN"/>
        </w:rPr>
        <w:t>6)支持药品分零和时价管理。</w:t>
      </w:r>
    </w:p>
    <w:p>
      <w:pPr>
        <w:rPr>
          <w:rFonts w:hint="eastAsia"/>
          <w:lang w:eastAsia="zh-CN"/>
        </w:rPr>
      </w:pPr>
      <w:r>
        <w:rPr>
          <w:rFonts w:hint="eastAsia"/>
          <w:lang w:eastAsia="zh-CN"/>
        </w:rPr>
        <w:t>7)提供药品的有效期管理、药品批次管理。可自动报警和统计过期药品的品种数和金额，并有库存量提示功能。</w:t>
      </w:r>
    </w:p>
    <w:p>
      <w:pPr>
        <w:rPr>
          <w:rFonts w:hint="eastAsia"/>
          <w:lang w:eastAsia="zh-CN"/>
        </w:rPr>
      </w:pPr>
      <w:r>
        <w:rPr>
          <w:rFonts w:hint="eastAsia"/>
          <w:lang w:eastAsia="zh-CN"/>
        </w:rPr>
        <w:t>8)可自定义药库、药房等各级包装单位及其换算关系。</w:t>
      </w:r>
    </w:p>
    <w:p>
      <w:pPr>
        <w:rPr>
          <w:rFonts w:hint="eastAsia"/>
          <w:lang w:eastAsia="zh-CN"/>
        </w:rPr>
      </w:pPr>
      <w:r>
        <w:rPr>
          <w:rFonts w:hint="eastAsia"/>
          <w:lang w:eastAsia="zh-CN"/>
        </w:rPr>
        <w:t>9)支持自动和手动调价，以及指定时间预调价，记录调价的明细、时间及原因、盈亏等信息。</w:t>
      </w:r>
    </w:p>
    <w:p>
      <w:pPr>
        <w:rPr>
          <w:rFonts w:hint="eastAsia"/>
          <w:lang w:eastAsia="zh-CN"/>
        </w:rPr>
      </w:pPr>
      <w:r>
        <w:rPr>
          <w:rFonts w:hint="eastAsia"/>
          <w:lang w:eastAsia="zh-CN"/>
        </w:rPr>
        <w:t>10)支持设备多个药品库房，以及自定义药品在库房之间的流向。</w:t>
      </w:r>
    </w:p>
    <w:p>
      <w:pPr>
        <w:rPr>
          <w:rFonts w:hint="eastAsia"/>
          <w:lang w:eastAsia="zh-CN"/>
        </w:rPr>
      </w:pPr>
      <w:r>
        <w:rPr>
          <w:rFonts w:hint="eastAsia"/>
          <w:lang w:eastAsia="zh-CN"/>
        </w:rPr>
        <w:t>11)支持对中草药的分包管理。</w:t>
      </w:r>
    </w:p>
    <w:p>
      <w:pPr>
        <w:rPr>
          <w:rFonts w:hint="eastAsia"/>
          <w:lang w:eastAsia="zh-CN"/>
        </w:rPr>
      </w:pPr>
      <w:r>
        <w:rPr>
          <w:rFonts w:hint="eastAsia"/>
          <w:lang w:eastAsia="zh-CN"/>
        </w:rPr>
        <w:t>12)支持未开发票的药品办理入库，进行财务审核。</w:t>
      </w:r>
    </w:p>
    <w:p>
      <w:pPr>
        <w:rPr>
          <w:rFonts w:hint="eastAsia"/>
          <w:lang w:eastAsia="zh-CN"/>
        </w:rPr>
      </w:pPr>
      <w:r>
        <w:rPr>
          <w:rFonts w:hint="eastAsia"/>
          <w:lang w:eastAsia="zh-CN"/>
        </w:rPr>
        <w:t>13)支持按照不同材质、用途分类、盘点周期、库房进行药品分类盘点。</w:t>
      </w:r>
    </w:p>
    <w:p>
      <w:pPr>
        <w:rPr>
          <w:rFonts w:hint="eastAsia"/>
          <w:lang w:eastAsia="zh-CN"/>
        </w:rPr>
      </w:pPr>
      <w:r>
        <w:rPr>
          <w:rFonts w:hint="eastAsia"/>
          <w:lang w:eastAsia="zh-CN"/>
        </w:rPr>
        <w:t>14)支持对历史时间点的库存进行盘点核算。</w:t>
      </w:r>
    </w:p>
    <w:p>
      <w:pPr>
        <w:rPr>
          <w:rFonts w:hint="eastAsia"/>
          <w:lang w:eastAsia="zh-CN"/>
        </w:rPr>
      </w:pPr>
      <w:r>
        <w:rPr>
          <w:rFonts w:hint="eastAsia"/>
          <w:lang w:eastAsia="zh-CN"/>
        </w:rPr>
        <w:t>15)提供特殊药品入库、出库管理功能(如：赠送、实验药品等)。</w:t>
      </w:r>
    </w:p>
    <w:p>
      <w:pPr>
        <w:rPr>
          <w:rFonts w:hint="eastAsia"/>
          <w:lang w:eastAsia="zh-CN"/>
        </w:rPr>
      </w:pPr>
      <w:r>
        <w:rPr>
          <w:rFonts w:hint="eastAsia"/>
          <w:lang w:eastAsia="zh-CN"/>
        </w:rPr>
        <w:t>16)提供医院自制药品( 含制剂)的入库，同步实现成分药品的扣减和库存管理。</w:t>
      </w:r>
    </w:p>
    <w:p>
      <w:pPr>
        <w:rPr>
          <w:rFonts w:hint="eastAsia"/>
          <w:lang w:eastAsia="zh-CN"/>
        </w:rPr>
      </w:pPr>
      <w:r>
        <w:rPr>
          <w:rFonts w:hint="eastAsia"/>
          <w:lang w:eastAsia="zh-CN"/>
        </w:rPr>
        <w:t>17)可追踪各个药品的明细流水帐，可随时查验任一品种的库存变化人、出、存明细信息。提供药品的日结、月结、年结功能。</w:t>
      </w:r>
    </w:p>
    <w:p>
      <w:pPr>
        <w:rPr>
          <w:rFonts w:hint="eastAsia"/>
          <w:lang w:eastAsia="zh-CN"/>
        </w:rPr>
      </w:pPr>
      <w:r>
        <w:rPr>
          <w:rFonts w:hint="eastAsia"/>
          <w:lang w:eastAsia="zh-CN"/>
        </w:rPr>
        <w:t>18)可随时生成各种药品的入库明细、出库明细、盘点明细、调价明细、调拨明细、报损明细、退药明细及其汇总数据等。</w:t>
      </w:r>
    </w:p>
    <w:p>
      <w:pPr>
        <w:rPr>
          <w:rFonts w:hint="eastAsia"/>
          <w:lang w:eastAsia="zh-CN"/>
        </w:rPr>
      </w:pPr>
      <w:r>
        <w:rPr>
          <w:rFonts w:hint="eastAsia"/>
          <w:lang w:eastAsia="zh-CN"/>
        </w:rPr>
        <w:t>19)支持药品的双库存（可用与实际库存）管理，以实现对药品库存数量的精确管理。</w:t>
      </w:r>
    </w:p>
    <w:p>
      <w:pPr>
        <w:rPr>
          <w:rFonts w:hint="eastAsia"/>
          <w:lang w:eastAsia="zh-CN"/>
        </w:rPr>
      </w:pPr>
      <w:r>
        <w:rPr>
          <w:rFonts w:hint="eastAsia"/>
          <w:lang w:eastAsia="zh-CN"/>
        </w:rPr>
        <w:t>20)对毒麻药品、精神药品、贵重药品、院内制剂、进口药品、自费药及有特殊规定的药品等有特定的判断识别处理功能。</w:t>
      </w:r>
    </w:p>
    <w:p>
      <w:pPr>
        <w:rPr>
          <w:lang w:eastAsia="zh-CN"/>
        </w:rPr>
      </w:pPr>
      <w:r>
        <w:rPr>
          <w:rFonts w:hint="eastAsia"/>
          <w:lang w:eastAsia="zh-CN"/>
        </w:rPr>
        <w:t>21)支持药品验收入库管理</w:t>
      </w:r>
      <w:r>
        <w:rPr>
          <w:rFonts w:hint="eastAsia"/>
          <w:szCs w:val="21"/>
          <w:lang w:eastAsia="zh-CN"/>
        </w:rPr>
        <w:t>；</w:t>
      </w:r>
    </w:p>
    <w:p>
      <w:pPr>
        <w:pStyle w:val="6"/>
        <w:tabs>
          <w:tab w:val="left" w:pos="576"/>
        </w:tabs>
        <w:spacing w:before="20" w:after="20" w:line="240" w:lineRule="auto"/>
        <w:ind w:left="425" w:hanging="425"/>
        <w:jc w:val="left"/>
      </w:pPr>
      <w:bookmarkStart w:id="52" w:name="_Toc3065"/>
      <w:r>
        <w:t>5.</w:t>
      </w:r>
      <w:r>
        <w:rPr>
          <w:rFonts w:hint="eastAsia"/>
        </w:rPr>
        <w:t>门急诊医生工作站</w:t>
      </w:r>
      <w:bookmarkEnd w:id="52"/>
    </w:p>
    <w:p>
      <w:pPr>
        <w:ind w:firstLine="420" w:firstLineChars="200"/>
      </w:pPr>
      <w:r>
        <w:rPr>
          <w:rFonts w:hint="eastAsia"/>
        </w:rPr>
        <w:t>门急诊医生工作站系统是协助门诊医生完成日常医疗工作的计算机应用程序。其主要目标是实现门诊记录、诊断、处方、检查、检验、治疗处置、手术和卫生材料等信息的处理。</w:t>
      </w:r>
    </w:p>
    <w:p>
      <w:pPr>
        <w:pStyle w:val="46"/>
        <w:ind w:left="420"/>
        <w:rPr>
          <w:rFonts w:hint="eastAsia"/>
          <w:b/>
          <w:lang w:eastAsia="zh-CN"/>
        </w:rPr>
      </w:pPr>
      <w:r>
        <w:rPr>
          <w:rFonts w:hint="eastAsia"/>
          <w:b/>
          <w:lang w:eastAsia="zh-CN"/>
        </w:rPr>
        <w:t>功能升级要求：</w:t>
      </w:r>
    </w:p>
    <w:p>
      <w:pPr>
        <w:numPr>
          <w:ilvl w:val="0"/>
          <w:numId w:val="3"/>
        </w:numPr>
      </w:pPr>
      <w:r>
        <w:rPr>
          <w:rFonts w:hint="eastAsia"/>
        </w:rPr>
        <w:t>自动获取病人基本信息就诊卡号、病案号、姓名、性别、年龄、医保费用类别等。</w:t>
      </w:r>
    </w:p>
    <w:p>
      <w:pPr>
        <w:numPr>
          <w:ilvl w:val="0"/>
          <w:numId w:val="3"/>
        </w:numPr>
      </w:pPr>
      <w:r>
        <w:rPr>
          <w:rFonts w:hint="eastAsia"/>
        </w:rPr>
        <w:t xml:space="preserve">自动获取诊疗相关信息：病史资料、主诉、现病史、既往史等。 </w:t>
      </w:r>
    </w:p>
    <w:p>
      <w:pPr>
        <w:numPr>
          <w:ilvl w:val="0"/>
          <w:numId w:val="3"/>
        </w:numPr>
      </w:pPr>
      <w:r>
        <w:rPr>
          <w:rFonts w:hint="eastAsia"/>
        </w:rPr>
        <w:t xml:space="preserve">自动获取医生信息：科室、姓名、职称、诊疗时间等。 </w:t>
      </w:r>
    </w:p>
    <w:p>
      <w:pPr>
        <w:numPr>
          <w:ilvl w:val="0"/>
          <w:numId w:val="3"/>
        </w:numPr>
      </w:pPr>
      <w:r>
        <w:rPr>
          <w:rFonts w:hint="eastAsia"/>
        </w:rPr>
        <w:t xml:space="preserve">自动获取费用信息：项目名称、规格、价格、医保费用类别、数量等。 </w:t>
      </w:r>
    </w:p>
    <w:p>
      <w:pPr>
        <w:numPr>
          <w:ilvl w:val="0"/>
          <w:numId w:val="3"/>
        </w:numPr>
      </w:pPr>
      <w:r>
        <w:rPr>
          <w:rFonts w:hint="eastAsia"/>
        </w:rPr>
        <w:t>支持医生处理门诊记录、检查、检验、诊断、处方、治疗处置、卫生材料、手术、收入院等诊疗活动。</w:t>
      </w:r>
    </w:p>
    <w:p>
      <w:pPr>
        <w:numPr>
          <w:ilvl w:val="0"/>
          <w:numId w:val="3"/>
        </w:numPr>
      </w:pPr>
      <w:r>
        <w:rPr>
          <w:rFonts w:hint="eastAsia"/>
        </w:rPr>
        <w:t>基础数据维护：医生可以维护科内或自己常用数据，包括医院、科室、医生常用临床项目字典，处方模板和相应编辑功能。</w:t>
      </w:r>
    </w:p>
    <w:p>
      <w:pPr>
        <w:numPr>
          <w:ilvl w:val="0"/>
          <w:numId w:val="3"/>
        </w:numPr>
      </w:pPr>
      <w:r>
        <w:rPr>
          <w:rFonts w:hint="eastAsia"/>
        </w:rPr>
        <w:t>在药品处方录入时既支持商品名、通用名，也支持化学名，之间应能提供互相转换。在打印电子处方上统一用一种药品名称。</w:t>
      </w:r>
    </w:p>
    <w:p>
      <w:pPr>
        <w:numPr>
          <w:ilvl w:val="0"/>
          <w:numId w:val="3"/>
        </w:numPr>
      </w:pPr>
      <w:r>
        <w:rPr>
          <w:rFonts w:hint="eastAsia"/>
        </w:rPr>
        <w:t>支持药品剂量自动换算，大单位、小单位包装的换算。支持药品用量管理，可以控制指定药品的用量，能对处方金额及药品比例控制。</w:t>
      </w:r>
    </w:p>
    <w:p>
      <w:pPr>
        <w:numPr>
          <w:ilvl w:val="0"/>
          <w:numId w:val="3"/>
        </w:numPr>
      </w:pPr>
      <w:r>
        <w:rPr>
          <w:rFonts w:hint="eastAsia"/>
        </w:rPr>
        <w:t>自动审核录入处方的完整性，记录医生姓名及时间，一经确认不得更改，同时提供医嘱作废功能。</w:t>
      </w:r>
    </w:p>
    <w:p>
      <w:pPr>
        <w:numPr>
          <w:ilvl w:val="0"/>
          <w:numId w:val="3"/>
        </w:numPr>
      </w:pPr>
      <w:r>
        <w:rPr>
          <w:rFonts w:hint="eastAsia"/>
        </w:rPr>
        <w:t>可以定制打印流程，如不在门诊医生工作站打印，在药房或者护士站统一打印。也可以利用门诊医生工作站进行打印。</w:t>
      </w:r>
    </w:p>
    <w:p>
      <w:pPr>
        <w:numPr>
          <w:ilvl w:val="0"/>
          <w:numId w:val="3"/>
        </w:numPr>
      </w:pPr>
      <w:r>
        <w:rPr>
          <w:rFonts w:hint="eastAsia"/>
        </w:rPr>
        <w:t>所有医嘱均提供备注功能，医师可以输入相关注意事项；提供医嘱增补、作废操作的痕迹跟踪；提供医嘱及相关收费项目的费用情况。</w:t>
      </w:r>
    </w:p>
    <w:p>
      <w:pPr>
        <w:numPr>
          <w:ilvl w:val="0"/>
          <w:numId w:val="3"/>
        </w:numPr>
      </w:pPr>
      <w:r>
        <w:rPr>
          <w:rFonts w:hint="eastAsia"/>
        </w:rPr>
        <w:t>提供书写检验检查申请单的模版，并具备打印功能；提供病历书写模板、项目字典、医嘱模板等。</w:t>
      </w:r>
    </w:p>
    <w:p>
      <w:pPr>
        <w:numPr>
          <w:ilvl w:val="0"/>
          <w:numId w:val="3"/>
        </w:numPr>
      </w:pPr>
      <w:r>
        <w:rPr>
          <w:rFonts w:hint="eastAsia"/>
        </w:rPr>
        <w:t>能够办理入院预约/登记的功能。</w:t>
      </w:r>
    </w:p>
    <w:p>
      <w:pPr>
        <w:numPr>
          <w:ilvl w:val="0"/>
          <w:numId w:val="3"/>
        </w:numPr>
      </w:pPr>
      <w:r>
        <w:rPr>
          <w:rFonts w:hint="eastAsia"/>
        </w:rPr>
        <w:t>支持医生查询相关数据：调阅既往看诊数据、历次就诊信息、检验检查申请结果，并提供比较功能。</w:t>
      </w:r>
    </w:p>
    <w:p>
      <w:pPr>
        <w:numPr>
          <w:ilvl w:val="0"/>
          <w:numId w:val="3"/>
        </w:numPr>
      </w:pPr>
      <w:r>
        <w:rPr>
          <w:rFonts w:hint="eastAsia"/>
        </w:rPr>
        <w:t>提供打印功能，如处方、检查检验申请单等，打印结果由相关医师签字生效。</w:t>
      </w:r>
    </w:p>
    <w:p>
      <w:pPr>
        <w:numPr>
          <w:ilvl w:val="0"/>
          <w:numId w:val="3"/>
        </w:numPr>
      </w:pPr>
      <w:r>
        <w:rPr>
          <w:rFonts w:hint="eastAsia"/>
        </w:rPr>
        <w:t>提供医生权限管理，如部门、等级、功能等。</w:t>
      </w:r>
    </w:p>
    <w:p>
      <w:pPr>
        <w:numPr>
          <w:ilvl w:val="0"/>
          <w:numId w:val="3"/>
        </w:numPr>
      </w:pPr>
      <w:r>
        <w:rPr>
          <w:rFonts w:hint="eastAsia"/>
        </w:rPr>
        <w:t>自动向有关部门传送检查、检验、诊断、处方、治疗处置、手术、收住院等诊疗信息，以及相关的费用信息，保证医嘱指令顺利执行。</w:t>
      </w:r>
    </w:p>
    <w:p>
      <w:pPr>
        <w:pStyle w:val="6"/>
        <w:tabs>
          <w:tab w:val="left" w:pos="576"/>
        </w:tabs>
        <w:spacing w:before="20" w:after="20" w:line="240" w:lineRule="auto"/>
        <w:ind w:left="425" w:hanging="425"/>
        <w:jc w:val="left"/>
      </w:pPr>
      <w:bookmarkStart w:id="53" w:name="_Toc18922"/>
      <w:r>
        <w:t>6.</w:t>
      </w:r>
      <w:r>
        <w:rPr>
          <w:rFonts w:hint="eastAsia"/>
        </w:rPr>
        <w:t>住院医生工作站</w:t>
      </w:r>
      <w:bookmarkEnd w:id="53"/>
    </w:p>
    <w:p>
      <w:pPr>
        <w:ind w:firstLine="420" w:firstLineChars="200"/>
      </w:pPr>
      <w:r>
        <w:t>住院医生工作站系统是协助医生完成病房日常医疗工作的计算机应用程序。其主要目标是诊断、处方、检查、检验、治疗处置、手术、护理、卫生材料以及会诊、转科、出院等信息的处理。</w:t>
      </w:r>
    </w:p>
    <w:p>
      <w:pPr>
        <w:pStyle w:val="46"/>
        <w:ind w:left="420"/>
        <w:rPr>
          <w:rFonts w:hint="eastAsia"/>
          <w:b/>
          <w:lang w:eastAsia="zh-CN"/>
        </w:rPr>
      </w:pPr>
      <w:r>
        <w:rPr>
          <w:rFonts w:hint="eastAsia"/>
          <w:b/>
          <w:lang w:eastAsia="zh-CN"/>
        </w:rPr>
        <w:t>功能升级要求：</w:t>
      </w:r>
    </w:p>
    <w:p>
      <w:pPr>
        <w:numPr>
          <w:ilvl w:val="0"/>
          <w:numId w:val="4"/>
        </w:numPr>
      </w:pPr>
      <w:r>
        <w:t>自动获取或提供如下信息</w:t>
      </w:r>
      <w:r>
        <w:rPr>
          <w:b/>
          <w:bCs/>
        </w:rPr>
        <w:t>：</w:t>
      </w:r>
      <w:r>
        <w:t>医生主管范围内病人基本信息：姓名、性别、年龄、住院病历号、病区、床号、入院诊断、病情状态、护理等级、费用情况等。诊疗相关信息：病史资料、主诉、现病史、诊疗史、体格检查等。医生信息：科室、姓名、职称、诊疗时间。费用信息：项目名称、规格、价格、医保费用类别、数量等。</w:t>
      </w:r>
    </w:p>
    <w:p>
      <w:pPr>
        <w:numPr>
          <w:ilvl w:val="0"/>
          <w:numId w:val="4"/>
        </w:numPr>
      </w:pPr>
      <w:r>
        <w:t>接收患者：在住院处办理完手续的患者，在病房由主治医生做接诊处理，确认到达病院的时间和入院诊断，及责任医生。</w:t>
      </w:r>
    </w:p>
    <w:p>
      <w:pPr>
        <w:numPr>
          <w:ilvl w:val="0"/>
          <w:numId w:val="4"/>
        </w:numPr>
      </w:pPr>
      <w:r>
        <w:t>支持医生查询相关数据：病人历次门诊、住院信息，检验检查结果，并提供比较功能；提供医嘱执行情况、病床使用情况、处方、患者费用明细等查询。</w:t>
      </w:r>
    </w:p>
    <w:p>
      <w:pPr>
        <w:numPr>
          <w:ilvl w:val="0"/>
          <w:numId w:val="4"/>
        </w:numPr>
      </w:pPr>
      <w:r>
        <w:t>支持医生处理医嘱：检查、检验、处方、治疗处理、卫生材料、手术、护理、会诊、转科、出院等。</w:t>
      </w:r>
    </w:p>
    <w:p>
      <w:pPr>
        <w:numPr>
          <w:ilvl w:val="0"/>
          <w:numId w:val="4"/>
        </w:numPr>
      </w:pPr>
      <w:r>
        <w:t>能提供医院、科室、医生常用临床项目字典，中药与协议处方模板、医嘱组套、模板及相应编辑功能。</w:t>
      </w:r>
    </w:p>
    <w:p>
      <w:pPr>
        <w:numPr>
          <w:ilvl w:val="0"/>
          <w:numId w:val="4"/>
        </w:numPr>
      </w:pPr>
      <w:r>
        <w:t>提供长期和临时医嘱处理功能：包括医嘱的开立、停止和作废。</w:t>
      </w:r>
    </w:p>
    <w:p>
      <w:pPr>
        <w:numPr>
          <w:ilvl w:val="0"/>
          <w:numId w:val="4"/>
        </w:numPr>
      </w:pPr>
      <w:r>
        <w:t>住院医嘱：医生可以开立药品医嘱、检验医嘱、检查医嘱、治疗处置医嘱、卫材、护理医嘱及医嘱套，能够自动检查医嘱开立是否完整。</w:t>
      </w:r>
    </w:p>
    <w:p>
      <w:pPr>
        <w:numPr>
          <w:ilvl w:val="0"/>
          <w:numId w:val="4"/>
        </w:numPr>
      </w:pPr>
      <w:r>
        <w:t>药品医嘱的处理：能够满足多种应用模式，要考虑长嘱、短嘱、临时医嘱等类型的医嘱处理、毒麻药品的使用、根据用药方法、计量、频次并同时考虑医嘱处理时间，自动生成摆药单。</w:t>
      </w:r>
    </w:p>
    <w:p>
      <w:pPr>
        <w:numPr>
          <w:ilvl w:val="0"/>
          <w:numId w:val="4"/>
        </w:numPr>
      </w:pPr>
      <w:r>
        <w:t>医嘱辅助：医嘱和费用项目逻辑区分清晰，有多级字典表管理功能，方便医生使用自己的、科室的、全院级别的数据字典。有功能实用、信息充实、表达清晰的查询、维护功能。有模版和组套功能。</w:t>
      </w:r>
    </w:p>
    <w:p>
      <w:pPr>
        <w:numPr>
          <w:ilvl w:val="0"/>
          <w:numId w:val="4"/>
        </w:numPr>
      </w:pPr>
      <w:r>
        <w:t>能自动审核录入医嘱的完整性，提供对所有医嘱进行审核确认功能，根据确认后的医嘱自动定时产生用药信息和医嘱执行单，记录医生姓名及时间，一经确认不得更改。</w:t>
      </w:r>
    </w:p>
    <w:p>
      <w:pPr>
        <w:numPr>
          <w:ilvl w:val="0"/>
          <w:numId w:val="4"/>
        </w:numPr>
      </w:pPr>
      <w:r>
        <w:t>在医嘱录入时既支持商品名、通用名，也支持化学名，之间应能提供互相转换。在打印医嘱单上统一用一种药品名称。</w:t>
      </w:r>
    </w:p>
    <w:p>
      <w:pPr>
        <w:numPr>
          <w:ilvl w:val="0"/>
          <w:numId w:val="4"/>
        </w:numPr>
      </w:pPr>
      <w:r>
        <w:t>提供医嘱及相关收费项目的费用情况、并对医保费用管理提供参考性信息；</w:t>
      </w:r>
    </w:p>
    <w:p>
      <w:pPr>
        <w:numPr>
          <w:ilvl w:val="0"/>
          <w:numId w:val="4"/>
        </w:numPr>
      </w:pPr>
      <w:r>
        <w:t>提供查询医保病人统筹支付费用结构情况；</w:t>
      </w:r>
    </w:p>
    <w:p>
      <w:pPr>
        <w:numPr>
          <w:ilvl w:val="0"/>
          <w:numId w:val="4"/>
        </w:numPr>
      </w:pPr>
      <w:r>
        <w:t>提供医嘱增补、作废操作的痕迹跟踪；</w:t>
      </w:r>
    </w:p>
    <w:p>
      <w:pPr>
        <w:numPr>
          <w:ilvl w:val="0"/>
          <w:numId w:val="4"/>
        </w:numPr>
      </w:pPr>
      <w:r>
        <w:t>所有医嘱均提供备注功能，医生可以输入相关注意事项。</w:t>
      </w:r>
    </w:p>
    <w:p>
      <w:pPr>
        <w:numPr>
          <w:ilvl w:val="0"/>
          <w:numId w:val="4"/>
        </w:numPr>
      </w:pPr>
      <w:r>
        <w:t>支持医生按照国际疾病分类标准下达诊断（入院、出院、术前、术后、转入、转出等）；支持疾病编码、拼音、汉字等多重检索。</w:t>
      </w:r>
    </w:p>
    <w:p>
      <w:pPr>
        <w:numPr>
          <w:ilvl w:val="0"/>
          <w:numId w:val="4"/>
        </w:numPr>
      </w:pPr>
      <w:r>
        <w:t>支持手术申请、麻醉申请、转科申请、会诊申请、用血申请等所有医嘱和申请单打印功能，符合有关医疗文件的格式要求，必须提供医生、操作员签字栏，打印结果由相关人员签字生效。</w:t>
      </w:r>
    </w:p>
    <w:p>
      <w:pPr>
        <w:numPr>
          <w:ilvl w:val="0"/>
          <w:numId w:val="4"/>
        </w:numPr>
      </w:pPr>
      <w:r>
        <w:t>自动核算各项费用，提供医生权限管理，如部门、等级、功能等。</w:t>
      </w:r>
    </w:p>
    <w:p>
      <w:pPr>
        <w:numPr>
          <w:ilvl w:val="0"/>
          <w:numId w:val="4"/>
        </w:numPr>
      </w:pPr>
      <w:r>
        <w:t>医保辅助功能：医保药品和非药品的费用政策限制在系统要有体现；自动核算各项费用，支持医保费用管理。</w:t>
      </w:r>
    </w:p>
    <w:p>
      <w:pPr>
        <w:numPr>
          <w:ilvl w:val="0"/>
          <w:numId w:val="4"/>
        </w:numPr>
      </w:pPr>
      <w:r>
        <w:t>自动向有关部门传送检查、检验、诊断、处方、治疗处置、手术、转科、出院等诊疗信息，以及相关的费用信息，保证医嘱指令顺利执行。</w:t>
      </w:r>
    </w:p>
    <w:p>
      <w:pPr>
        <w:numPr>
          <w:ilvl w:val="0"/>
          <w:numId w:val="4"/>
        </w:numPr>
      </w:pPr>
      <w:r>
        <w:t>提供住院病历，检查检验申请单、报告单、诊断证明、出院证明等医疗檔的打印及续打功能。</w:t>
      </w:r>
    </w:p>
    <w:p>
      <w:pPr>
        <w:numPr>
          <w:ilvl w:val="0"/>
          <w:numId w:val="4"/>
        </w:numPr>
      </w:pPr>
      <w:r>
        <w:t>提供当前和既往住院病人住院信息（病历）的在线查询统计等功能。</w:t>
      </w:r>
    </w:p>
    <w:p>
      <w:pPr>
        <w:numPr>
          <w:ilvl w:val="0"/>
          <w:numId w:val="4"/>
        </w:numPr>
      </w:pPr>
      <w:r>
        <w:t>提供病历套打、续打功能（含医嘱）。</w:t>
      </w:r>
    </w:p>
    <w:p>
      <w:pPr>
        <w:numPr>
          <w:ilvl w:val="0"/>
          <w:numId w:val="4"/>
        </w:numPr>
      </w:pPr>
      <w:r>
        <w:t>支持传染病报告卡、糖尿病卡的录入与上报。</w:t>
      </w:r>
    </w:p>
    <w:p>
      <w:pPr>
        <w:numPr>
          <w:ilvl w:val="0"/>
          <w:numId w:val="4"/>
        </w:numPr>
      </w:pPr>
      <w:r>
        <w:t>支持药品查询（零售价、药理信息、药理作用、查询、规格、剂型、药品适应、症药品禁忌、不良反应等）；诊疗项目查询（单价、注意事项、诊疗时间等）；</w:t>
      </w:r>
    </w:p>
    <w:p>
      <w:pPr>
        <w:numPr>
          <w:ilvl w:val="0"/>
          <w:numId w:val="4"/>
        </w:numPr>
      </w:pPr>
      <w:r>
        <w:t>共享住院期间产生的患者临床信息，申请检验及影像的相关信息传送给PACS/RIS系统、LIS系统，并接收传回的影像及检验结果；医嘱信息自动传给护士站。</w:t>
      </w:r>
    </w:p>
    <w:p>
      <w:pPr>
        <w:pStyle w:val="6"/>
        <w:tabs>
          <w:tab w:val="left" w:pos="576"/>
        </w:tabs>
        <w:spacing w:before="20" w:after="20" w:line="240" w:lineRule="auto"/>
        <w:ind w:left="425" w:hanging="425"/>
        <w:jc w:val="left"/>
      </w:pPr>
      <w:bookmarkStart w:id="54" w:name="_Toc6281"/>
      <w:r>
        <w:t>7.</w:t>
      </w:r>
      <w:r>
        <w:rPr>
          <w:rFonts w:hint="eastAsia"/>
        </w:rPr>
        <w:t>病区护士工作站</w:t>
      </w:r>
      <w:bookmarkEnd w:id="54"/>
    </w:p>
    <w:p>
      <w:pPr>
        <w:ind w:firstLine="420" w:firstLineChars="200"/>
      </w:pPr>
      <w:r>
        <w:rPr>
          <w:rFonts w:hint="eastAsia"/>
        </w:rPr>
        <w:t>病区护士信息系统是协助病房护士对住院患者完成日常的护理工作的计算机应用程序。其主要任务是协助护士核对并处理医生下达的长期和临时医嘱，对医嘱执行情况进行管理。同时协助护士完成护理及病区床位管理等日常工作。</w:t>
      </w:r>
    </w:p>
    <w:p>
      <w:pPr>
        <w:pStyle w:val="46"/>
        <w:ind w:left="420"/>
        <w:rPr>
          <w:rFonts w:hint="eastAsia"/>
          <w:b/>
          <w:lang w:eastAsia="zh-CN"/>
        </w:rPr>
      </w:pPr>
      <w:r>
        <w:rPr>
          <w:rFonts w:hint="eastAsia"/>
          <w:b/>
          <w:lang w:eastAsia="zh-CN"/>
        </w:rPr>
        <w:t>功能升级要求：</w:t>
      </w:r>
    </w:p>
    <w:p>
      <w:pPr>
        <w:numPr>
          <w:ilvl w:val="0"/>
          <w:numId w:val="5"/>
        </w:numPr>
      </w:pPr>
      <w:r>
        <w:rPr>
          <w:rFonts w:hint="eastAsia"/>
        </w:rPr>
        <w:t>病房管理：能满足患者基本信息管理；患者接诊、转科、出院、变更等信息管理；病区床位使用情况一览表（显示床号、病历号、姓名、性别、年龄、诊断、病情、护理等级）。患者一日清单管理；欠费管理。</w:t>
      </w:r>
    </w:p>
    <w:p>
      <w:pPr>
        <w:numPr>
          <w:ilvl w:val="0"/>
          <w:numId w:val="5"/>
        </w:numPr>
      </w:pPr>
      <w:r>
        <w:rPr>
          <w:rFonts w:hint="eastAsia"/>
        </w:rPr>
        <w:t>床位状态管理：调整床位，开放/关闭床位使用状态；危重等级申报。</w:t>
      </w:r>
    </w:p>
    <w:p>
      <w:pPr>
        <w:numPr>
          <w:ilvl w:val="0"/>
          <w:numId w:val="5"/>
        </w:numPr>
      </w:pPr>
      <w:r>
        <w:rPr>
          <w:rFonts w:hint="eastAsia"/>
        </w:rPr>
        <w:t>病区一次性卫生材料消耗量查询，卫生材料申请单打印。</w:t>
      </w:r>
    </w:p>
    <w:p>
      <w:pPr>
        <w:numPr>
          <w:ilvl w:val="0"/>
          <w:numId w:val="5"/>
        </w:numPr>
      </w:pPr>
      <w:r>
        <w:rPr>
          <w:rFonts w:hint="eastAsia"/>
        </w:rPr>
        <w:t>能记录病人生命体征及相关项目，打印出体温单。</w:t>
      </w:r>
    </w:p>
    <w:p>
      <w:pPr>
        <w:numPr>
          <w:ilvl w:val="0"/>
          <w:numId w:val="5"/>
        </w:numPr>
      </w:pPr>
      <w:r>
        <w:rPr>
          <w:rFonts w:hint="eastAsia"/>
        </w:rPr>
        <w:t>医嘱处理：医嘱录入；审核医嘱（新开立、停止、作废），查询、打印病区医嘱审核处理情况。</w:t>
      </w:r>
    </w:p>
    <w:p>
      <w:pPr>
        <w:numPr>
          <w:ilvl w:val="0"/>
          <w:numId w:val="5"/>
        </w:numPr>
      </w:pPr>
      <w:r>
        <w:rPr>
          <w:rFonts w:hint="eastAsia"/>
        </w:rPr>
        <w:t>医嘱审核：对医生下达的药品医嘱进行审核确认</w:t>
      </w:r>
    </w:p>
    <w:p>
      <w:pPr>
        <w:numPr>
          <w:ilvl w:val="0"/>
          <w:numId w:val="5"/>
        </w:numPr>
      </w:pPr>
      <w:r>
        <w:rPr>
          <w:rFonts w:hint="eastAsia"/>
        </w:rPr>
        <w:t>医嘱执行确认：在执行完医生的医嘱后，进行执行确认</w:t>
      </w:r>
    </w:p>
    <w:p>
      <w:pPr>
        <w:numPr>
          <w:ilvl w:val="0"/>
          <w:numId w:val="5"/>
        </w:numPr>
      </w:pPr>
      <w:r>
        <w:rPr>
          <w:rFonts w:hint="eastAsia"/>
        </w:rPr>
        <w:t>打印长期医嘱及临时医嘱单（具备续打功能），重整长期医嘱。打印、查询病区对药单（领药单），支持对药单分类维护；打印、查询长期、临时医嘱治疗单（口服、注射、输液、辅助治疗等），支持治疗单分类维护；打印、查询输液记录卡及瓶签。长期医嘱及临时医嘱执行确认；填写药品皮试结果；录入打印检查化验申请单；录入打印病案首页；医嘱记录查询。</w:t>
      </w:r>
    </w:p>
    <w:p>
      <w:pPr>
        <w:numPr>
          <w:ilvl w:val="0"/>
          <w:numId w:val="5"/>
        </w:numPr>
      </w:pPr>
      <w:r>
        <w:rPr>
          <w:rFonts w:hint="eastAsia"/>
        </w:rPr>
        <w:t>具有费用管理、护士站收费(一次性材料、治疗费等)，具备模板功能，可自定义套餐收费项目；费用管理：护士站收费（一次性材料、治疗费等），具备模板（套餐）功能。停止及作废医嘱退费申请。</w:t>
      </w:r>
    </w:p>
    <w:p>
      <w:pPr>
        <w:numPr>
          <w:ilvl w:val="0"/>
          <w:numId w:val="5"/>
        </w:numPr>
      </w:pPr>
      <w:r>
        <w:rPr>
          <w:rFonts w:hint="eastAsia"/>
        </w:rPr>
        <w:t>护理管理，包括护理记录、护理计划、护理评价单、护士排班和护理质量控制。</w:t>
      </w:r>
    </w:p>
    <w:p>
      <w:pPr>
        <w:numPr>
          <w:ilvl w:val="0"/>
          <w:numId w:val="5"/>
        </w:numPr>
      </w:pPr>
      <w:r>
        <w:rPr>
          <w:rFonts w:hint="eastAsia"/>
        </w:rPr>
        <w:t>费用管理：必要时可以进行收费项目的输入（卫生、材料、治疗、处置部分项目），欠费名单打印（包含医保的欠费）。</w:t>
      </w:r>
    </w:p>
    <w:p>
      <w:pPr>
        <w:numPr>
          <w:ilvl w:val="0"/>
          <w:numId w:val="5"/>
        </w:numPr>
      </w:pPr>
      <w:r>
        <w:rPr>
          <w:rFonts w:hint="eastAsia"/>
        </w:rPr>
        <w:t>药品管理：可以满足药品的核收，退药申请等病房药品管理功能。</w:t>
      </w:r>
    </w:p>
    <w:p>
      <w:pPr>
        <w:numPr>
          <w:ilvl w:val="0"/>
          <w:numId w:val="5"/>
        </w:numPr>
      </w:pPr>
      <w:r>
        <w:rPr>
          <w:rFonts w:hint="eastAsia"/>
        </w:rPr>
        <w:t>医保管理：能对住院患者做预结算管理，了解是否欠费。</w:t>
      </w:r>
    </w:p>
    <w:p>
      <w:pPr>
        <w:numPr>
          <w:ilvl w:val="0"/>
          <w:numId w:val="5"/>
        </w:numPr>
      </w:pPr>
      <w:r>
        <w:rPr>
          <w:rFonts w:hint="eastAsia"/>
        </w:rPr>
        <w:t>住院患者综合查询：患者所在床位、状态、医嘱、费用、检验检查结果等</w:t>
      </w:r>
    </w:p>
    <w:p>
      <w:pPr>
        <w:numPr>
          <w:ilvl w:val="0"/>
          <w:numId w:val="5"/>
        </w:numPr>
      </w:pPr>
      <w:r>
        <w:rPr>
          <w:rFonts w:hint="eastAsia"/>
        </w:rPr>
        <w:t>护士工作站的各种信息应来自入院登记和住院收费等多个分系统，同时提供直接录入。护士工作站产生的信息应回馈到药房、住院收费、检验检查等分系统，可打印各种检查申请单及包括检验条形码，可查询检查、检验结果。</w:t>
      </w:r>
    </w:p>
    <w:p>
      <w:pPr>
        <w:numPr>
          <w:ilvl w:val="0"/>
          <w:numId w:val="5"/>
        </w:numPr>
      </w:pPr>
      <w:r>
        <w:rPr>
          <w:rFonts w:hint="eastAsia"/>
        </w:rPr>
        <w:t>单据打印：支持打印床头卡、医嘱执行单、检验标签、检验检查结果单、费用清单、催缴通知单等</w:t>
      </w:r>
    </w:p>
    <w:p>
      <w:pPr>
        <w:numPr>
          <w:ilvl w:val="0"/>
          <w:numId w:val="5"/>
        </w:numPr>
      </w:pPr>
      <w:r>
        <w:rPr>
          <w:rFonts w:hint="eastAsia"/>
        </w:rPr>
        <w:t>对特殊病区的全面支持。支持对ICU、手术室、母婴同室转入转出的特殊处理；支持在转床、转区、转ICU时自动生成相关医嘱。</w:t>
      </w:r>
    </w:p>
    <w:p>
      <w:pPr>
        <w:numPr>
          <w:ilvl w:val="0"/>
          <w:numId w:val="5"/>
        </w:numPr>
      </w:pPr>
      <w:r>
        <w:rPr>
          <w:rFonts w:hint="eastAsia"/>
        </w:rPr>
        <w:t>能满足病人费用查询，显示医保、公费费别查询；医嘱状态查询，医嘱执行情况查询，患者状态查询（有图表的，可按床位和护理级别、病危显示），病床状态查询，药品查询、诊疗项目查询，患者费用清单查询、打印；可进行护士工作量的统计，并能按需选择时间段统计；可查询科室各类收入、病床使用率等数据。</w:t>
      </w:r>
    </w:p>
    <w:p>
      <w:pPr>
        <w:numPr>
          <w:ilvl w:val="0"/>
          <w:numId w:val="5"/>
        </w:numPr>
      </w:pPr>
      <w:r>
        <w:rPr>
          <w:rFonts w:hint="eastAsia"/>
        </w:rPr>
        <w:t>支持产程图的绘制</w:t>
      </w:r>
    </w:p>
    <w:p>
      <w:pPr>
        <w:numPr>
          <w:ilvl w:val="0"/>
          <w:numId w:val="5"/>
        </w:numPr>
      </w:pPr>
      <w:r>
        <w:rPr>
          <w:rFonts w:hint="eastAsia"/>
        </w:rPr>
        <w:t>病人的体温单根据录入病人体温、脉搏、血压等数据自动产生图形表格。</w:t>
      </w:r>
    </w:p>
    <w:p>
      <w:pPr>
        <w:numPr>
          <w:ilvl w:val="0"/>
          <w:numId w:val="5"/>
        </w:numPr>
      </w:pPr>
      <w:r>
        <w:rPr>
          <w:rFonts w:hint="eastAsia"/>
        </w:rPr>
        <w:t>产科支持新生儿登记</w:t>
      </w:r>
    </w:p>
    <w:p>
      <w:pPr>
        <w:pStyle w:val="6"/>
        <w:tabs>
          <w:tab w:val="left" w:pos="576"/>
        </w:tabs>
        <w:spacing w:before="20" w:after="20" w:line="240" w:lineRule="auto"/>
        <w:ind w:left="425" w:hanging="425"/>
        <w:jc w:val="left"/>
      </w:pPr>
      <w:bookmarkStart w:id="55" w:name="_Toc31372"/>
      <w:r>
        <w:t>8.</w:t>
      </w:r>
      <w:r>
        <w:rPr>
          <w:rFonts w:hint="eastAsia"/>
        </w:rPr>
        <w:t>医技管理系统</w:t>
      </w:r>
      <w:bookmarkEnd w:id="55"/>
    </w:p>
    <w:p>
      <w:r>
        <w:t>完成医技科室接收医嘱、执行结果填写的管理系统</w:t>
      </w:r>
    </w:p>
    <w:p>
      <w:pPr>
        <w:pStyle w:val="46"/>
        <w:ind w:left="420"/>
        <w:rPr>
          <w:rFonts w:hint="eastAsia"/>
          <w:b/>
          <w:lang w:eastAsia="zh-CN"/>
        </w:rPr>
      </w:pPr>
      <w:r>
        <w:rPr>
          <w:rFonts w:hint="eastAsia"/>
          <w:b/>
          <w:lang w:eastAsia="zh-CN"/>
        </w:rPr>
        <w:t>功能升级要求：</w:t>
      </w:r>
    </w:p>
    <w:p>
      <w:pPr>
        <w:numPr>
          <w:ilvl w:val="0"/>
          <w:numId w:val="6"/>
        </w:numPr>
      </w:pPr>
      <w:r>
        <w:t>提供执行登记、取消、查询等基本功能</w:t>
      </w:r>
    </w:p>
    <w:p>
      <w:pPr>
        <w:numPr>
          <w:ilvl w:val="0"/>
          <w:numId w:val="6"/>
        </w:numPr>
      </w:pPr>
      <w:r>
        <w:t>支持执行操作的批处理</w:t>
      </w:r>
    </w:p>
    <w:p>
      <w:pPr>
        <w:numPr>
          <w:ilvl w:val="0"/>
          <w:numId w:val="6"/>
        </w:numPr>
      </w:pPr>
      <w:r>
        <w:t>支持项目执行过程中的补费</w:t>
      </w:r>
    </w:p>
    <w:p>
      <w:pPr>
        <w:numPr>
          <w:ilvl w:val="0"/>
          <w:numId w:val="6"/>
        </w:numPr>
      </w:pPr>
      <w:r>
        <w:t>提供显示所有申请病人名单，查验收费信息，提前作好待检准备功能。</w:t>
      </w:r>
    </w:p>
    <w:p>
      <w:pPr>
        <w:numPr>
          <w:ilvl w:val="0"/>
          <w:numId w:val="6"/>
        </w:numPr>
      </w:pPr>
      <w:r>
        <w:t>支持与医生工作站协同使用，直接提取申请病人信息，并可根据急诊、重症（根据医生申请）病人显示的优先级别调整受检顺序；同时支持单独使用，进行病人的预约登记及排程功能。</w:t>
      </w:r>
    </w:p>
    <w:p>
      <w:pPr>
        <w:numPr>
          <w:ilvl w:val="0"/>
          <w:numId w:val="6"/>
        </w:numPr>
      </w:pPr>
      <w:r>
        <w:t>支持医技科室根据检查需要进行补录医嘱，补记费用操作。</w:t>
      </w:r>
    </w:p>
    <w:p>
      <w:pPr>
        <w:numPr>
          <w:ilvl w:val="0"/>
          <w:numId w:val="6"/>
        </w:numPr>
      </w:pPr>
      <w:r>
        <w:t>支持医技科室对已有医嘱进行附加费用的登记处理。</w:t>
      </w:r>
    </w:p>
    <w:p>
      <w:pPr>
        <w:numPr>
          <w:ilvl w:val="0"/>
          <w:numId w:val="6"/>
        </w:numPr>
      </w:pPr>
      <w:r>
        <w:t>可对皮试医嘱进行结果登记，标注阴阳性结果。</w:t>
      </w:r>
    </w:p>
    <w:p>
      <w:pPr>
        <w:numPr>
          <w:ilvl w:val="0"/>
          <w:numId w:val="6"/>
        </w:numPr>
      </w:pPr>
      <w:r>
        <w:t>可作为标本采集中心，自动根据病人信息、标本信息打印标本条码。</w:t>
      </w:r>
    </w:p>
    <w:p>
      <w:pPr>
        <w:numPr>
          <w:ilvl w:val="0"/>
          <w:numId w:val="6"/>
        </w:numPr>
      </w:pPr>
      <w:r>
        <w:t>系统随时提供检查、检验的诊疗参考，医技医师可随时查看相应病情的诊疗方案，辅助医技医师对病人进行检查、检验。</w:t>
      </w:r>
    </w:p>
    <w:p>
      <w:pPr>
        <w:numPr>
          <w:ilvl w:val="0"/>
          <w:numId w:val="6"/>
        </w:numPr>
      </w:pPr>
      <w:r>
        <w:t>提供与“住院电子病历系统”完全等同的功能书写诊断报告。</w:t>
      </w:r>
    </w:p>
    <w:p>
      <w:pPr>
        <w:numPr>
          <w:ilvl w:val="0"/>
          <w:numId w:val="6"/>
        </w:numPr>
      </w:pPr>
      <w:r>
        <w:t>直接套用模板填写病人的检查、检验报告，将报告结果全部指标化，使医师的填写更加快捷、方便，同时避免检查、检验项目的遗漏。</w:t>
      </w:r>
    </w:p>
    <w:p>
      <w:pPr>
        <w:pStyle w:val="6"/>
        <w:tabs>
          <w:tab w:val="left" w:pos="576"/>
        </w:tabs>
        <w:spacing w:before="20" w:after="20" w:line="240" w:lineRule="auto"/>
        <w:ind w:left="425" w:hanging="425"/>
        <w:jc w:val="left"/>
      </w:pPr>
      <w:bookmarkStart w:id="56" w:name="_Toc30035"/>
      <w:r>
        <w:t>9.</w:t>
      </w:r>
      <w:r>
        <w:rPr>
          <w:rFonts w:hint="eastAsia"/>
        </w:rPr>
        <w:t>综合查询与统计报表</w:t>
      </w:r>
      <w:bookmarkEnd w:id="56"/>
    </w:p>
    <w:p>
      <w:pPr>
        <w:rPr>
          <w:rFonts w:hint="eastAsia" w:ascii="Calibri" w:hAnsi="Calibri" w:eastAsia="宋体" w:cs="Times New Roman"/>
          <w:b/>
          <w:kern w:val="0"/>
          <w:sz w:val="24"/>
          <w:szCs w:val="24"/>
          <w:lang w:val="en-US" w:eastAsia="zh-CN" w:bidi="en-US"/>
        </w:rPr>
      </w:pPr>
      <w:r>
        <w:rPr>
          <w:rFonts w:cs="Arial"/>
          <w:b/>
        </w:rPr>
        <w:t></w:t>
      </w:r>
      <w:r>
        <w:rPr>
          <w:rFonts w:hint="eastAsia" w:ascii="Calibri" w:hAnsi="Calibri" w:eastAsia="宋体" w:cs="Times New Roman"/>
          <w:b/>
          <w:kern w:val="0"/>
          <w:sz w:val="24"/>
          <w:szCs w:val="24"/>
          <w:lang w:val="en-US" w:eastAsia="zh-CN" w:bidi="en-US"/>
        </w:rPr>
        <w:tab/>
      </w:r>
      <w:r>
        <w:rPr>
          <w:rFonts w:hint="eastAsia" w:ascii="Calibri" w:hAnsi="Calibri" w:eastAsia="宋体" w:cs="Times New Roman"/>
          <w:b/>
          <w:kern w:val="0"/>
          <w:sz w:val="24"/>
          <w:szCs w:val="24"/>
          <w:lang w:val="en-US" w:eastAsia="zh-CN" w:bidi="en-US"/>
        </w:rPr>
        <w:t>功能升级要求：</w:t>
      </w:r>
    </w:p>
    <w:p>
      <w:pPr>
        <w:numPr>
          <w:ilvl w:val="0"/>
          <w:numId w:val="0"/>
        </w:numPr>
        <w:ind w:leftChars="0"/>
        <w:rPr>
          <w:lang w:eastAsia="zh-CN"/>
        </w:rPr>
      </w:pPr>
      <w:r>
        <w:rPr>
          <w:rFonts w:hint="eastAsia"/>
          <w:lang w:val="en-US" w:eastAsia="zh-CN"/>
        </w:rPr>
        <w:t>1.</w:t>
      </w:r>
      <w:r>
        <w:rPr>
          <w:rFonts w:hint="eastAsia"/>
          <w:lang w:eastAsia="zh-CN"/>
        </w:rPr>
        <w:t>支持门诊、急诊统计报表：门、急诊日报表、月报表、季报表、半年报表和年报表；</w:t>
      </w:r>
    </w:p>
    <w:p>
      <w:pPr>
        <w:numPr>
          <w:ilvl w:val="0"/>
          <w:numId w:val="0"/>
        </w:numPr>
        <w:ind w:leftChars="0"/>
        <w:rPr>
          <w:lang w:eastAsia="zh-CN"/>
        </w:rPr>
      </w:pPr>
      <w:r>
        <w:rPr>
          <w:rFonts w:hint="eastAsia"/>
          <w:lang w:val="en-US" w:eastAsia="zh-CN"/>
        </w:rPr>
        <w:t>2.</w:t>
      </w:r>
      <w:r>
        <w:rPr>
          <w:rFonts w:hint="eastAsia"/>
          <w:lang w:eastAsia="zh-CN"/>
        </w:rPr>
        <w:t>支持住院结算相关统计报表：人数、各类医保占比情况、费用分析等日报表、月报表、季报表、半年报表和年报表；</w:t>
      </w:r>
    </w:p>
    <w:p>
      <w:pPr>
        <w:numPr>
          <w:ilvl w:val="0"/>
          <w:numId w:val="0"/>
        </w:numPr>
        <w:ind w:leftChars="0"/>
        <w:rPr>
          <w:lang w:eastAsia="zh-CN"/>
        </w:rPr>
      </w:pPr>
      <w:r>
        <w:rPr>
          <w:rFonts w:hint="eastAsia"/>
          <w:lang w:val="en-US" w:eastAsia="zh-CN"/>
        </w:rPr>
        <w:t>3.</w:t>
      </w:r>
      <w:r>
        <w:rPr>
          <w:rFonts w:hint="eastAsia"/>
          <w:lang w:eastAsia="zh-CN"/>
        </w:rPr>
        <w:t>支持病房统计报表：病房日报表、月报表、季报表、半年报表和年报表；</w:t>
      </w:r>
    </w:p>
    <w:p>
      <w:pPr>
        <w:numPr>
          <w:ilvl w:val="0"/>
          <w:numId w:val="0"/>
        </w:numPr>
        <w:ind w:leftChars="0"/>
      </w:pPr>
      <w:r>
        <w:rPr>
          <w:rFonts w:hint="eastAsia"/>
          <w:lang w:val="en-US" w:eastAsia="zh-CN"/>
        </w:rPr>
        <w:t>4.</w:t>
      </w:r>
      <w:r>
        <w:rPr>
          <w:rFonts w:hint="eastAsia"/>
        </w:rPr>
        <w:t>支持门诊挂号统计；</w:t>
      </w:r>
    </w:p>
    <w:p>
      <w:pPr>
        <w:numPr>
          <w:ilvl w:val="0"/>
          <w:numId w:val="0"/>
        </w:numPr>
        <w:ind w:leftChars="0"/>
      </w:pPr>
      <w:r>
        <w:rPr>
          <w:rFonts w:hint="eastAsia"/>
          <w:lang w:val="en-US" w:eastAsia="zh-CN"/>
        </w:rPr>
        <w:t>5.</w:t>
      </w:r>
      <w:r>
        <w:rPr>
          <w:rFonts w:hint="eastAsia"/>
        </w:rPr>
        <w:t>病人分类统计报表；</w:t>
      </w:r>
    </w:p>
    <w:p>
      <w:pPr>
        <w:numPr>
          <w:ilvl w:val="0"/>
          <w:numId w:val="0"/>
        </w:numPr>
        <w:ind w:leftChars="0"/>
        <w:rPr>
          <w:lang w:eastAsia="zh-CN"/>
        </w:rPr>
      </w:pPr>
      <w:r>
        <w:rPr>
          <w:rFonts w:hint="eastAsia"/>
          <w:lang w:val="en-US" w:eastAsia="zh-CN"/>
        </w:rPr>
        <w:t>6.</w:t>
      </w:r>
      <w:r>
        <w:rPr>
          <w:rFonts w:hint="eastAsia"/>
          <w:lang w:eastAsia="zh-CN"/>
        </w:rPr>
        <w:t>对卫生主管部门的报表：</w:t>
      </w:r>
    </w:p>
    <w:p>
      <w:pPr>
        <w:numPr>
          <w:ilvl w:val="0"/>
          <w:numId w:val="0"/>
        </w:numPr>
        <w:ind w:leftChars="0"/>
        <w:rPr>
          <w:lang w:eastAsia="zh-CN"/>
        </w:rPr>
      </w:pPr>
      <w:r>
        <w:rPr>
          <w:rFonts w:hint="eastAsia"/>
          <w:lang w:val="en-US" w:eastAsia="zh-CN"/>
        </w:rPr>
        <w:t>7.</w:t>
      </w:r>
      <w:r>
        <w:rPr>
          <w:rFonts w:hint="eastAsia"/>
          <w:lang w:eastAsia="zh-CN"/>
        </w:rPr>
        <w:t xml:space="preserve">医院住院病人疾病分类报表； </w:t>
      </w:r>
    </w:p>
    <w:p>
      <w:pPr>
        <w:numPr>
          <w:ilvl w:val="0"/>
          <w:numId w:val="0"/>
        </w:numPr>
        <w:ind w:leftChars="0"/>
        <w:rPr>
          <w:lang w:eastAsia="zh-CN"/>
        </w:rPr>
      </w:pPr>
      <w:r>
        <w:rPr>
          <w:rFonts w:hint="eastAsia"/>
          <w:lang w:val="en-US" w:eastAsia="zh-CN"/>
        </w:rPr>
        <w:t>8.</w:t>
      </w:r>
      <w:r>
        <w:rPr>
          <w:rFonts w:hint="eastAsia"/>
          <w:lang w:eastAsia="zh-CN"/>
        </w:rPr>
        <w:t>卫生行政主管部门规定的其他法定报表；</w:t>
      </w:r>
    </w:p>
    <w:p>
      <w:pPr>
        <w:numPr>
          <w:ilvl w:val="0"/>
          <w:numId w:val="0"/>
        </w:numPr>
        <w:ind w:leftChars="0"/>
      </w:pPr>
      <w:r>
        <w:rPr>
          <w:rFonts w:hint="eastAsia"/>
          <w:lang w:val="en-US" w:eastAsia="zh-CN"/>
        </w:rPr>
        <w:t>9.</w:t>
      </w:r>
      <w:r>
        <w:rPr>
          <w:rFonts w:hint="eastAsia"/>
        </w:rPr>
        <w:t>门诊工作情况；</w:t>
      </w:r>
    </w:p>
    <w:p>
      <w:pPr>
        <w:numPr>
          <w:ilvl w:val="0"/>
          <w:numId w:val="0"/>
        </w:numPr>
        <w:ind w:leftChars="0"/>
        <w:rPr>
          <w:lang w:eastAsia="zh-CN"/>
        </w:rPr>
      </w:pPr>
      <w:r>
        <w:rPr>
          <w:rFonts w:hint="eastAsia"/>
          <w:lang w:val="en-US" w:eastAsia="zh-CN"/>
        </w:rPr>
        <w:t>10.</w:t>
      </w:r>
      <w:r>
        <w:rPr>
          <w:rFonts w:hint="eastAsia"/>
          <w:lang w:eastAsia="zh-CN"/>
        </w:rPr>
        <w:t>病房</w:t>
      </w:r>
      <w:r>
        <w:rPr>
          <w:lang w:eastAsia="zh-CN"/>
        </w:rPr>
        <w:t>(</w:t>
      </w:r>
      <w:r>
        <w:rPr>
          <w:rFonts w:hint="eastAsia"/>
          <w:lang w:eastAsia="zh-CN"/>
        </w:rPr>
        <w:t>病区</w:t>
      </w:r>
      <w:r>
        <w:rPr>
          <w:lang w:eastAsia="zh-CN"/>
        </w:rPr>
        <w:t>)</w:t>
      </w:r>
      <w:r>
        <w:rPr>
          <w:rFonts w:hint="eastAsia"/>
          <w:lang w:eastAsia="zh-CN"/>
        </w:rPr>
        <w:t>工作情况</w:t>
      </w:r>
      <w:r>
        <w:rPr>
          <w:lang w:eastAsia="zh-CN"/>
        </w:rPr>
        <w:t>(</w:t>
      </w:r>
      <w:r>
        <w:rPr>
          <w:rFonts w:hint="eastAsia"/>
          <w:lang w:eastAsia="zh-CN"/>
        </w:rPr>
        <w:t>含病房床位周转情况；</w:t>
      </w:r>
    </w:p>
    <w:p>
      <w:pPr>
        <w:numPr>
          <w:ilvl w:val="0"/>
          <w:numId w:val="0"/>
        </w:numPr>
        <w:ind w:leftChars="0"/>
      </w:pPr>
      <w:r>
        <w:rPr>
          <w:rFonts w:hint="eastAsia"/>
          <w:lang w:val="en-US" w:eastAsia="zh-CN"/>
        </w:rPr>
        <w:t>11.</w:t>
      </w:r>
      <w:r>
        <w:rPr>
          <w:rFonts w:hint="eastAsia"/>
        </w:rPr>
        <w:t>出院病人分病种统计；</w:t>
      </w:r>
    </w:p>
    <w:p>
      <w:pPr>
        <w:numPr>
          <w:ilvl w:val="0"/>
          <w:numId w:val="0"/>
        </w:numPr>
        <w:ind w:leftChars="0"/>
      </w:pPr>
      <w:r>
        <w:rPr>
          <w:rFonts w:hint="eastAsia"/>
          <w:lang w:val="en-US" w:eastAsia="zh-CN"/>
        </w:rPr>
        <w:t>12.</w:t>
      </w:r>
      <w:r>
        <w:rPr>
          <w:rFonts w:hint="eastAsia"/>
        </w:rPr>
        <w:t xml:space="preserve">手术与麻醉情况； </w:t>
      </w:r>
    </w:p>
    <w:p>
      <w:pPr>
        <w:numPr>
          <w:ilvl w:val="0"/>
          <w:numId w:val="0"/>
        </w:numPr>
        <w:ind w:leftChars="0"/>
      </w:pPr>
      <w:r>
        <w:rPr>
          <w:rFonts w:hint="eastAsia"/>
          <w:lang w:val="en-US" w:eastAsia="zh-CN"/>
        </w:rPr>
        <w:t>13.</w:t>
      </w:r>
      <w:r>
        <w:rPr>
          <w:rFonts w:hint="eastAsia"/>
        </w:rPr>
        <w:t>医院工作指标；</w:t>
      </w:r>
    </w:p>
    <w:p>
      <w:pPr>
        <w:numPr>
          <w:ilvl w:val="0"/>
          <w:numId w:val="0"/>
        </w:numPr>
        <w:ind w:leftChars="0"/>
        <w:rPr>
          <w:lang w:eastAsia="zh-CN"/>
        </w:rPr>
      </w:pPr>
      <w:r>
        <w:rPr>
          <w:rFonts w:hint="eastAsia"/>
          <w:lang w:val="en-US" w:eastAsia="zh-CN"/>
        </w:rPr>
        <w:t>14.</w:t>
      </w:r>
      <w:r>
        <w:rPr>
          <w:rFonts w:hint="eastAsia"/>
          <w:lang w:eastAsia="zh-CN"/>
        </w:rPr>
        <w:t>医院的社会、经济效益统计；</w:t>
      </w:r>
    </w:p>
    <w:p>
      <w:pPr>
        <w:numPr>
          <w:ilvl w:val="0"/>
          <w:numId w:val="0"/>
        </w:numPr>
        <w:ind w:leftChars="0"/>
        <w:rPr>
          <w:lang w:eastAsia="zh-CN"/>
        </w:rPr>
      </w:pPr>
      <w:r>
        <w:rPr>
          <w:rFonts w:hint="eastAsia"/>
          <w:lang w:val="en-US" w:eastAsia="zh-CN"/>
        </w:rPr>
        <w:t>15.</w:t>
      </w:r>
      <w:r>
        <w:rPr>
          <w:rFonts w:hint="eastAsia"/>
          <w:lang w:eastAsia="zh-CN"/>
        </w:rPr>
        <w:t>医院医疗收入分析、统计。</w:t>
      </w:r>
    </w:p>
    <w:p>
      <w:pPr>
        <w:numPr>
          <w:ilvl w:val="0"/>
          <w:numId w:val="0"/>
        </w:numPr>
        <w:ind w:leftChars="0"/>
        <w:rPr>
          <w:lang w:eastAsia="zh-CN"/>
        </w:rPr>
      </w:pPr>
      <w:r>
        <w:rPr>
          <w:rFonts w:hint="eastAsia"/>
          <w:lang w:val="en-US" w:eastAsia="zh-CN"/>
        </w:rPr>
        <w:t>16.</w:t>
      </w:r>
      <w:r>
        <w:rPr>
          <w:rFonts w:hint="eastAsia"/>
          <w:lang w:eastAsia="zh-CN"/>
        </w:rPr>
        <w:t>医院药品进、出库额管理，会计核算和统计分析。</w:t>
      </w:r>
    </w:p>
    <w:p>
      <w:pPr>
        <w:numPr>
          <w:ilvl w:val="0"/>
          <w:numId w:val="0"/>
        </w:numPr>
        <w:ind w:leftChars="0"/>
        <w:rPr>
          <w:lang w:eastAsia="zh-CN"/>
        </w:rPr>
      </w:pPr>
      <w:r>
        <w:rPr>
          <w:rFonts w:hint="eastAsia"/>
          <w:lang w:val="en-US" w:eastAsia="zh-CN"/>
        </w:rPr>
        <w:t>17.</w:t>
      </w:r>
      <w:r>
        <w:rPr>
          <w:rFonts w:hint="eastAsia"/>
          <w:lang w:eastAsia="zh-CN"/>
        </w:rPr>
        <w:t>医院卫材进、出库额管理，会计核算和统计分析。</w:t>
      </w:r>
    </w:p>
    <w:p>
      <w:pPr>
        <w:numPr>
          <w:ilvl w:val="0"/>
          <w:numId w:val="0"/>
        </w:numPr>
        <w:ind w:leftChars="0"/>
        <w:rPr>
          <w:lang w:eastAsia="zh-CN"/>
        </w:rPr>
      </w:pPr>
      <w:r>
        <w:rPr>
          <w:rFonts w:hint="eastAsia"/>
          <w:lang w:val="en-US" w:eastAsia="zh-CN"/>
        </w:rPr>
        <w:t>18.</w:t>
      </w:r>
      <w:r>
        <w:rPr>
          <w:rFonts w:hint="eastAsia"/>
          <w:lang w:eastAsia="zh-CN"/>
        </w:rPr>
        <w:t>医院设备进、出库额管理，会计核算和统计分析。</w:t>
      </w:r>
    </w:p>
    <w:p>
      <w:pPr>
        <w:numPr>
          <w:ilvl w:val="0"/>
          <w:numId w:val="0"/>
        </w:numPr>
        <w:ind w:leftChars="0"/>
        <w:rPr>
          <w:lang w:eastAsia="zh-CN"/>
        </w:rPr>
      </w:pPr>
      <w:r>
        <w:rPr>
          <w:rFonts w:hint="eastAsia"/>
          <w:lang w:val="en-US" w:eastAsia="zh-CN"/>
        </w:rPr>
        <w:t>19.</w:t>
      </w:r>
      <w:r>
        <w:rPr>
          <w:rFonts w:hint="eastAsia"/>
          <w:lang w:eastAsia="zh-CN"/>
        </w:rPr>
        <w:t>医院物资进、出库额管理，会计核算和统计分析。</w:t>
      </w:r>
    </w:p>
    <w:p>
      <w:pPr>
        <w:numPr>
          <w:ilvl w:val="0"/>
          <w:numId w:val="0"/>
        </w:numPr>
        <w:ind w:leftChars="0"/>
        <w:rPr>
          <w:lang w:eastAsia="zh-CN"/>
        </w:rPr>
      </w:pPr>
      <w:r>
        <w:rPr>
          <w:rFonts w:hint="eastAsia"/>
          <w:lang w:val="en-US" w:eastAsia="zh-CN"/>
        </w:rPr>
        <w:t>20.</w:t>
      </w:r>
      <w:r>
        <w:rPr>
          <w:rFonts w:hint="eastAsia"/>
          <w:lang w:eastAsia="zh-CN"/>
        </w:rPr>
        <w:t>医务、护理管理质量和分析信息。</w:t>
      </w:r>
    </w:p>
    <w:p>
      <w:pPr>
        <w:numPr>
          <w:ilvl w:val="0"/>
          <w:numId w:val="0"/>
        </w:numPr>
        <w:ind w:leftChars="0"/>
        <w:rPr>
          <w:lang w:eastAsia="zh-CN"/>
        </w:rPr>
      </w:pPr>
      <w:r>
        <w:rPr>
          <w:rFonts w:hint="eastAsia"/>
          <w:lang w:val="en-US" w:eastAsia="zh-CN"/>
        </w:rPr>
        <w:t>21.</w:t>
      </w:r>
      <w:r>
        <w:rPr>
          <w:rFonts w:hint="eastAsia"/>
          <w:lang w:eastAsia="zh-CN"/>
        </w:rPr>
        <w:t>医技科室收入统计、分析，医保费用统计信息。</w:t>
      </w:r>
    </w:p>
    <w:p>
      <w:pPr>
        <w:numPr>
          <w:ilvl w:val="0"/>
          <w:numId w:val="0"/>
        </w:numPr>
        <w:ind w:leftChars="0"/>
      </w:pPr>
      <w:r>
        <w:rPr>
          <w:rFonts w:hint="eastAsia"/>
          <w:lang w:val="en-US" w:eastAsia="zh-CN"/>
        </w:rPr>
        <w:t>22.</w:t>
      </w:r>
      <w:r>
        <w:rPr>
          <w:rFonts w:hint="eastAsia"/>
        </w:rPr>
        <w:t>全院现金收入概况表</w:t>
      </w:r>
    </w:p>
    <w:p>
      <w:pPr>
        <w:numPr>
          <w:ilvl w:val="0"/>
          <w:numId w:val="0"/>
        </w:numPr>
        <w:ind w:leftChars="0"/>
      </w:pPr>
      <w:r>
        <w:rPr>
          <w:rFonts w:hint="eastAsia"/>
          <w:lang w:val="en-US" w:eastAsia="zh-CN"/>
        </w:rPr>
        <w:t>23.</w:t>
      </w:r>
      <w:r>
        <w:rPr>
          <w:rFonts w:hint="eastAsia"/>
        </w:rPr>
        <w:t>全院病人费用汇总</w:t>
      </w:r>
    </w:p>
    <w:p>
      <w:pPr>
        <w:numPr>
          <w:ilvl w:val="0"/>
          <w:numId w:val="0"/>
        </w:numPr>
        <w:ind w:leftChars="0"/>
      </w:pPr>
      <w:r>
        <w:rPr>
          <w:rFonts w:hint="eastAsia"/>
          <w:lang w:val="en-US" w:eastAsia="zh-CN"/>
        </w:rPr>
        <w:t>24.</w:t>
      </w:r>
      <w:r>
        <w:rPr>
          <w:rFonts w:hint="eastAsia"/>
        </w:rPr>
        <w:t>分科病人费用</w:t>
      </w:r>
    </w:p>
    <w:p>
      <w:pPr>
        <w:numPr>
          <w:ilvl w:val="0"/>
          <w:numId w:val="0"/>
        </w:numPr>
        <w:ind w:leftChars="0"/>
        <w:rPr>
          <w:lang w:eastAsia="zh-CN"/>
        </w:rPr>
      </w:pPr>
      <w:r>
        <w:rPr>
          <w:rFonts w:hint="eastAsia"/>
          <w:lang w:val="en-US" w:eastAsia="zh-CN"/>
        </w:rPr>
        <w:t>25.</w:t>
      </w:r>
      <w:r>
        <w:rPr>
          <w:rFonts w:hint="eastAsia"/>
          <w:lang w:eastAsia="zh-CN"/>
        </w:rPr>
        <w:t>全院已结、未结费用汇总表</w:t>
      </w:r>
    </w:p>
    <w:p>
      <w:pPr>
        <w:numPr>
          <w:ilvl w:val="0"/>
          <w:numId w:val="0"/>
        </w:numPr>
        <w:ind w:leftChars="0"/>
      </w:pPr>
      <w:r>
        <w:rPr>
          <w:rFonts w:hint="eastAsia"/>
          <w:lang w:val="en-US" w:eastAsia="zh-CN"/>
        </w:rPr>
        <w:t>26.</w:t>
      </w:r>
      <w:r>
        <w:rPr>
          <w:rFonts w:hint="eastAsia"/>
        </w:rPr>
        <w:t>分科未结费用汇总表</w:t>
      </w:r>
    </w:p>
    <w:p>
      <w:pPr>
        <w:numPr>
          <w:ilvl w:val="0"/>
          <w:numId w:val="0"/>
        </w:numPr>
        <w:ind w:leftChars="0"/>
      </w:pPr>
      <w:r>
        <w:rPr>
          <w:rFonts w:hint="eastAsia"/>
          <w:lang w:val="en-US" w:eastAsia="zh-CN"/>
        </w:rPr>
        <w:t>27.</w:t>
      </w:r>
      <w:r>
        <w:rPr>
          <w:rFonts w:hint="eastAsia"/>
        </w:rPr>
        <w:t>全院预交款汇总表</w:t>
      </w:r>
    </w:p>
    <w:p>
      <w:pPr>
        <w:numPr>
          <w:ilvl w:val="0"/>
          <w:numId w:val="0"/>
        </w:numPr>
        <w:ind w:leftChars="0"/>
      </w:pPr>
      <w:r>
        <w:rPr>
          <w:rFonts w:hint="eastAsia"/>
          <w:lang w:val="en-US" w:eastAsia="zh-CN"/>
        </w:rPr>
        <w:t>28.</w:t>
      </w:r>
      <w:r>
        <w:rPr>
          <w:rFonts w:hint="eastAsia"/>
        </w:rPr>
        <w:t>医院收入分析</w:t>
      </w:r>
    </w:p>
    <w:p>
      <w:pPr>
        <w:numPr>
          <w:ilvl w:val="0"/>
          <w:numId w:val="0"/>
        </w:numPr>
        <w:ind w:leftChars="0"/>
      </w:pPr>
      <w:r>
        <w:rPr>
          <w:rFonts w:hint="eastAsia"/>
          <w:lang w:val="en-US" w:eastAsia="zh-CN"/>
        </w:rPr>
        <w:t>29.</w:t>
      </w:r>
      <w:r>
        <w:rPr>
          <w:rFonts w:hint="eastAsia"/>
        </w:rPr>
        <w:t>病人费别分类汇总表</w:t>
      </w:r>
    </w:p>
    <w:p>
      <w:pPr>
        <w:numPr>
          <w:ilvl w:val="0"/>
          <w:numId w:val="0"/>
        </w:numPr>
        <w:ind w:leftChars="0"/>
      </w:pPr>
      <w:r>
        <w:rPr>
          <w:rFonts w:hint="eastAsia"/>
          <w:lang w:val="en-US" w:eastAsia="zh-CN"/>
        </w:rPr>
        <w:t>30.</w:t>
      </w:r>
      <w:r>
        <w:rPr>
          <w:rFonts w:hint="eastAsia"/>
        </w:rPr>
        <w:t>收费项目与价目</w:t>
      </w:r>
    </w:p>
    <w:p>
      <w:pPr>
        <w:numPr>
          <w:ilvl w:val="0"/>
          <w:numId w:val="0"/>
        </w:numPr>
        <w:ind w:leftChars="0"/>
      </w:pPr>
      <w:r>
        <w:rPr>
          <w:rFonts w:hint="eastAsia"/>
          <w:lang w:val="en-US" w:eastAsia="zh-CN"/>
        </w:rPr>
        <w:t>31.</w:t>
      </w:r>
      <w:r>
        <w:rPr>
          <w:rFonts w:hint="eastAsia"/>
        </w:rPr>
        <w:t>收费物价清单</w:t>
      </w:r>
    </w:p>
    <w:p>
      <w:pPr>
        <w:numPr>
          <w:ilvl w:val="0"/>
          <w:numId w:val="0"/>
        </w:numPr>
        <w:ind w:leftChars="0"/>
      </w:pPr>
      <w:r>
        <w:rPr>
          <w:rFonts w:hint="eastAsia"/>
          <w:lang w:val="en-US" w:eastAsia="zh-CN"/>
        </w:rPr>
        <w:t>32.</w:t>
      </w:r>
      <w:r>
        <w:rPr>
          <w:rFonts w:hint="eastAsia"/>
        </w:rPr>
        <w:t>科室资源状况表</w:t>
      </w:r>
    </w:p>
    <w:p>
      <w:pPr>
        <w:numPr>
          <w:ilvl w:val="0"/>
          <w:numId w:val="0"/>
        </w:numPr>
        <w:ind w:leftChars="0"/>
      </w:pPr>
      <w:r>
        <w:rPr>
          <w:rFonts w:hint="eastAsia"/>
          <w:lang w:val="en-US" w:eastAsia="zh-CN"/>
        </w:rPr>
        <w:t>33.</w:t>
      </w:r>
      <w:r>
        <w:rPr>
          <w:rFonts w:hint="eastAsia"/>
        </w:rPr>
        <w:t>门诊应诊安排报表</w:t>
      </w:r>
    </w:p>
    <w:p>
      <w:pPr>
        <w:numPr>
          <w:ilvl w:val="0"/>
          <w:numId w:val="0"/>
        </w:numPr>
        <w:ind w:leftChars="0"/>
      </w:pPr>
      <w:r>
        <w:rPr>
          <w:rFonts w:hint="eastAsia"/>
          <w:lang w:val="en-US" w:eastAsia="zh-CN"/>
        </w:rPr>
        <w:t>34.</w:t>
      </w:r>
      <w:r>
        <w:rPr>
          <w:rFonts w:hint="eastAsia"/>
        </w:rPr>
        <w:t>门诊人次汇总分析</w:t>
      </w:r>
    </w:p>
    <w:p>
      <w:pPr>
        <w:numPr>
          <w:ilvl w:val="0"/>
          <w:numId w:val="0"/>
        </w:numPr>
        <w:ind w:leftChars="0"/>
      </w:pPr>
      <w:r>
        <w:rPr>
          <w:rFonts w:hint="eastAsia"/>
          <w:lang w:val="en-US" w:eastAsia="zh-CN"/>
        </w:rPr>
        <w:t>35.</w:t>
      </w:r>
      <w:r>
        <w:rPr>
          <w:rFonts w:hint="eastAsia"/>
        </w:rPr>
        <w:t>门诊流量统计分析</w:t>
      </w:r>
    </w:p>
    <w:p>
      <w:pPr>
        <w:numPr>
          <w:ilvl w:val="0"/>
          <w:numId w:val="0"/>
        </w:numPr>
        <w:ind w:leftChars="0"/>
      </w:pPr>
      <w:r>
        <w:rPr>
          <w:rFonts w:hint="eastAsia"/>
          <w:lang w:val="en-US" w:eastAsia="zh-CN"/>
        </w:rPr>
        <w:t>36.</w:t>
      </w:r>
      <w:r>
        <w:rPr>
          <w:rFonts w:hint="eastAsia"/>
        </w:rPr>
        <w:t>住院病人流动分析</w:t>
      </w:r>
    </w:p>
    <w:p>
      <w:pPr>
        <w:numPr>
          <w:ilvl w:val="0"/>
          <w:numId w:val="0"/>
        </w:numPr>
        <w:ind w:leftChars="0"/>
      </w:pPr>
      <w:r>
        <w:rPr>
          <w:rFonts w:hint="eastAsia"/>
          <w:lang w:val="en-US" w:eastAsia="zh-CN"/>
        </w:rPr>
        <w:t>37.</w:t>
      </w:r>
      <w:r>
        <w:rPr>
          <w:rFonts w:hint="eastAsia"/>
        </w:rPr>
        <w:t>在院病人分布</w:t>
      </w:r>
    </w:p>
    <w:p>
      <w:pPr>
        <w:numPr>
          <w:ilvl w:val="0"/>
          <w:numId w:val="0"/>
        </w:numPr>
        <w:ind w:leftChars="0"/>
      </w:pPr>
      <w:r>
        <w:rPr>
          <w:rFonts w:hint="eastAsia"/>
          <w:lang w:val="en-US" w:eastAsia="zh-CN"/>
        </w:rPr>
        <w:t>38.</w:t>
      </w:r>
      <w:r>
        <w:rPr>
          <w:rFonts w:hint="eastAsia"/>
        </w:rPr>
        <w:t>在院危重病人清单</w:t>
      </w:r>
    </w:p>
    <w:p>
      <w:pPr>
        <w:numPr>
          <w:ilvl w:val="0"/>
          <w:numId w:val="0"/>
        </w:numPr>
        <w:ind w:leftChars="0"/>
      </w:pPr>
      <w:r>
        <w:rPr>
          <w:rFonts w:hint="eastAsia"/>
          <w:lang w:val="en-US" w:eastAsia="zh-CN"/>
        </w:rPr>
        <w:t>39.</w:t>
      </w:r>
      <w:r>
        <w:rPr>
          <w:rFonts w:hint="eastAsia"/>
        </w:rPr>
        <w:t>在院特护病人清单</w:t>
      </w:r>
    </w:p>
    <w:p>
      <w:pPr>
        <w:numPr>
          <w:ilvl w:val="0"/>
          <w:numId w:val="0"/>
        </w:numPr>
        <w:ind w:leftChars="0"/>
      </w:pPr>
      <w:r>
        <w:rPr>
          <w:rFonts w:hint="eastAsia"/>
          <w:lang w:val="en-US" w:eastAsia="zh-CN"/>
        </w:rPr>
        <w:t>40.</w:t>
      </w:r>
      <w:r>
        <w:rPr>
          <w:rFonts w:hint="eastAsia"/>
        </w:rPr>
        <w:t>医院工作量统计报表</w:t>
      </w:r>
    </w:p>
    <w:p>
      <w:pPr>
        <w:numPr>
          <w:ilvl w:val="0"/>
          <w:numId w:val="0"/>
        </w:numPr>
        <w:ind w:leftChars="0"/>
      </w:pPr>
      <w:r>
        <w:rPr>
          <w:rFonts w:hint="eastAsia"/>
          <w:lang w:val="en-US" w:eastAsia="zh-CN"/>
        </w:rPr>
        <w:t>41.</w:t>
      </w:r>
      <w:r>
        <w:rPr>
          <w:rFonts w:hint="eastAsia"/>
        </w:rPr>
        <w:t>工作量情况分类统计</w:t>
      </w:r>
    </w:p>
    <w:p>
      <w:pPr>
        <w:numPr>
          <w:ilvl w:val="0"/>
          <w:numId w:val="0"/>
        </w:numPr>
        <w:ind w:leftChars="0"/>
      </w:pPr>
      <w:r>
        <w:rPr>
          <w:rFonts w:hint="eastAsia"/>
          <w:lang w:val="en-US" w:eastAsia="zh-CN"/>
        </w:rPr>
        <w:t>42.</w:t>
      </w:r>
      <w:r>
        <w:rPr>
          <w:rFonts w:hint="eastAsia"/>
        </w:rPr>
        <w:t>门诊诊次费用分析</w:t>
      </w:r>
    </w:p>
    <w:p>
      <w:pPr>
        <w:numPr>
          <w:ilvl w:val="0"/>
          <w:numId w:val="0"/>
        </w:numPr>
        <w:ind w:leftChars="0"/>
      </w:pPr>
      <w:r>
        <w:rPr>
          <w:rFonts w:hint="eastAsia"/>
          <w:lang w:val="en-US" w:eastAsia="zh-CN"/>
        </w:rPr>
        <w:t>43.</w:t>
      </w:r>
      <w:r>
        <w:rPr>
          <w:rFonts w:hint="eastAsia"/>
        </w:rPr>
        <w:t>住院收治费用分析</w:t>
      </w:r>
    </w:p>
    <w:p>
      <w:pPr>
        <w:numPr>
          <w:ilvl w:val="0"/>
          <w:numId w:val="0"/>
        </w:numPr>
        <w:ind w:leftChars="0"/>
      </w:pPr>
      <w:r>
        <w:rPr>
          <w:rFonts w:hint="eastAsia"/>
          <w:lang w:val="en-US" w:eastAsia="zh-CN"/>
        </w:rPr>
        <w:t>44.</w:t>
      </w:r>
      <w:r>
        <w:rPr>
          <w:rFonts w:hint="eastAsia"/>
        </w:rPr>
        <w:t>诊治收费项目分析</w:t>
      </w:r>
    </w:p>
    <w:p>
      <w:pPr>
        <w:pStyle w:val="3"/>
        <w:numPr>
          <w:ilvl w:val="0"/>
          <w:numId w:val="0"/>
        </w:numPr>
        <w:jc w:val="left"/>
      </w:pPr>
      <w:r>
        <w:rPr>
          <w:rFonts w:hint="eastAsia"/>
        </w:rPr>
        <w:t>二、电子病历系统（EMR）升级详细参数</w:t>
      </w:r>
    </w:p>
    <w:p>
      <w:pPr>
        <w:numPr>
          <w:ilvl w:val="0"/>
          <w:numId w:val="0"/>
        </w:numPr>
        <w:ind w:leftChars="0"/>
        <w:rPr>
          <w:rFonts w:hint="eastAsia"/>
        </w:rPr>
      </w:pPr>
      <w:bookmarkStart w:id="57" w:name="_Toc11701"/>
      <w:bookmarkStart w:id="58" w:name="OLE_LINK24"/>
      <w:r>
        <w:rPr>
          <w:rFonts w:hint="eastAsia"/>
        </w:rPr>
        <w:t>1临床医疗</w:t>
      </w:r>
      <w:bookmarkEnd w:id="57"/>
    </w:p>
    <w:bookmarkEnd w:id="58"/>
    <w:p>
      <w:pPr>
        <w:numPr>
          <w:ilvl w:val="0"/>
          <w:numId w:val="0"/>
        </w:numPr>
        <w:ind w:leftChars="0"/>
        <w:rPr>
          <w:rFonts w:hint="eastAsia"/>
        </w:rPr>
      </w:pPr>
      <w:bookmarkStart w:id="59" w:name="_Toc28181"/>
      <w:bookmarkStart w:id="60" w:name="_Toc7704"/>
      <w:r>
        <w:rPr>
          <w:rFonts w:hint="eastAsia"/>
        </w:rPr>
        <w:t>1.1病历书写</w:t>
      </w:r>
      <w:bookmarkEnd w:id="59"/>
      <w:bookmarkEnd w:id="60"/>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bookmarkStart w:id="61" w:name="OLE_LINK31"/>
      <w:r>
        <w:rPr>
          <w:rFonts w:hint="eastAsia"/>
        </w:rPr>
        <w:t>提供医疗文书管理功能，包括三个列表：未完成文书、已书写文书、最近操作文书；</w:t>
      </w:r>
    </w:p>
    <w:bookmarkEnd w:id="61"/>
    <w:p>
      <w:pPr>
        <w:numPr>
          <w:ilvl w:val="0"/>
          <w:numId w:val="0"/>
        </w:numPr>
        <w:ind w:leftChars="0"/>
        <w:rPr>
          <w:rFonts w:hint="eastAsia"/>
        </w:rPr>
      </w:pPr>
      <w:r>
        <w:rPr>
          <w:rFonts w:hint="eastAsia"/>
        </w:rPr>
        <w:t xml:space="preserve">提供临床医生所属科室各类病历文书模板选择并编辑功能，包含入院记录、病程记录、手术资料、谈话记录、讨论记录、会诊记录、出院记录、死亡记录、其他文书，提供各类文书新建、删除、整体打印功能； </w:t>
      </w:r>
    </w:p>
    <w:p>
      <w:pPr>
        <w:numPr>
          <w:ilvl w:val="0"/>
          <w:numId w:val="0"/>
        </w:numPr>
        <w:ind w:leftChars="0"/>
        <w:rPr>
          <w:rFonts w:hint="eastAsia"/>
        </w:rPr>
      </w:pPr>
      <w:r>
        <w:rPr>
          <w:rFonts w:hint="eastAsia"/>
        </w:rPr>
        <w:t>提供病历维护申请功能，并提供查看申请记录功能；</w:t>
      </w:r>
    </w:p>
    <w:p>
      <w:pPr>
        <w:numPr>
          <w:ilvl w:val="0"/>
          <w:numId w:val="0"/>
        </w:numPr>
        <w:ind w:leftChars="0"/>
        <w:rPr>
          <w:rFonts w:hint="eastAsia"/>
        </w:rPr>
      </w:pPr>
      <w:r>
        <w:rPr>
          <w:rFonts w:hint="eastAsia"/>
        </w:rPr>
        <w:t>提供更改文书起草者功能；</w:t>
      </w:r>
    </w:p>
    <w:p>
      <w:pPr>
        <w:numPr>
          <w:ilvl w:val="0"/>
          <w:numId w:val="0"/>
        </w:numPr>
        <w:ind w:leftChars="0"/>
        <w:rPr>
          <w:rFonts w:hint="eastAsia"/>
        </w:rPr>
      </w:pPr>
      <w:r>
        <w:rPr>
          <w:rFonts w:hint="eastAsia"/>
        </w:rPr>
        <w:t>提供病历修改申请功能；</w:t>
      </w:r>
    </w:p>
    <w:p>
      <w:pPr>
        <w:numPr>
          <w:ilvl w:val="0"/>
          <w:numId w:val="0"/>
        </w:numPr>
        <w:ind w:leftChars="0"/>
        <w:rPr>
          <w:rFonts w:hint="eastAsia"/>
        </w:rPr>
      </w:pPr>
      <w:r>
        <w:rPr>
          <w:rFonts w:hint="eastAsia"/>
        </w:rPr>
        <w:t>提供病历导出申请功能；</w:t>
      </w:r>
    </w:p>
    <w:p>
      <w:pPr>
        <w:numPr>
          <w:ilvl w:val="0"/>
          <w:numId w:val="0"/>
        </w:numPr>
        <w:ind w:leftChars="0"/>
        <w:rPr>
          <w:rFonts w:hint="eastAsia"/>
        </w:rPr>
      </w:pPr>
      <w:r>
        <w:rPr>
          <w:rFonts w:hint="eastAsia"/>
        </w:rPr>
        <w:t>提供未完成文书提示功能，系统自动对未完成的时限类监控项目和书写次数类监控项目进行事前提醒；</w:t>
      </w:r>
    </w:p>
    <w:p>
      <w:pPr>
        <w:numPr>
          <w:ilvl w:val="0"/>
          <w:numId w:val="0"/>
        </w:numPr>
        <w:ind w:leftChars="0"/>
        <w:rPr>
          <w:rFonts w:hint="eastAsia"/>
        </w:rPr>
      </w:pPr>
      <w:r>
        <w:rPr>
          <w:rFonts w:hint="eastAsia"/>
        </w:rPr>
        <w:t>提供最近操作过的文书提醒功能；</w:t>
      </w:r>
    </w:p>
    <w:p>
      <w:pPr>
        <w:numPr>
          <w:ilvl w:val="0"/>
          <w:numId w:val="0"/>
        </w:numPr>
        <w:ind w:leftChars="0"/>
        <w:rPr>
          <w:rFonts w:hint="eastAsia"/>
        </w:rPr>
      </w:pPr>
      <w:r>
        <w:rPr>
          <w:rFonts w:hint="eastAsia"/>
        </w:rPr>
        <w:t>提供缺陷整改通知功能，系统自动将质控医生发送的质量缺陷整改通知到医生工作界面，并用醒目的红色显示消息提醒；</w:t>
      </w:r>
    </w:p>
    <w:p>
      <w:pPr>
        <w:numPr>
          <w:ilvl w:val="0"/>
          <w:numId w:val="0"/>
        </w:numPr>
        <w:ind w:leftChars="0"/>
        <w:rPr>
          <w:rFonts w:hint="eastAsia"/>
        </w:rPr>
      </w:pPr>
      <w:r>
        <w:rPr>
          <w:rFonts w:hint="eastAsia"/>
        </w:rPr>
        <w:t>提供结构化点选与自由文本录入的功能，科室医生根据病种调出结构化模板，元素种类有单选元素、多选元素、有无选元素、录入提示元素、格式化元素及固定文本元素等；</w:t>
      </w:r>
    </w:p>
    <w:p>
      <w:pPr>
        <w:numPr>
          <w:ilvl w:val="0"/>
          <w:numId w:val="0"/>
        </w:numPr>
        <w:ind w:leftChars="0"/>
        <w:rPr>
          <w:rFonts w:hint="eastAsia"/>
        </w:rPr>
      </w:pPr>
      <w:r>
        <w:rPr>
          <w:rFonts w:hint="eastAsia"/>
        </w:rPr>
        <w:t>提供动态调出医疗专用知识库（关键词）功能，在病历录入中，当医生选择阳性症状或体征时，系统自动调出并展开关键词描述，为病历录入有效防止漏项；</w:t>
      </w:r>
    </w:p>
    <w:p>
      <w:pPr>
        <w:numPr>
          <w:ilvl w:val="0"/>
          <w:numId w:val="0"/>
        </w:numPr>
        <w:ind w:leftChars="0"/>
        <w:rPr>
          <w:rFonts w:hint="eastAsia"/>
        </w:rPr>
      </w:pPr>
      <w:r>
        <w:rPr>
          <w:rFonts w:hint="eastAsia"/>
        </w:rPr>
        <w:t>提供部分病历内容自动校验功能，在病历文书书写时，当录入不符合信息系统自动弹出窗体提醒，校验项目分别为：必选项目、数值型错误信息（如体温）、与性别不符合信息；</w:t>
      </w:r>
    </w:p>
    <w:p>
      <w:pPr>
        <w:numPr>
          <w:ilvl w:val="0"/>
          <w:numId w:val="0"/>
        </w:numPr>
        <w:ind w:leftChars="0"/>
        <w:rPr>
          <w:rFonts w:hint="eastAsia"/>
        </w:rPr>
      </w:pPr>
      <w:r>
        <w:rPr>
          <w:rFonts w:hint="eastAsia"/>
        </w:rPr>
        <w:t>★提供检验、检查数据插入到病历文书的功能，在病历录入中，医生可根据病情描述需要，自主选择检查、检验报告数据直接将准确的数据插入到病历中任意位置；</w:t>
      </w:r>
    </w:p>
    <w:p>
      <w:pPr>
        <w:numPr>
          <w:ilvl w:val="0"/>
          <w:numId w:val="0"/>
        </w:numPr>
        <w:ind w:leftChars="0"/>
        <w:rPr>
          <w:rFonts w:hint="eastAsia"/>
        </w:rPr>
      </w:pPr>
      <w:r>
        <w:rPr>
          <w:rFonts w:hint="eastAsia"/>
        </w:rPr>
        <w:t>提供医疗文书常用的特殊符号集写回病历文书的功能，如：℃，℉，‰，㎡，mmol等；</w:t>
      </w:r>
    </w:p>
    <w:p>
      <w:pPr>
        <w:numPr>
          <w:ilvl w:val="0"/>
          <w:numId w:val="0"/>
        </w:numPr>
        <w:ind w:leftChars="0"/>
        <w:rPr>
          <w:rFonts w:hint="eastAsia"/>
        </w:rPr>
      </w:pPr>
      <w:r>
        <w:rPr>
          <w:rFonts w:hint="eastAsia"/>
        </w:rPr>
        <w:t>提供上、下标功能，支持对文字的上下标功能；</w:t>
      </w:r>
    </w:p>
    <w:p>
      <w:pPr>
        <w:numPr>
          <w:ilvl w:val="0"/>
          <w:numId w:val="0"/>
        </w:numPr>
        <w:ind w:leftChars="0"/>
        <w:rPr>
          <w:rFonts w:hint="eastAsia"/>
        </w:rPr>
      </w:pPr>
      <w:r>
        <w:rPr>
          <w:rFonts w:hint="eastAsia"/>
        </w:rPr>
        <w:t>★提供医嘱信息写写回病历任意位置功能；</w:t>
      </w:r>
    </w:p>
    <w:p>
      <w:pPr>
        <w:numPr>
          <w:ilvl w:val="0"/>
          <w:numId w:val="0"/>
        </w:numPr>
        <w:ind w:leftChars="0"/>
        <w:rPr>
          <w:rFonts w:hint="eastAsia"/>
        </w:rPr>
      </w:pPr>
      <w:r>
        <w:rPr>
          <w:rFonts w:hint="eastAsia"/>
        </w:rPr>
        <w:t>提供多媒体病历展现的功能，在病历录入中，能在任意位置插入图形图像，并对图形图像作标注，实现了病历内容图文混编的格式；</w:t>
      </w:r>
    </w:p>
    <w:p>
      <w:pPr>
        <w:numPr>
          <w:ilvl w:val="0"/>
          <w:numId w:val="0"/>
        </w:numPr>
        <w:ind w:leftChars="0"/>
        <w:rPr>
          <w:rFonts w:hint="eastAsia"/>
        </w:rPr>
      </w:pPr>
      <w:r>
        <w:rPr>
          <w:rFonts w:hint="eastAsia"/>
        </w:rPr>
        <w:t>提供鉴别诊断知识库写回病历任意位置功能；</w:t>
      </w:r>
    </w:p>
    <w:p>
      <w:pPr>
        <w:numPr>
          <w:ilvl w:val="0"/>
          <w:numId w:val="0"/>
        </w:numPr>
        <w:ind w:leftChars="0"/>
        <w:rPr>
          <w:rFonts w:hint="eastAsia"/>
        </w:rPr>
      </w:pPr>
      <w:r>
        <w:rPr>
          <w:rFonts w:hint="eastAsia"/>
        </w:rPr>
        <w:t>提供既往病历病史信息分段写写回病历功能；</w:t>
      </w:r>
    </w:p>
    <w:p>
      <w:pPr>
        <w:numPr>
          <w:ilvl w:val="0"/>
          <w:numId w:val="0"/>
        </w:numPr>
        <w:ind w:leftChars="0"/>
        <w:rPr>
          <w:rFonts w:hint="eastAsia"/>
        </w:rPr>
      </w:pPr>
      <w:r>
        <w:rPr>
          <w:rFonts w:hint="eastAsia"/>
        </w:rPr>
        <w:t>提供表格病历的功能，在病历录入中，能在任意位置制作表格，同时实现类似word处理表格的合并和拆分，表格的大小，宽窄要可以任意调整，不限制表格内字段的长度；</w:t>
      </w:r>
    </w:p>
    <w:p>
      <w:pPr>
        <w:numPr>
          <w:ilvl w:val="0"/>
          <w:numId w:val="0"/>
        </w:numPr>
        <w:ind w:leftChars="0"/>
        <w:rPr>
          <w:rFonts w:hint="eastAsia"/>
        </w:rPr>
      </w:pPr>
      <w:r>
        <w:rPr>
          <w:rFonts w:hint="eastAsia"/>
        </w:rPr>
        <w:t>提供诊断自动提取同步功能；</w:t>
      </w:r>
    </w:p>
    <w:p>
      <w:pPr>
        <w:numPr>
          <w:ilvl w:val="0"/>
          <w:numId w:val="0"/>
        </w:numPr>
        <w:ind w:leftChars="0"/>
        <w:rPr>
          <w:rFonts w:hint="eastAsia"/>
        </w:rPr>
      </w:pPr>
      <w:r>
        <w:rPr>
          <w:rFonts w:hint="eastAsia"/>
        </w:rPr>
        <w:t>提供三级检诊功能，医生按照等级，具有不同的修改权限，对于下级医生病历的修改，保留所见即所得的痕迹；</w:t>
      </w:r>
    </w:p>
    <w:p>
      <w:pPr>
        <w:numPr>
          <w:ilvl w:val="0"/>
          <w:numId w:val="0"/>
        </w:numPr>
        <w:ind w:leftChars="0"/>
        <w:rPr>
          <w:rFonts w:hint="eastAsia"/>
        </w:rPr>
      </w:pPr>
      <w:r>
        <w:rPr>
          <w:rFonts w:hint="eastAsia"/>
        </w:rPr>
        <w:t>提供屏蔽外部文件复制功能，系统允许同一患者资料的内部复制；</w:t>
      </w:r>
    </w:p>
    <w:p>
      <w:pPr>
        <w:numPr>
          <w:ilvl w:val="0"/>
          <w:numId w:val="0"/>
        </w:numPr>
        <w:ind w:leftChars="0"/>
        <w:rPr>
          <w:rFonts w:hint="eastAsia"/>
        </w:rPr>
      </w:pPr>
      <w:r>
        <w:rPr>
          <w:rFonts w:hint="eastAsia"/>
        </w:rPr>
        <w:t>★提供病程记录分段书写、连续打印功能，保证病程分段质控；</w:t>
      </w:r>
    </w:p>
    <w:p>
      <w:pPr>
        <w:numPr>
          <w:ilvl w:val="0"/>
          <w:numId w:val="0"/>
        </w:numPr>
        <w:ind w:leftChars="0"/>
        <w:rPr>
          <w:rFonts w:hint="eastAsia"/>
        </w:rPr>
      </w:pPr>
      <w:r>
        <w:rPr>
          <w:rFonts w:hint="eastAsia"/>
        </w:rPr>
        <w:t>提供病历自动排版功能，提供打印、整洁打印、选择打印和续打功能；</w:t>
      </w:r>
    </w:p>
    <w:p>
      <w:pPr>
        <w:numPr>
          <w:ilvl w:val="0"/>
          <w:numId w:val="0"/>
        </w:numPr>
        <w:ind w:leftChars="0"/>
        <w:rPr>
          <w:rFonts w:hint="eastAsia"/>
        </w:rPr>
      </w:pPr>
      <w:r>
        <w:rPr>
          <w:rFonts w:hint="eastAsia"/>
        </w:rPr>
        <w:t>提供临床诊断录入功能；</w:t>
      </w:r>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提供调用ICD-10疾病诊断字典库录入诊断的功能；</w:t>
      </w:r>
    </w:p>
    <w:p>
      <w:pPr>
        <w:numPr>
          <w:ilvl w:val="0"/>
          <w:numId w:val="0"/>
        </w:numPr>
        <w:ind w:leftChars="0"/>
        <w:rPr>
          <w:rFonts w:hint="eastAsia"/>
        </w:rPr>
      </w:pPr>
      <w:r>
        <w:rPr>
          <w:rFonts w:hint="eastAsia"/>
        </w:rPr>
        <w:t>提供调用常用诊断字典库录入诊断的功能；</w:t>
      </w:r>
    </w:p>
    <w:p>
      <w:pPr>
        <w:numPr>
          <w:ilvl w:val="0"/>
          <w:numId w:val="0"/>
        </w:numPr>
        <w:ind w:leftChars="0"/>
        <w:rPr>
          <w:rFonts w:hint="eastAsia"/>
        </w:rPr>
      </w:pPr>
      <w:r>
        <w:rPr>
          <w:rFonts w:hint="eastAsia"/>
        </w:rPr>
        <w:t>提供中医诊断录入功能；</w:t>
      </w:r>
    </w:p>
    <w:p>
      <w:pPr>
        <w:numPr>
          <w:ilvl w:val="0"/>
          <w:numId w:val="0"/>
        </w:numPr>
        <w:ind w:leftChars="0"/>
        <w:rPr>
          <w:rFonts w:hint="eastAsia"/>
        </w:rPr>
      </w:pPr>
      <w:r>
        <w:rPr>
          <w:rFonts w:hint="eastAsia"/>
        </w:rPr>
        <w:t>提供手术操作录入功能；</w:t>
      </w:r>
    </w:p>
    <w:p>
      <w:pPr>
        <w:numPr>
          <w:ilvl w:val="0"/>
          <w:numId w:val="0"/>
        </w:numPr>
        <w:ind w:leftChars="0"/>
        <w:rPr>
          <w:rFonts w:hint="eastAsia"/>
        </w:rPr>
      </w:pPr>
      <w:r>
        <w:rPr>
          <w:rFonts w:hint="eastAsia"/>
        </w:rPr>
        <w:t>提供自定义临床诊断录入功能；</w:t>
      </w:r>
    </w:p>
    <w:p>
      <w:pPr>
        <w:numPr>
          <w:ilvl w:val="0"/>
          <w:numId w:val="0"/>
        </w:numPr>
        <w:ind w:leftChars="0"/>
        <w:rPr>
          <w:rFonts w:hint="eastAsia"/>
        </w:rPr>
      </w:pPr>
      <w:r>
        <w:rPr>
          <w:rFonts w:hint="eastAsia"/>
        </w:rPr>
        <w:t>提供医嘱本浏览功能；</w:t>
      </w:r>
    </w:p>
    <w:p>
      <w:pPr>
        <w:numPr>
          <w:ilvl w:val="0"/>
          <w:numId w:val="0"/>
        </w:numPr>
        <w:ind w:leftChars="0"/>
        <w:rPr>
          <w:rFonts w:hint="eastAsia"/>
        </w:rPr>
      </w:pPr>
      <w:r>
        <w:rPr>
          <w:rFonts w:hint="eastAsia"/>
        </w:rPr>
        <w:t>提供检查报告浏览功能；</w:t>
      </w:r>
    </w:p>
    <w:p>
      <w:pPr>
        <w:numPr>
          <w:ilvl w:val="0"/>
          <w:numId w:val="0"/>
        </w:numPr>
        <w:ind w:leftChars="0"/>
        <w:rPr>
          <w:rFonts w:hint="eastAsia"/>
        </w:rPr>
      </w:pPr>
      <w:r>
        <w:rPr>
          <w:rFonts w:hint="eastAsia"/>
        </w:rPr>
        <w:t>提供检验报告浏览功能；</w:t>
      </w:r>
    </w:p>
    <w:p>
      <w:pPr>
        <w:numPr>
          <w:ilvl w:val="0"/>
          <w:numId w:val="0"/>
        </w:numPr>
        <w:ind w:leftChars="0"/>
        <w:rPr>
          <w:rFonts w:hint="eastAsia"/>
        </w:rPr>
      </w:pPr>
      <w:r>
        <w:rPr>
          <w:rFonts w:hint="eastAsia"/>
        </w:rPr>
        <w:t>提供诊疗时间轴浏览功能；以时间为横轴，以临床事件为纵轴，将患者每天重要临床信息以可视化的形式展示，并动态的显示原始报告，可显示的信息为：体温单信息、检查检验信息、病历文书和主要的处置。</w:t>
      </w:r>
    </w:p>
    <w:p>
      <w:pPr>
        <w:numPr>
          <w:ilvl w:val="0"/>
          <w:numId w:val="0"/>
        </w:numPr>
        <w:ind w:leftChars="0"/>
        <w:rPr>
          <w:rFonts w:hint="eastAsia"/>
        </w:rPr>
      </w:pPr>
      <w:bookmarkStart w:id="62" w:name="_Toc6573"/>
      <w:bookmarkStart w:id="63" w:name="_Toc12131"/>
      <w:r>
        <w:rPr>
          <w:rFonts w:hint="eastAsia"/>
        </w:rPr>
        <w:t>1.2诊断录入</w:t>
      </w:r>
      <w:bookmarkEnd w:id="62"/>
      <w:bookmarkEnd w:id="63"/>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★提供调用ICD-10疾病诊断字典库录入诊断的功能；</w:t>
      </w:r>
    </w:p>
    <w:p>
      <w:pPr>
        <w:numPr>
          <w:ilvl w:val="0"/>
          <w:numId w:val="0"/>
        </w:numPr>
        <w:ind w:leftChars="0"/>
        <w:rPr>
          <w:rFonts w:hint="eastAsia"/>
        </w:rPr>
      </w:pPr>
      <w:r>
        <w:rPr>
          <w:rFonts w:hint="eastAsia"/>
        </w:rPr>
        <w:t>提供调用常用诊断字典库录入诊断的功能；</w:t>
      </w:r>
    </w:p>
    <w:p>
      <w:pPr>
        <w:numPr>
          <w:ilvl w:val="0"/>
          <w:numId w:val="0"/>
        </w:numPr>
        <w:ind w:leftChars="0"/>
        <w:rPr>
          <w:rFonts w:hint="eastAsia"/>
        </w:rPr>
      </w:pPr>
      <w:r>
        <w:rPr>
          <w:rFonts w:hint="eastAsia"/>
        </w:rPr>
        <w:t>★提供中医诊断录入功能；</w:t>
      </w:r>
    </w:p>
    <w:p>
      <w:pPr>
        <w:numPr>
          <w:ilvl w:val="0"/>
          <w:numId w:val="0"/>
        </w:numPr>
        <w:ind w:leftChars="0"/>
        <w:rPr>
          <w:rFonts w:hint="eastAsia"/>
        </w:rPr>
      </w:pPr>
      <w:r>
        <w:rPr>
          <w:rFonts w:hint="eastAsia"/>
        </w:rPr>
        <w:t>★手术操作录入功能；</w:t>
      </w:r>
    </w:p>
    <w:p>
      <w:pPr>
        <w:numPr>
          <w:ilvl w:val="0"/>
          <w:numId w:val="0"/>
        </w:numPr>
        <w:ind w:leftChars="0"/>
        <w:rPr>
          <w:rFonts w:hint="eastAsia"/>
        </w:rPr>
      </w:pPr>
      <w:r>
        <w:rPr>
          <w:rFonts w:hint="eastAsia"/>
        </w:rPr>
        <w:t>★提供自定义临床诊断录入功能；</w:t>
      </w:r>
    </w:p>
    <w:p>
      <w:pPr>
        <w:numPr>
          <w:ilvl w:val="0"/>
          <w:numId w:val="0"/>
        </w:numPr>
        <w:ind w:leftChars="0"/>
        <w:rPr>
          <w:rFonts w:hint="eastAsia"/>
        </w:rPr>
      </w:pPr>
      <w:bookmarkStart w:id="64" w:name="_Toc16544"/>
      <w:bookmarkStart w:id="65" w:name="_Toc1115"/>
      <w:r>
        <w:rPr>
          <w:rFonts w:hint="eastAsia"/>
        </w:rPr>
        <w:t>1.3病案首页</w:t>
      </w:r>
      <w:bookmarkEnd w:id="64"/>
      <w:bookmarkEnd w:id="65"/>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▲提供首页信息分类录入功能，包括基本信息、诊断信息、手术信息、其他信息、费用信息等；</w:t>
      </w:r>
    </w:p>
    <w:p>
      <w:pPr>
        <w:numPr>
          <w:ilvl w:val="0"/>
          <w:numId w:val="0"/>
        </w:numPr>
        <w:ind w:leftChars="0"/>
        <w:rPr>
          <w:rFonts w:hint="eastAsia"/>
        </w:rPr>
      </w:pPr>
      <w:bookmarkStart w:id="66" w:name="_Toc16098"/>
      <w:bookmarkStart w:id="67" w:name="_Toc9083"/>
      <w:r>
        <w:rPr>
          <w:rFonts w:hint="eastAsia"/>
        </w:rPr>
        <w:t>1.4病历夹</w:t>
      </w:r>
      <w:bookmarkEnd w:id="66"/>
      <w:bookmarkEnd w:id="67"/>
    </w:p>
    <w:p>
      <w:pPr>
        <w:numPr>
          <w:ilvl w:val="0"/>
          <w:numId w:val="0"/>
        </w:numPr>
        <w:ind w:leftChars="0"/>
        <w:rPr>
          <w:rFonts w:hint="eastAsia"/>
        </w:rPr>
      </w:pPr>
      <w:r>
        <w:rPr>
          <w:rFonts w:hint="eastAsia"/>
        </w:rPr>
        <w:t>提供在院患者或出院未签收患者病历文书整体浏览功能，可以通过本人或本科选择查看；</w:t>
      </w:r>
    </w:p>
    <w:p>
      <w:pPr>
        <w:numPr>
          <w:ilvl w:val="0"/>
          <w:numId w:val="0"/>
        </w:numPr>
        <w:ind w:leftChars="0"/>
        <w:rPr>
          <w:rFonts w:hint="eastAsia"/>
        </w:rPr>
      </w:pPr>
      <w:bookmarkStart w:id="68" w:name="_Toc27200"/>
      <w:bookmarkStart w:id="69" w:name="_Toc29168"/>
      <w:r>
        <w:rPr>
          <w:rFonts w:hint="eastAsia"/>
        </w:rPr>
        <w:t>1.5跨科协作</w:t>
      </w:r>
      <w:bookmarkEnd w:id="68"/>
      <w:bookmarkEnd w:id="69"/>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提供跨科处置申请的功能，包括：会诊申请、营养申请、跨科申请、借床管理等；</w:t>
      </w:r>
    </w:p>
    <w:p>
      <w:pPr>
        <w:numPr>
          <w:ilvl w:val="0"/>
          <w:numId w:val="0"/>
        </w:numPr>
        <w:ind w:leftChars="0"/>
        <w:rPr>
          <w:rFonts w:hint="eastAsia"/>
        </w:rPr>
      </w:pPr>
      <w:r>
        <w:rPr>
          <w:rFonts w:hint="eastAsia"/>
        </w:rPr>
        <w:t>提供跨科完成功能；</w:t>
      </w:r>
    </w:p>
    <w:p>
      <w:pPr>
        <w:numPr>
          <w:ilvl w:val="0"/>
          <w:numId w:val="0"/>
        </w:numPr>
        <w:ind w:leftChars="0"/>
        <w:rPr>
          <w:rFonts w:hint="eastAsia"/>
        </w:rPr>
      </w:pPr>
      <w:bookmarkStart w:id="70" w:name="_Toc12610"/>
      <w:bookmarkStart w:id="71" w:name="_Toc14183"/>
      <w:r>
        <w:rPr>
          <w:rFonts w:hint="eastAsia"/>
        </w:rPr>
        <w:t>1.6患者信息</w:t>
      </w:r>
      <w:bookmarkEnd w:id="70"/>
      <w:bookmarkEnd w:id="71"/>
    </w:p>
    <w:p>
      <w:pPr>
        <w:numPr>
          <w:ilvl w:val="0"/>
          <w:numId w:val="0"/>
        </w:numPr>
        <w:ind w:leftChars="0"/>
        <w:rPr>
          <w:rFonts w:hint="eastAsia"/>
        </w:rPr>
      </w:pPr>
      <w:r>
        <w:rPr>
          <w:rFonts w:hint="eastAsia"/>
        </w:rPr>
        <w:t>提供医嘱本浏览功能</w:t>
      </w:r>
    </w:p>
    <w:p>
      <w:pPr>
        <w:numPr>
          <w:ilvl w:val="0"/>
          <w:numId w:val="0"/>
        </w:numPr>
        <w:ind w:leftChars="0"/>
        <w:rPr>
          <w:rFonts w:hint="eastAsia"/>
        </w:rPr>
      </w:pPr>
      <w:r>
        <w:rPr>
          <w:rFonts w:hint="eastAsia"/>
        </w:rPr>
        <w:t>提供医嘱统计浏览功能，按医嘱类别显示患者医嘱信息；</w:t>
      </w:r>
    </w:p>
    <w:p>
      <w:pPr>
        <w:numPr>
          <w:ilvl w:val="0"/>
          <w:numId w:val="0"/>
        </w:numPr>
        <w:ind w:leftChars="0"/>
        <w:rPr>
          <w:rFonts w:hint="eastAsia"/>
        </w:rPr>
      </w:pPr>
      <w:r>
        <w:rPr>
          <w:rFonts w:hint="eastAsia"/>
        </w:rPr>
        <w:t>提供按报告时间浏览检验报告功能；</w:t>
      </w:r>
    </w:p>
    <w:p>
      <w:pPr>
        <w:numPr>
          <w:ilvl w:val="0"/>
          <w:numId w:val="0"/>
        </w:numPr>
        <w:ind w:leftChars="0"/>
        <w:rPr>
          <w:rFonts w:hint="eastAsia"/>
        </w:rPr>
      </w:pPr>
      <w:r>
        <w:rPr>
          <w:rFonts w:hint="eastAsia"/>
        </w:rPr>
        <w:t>提供按样本分类浏览检验报告功能；</w:t>
      </w:r>
    </w:p>
    <w:p>
      <w:pPr>
        <w:numPr>
          <w:ilvl w:val="0"/>
          <w:numId w:val="0"/>
        </w:numPr>
        <w:ind w:leftChars="0"/>
        <w:rPr>
          <w:rFonts w:hint="eastAsia"/>
        </w:rPr>
      </w:pPr>
      <w:r>
        <w:rPr>
          <w:rFonts w:hint="eastAsia"/>
        </w:rPr>
        <w:t>提供按报告时间浏览检查报告功能；</w:t>
      </w:r>
    </w:p>
    <w:p>
      <w:pPr>
        <w:numPr>
          <w:ilvl w:val="0"/>
          <w:numId w:val="0"/>
        </w:numPr>
        <w:ind w:leftChars="0"/>
        <w:rPr>
          <w:rFonts w:hint="eastAsia"/>
        </w:rPr>
      </w:pPr>
      <w:r>
        <w:rPr>
          <w:rFonts w:hint="eastAsia"/>
        </w:rPr>
        <w:t>提供检查影像浏览功能；</w:t>
      </w:r>
    </w:p>
    <w:p>
      <w:pPr>
        <w:numPr>
          <w:ilvl w:val="0"/>
          <w:numId w:val="0"/>
        </w:numPr>
        <w:ind w:leftChars="0"/>
        <w:rPr>
          <w:rFonts w:hint="eastAsia"/>
        </w:rPr>
      </w:pPr>
      <w:r>
        <w:rPr>
          <w:rFonts w:hint="eastAsia"/>
        </w:rPr>
        <w:t>提供既往信息浏览功能，对多次入院患者，医生能直接查看患者既往病历资料信息，包括：病历内容、检验、检查、医嘱、生命体征、首页、既往病历；</w:t>
      </w:r>
    </w:p>
    <w:p>
      <w:pPr>
        <w:numPr>
          <w:ilvl w:val="0"/>
          <w:numId w:val="0"/>
        </w:numPr>
        <w:ind w:leftChars="0"/>
        <w:rPr>
          <w:rFonts w:hint="eastAsia"/>
        </w:rPr>
      </w:pPr>
      <w:r>
        <w:rPr>
          <w:rFonts w:hint="eastAsia"/>
        </w:rPr>
        <w:t>提供诊疗时间轴浏览功能，以时间为横轴，以临床事件为纵轴，将患者每天重要临床信息以可视化的形式展示，并动态的显示原始报告，可显示的信息为：体温单信息、检查检验信息、病历文书和主要的处置。</w:t>
      </w:r>
    </w:p>
    <w:p>
      <w:pPr>
        <w:numPr>
          <w:ilvl w:val="0"/>
          <w:numId w:val="0"/>
        </w:numPr>
        <w:ind w:leftChars="0"/>
        <w:rPr>
          <w:rFonts w:hint="eastAsia"/>
        </w:rPr>
      </w:pPr>
      <w:bookmarkStart w:id="72" w:name="_Toc23838"/>
      <w:bookmarkStart w:id="73" w:name="_Toc10416"/>
      <w:r>
        <w:rPr>
          <w:rFonts w:hint="eastAsia"/>
        </w:rPr>
        <w:t>1.7病历召回</w:t>
      </w:r>
      <w:bookmarkEnd w:id="72"/>
      <w:bookmarkEnd w:id="73"/>
    </w:p>
    <w:p>
      <w:pPr>
        <w:numPr>
          <w:ilvl w:val="0"/>
          <w:numId w:val="0"/>
        </w:numPr>
        <w:ind w:leftChars="0"/>
        <w:rPr>
          <w:rFonts w:hint="eastAsia"/>
        </w:rPr>
      </w:pPr>
      <w:r>
        <w:rPr>
          <w:rFonts w:hint="eastAsia"/>
        </w:rPr>
        <w:t>提供病案召回申请功能，科室医生主动召回需要修改的已提交病案室的病历文书；</w:t>
      </w:r>
    </w:p>
    <w:p>
      <w:pPr>
        <w:numPr>
          <w:ilvl w:val="0"/>
          <w:numId w:val="0"/>
        </w:numPr>
        <w:ind w:leftChars="0"/>
        <w:rPr>
          <w:rFonts w:hint="eastAsia"/>
        </w:rPr>
      </w:pPr>
      <w:r>
        <w:rPr>
          <w:rFonts w:hint="eastAsia"/>
        </w:rPr>
        <w:t>提供病历召回列表查询功能，病案管理人员是否审批召回；</w:t>
      </w:r>
    </w:p>
    <w:p>
      <w:pPr>
        <w:numPr>
          <w:ilvl w:val="0"/>
          <w:numId w:val="0"/>
        </w:numPr>
        <w:ind w:leftChars="0"/>
        <w:rPr>
          <w:rFonts w:hint="eastAsia"/>
        </w:rPr>
      </w:pPr>
      <w:bookmarkStart w:id="74" w:name="_Toc5034"/>
      <w:bookmarkStart w:id="75" w:name="_Toc16872"/>
      <w:r>
        <w:rPr>
          <w:rFonts w:hint="eastAsia"/>
        </w:rPr>
        <w:t>1.8病案借阅</w:t>
      </w:r>
      <w:bookmarkEnd w:id="74"/>
      <w:bookmarkEnd w:id="75"/>
    </w:p>
    <w:p>
      <w:pPr>
        <w:numPr>
          <w:ilvl w:val="0"/>
          <w:numId w:val="0"/>
        </w:numPr>
        <w:ind w:leftChars="0"/>
        <w:rPr>
          <w:rFonts w:hint="eastAsia"/>
        </w:rPr>
      </w:pPr>
      <w:r>
        <w:rPr>
          <w:rFonts w:hint="eastAsia"/>
        </w:rPr>
        <w:t>提供病案借阅管理功能；</w:t>
      </w:r>
    </w:p>
    <w:p>
      <w:pPr>
        <w:numPr>
          <w:ilvl w:val="0"/>
          <w:numId w:val="0"/>
        </w:numPr>
        <w:ind w:leftChars="0"/>
        <w:rPr>
          <w:rFonts w:hint="eastAsia"/>
        </w:rPr>
      </w:pPr>
      <w:r>
        <w:rPr>
          <w:rFonts w:hint="eastAsia"/>
        </w:rPr>
        <w:t>提供病案借阅申请功能，临床医生可自主定义条件查询需要借阅的病案；</w:t>
      </w:r>
    </w:p>
    <w:p>
      <w:pPr>
        <w:numPr>
          <w:ilvl w:val="0"/>
          <w:numId w:val="0"/>
        </w:numPr>
        <w:ind w:leftChars="0"/>
        <w:rPr>
          <w:rFonts w:hint="eastAsia"/>
        </w:rPr>
      </w:pPr>
      <w:r>
        <w:rPr>
          <w:rFonts w:hint="eastAsia"/>
        </w:rPr>
        <w:t>提供病案借阅申请列表管理功能；</w:t>
      </w:r>
    </w:p>
    <w:p>
      <w:pPr>
        <w:numPr>
          <w:ilvl w:val="0"/>
          <w:numId w:val="0"/>
        </w:numPr>
        <w:ind w:leftChars="0"/>
        <w:rPr>
          <w:rFonts w:hint="eastAsia"/>
        </w:rPr>
      </w:pPr>
      <w:r>
        <w:rPr>
          <w:rFonts w:hint="eastAsia"/>
        </w:rPr>
        <w:t>提供病案既往诊疗信息浏览功能；</w:t>
      </w:r>
    </w:p>
    <w:p>
      <w:pPr>
        <w:numPr>
          <w:ilvl w:val="0"/>
          <w:numId w:val="0"/>
        </w:numPr>
        <w:ind w:leftChars="0"/>
        <w:rPr>
          <w:rFonts w:hint="eastAsia"/>
        </w:rPr>
      </w:pPr>
      <w:r>
        <w:rPr>
          <w:rFonts w:hint="eastAsia"/>
        </w:rPr>
        <w:t>提供借阅病案浏览功能，对已借阅的病案，系统只提供浏览功能，不能对借阅的病案做增加、修改、删除的操作；</w:t>
      </w:r>
    </w:p>
    <w:p>
      <w:pPr>
        <w:numPr>
          <w:ilvl w:val="0"/>
          <w:numId w:val="0"/>
        </w:numPr>
        <w:ind w:leftChars="0"/>
        <w:rPr>
          <w:rFonts w:hint="eastAsia"/>
        </w:rPr>
      </w:pPr>
      <w:r>
        <w:rPr>
          <w:rFonts w:hint="eastAsia"/>
        </w:rPr>
        <w:t>提供查看借阅病案的入院记录、病程记录、出院记录、检验报告、检查报告、医嘱信息、生命体征、病案首页等功能；</w:t>
      </w:r>
    </w:p>
    <w:p>
      <w:pPr>
        <w:numPr>
          <w:ilvl w:val="0"/>
          <w:numId w:val="0"/>
        </w:numPr>
        <w:ind w:leftChars="0"/>
        <w:rPr>
          <w:rFonts w:hint="eastAsia"/>
        </w:rPr>
      </w:pPr>
      <w:bookmarkStart w:id="76" w:name="_Toc19295"/>
      <w:bookmarkStart w:id="77" w:name="_Toc22695"/>
      <w:r>
        <w:rPr>
          <w:rFonts w:hint="eastAsia"/>
        </w:rPr>
        <w:t>1.9既往病历</w:t>
      </w:r>
      <w:bookmarkEnd w:id="76"/>
      <w:bookmarkEnd w:id="77"/>
    </w:p>
    <w:p>
      <w:pPr>
        <w:numPr>
          <w:ilvl w:val="0"/>
          <w:numId w:val="0"/>
        </w:numPr>
        <w:ind w:leftChars="0"/>
        <w:rPr>
          <w:rFonts w:hint="eastAsia"/>
        </w:rPr>
      </w:pPr>
      <w:r>
        <w:rPr>
          <w:rFonts w:hint="eastAsia"/>
        </w:rPr>
        <w:t>提供既往病历查阅功能，医生能直接查看患者既往病历资料信息，包括：病历内容、检验、检查、医嘱、生命体征、首页、既往病历；</w:t>
      </w:r>
    </w:p>
    <w:p>
      <w:pPr>
        <w:numPr>
          <w:ilvl w:val="0"/>
          <w:numId w:val="0"/>
        </w:numPr>
        <w:ind w:leftChars="0"/>
        <w:rPr>
          <w:rFonts w:hint="eastAsia"/>
        </w:rPr>
      </w:pPr>
      <w:bookmarkStart w:id="78" w:name="_Toc2664"/>
      <w:bookmarkStart w:id="79" w:name="_Toc23264"/>
      <w:r>
        <w:rPr>
          <w:rFonts w:hint="eastAsia"/>
        </w:rPr>
        <w:t>1.10质量自评</w:t>
      </w:r>
      <w:bookmarkEnd w:id="78"/>
      <w:bookmarkEnd w:id="79"/>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提供医生质量自评功能，医生自主对管床患者的病历文书自查，系统自动进行评分，并提示医生扣分项目；</w:t>
      </w:r>
    </w:p>
    <w:p>
      <w:pPr>
        <w:numPr>
          <w:ilvl w:val="0"/>
          <w:numId w:val="0"/>
        </w:numPr>
        <w:ind w:leftChars="0"/>
        <w:rPr>
          <w:rFonts w:hint="eastAsia"/>
        </w:rPr>
      </w:pPr>
      <w:bookmarkStart w:id="80" w:name="_Toc28268"/>
      <w:r>
        <w:rPr>
          <w:rFonts w:hint="eastAsia"/>
        </w:rPr>
        <w:t>2临床护理</w:t>
      </w:r>
      <w:bookmarkEnd w:id="80"/>
    </w:p>
    <w:p>
      <w:pPr>
        <w:numPr>
          <w:ilvl w:val="0"/>
          <w:numId w:val="0"/>
        </w:numPr>
        <w:ind w:leftChars="0"/>
        <w:rPr>
          <w:rFonts w:hint="eastAsia"/>
        </w:rPr>
      </w:pPr>
      <w:bookmarkStart w:id="81" w:name="_Toc31695"/>
      <w:bookmarkStart w:id="82" w:name="_Toc7014"/>
      <w:r>
        <w:rPr>
          <w:rFonts w:hint="eastAsia"/>
        </w:rPr>
        <w:t>2.1患者总览</w:t>
      </w:r>
      <w:bookmarkEnd w:id="81"/>
      <w:bookmarkEnd w:id="82"/>
    </w:p>
    <w:p>
      <w:pPr>
        <w:numPr>
          <w:ilvl w:val="0"/>
          <w:numId w:val="0"/>
        </w:numPr>
        <w:ind w:leftChars="0"/>
        <w:rPr>
          <w:rFonts w:hint="eastAsia"/>
        </w:rPr>
      </w:pPr>
      <w:r>
        <w:rPr>
          <w:rFonts w:hint="eastAsia"/>
        </w:rPr>
        <w:t>提供床头卡或列表方式显示患者功能，用不同的颜色显示患者状态；</w:t>
      </w:r>
    </w:p>
    <w:p>
      <w:pPr>
        <w:numPr>
          <w:ilvl w:val="0"/>
          <w:numId w:val="0"/>
        </w:numPr>
        <w:ind w:leftChars="0"/>
        <w:rPr>
          <w:rFonts w:hint="eastAsia"/>
        </w:rPr>
      </w:pPr>
      <w:r>
        <w:rPr>
          <w:rFonts w:hint="eastAsia"/>
        </w:rPr>
        <w:t>提供床位使用情况提醒；</w:t>
      </w:r>
    </w:p>
    <w:p>
      <w:pPr>
        <w:numPr>
          <w:ilvl w:val="0"/>
          <w:numId w:val="0"/>
        </w:numPr>
        <w:ind w:leftChars="0"/>
        <w:rPr>
          <w:rFonts w:hint="eastAsia"/>
        </w:rPr>
      </w:pPr>
      <w:r>
        <w:rPr>
          <w:rFonts w:hint="eastAsia"/>
        </w:rPr>
        <w:t>提供患者检索功能，包括三个患者列表：在科患者、转出患者、已出院未签收；</w:t>
      </w:r>
    </w:p>
    <w:p>
      <w:pPr>
        <w:numPr>
          <w:ilvl w:val="0"/>
          <w:numId w:val="0"/>
        </w:numPr>
        <w:ind w:leftChars="0"/>
        <w:rPr>
          <w:rFonts w:hint="eastAsia"/>
        </w:rPr>
      </w:pPr>
      <w:r>
        <w:rPr>
          <w:rFonts w:hint="eastAsia"/>
        </w:rPr>
        <w:t>提供通知公告信息浏览功能；</w:t>
      </w:r>
    </w:p>
    <w:p>
      <w:pPr>
        <w:numPr>
          <w:ilvl w:val="0"/>
          <w:numId w:val="0"/>
        </w:numPr>
        <w:ind w:leftChars="0"/>
        <w:rPr>
          <w:rFonts w:hint="eastAsia"/>
        </w:rPr>
      </w:pPr>
      <w:r>
        <w:rPr>
          <w:rFonts w:hint="eastAsia"/>
        </w:rPr>
        <w:t>提供日常工作提醒功能，包括：体温单未录入信息、入院护理评估单、压疮评估风险单、跌倒风险评估单、今日生日患者、高龄患者；</w:t>
      </w:r>
    </w:p>
    <w:p>
      <w:pPr>
        <w:numPr>
          <w:ilvl w:val="0"/>
          <w:numId w:val="0"/>
        </w:numPr>
        <w:ind w:leftChars="0"/>
        <w:rPr>
          <w:rFonts w:hint="eastAsia"/>
        </w:rPr>
      </w:pPr>
      <w:bookmarkStart w:id="83" w:name="_Toc3545"/>
      <w:bookmarkStart w:id="84" w:name="_Toc4353"/>
      <w:r>
        <w:rPr>
          <w:rFonts w:hint="eastAsia"/>
        </w:rPr>
        <w:t>2.2体温单</w:t>
      </w:r>
      <w:bookmarkEnd w:id="83"/>
      <w:bookmarkEnd w:id="84"/>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 xml:space="preserve">▲提供自动生成体温曲线图的功能； </w:t>
      </w:r>
    </w:p>
    <w:p>
      <w:pPr>
        <w:numPr>
          <w:ilvl w:val="0"/>
          <w:numId w:val="0"/>
        </w:numPr>
        <w:ind w:leftChars="0"/>
        <w:rPr>
          <w:rFonts w:hint="eastAsia"/>
        </w:rPr>
      </w:pPr>
      <w:r>
        <w:rPr>
          <w:rFonts w:hint="eastAsia"/>
        </w:rPr>
        <w:t>▲提供批量录入患者生命体征信息的功能；</w:t>
      </w:r>
    </w:p>
    <w:p>
      <w:pPr>
        <w:numPr>
          <w:ilvl w:val="0"/>
          <w:numId w:val="0"/>
        </w:numPr>
        <w:ind w:leftChars="0"/>
        <w:rPr>
          <w:rFonts w:hint="eastAsia"/>
        </w:rPr>
      </w:pPr>
      <w:r>
        <w:rPr>
          <w:rFonts w:hint="eastAsia"/>
        </w:rPr>
        <w:t>提供体温单打印功能；</w:t>
      </w:r>
    </w:p>
    <w:p>
      <w:pPr>
        <w:numPr>
          <w:ilvl w:val="0"/>
          <w:numId w:val="0"/>
        </w:numPr>
        <w:ind w:leftChars="0"/>
        <w:rPr>
          <w:rFonts w:hint="eastAsia"/>
        </w:rPr>
      </w:pPr>
      <w:bookmarkStart w:id="85" w:name="_Toc6407"/>
      <w:bookmarkStart w:id="86" w:name="_Toc32013"/>
      <w:r>
        <w:rPr>
          <w:rFonts w:hint="eastAsia"/>
        </w:rPr>
        <w:t>2.3护理记录</w:t>
      </w:r>
      <w:bookmarkEnd w:id="85"/>
      <w:bookmarkEnd w:id="86"/>
    </w:p>
    <w:p>
      <w:pPr>
        <w:numPr>
          <w:ilvl w:val="0"/>
          <w:numId w:val="0"/>
        </w:numPr>
        <w:ind w:leftChars="0"/>
        <w:rPr>
          <w:rFonts w:hint="eastAsia"/>
        </w:rPr>
      </w:pPr>
      <w:r>
        <w:rPr>
          <w:rFonts w:hint="eastAsia"/>
        </w:rPr>
        <w:t>提供可隐藏患者列表浏览、锁定功能；</w:t>
      </w:r>
    </w:p>
    <w:p>
      <w:pPr>
        <w:numPr>
          <w:ilvl w:val="0"/>
          <w:numId w:val="0"/>
        </w:numPr>
        <w:ind w:leftChars="0"/>
        <w:rPr>
          <w:rFonts w:hint="eastAsia"/>
        </w:rPr>
      </w:pPr>
      <w:r>
        <w:rPr>
          <w:rFonts w:hint="eastAsia"/>
        </w:rPr>
        <w:t>提供护理记录录入及打印功能；</w:t>
      </w:r>
    </w:p>
    <w:p>
      <w:pPr>
        <w:numPr>
          <w:ilvl w:val="0"/>
          <w:numId w:val="0"/>
        </w:numPr>
        <w:ind w:leftChars="0"/>
        <w:rPr>
          <w:rFonts w:hint="eastAsia"/>
        </w:rPr>
      </w:pPr>
      <w:r>
        <w:rPr>
          <w:rFonts w:hint="eastAsia"/>
        </w:rPr>
        <w:t>提供出入量、护理记录知识库、临床数据提供窗口、书写助手等功能；</w:t>
      </w:r>
    </w:p>
    <w:p>
      <w:pPr>
        <w:numPr>
          <w:ilvl w:val="0"/>
          <w:numId w:val="0"/>
        </w:numPr>
        <w:ind w:leftChars="0"/>
        <w:rPr>
          <w:rFonts w:hint="eastAsia"/>
        </w:rPr>
      </w:pPr>
      <w:r>
        <w:rPr>
          <w:rFonts w:hint="eastAsia"/>
        </w:rPr>
        <w:t>提供护理记录分段书写、连续打印显示功能；</w:t>
      </w:r>
    </w:p>
    <w:p>
      <w:pPr>
        <w:numPr>
          <w:ilvl w:val="0"/>
          <w:numId w:val="0"/>
        </w:numPr>
        <w:ind w:leftChars="0"/>
        <w:rPr>
          <w:rFonts w:hint="eastAsia"/>
        </w:rPr>
      </w:pPr>
      <w:r>
        <w:rPr>
          <w:rFonts w:hint="eastAsia"/>
        </w:rPr>
        <w:t>提供护理记录打印预览功能；</w:t>
      </w:r>
    </w:p>
    <w:p>
      <w:pPr>
        <w:numPr>
          <w:ilvl w:val="0"/>
          <w:numId w:val="0"/>
        </w:numPr>
        <w:ind w:leftChars="0"/>
        <w:rPr>
          <w:rFonts w:hint="eastAsia"/>
        </w:rPr>
      </w:pPr>
      <w:r>
        <w:rPr>
          <w:rFonts w:hint="eastAsia"/>
        </w:rPr>
        <w:t>提供护理记录打印、选择打印、续打、奇偶页打印等功能</w:t>
      </w:r>
    </w:p>
    <w:p>
      <w:pPr>
        <w:numPr>
          <w:ilvl w:val="0"/>
          <w:numId w:val="0"/>
        </w:numPr>
        <w:ind w:leftChars="0"/>
        <w:rPr>
          <w:rFonts w:hint="eastAsia"/>
        </w:rPr>
      </w:pPr>
      <w:bookmarkStart w:id="87" w:name="_Toc27411"/>
      <w:bookmarkStart w:id="88" w:name="_Toc26428"/>
      <w:r>
        <w:rPr>
          <w:rFonts w:hint="eastAsia"/>
        </w:rPr>
        <w:t>2.4整体录入</w:t>
      </w:r>
      <w:bookmarkEnd w:id="87"/>
      <w:bookmarkEnd w:id="88"/>
    </w:p>
    <w:p>
      <w:pPr>
        <w:numPr>
          <w:ilvl w:val="0"/>
          <w:numId w:val="0"/>
        </w:numPr>
        <w:ind w:leftChars="0"/>
        <w:rPr>
          <w:rFonts w:hint="eastAsia"/>
        </w:rPr>
      </w:pPr>
      <w:r>
        <w:rPr>
          <w:rFonts w:hint="eastAsia"/>
        </w:rPr>
        <w:t>提供按时间整体录入患者体温、脉搏、呼吸、血压等信息的功能；</w:t>
      </w:r>
    </w:p>
    <w:p>
      <w:pPr>
        <w:numPr>
          <w:ilvl w:val="0"/>
          <w:numId w:val="0"/>
        </w:numPr>
        <w:ind w:leftChars="0"/>
        <w:rPr>
          <w:rFonts w:hint="eastAsia"/>
        </w:rPr>
      </w:pPr>
      <w:bookmarkStart w:id="89" w:name="_Toc13255"/>
      <w:bookmarkStart w:id="90" w:name="_Toc7932"/>
      <w:r>
        <w:rPr>
          <w:rFonts w:hint="eastAsia"/>
        </w:rPr>
        <w:t>2.5首次评估</w:t>
      </w:r>
      <w:bookmarkEnd w:id="89"/>
      <w:bookmarkEnd w:id="90"/>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提供护理文档中心，包括三个列表：未完成文书、已书写文书、最近操作文书；</w:t>
      </w:r>
    </w:p>
    <w:p>
      <w:pPr>
        <w:numPr>
          <w:ilvl w:val="0"/>
          <w:numId w:val="0"/>
        </w:numPr>
        <w:ind w:leftChars="0"/>
        <w:rPr>
          <w:rFonts w:hint="eastAsia"/>
        </w:rPr>
      </w:pPr>
      <w:r>
        <w:rPr>
          <w:rFonts w:hint="eastAsia"/>
        </w:rPr>
        <w:t>护理评估模板包括：入院患者评估单、护理健康教育记录单、护理评估记录表等；</w:t>
      </w:r>
    </w:p>
    <w:p>
      <w:pPr>
        <w:numPr>
          <w:ilvl w:val="0"/>
          <w:numId w:val="0"/>
        </w:numPr>
        <w:ind w:leftChars="0"/>
        <w:rPr>
          <w:rFonts w:hint="eastAsia"/>
        </w:rPr>
      </w:pPr>
      <w:r>
        <w:rPr>
          <w:rFonts w:hint="eastAsia"/>
        </w:rPr>
        <w:t>护理评估表单录入功能同医疗文书书写功能；</w:t>
      </w:r>
    </w:p>
    <w:p>
      <w:pPr>
        <w:numPr>
          <w:ilvl w:val="0"/>
          <w:numId w:val="0"/>
        </w:numPr>
        <w:ind w:leftChars="0"/>
        <w:rPr>
          <w:rFonts w:hint="eastAsia"/>
        </w:rPr>
      </w:pPr>
      <w:r>
        <w:rPr>
          <w:rFonts w:hint="eastAsia"/>
        </w:rPr>
        <w:t>提供护理评估功能，对手术、压疮患者进行护理评估单录入及打印；</w:t>
      </w:r>
    </w:p>
    <w:p>
      <w:pPr>
        <w:numPr>
          <w:ilvl w:val="0"/>
          <w:numId w:val="0"/>
        </w:numPr>
        <w:ind w:leftChars="0"/>
        <w:rPr>
          <w:rFonts w:hint="eastAsia"/>
        </w:rPr>
      </w:pPr>
      <w:bookmarkStart w:id="91" w:name="_Toc26004"/>
      <w:bookmarkStart w:id="92" w:name="_Toc31684"/>
      <w:r>
        <w:rPr>
          <w:rFonts w:hint="eastAsia"/>
        </w:rPr>
        <w:t>2.6病案首页</w:t>
      </w:r>
      <w:bookmarkEnd w:id="91"/>
      <w:bookmarkEnd w:id="92"/>
    </w:p>
    <w:p>
      <w:pPr>
        <w:numPr>
          <w:ilvl w:val="0"/>
          <w:numId w:val="0"/>
        </w:numPr>
        <w:ind w:leftChars="0"/>
        <w:rPr>
          <w:rFonts w:hint="eastAsia"/>
        </w:rPr>
      </w:pPr>
      <w:r>
        <w:rPr>
          <w:rFonts w:hint="eastAsia"/>
        </w:rPr>
        <w:t>提供患者基本信息浏览、锁定功能；</w:t>
      </w:r>
    </w:p>
    <w:p>
      <w:pPr>
        <w:numPr>
          <w:ilvl w:val="0"/>
          <w:numId w:val="0"/>
        </w:numPr>
        <w:ind w:leftChars="0"/>
        <w:rPr>
          <w:rFonts w:hint="eastAsia"/>
        </w:rPr>
      </w:pPr>
      <w:r>
        <w:rPr>
          <w:rFonts w:hint="eastAsia"/>
        </w:rPr>
        <w:t>提供首页信息责任护士签名功能</w:t>
      </w:r>
    </w:p>
    <w:p>
      <w:pPr>
        <w:numPr>
          <w:ilvl w:val="0"/>
          <w:numId w:val="0"/>
        </w:numPr>
        <w:ind w:leftChars="0"/>
        <w:rPr>
          <w:rFonts w:hint="eastAsia"/>
        </w:rPr>
      </w:pPr>
      <w:r>
        <w:rPr>
          <w:rFonts w:hint="eastAsia"/>
        </w:rPr>
        <w:t>2.7提供检查报告查询功能（需要PACS、RIS系统公司配合提供相关接口程序）</w:t>
      </w:r>
    </w:p>
    <w:p>
      <w:pPr>
        <w:numPr>
          <w:ilvl w:val="0"/>
          <w:numId w:val="0"/>
        </w:numPr>
        <w:ind w:leftChars="0"/>
        <w:rPr>
          <w:rFonts w:hint="eastAsia"/>
        </w:rPr>
      </w:pPr>
      <w:r>
        <w:rPr>
          <w:rFonts w:hint="eastAsia"/>
        </w:rPr>
        <w:t>2.8提供检验报告浏览功能（需要LIS系统公司配合完成）</w:t>
      </w:r>
    </w:p>
    <w:p>
      <w:pPr>
        <w:numPr>
          <w:ilvl w:val="0"/>
          <w:numId w:val="0"/>
        </w:numPr>
        <w:ind w:leftChars="0"/>
        <w:rPr>
          <w:rFonts w:hint="eastAsia"/>
        </w:rPr>
      </w:pPr>
      <w:r>
        <w:rPr>
          <w:rFonts w:hint="eastAsia"/>
        </w:rPr>
        <w:t>2.9提供医嘱信息浏览功能（需要HIS系统公司配合完成）</w:t>
      </w:r>
    </w:p>
    <w:p>
      <w:pPr>
        <w:numPr>
          <w:ilvl w:val="0"/>
          <w:numId w:val="0"/>
        </w:numPr>
        <w:ind w:leftChars="0"/>
        <w:rPr>
          <w:rFonts w:hint="eastAsia"/>
        </w:rPr>
      </w:pPr>
      <w:bookmarkStart w:id="93" w:name="_Toc4895"/>
      <w:r>
        <w:rPr>
          <w:rFonts w:hint="eastAsia"/>
        </w:rPr>
        <w:t>3质控管理</w:t>
      </w:r>
      <w:bookmarkEnd w:id="93"/>
    </w:p>
    <w:p>
      <w:pPr>
        <w:numPr>
          <w:ilvl w:val="0"/>
          <w:numId w:val="0"/>
        </w:numPr>
        <w:ind w:leftChars="0"/>
        <w:rPr>
          <w:rFonts w:hint="eastAsia"/>
        </w:rPr>
      </w:pPr>
      <w:bookmarkStart w:id="94" w:name="_Toc19322"/>
      <w:bookmarkStart w:id="95" w:name="_Toc19865"/>
      <w:r>
        <w:rPr>
          <w:rFonts w:hint="eastAsia"/>
        </w:rPr>
        <w:t>3.1院级质控总览</w:t>
      </w:r>
      <w:bookmarkEnd w:id="94"/>
      <w:bookmarkEnd w:id="95"/>
    </w:p>
    <w:p>
      <w:pPr>
        <w:numPr>
          <w:ilvl w:val="0"/>
          <w:numId w:val="0"/>
        </w:numPr>
        <w:ind w:leftChars="0"/>
        <w:rPr>
          <w:rFonts w:hint="eastAsia"/>
        </w:rPr>
      </w:pPr>
      <w:r>
        <w:rPr>
          <w:rFonts w:hint="eastAsia"/>
        </w:rPr>
        <w:t>提供选择科室功能；</w:t>
      </w:r>
    </w:p>
    <w:p>
      <w:pPr>
        <w:numPr>
          <w:ilvl w:val="0"/>
          <w:numId w:val="0"/>
        </w:numPr>
        <w:ind w:leftChars="0"/>
        <w:rPr>
          <w:rFonts w:hint="eastAsia"/>
        </w:rPr>
      </w:pPr>
      <w:r>
        <w:rPr>
          <w:rFonts w:hint="eastAsia"/>
        </w:rPr>
        <w:t>提供一体化电子病历质控汇总表，院级质控信息按审查时间或科室查询所有科室在院患者的入院记录、首次病程记录、主治医查房、副主任以上医师查房、出院记录、阶段小结、抢救记录、转入记录、转出记录、手术记录、术后第一天病程记录、术后第二天病程记录、术后第三天病程记录、死亡记录、死亡讨论的不合格份数、总份数和百分比，手动质控；</w:t>
      </w:r>
    </w:p>
    <w:p>
      <w:pPr>
        <w:numPr>
          <w:ilvl w:val="0"/>
          <w:numId w:val="0"/>
        </w:numPr>
        <w:ind w:leftChars="0"/>
        <w:rPr>
          <w:rFonts w:hint="eastAsia"/>
        </w:rPr>
      </w:pPr>
      <w:bookmarkStart w:id="96" w:name="_Toc6062"/>
      <w:bookmarkStart w:id="97" w:name="_Toc28943"/>
      <w:r>
        <w:rPr>
          <w:rFonts w:hint="eastAsia"/>
        </w:rPr>
        <w:t>3.2终末质控</w:t>
      </w:r>
      <w:bookmarkEnd w:id="96"/>
      <w:bookmarkEnd w:id="97"/>
    </w:p>
    <w:p>
      <w:pPr>
        <w:numPr>
          <w:ilvl w:val="0"/>
          <w:numId w:val="0"/>
        </w:numPr>
        <w:ind w:leftChars="0"/>
        <w:rPr>
          <w:rFonts w:hint="eastAsia"/>
        </w:rPr>
      </w:pPr>
      <w:r>
        <w:rPr>
          <w:rFonts w:hint="eastAsia"/>
        </w:rPr>
        <w:t>▲提供出院已签收患者列表查询功能；</w:t>
      </w:r>
    </w:p>
    <w:p>
      <w:pPr>
        <w:numPr>
          <w:ilvl w:val="0"/>
          <w:numId w:val="0"/>
        </w:numPr>
        <w:ind w:leftChars="0"/>
        <w:rPr>
          <w:rFonts w:hint="eastAsia"/>
        </w:rPr>
      </w:pPr>
      <w:r>
        <w:rPr>
          <w:rFonts w:hint="eastAsia"/>
        </w:rPr>
        <w:t>提供病案终末质控评分功能，按病历列表对出院已签收患者进行病历内容的终末检查，发现内容缺陷的同时发送整改通知将缺陷的病历打回到临床医疗工作界面修改；</w:t>
      </w:r>
    </w:p>
    <w:p>
      <w:pPr>
        <w:numPr>
          <w:ilvl w:val="0"/>
          <w:numId w:val="0"/>
        </w:numPr>
        <w:ind w:leftChars="0"/>
        <w:rPr>
          <w:rFonts w:hint="eastAsia"/>
        </w:rPr>
      </w:pPr>
      <w:r>
        <w:rPr>
          <w:rFonts w:hint="eastAsia"/>
        </w:rPr>
        <w:t>▲提供医嘱本浏览功能；</w:t>
      </w:r>
    </w:p>
    <w:p>
      <w:pPr>
        <w:numPr>
          <w:ilvl w:val="0"/>
          <w:numId w:val="0"/>
        </w:numPr>
        <w:ind w:leftChars="0"/>
        <w:rPr>
          <w:rFonts w:hint="eastAsia"/>
        </w:rPr>
      </w:pPr>
      <w:r>
        <w:rPr>
          <w:rFonts w:hint="eastAsia"/>
        </w:rPr>
        <w:t>提供检查报告浏览功能；</w:t>
      </w:r>
    </w:p>
    <w:p>
      <w:pPr>
        <w:numPr>
          <w:ilvl w:val="0"/>
          <w:numId w:val="0"/>
        </w:numPr>
        <w:ind w:leftChars="0"/>
        <w:rPr>
          <w:rFonts w:hint="eastAsia"/>
        </w:rPr>
      </w:pPr>
      <w:r>
        <w:rPr>
          <w:rFonts w:hint="eastAsia"/>
        </w:rPr>
        <w:t>提供检验报告浏览功能；</w:t>
      </w:r>
    </w:p>
    <w:p>
      <w:pPr>
        <w:numPr>
          <w:ilvl w:val="0"/>
          <w:numId w:val="0"/>
        </w:numPr>
        <w:ind w:leftChars="0"/>
        <w:rPr>
          <w:rFonts w:hint="eastAsia"/>
        </w:rPr>
      </w:pPr>
      <w:r>
        <w:rPr>
          <w:rFonts w:hint="eastAsia"/>
        </w:rPr>
        <w:t>提供按报告时间浏览检验报告功能；</w:t>
      </w:r>
    </w:p>
    <w:p>
      <w:pPr>
        <w:numPr>
          <w:ilvl w:val="0"/>
          <w:numId w:val="0"/>
        </w:numPr>
        <w:ind w:leftChars="0"/>
        <w:rPr>
          <w:rFonts w:hint="eastAsia"/>
        </w:rPr>
      </w:pPr>
      <w:bookmarkStart w:id="98" w:name="_Toc31087"/>
      <w:bookmarkStart w:id="99" w:name="_Toc16813"/>
      <w:r>
        <w:rPr>
          <w:rFonts w:hint="eastAsia"/>
        </w:rPr>
        <w:t>3.3质控追踪</w:t>
      </w:r>
      <w:bookmarkEnd w:id="98"/>
      <w:bookmarkEnd w:id="99"/>
    </w:p>
    <w:p>
      <w:pPr>
        <w:numPr>
          <w:ilvl w:val="0"/>
          <w:numId w:val="0"/>
        </w:numPr>
        <w:ind w:leftChars="0"/>
        <w:rPr>
          <w:rFonts w:hint="eastAsia"/>
        </w:rPr>
      </w:pPr>
      <w:r>
        <w:rPr>
          <w:rFonts w:hint="eastAsia"/>
        </w:rPr>
        <w:t>提供院级质控追踪功能，对各科室发送过整改通知的患者病历修改后追踪，再次检查病历修改后内容是否符合修改要求，并对修改内容进行确认签字；</w:t>
      </w:r>
    </w:p>
    <w:p>
      <w:pPr>
        <w:numPr>
          <w:ilvl w:val="0"/>
          <w:numId w:val="0"/>
        </w:numPr>
        <w:ind w:leftChars="0"/>
        <w:rPr>
          <w:rFonts w:hint="eastAsia"/>
        </w:rPr>
      </w:pPr>
      <w:bookmarkStart w:id="100" w:name="_Toc1461"/>
      <w:bookmarkStart w:id="101" w:name="_Toc8713"/>
      <w:r>
        <w:rPr>
          <w:rFonts w:hint="eastAsia"/>
        </w:rPr>
        <w:t>3.4终末评分</w:t>
      </w:r>
      <w:bookmarkEnd w:id="100"/>
      <w:bookmarkEnd w:id="101"/>
    </w:p>
    <w:p>
      <w:pPr>
        <w:numPr>
          <w:ilvl w:val="0"/>
          <w:numId w:val="0"/>
        </w:numPr>
        <w:ind w:leftChars="0"/>
        <w:rPr>
          <w:rFonts w:hint="eastAsia"/>
        </w:rPr>
      </w:pPr>
      <w:r>
        <w:rPr>
          <w:rFonts w:hint="eastAsia"/>
        </w:rPr>
        <w:t>提供质控评分调整功能，院级质控人员根据病历实际情况对患者的扣分项目进行调整；</w:t>
      </w:r>
    </w:p>
    <w:p>
      <w:pPr>
        <w:numPr>
          <w:ilvl w:val="0"/>
          <w:numId w:val="0"/>
        </w:numPr>
        <w:ind w:leftChars="0"/>
        <w:rPr>
          <w:rFonts w:hint="eastAsia"/>
        </w:rPr>
      </w:pPr>
      <w:bookmarkStart w:id="102" w:name="_Toc1880"/>
      <w:bookmarkStart w:id="103" w:name="_Toc14244"/>
      <w:r>
        <w:rPr>
          <w:rFonts w:hint="eastAsia"/>
        </w:rPr>
        <w:t>3.5评分设置</w:t>
      </w:r>
      <w:bookmarkEnd w:id="102"/>
      <w:bookmarkEnd w:id="103"/>
    </w:p>
    <w:p>
      <w:pPr>
        <w:numPr>
          <w:ilvl w:val="0"/>
          <w:numId w:val="0"/>
        </w:numPr>
        <w:ind w:leftChars="0"/>
        <w:rPr>
          <w:rFonts w:hint="eastAsia"/>
        </w:rPr>
      </w:pPr>
      <w:r>
        <w:rPr>
          <w:rFonts w:hint="eastAsia"/>
        </w:rPr>
        <w:t>提供病案评分标准维护功能；</w:t>
      </w:r>
    </w:p>
    <w:p>
      <w:pPr>
        <w:numPr>
          <w:ilvl w:val="0"/>
          <w:numId w:val="0"/>
        </w:numPr>
        <w:ind w:leftChars="0"/>
        <w:rPr>
          <w:rFonts w:hint="eastAsia"/>
        </w:rPr>
      </w:pPr>
      <w:r>
        <w:rPr>
          <w:rFonts w:hint="eastAsia"/>
        </w:rPr>
        <w:t>病案评分分类维护功能；</w:t>
      </w:r>
    </w:p>
    <w:p>
      <w:pPr>
        <w:numPr>
          <w:ilvl w:val="0"/>
          <w:numId w:val="0"/>
        </w:numPr>
        <w:ind w:leftChars="0"/>
        <w:rPr>
          <w:rFonts w:hint="eastAsia"/>
        </w:rPr>
      </w:pPr>
      <w:r>
        <w:rPr>
          <w:rFonts w:hint="eastAsia"/>
        </w:rPr>
        <w:t>提供病案评分类别和模板分类关联维护功能；</w:t>
      </w:r>
    </w:p>
    <w:p>
      <w:pPr>
        <w:numPr>
          <w:ilvl w:val="0"/>
          <w:numId w:val="0"/>
        </w:numPr>
        <w:ind w:leftChars="0"/>
        <w:rPr>
          <w:rFonts w:hint="eastAsia"/>
        </w:rPr>
      </w:pPr>
      <w:bookmarkStart w:id="104" w:name="_Toc2242"/>
      <w:r>
        <w:rPr>
          <w:rFonts w:hint="eastAsia"/>
        </w:rPr>
        <w:t>4病案管理</w:t>
      </w:r>
      <w:bookmarkEnd w:id="104"/>
    </w:p>
    <w:p>
      <w:pPr>
        <w:numPr>
          <w:ilvl w:val="0"/>
          <w:numId w:val="0"/>
        </w:numPr>
        <w:ind w:leftChars="0"/>
        <w:rPr>
          <w:rFonts w:hint="eastAsia"/>
        </w:rPr>
      </w:pPr>
      <w:bookmarkStart w:id="105" w:name="_Toc24339"/>
      <w:bookmarkStart w:id="106" w:name="_Toc10626"/>
      <w:r>
        <w:rPr>
          <w:rFonts w:hint="eastAsia"/>
        </w:rPr>
        <w:t>4.1病案签收</w:t>
      </w:r>
      <w:bookmarkEnd w:id="105"/>
      <w:bookmarkEnd w:id="106"/>
    </w:p>
    <w:p>
      <w:pPr>
        <w:numPr>
          <w:ilvl w:val="0"/>
          <w:numId w:val="0"/>
        </w:numPr>
        <w:ind w:leftChars="0"/>
        <w:rPr>
          <w:rFonts w:hint="eastAsia"/>
        </w:rPr>
      </w:pPr>
      <w:r>
        <w:rPr>
          <w:rFonts w:hint="eastAsia"/>
        </w:rPr>
        <w:t>提供出院提交病案“纸质病历签收”功能，在一定时间内的，医生提交的单个出院患者电子病案后，由病案室人员确认后进行电子签收；</w:t>
      </w:r>
    </w:p>
    <w:p>
      <w:pPr>
        <w:numPr>
          <w:ilvl w:val="0"/>
          <w:numId w:val="0"/>
        </w:numPr>
        <w:ind w:leftChars="0"/>
        <w:rPr>
          <w:rFonts w:hint="eastAsia"/>
        </w:rPr>
      </w:pPr>
      <w:r>
        <w:rPr>
          <w:rFonts w:hint="eastAsia"/>
        </w:rPr>
        <w:t>提供出院提交病案群签的功能，在一定时间内的，所有出院病历由医生提交到电子病案室后，病案室人员可以直接选择全部签收；</w:t>
      </w:r>
    </w:p>
    <w:p>
      <w:pPr>
        <w:numPr>
          <w:ilvl w:val="0"/>
          <w:numId w:val="0"/>
        </w:numPr>
        <w:ind w:leftChars="0"/>
        <w:rPr>
          <w:rFonts w:hint="eastAsia"/>
        </w:rPr>
      </w:pPr>
      <w:bookmarkStart w:id="107" w:name="_Toc17365"/>
      <w:bookmarkStart w:id="108" w:name="_Toc19434"/>
      <w:r>
        <w:rPr>
          <w:rFonts w:hint="eastAsia"/>
        </w:rPr>
        <w:t>4.2终末评分</w:t>
      </w:r>
      <w:bookmarkEnd w:id="107"/>
      <w:bookmarkEnd w:id="108"/>
    </w:p>
    <w:p>
      <w:pPr>
        <w:numPr>
          <w:ilvl w:val="0"/>
          <w:numId w:val="0"/>
        </w:numPr>
        <w:ind w:leftChars="0"/>
        <w:rPr>
          <w:rFonts w:hint="eastAsia"/>
        </w:rPr>
      </w:pPr>
      <w:r>
        <w:rPr>
          <w:rFonts w:hint="eastAsia"/>
        </w:rPr>
        <w:t>提供质控评级调整功能，院级质控人员根据病历实际情况对患者的扣分项目评级进行调整；</w:t>
      </w:r>
    </w:p>
    <w:p>
      <w:pPr>
        <w:numPr>
          <w:ilvl w:val="0"/>
          <w:numId w:val="0"/>
        </w:numPr>
        <w:ind w:leftChars="0"/>
        <w:rPr>
          <w:rFonts w:hint="eastAsia"/>
        </w:rPr>
      </w:pPr>
      <w:bookmarkStart w:id="109" w:name="_Toc15316"/>
      <w:bookmarkStart w:id="110" w:name="_Toc20579"/>
      <w:r>
        <w:rPr>
          <w:rFonts w:hint="eastAsia"/>
        </w:rPr>
        <w:t>4.3病案编目</w:t>
      </w:r>
      <w:bookmarkEnd w:id="109"/>
      <w:bookmarkEnd w:id="110"/>
    </w:p>
    <w:p>
      <w:pPr>
        <w:numPr>
          <w:ilvl w:val="0"/>
          <w:numId w:val="0"/>
        </w:numPr>
        <w:ind w:leftChars="0"/>
        <w:rPr>
          <w:rFonts w:hint="eastAsia"/>
        </w:rPr>
      </w:pPr>
      <w:r>
        <w:rPr>
          <w:rFonts w:hint="eastAsia"/>
        </w:rPr>
        <w:t>提供患者筛选功能，包括：病案号、ID号、姓名、科室、出院时间等；</w:t>
      </w:r>
    </w:p>
    <w:p>
      <w:pPr>
        <w:numPr>
          <w:ilvl w:val="0"/>
          <w:numId w:val="0"/>
        </w:numPr>
        <w:ind w:leftChars="0"/>
        <w:rPr>
          <w:rFonts w:hint="eastAsia"/>
        </w:rPr>
      </w:pPr>
      <w:r>
        <w:rPr>
          <w:rFonts w:hint="eastAsia"/>
        </w:rPr>
        <w:t>★提供出院病案编目功能，对签收后的病案首页的疾病名称和手术名称编码进行修正确认；</w:t>
      </w:r>
    </w:p>
    <w:p>
      <w:pPr>
        <w:numPr>
          <w:ilvl w:val="0"/>
          <w:numId w:val="0"/>
        </w:numPr>
        <w:ind w:leftChars="0"/>
        <w:rPr>
          <w:rFonts w:hint="eastAsia"/>
        </w:rPr>
      </w:pPr>
      <w:bookmarkStart w:id="111" w:name="_Toc26979"/>
      <w:bookmarkStart w:id="112" w:name="_Toc25706"/>
      <w:r>
        <w:rPr>
          <w:rFonts w:hint="eastAsia"/>
        </w:rPr>
        <w:t>4.4病案归档</w:t>
      </w:r>
      <w:bookmarkEnd w:id="111"/>
      <w:bookmarkEnd w:id="112"/>
    </w:p>
    <w:p>
      <w:pPr>
        <w:numPr>
          <w:ilvl w:val="0"/>
          <w:numId w:val="0"/>
        </w:numPr>
        <w:ind w:leftChars="0"/>
        <w:rPr>
          <w:rFonts w:hint="eastAsia"/>
        </w:rPr>
      </w:pPr>
      <w:r>
        <w:rPr>
          <w:rFonts w:hint="eastAsia"/>
        </w:rPr>
        <w:t>★提供病案归档功能，主要是对出院患者的部分电子病案进行归档，包括入院记录、病程记录、手术记录、出院记录、死亡记录等文书；</w:t>
      </w:r>
    </w:p>
    <w:p>
      <w:pPr>
        <w:numPr>
          <w:ilvl w:val="0"/>
          <w:numId w:val="0"/>
        </w:numPr>
        <w:ind w:leftChars="0"/>
        <w:rPr>
          <w:rFonts w:hint="eastAsia"/>
        </w:rPr>
      </w:pPr>
      <w:r>
        <w:rPr>
          <w:rFonts w:hint="eastAsia"/>
        </w:rPr>
        <w:t>提供批量归档功能；</w:t>
      </w:r>
    </w:p>
    <w:p>
      <w:pPr>
        <w:numPr>
          <w:ilvl w:val="0"/>
          <w:numId w:val="0"/>
        </w:numPr>
        <w:ind w:leftChars="0"/>
        <w:rPr>
          <w:rFonts w:hint="eastAsia"/>
        </w:rPr>
      </w:pPr>
      <w:bookmarkStart w:id="113" w:name="_Toc31920"/>
      <w:bookmarkStart w:id="114" w:name="_Toc8383"/>
      <w:r>
        <w:rPr>
          <w:rFonts w:hint="eastAsia"/>
        </w:rPr>
        <w:t>4.5病案返修</w:t>
      </w:r>
      <w:bookmarkEnd w:id="113"/>
      <w:bookmarkEnd w:id="114"/>
    </w:p>
    <w:p>
      <w:pPr>
        <w:numPr>
          <w:ilvl w:val="0"/>
          <w:numId w:val="0"/>
        </w:numPr>
        <w:ind w:leftChars="0"/>
        <w:rPr>
          <w:rFonts w:hint="eastAsia"/>
        </w:rPr>
      </w:pPr>
      <w:r>
        <w:rPr>
          <w:rFonts w:hint="eastAsia"/>
        </w:rPr>
        <w:t>提供病案返修功能，对签收后的病案发现缺陷，病案室人员可以直接将需要修改的缺陷病历文书打回到医生工作站重新修改；</w:t>
      </w:r>
    </w:p>
    <w:p>
      <w:pPr>
        <w:numPr>
          <w:ilvl w:val="0"/>
          <w:numId w:val="0"/>
        </w:numPr>
        <w:ind w:leftChars="0"/>
        <w:rPr>
          <w:rFonts w:hint="eastAsia"/>
        </w:rPr>
      </w:pPr>
      <w:bookmarkStart w:id="115" w:name="_Toc29309"/>
      <w:bookmarkStart w:id="116" w:name="_Toc21187"/>
      <w:r>
        <w:rPr>
          <w:rFonts w:hint="eastAsia"/>
        </w:rPr>
        <w:t>4.6审批管理</w:t>
      </w:r>
      <w:bookmarkEnd w:id="115"/>
      <w:bookmarkEnd w:id="116"/>
    </w:p>
    <w:p>
      <w:pPr>
        <w:numPr>
          <w:ilvl w:val="0"/>
          <w:numId w:val="0"/>
        </w:numPr>
        <w:ind w:leftChars="0"/>
        <w:rPr>
          <w:rFonts w:hint="eastAsia"/>
        </w:rPr>
      </w:pPr>
      <w:r>
        <w:rPr>
          <w:rFonts w:hint="eastAsia"/>
        </w:rPr>
        <w:t>提供出院病案借阅审核功能，对医生提出借阅病案的要求进行审查和批复；</w:t>
      </w:r>
    </w:p>
    <w:p>
      <w:pPr>
        <w:numPr>
          <w:ilvl w:val="0"/>
          <w:numId w:val="0"/>
        </w:numPr>
        <w:ind w:leftChars="0"/>
        <w:rPr>
          <w:rFonts w:hint="eastAsia"/>
        </w:rPr>
      </w:pPr>
      <w:r>
        <w:rPr>
          <w:rFonts w:hint="eastAsia"/>
        </w:rPr>
        <w:t>提供病案召回审批功能；</w:t>
      </w:r>
    </w:p>
    <w:p>
      <w:pPr>
        <w:numPr>
          <w:ilvl w:val="0"/>
          <w:numId w:val="0"/>
        </w:numPr>
        <w:ind w:leftChars="0"/>
        <w:rPr>
          <w:rFonts w:hint="eastAsia"/>
        </w:rPr>
      </w:pPr>
      <w:bookmarkStart w:id="117" w:name="_Toc25130"/>
      <w:bookmarkStart w:id="118" w:name="_Toc11232"/>
      <w:r>
        <w:rPr>
          <w:rFonts w:hint="eastAsia"/>
        </w:rPr>
        <w:t>4.7登记管理</w:t>
      </w:r>
      <w:bookmarkEnd w:id="117"/>
      <w:bookmarkEnd w:id="118"/>
    </w:p>
    <w:p>
      <w:pPr>
        <w:numPr>
          <w:ilvl w:val="0"/>
          <w:numId w:val="0"/>
        </w:numPr>
        <w:ind w:leftChars="0"/>
        <w:rPr>
          <w:rFonts w:hint="eastAsia"/>
        </w:rPr>
      </w:pPr>
      <w:r>
        <w:rPr>
          <w:rFonts w:hint="eastAsia"/>
        </w:rPr>
        <w:t>提供复印登记和邮寄登记管理功能</w:t>
      </w:r>
    </w:p>
    <w:p>
      <w:pPr>
        <w:numPr>
          <w:ilvl w:val="0"/>
          <w:numId w:val="0"/>
        </w:numPr>
        <w:ind w:leftChars="0"/>
        <w:rPr>
          <w:rFonts w:hint="eastAsia"/>
        </w:rPr>
      </w:pPr>
      <w:r>
        <w:rPr>
          <w:rFonts w:hint="eastAsia"/>
        </w:rPr>
        <w:t>提供已归档病案复印标识功能，已复印过的病历文书，不能再进行病案召回修改；</w:t>
      </w:r>
    </w:p>
    <w:p>
      <w:pPr>
        <w:numPr>
          <w:ilvl w:val="0"/>
          <w:numId w:val="0"/>
        </w:numPr>
        <w:ind w:leftChars="0"/>
        <w:rPr>
          <w:rFonts w:hint="eastAsia"/>
        </w:rPr>
      </w:pPr>
      <w:r>
        <w:rPr>
          <w:rFonts w:hint="eastAsia"/>
        </w:rPr>
        <w:t>提供纸质病案借阅管理功能，包括借阅、归还、查询等，对借阅情况可进行图表统计；</w:t>
      </w:r>
    </w:p>
    <w:p>
      <w:pPr>
        <w:numPr>
          <w:ilvl w:val="0"/>
          <w:numId w:val="0"/>
        </w:numPr>
        <w:ind w:leftChars="0"/>
        <w:rPr>
          <w:rFonts w:hint="eastAsia"/>
        </w:rPr>
      </w:pPr>
      <w:bookmarkStart w:id="119" w:name="_Toc14614"/>
      <w:bookmarkStart w:id="120" w:name="_Toc11449"/>
      <w:r>
        <w:rPr>
          <w:rFonts w:hint="eastAsia"/>
        </w:rPr>
        <w:t>4.8病案浏览</w:t>
      </w:r>
      <w:bookmarkEnd w:id="119"/>
      <w:bookmarkEnd w:id="120"/>
    </w:p>
    <w:p>
      <w:pPr>
        <w:numPr>
          <w:ilvl w:val="0"/>
          <w:numId w:val="0"/>
        </w:numPr>
        <w:ind w:leftChars="0"/>
        <w:rPr>
          <w:rFonts w:hint="eastAsia"/>
        </w:rPr>
      </w:pPr>
      <w:r>
        <w:rPr>
          <w:rFonts w:hint="eastAsia"/>
        </w:rPr>
        <w:t>提供在院、出院、已签收、未签收、已归档患者检索功能；</w:t>
      </w:r>
    </w:p>
    <w:p>
      <w:pPr>
        <w:numPr>
          <w:ilvl w:val="0"/>
          <w:numId w:val="0"/>
        </w:numPr>
        <w:ind w:leftChars="0"/>
        <w:rPr>
          <w:rFonts w:hint="eastAsia"/>
        </w:rPr>
      </w:pPr>
      <w:r>
        <w:rPr>
          <w:rFonts w:hint="eastAsia"/>
        </w:rPr>
        <w:t>提供在院、出院、已签收、未签收、已归档患者浏览病历文书功能；</w:t>
      </w:r>
    </w:p>
    <w:p>
      <w:pPr>
        <w:numPr>
          <w:ilvl w:val="0"/>
          <w:numId w:val="0"/>
        </w:numPr>
        <w:ind w:leftChars="0"/>
        <w:rPr>
          <w:rFonts w:hint="eastAsia"/>
        </w:rPr>
      </w:pPr>
      <w:r>
        <w:rPr>
          <w:rFonts w:hint="eastAsia"/>
        </w:rPr>
        <w:t>提供诊疗时间轴浏览功能；以时间为横轴，以临床事件为纵轴，将患者每天重要临床信息以可视化的形式展示，并动态的显示原始报告，可显示的信息为：体温单信息、检查检验信息、病历文书和主要的处置。</w:t>
      </w:r>
    </w:p>
    <w:p>
      <w:pPr>
        <w:numPr>
          <w:ilvl w:val="0"/>
          <w:numId w:val="0"/>
        </w:numPr>
        <w:ind w:leftChars="0"/>
        <w:rPr>
          <w:rFonts w:hint="eastAsia"/>
        </w:rPr>
      </w:pPr>
      <w:r>
        <w:rPr>
          <w:rFonts w:hint="eastAsia"/>
        </w:rPr>
        <w:t>提供既往病历查阅功能，医生能直接查看患者既往病历资料信息，包括：病历内容、检验、检查、医嘱、生命体征、首页、既往病历；</w:t>
      </w:r>
    </w:p>
    <w:p>
      <w:pPr>
        <w:numPr>
          <w:ilvl w:val="0"/>
          <w:numId w:val="0"/>
        </w:numPr>
        <w:ind w:leftChars="0"/>
        <w:rPr>
          <w:rFonts w:hint="eastAsia"/>
        </w:rPr>
      </w:pPr>
      <w:r>
        <w:rPr>
          <w:rFonts w:hint="eastAsia"/>
        </w:rPr>
        <w:t>4.9提供病案首页打印功能；</w:t>
      </w:r>
    </w:p>
    <w:p>
      <w:pPr>
        <w:numPr>
          <w:ilvl w:val="0"/>
          <w:numId w:val="0"/>
        </w:numPr>
        <w:ind w:leftChars="0"/>
        <w:rPr>
          <w:rFonts w:hint="eastAsia"/>
        </w:rPr>
      </w:pPr>
      <w:r>
        <w:rPr>
          <w:rFonts w:hint="eastAsia"/>
        </w:rPr>
        <w:t>4.10病案打印</w:t>
      </w:r>
    </w:p>
    <w:p>
      <w:pPr>
        <w:numPr>
          <w:ilvl w:val="0"/>
          <w:numId w:val="0"/>
        </w:numPr>
        <w:ind w:leftChars="0"/>
        <w:rPr>
          <w:rFonts w:hint="eastAsia"/>
        </w:rPr>
      </w:pPr>
      <w:r>
        <w:rPr>
          <w:rFonts w:hint="eastAsia"/>
        </w:rPr>
        <w:t>提供病案浏览功能；</w:t>
      </w:r>
    </w:p>
    <w:p>
      <w:pPr>
        <w:numPr>
          <w:ilvl w:val="0"/>
          <w:numId w:val="0"/>
        </w:numPr>
        <w:ind w:leftChars="0"/>
        <w:rPr>
          <w:rFonts w:hint="eastAsia"/>
        </w:rPr>
      </w:pPr>
      <w:r>
        <w:rPr>
          <w:rFonts w:hint="eastAsia"/>
        </w:rPr>
        <w:t>提供病案首页打印功能；</w:t>
      </w:r>
    </w:p>
    <w:p>
      <w:pPr>
        <w:numPr>
          <w:ilvl w:val="0"/>
          <w:numId w:val="0"/>
        </w:numPr>
        <w:ind w:leftChars="0"/>
        <w:rPr>
          <w:rFonts w:hint="eastAsia"/>
        </w:rPr>
      </w:pPr>
      <w:r>
        <w:rPr>
          <w:rFonts w:hint="eastAsia"/>
        </w:rPr>
        <w:t>提供医疗文档中心打印管理功能；</w:t>
      </w:r>
    </w:p>
    <w:p>
      <w:pPr>
        <w:numPr>
          <w:ilvl w:val="0"/>
          <w:numId w:val="0"/>
        </w:numPr>
        <w:ind w:leftChars="0"/>
        <w:rPr>
          <w:rFonts w:hint="eastAsia"/>
        </w:rPr>
      </w:pPr>
      <w:bookmarkStart w:id="121" w:name="_Toc14478"/>
      <w:bookmarkStart w:id="122" w:name="_Toc14059"/>
      <w:r>
        <w:rPr>
          <w:rFonts w:hint="eastAsia"/>
        </w:rPr>
        <w:t>4.11病案报表</w:t>
      </w:r>
      <w:bookmarkEnd w:id="121"/>
      <w:bookmarkEnd w:id="122"/>
    </w:p>
    <w:p>
      <w:pPr>
        <w:numPr>
          <w:ilvl w:val="0"/>
          <w:numId w:val="0"/>
        </w:numPr>
        <w:ind w:leftChars="0"/>
        <w:rPr>
          <w:rFonts w:hint="eastAsia"/>
        </w:rPr>
      </w:pPr>
      <w:r>
        <w:rPr>
          <w:rFonts w:hint="eastAsia"/>
        </w:rPr>
        <w:t>系统提供与一体化电子病历病案管理相关的统计报表：病案编目人员每日工作量统计表、迟写病例统计表、手术病人的病种前三位统计表、手术病人病种前十位统计表、医院前十位病种统计、住院病人病种频度分科统计表、医院感染，伤口愈合分科统计表、新病人病种前十位统计表、病人平均住院费用统计表、科室病人平均住院日统计表；</w:t>
      </w:r>
    </w:p>
    <w:p>
      <w:pPr>
        <w:numPr>
          <w:ilvl w:val="0"/>
          <w:numId w:val="0"/>
        </w:numPr>
        <w:ind w:leftChars="0"/>
        <w:rPr>
          <w:rFonts w:hint="eastAsia"/>
        </w:rPr>
      </w:pPr>
      <w:bookmarkStart w:id="123" w:name="_Toc4384"/>
      <w:bookmarkStart w:id="124" w:name="_Toc6226"/>
      <w:r>
        <w:rPr>
          <w:rFonts w:hint="eastAsia"/>
        </w:rPr>
        <w:t>4.12字典维护</w:t>
      </w:r>
      <w:bookmarkEnd w:id="123"/>
      <w:bookmarkEnd w:id="124"/>
    </w:p>
    <w:p>
      <w:pPr>
        <w:numPr>
          <w:ilvl w:val="0"/>
          <w:numId w:val="0"/>
        </w:numPr>
        <w:ind w:leftChars="0"/>
        <w:rPr>
          <w:rFonts w:hint="eastAsia"/>
        </w:rPr>
      </w:pPr>
      <w:r>
        <w:rPr>
          <w:rFonts w:hint="eastAsia"/>
        </w:rPr>
        <w:t>提供诊断字典维护功能；</w:t>
      </w:r>
    </w:p>
    <w:p>
      <w:pPr>
        <w:numPr>
          <w:ilvl w:val="0"/>
          <w:numId w:val="0"/>
        </w:numPr>
        <w:ind w:leftChars="0"/>
        <w:rPr>
          <w:rFonts w:hint="eastAsia"/>
        </w:rPr>
      </w:pPr>
      <w:r>
        <w:rPr>
          <w:rFonts w:hint="eastAsia"/>
        </w:rPr>
        <w:t>提供手术字典维护功能；</w:t>
      </w:r>
    </w:p>
    <w:p>
      <w:pPr>
        <w:numPr>
          <w:ilvl w:val="0"/>
          <w:numId w:val="0"/>
        </w:numPr>
        <w:ind w:leftChars="0"/>
        <w:rPr>
          <w:rFonts w:hint="eastAsia"/>
        </w:rPr>
      </w:pPr>
      <w:r>
        <w:rPr>
          <w:rFonts w:hint="eastAsia"/>
        </w:rPr>
        <w:t>提供科室临床诊断映射维护功能；</w:t>
      </w:r>
    </w:p>
    <w:p>
      <w:pPr>
        <w:numPr>
          <w:ilvl w:val="0"/>
          <w:numId w:val="0"/>
        </w:numPr>
        <w:ind w:leftChars="0"/>
        <w:rPr>
          <w:rFonts w:hint="eastAsia"/>
        </w:rPr>
      </w:pPr>
      <w:r>
        <w:rPr>
          <w:rFonts w:hint="eastAsia"/>
        </w:rPr>
        <w:t>提供ICD诊断与临床诊断映射维护功能；</w:t>
      </w:r>
    </w:p>
    <w:p>
      <w:pPr>
        <w:numPr>
          <w:ilvl w:val="0"/>
          <w:numId w:val="0"/>
        </w:numPr>
        <w:ind w:leftChars="0"/>
        <w:rPr>
          <w:rFonts w:hint="eastAsia"/>
        </w:rPr>
      </w:pPr>
      <w:r>
        <w:rPr>
          <w:rFonts w:hint="eastAsia"/>
        </w:rPr>
        <w:t>提供诊断类别字典维护功能；</w:t>
      </w:r>
    </w:p>
    <w:p>
      <w:pPr>
        <w:numPr>
          <w:ilvl w:val="0"/>
          <w:numId w:val="0"/>
        </w:numPr>
        <w:ind w:leftChars="0"/>
        <w:rPr>
          <w:rFonts w:hint="eastAsia"/>
        </w:rPr>
      </w:pPr>
      <w:r>
        <w:rPr>
          <w:rFonts w:hint="eastAsia"/>
        </w:rPr>
        <w:t>提供病名诊断字典维护功能；</w:t>
      </w:r>
    </w:p>
    <w:p>
      <w:pPr>
        <w:numPr>
          <w:ilvl w:val="0"/>
          <w:numId w:val="0"/>
        </w:numPr>
        <w:ind w:leftChars="0"/>
        <w:rPr>
          <w:rFonts w:hint="eastAsia"/>
        </w:rPr>
      </w:pPr>
      <w:r>
        <w:rPr>
          <w:rFonts w:hint="eastAsia"/>
        </w:rPr>
        <w:t>提供症候诊断字典维护功能；</w:t>
      </w:r>
    </w:p>
    <w:p>
      <w:pPr>
        <w:numPr>
          <w:ilvl w:val="0"/>
          <w:numId w:val="0"/>
        </w:numPr>
        <w:ind w:leftChars="0"/>
        <w:rPr>
          <w:rFonts w:hint="eastAsia"/>
        </w:rPr>
      </w:pPr>
      <w:bookmarkStart w:id="125" w:name="_Toc23979"/>
      <w:bookmarkStart w:id="126" w:name="_Toc31580"/>
      <w:r>
        <w:rPr>
          <w:rFonts w:hint="eastAsia"/>
        </w:rPr>
        <w:t>4.13签收率统计</w:t>
      </w:r>
      <w:bookmarkEnd w:id="125"/>
      <w:bookmarkEnd w:id="126"/>
    </w:p>
    <w:p>
      <w:pPr>
        <w:numPr>
          <w:ilvl w:val="0"/>
          <w:numId w:val="0"/>
        </w:numPr>
        <w:ind w:leftChars="0"/>
        <w:rPr>
          <w:rFonts w:hint="eastAsia"/>
        </w:rPr>
      </w:pPr>
      <w:r>
        <w:rPr>
          <w:rFonts w:hint="eastAsia"/>
        </w:rPr>
        <w:t>提供病案签收率图表功能，统计不同时间段、不同科室病案签收情况；</w:t>
      </w:r>
    </w:p>
    <w:p>
      <w:pPr>
        <w:numPr>
          <w:ilvl w:val="0"/>
          <w:numId w:val="0"/>
        </w:numPr>
        <w:ind w:leftChars="0"/>
        <w:rPr>
          <w:rFonts w:hint="eastAsia"/>
        </w:rPr>
      </w:pPr>
      <w:r>
        <w:rPr>
          <w:rFonts w:hint="eastAsia"/>
        </w:rPr>
        <w:t>提供已签收病案统计功能，按出院日期或出院科室查询；</w:t>
      </w:r>
    </w:p>
    <w:p>
      <w:pPr>
        <w:numPr>
          <w:ilvl w:val="0"/>
          <w:numId w:val="0"/>
        </w:numPr>
        <w:ind w:leftChars="0"/>
        <w:rPr>
          <w:rFonts w:hint="eastAsia"/>
        </w:rPr>
      </w:pPr>
      <w:r>
        <w:rPr>
          <w:rFonts w:hint="eastAsia"/>
        </w:rPr>
        <w:t>提供未签收病案统计功能，按出院日期或出院科室查询；</w:t>
      </w:r>
    </w:p>
    <w:p>
      <w:pPr>
        <w:numPr>
          <w:ilvl w:val="0"/>
          <w:numId w:val="0"/>
        </w:numPr>
        <w:ind w:leftChars="0"/>
        <w:rPr>
          <w:rFonts w:hint="eastAsia"/>
        </w:rPr>
      </w:pPr>
      <w:r>
        <w:rPr>
          <w:rFonts w:hint="eastAsia"/>
        </w:rPr>
        <w:t>提供超时签收病案统计功能，按出院日期或出院科室查询；</w:t>
      </w:r>
    </w:p>
    <w:p>
      <w:pPr>
        <w:numPr>
          <w:ilvl w:val="0"/>
          <w:numId w:val="0"/>
        </w:numPr>
        <w:ind w:leftChars="0"/>
        <w:rPr>
          <w:rFonts w:hint="eastAsia"/>
        </w:rPr>
      </w:pPr>
      <w:r>
        <w:rPr>
          <w:rFonts w:hint="eastAsia"/>
        </w:rPr>
        <w:t>提供病案签收率休息日设置功能，通过设定休息日，病案签收率统计时自动过滤休息日进行数据统计；</w:t>
      </w:r>
    </w:p>
    <w:p>
      <w:pPr>
        <w:numPr>
          <w:ilvl w:val="0"/>
          <w:numId w:val="0"/>
        </w:numPr>
        <w:ind w:leftChars="0"/>
        <w:rPr>
          <w:rFonts w:hint="eastAsia"/>
        </w:rPr>
      </w:pPr>
      <w:bookmarkStart w:id="127" w:name="_Toc13485"/>
      <w:r>
        <w:rPr>
          <w:rFonts w:hint="eastAsia"/>
        </w:rPr>
        <w:t>5病案浏览</w:t>
      </w:r>
      <w:bookmarkEnd w:id="127"/>
    </w:p>
    <w:p>
      <w:pPr>
        <w:numPr>
          <w:ilvl w:val="0"/>
          <w:numId w:val="0"/>
        </w:numPr>
        <w:ind w:leftChars="0"/>
        <w:rPr>
          <w:rFonts w:hint="eastAsia"/>
        </w:rPr>
      </w:pPr>
      <w:r>
        <w:rPr>
          <w:rFonts w:hint="eastAsia"/>
        </w:rPr>
        <w:t>提供在院、出院、已签收、未签收、已归档患者检索功能；</w:t>
      </w:r>
    </w:p>
    <w:p>
      <w:pPr>
        <w:numPr>
          <w:ilvl w:val="0"/>
          <w:numId w:val="0"/>
        </w:numPr>
        <w:ind w:leftChars="0"/>
        <w:rPr>
          <w:rFonts w:hint="eastAsia"/>
        </w:rPr>
      </w:pPr>
      <w:r>
        <w:rPr>
          <w:rFonts w:hint="eastAsia"/>
        </w:rPr>
        <w:t>提供在院、出院、已签收、未签收、已归档患者浏览病历文书功能；</w:t>
      </w:r>
    </w:p>
    <w:p>
      <w:pPr>
        <w:numPr>
          <w:ilvl w:val="0"/>
          <w:numId w:val="0"/>
        </w:numPr>
        <w:ind w:leftChars="0"/>
        <w:rPr>
          <w:rFonts w:hint="eastAsia"/>
        </w:rPr>
      </w:pPr>
      <w:r>
        <w:rPr>
          <w:rFonts w:hint="eastAsia"/>
        </w:rPr>
        <w:t>提供诊疗时间轴浏览功能；以时间为横轴，以临床事件为纵轴，将患者每天重要临床信息以可视化的形式展示，并动态的显示原始报告，可显示的信息为：体温单信息、检查检验信息、病历文书和主要的处置。</w:t>
      </w:r>
    </w:p>
    <w:p>
      <w:pPr>
        <w:numPr>
          <w:ilvl w:val="0"/>
          <w:numId w:val="0"/>
        </w:numPr>
        <w:ind w:leftChars="0"/>
        <w:rPr>
          <w:rFonts w:hint="eastAsia"/>
        </w:rPr>
      </w:pPr>
      <w:r>
        <w:rPr>
          <w:rFonts w:hint="eastAsia"/>
        </w:rPr>
        <w:t>提供既往病历查阅功能，医生能直接查看患者既往病历资料信息，包括：病历内容、检验、检查、医嘱、生命体征、首页、既往病历；</w:t>
      </w:r>
    </w:p>
    <w:p>
      <w:pPr>
        <w:numPr>
          <w:ilvl w:val="0"/>
          <w:numId w:val="0"/>
        </w:numPr>
        <w:ind w:leftChars="0"/>
        <w:rPr>
          <w:rFonts w:hint="eastAsia"/>
        </w:rPr>
      </w:pPr>
      <w:bookmarkStart w:id="128" w:name="_Toc14558"/>
      <w:r>
        <w:rPr>
          <w:rFonts w:hint="eastAsia"/>
        </w:rPr>
        <w:t>6病历维护</w:t>
      </w:r>
      <w:bookmarkEnd w:id="128"/>
    </w:p>
    <w:p>
      <w:pPr>
        <w:numPr>
          <w:ilvl w:val="0"/>
          <w:numId w:val="0"/>
        </w:numPr>
        <w:ind w:leftChars="0"/>
        <w:rPr>
          <w:rFonts w:hint="eastAsia"/>
        </w:rPr>
      </w:pPr>
      <w:r>
        <w:rPr>
          <w:rFonts w:hint="eastAsia"/>
        </w:rPr>
        <w:t>6.1提供修改已签名病历的功能；</w:t>
      </w:r>
    </w:p>
    <w:p>
      <w:pPr>
        <w:numPr>
          <w:ilvl w:val="0"/>
          <w:numId w:val="0"/>
        </w:numPr>
        <w:ind w:leftChars="0"/>
        <w:rPr>
          <w:rFonts w:hint="eastAsia"/>
        </w:rPr>
      </w:pPr>
      <w:r>
        <w:rPr>
          <w:rFonts w:hint="eastAsia"/>
        </w:rPr>
        <w:t>6.2提供删除已签名病历的功能；</w:t>
      </w:r>
    </w:p>
    <w:p>
      <w:pPr>
        <w:numPr>
          <w:ilvl w:val="0"/>
          <w:numId w:val="0"/>
        </w:numPr>
        <w:ind w:leftChars="0"/>
        <w:rPr>
          <w:rFonts w:hint="eastAsia"/>
        </w:rPr>
      </w:pPr>
      <w:r>
        <w:rPr>
          <w:rFonts w:hint="eastAsia"/>
        </w:rPr>
        <w:t>6.3提供签名病历再次修改审批的功能；</w:t>
      </w:r>
    </w:p>
    <w:p>
      <w:pPr>
        <w:numPr>
          <w:ilvl w:val="0"/>
          <w:numId w:val="0"/>
        </w:numPr>
        <w:ind w:leftChars="0"/>
        <w:rPr>
          <w:rFonts w:hint="eastAsia"/>
        </w:rPr>
      </w:pPr>
      <w:bookmarkStart w:id="129" w:name="_Toc21906"/>
      <w:r>
        <w:rPr>
          <w:rFonts w:hint="eastAsia"/>
        </w:rPr>
        <w:t>7模板维护</w:t>
      </w:r>
      <w:bookmarkEnd w:id="129"/>
    </w:p>
    <w:p>
      <w:pPr>
        <w:numPr>
          <w:ilvl w:val="0"/>
          <w:numId w:val="0"/>
        </w:numPr>
        <w:ind w:leftChars="0"/>
        <w:rPr>
          <w:rFonts w:hint="eastAsia"/>
        </w:rPr>
      </w:pPr>
      <w:bookmarkStart w:id="130" w:name="_Toc24865"/>
      <w:bookmarkStart w:id="131" w:name="_Toc5774"/>
      <w:r>
        <w:rPr>
          <w:rFonts w:hint="eastAsia"/>
        </w:rPr>
        <w:t>7.1提供病历模板维护功能，按疾病分组维护模板；</w:t>
      </w:r>
      <w:bookmarkEnd w:id="130"/>
      <w:bookmarkEnd w:id="131"/>
    </w:p>
    <w:p>
      <w:pPr>
        <w:numPr>
          <w:ilvl w:val="0"/>
          <w:numId w:val="0"/>
        </w:numPr>
        <w:ind w:leftChars="0"/>
        <w:rPr>
          <w:rFonts w:hint="eastAsia"/>
        </w:rPr>
      </w:pPr>
      <w:r>
        <w:rPr>
          <w:rFonts w:hint="eastAsia"/>
        </w:rPr>
        <w:t>7.2提供病历模板内容维护，包括：关键词库、症状库、体征库、图库；与临床相关的关键词模板新增、修改、删除；</w:t>
      </w:r>
    </w:p>
    <w:p>
      <w:pPr>
        <w:numPr>
          <w:ilvl w:val="0"/>
          <w:numId w:val="0"/>
        </w:numPr>
        <w:ind w:leftChars="0"/>
        <w:rPr>
          <w:rFonts w:hint="eastAsia"/>
        </w:rPr>
      </w:pPr>
      <w:bookmarkStart w:id="132" w:name="_Toc5505"/>
      <w:r>
        <w:rPr>
          <w:rFonts w:hint="eastAsia"/>
        </w:rPr>
        <w:t>8人员管理</w:t>
      </w:r>
      <w:bookmarkEnd w:id="132"/>
    </w:p>
    <w:p>
      <w:pPr>
        <w:numPr>
          <w:ilvl w:val="0"/>
          <w:numId w:val="0"/>
        </w:numPr>
        <w:ind w:leftChars="0"/>
        <w:rPr>
          <w:rFonts w:hint="eastAsia"/>
        </w:rPr>
      </w:pPr>
      <w:bookmarkStart w:id="133" w:name="_Toc21669"/>
      <w:bookmarkStart w:id="134" w:name="_Toc32096"/>
      <w:r>
        <w:rPr>
          <w:rFonts w:hint="eastAsia"/>
        </w:rPr>
        <w:t>8.1帐户信息维护</w:t>
      </w:r>
      <w:bookmarkEnd w:id="133"/>
      <w:bookmarkEnd w:id="134"/>
    </w:p>
    <w:p>
      <w:pPr>
        <w:numPr>
          <w:ilvl w:val="0"/>
          <w:numId w:val="0"/>
        </w:numPr>
        <w:ind w:leftChars="0"/>
        <w:rPr>
          <w:rFonts w:hint="eastAsia"/>
        </w:rPr>
      </w:pPr>
      <w:r>
        <w:rPr>
          <w:rFonts w:hint="eastAsia"/>
        </w:rPr>
        <w:t>提供用户信息维护功能，包括基本信息、用户权限和签名图片维护；</w:t>
      </w:r>
    </w:p>
    <w:p>
      <w:pPr>
        <w:numPr>
          <w:ilvl w:val="0"/>
          <w:numId w:val="0"/>
        </w:numPr>
        <w:ind w:leftChars="0"/>
        <w:rPr>
          <w:rFonts w:hint="eastAsia"/>
        </w:rPr>
      </w:pPr>
      <w:r>
        <w:rPr>
          <w:rFonts w:hint="eastAsia"/>
        </w:rPr>
        <w:t>8.2提供帐户角色管理维护功能；</w:t>
      </w:r>
    </w:p>
    <w:p>
      <w:pPr>
        <w:numPr>
          <w:ilvl w:val="0"/>
          <w:numId w:val="0"/>
        </w:numPr>
        <w:ind w:leftChars="0"/>
        <w:rPr>
          <w:rFonts w:hint="eastAsia"/>
        </w:rPr>
      </w:pPr>
      <w:r>
        <w:rPr>
          <w:rFonts w:hint="eastAsia"/>
        </w:rPr>
        <w:t>8.3提供帐户功能角色组维护功能；</w:t>
      </w:r>
    </w:p>
    <w:p>
      <w:pPr>
        <w:numPr>
          <w:ilvl w:val="0"/>
          <w:numId w:val="0"/>
        </w:numPr>
        <w:ind w:leftChars="0"/>
        <w:rPr>
          <w:rFonts w:hint="eastAsia"/>
        </w:rPr>
      </w:pPr>
      <w:r>
        <w:rPr>
          <w:rFonts w:hint="eastAsia"/>
        </w:rPr>
        <w:t>8.4提供帐户诊疗组维护功能；</w:t>
      </w:r>
    </w:p>
    <w:p>
      <w:pPr>
        <w:numPr>
          <w:ilvl w:val="0"/>
          <w:numId w:val="0"/>
        </w:numPr>
        <w:ind w:leftChars="0"/>
        <w:rPr>
          <w:rFonts w:hint="eastAsia"/>
        </w:rPr>
      </w:pPr>
      <w:bookmarkStart w:id="135" w:name="_Toc22602"/>
      <w:r>
        <w:rPr>
          <w:rFonts w:hint="eastAsia"/>
        </w:rPr>
        <w:t>9通用接口系统</w:t>
      </w:r>
      <w:bookmarkEnd w:id="135"/>
    </w:p>
    <w:p>
      <w:pPr>
        <w:numPr>
          <w:ilvl w:val="0"/>
          <w:numId w:val="0"/>
        </w:numPr>
        <w:ind w:leftChars="0"/>
        <w:rPr>
          <w:rFonts w:hint="eastAsia"/>
        </w:rPr>
      </w:pPr>
      <w:r>
        <w:rPr>
          <w:rFonts w:hint="eastAsia"/>
        </w:rPr>
        <w:t>在实施过程中，服务器端与第三方系统的集成接口，基于同步服务控制台技术实现与临床数据相关的系统的数据集成，包括：HIS、LIS、PACS、RIS。</w:t>
      </w:r>
    </w:p>
    <w:p>
      <w:pPr>
        <w:pStyle w:val="3"/>
        <w:numPr>
          <w:ilvl w:val="0"/>
          <w:numId w:val="0"/>
        </w:numPr>
        <w:jc w:val="left"/>
      </w:pPr>
      <w:r>
        <w:rPr>
          <w:rFonts w:hint="eastAsia"/>
        </w:rPr>
        <w:t>三、检验信息管理系统(LIS)升级详细参数</w:t>
      </w:r>
    </w:p>
    <w:p>
      <w:pPr>
        <w:pStyle w:val="6"/>
        <w:numPr>
          <w:ilvl w:val="1"/>
          <w:numId w:val="0"/>
        </w:numPr>
        <w:tabs>
          <w:tab w:val="left" w:pos="576"/>
        </w:tabs>
        <w:spacing w:before="20" w:after="20" w:line="240" w:lineRule="auto"/>
        <w:ind w:left="575" w:hanging="575"/>
        <w:jc w:val="left"/>
        <w:rPr>
          <w:rFonts w:ascii="宋体" w:hAnsi="宋体" w:cs="宋体"/>
          <w:sz w:val="28"/>
          <w:szCs w:val="28"/>
        </w:rPr>
      </w:pPr>
      <w:r>
        <w:rPr>
          <w:rFonts w:hint="eastAsia" w:ascii="宋体" w:hAnsi="宋体" w:cs="宋体"/>
          <w:sz w:val="28"/>
          <w:szCs w:val="28"/>
        </w:rPr>
        <w:t>公共组件</w:t>
      </w:r>
      <w:r>
        <w:rPr>
          <w:rFonts w:hint="eastAsia" w:ascii="宋体" w:hAnsi="宋体" w:cs="宋体"/>
          <w:sz w:val="28"/>
          <w:szCs w:val="28"/>
        </w:rPr>
        <w:tab/>
      </w:r>
    </w:p>
    <w:p>
      <w:pPr>
        <w:pStyle w:val="4"/>
        <w:numPr>
          <w:ilvl w:val="2"/>
          <w:numId w:val="0"/>
        </w:numPr>
        <w:tabs>
          <w:tab w:val="left" w:pos="720"/>
        </w:tabs>
        <w:spacing w:before="0" w:after="0" w:line="240" w:lineRule="auto"/>
        <w:ind w:left="720" w:hanging="720"/>
        <w:jc w:val="both"/>
        <w:rPr>
          <w:rFonts w:cs="宋体"/>
          <w:sz w:val="24"/>
          <w:szCs w:val="24"/>
        </w:rPr>
      </w:pPr>
      <w:r>
        <w:rPr>
          <w:rFonts w:hint="eastAsia" w:cs="宋体"/>
          <w:sz w:val="24"/>
          <w:szCs w:val="24"/>
        </w:rPr>
        <w:t>检验中台</w:t>
      </w:r>
    </w:p>
    <w:p>
      <w:pPr>
        <w:numPr>
          <w:ilvl w:val="0"/>
          <w:numId w:val="0"/>
        </w:numPr>
        <w:ind w:leftChars="0"/>
        <w:rPr>
          <w:rFonts w:hint="eastAsia"/>
        </w:rPr>
      </w:pPr>
      <w:r>
        <w:rPr>
          <w:rFonts w:hint="eastAsia"/>
        </w:rPr>
        <w:t>工作台：机构内授权模块、工作单元、机构外远程实验室授权工作单元分类管理，关注常用模块标注。</w:t>
      </w:r>
    </w:p>
    <w:p>
      <w:pPr>
        <w:pStyle w:val="4"/>
        <w:numPr>
          <w:ilvl w:val="2"/>
          <w:numId w:val="0"/>
        </w:numPr>
        <w:tabs>
          <w:tab w:val="left" w:pos="720"/>
        </w:tabs>
        <w:spacing w:before="0" w:after="0" w:line="240" w:lineRule="auto"/>
        <w:ind w:left="720" w:hanging="720"/>
        <w:jc w:val="both"/>
        <w:rPr>
          <w:rFonts w:cs="宋体"/>
          <w:sz w:val="24"/>
          <w:szCs w:val="24"/>
        </w:rPr>
      </w:pPr>
      <w:r>
        <w:rPr>
          <w:rFonts w:hint="eastAsia" w:cs="宋体"/>
          <w:sz w:val="24"/>
          <w:szCs w:val="24"/>
        </w:rPr>
        <w:t>系统环境参数配置</w:t>
      </w:r>
    </w:p>
    <w:p>
      <w:pPr>
        <w:numPr>
          <w:ilvl w:val="0"/>
          <w:numId w:val="0"/>
        </w:numPr>
        <w:ind w:leftChars="0"/>
        <w:rPr>
          <w:rFonts w:hint="eastAsia"/>
        </w:rPr>
      </w:pPr>
      <w:r>
        <w:rPr>
          <w:rFonts w:hint="eastAsia"/>
        </w:rPr>
        <w:t>系统数据管理是智慧实验室运行参数的控制中枢。共分医疗机构级、科室级、分组级三个组织层级以及知识库级一个应用层级。管理的数据涉及如医疗机构、院区、检验科室、专业组、检验分组、质控管理组、质控管理单元、设备管理组、设备管理单元、仪器通讯单元、标本存储单元、采集单元、接收单元等一系列管理组织代码；如科别、病区、护理单元、送检机构、临床诊断、民族、患者年龄、患者性别、医生、护士、护工等一系列检验申请、采集、流转属性字典；如模块注册、仪器注册、系统用户、用户角色等一系列授权；如标本种类分类、标本种类、标本容器类型、试管颜色、抗凝剂种类、稳定剂种类、标本采存等一系列标本与容器相关代码；依附于分析项目的如项目分类（疾病）、项目分类（专业）、项目代码、项目名称、单位、参考区间、分析区间、危急值范围、仪器通道对应等属性；依附于诊疗项目的如诊疗项目、诊疗项目组套、收费项目对应、分析项目对应、检验申请相关、条形码生成相关、采存相关、流转相关、接收与分配相关、报告相关、获取报告相关、报告TAT相关等一系列属性。</w:t>
      </w:r>
      <w:r>
        <w:rPr>
          <w:rFonts w:hint="eastAsia"/>
        </w:rPr>
        <w:tab/>
      </w:r>
    </w:p>
    <w:p>
      <w:pPr>
        <w:pStyle w:val="6"/>
        <w:numPr>
          <w:ilvl w:val="1"/>
          <w:numId w:val="0"/>
        </w:numPr>
        <w:tabs>
          <w:tab w:val="left" w:pos="576"/>
        </w:tabs>
        <w:spacing w:before="20" w:after="20" w:line="240" w:lineRule="auto"/>
        <w:ind w:left="575" w:hanging="575"/>
        <w:jc w:val="left"/>
        <w:rPr>
          <w:rFonts w:ascii="宋体" w:hAnsi="宋体" w:cs="宋体"/>
          <w:sz w:val="28"/>
          <w:szCs w:val="28"/>
        </w:rPr>
      </w:pPr>
      <w:r>
        <w:rPr>
          <w:rFonts w:hint="eastAsia" w:ascii="宋体" w:hAnsi="宋体" w:cs="宋体"/>
          <w:sz w:val="28"/>
          <w:szCs w:val="28"/>
        </w:rPr>
        <w:t>智能检验护士站</w:t>
      </w:r>
    </w:p>
    <w:p>
      <w:pPr>
        <w:numPr>
          <w:ilvl w:val="0"/>
          <w:numId w:val="0"/>
        </w:numPr>
        <w:ind w:leftChars="0"/>
        <w:rPr>
          <w:rFonts w:hint="eastAsia"/>
        </w:rPr>
      </w:pPr>
      <w:r>
        <w:rPr>
          <w:rFonts w:hint="eastAsia"/>
        </w:rPr>
        <w:t>提供第三方调用的完整界面。涵盖条形码生成、打印、采集确认，标本归集、打包、送出，退回不合格标本处理，危急值处理，床旁结果录入，检验报告浏览等一系列管理。适应现打条形码、预制条形码两种应用模式。</w:t>
      </w:r>
    </w:p>
    <w:p>
      <w:pPr>
        <w:numPr>
          <w:ilvl w:val="0"/>
          <w:numId w:val="0"/>
        </w:numPr>
        <w:ind w:leftChars="0"/>
        <w:rPr>
          <w:rFonts w:hint="eastAsia"/>
        </w:rPr>
      </w:pPr>
      <w:r>
        <w:rPr>
          <w:rFonts w:hint="eastAsia"/>
        </w:rPr>
        <w:t>智能化控制要求：</w:t>
      </w:r>
    </w:p>
    <w:p>
      <w:pPr>
        <w:numPr>
          <w:ilvl w:val="0"/>
          <w:numId w:val="0"/>
        </w:numPr>
        <w:ind w:leftChars="0"/>
        <w:rPr>
          <w:rFonts w:hint="eastAsia"/>
        </w:rPr>
      </w:pPr>
      <w:r>
        <w:rPr>
          <w:rFonts w:hint="eastAsia"/>
        </w:rPr>
        <w:t>1)</w:t>
      </w:r>
      <w:r>
        <w:rPr>
          <w:rFonts w:hint="eastAsia"/>
        </w:rPr>
        <w:tab/>
      </w:r>
      <w:r>
        <w:rPr>
          <w:rFonts w:hint="eastAsia"/>
        </w:rPr>
        <w:t>申请自动拆分和合并成标本；</w:t>
      </w:r>
    </w:p>
    <w:p>
      <w:pPr>
        <w:numPr>
          <w:ilvl w:val="0"/>
          <w:numId w:val="0"/>
        </w:numPr>
        <w:ind w:leftChars="0"/>
        <w:rPr>
          <w:rFonts w:hint="eastAsia"/>
        </w:rPr>
      </w:pPr>
      <w:r>
        <w:rPr>
          <w:rFonts w:hint="eastAsia"/>
        </w:rPr>
        <w:t>2)</w:t>
      </w:r>
      <w:r>
        <w:rPr>
          <w:rFonts w:hint="eastAsia"/>
        </w:rPr>
        <w:tab/>
      </w:r>
      <w:r>
        <w:rPr>
          <w:rFonts w:hint="eastAsia"/>
        </w:rPr>
        <w:t>标本类型错误的有效控制；</w:t>
      </w:r>
    </w:p>
    <w:p>
      <w:pPr>
        <w:numPr>
          <w:ilvl w:val="0"/>
          <w:numId w:val="0"/>
        </w:numPr>
        <w:ind w:leftChars="0"/>
        <w:rPr>
          <w:rFonts w:hint="eastAsia"/>
        </w:rPr>
      </w:pPr>
      <w:r>
        <w:rPr>
          <w:rFonts w:hint="eastAsia"/>
        </w:rPr>
        <w:t>3)</w:t>
      </w:r>
      <w:r>
        <w:rPr>
          <w:rFonts w:hint="eastAsia"/>
        </w:rPr>
        <w:tab/>
      </w:r>
      <w:r>
        <w:rPr>
          <w:rFonts w:hint="eastAsia"/>
        </w:rPr>
        <w:t>标本容器错误的有效控制；</w:t>
      </w:r>
    </w:p>
    <w:p>
      <w:pPr>
        <w:numPr>
          <w:ilvl w:val="0"/>
          <w:numId w:val="0"/>
        </w:numPr>
        <w:ind w:leftChars="0"/>
        <w:rPr>
          <w:rFonts w:hint="eastAsia"/>
        </w:rPr>
      </w:pPr>
      <w:r>
        <w:rPr>
          <w:rFonts w:hint="eastAsia"/>
        </w:rPr>
        <w:t>4)</w:t>
      </w:r>
      <w:r>
        <w:rPr>
          <w:rFonts w:hint="eastAsia"/>
        </w:rPr>
        <w:tab/>
      </w:r>
      <w:r>
        <w:rPr>
          <w:rFonts w:hint="eastAsia"/>
        </w:rPr>
        <w:t>采集时间要求的有效控制；</w:t>
      </w:r>
    </w:p>
    <w:p>
      <w:pPr>
        <w:numPr>
          <w:ilvl w:val="0"/>
          <w:numId w:val="0"/>
        </w:numPr>
        <w:ind w:leftChars="0"/>
        <w:rPr>
          <w:rFonts w:hint="eastAsia"/>
        </w:rPr>
      </w:pPr>
      <w:r>
        <w:rPr>
          <w:rFonts w:hint="eastAsia"/>
        </w:rPr>
        <w:t>5)</w:t>
      </w:r>
      <w:r>
        <w:rPr>
          <w:rFonts w:hint="eastAsia"/>
        </w:rPr>
        <w:tab/>
      </w:r>
      <w:r>
        <w:rPr>
          <w:rFonts w:hint="eastAsia"/>
        </w:rPr>
        <w:t>标本采集量的自动计算；</w:t>
      </w:r>
    </w:p>
    <w:p>
      <w:pPr>
        <w:numPr>
          <w:ilvl w:val="0"/>
          <w:numId w:val="0"/>
        </w:numPr>
        <w:ind w:leftChars="0"/>
        <w:rPr>
          <w:rFonts w:hint="eastAsia"/>
        </w:rPr>
      </w:pPr>
      <w:r>
        <w:rPr>
          <w:rFonts w:hint="eastAsia"/>
        </w:rPr>
        <w:t>6)</w:t>
      </w:r>
      <w:r>
        <w:rPr>
          <w:rFonts w:hint="eastAsia"/>
        </w:rPr>
        <w:tab/>
      </w:r>
      <w:r>
        <w:rPr>
          <w:rFonts w:hint="eastAsia"/>
        </w:rPr>
        <w:t>未执行标本的及时提醒；</w:t>
      </w:r>
    </w:p>
    <w:p>
      <w:pPr>
        <w:numPr>
          <w:ilvl w:val="0"/>
          <w:numId w:val="0"/>
        </w:numPr>
        <w:ind w:leftChars="0"/>
        <w:rPr>
          <w:rFonts w:hint="eastAsia"/>
        </w:rPr>
      </w:pPr>
      <w:r>
        <w:rPr>
          <w:rFonts w:hint="eastAsia"/>
        </w:rPr>
        <w:t>7)</w:t>
      </w:r>
      <w:r>
        <w:rPr>
          <w:rFonts w:hint="eastAsia"/>
        </w:rPr>
        <w:tab/>
      </w:r>
      <w:r>
        <w:rPr>
          <w:rFonts w:hint="eastAsia"/>
        </w:rPr>
        <w:t>采血费的自动计算和收取；</w:t>
      </w:r>
    </w:p>
    <w:p>
      <w:pPr>
        <w:numPr>
          <w:ilvl w:val="0"/>
          <w:numId w:val="0"/>
        </w:numPr>
        <w:ind w:leftChars="0"/>
        <w:rPr>
          <w:rFonts w:hint="eastAsia"/>
        </w:rPr>
      </w:pPr>
      <w:r>
        <w:rPr>
          <w:rFonts w:hint="eastAsia"/>
        </w:rPr>
        <w:t>8)</w:t>
      </w:r>
      <w:r>
        <w:rPr>
          <w:rFonts w:hint="eastAsia"/>
        </w:rPr>
        <w:tab/>
      </w:r>
      <w:r>
        <w:rPr>
          <w:rFonts w:hint="eastAsia"/>
        </w:rPr>
        <w:t>试管费的自动计算和收取。</w:t>
      </w:r>
    </w:p>
    <w:p>
      <w:pPr>
        <w:pStyle w:val="6"/>
        <w:numPr>
          <w:ilvl w:val="1"/>
          <w:numId w:val="0"/>
        </w:numPr>
        <w:tabs>
          <w:tab w:val="left" w:pos="576"/>
        </w:tabs>
        <w:spacing w:before="20" w:after="20" w:line="240" w:lineRule="auto"/>
        <w:ind w:left="575" w:hanging="575"/>
        <w:jc w:val="left"/>
        <w:rPr>
          <w:rFonts w:ascii="宋体" w:hAnsi="宋体" w:cs="宋体"/>
          <w:sz w:val="28"/>
          <w:szCs w:val="28"/>
        </w:rPr>
      </w:pPr>
      <w:r>
        <w:rPr>
          <w:rFonts w:hint="eastAsia" w:ascii="宋体" w:hAnsi="宋体" w:cs="宋体"/>
          <w:sz w:val="28"/>
          <w:szCs w:val="28"/>
        </w:rPr>
        <w:t>智能采集护士站</w:t>
      </w:r>
    </w:p>
    <w:p>
      <w:pPr>
        <w:numPr>
          <w:ilvl w:val="0"/>
          <w:numId w:val="0"/>
        </w:numPr>
        <w:ind w:leftChars="0"/>
        <w:rPr>
          <w:rFonts w:hint="eastAsia"/>
          <w:lang w:eastAsia="zh-CN"/>
        </w:rPr>
      </w:pPr>
      <w:r>
        <w:rPr>
          <w:rFonts w:hint="eastAsia"/>
          <w:lang w:eastAsia="zh-CN"/>
        </w:rPr>
        <w:t>通过接口获取门诊检验申请信息并生成条形码电子标签；并支持现打条形码和预制条形码多种形式；</w:t>
      </w:r>
    </w:p>
    <w:p>
      <w:pPr>
        <w:numPr>
          <w:ilvl w:val="0"/>
          <w:numId w:val="0"/>
        </w:numPr>
        <w:ind w:leftChars="0"/>
        <w:rPr>
          <w:rFonts w:hint="eastAsia"/>
          <w:lang w:eastAsia="zh-CN"/>
        </w:rPr>
      </w:pPr>
      <w:r>
        <w:rPr>
          <w:rFonts w:hint="eastAsia"/>
          <w:lang w:eastAsia="zh-CN"/>
        </w:rPr>
        <w:t>支持窗口扣费，通过接口调用支持移动支付；</w:t>
      </w:r>
    </w:p>
    <w:p>
      <w:pPr>
        <w:numPr>
          <w:ilvl w:val="0"/>
          <w:numId w:val="0"/>
        </w:numPr>
        <w:ind w:leftChars="0"/>
        <w:rPr>
          <w:rFonts w:hint="eastAsia"/>
          <w:lang w:eastAsia="zh-CN"/>
        </w:rPr>
      </w:pPr>
      <w:r>
        <w:rPr>
          <w:rFonts w:hint="eastAsia"/>
          <w:lang w:eastAsia="zh-CN"/>
        </w:rPr>
        <w:t>▲支持界面标本容器类型形象展示和提醒，并支持标本采集顺序提示 ；</w:t>
      </w:r>
    </w:p>
    <w:p>
      <w:pPr>
        <w:numPr>
          <w:ilvl w:val="0"/>
          <w:numId w:val="0"/>
        </w:numPr>
        <w:ind w:leftChars="0"/>
        <w:rPr>
          <w:rFonts w:hint="eastAsia"/>
          <w:lang w:eastAsia="zh-CN"/>
        </w:rPr>
      </w:pPr>
      <w:r>
        <w:rPr>
          <w:rFonts w:hint="eastAsia"/>
          <w:lang w:eastAsia="zh-CN"/>
        </w:rPr>
        <w:t>▲支持患者特殊标识提示，如晕针、HIV阳性等 ；</w:t>
      </w:r>
    </w:p>
    <w:p>
      <w:pPr>
        <w:numPr>
          <w:ilvl w:val="0"/>
          <w:numId w:val="0"/>
        </w:numPr>
        <w:ind w:leftChars="0"/>
        <w:rPr>
          <w:rFonts w:hint="eastAsia"/>
          <w:lang w:eastAsia="zh-CN"/>
        </w:rPr>
      </w:pPr>
      <w:r>
        <w:rPr>
          <w:rFonts w:hint="eastAsia"/>
          <w:lang w:eastAsia="zh-CN"/>
        </w:rPr>
        <w:t>支持未采集标签的提醒；</w:t>
      </w:r>
    </w:p>
    <w:p>
      <w:pPr>
        <w:numPr>
          <w:ilvl w:val="0"/>
          <w:numId w:val="0"/>
        </w:numPr>
        <w:ind w:leftChars="0"/>
        <w:rPr>
          <w:rFonts w:hint="eastAsia"/>
          <w:lang w:eastAsia="zh-CN"/>
        </w:rPr>
      </w:pPr>
      <w:r>
        <w:rPr>
          <w:rFonts w:hint="eastAsia"/>
          <w:lang w:eastAsia="zh-CN"/>
        </w:rPr>
        <w:t>支持多采集单元的部署和管理；</w:t>
      </w:r>
    </w:p>
    <w:p>
      <w:pPr>
        <w:numPr>
          <w:ilvl w:val="0"/>
          <w:numId w:val="0"/>
        </w:numPr>
        <w:ind w:leftChars="0"/>
        <w:rPr>
          <w:rFonts w:hint="eastAsia"/>
          <w:lang w:eastAsia="zh-CN"/>
        </w:rPr>
      </w:pPr>
      <w:r>
        <w:rPr>
          <w:rFonts w:hint="eastAsia"/>
          <w:lang w:eastAsia="zh-CN"/>
        </w:rPr>
        <w:t>可以自定义窗口采集包含的诊疗项目，对每个窗口采集种类进行个性化定义；</w:t>
      </w:r>
    </w:p>
    <w:p>
      <w:pPr>
        <w:numPr>
          <w:ilvl w:val="0"/>
          <w:numId w:val="0"/>
        </w:numPr>
        <w:ind w:leftChars="0"/>
        <w:rPr>
          <w:rFonts w:hint="eastAsia"/>
          <w:lang w:eastAsia="zh-CN"/>
        </w:rPr>
      </w:pPr>
      <w:r>
        <w:rPr>
          <w:rFonts w:hint="eastAsia"/>
          <w:lang w:eastAsia="zh-CN"/>
        </w:rPr>
        <w:t>准确记录采集时间、采集人信息。</w:t>
      </w:r>
    </w:p>
    <w:p>
      <w:pPr>
        <w:numPr>
          <w:ilvl w:val="0"/>
          <w:numId w:val="0"/>
        </w:numPr>
        <w:ind w:leftChars="0"/>
        <w:rPr>
          <w:rFonts w:hint="eastAsia"/>
        </w:rPr>
      </w:pPr>
      <w:r>
        <w:rPr>
          <w:rFonts w:hint="eastAsia"/>
        </w:rPr>
        <w:t>智能化控制要求：</w:t>
      </w:r>
    </w:p>
    <w:p>
      <w:pPr>
        <w:numPr>
          <w:ilvl w:val="0"/>
          <w:numId w:val="0"/>
        </w:numPr>
        <w:ind w:leftChars="0"/>
        <w:rPr>
          <w:rFonts w:hint="eastAsia"/>
        </w:rPr>
      </w:pPr>
      <w:r>
        <w:rPr>
          <w:rFonts w:hint="eastAsia"/>
        </w:rPr>
        <w:t>1)</w:t>
      </w:r>
      <w:r>
        <w:rPr>
          <w:rFonts w:hint="eastAsia"/>
        </w:rPr>
        <w:tab/>
      </w:r>
      <w:r>
        <w:rPr>
          <w:rFonts w:hint="eastAsia"/>
        </w:rPr>
        <w:t>申请自动拆分和合并成标本；</w:t>
      </w:r>
    </w:p>
    <w:p>
      <w:pPr>
        <w:numPr>
          <w:ilvl w:val="0"/>
          <w:numId w:val="0"/>
        </w:numPr>
        <w:ind w:leftChars="0"/>
        <w:rPr>
          <w:rFonts w:hint="eastAsia"/>
        </w:rPr>
      </w:pPr>
      <w:r>
        <w:rPr>
          <w:rFonts w:hint="eastAsia"/>
        </w:rPr>
        <w:t>2)</w:t>
      </w:r>
      <w:r>
        <w:rPr>
          <w:rFonts w:hint="eastAsia"/>
        </w:rPr>
        <w:tab/>
      </w:r>
      <w:r>
        <w:rPr>
          <w:rFonts w:hint="eastAsia"/>
        </w:rPr>
        <w:t>标本类型错误的有效控制；</w:t>
      </w:r>
    </w:p>
    <w:p>
      <w:pPr>
        <w:numPr>
          <w:ilvl w:val="0"/>
          <w:numId w:val="0"/>
        </w:numPr>
        <w:ind w:leftChars="0"/>
        <w:rPr>
          <w:rFonts w:hint="eastAsia"/>
        </w:rPr>
      </w:pPr>
      <w:r>
        <w:rPr>
          <w:rFonts w:hint="eastAsia"/>
        </w:rPr>
        <w:t>3)</w:t>
      </w:r>
      <w:r>
        <w:rPr>
          <w:rFonts w:hint="eastAsia"/>
        </w:rPr>
        <w:tab/>
      </w:r>
      <w:r>
        <w:rPr>
          <w:rFonts w:hint="eastAsia"/>
        </w:rPr>
        <w:t>标本容器错误的有效控制；</w:t>
      </w:r>
    </w:p>
    <w:p>
      <w:pPr>
        <w:numPr>
          <w:ilvl w:val="0"/>
          <w:numId w:val="0"/>
        </w:numPr>
        <w:ind w:leftChars="0"/>
        <w:rPr>
          <w:rFonts w:hint="eastAsia"/>
        </w:rPr>
      </w:pPr>
      <w:r>
        <w:rPr>
          <w:rFonts w:hint="eastAsia"/>
        </w:rPr>
        <w:t>4)</w:t>
      </w:r>
      <w:r>
        <w:rPr>
          <w:rFonts w:hint="eastAsia"/>
        </w:rPr>
        <w:tab/>
      </w:r>
      <w:r>
        <w:rPr>
          <w:rFonts w:hint="eastAsia"/>
        </w:rPr>
        <w:t>采集时间要求的有效控制；</w:t>
      </w:r>
    </w:p>
    <w:p>
      <w:pPr>
        <w:numPr>
          <w:ilvl w:val="0"/>
          <w:numId w:val="0"/>
        </w:numPr>
        <w:ind w:leftChars="0"/>
        <w:rPr>
          <w:rFonts w:hint="eastAsia"/>
        </w:rPr>
      </w:pPr>
      <w:r>
        <w:rPr>
          <w:rFonts w:hint="eastAsia"/>
        </w:rPr>
        <w:t>5)</w:t>
      </w:r>
      <w:r>
        <w:rPr>
          <w:rFonts w:hint="eastAsia"/>
        </w:rPr>
        <w:tab/>
      </w:r>
      <w:r>
        <w:rPr>
          <w:rFonts w:hint="eastAsia"/>
        </w:rPr>
        <w:t>标本采集量的自动计算；</w:t>
      </w:r>
    </w:p>
    <w:p>
      <w:pPr>
        <w:numPr>
          <w:ilvl w:val="0"/>
          <w:numId w:val="0"/>
        </w:numPr>
        <w:ind w:leftChars="0"/>
        <w:rPr>
          <w:rFonts w:hint="eastAsia"/>
        </w:rPr>
      </w:pPr>
      <w:r>
        <w:rPr>
          <w:rFonts w:hint="eastAsia"/>
        </w:rPr>
        <w:t>6)</w:t>
      </w:r>
      <w:r>
        <w:rPr>
          <w:rFonts w:hint="eastAsia"/>
        </w:rPr>
        <w:tab/>
      </w:r>
      <w:r>
        <w:rPr>
          <w:rFonts w:hint="eastAsia"/>
        </w:rPr>
        <w:t>未执行标本的及时提醒。</w:t>
      </w:r>
    </w:p>
    <w:p>
      <w:pPr>
        <w:pStyle w:val="6"/>
        <w:numPr>
          <w:ilvl w:val="1"/>
          <w:numId w:val="0"/>
        </w:numPr>
        <w:tabs>
          <w:tab w:val="left" w:pos="576"/>
        </w:tabs>
        <w:spacing w:before="20" w:after="20" w:line="240" w:lineRule="auto"/>
        <w:ind w:left="575" w:hanging="575"/>
        <w:jc w:val="left"/>
        <w:rPr>
          <w:rFonts w:ascii="宋体" w:hAnsi="宋体" w:cs="宋体"/>
          <w:sz w:val="28"/>
          <w:szCs w:val="28"/>
        </w:rPr>
      </w:pPr>
      <w:r>
        <w:rPr>
          <w:rFonts w:hint="eastAsia" w:ascii="宋体" w:hAnsi="宋体" w:cs="宋体"/>
          <w:sz w:val="28"/>
          <w:szCs w:val="28"/>
        </w:rPr>
        <w:t>智能检验报告浏览器</w:t>
      </w:r>
    </w:p>
    <w:p>
      <w:pPr>
        <w:numPr>
          <w:ilvl w:val="0"/>
          <w:numId w:val="0"/>
        </w:numPr>
        <w:ind w:leftChars="0"/>
        <w:rPr>
          <w:rFonts w:hint="eastAsia"/>
          <w:lang w:eastAsia="zh-CN"/>
        </w:rPr>
      </w:pPr>
      <w:r>
        <w:rPr>
          <w:rFonts w:hint="eastAsia"/>
          <w:lang w:eastAsia="zh-CN"/>
        </w:rPr>
        <w:t>1）提供第三方调用的报告浏览器；</w:t>
      </w:r>
    </w:p>
    <w:p>
      <w:pPr>
        <w:numPr>
          <w:ilvl w:val="0"/>
          <w:numId w:val="0"/>
        </w:numPr>
        <w:ind w:leftChars="0"/>
        <w:rPr>
          <w:rFonts w:hint="eastAsia"/>
          <w:lang w:eastAsia="zh-CN"/>
        </w:rPr>
      </w:pPr>
      <w:r>
        <w:rPr>
          <w:rFonts w:hint="eastAsia"/>
          <w:lang w:eastAsia="zh-CN"/>
        </w:rPr>
        <w:t>2）提供专业的对检验报告、数据进行浏览、阅读、打印、分析的工具；</w:t>
      </w:r>
    </w:p>
    <w:p>
      <w:pPr>
        <w:numPr>
          <w:ilvl w:val="0"/>
          <w:numId w:val="0"/>
        </w:numPr>
        <w:ind w:leftChars="0"/>
        <w:rPr>
          <w:rFonts w:hint="eastAsia"/>
          <w:lang w:eastAsia="zh-CN"/>
        </w:rPr>
      </w:pPr>
      <w:r>
        <w:rPr>
          <w:rFonts w:hint="eastAsia"/>
          <w:lang w:eastAsia="zh-CN"/>
        </w:rPr>
        <w:t>3）含盖所有种类的检验报告，包括：常规检验报告、微生物检验报告、图像检验报告；</w:t>
      </w:r>
    </w:p>
    <w:p>
      <w:pPr>
        <w:numPr>
          <w:ilvl w:val="0"/>
          <w:numId w:val="0"/>
        </w:numPr>
        <w:ind w:leftChars="0"/>
        <w:rPr>
          <w:rFonts w:hint="eastAsia"/>
          <w:lang w:eastAsia="zh-CN"/>
        </w:rPr>
      </w:pPr>
      <w:r>
        <w:rPr>
          <w:rFonts w:hint="eastAsia"/>
          <w:lang w:eastAsia="zh-CN"/>
        </w:rPr>
        <w:t>4）提供报告单打印功能；</w:t>
      </w:r>
    </w:p>
    <w:p>
      <w:pPr>
        <w:numPr>
          <w:ilvl w:val="0"/>
          <w:numId w:val="0"/>
        </w:numPr>
        <w:ind w:leftChars="0"/>
        <w:rPr>
          <w:rFonts w:hint="eastAsia"/>
          <w:lang w:eastAsia="zh-CN"/>
        </w:rPr>
      </w:pPr>
      <w:r>
        <w:rPr>
          <w:rFonts w:hint="eastAsia"/>
          <w:lang w:eastAsia="zh-CN"/>
        </w:rPr>
        <w:t>5）提供报告单归档打印功能；</w:t>
      </w:r>
    </w:p>
    <w:p>
      <w:pPr>
        <w:numPr>
          <w:ilvl w:val="0"/>
          <w:numId w:val="0"/>
        </w:numPr>
        <w:ind w:leftChars="0"/>
        <w:rPr>
          <w:rFonts w:hint="eastAsia"/>
          <w:lang w:eastAsia="zh-CN"/>
        </w:rPr>
      </w:pPr>
      <w:r>
        <w:rPr>
          <w:rFonts w:hint="eastAsia"/>
          <w:lang w:eastAsia="zh-CN"/>
        </w:rPr>
        <w:t>6）提供检验结果、报告单的浏览、阅读功能；</w:t>
      </w:r>
    </w:p>
    <w:p>
      <w:pPr>
        <w:numPr>
          <w:ilvl w:val="0"/>
          <w:numId w:val="0"/>
        </w:numPr>
        <w:ind w:leftChars="0"/>
        <w:rPr>
          <w:rFonts w:hint="eastAsia"/>
          <w:lang w:eastAsia="zh-CN"/>
        </w:rPr>
      </w:pPr>
      <w:r>
        <w:rPr>
          <w:rFonts w:hint="eastAsia"/>
          <w:lang w:eastAsia="zh-CN"/>
        </w:rPr>
        <w:t>7）提供检验结果的分析功能；</w:t>
      </w:r>
    </w:p>
    <w:p>
      <w:pPr>
        <w:pStyle w:val="6"/>
        <w:numPr>
          <w:ilvl w:val="1"/>
          <w:numId w:val="0"/>
        </w:numPr>
        <w:tabs>
          <w:tab w:val="left" w:pos="576"/>
        </w:tabs>
        <w:spacing w:before="20" w:after="20" w:line="240" w:lineRule="auto"/>
        <w:ind w:left="575" w:hanging="575"/>
        <w:jc w:val="left"/>
        <w:rPr>
          <w:rFonts w:ascii="宋体" w:hAnsi="宋体" w:cs="宋体"/>
          <w:sz w:val="28"/>
          <w:szCs w:val="28"/>
        </w:rPr>
      </w:pPr>
      <w:r>
        <w:rPr>
          <w:rFonts w:hint="eastAsia" w:ascii="宋体" w:hAnsi="宋体" w:cs="宋体"/>
          <w:sz w:val="28"/>
          <w:szCs w:val="28"/>
        </w:rPr>
        <w:t>智能前处理工作站</w:t>
      </w:r>
    </w:p>
    <w:p>
      <w:pPr>
        <w:numPr>
          <w:ilvl w:val="0"/>
          <w:numId w:val="0"/>
        </w:numPr>
        <w:ind w:leftChars="0"/>
        <w:rPr>
          <w:rFonts w:hint="eastAsia"/>
          <w:lang w:eastAsia="zh-CN"/>
        </w:rPr>
      </w:pPr>
      <w:r>
        <w:rPr>
          <w:rFonts w:hint="eastAsia"/>
          <w:lang w:eastAsia="zh-CN"/>
        </w:rPr>
        <w:t>1）支持接收单元管理机制，实现了多院区、多检验科室复杂条件下的部署和管理。</w:t>
      </w:r>
    </w:p>
    <w:p>
      <w:pPr>
        <w:numPr>
          <w:ilvl w:val="0"/>
          <w:numId w:val="0"/>
        </w:numPr>
        <w:ind w:leftChars="0"/>
        <w:rPr>
          <w:rFonts w:hint="eastAsia"/>
          <w:lang w:eastAsia="zh-CN"/>
        </w:rPr>
      </w:pPr>
      <w:r>
        <w:rPr>
          <w:rFonts w:hint="eastAsia"/>
          <w:lang w:eastAsia="zh-CN"/>
        </w:rPr>
        <w:t>2）通过扫描标本条形码完成对样本的核收，对部分不完全合格标本进行让步接收并作登记，并完成对标本检验费用的确认；对完全不合格标本进行拒收，并依据国家相关标准作不合格标本登记。</w:t>
      </w:r>
    </w:p>
    <w:p>
      <w:pPr>
        <w:numPr>
          <w:ilvl w:val="0"/>
          <w:numId w:val="0"/>
        </w:numPr>
        <w:ind w:leftChars="0"/>
        <w:rPr>
          <w:rFonts w:hint="eastAsia"/>
          <w:lang w:eastAsia="zh-CN"/>
        </w:rPr>
      </w:pPr>
      <w:r>
        <w:rPr>
          <w:rFonts w:hint="eastAsia"/>
          <w:lang w:eastAsia="zh-CN"/>
        </w:rPr>
        <w:t>3）对不合格标本作退回处理时，可与临床进行消息互动，形成从退回-临床确认-取消执行或重新采集电子化闭环管理。</w:t>
      </w:r>
    </w:p>
    <w:p>
      <w:pPr>
        <w:numPr>
          <w:ilvl w:val="0"/>
          <w:numId w:val="0"/>
        </w:numPr>
        <w:ind w:leftChars="0"/>
        <w:rPr>
          <w:rFonts w:hint="eastAsia"/>
          <w:lang w:eastAsia="zh-CN"/>
        </w:rPr>
      </w:pPr>
      <w:r>
        <w:rPr>
          <w:rFonts w:hint="eastAsia"/>
          <w:lang w:eastAsia="zh-CN"/>
        </w:rPr>
        <w:t>4）依据诊疗项目的相关属性对流转地错误、接收地错误、不合格标本、重复标本、漏检标本进行有效控制，并依据诊疗项目的TAT时间控制属性对标本送检超时进行预警和报警。</w:t>
      </w:r>
    </w:p>
    <w:p>
      <w:pPr>
        <w:pStyle w:val="6"/>
        <w:numPr>
          <w:ilvl w:val="1"/>
          <w:numId w:val="0"/>
        </w:numPr>
        <w:tabs>
          <w:tab w:val="left" w:pos="576"/>
        </w:tabs>
        <w:spacing w:before="20" w:after="20" w:line="240" w:lineRule="auto"/>
        <w:ind w:left="575" w:hanging="575"/>
        <w:jc w:val="left"/>
        <w:rPr>
          <w:rFonts w:ascii="宋体" w:hAnsi="宋体" w:cs="宋体"/>
          <w:sz w:val="28"/>
          <w:szCs w:val="28"/>
        </w:rPr>
      </w:pPr>
      <w:r>
        <w:rPr>
          <w:rFonts w:hint="eastAsia" w:ascii="宋体" w:hAnsi="宋体" w:cs="宋体"/>
          <w:sz w:val="28"/>
          <w:szCs w:val="28"/>
        </w:rPr>
        <w:t>智能常规检验工作平台</w:t>
      </w:r>
    </w:p>
    <w:p>
      <w:pPr>
        <w:numPr>
          <w:ilvl w:val="0"/>
          <w:numId w:val="0"/>
        </w:numPr>
        <w:ind w:leftChars="0"/>
        <w:rPr>
          <w:rFonts w:hint="eastAsia"/>
          <w:lang w:eastAsia="zh-CN"/>
        </w:rPr>
      </w:pPr>
      <w:r>
        <w:rPr>
          <w:rFonts w:hint="eastAsia"/>
          <w:lang w:eastAsia="zh-CN"/>
        </w:rPr>
        <w:t>支持个性化设置：</w:t>
      </w:r>
    </w:p>
    <w:p>
      <w:pPr>
        <w:numPr>
          <w:ilvl w:val="0"/>
          <w:numId w:val="0"/>
        </w:numPr>
        <w:ind w:leftChars="0"/>
        <w:rPr>
          <w:rFonts w:hint="eastAsia"/>
          <w:lang w:eastAsia="zh-CN"/>
        </w:rPr>
      </w:pPr>
      <w:r>
        <w:rPr>
          <w:rFonts w:hint="eastAsia"/>
          <w:lang w:eastAsia="zh-CN"/>
        </w:rPr>
        <w:t>对标本信息、结果信息、样本分类信息设置；</w:t>
      </w:r>
    </w:p>
    <w:p>
      <w:pPr>
        <w:numPr>
          <w:ilvl w:val="0"/>
          <w:numId w:val="0"/>
        </w:numPr>
        <w:ind w:leftChars="0"/>
        <w:rPr>
          <w:rFonts w:hint="eastAsia"/>
          <w:lang w:eastAsia="zh-CN"/>
        </w:rPr>
      </w:pPr>
      <w:r>
        <w:rPr>
          <w:rFonts w:hint="eastAsia"/>
          <w:lang w:eastAsia="zh-CN"/>
        </w:rPr>
        <w:t>对各种样本类别、状态的颜色识别进行自定义；</w:t>
      </w:r>
    </w:p>
    <w:p>
      <w:pPr>
        <w:numPr>
          <w:ilvl w:val="0"/>
          <w:numId w:val="0"/>
        </w:numPr>
        <w:ind w:leftChars="0"/>
        <w:rPr>
          <w:rFonts w:hint="eastAsia"/>
          <w:lang w:eastAsia="zh-CN"/>
        </w:rPr>
      </w:pPr>
      <w:r>
        <w:rPr>
          <w:rFonts w:hint="eastAsia"/>
          <w:lang w:eastAsia="zh-CN"/>
        </w:rPr>
        <w:t>对样本信息开始焦点自定义；</w:t>
      </w:r>
    </w:p>
    <w:p>
      <w:pPr>
        <w:numPr>
          <w:ilvl w:val="0"/>
          <w:numId w:val="0"/>
        </w:numPr>
        <w:ind w:leftChars="0"/>
        <w:rPr>
          <w:rFonts w:hint="eastAsia"/>
          <w:lang w:eastAsia="zh-CN"/>
        </w:rPr>
      </w:pPr>
      <w:r>
        <w:rPr>
          <w:rFonts w:hint="eastAsia"/>
          <w:lang w:eastAsia="zh-CN"/>
        </w:rPr>
        <w:t>对非每日开展项目进行定义；</w:t>
      </w:r>
    </w:p>
    <w:p>
      <w:pPr>
        <w:numPr>
          <w:ilvl w:val="0"/>
          <w:numId w:val="0"/>
        </w:numPr>
        <w:ind w:leftChars="0"/>
        <w:rPr>
          <w:rFonts w:hint="eastAsia"/>
          <w:lang w:eastAsia="zh-CN"/>
        </w:rPr>
      </w:pPr>
      <w:r>
        <w:rPr>
          <w:rFonts w:hint="eastAsia"/>
          <w:lang w:eastAsia="zh-CN"/>
        </w:rPr>
        <w:t>对每日仪器操作人员进行定义。</w:t>
      </w:r>
    </w:p>
    <w:p>
      <w:pPr>
        <w:numPr>
          <w:ilvl w:val="0"/>
          <w:numId w:val="0"/>
        </w:numPr>
        <w:ind w:leftChars="0"/>
        <w:rPr>
          <w:rFonts w:hint="eastAsia"/>
          <w:lang w:eastAsia="zh-CN"/>
        </w:rPr>
      </w:pPr>
      <w:r>
        <w:rPr>
          <w:rFonts w:hint="eastAsia"/>
          <w:lang w:eastAsia="zh-CN"/>
        </w:rPr>
        <w:t>2）快速切换：</w:t>
      </w:r>
    </w:p>
    <w:p>
      <w:pPr>
        <w:numPr>
          <w:ilvl w:val="0"/>
          <w:numId w:val="0"/>
        </w:numPr>
        <w:ind w:leftChars="0"/>
        <w:rPr>
          <w:rFonts w:hint="eastAsia"/>
          <w:lang w:eastAsia="zh-CN"/>
        </w:rPr>
      </w:pPr>
      <w:r>
        <w:rPr>
          <w:rFonts w:hint="eastAsia"/>
          <w:lang w:eastAsia="zh-CN"/>
        </w:rPr>
        <w:t>支持检验日期快速切换；</w:t>
      </w:r>
    </w:p>
    <w:p>
      <w:pPr>
        <w:numPr>
          <w:ilvl w:val="0"/>
          <w:numId w:val="0"/>
        </w:numPr>
        <w:ind w:leftChars="0"/>
        <w:rPr>
          <w:rFonts w:hint="eastAsia"/>
          <w:lang w:eastAsia="zh-CN"/>
        </w:rPr>
      </w:pPr>
      <w:r>
        <w:rPr>
          <w:rFonts w:hint="eastAsia"/>
          <w:lang w:eastAsia="zh-CN"/>
        </w:rPr>
        <w:t>支持分组快速切换；</w:t>
      </w:r>
    </w:p>
    <w:p>
      <w:pPr>
        <w:numPr>
          <w:ilvl w:val="0"/>
          <w:numId w:val="0"/>
        </w:numPr>
        <w:ind w:leftChars="0"/>
        <w:rPr>
          <w:rFonts w:hint="eastAsia"/>
          <w:lang w:eastAsia="zh-CN"/>
        </w:rPr>
      </w:pPr>
      <w:r>
        <w:rPr>
          <w:rFonts w:hint="eastAsia"/>
          <w:lang w:eastAsia="zh-CN"/>
        </w:rPr>
        <w:t>支持分组分号段管理；</w:t>
      </w:r>
    </w:p>
    <w:p>
      <w:pPr>
        <w:numPr>
          <w:ilvl w:val="0"/>
          <w:numId w:val="0"/>
        </w:numPr>
        <w:ind w:leftChars="0"/>
        <w:rPr>
          <w:rFonts w:hint="eastAsia"/>
          <w:lang w:eastAsia="zh-CN"/>
        </w:rPr>
      </w:pPr>
      <w:r>
        <w:rPr>
          <w:rFonts w:hint="eastAsia"/>
          <w:lang w:eastAsia="zh-CN"/>
        </w:rPr>
        <w:t>支持自定义快捷按钮；</w:t>
      </w:r>
    </w:p>
    <w:p>
      <w:pPr>
        <w:numPr>
          <w:ilvl w:val="0"/>
          <w:numId w:val="0"/>
        </w:numPr>
        <w:ind w:leftChars="0"/>
        <w:rPr>
          <w:rFonts w:hint="eastAsia"/>
          <w:lang w:eastAsia="zh-CN"/>
        </w:rPr>
      </w:pPr>
      <w:r>
        <w:rPr>
          <w:rFonts w:hint="eastAsia"/>
          <w:lang w:eastAsia="zh-CN"/>
        </w:rPr>
        <w:t>支持自定义右键功能；</w:t>
      </w:r>
    </w:p>
    <w:p>
      <w:pPr>
        <w:numPr>
          <w:ilvl w:val="0"/>
          <w:numId w:val="0"/>
        </w:numPr>
        <w:ind w:leftChars="0"/>
        <w:rPr>
          <w:rFonts w:hint="eastAsia"/>
          <w:lang w:eastAsia="zh-CN"/>
        </w:rPr>
      </w:pPr>
      <w:r>
        <w:rPr>
          <w:rFonts w:hint="eastAsia"/>
          <w:lang w:eastAsia="zh-CN"/>
        </w:rPr>
        <w:t>支持自定义样本分类快速筛选。</w:t>
      </w:r>
    </w:p>
    <w:p>
      <w:pPr>
        <w:numPr>
          <w:ilvl w:val="0"/>
          <w:numId w:val="0"/>
        </w:numPr>
        <w:ind w:leftChars="0"/>
        <w:rPr>
          <w:rFonts w:hint="eastAsia"/>
          <w:lang w:eastAsia="zh-CN"/>
        </w:rPr>
      </w:pPr>
      <w:r>
        <w:rPr>
          <w:rFonts w:hint="eastAsia"/>
          <w:lang w:eastAsia="zh-CN"/>
        </w:rPr>
        <w:t>3)信息录入&amp;编号：</w:t>
      </w:r>
    </w:p>
    <w:p>
      <w:pPr>
        <w:numPr>
          <w:ilvl w:val="0"/>
          <w:numId w:val="0"/>
        </w:numPr>
        <w:ind w:leftChars="0"/>
        <w:rPr>
          <w:rFonts w:hint="eastAsia"/>
          <w:lang w:eastAsia="zh-CN"/>
        </w:rPr>
      </w:pPr>
      <w:r>
        <w:rPr>
          <w:rFonts w:hint="eastAsia"/>
          <w:lang w:eastAsia="zh-CN"/>
        </w:rPr>
        <w:t>支持从前处理工作站自动获取已编号样本信息及项目；</w:t>
      </w:r>
    </w:p>
    <w:p>
      <w:pPr>
        <w:numPr>
          <w:ilvl w:val="0"/>
          <w:numId w:val="0"/>
        </w:numPr>
        <w:ind w:leftChars="0"/>
        <w:rPr>
          <w:rFonts w:hint="eastAsia"/>
          <w:lang w:eastAsia="zh-CN"/>
        </w:rPr>
      </w:pPr>
      <w:r>
        <w:rPr>
          <w:rFonts w:hint="eastAsia"/>
          <w:lang w:eastAsia="zh-CN"/>
        </w:rPr>
        <w:t>支持手工编号并扫描标本条形码获取样本信息及本分组单元项目；</w:t>
      </w:r>
    </w:p>
    <w:p>
      <w:pPr>
        <w:numPr>
          <w:ilvl w:val="0"/>
          <w:numId w:val="0"/>
        </w:numPr>
        <w:ind w:leftChars="0"/>
        <w:rPr>
          <w:rFonts w:hint="eastAsia"/>
          <w:lang w:eastAsia="zh-CN"/>
        </w:rPr>
      </w:pPr>
      <w:r>
        <w:rPr>
          <w:rFonts w:hint="eastAsia"/>
          <w:lang w:eastAsia="zh-CN"/>
        </w:rPr>
        <w:t>支持特定授权下手工编号并根据患者ID获取患者信息，并手工录入样本信息及项目；</w:t>
      </w:r>
    </w:p>
    <w:p>
      <w:pPr>
        <w:numPr>
          <w:ilvl w:val="0"/>
          <w:numId w:val="0"/>
        </w:numPr>
        <w:ind w:leftChars="0"/>
        <w:rPr>
          <w:rFonts w:hint="eastAsia"/>
          <w:lang w:eastAsia="zh-CN"/>
        </w:rPr>
      </w:pPr>
      <w:r>
        <w:rPr>
          <w:rFonts w:hint="eastAsia"/>
          <w:lang w:eastAsia="zh-CN"/>
        </w:rPr>
        <w:t>支持特定授权下的样本信息全手工录入；</w:t>
      </w:r>
    </w:p>
    <w:p>
      <w:pPr>
        <w:numPr>
          <w:ilvl w:val="0"/>
          <w:numId w:val="0"/>
        </w:numPr>
        <w:ind w:leftChars="0"/>
        <w:rPr>
          <w:rFonts w:hint="eastAsia"/>
          <w:lang w:eastAsia="zh-CN"/>
        </w:rPr>
      </w:pPr>
      <w:r>
        <w:rPr>
          <w:rFonts w:hint="eastAsia"/>
          <w:lang w:eastAsia="zh-CN"/>
        </w:rPr>
        <w:t>支持扫描标本条形码信息并获取样本信息及项目，并依据自定义编号规则自动编号，支持同一样本编同组多号，支持非本组单元项目自动编号；</w:t>
      </w:r>
    </w:p>
    <w:p>
      <w:pPr>
        <w:numPr>
          <w:ilvl w:val="0"/>
          <w:numId w:val="0"/>
        </w:numPr>
        <w:ind w:leftChars="0"/>
        <w:rPr>
          <w:rFonts w:hint="eastAsia"/>
          <w:lang w:eastAsia="zh-CN"/>
        </w:rPr>
      </w:pPr>
      <w:r>
        <w:rPr>
          <w:rFonts w:hint="eastAsia"/>
          <w:lang w:eastAsia="zh-CN"/>
        </w:rPr>
        <w:t>支持批量提取任务单集中进行编号；</w:t>
      </w:r>
    </w:p>
    <w:p>
      <w:pPr>
        <w:numPr>
          <w:ilvl w:val="0"/>
          <w:numId w:val="0"/>
        </w:numPr>
        <w:ind w:leftChars="0"/>
        <w:rPr>
          <w:rFonts w:hint="eastAsia"/>
          <w:lang w:eastAsia="zh-CN"/>
        </w:rPr>
      </w:pPr>
      <w:r>
        <w:rPr>
          <w:rFonts w:hint="eastAsia"/>
          <w:lang w:eastAsia="zh-CN"/>
        </w:rPr>
        <w:t>支持窗口检验功能（血糖检验、儿童血常规、白带检验）。</w:t>
      </w:r>
    </w:p>
    <w:p>
      <w:pPr>
        <w:numPr>
          <w:ilvl w:val="0"/>
          <w:numId w:val="0"/>
        </w:numPr>
        <w:ind w:leftChars="0"/>
        <w:rPr>
          <w:rFonts w:hint="eastAsia"/>
          <w:lang w:eastAsia="zh-CN"/>
        </w:rPr>
      </w:pPr>
      <w:r>
        <w:rPr>
          <w:rFonts w:hint="eastAsia"/>
          <w:lang w:eastAsia="zh-CN"/>
        </w:rPr>
        <w:t>4)分析结果接收及手工数据录入：</w:t>
      </w:r>
    </w:p>
    <w:p>
      <w:pPr>
        <w:numPr>
          <w:ilvl w:val="0"/>
          <w:numId w:val="0"/>
        </w:numPr>
        <w:ind w:leftChars="0"/>
        <w:rPr>
          <w:rFonts w:hint="eastAsia"/>
          <w:lang w:eastAsia="zh-CN"/>
        </w:rPr>
      </w:pPr>
      <w:r>
        <w:rPr>
          <w:rFonts w:hint="eastAsia"/>
          <w:lang w:eastAsia="zh-CN"/>
        </w:rPr>
        <w:t>支持数字结果、字符结果、图片图形结果、描述性结果；</w:t>
      </w:r>
    </w:p>
    <w:p>
      <w:pPr>
        <w:numPr>
          <w:ilvl w:val="0"/>
          <w:numId w:val="0"/>
        </w:numPr>
        <w:ind w:leftChars="0"/>
        <w:rPr>
          <w:rFonts w:hint="eastAsia"/>
          <w:lang w:eastAsia="zh-CN"/>
        </w:rPr>
      </w:pPr>
      <w:r>
        <w:rPr>
          <w:rFonts w:hint="eastAsia"/>
          <w:lang w:eastAsia="zh-CN"/>
        </w:rPr>
        <w:t>同时支持原始结果、检验定量结果、检验定性结果、报告结果；</w:t>
      </w:r>
    </w:p>
    <w:p>
      <w:pPr>
        <w:numPr>
          <w:ilvl w:val="0"/>
          <w:numId w:val="0"/>
        </w:numPr>
        <w:ind w:leftChars="0"/>
        <w:rPr>
          <w:rFonts w:hint="eastAsia"/>
          <w:lang w:eastAsia="zh-CN"/>
        </w:rPr>
      </w:pPr>
      <w:r>
        <w:rPr>
          <w:rFonts w:hint="eastAsia"/>
          <w:lang w:eastAsia="zh-CN"/>
        </w:rPr>
        <w:t>支持仪器分析数据自动接收，特定项目结果依据设定规则作自动转换；</w:t>
      </w:r>
    </w:p>
    <w:p>
      <w:pPr>
        <w:numPr>
          <w:ilvl w:val="0"/>
          <w:numId w:val="0"/>
        </w:numPr>
        <w:ind w:leftChars="0"/>
        <w:rPr>
          <w:rFonts w:hint="eastAsia"/>
          <w:lang w:eastAsia="zh-CN"/>
        </w:rPr>
      </w:pPr>
      <w:r>
        <w:rPr>
          <w:rFonts w:hint="eastAsia"/>
          <w:lang w:eastAsia="zh-CN"/>
        </w:rPr>
        <w:t>支持图形数据接收、存储和展现；</w:t>
      </w:r>
    </w:p>
    <w:p>
      <w:pPr>
        <w:numPr>
          <w:ilvl w:val="0"/>
          <w:numId w:val="0"/>
        </w:numPr>
        <w:ind w:leftChars="0"/>
        <w:rPr>
          <w:rFonts w:hint="eastAsia"/>
          <w:lang w:eastAsia="zh-CN"/>
        </w:rPr>
      </w:pPr>
      <w:r>
        <w:rPr>
          <w:rFonts w:hint="eastAsia"/>
          <w:lang w:eastAsia="zh-CN"/>
        </w:rPr>
        <w:t>支持仪器报警信息接收、存储和展现；</w:t>
      </w:r>
    </w:p>
    <w:p>
      <w:pPr>
        <w:numPr>
          <w:ilvl w:val="0"/>
          <w:numId w:val="0"/>
        </w:numPr>
        <w:ind w:leftChars="0"/>
        <w:rPr>
          <w:rFonts w:hint="eastAsia"/>
          <w:lang w:eastAsia="zh-CN"/>
        </w:rPr>
      </w:pPr>
      <w:r>
        <w:rPr>
          <w:rFonts w:hint="eastAsia"/>
          <w:lang w:eastAsia="zh-CN"/>
        </w:rPr>
        <w:t>支持仪器样本报警信息接收、存储和展现；</w:t>
      </w:r>
    </w:p>
    <w:p>
      <w:pPr>
        <w:numPr>
          <w:ilvl w:val="0"/>
          <w:numId w:val="0"/>
        </w:numPr>
        <w:ind w:leftChars="0"/>
        <w:rPr>
          <w:rFonts w:hint="eastAsia"/>
          <w:lang w:eastAsia="zh-CN"/>
        </w:rPr>
      </w:pPr>
      <w:r>
        <w:rPr>
          <w:rFonts w:hint="eastAsia"/>
          <w:lang w:eastAsia="zh-CN"/>
        </w:rPr>
        <w:t>支持仪器项目报警信息接收、存储和展现；</w:t>
      </w:r>
    </w:p>
    <w:p>
      <w:pPr>
        <w:numPr>
          <w:ilvl w:val="0"/>
          <w:numId w:val="0"/>
        </w:numPr>
        <w:ind w:leftChars="0"/>
        <w:rPr>
          <w:rFonts w:hint="eastAsia"/>
          <w:lang w:eastAsia="zh-CN"/>
        </w:rPr>
      </w:pPr>
      <w:r>
        <w:rPr>
          <w:rFonts w:hint="eastAsia"/>
          <w:lang w:eastAsia="zh-CN"/>
        </w:rPr>
        <w:t>支持原始数据留存；</w:t>
      </w:r>
    </w:p>
    <w:p>
      <w:pPr>
        <w:numPr>
          <w:ilvl w:val="0"/>
          <w:numId w:val="0"/>
        </w:numPr>
        <w:ind w:leftChars="0"/>
        <w:rPr>
          <w:rFonts w:hint="eastAsia"/>
          <w:lang w:eastAsia="zh-CN"/>
        </w:rPr>
      </w:pPr>
      <w:r>
        <w:rPr>
          <w:rFonts w:hint="eastAsia"/>
          <w:lang w:eastAsia="zh-CN"/>
        </w:rPr>
        <w:t>支持糖耐量等组合项目自动合并；</w:t>
      </w:r>
    </w:p>
    <w:p>
      <w:pPr>
        <w:numPr>
          <w:ilvl w:val="0"/>
          <w:numId w:val="0"/>
        </w:numPr>
        <w:ind w:leftChars="0"/>
        <w:rPr>
          <w:rFonts w:hint="eastAsia"/>
          <w:lang w:eastAsia="zh-CN"/>
        </w:rPr>
      </w:pPr>
      <w:r>
        <w:rPr>
          <w:rFonts w:hint="eastAsia"/>
          <w:lang w:eastAsia="zh-CN"/>
        </w:rPr>
        <w:t>支持指定项目接收数据功能；</w:t>
      </w:r>
    </w:p>
    <w:p>
      <w:pPr>
        <w:numPr>
          <w:ilvl w:val="0"/>
          <w:numId w:val="0"/>
        </w:numPr>
        <w:ind w:leftChars="0"/>
        <w:rPr>
          <w:rFonts w:hint="eastAsia"/>
          <w:lang w:eastAsia="zh-CN"/>
        </w:rPr>
      </w:pPr>
      <w:r>
        <w:rPr>
          <w:rFonts w:hint="eastAsia"/>
          <w:lang w:eastAsia="zh-CN"/>
        </w:rPr>
        <w:t>支持跨天标本数据接收功能；</w:t>
      </w:r>
    </w:p>
    <w:p>
      <w:pPr>
        <w:numPr>
          <w:ilvl w:val="0"/>
          <w:numId w:val="0"/>
        </w:numPr>
        <w:ind w:leftChars="0"/>
        <w:rPr>
          <w:rFonts w:hint="eastAsia"/>
          <w:lang w:eastAsia="zh-CN"/>
        </w:rPr>
      </w:pPr>
      <w:r>
        <w:rPr>
          <w:rFonts w:hint="eastAsia"/>
          <w:lang w:eastAsia="zh-CN"/>
        </w:rPr>
        <w:t>单个项目、组合项目、手工复查项目、批量标本等多种方式手工项目及结果录入，并可设定录入结果警示限，对结果有效性进行控制；</w:t>
      </w:r>
    </w:p>
    <w:p>
      <w:pPr>
        <w:numPr>
          <w:ilvl w:val="0"/>
          <w:numId w:val="0"/>
        </w:numPr>
        <w:ind w:leftChars="0"/>
        <w:rPr>
          <w:rFonts w:hint="eastAsia"/>
          <w:lang w:eastAsia="zh-CN"/>
        </w:rPr>
      </w:pPr>
      <w:r>
        <w:rPr>
          <w:rFonts w:hint="eastAsia"/>
          <w:lang w:eastAsia="zh-CN"/>
        </w:rPr>
        <w:t>支持双盲录入；</w:t>
      </w:r>
    </w:p>
    <w:p>
      <w:pPr>
        <w:numPr>
          <w:ilvl w:val="0"/>
          <w:numId w:val="0"/>
        </w:numPr>
        <w:ind w:leftChars="0"/>
        <w:rPr>
          <w:rFonts w:hint="eastAsia"/>
          <w:lang w:eastAsia="zh-CN"/>
        </w:rPr>
      </w:pPr>
      <w:r>
        <w:rPr>
          <w:rFonts w:hint="eastAsia"/>
          <w:lang w:eastAsia="zh-CN"/>
        </w:rPr>
        <w:t>支持条目化结果解释录入；</w:t>
      </w:r>
    </w:p>
    <w:p>
      <w:pPr>
        <w:numPr>
          <w:ilvl w:val="0"/>
          <w:numId w:val="0"/>
        </w:numPr>
        <w:ind w:leftChars="0"/>
        <w:rPr>
          <w:rFonts w:hint="eastAsia"/>
          <w:lang w:eastAsia="zh-CN"/>
        </w:rPr>
      </w:pPr>
      <w:r>
        <w:rPr>
          <w:rFonts w:hint="eastAsia"/>
          <w:lang w:eastAsia="zh-CN"/>
        </w:rPr>
        <w:t>对数据来源有标识；</w:t>
      </w:r>
    </w:p>
    <w:p>
      <w:pPr>
        <w:numPr>
          <w:ilvl w:val="0"/>
          <w:numId w:val="0"/>
        </w:numPr>
        <w:ind w:leftChars="0"/>
        <w:rPr>
          <w:rFonts w:hint="eastAsia"/>
          <w:lang w:eastAsia="zh-CN"/>
        </w:rPr>
      </w:pPr>
      <w:r>
        <w:rPr>
          <w:rFonts w:hint="eastAsia"/>
          <w:lang w:eastAsia="zh-CN"/>
        </w:rPr>
        <w:t>自动根据标本的基本信息，自动根据相匹配的项目参考值范围进行高低判断，用标记或颜色等手段进行不正常提示；</w:t>
      </w:r>
    </w:p>
    <w:p>
      <w:pPr>
        <w:numPr>
          <w:ilvl w:val="0"/>
          <w:numId w:val="0"/>
        </w:numPr>
        <w:ind w:leftChars="0"/>
        <w:rPr>
          <w:rFonts w:hint="eastAsia"/>
          <w:lang w:eastAsia="zh-CN"/>
        </w:rPr>
      </w:pPr>
      <w:r>
        <w:rPr>
          <w:rFonts w:hint="eastAsia"/>
          <w:lang w:eastAsia="zh-CN"/>
        </w:rPr>
        <w:t>根据参考值自动判断（参考值根据性别、标本种类和年龄不同而不同，年龄可以是岁、月、周、天、小时等形式；可以处理特殊生理指征的参考值）。</w:t>
      </w:r>
    </w:p>
    <w:p>
      <w:pPr>
        <w:numPr>
          <w:ilvl w:val="0"/>
          <w:numId w:val="0"/>
        </w:numPr>
        <w:ind w:leftChars="0"/>
        <w:rPr>
          <w:rFonts w:hint="eastAsia"/>
          <w:lang w:eastAsia="zh-CN"/>
        </w:rPr>
      </w:pPr>
      <w:r>
        <w:rPr>
          <w:rFonts w:hint="eastAsia"/>
          <w:lang w:eastAsia="zh-CN"/>
        </w:rPr>
        <w:t>5)数据处理：</w:t>
      </w:r>
    </w:p>
    <w:p>
      <w:pPr>
        <w:numPr>
          <w:ilvl w:val="0"/>
          <w:numId w:val="0"/>
        </w:numPr>
        <w:ind w:leftChars="0"/>
        <w:rPr>
          <w:rFonts w:hint="eastAsia"/>
          <w:lang w:eastAsia="zh-CN"/>
        </w:rPr>
      </w:pPr>
      <w:r>
        <w:rPr>
          <w:rFonts w:hint="eastAsia"/>
          <w:lang w:eastAsia="zh-CN"/>
        </w:rPr>
        <w:t>支持单样本、多样本整体删除并留痕；</w:t>
      </w:r>
    </w:p>
    <w:p>
      <w:pPr>
        <w:numPr>
          <w:ilvl w:val="0"/>
          <w:numId w:val="0"/>
        </w:numPr>
        <w:ind w:leftChars="0"/>
        <w:rPr>
          <w:rFonts w:hint="eastAsia"/>
          <w:lang w:eastAsia="zh-CN"/>
        </w:rPr>
      </w:pPr>
      <w:r>
        <w:rPr>
          <w:rFonts w:hint="eastAsia"/>
          <w:lang w:eastAsia="zh-CN"/>
        </w:rPr>
        <w:t>支持样本信息修改并留痕；</w:t>
      </w:r>
    </w:p>
    <w:p>
      <w:pPr>
        <w:numPr>
          <w:ilvl w:val="0"/>
          <w:numId w:val="0"/>
        </w:numPr>
        <w:ind w:leftChars="0"/>
        <w:rPr>
          <w:rFonts w:hint="eastAsia"/>
          <w:lang w:eastAsia="zh-CN"/>
        </w:rPr>
      </w:pPr>
      <w:r>
        <w:rPr>
          <w:rFonts w:hint="eastAsia"/>
          <w:lang w:eastAsia="zh-CN"/>
        </w:rPr>
        <w:t>支持单项目、多项目整体删除并留痕；</w:t>
      </w:r>
    </w:p>
    <w:p>
      <w:pPr>
        <w:numPr>
          <w:ilvl w:val="0"/>
          <w:numId w:val="0"/>
        </w:numPr>
        <w:ind w:leftChars="0"/>
        <w:rPr>
          <w:rFonts w:hint="eastAsia"/>
          <w:lang w:eastAsia="zh-CN"/>
        </w:rPr>
      </w:pPr>
      <w:r>
        <w:rPr>
          <w:rFonts w:hint="eastAsia"/>
          <w:lang w:eastAsia="zh-CN"/>
        </w:rPr>
        <w:t>支持单个、批量样本信息及结果信息复制或迁移，并留痕。</w:t>
      </w:r>
    </w:p>
    <w:p>
      <w:pPr>
        <w:numPr>
          <w:ilvl w:val="0"/>
          <w:numId w:val="0"/>
        </w:numPr>
        <w:ind w:leftChars="0"/>
        <w:rPr>
          <w:rFonts w:hint="eastAsia"/>
          <w:lang w:eastAsia="zh-CN"/>
        </w:rPr>
      </w:pPr>
      <w:r>
        <w:rPr>
          <w:rFonts w:hint="eastAsia"/>
          <w:lang w:eastAsia="zh-CN"/>
        </w:rPr>
        <w:t>6)个体样本（警示）信息：</w:t>
      </w:r>
    </w:p>
    <w:p>
      <w:pPr>
        <w:numPr>
          <w:ilvl w:val="0"/>
          <w:numId w:val="0"/>
        </w:numPr>
        <w:ind w:leftChars="0"/>
        <w:rPr>
          <w:rFonts w:hint="eastAsia"/>
          <w:lang w:eastAsia="zh-CN"/>
        </w:rPr>
      </w:pPr>
      <w:r>
        <w:rPr>
          <w:rFonts w:hint="eastAsia"/>
          <w:lang w:eastAsia="zh-CN"/>
        </w:rPr>
        <w:t>能够显示单个样本的特殊阳性（如HIV阳性）标识；</w:t>
      </w:r>
    </w:p>
    <w:p>
      <w:pPr>
        <w:numPr>
          <w:ilvl w:val="0"/>
          <w:numId w:val="0"/>
        </w:numPr>
        <w:ind w:leftChars="0"/>
        <w:rPr>
          <w:rFonts w:hint="eastAsia"/>
          <w:lang w:eastAsia="zh-CN"/>
        </w:rPr>
      </w:pPr>
      <w:r>
        <w:rPr>
          <w:rFonts w:hint="eastAsia"/>
          <w:lang w:eastAsia="zh-CN"/>
        </w:rPr>
        <w:t>能够显示单个样本的危急值标识；</w:t>
      </w:r>
    </w:p>
    <w:p>
      <w:pPr>
        <w:numPr>
          <w:ilvl w:val="0"/>
          <w:numId w:val="0"/>
        </w:numPr>
        <w:ind w:leftChars="0"/>
        <w:rPr>
          <w:rFonts w:hint="eastAsia"/>
          <w:lang w:eastAsia="zh-CN"/>
        </w:rPr>
      </w:pPr>
      <w:r>
        <w:rPr>
          <w:rFonts w:hint="eastAsia"/>
          <w:lang w:eastAsia="zh-CN"/>
        </w:rPr>
        <w:t>能够显示单个样本的费用状态信息；</w:t>
      </w:r>
    </w:p>
    <w:p>
      <w:pPr>
        <w:numPr>
          <w:ilvl w:val="0"/>
          <w:numId w:val="0"/>
        </w:numPr>
        <w:ind w:leftChars="0"/>
        <w:rPr>
          <w:rFonts w:hint="eastAsia"/>
          <w:lang w:eastAsia="zh-CN"/>
        </w:rPr>
      </w:pPr>
      <w:r>
        <w:rPr>
          <w:rFonts w:hint="eastAsia"/>
          <w:lang w:eastAsia="zh-CN"/>
        </w:rPr>
        <w:t>能够显示单个样本的特别嘱托信息；</w:t>
      </w:r>
    </w:p>
    <w:p>
      <w:pPr>
        <w:numPr>
          <w:ilvl w:val="0"/>
          <w:numId w:val="0"/>
        </w:numPr>
        <w:ind w:leftChars="0"/>
        <w:rPr>
          <w:rFonts w:hint="eastAsia"/>
          <w:lang w:eastAsia="zh-CN"/>
        </w:rPr>
      </w:pPr>
      <w:r>
        <w:rPr>
          <w:rFonts w:hint="eastAsia"/>
          <w:lang w:eastAsia="zh-CN"/>
        </w:rPr>
        <w:t>能够显示单个样本的样本状态信息；</w:t>
      </w:r>
    </w:p>
    <w:p>
      <w:pPr>
        <w:numPr>
          <w:ilvl w:val="0"/>
          <w:numId w:val="0"/>
        </w:numPr>
        <w:ind w:leftChars="0"/>
        <w:rPr>
          <w:rFonts w:hint="eastAsia"/>
          <w:lang w:eastAsia="zh-CN"/>
        </w:rPr>
      </w:pPr>
      <w:r>
        <w:rPr>
          <w:rFonts w:hint="eastAsia"/>
          <w:lang w:eastAsia="zh-CN"/>
        </w:rPr>
        <w:t>能够显示样本的当前位置信息。</w:t>
      </w:r>
    </w:p>
    <w:p>
      <w:pPr>
        <w:numPr>
          <w:ilvl w:val="0"/>
          <w:numId w:val="0"/>
        </w:numPr>
        <w:ind w:leftChars="0"/>
        <w:rPr>
          <w:rFonts w:hint="eastAsia"/>
          <w:lang w:eastAsia="zh-CN"/>
        </w:rPr>
      </w:pPr>
      <w:r>
        <w:rPr>
          <w:rFonts w:hint="eastAsia"/>
          <w:lang w:eastAsia="zh-CN"/>
        </w:rPr>
        <w:t>7)分组警示信息：</w:t>
      </w:r>
    </w:p>
    <w:p>
      <w:pPr>
        <w:numPr>
          <w:ilvl w:val="0"/>
          <w:numId w:val="0"/>
        </w:numPr>
        <w:ind w:leftChars="0"/>
        <w:rPr>
          <w:rFonts w:hint="eastAsia"/>
          <w:lang w:eastAsia="zh-CN"/>
        </w:rPr>
      </w:pPr>
      <w:r>
        <w:rPr>
          <w:rFonts w:hint="eastAsia"/>
          <w:lang w:eastAsia="zh-CN"/>
        </w:rPr>
        <w:t>能够显示分组质控失控警示信息，质控超时未做警示信息，移动均值超限警示信息；</w:t>
      </w:r>
    </w:p>
    <w:p>
      <w:pPr>
        <w:numPr>
          <w:ilvl w:val="0"/>
          <w:numId w:val="0"/>
        </w:numPr>
        <w:ind w:leftChars="0"/>
        <w:rPr>
          <w:rFonts w:hint="eastAsia"/>
          <w:lang w:eastAsia="zh-CN"/>
        </w:rPr>
      </w:pPr>
      <w:r>
        <w:rPr>
          <w:rFonts w:hint="eastAsia"/>
          <w:lang w:eastAsia="zh-CN"/>
        </w:rPr>
        <w:t>能够显示分组样本TAT超限预警及报警等警示信息；</w:t>
      </w:r>
    </w:p>
    <w:p>
      <w:pPr>
        <w:numPr>
          <w:ilvl w:val="0"/>
          <w:numId w:val="0"/>
        </w:numPr>
        <w:ind w:leftChars="0"/>
        <w:rPr>
          <w:rFonts w:hint="eastAsia"/>
          <w:lang w:eastAsia="zh-CN"/>
        </w:rPr>
      </w:pPr>
      <w:r>
        <w:rPr>
          <w:rFonts w:hint="eastAsia"/>
          <w:lang w:eastAsia="zh-CN"/>
        </w:rPr>
        <w:t>能够显示分组危急值预警、感知超时、报告超时预警、报告超时报警、接报超时报警信息；</w:t>
      </w:r>
    </w:p>
    <w:p>
      <w:pPr>
        <w:numPr>
          <w:ilvl w:val="0"/>
          <w:numId w:val="0"/>
        </w:numPr>
        <w:ind w:leftChars="0"/>
        <w:rPr>
          <w:rFonts w:hint="eastAsia"/>
          <w:lang w:eastAsia="zh-CN"/>
        </w:rPr>
      </w:pPr>
      <w:r>
        <w:rPr>
          <w:rFonts w:hint="eastAsia"/>
          <w:lang w:eastAsia="zh-CN"/>
        </w:rPr>
        <w:t>能够显示分组仪器警示信息；</w:t>
      </w:r>
    </w:p>
    <w:p>
      <w:pPr>
        <w:numPr>
          <w:ilvl w:val="0"/>
          <w:numId w:val="0"/>
        </w:numPr>
        <w:ind w:leftChars="0"/>
        <w:rPr>
          <w:rFonts w:hint="eastAsia"/>
          <w:lang w:eastAsia="zh-CN"/>
        </w:rPr>
      </w:pPr>
      <w:r>
        <w:rPr>
          <w:rFonts w:hint="eastAsia"/>
          <w:lang w:eastAsia="zh-CN"/>
        </w:rPr>
        <w:t>能够显示分组嘱托信息。</w:t>
      </w:r>
    </w:p>
    <w:p>
      <w:pPr>
        <w:numPr>
          <w:ilvl w:val="0"/>
          <w:numId w:val="0"/>
        </w:numPr>
        <w:ind w:leftChars="0"/>
        <w:rPr>
          <w:rFonts w:hint="eastAsia"/>
          <w:lang w:eastAsia="zh-CN"/>
        </w:rPr>
      </w:pPr>
      <w:r>
        <w:rPr>
          <w:rFonts w:hint="eastAsia"/>
          <w:lang w:eastAsia="zh-CN"/>
        </w:rPr>
        <w:t>8)数据分析及信息浏览：</w:t>
      </w:r>
    </w:p>
    <w:p>
      <w:pPr>
        <w:numPr>
          <w:ilvl w:val="0"/>
          <w:numId w:val="0"/>
        </w:numPr>
        <w:ind w:leftChars="0"/>
        <w:rPr>
          <w:rFonts w:hint="eastAsia"/>
          <w:lang w:eastAsia="zh-CN"/>
        </w:rPr>
      </w:pPr>
      <w:r>
        <w:rPr>
          <w:rFonts w:hint="eastAsia"/>
          <w:lang w:eastAsia="zh-CN"/>
        </w:rPr>
        <w:t>▲支持按样本、申请单、报告单对全生命周期所有信息进行浏览（时间轴形式展现） ；</w:t>
      </w:r>
    </w:p>
    <w:p>
      <w:pPr>
        <w:numPr>
          <w:ilvl w:val="0"/>
          <w:numId w:val="0"/>
        </w:numPr>
        <w:ind w:leftChars="0"/>
        <w:rPr>
          <w:rFonts w:hint="eastAsia"/>
          <w:lang w:eastAsia="zh-CN"/>
        </w:rPr>
      </w:pPr>
      <w:r>
        <w:rPr>
          <w:rFonts w:hint="eastAsia"/>
          <w:lang w:eastAsia="zh-CN"/>
        </w:rPr>
        <w:t>▲支持双屏或带鱼屏双屏联动 ；</w:t>
      </w:r>
    </w:p>
    <w:p>
      <w:pPr>
        <w:numPr>
          <w:ilvl w:val="0"/>
          <w:numId w:val="0"/>
        </w:numPr>
        <w:ind w:leftChars="0"/>
        <w:rPr>
          <w:rFonts w:hint="eastAsia"/>
          <w:lang w:eastAsia="zh-CN"/>
        </w:rPr>
      </w:pPr>
      <w:r>
        <w:rPr>
          <w:rFonts w:hint="eastAsia"/>
          <w:lang w:eastAsia="zh-CN"/>
        </w:rPr>
        <w:t>支持样本采集源图像浏览；</w:t>
      </w:r>
    </w:p>
    <w:p>
      <w:pPr>
        <w:numPr>
          <w:ilvl w:val="0"/>
          <w:numId w:val="0"/>
        </w:numPr>
        <w:ind w:leftChars="0"/>
        <w:rPr>
          <w:rFonts w:hint="eastAsia"/>
          <w:lang w:eastAsia="zh-CN"/>
        </w:rPr>
      </w:pPr>
      <w:r>
        <w:rPr>
          <w:rFonts w:hint="eastAsia"/>
          <w:lang w:eastAsia="zh-CN"/>
        </w:rPr>
        <w:t>支持项目多批次检验结果回顾；</w:t>
      </w:r>
    </w:p>
    <w:p>
      <w:pPr>
        <w:numPr>
          <w:ilvl w:val="0"/>
          <w:numId w:val="0"/>
        </w:numPr>
        <w:ind w:leftChars="0"/>
        <w:rPr>
          <w:rFonts w:hint="eastAsia"/>
          <w:lang w:eastAsia="zh-CN"/>
        </w:rPr>
      </w:pPr>
      <w:r>
        <w:rPr>
          <w:rFonts w:hint="eastAsia"/>
          <w:lang w:eastAsia="zh-CN"/>
        </w:rPr>
        <w:t>支持单项目动态历史结果分析；</w:t>
      </w:r>
    </w:p>
    <w:p>
      <w:pPr>
        <w:numPr>
          <w:ilvl w:val="0"/>
          <w:numId w:val="0"/>
        </w:numPr>
        <w:ind w:leftChars="0"/>
        <w:rPr>
          <w:rFonts w:hint="eastAsia"/>
          <w:lang w:eastAsia="zh-CN"/>
        </w:rPr>
      </w:pPr>
      <w:r>
        <w:rPr>
          <w:rFonts w:hint="eastAsia"/>
          <w:lang w:eastAsia="zh-CN"/>
        </w:rPr>
        <w:t>支持分组项目均值、SD、百分位数等统计分析；</w:t>
      </w:r>
    </w:p>
    <w:p>
      <w:pPr>
        <w:numPr>
          <w:ilvl w:val="0"/>
          <w:numId w:val="0"/>
        </w:numPr>
        <w:ind w:leftChars="0"/>
        <w:rPr>
          <w:rFonts w:hint="eastAsia"/>
          <w:lang w:eastAsia="zh-CN"/>
        </w:rPr>
      </w:pPr>
      <w:r>
        <w:rPr>
          <w:rFonts w:hint="eastAsia"/>
          <w:lang w:eastAsia="zh-CN"/>
        </w:rPr>
        <w:t>支持同一标本其它样本分析结果浏览；</w:t>
      </w:r>
    </w:p>
    <w:p>
      <w:pPr>
        <w:numPr>
          <w:ilvl w:val="0"/>
          <w:numId w:val="0"/>
        </w:numPr>
        <w:ind w:leftChars="0"/>
        <w:rPr>
          <w:rFonts w:hint="eastAsia"/>
          <w:lang w:eastAsia="zh-CN"/>
        </w:rPr>
      </w:pPr>
      <w:r>
        <w:rPr>
          <w:rFonts w:hint="eastAsia"/>
          <w:lang w:eastAsia="zh-CN"/>
        </w:rPr>
        <w:t>支持同一患者同批次检验标本分析结果浏览；</w:t>
      </w:r>
    </w:p>
    <w:p>
      <w:pPr>
        <w:numPr>
          <w:ilvl w:val="0"/>
          <w:numId w:val="0"/>
        </w:numPr>
        <w:ind w:leftChars="0"/>
        <w:rPr>
          <w:rFonts w:hint="eastAsia"/>
          <w:lang w:eastAsia="zh-CN"/>
        </w:rPr>
      </w:pPr>
      <w:r>
        <w:rPr>
          <w:rFonts w:hint="eastAsia"/>
          <w:lang w:eastAsia="zh-CN"/>
        </w:rPr>
        <w:t>支持同一患者特定项目分析结果浏览；</w:t>
      </w:r>
    </w:p>
    <w:p>
      <w:pPr>
        <w:numPr>
          <w:ilvl w:val="0"/>
          <w:numId w:val="0"/>
        </w:numPr>
        <w:ind w:leftChars="0"/>
        <w:rPr>
          <w:rFonts w:hint="eastAsia"/>
          <w:lang w:eastAsia="zh-CN"/>
        </w:rPr>
      </w:pPr>
      <w:r>
        <w:rPr>
          <w:rFonts w:hint="eastAsia"/>
          <w:lang w:eastAsia="zh-CN"/>
        </w:rPr>
        <w:t>9)审核及报告：</w:t>
      </w:r>
    </w:p>
    <w:p>
      <w:pPr>
        <w:numPr>
          <w:ilvl w:val="0"/>
          <w:numId w:val="0"/>
        </w:numPr>
        <w:ind w:leftChars="0"/>
        <w:rPr>
          <w:rFonts w:hint="eastAsia"/>
          <w:lang w:eastAsia="zh-CN"/>
        </w:rPr>
      </w:pPr>
      <w:r>
        <w:rPr>
          <w:rFonts w:hint="eastAsia"/>
          <w:lang w:eastAsia="zh-CN"/>
        </w:rPr>
        <w:t>支持检验审核、报告审核、报告发布；并可依据流程设定同步实现报告审核及报告发布，也可设定是否双审或特定项目、特定时间必须双审；</w:t>
      </w:r>
    </w:p>
    <w:p>
      <w:pPr>
        <w:numPr>
          <w:ilvl w:val="0"/>
          <w:numId w:val="0"/>
        </w:numPr>
        <w:ind w:leftChars="0"/>
        <w:rPr>
          <w:rFonts w:hint="eastAsia"/>
          <w:lang w:eastAsia="zh-CN"/>
        </w:rPr>
      </w:pPr>
      <w:r>
        <w:rPr>
          <w:rFonts w:hint="eastAsia"/>
          <w:lang w:eastAsia="zh-CN"/>
        </w:rPr>
        <w:t>支持样本锁定功能；</w:t>
      </w:r>
    </w:p>
    <w:p>
      <w:pPr>
        <w:numPr>
          <w:ilvl w:val="0"/>
          <w:numId w:val="0"/>
        </w:numPr>
        <w:ind w:leftChars="0"/>
        <w:rPr>
          <w:rFonts w:hint="eastAsia"/>
          <w:lang w:eastAsia="zh-CN"/>
        </w:rPr>
      </w:pPr>
      <w:r>
        <w:rPr>
          <w:rFonts w:hint="eastAsia"/>
          <w:lang w:eastAsia="zh-CN"/>
        </w:rPr>
        <w:t>支持检验描述性报告</w:t>
      </w:r>
    </w:p>
    <w:p>
      <w:pPr>
        <w:numPr>
          <w:ilvl w:val="0"/>
          <w:numId w:val="0"/>
        </w:numPr>
        <w:ind w:leftChars="0"/>
        <w:rPr>
          <w:rFonts w:hint="eastAsia"/>
          <w:lang w:eastAsia="zh-CN"/>
        </w:rPr>
      </w:pPr>
      <w:r>
        <w:rPr>
          <w:rFonts w:hint="eastAsia"/>
          <w:lang w:eastAsia="zh-CN"/>
        </w:rPr>
        <w:t>▲支持结果解释性报告 ；</w:t>
      </w:r>
    </w:p>
    <w:p>
      <w:pPr>
        <w:numPr>
          <w:ilvl w:val="0"/>
          <w:numId w:val="0"/>
        </w:numPr>
        <w:ind w:leftChars="0"/>
        <w:rPr>
          <w:rFonts w:hint="eastAsia"/>
          <w:lang w:eastAsia="zh-CN"/>
        </w:rPr>
      </w:pPr>
      <w:r>
        <w:rPr>
          <w:rFonts w:hint="eastAsia"/>
          <w:lang w:eastAsia="zh-CN"/>
        </w:rPr>
        <w:t>支持分步报告 ；</w:t>
      </w:r>
    </w:p>
    <w:p>
      <w:pPr>
        <w:numPr>
          <w:ilvl w:val="0"/>
          <w:numId w:val="0"/>
        </w:numPr>
        <w:ind w:leftChars="0"/>
        <w:rPr>
          <w:rFonts w:hint="eastAsia"/>
          <w:lang w:eastAsia="zh-CN"/>
        </w:rPr>
      </w:pPr>
      <w:r>
        <w:rPr>
          <w:rFonts w:hint="eastAsia"/>
          <w:lang w:eastAsia="zh-CN"/>
        </w:rPr>
        <w:t>支持分级报告 ；</w:t>
      </w:r>
    </w:p>
    <w:p>
      <w:pPr>
        <w:numPr>
          <w:ilvl w:val="0"/>
          <w:numId w:val="0"/>
        </w:numPr>
        <w:ind w:leftChars="0"/>
        <w:rPr>
          <w:rFonts w:hint="eastAsia"/>
          <w:lang w:eastAsia="zh-CN"/>
        </w:rPr>
      </w:pPr>
      <w:r>
        <w:rPr>
          <w:rFonts w:hint="eastAsia"/>
          <w:lang w:eastAsia="zh-CN"/>
        </w:rPr>
        <w:t>★支持进修生、实习生检验报告初审 ；</w:t>
      </w:r>
    </w:p>
    <w:p>
      <w:pPr>
        <w:numPr>
          <w:ilvl w:val="0"/>
          <w:numId w:val="0"/>
        </w:numPr>
        <w:ind w:leftChars="0"/>
        <w:rPr>
          <w:rFonts w:hint="eastAsia"/>
          <w:lang w:eastAsia="zh-CN"/>
        </w:rPr>
      </w:pPr>
      <w:r>
        <w:rPr>
          <w:rFonts w:hint="eastAsia"/>
          <w:lang w:eastAsia="zh-CN"/>
        </w:rPr>
        <w:t>支持分级审核；</w:t>
      </w:r>
    </w:p>
    <w:p>
      <w:pPr>
        <w:numPr>
          <w:ilvl w:val="0"/>
          <w:numId w:val="0"/>
        </w:numPr>
        <w:ind w:leftChars="0"/>
        <w:rPr>
          <w:rFonts w:hint="eastAsia"/>
          <w:lang w:eastAsia="zh-CN"/>
        </w:rPr>
      </w:pPr>
      <w:r>
        <w:rPr>
          <w:rFonts w:hint="eastAsia"/>
          <w:lang w:eastAsia="zh-CN"/>
        </w:rPr>
        <w:t>支持报告批准；</w:t>
      </w:r>
    </w:p>
    <w:p>
      <w:pPr>
        <w:numPr>
          <w:ilvl w:val="0"/>
          <w:numId w:val="0"/>
        </w:numPr>
        <w:ind w:leftChars="0"/>
        <w:rPr>
          <w:rFonts w:hint="eastAsia"/>
          <w:lang w:eastAsia="zh-CN"/>
        </w:rPr>
      </w:pPr>
      <w:r>
        <w:rPr>
          <w:rFonts w:hint="eastAsia"/>
          <w:lang w:eastAsia="zh-CN"/>
        </w:rPr>
        <w:t>支持同一患者多样本报告自动合并；</w:t>
      </w:r>
    </w:p>
    <w:p>
      <w:pPr>
        <w:numPr>
          <w:ilvl w:val="0"/>
          <w:numId w:val="0"/>
        </w:numPr>
        <w:ind w:leftChars="0"/>
        <w:rPr>
          <w:rFonts w:hint="eastAsia"/>
          <w:lang w:eastAsia="zh-CN"/>
        </w:rPr>
      </w:pPr>
      <w:r>
        <w:rPr>
          <w:rFonts w:hint="eastAsia"/>
          <w:lang w:eastAsia="zh-CN"/>
        </w:rPr>
        <w:t>在完成报告审核后自动生成PDF报告进行固化；</w:t>
      </w:r>
    </w:p>
    <w:p>
      <w:pPr>
        <w:numPr>
          <w:ilvl w:val="0"/>
          <w:numId w:val="0"/>
        </w:numPr>
        <w:ind w:leftChars="0"/>
        <w:rPr>
          <w:rFonts w:hint="eastAsia"/>
          <w:lang w:eastAsia="zh-CN"/>
        </w:rPr>
      </w:pPr>
      <w:r>
        <w:rPr>
          <w:rFonts w:hint="eastAsia"/>
          <w:lang w:eastAsia="zh-CN"/>
        </w:rPr>
        <w:t>支持PDF报告预览及打印；</w:t>
      </w:r>
    </w:p>
    <w:p>
      <w:pPr>
        <w:numPr>
          <w:ilvl w:val="0"/>
          <w:numId w:val="0"/>
        </w:numPr>
        <w:ind w:leftChars="0"/>
        <w:rPr>
          <w:rFonts w:hint="eastAsia"/>
          <w:lang w:eastAsia="zh-CN"/>
        </w:rPr>
      </w:pPr>
      <w:r>
        <w:rPr>
          <w:rFonts w:hint="eastAsia"/>
          <w:lang w:eastAsia="zh-CN"/>
        </w:rPr>
        <w:t>10)流程管理</w:t>
      </w:r>
    </w:p>
    <w:p>
      <w:pPr>
        <w:numPr>
          <w:ilvl w:val="0"/>
          <w:numId w:val="0"/>
        </w:numPr>
        <w:ind w:leftChars="0"/>
        <w:rPr>
          <w:rFonts w:hint="eastAsia"/>
          <w:lang w:eastAsia="zh-CN"/>
        </w:rPr>
      </w:pPr>
      <w:r>
        <w:rPr>
          <w:rFonts w:hint="eastAsia"/>
          <w:lang w:eastAsia="zh-CN"/>
        </w:rPr>
        <w:t>可以实现手工计费及二次补费；</w:t>
      </w:r>
    </w:p>
    <w:p>
      <w:pPr>
        <w:numPr>
          <w:ilvl w:val="0"/>
          <w:numId w:val="0"/>
        </w:numPr>
        <w:ind w:leftChars="0"/>
        <w:rPr>
          <w:rFonts w:hint="eastAsia"/>
          <w:lang w:eastAsia="zh-CN"/>
        </w:rPr>
      </w:pPr>
      <w:r>
        <w:rPr>
          <w:rFonts w:hint="eastAsia"/>
          <w:lang w:eastAsia="zh-CN"/>
        </w:rPr>
        <w:t>具备分组费用自动核对功能；</w:t>
      </w:r>
    </w:p>
    <w:p>
      <w:pPr>
        <w:numPr>
          <w:ilvl w:val="0"/>
          <w:numId w:val="0"/>
        </w:numPr>
        <w:ind w:leftChars="0"/>
        <w:rPr>
          <w:rFonts w:hint="eastAsia"/>
          <w:lang w:eastAsia="zh-CN"/>
        </w:rPr>
      </w:pPr>
      <w:r>
        <w:rPr>
          <w:rFonts w:hint="eastAsia"/>
          <w:lang w:eastAsia="zh-CN"/>
        </w:rPr>
        <w:t>具备危急值全过程闭环管理；</w:t>
      </w:r>
    </w:p>
    <w:p>
      <w:pPr>
        <w:numPr>
          <w:ilvl w:val="0"/>
          <w:numId w:val="0"/>
        </w:numPr>
        <w:ind w:leftChars="0"/>
        <w:rPr>
          <w:rFonts w:hint="eastAsia"/>
          <w:lang w:eastAsia="zh-CN"/>
        </w:rPr>
      </w:pPr>
      <w:r>
        <w:rPr>
          <w:rFonts w:hint="eastAsia"/>
          <w:lang w:eastAsia="zh-CN"/>
        </w:rPr>
        <w:t>内嵌不合格标本全过程闭环管理；</w:t>
      </w:r>
    </w:p>
    <w:p>
      <w:pPr>
        <w:numPr>
          <w:ilvl w:val="0"/>
          <w:numId w:val="0"/>
        </w:numPr>
        <w:ind w:leftChars="0"/>
        <w:rPr>
          <w:rFonts w:hint="eastAsia"/>
          <w:lang w:eastAsia="zh-CN"/>
        </w:rPr>
      </w:pPr>
      <w:r>
        <w:rPr>
          <w:rFonts w:hint="eastAsia"/>
          <w:lang w:eastAsia="zh-CN"/>
        </w:rPr>
        <w:t>内嵌特殊样本登记管理；</w:t>
      </w:r>
    </w:p>
    <w:p>
      <w:pPr>
        <w:numPr>
          <w:ilvl w:val="0"/>
          <w:numId w:val="0"/>
        </w:numPr>
        <w:ind w:leftChars="0"/>
        <w:rPr>
          <w:rFonts w:hint="eastAsia"/>
          <w:lang w:eastAsia="zh-CN"/>
        </w:rPr>
      </w:pPr>
      <w:r>
        <w:rPr>
          <w:rFonts w:hint="eastAsia"/>
          <w:lang w:eastAsia="zh-CN"/>
        </w:rPr>
        <w:t>内嵌传染病登记；</w:t>
      </w:r>
    </w:p>
    <w:p>
      <w:pPr>
        <w:numPr>
          <w:ilvl w:val="0"/>
          <w:numId w:val="0"/>
        </w:numPr>
        <w:ind w:leftChars="0"/>
        <w:rPr>
          <w:rFonts w:hint="eastAsia"/>
          <w:lang w:eastAsia="zh-CN"/>
        </w:rPr>
      </w:pPr>
      <w:r>
        <w:rPr>
          <w:rFonts w:hint="eastAsia"/>
          <w:lang w:eastAsia="zh-CN"/>
        </w:rPr>
        <w:t>具备报告召回全过程闭环管理；</w:t>
      </w:r>
    </w:p>
    <w:p>
      <w:pPr>
        <w:numPr>
          <w:ilvl w:val="0"/>
          <w:numId w:val="0"/>
        </w:numPr>
        <w:ind w:leftChars="0"/>
        <w:rPr>
          <w:rFonts w:hint="eastAsia"/>
          <w:lang w:eastAsia="zh-CN"/>
        </w:rPr>
      </w:pPr>
      <w:r>
        <w:rPr>
          <w:rFonts w:hint="eastAsia"/>
          <w:lang w:eastAsia="zh-CN"/>
        </w:rPr>
        <w:t>检验状态调整登记管理；</w:t>
      </w:r>
    </w:p>
    <w:p>
      <w:pPr>
        <w:numPr>
          <w:ilvl w:val="0"/>
          <w:numId w:val="0"/>
        </w:numPr>
        <w:ind w:leftChars="0"/>
        <w:rPr>
          <w:rFonts w:hint="eastAsia"/>
          <w:lang w:eastAsia="zh-CN"/>
        </w:rPr>
      </w:pPr>
      <w:r>
        <w:rPr>
          <w:rFonts w:hint="eastAsia"/>
          <w:lang w:eastAsia="zh-CN"/>
        </w:rPr>
        <w:t>支持转科处理；</w:t>
      </w:r>
    </w:p>
    <w:p>
      <w:pPr>
        <w:numPr>
          <w:ilvl w:val="0"/>
          <w:numId w:val="0"/>
        </w:numPr>
        <w:ind w:leftChars="0"/>
        <w:rPr>
          <w:rFonts w:hint="eastAsia"/>
          <w:lang w:eastAsia="zh-CN"/>
        </w:rPr>
      </w:pPr>
      <w:r>
        <w:rPr>
          <w:rFonts w:hint="eastAsia"/>
          <w:lang w:eastAsia="zh-CN"/>
        </w:rPr>
        <w:t>支持标本收藏；</w:t>
      </w:r>
    </w:p>
    <w:p>
      <w:pPr>
        <w:numPr>
          <w:ilvl w:val="0"/>
          <w:numId w:val="0"/>
        </w:numPr>
        <w:ind w:leftChars="0"/>
        <w:rPr>
          <w:rFonts w:hint="eastAsia"/>
          <w:lang w:eastAsia="zh-CN"/>
        </w:rPr>
      </w:pPr>
      <w:r>
        <w:rPr>
          <w:rFonts w:hint="eastAsia"/>
          <w:lang w:eastAsia="zh-CN"/>
        </w:rPr>
        <w:t>支持外送标本及报告管理；</w:t>
      </w:r>
    </w:p>
    <w:p>
      <w:pPr>
        <w:numPr>
          <w:ilvl w:val="0"/>
          <w:numId w:val="0"/>
        </w:numPr>
        <w:ind w:leftChars="0"/>
        <w:rPr>
          <w:rFonts w:hint="eastAsia"/>
          <w:lang w:eastAsia="zh-CN"/>
        </w:rPr>
      </w:pPr>
      <w:r>
        <w:rPr>
          <w:rFonts w:hint="eastAsia"/>
          <w:lang w:eastAsia="zh-CN"/>
        </w:rPr>
        <w:t>与流水线联动，实现标本在线存储管理；</w:t>
      </w:r>
    </w:p>
    <w:p>
      <w:pPr>
        <w:numPr>
          <w:ilvl w:val="0"/>
          <w:numId w:val="0"/>
        </w:numPr>
        <w:ind w:leftChars="0"/>
        <w:rPr>
          <w:rFonts w:hint="eastAsia"/>
          <w:lang w:eastAsia="zh-CN"/>
        </w:rPr>
      </w:pPr>
      <w:r>
        <w:rPr>
          <w:rFonts w:hint="eastAsia"/>
          <w:lang w:eastAsia="zh-CN"/>
        </w:rPr>
        <w:t>支持实习生操作管理，并具备实习生关联带教老师功能；</w:t>
      </w:r>
    </w:p>
    <w:p>
      <w:pPr>
        <w:numPr>
          <w:ilvl w:val="0"/>
          <w:numId w:val="0"/>
        </w:numPr>
        <w:ind w:leftChars="0"/>
        <w:rPr>
          <w:rFonts w:hint="eastAsia"/>
          <w:lang w:eastAsia="zh-CN"/>
        </w:rPr>
      </w:pPr>
      <w:r>
        <w:rPr>
          <w:rFonts w:hint="eastAsia"/>
          <w:lang w:eastAsia="zh-CN"/>
        </w:rPr>
        <w:t>支持与临床之间的双向沟通。</w:t>
      </w:r>
    </w:p>
    <w:p>
      <w:pPr>
        <w:pStyle w:val="6"/>
        <w:numPr>
          <w:ilvl w:val="1"/>
          <w:numId w:val="0"/>
        </w:numPr>
        <w:tabs>
          <w:tab w:val="left" w:pos="576"/>
        </w:tabs>
        <w:spacing w:before="20" w:after="20" w:line="240" w:lineRule="auto"/>
        <w:ind w:left="575" w:hanging="575"/>
        <w:jc w:val="left"/>
        <w:rPr>
          <w:rFonts w:hint="eastAsia" w:ascii="宋体" w:hAnsi="宋体" w:cs="宋体"/>
          <w:sz w:val="28"/>
          <w:szCs w:val="28"/>
        </w:rPr>
      </w:pPr>
      <w:r>
        <w:rPr>
          <w:rFonts w:hint="eastAsia" w:ascii="宋体" w:hAnsi="宋体" w:cs="宋体"/>
          <w:sz w:val="28"/>
          <w:szCs w:val="28"/>
        </w:rPr>
        <w:t>智能常规质控工作站</w:t>
      </w:r>
    </w:p>
    <w:p>
      <w:pPr>
        <w:numPr>
          <w:ilvl w:val="0"/>
          <w:numId w:val="0"/>
        </w:numPr>
        <w:ind w:leftChars="0"/>
        <w:rPr>
          <w:rFonts w:hint="eastAsia"/>
          <w:lang w:eastAsia="zh-CN"/>
        </w:rPr>
      </w:pPr>
      <w:r>
        <w:rPr>
          <w:rFonts w:hint="eastAsia"/>
          <w:lang w:eastAsia="zh-CN"/>
        </w:rPr>
        <w:t>1)质控种类：</w:t>
      </w:r>
    </w:p>
    <w:p>
      <w:pPr>
        <w:numPr>
          <w:ilvl w:val="0"/>
          <w:numId w:val="0"/>
        </w:numPr>
        <w:ind w:leftChars="0"/>
        <w:rPr>
          <w:rFonts w:hint="eastAsia"/>
          <w:lang w:eastAsia="zh-CN"/>
        </w:rPr>
      </w:pPr>
      <w:r>
        <w:rPr>
          <w:rFonts w:hint="eastAsia"/>
          <w:lang w:eastAsia="zh-CN"/>
        </w:rPr>
        <w:t>一般定量项目质控。</w:t>
      </w:r>
    </w:p>
    <w:p>
      <w:pPr>
        <w:numPr>
          <w:ilvl w:val="0"/>
          <w:numId w:val="0"/>
        </w:numPr>
        <w:ind w:leftChars="0"/>
        <w:rPr>
          <w:rFonts w:hint="eastAsia"/>
          <w:lang w:eastAsia="zh-CN"/>
        </w:rPr>
      </w:pPr>
      <w:r>
        <w:rPr>
          <w:rFonts w:hint="eastAsia"/>
          <w:lang w:eastAsia="zh-CN"/>
        </w:rPr>
        <w:t>定性---半定量质控。</w:t>
      </w:r>
    </w:p>
    <w:p>
      <w:pPr>
        <w:numPr>
          <w:ilvl w:val="0"/>
          <w:numId w:val="0"/>
        </w:numPr>
        <w:ind w:leftChars="0"/>
        <w:rPr>
          <w:rFonts w:hint="eastAsia"/>
          <w:lang w:eastAsia="zh-CN"/>
        </w:rPr>
      </w:pPr>
      <w:r>
        <w:rPr>
          <w:rFonts w:hint="eastAsia"/>
          <w:lang w:eastAsia="zh-CN"/>
        </w:rPr>
        <w:t>微生物质控。</w:t>
      </w:r>
    </w:p>
    <w:p>
      <w:pPr>
        <w:numPr>
          <w:ilvl w:val="0"/>
          <w:numId w:val="0"/>
        </w:numPr>
        <w:ind w:leftChars="0"/>
        <w:rPr>
          <w:rFonts w:hint="eastAsia"/>
          <w:lang w:eastAsia="zh-CN"/>
        </w:rPr>
      </w:pPr>
      <w:r>
        <w:rPr>
          <w:rFonts w:hint="eastAsia"/>
          <w:lang w:eastAsia="zh-CN"/>
        </w:rPr>
        <w:t>患者标本质控方法。</w:t>
      </w:r>
    </w:p>
    <w:p>
      <w:pPr>
        <w:numPr>
          <w:ilvl w:val="0"/>
          <w:numId w:val="0"/>
        </w:numPr>
        <w:ind w:leftChars="0"/>
        <w:rPr>
          <w:rFonts w:hint="eastAsia"/>
          <w:lang w:eastAsia="zh-CN"/>
        </w:rPr>
      </w:pPr>
      <w:r>
        <w:rPr>
          <w:rFonts w:hint="eastAsia"/>
          <w:lang w:eastAsia="zh-CN"/>
        </w:rPr>
        <w:t>2)质控相关图形显示：</w:t>
      </w:r>
    </w:p>
    <w:p>
      <w:pPr>
        <w:numPr>
          <w:ilvl w:val="0"/>
          <w:numId w:val="0"/>
        </w:numPr>
        <w:ind w:leftChars="0"/>
        <w:rPr>
          <w:rFonts w:hint="eastAsia"/>
          <w:lang w:eastAsia="zh-CN"/>
        </w:rPr>
      </w:pPr>
      <w:r>
        <w:rPr>
          <w:rFonts w:hint="eastAsia"/>
          <w:lang w:eastAsia="zh-CN"/>
        </w:rPr>
        <w:t>★常用质控图形：L-J图、Z-分数图、优顿图、CV图、频率分布图、比对图 。</w:t>
      </w:r>
    </w:p>
    <w:p>
      <w:pPr>
        <w:numPr>
          <w:ilvl w:val="0"/>
          <w:numId w:val="0"/>
        </w:numPr>
        <w:ind w:leftChars="0"/>
        <w:rPr>
          <w:rFonts w:hint="eastAsia"/>
          <w:lang w:eastAsia="zh-CN"/>
        </w:rPr>
      </w:pPr>
      <w:r>
        <w:rPr>
          <w:rFonts w:hint="eastAsia"/>
          <w:lang w:eastAsia="zh-CN"/>
        </w:rPr>
        <w:t xml:space="preserve">★质控图显示内容丰富（频数分布、质控事件标记等）。 </w:t>
      </w:r>
    </w:p>
    <w:p>
      <w:pPr>
        <w:numPr>
          <w:ilvl w:val="0"/>
          <w:numId w:val="0"/>
        </w:numPr>
        <w:ind w:leftChars="0"/>
        <w:rPr>
          <w:rFonts w:hint="eastAsia"/>
          <w:lang w:eastAsia="zh-CN"/>
        </w:rPr>
      </w:pPr>
      <w:r>
        <w:rPr>
          <w:rFonts w:hint="eastAsia"/>
          <w:lang w:eastAsia="zh-CN"/>
        </w:rPr>
        <w:t xml:space="preserve">支持质控图鼠标拖放进行缩放操作。 </w:t>
      </w:r>
    </w:p>
    <w:p>
      <w:pPr>
        <w:numPr>
          <w:ilvl w:val="0"/>
          <w:numId w:val="0"/>
        </w:numPr>
        <w:ind w:leftChars="0"/>
        <w:rPr>
          <w:rFonts w:hint="eastAsia"/>
          <w:lang w:eastAsia="zh-CN"/>
        </w:rPr>
      </w:pPr>
      <w:r>
        <w:rPr>
          <w:rFonts w:hint="eastAsia"/>
          <w:lang w:eastAsia="zh-CN"/>
        </w:rPr>
        <w:t xml:space="preserve">支持项目质控情况缩略图形化显示。 </w:t>
      </w:r>
    </w:p>
    <w:p>
      <w:pPr>
        <w:numPr>
          <w:ilvl w:val="0"/>
          <w:numId w:val="0"/>
        </w:numPr>
        <w:ind w:leftChars="0"/>
        <w:rPr>
          <w:rFonts w:hint="eastAsia"/>
          <w:lang w:eastAsia="zh-CN"/>
        </w:rPr>
      </w:pPr>
      <w:r>
        <w:rPr>
          <w:rFonts w:hint="eastAsia"/>
          <w:lang w:eastAsia="zh-CN"/>
        </w:rPr>
        <w:t xml:space="preserve">支持单元当日质控执行情况图形化浏览。 </w:t>
      </w:r>
    </w:p>
    <w:p>
      <w:pPr>
        <w:numPr>
          <w:ilvl w:val="0"/>
          <w:numId w:val="0"/>
        </w:numPr>
        <w:ind w:leftChars="0"/>
        <w:rPr>
          <w:rFonts w:hint="eastAsia"/>
          <w:lang w:eastAsia="zh-CN"/>
        </w:rPr>
      </w:pPr>
      <w:r>
        <w:rPr>
          <w:rFonts w:hint="eastAsia"/>
          <w:lang w:eastAsia="zh-CN"/>
        </w:rPr>
        <w:t xml:space="preserve">支持项目质量目标分析。 </w:t>
      </w:r>
    </w:p>
    <w:p>
      <w:pPr>
        <w:numPr>
          <w:ilvl w:val="0"/>
          <w:numId w:val="0"/>
        </w:numPr>
        <w:ind w:leftChars="0"/>
        <w:rPr>
          <w:rFonts w:hint="eastAsia"/>
          <w:lang w:eastAsia="zh-CN"/>
        </w:rPr>
      </w:pPr>
      <w:r>
        <w:rPr>
          <w:rFonts w:hint="eastAsia"/>
          <w:lang w:eastAsia="zh-CN"/>
        </w:rPr>
        <w:t xml:space="preserve">支持项目综合质量评估。 </w:t>
      </w:r>
    </w:p>
    <w:p>
      <w:pPr>
        <w:numPr>
          <w:ilvl w:val="0"/>
          <w:numId w:val="0"/>
        </w:numPr>
        <w:ind w:leftChars="0"/>
        <w:rPr>
          <w:rFonts w:hint="eastAsia"/>
          <w:lang w:eastAsia="zh-CN"/>
        </w:rPr>
      </w:pPr>
      <w:r>
        <w:rPr>
          <w:rFonts w:hint="eastAsia"/>
          <w:lang w:eastAsia="zh-CN"/>
        </w:rPr>
        <w:t>管理功能</w:t>
      </w:r>
    </w:p>
    <w:p>
      <w:pPr>
        <w:numPr>
          <w:ilvl w:val="0"/>
          <w:numId w:val="0"/>
        </w:numPr>
        <w:ind w:leftChars="0"/>
        <w:rPr>
          <w:rFonts w:hint="eastAsia"/>
          <w:lang w:eastAsia="zh-CN"/>
        </w:rPr>
      </w:pPr>
      <w:r>
        <w:rPr>
          <w:rFonts w:hint="eastAsia"/>
          <w:lang w:eastAsia="zh-CN"/>
        </w:rPr>
        <w:t xml:space="preserve">★支持区域、医共体、多院区、多科室、区域一体化质控管理。 </w:t>
      </w:r>
    </w:p>
    <w:p>
      <w:pPr>
        <w:numPr>
          <w:ilvl w:val="0"/>
          <w:numId w:val="0"/>
        </w:numPr>
        <w:ind w:leftChars="0"/>
        <w:rPr>
          <w:rFonts w:hint="eastAsia"/>
          <w:lang w:eastAsia="zh-CN"/>
        </w:rPr>
      </w:pPr>
      <w:r>
        <w:rPr>
          <w:rFonts w:hint="eastAsia"/>
          <w:lang w:eastAsia="zh-CN"/>
        </w:rPr>
        <w:t>支持质控单元化管理。</w:t>
      </w:r>
    </w:p>
    <w:p>
      <w:pPr>
        <w:numPr>
          <w:ilvl w:val="0"/>
          <w:numId w:val="0"/>
        </w:numPr>
        <w:ind w:leftChars="0"/>
        <w:rPr>
          <w:rFonts w:hint="eastAsia"/>
          <w:lang w:eastAsia="zh-CN"/>
        </w:rPr>
      </w:pPr>
      <w:r>
        <w:rPr>
          <w:rFonts w:hint="eastAsia"/>
          <w:lang w:eastAsia="zh-CN"/>
        </w:rPr>
        <w:t>支持仪器多计划管理。</w:t>
      </w:r>
    </w:p>
    <w:p>
      <w:pPr>
        <w:numPr>
          <w:ilvl w:val="0"/>
          <w:numId w:val="0"/>
        </w:numPr>
        <w:ind w:leftChars="0"/>
        <w:rPr>
          <w:rFonts w:hint="eastAsia"/>
          <w:lang w:eastAsia="zh-CN"/>
        </w:rPr>
      </w:pPr>
      <w:r>
        <w:rPr>
          <w:rFonts w:hint="eastAsia"/>
          <w:lang w:eastAsia="zh-CN"/>
        </w:rPr>
        <w:t>支持定量质控图像化处理。</w:t>
      </w:r>
    </w:p>
    <w:p>
      <w:pPr>
        <w:numPr>
          <w:ilvl w:val="0"/>
          <w:numId w:val="0"/>
        </w:numPr>
        <w:ind w:leftChars="0"/>
        <w:rPr>
          <w:rFonts w:hint="eastAsia"/>
          <w:lang w:eastAsia="zh-CN"/>
        </w:rPr>
      </w:pPr>
      <w:r>
        <w:rPr>
          <w:rFonts w:hint="eastAsia"/>
          <w:lang w:eastAsia="zh-CN"/>
        </w:rPr>
        <w:t xml:space="preserve">★支持质控平行试验流程化管理。 </w:t>
      </w:r>
    </w:p>
    <w:p>
      <w:pPr>
        <w:numPr>
          <w:ilvl w:val="0"/>
          <w:numId w:val="0"/>
        </w:numPr>
        <w:ind w:leftChars="0"/>
        <w:rPr>
          <w:rFonts w:hint="eastAsia"/>
          <w:lang w:eastAsia="zh-CN"/>
        </w:rPr>
      </w:pPr>
      <w:r>
        <w:rPr>
          <w:rFonts w:hint="eastAsia"/>
          <w:lang w:eastAsia="zh-CN"/>
        </w:rPr>
        <w:t>支持质控数据多种接收方式。</w:t>
      </w:r>
    </w:p>
    <w:p>
      <w:pPr>
        <w:numPr>
          <w:ilvl w:val="0"/>
          <w:numId w:val="0"/>
        </w:numPr>
        <w:ind w:leftChars="0"/>
        <w:rPr>
          <w:rFonts w:hint="eastAsia"/>
          <w:lang w:eastAsia="zh-CN"/>
        </w:rPr>
      </w:pPr>
      <w:r>
        <w:rPr>
          <w:rFonts w:hint="eastAsia"/>
          <w:lang w:eastAsia="zh-CN"/>
        </w:rPr>
        <w:t>支持质控品批次管理。</w:t>
      </w:r>
    </w:p>
    <w:p>
      <w:pPr>
        <w:numPr>
          <w:ilvl w:val="0"/>
          <w:numId w:val="0"/>
        </w:numPr>
        <w:ind w:leftChars="0"/>
        <w:rPr>
          <w:rFonts w:hint="eastAsia"/>
          <w:lang w:eastAsia="zh-CN"/>
        </w:rPr>
      </w:pPr>
      <w:r>
        <w:rPr>
          <w:rFonts w:hint="eastAsia"/>
          <w:lang w:eastAsia="zh-CN"/>
        </w:rPr>
        <w:t>支持试剂批次管理。</w:t>
      </w:r>
    </w:p>
    <w:p>
      <w:pPr>
        <w:numPr>
          <w:ilvl w:val="0"/>
          <w:numId w:val="0"/>
        </w:numPr>
        <w:ind w:leftChars="0"/>
        <w:rPr>
          <w:rFonts w:hint="eastAsia"/>
          <w:lang w:eastAsia="zh-CN"/>
        </w:rPr>
      </w:pPr>
      <w:r>
        <w:rPr>
          <w:rFonts w:hint="eastAsia"/>
          <w:lang w:eastAsia="zh-CN"/>
        </w:rPr>
        <w:t>支持校准品批次管理。</w:t>
      </w:r>
    </w:p>
    <w:p>
      <w:pPr>
        <w:numPr>
          <w:ilvl w:val="0"/>
          <w:numId w:val="0"/>
        </w:numPr>
        <w:ind w:leftChars="0"/>
        <w:rPr>
          <w:rFonts w:hint="eastAsia"/>
          <w:lang w:eastAsia="zh-CN"/>
        </w:rPr>
      </w:pPr>
      <w:r>
        <w:rPr>
          <w:rFonts w:hint="eastAsia"/>
          <w:lang w:eastAsia="zh-CN"/>
        </w:rPr>
        <w:t xml:space="preserve">★支持项目判断规则根据项目西格玛（δ）选择。 </w:t>
      </w:r>
    </w:p>
    <w:p>
      <w:pPr>
        <w:numPr>
          <w:ilvl w:val="0"/>
          <w:numId w:val="0"/>
        </w:numPr>
        <w:ind w:leftChars="0"/>
        <w:rPr>
          <w:rFonts w:hint="eastAsia"/>
          <w:lang w:eastAsia="zh-CN"/>
        </w:rPr>
      </w:pPr>
      <w:r>
        <w:rPr>
          <w:rFonts w:hint="eastAsia"/>
          <w:lang w:eastAsia="zh-CN"/>
        </w:rPr>
        <w:t>支持项目质控有效时间管理。</w:t>
      </w:r>
    </w:p>
    <w:p>
      <w:pPr>
        <w:numPr>
          <w:ilvl w:val="0"/>
          <w:numId w:val="0"/>
        </w:numPr>
        <w:ind w:leftChars="0"/>
        <w:rPr>
          <w:rFonts w:hint="eastAsia"/>
          <w:lang w:eastAsia="zh-CN"/>
        </w:rPr>
      </w:pPr>
      <w:r>
        <w:rPr>
          <w:rFonts w:hint="eastAsia"/>
          <w:lang w:eastAsia="zh-CN"/>
        </w:rPr>
        <w:t>支持质控项目注释功能。</w:t>
      </w:r>
    </w:p>
    <w:p>
      <w:pPr>
        <w:numPr>
          <w:ilvl w:val="0"/>
          <w:numId w:val="0"/>
        </w:numPr>
        <w:ind w:leftChars="0"/>
        <w:rPr>
          <w:rFonts w:hint="eastAsia"/>
          <w:lang w:eastAsia="zh-CN"/>
        </w:rPr>
      </w:pPr>
      <w:r>
        <w:rPr>
          <w:rFonts w:hint="eastAsia"/>
          <w:lang w:eastAsia="zh-CN"/>
        </w:rPr>
        <w:t>支持质控数据按仪器汇总归档。</w:t>
      </w:r>
    </w:p>
    <w:p>
      <w:pPr>
        <w:numPr>
          <w:ilvl w:val="0"/>
          <w:numId w:val="0"/>
        </w:numPr>
        <w:ind w:leftChars="0"/>
        <w:rPr>
          <w:rFonts w:hint="eastAsia"/>
          <w:lang w:eastAsia="zh-CN"/>
        </w:rPr>
      </w:pPr>
      <w:r>
        <w:rPr>
          <w:rFonts w:hint="eastAsia"/>
          <w:lang w:eastAsia="zh-CN"/>
        </w:rPr>
        <w:t>支持实验室项目可接受范围判断功能。</w:t>
      </w:r>
    </w:p>
    <w:p>
      <w:pPr>
        <w:numPr>
          <w:ilvl w:val="0"/>
          <w:numId w:val="0"/>
        </w:numPr>
        <w:ind w:leftChars="0"/>
        <w:rPr>
          <w:rFonts w:hint="eastAsia"/>
          <w:lang w:eastAsia="zh-CN"/>
        </w:rPr>
      </w:pPr>
      <w:r>
        <w:rPr>
          <w:rFonts w:hint="eastAsia"/>
          <w:lang w:eastAsia="zh-CN"/>
        </w:rPr>
        <w:t>支持质控结果审核功能。</w:t>
      </w:r>
    </w:p>
    <w:p>
      <w:pPr>
        <w:numPr>
          <w:ilvl w:val="0"/>
          <w:numId w:val="0"/>
        </w:numPr>
        <w:ind w:leftChars="0"/>
        <w:rPr>
          <w:rFonts w:hint="eastAsia"/>
          <w:lang w:eastAsia="zh-CN"/>
        </w:rPr>
      </w:pPr>
      <w:r>
        <w:rPr>
          <w:rFonts w:hint="eastAsia"/>
          <w:lang w:eastAsia="zh-CN"/>
        </w:rPr>
        <w:t>支持开机质控结果未做判断功能。</w:t>
      </w:r>
    </w:p>
    <w:p>
      <w:pPr>
        <w:numPr>
          <w:ilvl w:val="0"/>
          <w:numId w:val="0"/>
        </w:numPr>
        <w:ind w:leftChars="0"/>
        <w:rPr>
          <w:rFonts w:hint="eastAsia"/>
          <w:lang w:eastAsia="zh-CN"/>
        </w:rPr>
      </w:pPr>
      <w:r>
        <w:rPr>
          <w:rFonts w:hint="eastAsia"/>
          <w:lang w:eastAsia="zh-CN"/>
        </w:rPr>
        <w:t>支持质控项目多次测试仪器双向功能。</w:t>
      </w:r>
    </w:p>
    <w:p>
      <w:pPr>
        <w:numPr>
          <w:ilvl w:val="0"/>
          <w:numId w:val="0"/>
        </w:numPr>
        <w:ind w:leftChars="0"/>
        <w:rPr>
          <w:rFonts w:hint="eastAsia"/>
          <w:lang w:eastAsia="zh-CN"/>
        </w:rPr>
      </w:pPr>
      <w:r>
        <w:rPr>
          <w:rFonts w:hint="eastAsia"/>
          <w:lang w:eastAsia="zh-CN"/>
        </w:rPr>
        <w:t>3)常用质控报表</w:t>
      </w:r>
    </w:p>
    <w:p>
      <w:pPr>
        <w:numPr>
          <w:ilvl w:val="0"/>
          <w:numId w:val="0"/>
        </w:numPr>
        <w:ind w:leftChars="0"/>
        <w:rPr>
          <w:rFonts w:hint="eastAsia"/>
          <w:lang w:eastAsia="zh-CN"/>
        </w:rPr>
      </w:pPr>
      <w:r>
        <w:rPr>
          <w:rFonts w:hint="eastAsia"/>
          <w:lang w:eastAsia="zh-CN"/>
        </w:rPr>
        <w:t>每月室内质控数据统计报表；失控报告单；每月质控报表；每月项目质控数据汇总表；每月项目质控数据控制图；每月上报质量控制图表。</w:t>
      </w:r>
    </w:p>
    <w:p>
      <w:pPr>
        <w:pStyle w:val="6"/>
        <w:numPr>
          <w:ilvl w:val="1"/>
          <w:numId w:val="0"/>
        </w:numPr>
        <w:tabs>
          <w:tab w:val="left" w:pos="576"/>
        </w:tabs>
        <w:spacing w:before="20" w:after="20" w:line="240" w:lineRule="auto"/>
        <w:ind w:left="575" w:hanging="575"/>
        <w:jc w:val="left"/>
        <w:rPr>
          <w:rFonts w:hint="eastAsia" w:ascii="宋体" w:hAnsi="宋体" w:cs="宋体"/>
          <w:sz w:val="28"/>
          <w:szCs w:val="28"/>
        </w:rPr>
      </w:pPr>
      <w:r>
        <w:rPr>
          <w:rFonts w:hint="eastAsia" w:ascii="宋体" w:hAnsi="宋体" w:cs="宋体"/>
          <w:sz w:val="28"/>
          <w:szCs w:val="28"/>
        </w:rPr>
        <w:t>智能微生物检验工作站</w:t>
      </w:r>
    </w:p>
    <w:p>
      <w:pPr>
        <w:numPr>
          <w:ilvl w:val="0"/>
          <w:numId w:val="0"/>
        </w:numPr>
        <w:ind w:leftChars="0"/>
        <w:rPr>
          <w:rFonts w:hint="eastAsia"/>
          <w:lang w:eastAsia="zh-CN"/>
        </w:rPr>
      </w:pPr>
      <w:r>
        <w:rPr>
          <w:rFonts w:hint="eastAsia"/>
          <w:lang w:eastAsia="zh-CN"/>
        </w:rPr>
        <w:t>涵盖微生物检验从标本接收登记、报告处理、危急值处理、WHONET导出等过程管理。</w:t>
      </w:r>
    </w:p>
    <w:p>
      <w:pPr>
        <w:numPr>
          <w:ilvl w:val="0"/>
          <w:numId w:val="0"/>
        </w:numPr>
        <w:ind w:leftChars="0"/>
        <w:rPr>
          <w:rFonts w:hint="eastAsia"/>
          <w:lang w:eastAsia="zh-CN"/>
        </w:rPr>
      </w:pPr>
      <w:r>
        <w:rPr>
          <w:rFonts w:hint="eastAsia"/>
          <w:lang w:eastAsia="zh-CN"/>
        </w:rPr>
        <w:t>支持微生物名称、药敏名称等数据标准化。</w:t>
      </w:r>
    </w:p>
    <w:p>
      <w:pPr>
        <w:numPr>
          <w:ilvl w:val="0"/>
          <w:numId w:val="0"/>
        </w:numPr>
        <w:ind w:leftChars="0"/>
        <w:rPr>
          <w:rFonts w:hint="eastAsia"/>
          <w:lang w:eastAsia="zh-CN"/>
        </w:rPr>
      </w:pPr>
      <w:r>
        <w:rPr>
          <w:rFonts w:hint="eastAsia"/>
          <w:lang w:eastAsia="zh-CN"/>
        </w:rPr>
        <w:t>支持微生物检验过程规范化管理。</w:t>
      </w:r>
    </w:p>
    <w:p>
      <w:pPr>
        <w:numPr>
          <w:ilvl w:val="0"/>
          <w:numId w:val="0"/>
        </w:numPr>
        <w:ind w:leftChars="0"/>
        <w:rPr>
          <w:rFonts w:hint="eastAsia"/>
          <w:lang w:eastAsia="zh-CN"/>
        </w:rPr>
      </w:pPr>
      <w:r>
        <w:rPr>
          <w:rFonts w:hint="eastAsia"/>
          <w:lang w:eastAsia="zh-CN"/>
        </w:rPr>
        <w:t>4）具备智能化工作导引功能：</w:t>
      </w:r>
    </w:p>
    <w:p>
      <w:pPr>
        <w:numPr>
          <w:ilvl w:val="0"/>
          <w:numId w:val="0"/>
        </w:numPr>
        <w:ind w:leftChars="0"/>
        <w:rPr>
          <w:rFonts w:hint="eastAsia"/>
          <w:lang w:eastAsia="zh-CN"/>
        </w:rPr>
      </w:pPr>
      <w:r>
        <w:rPr>
          <w:rFonts w:hint="eastAsia"/>
          <w:lang w:eastAsia="zh-CN"/>
        </w:rPr>
        <w:t>1、标本接收时根据标本种类和送检目的与预先定义的方案实现智能化匹配；</w:t>
      </w:r>
    </w:p>
    <w:p>
      <w:pPr>
        <w:numPr>
          <w:ilvl w:val="0"/>
          <w:numId w:val="0"/>
        </w:numPr>
        <w:ind w:leftChars="0"/>
        <w:rPr>
          <w:rFonts w:hint="eastAsia"/>
          <w:lang w:eastAsia="zh-CN"/>
        </w:rPr>
      </w:pPr>
      <w:r>
        <w:rPr>
          <w:rFonts w:hint="eastAsia"/>
          <w:lang w:eastAsia="zh-CN"/>
        </w:rPr>
        <w:t>2、根据目的+标本自动分类统计本院常见结果；</w:t>
      </w:r>
    </w:p>
    <w:p>
      <w:pPr>
        <w:numPr>
          <w:ilvl w:val="0"/>
          <w:numId w:val="0"/>
        </w:numPr>
        <w:ind w:leftChars="0"/>
        <w:rPr>
          <w:rFonts w:hint="eastAsia"/>
          <w:lang w:eastAsia="zh-CN"/>
        </w:rPr>
      </w:pPr>
      <w:r>
        <w:rPr>
          <w:rFonts w:hint="eastAsia"/>
          <w:lang w:eastAsia="zh-CN"/>
        </w:rPr>
        <w:t>3、根据目的+标本自动匹配阴性默认；</w:t>
      </w:r>
    </w:p>
    <w:p>
      <w:pPr>
        <w:numPr>
          <w:ilvl w:val="0"/>
          <w:numId w:val="0"/>
        </w:numPr>
        <w:ind w:leftChars="0"/>
        <w:rPr>
          <w:rFonts w:hint="eastAsia"/>
          <w:lang w:eastAsia="zh-CN"/>
        </w:rPr>
      </w:pPr>
      <w:r>
        <w:rPr>
          <w:rFonts w:hint="eastAsia"/>
          <w:lang w:eastAsia="zh-CN"/>
        </w:rPr>
        <w:t>4、根据专家规则自动生成备注或修正药敏或删除药敏；</w:t>
      </w:r>
    </w:p>
    <w:p>
      <w:pPr>
        <w:numPr>
          <w:ilvl w:val="0"/>
          <w:numId w:val="0"/>
        </w:numPr>
        <w:ind w:leftChars="0"/>
        <w:rPr>
          <w:rFonts w:hint="eastAsia"/>
          <w:lang w:eastAsia="zh-CN"/>
        </w:rPr>
      </w:pPr>
      <w:r>
        <w:rPr>
          <w:rFonts w:hint="eastAsia"/>
          <w:lang w:eastAsia="zh-CN"/>
        </w:rPr>
        <w:t>5、根据审核规则规避一些不合理的报告；</w:t>
      </w:r>
    </w:p>
    <w:p>
      <w:pPr>
        <w:numPr>
          <w:ilvl w:val="0"/>
          <w:numId w:val="0"/>
        </w:numPr>
        <w:ind w:leftChars="0"/>
        <w:rPr>
          <w:rFonts w:hint="eastAsia"/>
          <w:lang w:eastAsia="zh-CN"/>
        </w:rPr>
      </w:pPr>
      <w:r>
        <w:rPr>
          <w:rFonts w:hint="eastAsia"/>
          <w:lang w:eastAsia="zh-CN"/>
        </w:rPr>
        <w:t>6、自动标记血培养污染；</w:t>
      </w:r>
    </w:p>
    <w:p>
      <w:pPr>
        <w:numPr>
          <w:ilvl w:val="0"/>
          <w:numId w:val="0"/>
        </w:numPr>
        <w:ind w:leftChars="0"/>
        <w:rPr>
          <w:rFonts w:hint="eastAsia"/>
          <w:lang w:eastAsia="zh-CN"/>
        </w:rPr>
      </w:pPr>
      <w:r>
        <w:rPr>
          <w:rFonts w:hint="eastAsia"/>
          <w:lang w:eastAsia="zh-CN"/>
        </w:rPr>
        <w:t>6）具备涂片结果、中间阴性结果默认及初报、培养阴性结果、培养阳性结果、细菌鉴定结果、药敏结果等多阶段结果处理及24小时初步报告、48小时报告、最终报告等分级化报告。</w:t>
      </w:r>
    </w:p>
    <w:p>
      <w:pPr>
        <w:numPr>
          <w:ilvl w:val="0"/>
          <w:numId w:val="0"/>
        </w:numPr>
        <w:ind w:leftChars="0"/>
        <w:rPr>
          <w:rFonts w:hint="eastAsia"/>
          <w:lang w:eastAsia="zh-CN"/>
        </w:rPr>
      </w:pPr>
      <w:r>
        <w:rPr>
          <w:rFonts w:hint="eastAsia"/>
          <w:lang w:eastAsia="zh-CN"/>
        </w:rPr>
        <w:t>7）具备多途径结果回顾：</w:t>
      </w:r>
    </w:p>
    <w:p>
      <w:pPr>
        <w:numPr>
          <w:ilvl w:val="0"/>
          <w:numId w:val="0"/>
        </w:numPr>
        <w:ind w:leftChars="0"/>
        <w:rPr>
          <w:rFonts w:hint="eastAsia"/>
          <w:lang w:eastAsia="zh-CN"/>
        </w:rPr>
      </w:pPr>
      <w:r>
        <w:rPr>
          <w:rFonts w:hint="eastAsia"/>
          <w:lang w:eastAsia="zh-CN"/>
        </w:rPr>
        <w:t>所有标本：该病人所有标本的微生物检验结果；</w:t>
      </w:r>
    </w:p>
    <w:p>
      <w:pPr>
        <w:numPr>
          <w:ilvl w:val="0"/>
          <w:numId w:val="0"/>
        </w:numPr>
        <w:ind w:leftChars="0"/>
        <w:rPr>
          <w:rFonts w:hint="eastAsia"/>
          <w:lang w:eastAsia="zh-CN"/>
        </w:rPr>
      </w:pPr>
      <w:r>
        <w:rPr>
          <w:rFonts w:hint="eastAsia"/>
          <w:lang w:eastAsia="zh-CN"/>
        </w:rPr>
        <w:t>同类标本：该病人同类标本（比如呼吸道等）的微生物检验结果；</w:t>
      </w:r>
    </w:p>
    <w:p>
      <w:pPr>
        <w:numPr>
          <w:ilvl w:val="0"/>
          <w:numId w:val="0"/>
        </w:numPr>
        <w:ind w:leftChars="0"/>
        <w:rPr>
          <w:rFonts w:hint="eastAsia"/>
          <w:lang w:eastAsia="zh-CN"/>
        </w:rPr>
      </w:pPr>
      <w:r>
        <w:rPr>
          <w:rFonts w:hint="eastAsia"/>
          <w:lang w:eastAsia="zh-CN"/>
        </w:rPr>
        <w:t>相同标本：该病人相同标本的微生物检验结果；</w:t>
      </w:r>
    </w:p>
    <w:p>
      <w:pPr>
        <w:numPr>
          <w:ilvl w:val="0"/>
          <w:numId w:val="0"/>
        </w:numPr>
        <w:ind w:leftChars="0"/>
        <w:rPr>
          <w:rFonts w:hint="eastAsia"/>
          <w:lang w:eastAsia="zh-CN"/>
        </w:rPr>
      </w:pPr>
      <w:r>
        <w:rPr>
          <w:rFonts w:hint="eastAsia"/>
          <w:lang w:eastAsia="zh-CN"/>
        </w:rPr>
        <w:t>同一标本：该病人同一份标本的微生物检验结果；</w:t>
      </w:r>
    </w:p>
    <w:p>
      <w:pPr>
        <w:numPr>
          <w:ilvl w:val="0"/>
          <w:numId w:val="0"/>
        </w:numPr>
        <w:ind w:leftChars="0"/>
        <w:rPr>
          <w:rFonts w:hint="eastAsia"/>
          <w:lang w:eastAsia="zh-CN"/>
        </w:rPr>
      </w:pPr>
      <w:r>
        <w:rPr>
          <w:rFonts w:hint="eastAsia"/>
          <w:lang w:eastAsia="zh-CN"/>
        </w:rPr>
        <w:t>感染指标：该病人所有其他专业组检验小项结果（例如：白细胞、降钙素原等）；</w:t>
      </w:r>
    </w:p>
    <w:p>
      <w:pPr>
        <w:numPr>
          <w:ilvl w:val="0"/>
          <w:numId w:val="0"/>
        </w:numPr>
        <w:ind w:leftChars="0"/>
        <w:rPr>
          <w:rFonts w:hint="eastAsia"/>
          <w:lang w:eastAsia="zh-CN"/>
        </w:rPr>
      </w:pPr>
      <w:r>
        <w:rPr>
          <w:rFonts w:hint="eastAsia"/>
          <w:lang w:eastAsia="zh-CN"/>
        </w:rPr>
        <w:t>相关检验：该病人同一标本其他专业组检验结果（例如脑脊液培养可以回顾其脑脊液生化的结果）。</w:t>
      </w:r>
    </w:p>
    <w:p>
      <w:pPr>
        <w:numPr>
          <w:ilvl w:val="0"/>
          <w:numId w:val="0"/>
        </w:numPr>
        <w:ind w:leftChars="0"/>
        <w:rPr>
          <w:rFonts w:hint="eastAsia"/>
          <w:lang w:eastAsia="zh-CN"/>
        </w:rPr>
      </w:pPr>
      <w:r>
        <w:rPr>
          <w:rFonts w:hint="eastAsia"/>
          <w:lang w:eastAsia="zh-CN"/>
        </w:rPr>
        <w:t>8）支持与如WHONET等多系统融合：</w:t>
      </w:r>
    </w:p>
    <w:p>
      <w:pPr>
        <w:numPr>
          <w:ilvl w:val="0"/>
          <w:numId w:val="0"/>
        </w:numPr>
        <w:ind w:leftChars="0"/>
        <w:rPr>
          <w:rFonts w:hint="eastAsia"/>
          <w:lang w:eastAsia="zh-CN"/>
        </w:rPr>
      </w:pPr>
      <w:r>
        <w:rPr>
          <w:rFonts w:hint="eastAsia"/>
          <w:lang w:eastAsia="zh-CN"/>
        </w:rPr>
        <w:t>从WHONET导入细菌信息；</w:t>
      </w:r>
    </w:p>
    <w:p>
      <w:pPr>
        <w:numPr>
          <w:ilvl w:val="0"/>
          <w:numId w:val="0"/>
        </w:numPr>
        <w:ind w:leftChars="0"/>
        <w:rPr>
          <w:rFonts w:hint="eastAsia"/>
          <w:lang w:eastAsia="zh-CN"/>
        </w:rPr>
      </w:pPr>
      <w:r>
        <w:rPr>
          <w:rFonts w:hint="eastAsia"/>
          <w:lang w:eastAsia="zh-CN"/>
        </w:rPr>
        <w:t>从WHONET导入抗生素信息；</w:t>
      </w:r>
    </w:p>
    <w:p>
      <w:pPr>
        <w:numPr>
          <w:ilvl w:val="0"/>
          <w:numId w:val="0"/>
        </w:numPr>
        <w:ind w:leftChars="0"/>
        <w:rPr>
          <w:rFonts w:hint="eastAsia"/>
          <w:lang w:eastAsia="zh-CN"/>
        </w:rPr>
      </w:pPr>
      <w:r>
        <w:rPr>
          <w:rFonts w:hint="eastAsia"/>
          <w:lang w:eastAsia="zh-CN"/>
        </w:rPr>
        <w:t>从WHONET导入药敏折点；</w:t>
      </w:r>
    </w:p>
    <w:p>
      <w:pPr>
        <w:numPr>
          <w:ilvl w:val="0"/>
          <w:numId w:val="0"/>
        </w:numPr>
        <w:ind w:leftChars="0"/>
        <w:rPr>
          <w:rFonts w:hint="eastAsia"/>
          <w:lang w:eastAsia="zh-CN"/>
        </w:rPr>
      </w:pPr>
      <w:r>
        <w:rPr>
          <w:rFonts w:hint="eastAsia"/>
          <w:lang w:eastAsia="zh-CN"/>
        </w:rPr>
        <w:t>从WHONET导入质控菌株；</w:t>
      </w:r>
    </w:p>
    <w:p>
      <w:pPr>
        <w:numPr>
          <w:ilvl w:val="0"/>
          <w:numId w:val="0"/>
        </w:numPr>
        <w:ind w:leftChars="0"/>
        <w:rPr>
          <w:rFonts w:hint="eastAsia"/>
          <w:lang w:eastAsia="zh-CN"/>
        </w:rPr>
      </w:pPr>
      <w:r>
        <w:rPr>
          <w:rFonts w:hint="eastAsia"/>
          <w:lang w:eastAsia="zh-CN"/>
        </w:rPr>
        <w:t>从WHONET导入质控菌株参考范围；</w:t>
      </w:r>
    </w:p>
    <w:p>
      <w:pPr>
        <w:numPr>
          <w:ilvl w:val="0"/>
          <w:numId w:val="0"/>
        </w:numPr>
        <w:ind w:leftChars="0"/>
        <w:rPr>
          <w:rFonts w:hint="eastAsia"/>
          <w:lang w:eastAsia="zh-CN"/>
        </w:rPr>
      </w:pPr>
      <w:r>
        <w:rPr>
          <w:rFonts w:hint="eastAsia"/>
          <w:lang w:eastAsia="zh-CN"/>
        </w:rPr>
        <w:t>结果导入到WHONET。</w:t>
      </w:r>
    </w:p>
    <w:p>
      <w:pPr>
        <w:pStyle w:val="6"/>
        <w:numPr>
          <w:ilvl w:val="1"/>
          <w:numId w:val="0"/>
        </w:numPr>
        <w:tabs>
          <w:tab w:val="left" w:pos="576"/>
        </w:tabs>
        <w:spacing w:before="20" w:after="20" w:line="240" w:lineRule="auto"/>
        <w:ind w:left="575" w:hanging="575"/>
        <w:jc w:val="left"/>
        <w:rPr>
          <w:rFonts w:hint="eastAsia" w:ascii="宋体" w:hAnsi="宋体" w:cs="宋体"/>
          <w:sz w:val="28"/>
          <w:szCs w:val="28"/>
        </w:rPr>
      </w:pPr>
      <w:r>
        <w:rPr>
          <w:rFonts w:hint="eastAsia" w:ascii="宋体" w:hAnsi="宋体" w:cs="宋体"/>
          <w:sz w:val="28"/>
          <w:szCs w:val="28"/>
        </w:rPr>
        <w:t>智能报表平台</w:t>
      </w:r>
    </w:p>
    <w:p>
      <w:pPr>
        <w:numPr>
          <w:ilvl w:val="0"/>
          <w:numId w:val="0"/>
        </w:numPr>
        <w:ind w:leftChars="0"/>
        <w:rPr>
          <w:rFonts w:hint="eastAsia"/>
          <w:lang w:eastAsia="zh-CN"/>
        </w:rPr>
      </w:pPr>
      <w:r>
        <w:rPr>
          <w:rFonts w:hint="eastAsia"/>
          <w:lang w:eastAsia="zh-CN"/>
        </w:rPr>
        <w:t>按照要求对检验科业务情况进行统计分析的专业工具。</w:t>
      </w:r>
    </w:p>
    <w:p>
      <w:pPr>
        <w:numPr>
          <w:ilvl w:val="0"/>
          <w:numId w:val="0"/>
        </w:numPr>
        <w:ind w:leftChars="0"/>
        <w:rPr>
          <w:rFonts w:hint="eastAsia"/>
          <w:lang w:eastAsia="zh-CN"/>
        </w:rPr>
      </w:pPr>
      <w:r>
        <w:rPr>
          <w:rFonts w:hint="eastAsia"/>
          <w:lang w:eastAsia="zh-CN"/>
        </w:rPr>
        <w:t>可以预先设定分析条件并作为统计分析方法进行保存并添加到我的关注，便于后期经常性统计分析浏览。</w:t>
      </w:r>
    </w:p>
    <w:p>
      <w:pPr>
        <w:numPr>
          <w:ilvl w:val="0"/>
          <w:numId w:val="0"/>
        </w:numPr>
        <w:ind w:leftChars="0"/>
        <w:rPr>
          <w:rFonts w:hint="eastAsia"/>
          <w:lang w:eastAsia="zh-CN"/>
        </w:rPr>
      </w:pPr>
      <w:r>
        <w:rPr>
          <w:rFonts w:hint="eastAsia"/>
          <w:lang w:eastAsia="zh-CN"/>
        </w:rPr>
        <w:t>提供统计分析报表库供用户自行选择应用，并可以以下类别进行分类管理。</w:t>
      </w:r>
    </w:p>
    <w:p>
      <w:pPr>
        <w:numPr>
          <w:ilvl w:val="0"/>
          <w:numId w:val="0"/>
        </w:numPr>
        <w:ind w:leftChars="0"/>
        <w:rPr>
          <w:rFonts w:hint="eastAsia"/>
          <w:lang w:eastAsia="zh-CN"/>
        </w:rPr>
      </w:pPr>
      <w:r>
        <w:rPr>
          <w:rFonts w:hint="eastAsia"/>
          <w:lang w:eastAsia="zh-CN"/>
        </w:rPr>
        <w:t>超出统计分析报表库之外，可以根据用户要求增加用户自定义分析报表。</w:t>
      </w:r>
    </w:p>
    <w:p>
      <w:pPr>
        <w:numPr>
          <w:ilvl w:val="0"/>
          <w:numId w:val="0"/>
        </w:numPr>
        <w:ind w:leftChars="0"/>
        <w:rPr>
          <w:rFonts w:hint="eastAsia"/>
          <w:lang w:eastAsia="zh-CN"/>
        </w:rPr>
      </w:pPr>
      <w:r>
        <w:rPr>
          <w:rFonts w:hint="eastAsia"/>
          <w:lang w:eastAsia="zh-CN"/>
        </w:rPr>
        <w:t>分析报表支持数据列表和图表等多种形式输出。</w:t>
      </w:r>
    </w:p>
    <w:p>
      <w:pPr>
        <w:rPr>
          <w:rFonts w:ascii="宋体" w:hAnsi="宋体" w:cs="宋体"/>
          <w:b/>
          <w:bCs/>
          <w:szCs w:val="21"/>
        </w:rPr>
      </w:pPr>
    </w:p>
    <w:p>
      <w:pPr>
        <w:pStyle w:val="2"/>
      </w:pPr>
    </w:p>
    <w:p>
      <w:pPr>
        <w:pStyle w:val="24"/>
        <w:ind w:firstLine="210"/>
      </w:pPr>
    </w:p>
    <w:p>
      <w:pPr>
        <w:pStyle w:val="4"/>
        <w:rPr>
          <w:rFonts w:ascii="黑体" w:eastAsia="黑体"/>
          <w:bCs w:val="0"/>
          <w:sz w:val="24"/>
          <w:lang w:val="en-GB"/>
        </w:rPr>
      </w:pPr>
    </w:p>
    <w:p>
      <w:pPr>
        <w:pStyle w:val="4"/>
        <w:rPr>
          <w:rFonts w:ascii="黑体" w:eastAsia="黑体"/>
          <w:bCs w:val="0"/>
          <w:sz w:val="24"/>
        </w:rPr>
      </w:pPr>
      <w:r>
        <w:rPr>
          <w:rFonts w:hint="eastAsia" w:ascii="黑体" w:eastAsia="黑体"/>
          <w:bCs w:val="0"/>
          <w:sz w:val="24"/>
        </w:rPr>
        <w:t>四、实质性条款</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75" w:type="pct"/>
            <w:noWrap/>
          </w:tcPr>
          <w:p>
            <w:pPr>
              <w:adjustRightInd w:val="0"/>
              <w:snapToGrid w:val="0"/>
              <w:spacing w:line="360" w:lineRule="auto"/>
              <w:jc w:val="center"/>
              <w:rPr>
                <w:rFonts w:ascii="宋体" w:hAnsi="宋体"/>
                <w:kern w:val="0"/>
              </w:rPr>
            </w:pPr>
            <w:r>
              <w:rPr>
                <w:rFonts w:hint="eastAsia" w:ascii="宋体" w:hAnsi="宋体"/>
                <w:kern w:val="0"/>
              </w:rPr>
              <w:t>序号</w:t>
            </w:r>
          </w:p>
        </w:tc>
        <w:tc>
          <w:tcPr>
            <w:tcW w:w="4624" w:type="pct"/>
            <w:noWrap/>
          </w:tcPr>
          <w:p>
            <w:pPr>
              <w:adjustRightInd w:val="0"/>
              <w:snapToGrid w:val="0"/>
              <w:spacing w:line="360" w:lineRule="auto"/>
              <w:jc w:val="center"/>
              <w:rPr>
                <w:rFonts w:ascii="宋体" w:hAnsi="宋体"/>
                <w:kern w:val="0"/>
              </w:rPr>
            </w:pPr>
            <w:r>
              <w:rPr>
                <w:rFonts w:hint="eastAsia" w:ascii="宋体" w:hAnsi="宋体"/>
                <w:kern w:val="0"/>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5" w:type="pct"/>
            <w:noWrap/>
          </w:tcPr>
          <w:p>
            <w:pPr>
              <w:adjustRightInd w:val="0"/>
              <w:snapToGrid w:val="0"/>
              <w:spacing w:line="360" w:lineRule="auto"/>
              <w:jc w:val="center"/>
              <w:rPr>
                <w:rFonts w:ascii="宋体" w:hAnsi="宋体"/>
                <w:kern w:val="0"/>
              </w:rPr>
            </w:pPr>
            <w:r>
              <w:rPr>
                <w:rFonts w:hint="eastAsia" w:ascii="宋体" w:hAnsi="宋体"/>
                <w:kern w:val="0"/>
              </w:rPr>
              <w:t>1</w:t>
            </w:r>
          </w:p>
        </w:tc>
        <w:tc>
          <w:tcPr>
            <w:tcW w:w="4624" w:type="pct"/>
            <w:noWrap/>
            <w:vAlign w:val="center"/>
          </w:tcPr>
          <w:p>
            <w:pPr>
              <w:spacing w:line="440" w:lineRule="exact"/>
              <w:rPr>
                <w:rFonts w:hAnsi="宋体"/>
                <w:kern w:val="0"/>
              </w:rPr>
            </w:pPr>
            <w:r>
              <w:rPr>
                <w:rFonts w:hint="eastAsia"/>
              </w:rPr>
              <w:t>满足本项目标★的条款要求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5" w:type="pct"/>
            <w:noWrap/>
          </w:tcPr>
          <w:p>
            <w:pPr>
              <w:adjustRightInd w:val="0"/>
              <w:snapToGrid w:val="0"/>
              <w:spacing w:line="360" w:lineRule="auto"/>
              <w:jc w:val="center"/>
              <w:rPr>
                <w:rFonts w:ascii="宋体" w:hAnsi="宋体"/>
                <w:kern w:val="0"/>
              </w:rPr>
            </w:pPr>
            <w:r>
              <w:rPr>
                <w:rFonts w:hint="eastAsia" w:ascii="宋体" w:hAnsi="宋体"/>
                <w:kern w:val="0"/>
              </w:rPr>
              <w:t>2</w:t>
            </w:r>
          </w:p>
        </w:tc>
        <w:tc>
          <w:tcPr>
            <w:tcW w:w="4624" w:type="pct"/>
            <w:noWrap/>
            <w:vAlign w:val="center"/>
          </w:tcPr>
          <w:p>
            <w:pPr>
              <w:spacing w:line="440" w:lineRule="exact"/>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5" w:type="pct"/>
            <w:noWrap/>
          </w:tcPr>
          <w:p>
            <w:pPr>
              <w:adjustRightInd w:val="0"/>
              <w:snapToGrid w:val="0"/>
              <w:spacing w:line="360" w:lineRule="auto"/>
              <w:jc w:val="center"/>
              <w:rPr>
                <w:rFonts w:ascii="宋体" w:hAnsi="宋体"/>
                <w:kern w:val="0"/>
              </w:rPr>
            </w:pPr>
            <w:r>
              <w:rPr>
                <w:rFonts w:hint="eastAsia" w:ascii="宋体" w:hAnsi="宋体"/>
                <w:kern w:val="0"/>
              </w:rPr>
              <w:t>3</w:t>
            </w:r>
          </w:p>
        </w:tc>
        <w:tc>
          <w:tcPr>
            <w:tcW w:w="4624" w:type="pct"/>
            <w:noWrap/>
            <w:vAlign w:val="center"/>
          </w:tcPr>
          <w:p>
            <w:pPr>
              <w:pStyle w:val="48"/>
              <w:framePr w:wrap="auto" w:vAnchor="margin" w:hAnchor="text" w:yAlign="inline"/>
              <w:wordWrap w:val="0"/>
              <w:topLinePunct/>
              <w:spacing w:line="360" w:lineRule="auto"/>
              <w:rPr>
                <w:rFonts w:hint="default" w:ascii="宋体" w:hAnsi="宋体" w:eastAsia="宋体" w:cs="Times New Roman"/>
                <w:color w:val="FF0000"/>
                <w:szCs w:val="20"/>
              </w:rPr>
            </w:pPr>
          </w:p>
        </w:tc>
      </w:tr>
    </w:tbl>
    <w:p>
      <w:pPr>
        <w:rPr>
          <w:sz w:val="28"/>
          <w:szCs w:val="28"/>
        </w:rPr>
      </w:pPr>
      <w:r>
        <w:rPr>
          <w:rFonts w:hint="eastAsia" w:ascii="宋体" w:hAnsi="宋体" w:cs="宋体"/>
        </w:rPr>
        <w:t>注：上表所列内容为不可负偏离条款，负偏离将视为未实质性满足采购文件要求作投标无效处理。</w:t>
      </w:r>
    </w:p>
    <w:p>
      <w:pPr>
        <w:rPr>
          <w:rFonts w:ascii="黑体" w:eastAsia="黑体"/>
          <w:bCs/>
          <w:sz w:val="24"/>
        </w:rPr>
      </w:pPr>
    </w:p>
    <w:p>
      <w:pPr>
        <w:numPr>
          <w:ilvl w:val="0"/>
          <w:numId w:val="0"/>
        </w:numPr>
        <w:ind w:leftChars="0"/>
        <w:rPr>
          <w:rFonts w:hint="eastAsia"/>
          <w:lang w:eastAsia="zh-CN"/>
        </w:rPr>
      </w:pPr>
      <w:r>
        <w:rPr>
          <w:rFonts w:hint="eastAsia" w:cs="Times New Roman"/>
          <w:color w:val="0000FF"/>
          <w:szCs w:val="20"/>
        </w:rPr>
        <w:t>五、</w:t>
      </w:r>
      <w:r>
        <w:rPr>
          <w:rFonts w:hint="eastAsia" w:ascii="宋体" w:hAnsi="宋体" w:cs="Times New Roman"/>
          <w:color w:val="0000FF"/>
          <w:szCs w:val="20"/>
        </w:rPr>
        <w:t>商务技术要求</w:t>
      </w:r>
      <w:r>
        <w:rPr>
          <w:rFonts w:hint="eastAsia" w:ascii="宋体" w:hAnsi="宋体" w:cs="Times New Roman"/>
          <w:color w:val="0000FF"/>
          <w:szCs w:val="20"/>
        </w:rPr>
        <w:br w:type="textWrapping"/>
      </w:r>
      <w:r>
        <w:rPr>
          <w:rFonts w:hint="eastAsia"/>
          <w:lang w:eastAsia="zh-CN"/>
        </w:rPr>
        <w:t>项目总体技术要求：</w:t>
      </w:r>
    </w:p>
    <w:p>
      <w:pPr>
        <w:numPr>
          <w:ilvl w:val="0"/>
          <w:numId w:val="0"/>
        </w:numPr>
        <w:ind w:leftChars="0"/>
        <w:rPr>
          <w:rFonts w:hint="eastAsia"/>
          <w:lang w:eastAsia="zh-CN"/>
        </w:rPr>
      </w:pPr>
      <w:r>
        <w:rPr>
          <w:rFonts w:hint="eastAsia"/>
          <w:lang w:eastAsia="zh-CN"/>
        </w:rPr>
        <w:t>（一）项目总体要求：</w:t>
      </w:r>
    </w:p>
    <w:p>
      <w:pPr>
        <w:numPr>
          <w:ilvl w:val="0"/>
          <w:numId w:val="0"/>
        </w:numPr>
        <w:ind w:leftChars="0"/>
        <w:rPr>
          <w:rFonts w:hint="eastAsia"/>
          <w:lang w:eastAsia="zh-CN"/>
        </w:rPr>
      </w:pPr>
      <w:r>
        <w:rPr>
          <w:rFonts w:hint="eastAsia"/>
          <w:lang w:val="en-US" w:eastAsia="zh-CN"/>
        </w:rPr>
        <w:t>1.</w:t>
      </w:r>
      <w:r>
        <w:rPr>
          <w:rFonts w:hint="eastAsia"/>
          <w:lang w:eastAsia="zh-CN"/>
        </w:rPr>
        <w:t>升级后的 “HIS（医院信息系统）、LIS（实验室信息系统）、EMR（电子病历系统）” 应具备高度的稳定性和兼容性，能够无缝对接医院现有的各类硬件设备和其他相关信息系统，确保系统整体运行流畅，数据交互准确无误。</w:t>
      </w:r>
    </w:p>
    <w:p>
      <w:pPr>
        <w:numPr>
          <w:ilvl w:val="0"/>
          <w:numId w:val="0"/>
        </w:numPr>
        <w:ind w:leftChars="0"/>
        <w:rPr>
          <w:rFonts w:hint="eastAsia"/>
          <w:lang w:eastAsia="zh-CN"/>
        </w:rPr>
      </w:pPr>
      <w:r>
        <w:rPr>
          <w:rFonts w:hint="eastAsia"/>
          <w:lang w:val="en-US" w:eastAsia="zh-CN"/>
        </w:rPr>
        <w:t>2.</w:t>
      </w:r>
      <w:r>
        <w:rPr>
          <w:rFonts w:hint="eastAsia"/>
          <w:lang w:eastAsia="zh-CN"/>
        </w:rPr>
        <w:t>系统需采用先进的技术架构，具备良好的扩展性和可维护性，以适应医院未来业务增长和技术发展的需求，能够方便地进行功能升级和模块扩展</w:t>
      </w:r>
    </w:p>
    <w:p>
      <w:pPr>
        <w:numPr>
          <w:ilvl w:val="0"/>
          <w:numId w:val="0"/>
        </w:numPr>
        <w:ind w:leftChars="0"/>
        <w:rPr>
          <w:rFonts w:hint="eastAsia"/>
          <w:lang w:eastAsia="zh-CN"/>
        </w:rPr>
      </w:pPr>
      <w:r>
        <w:rPr>
          <w:rFonts w:hint="eastAsia"/>
          <w:lang w:eastAsia="zh-CN"/>
        </w:rPr>
        <w:t>（二）总体责任要求：</w:t>
      </w:r>
    </w:p>
    <w:p>
      <w:pPr>
        <w:numPr>
          <w:ilvl w:val="0"/>
          <w:numId w:val="0"/>
        </w:numPr>
        <w:ind w:leftChars="0"/>
        <w:rPr>
          <w:rFonts w:hint="eastAsia"/>
          <w:lang w:val="en-US" w:eastAsia="zh-CN"/>
        </w:rPr>
      </w:pPr>
      <w:r>
        <w:rPr>
          <w:rFonts w:hint="eastAsia"/>
          <w:lang w:val="en-US" w:eastAsia="zh-CN"/>
        </w:rPr>
        <w:t>1.</w:t>
      </w:r>
      <w:r>
        <w:rPr>
          <w:rFonts w:hint="eastAsia"/>
          <w:lang w:eastAsia="zh-CN"/>
        </w:rPr>
        <w:t xml:space="preserve">供方负责在整个项目周期内，与医院相关部门和人员保持密切沟通，及时了解医院需求变化并做出响应。定期向医院汇报项目进展情况，对于项目实施过程中出现的问题和风险，需及时向医院通报并提出解决方案。 </w:t>
      </w:r>
    </w:p>
    <w:p>
      <w:pPr>
        <w:numPr>
          <w:ilvl w:val="0"/>
          <w:numId w:val="0"/>
        </w:numPr>
        <w:ind w:leftChars="0"/>
        <w:rPr>
          <w:rFonts w:hint="eastAsia"/>
          <w:lang w:eastAsia="zh-CN"/>
        </w:rPr>
      </w:pPr>
      <w:r>
        <w:rPr>
          <w:rFonts w:hint="eastAsia"/>
          <w:lang w:val="en-US" w:eastAsia="zh-CN"/>
        </w:rPr>
        <w:t>2.</w:t>
      </w:r>
      <w:r>
        <w:rPr>
          <w:rFonts w:hint="eastAsia"/>
          <w:lang w:eastAsia="zh-CN"/>
        </w:rPr>
        <w:t>在系统升级完成后的质保期内，供方应负责免费对系统进行维护和技术支持，及时处理系统出现的故障和问题，确保系统正常运行</w:t>
      </w:r>
    </w:p>
    <w:p>
      <w:pPr>
        <w:numPr>
          <w:ilvl w:val="0"/>
          <w:numId w:val="0"/>
        </w:numPr>
        <w:ind w:leftChars="0"/>
        <w:rPr>
          <w:rFonts w:hint="eastAsia"/>
          <w:lang w:eastAsia="zh-CN"/>
        </w:rPr>
      </w:pPr>
      <w:r>
        <w:rPr>
          <w:rFonts w:hint="eastAsia"/>
          <w:lang w:eastAsia="zh-CN"/>
        </w:rPr>
        <w:t>（三）技术规范与业务要求：</w:t>
      </w:r>
    </w:p>
    <w:p>
      <w:pPr>
        <w:numPr>
          <w:ilvl w:val="0"/>
          <w:numId w:val="0"/>
        </w:numPr>
        <w:ind w:leftChars="0"/>
        <w:rPr>
          <w:rFonts w:hint="eastAsia"/>
          <w:lang w:val="en-US" w:eastAsia="zh-CN"/>
        </w:rPr>
      </w:pPr>
      <w:r>
        <w:rPr>
          <w:rFonts w:hint="eastAsia"/>
          <w:lang w:val="en-US" w:eastAsia="zh-CN"/>
        </w:rPr>
        <w:t>HIS 系统升级要求</w:t>
      </w:r>
    </w:p>
    <w:p>
      <w:pPr>
        <w:numPr>
          <w:ilvl w:val="0"/>
          <w:numId w:val="0"/>
        </w:numPr>
        <w:ind w:leftChars="0"/>
        <w:rPr>
          <w:rFonts w:hint="eastAsia"/>
          <w:lang w:val="en-US" w:eastAsia="zh-CN"/>
        </w:rPr>
      </w:pPr>
      <w:r>
        <w:rPr>
          <w:rFonts w:hint="eastAsia"/>
          <w:lang w:val="en-US" w:eastAsia="zh-CN"/>
        </w:rPr>
        <w:t>优化挂号、收费、住院管理等核心业务流程，提高操作便捷性和效率。实现线上线下一体化服务，支持患者通过多种渠道（如微信公众号、自助机 等）进行预约挂号、缴费、查询检查检验结果等操作。</w:t>
      </w:r>
    </w:p>
    <w:p>
      <w:pPr>
        <w:numPr>
          <w:ilvl w:val="0"/>
          <w:numId w:val="0"/>
        </w:numPr>
        <w:ind w:leftChars="0"/>
        <w:rPr>
          <w:rFonts w:hint="eastAsia"/>
          <w:lang w:val="en-US" w:eastAsia="zh-CN"/>
        </w:rPr>
      </w:pPr>
      <w:r>
        <w:rPr>
          <w:rFonts w:hint="eastAsia"/>
          <w:lang w:val="en-US" w:eastAsia="zh-CN"/>
        </w:rPr>
        <w:t>LIS 系统升级要求</w:t>
      </w:r>
    </w:p>
    <w:p>
      <w:pPr>
        <w:numPr>
          <w:ilvl w:val="0"/>
          <w:numId w:val="0"/>
        </w:numPr>
        <w:ind w:leftChars="0"/>
        <w:rPr>
          <w:rFonts w:hint="eastAsia"/>
          <w:lang w:val="en-US" w:eastAsia="zh-CN"/>
        </w:rPr>
      </w:pPr>
      <w:r>
        <w:rPr>
          <w:rFonts w:hint="eastAsia"/>
          <w:lang w:val="en-US" w:eastAsia="zh-CN"/>
        </w:rPr>
        <w:t>提升检验报告的准确性和及时性，检验报告应包含详细的检验项目信息、参考范围、结果分析等内容。</w:t>
      </w:r>
    </w:p>
    <w:p>
      <w:pPr>
        <w:numPr>
          <w:ilvl w:val="0"/>
          <w:numId w:val="0"/>
        </w:numPr>
        <w:ind w:leftChars="0"/>
        <w:rPr>
          <w:rFonts w:hint="eastAsia"/>
          <w:lang w:val="en-US" w:eastAsia="zh-CN"/>
        </w:rPr>
      </w:pPr>
      <w:r>
        <w:rPr>
          <w:rFonts w:hint="eastAsia"/>
          <w:lang w:val="en-US" w:eastAsia="zh-CN"/>
        </w:rPr>
        <w:t>加强检验质量管理，建立完善的室内质量控制和室间质量评价体系，确保检验结果的可靠性。支持对检验数据的统计分析，为临床诊断和科研提供数据支持。</w:t>
      </w:r>
    </w:p>
    <w:p>
      <w:pPr>
        <w:numPr>
          <w:ilvl w:val="0"/>
          <w:numId w:val="0"/>
        </w:numPr>
        <w:ind w:leftChars="0"/>
        <w:rPr>
          <w:rFonts w:hint="eastAsia"/>
          <w:lang w:eastAsia="zh-CN"/>
        </w:rPr>
      </w:pPr>
      <w:r>
        <w:rPr>
          <w:rFonts w:hint="eastAsia"/>
          <w:lang w:val="en-US" w:eastAsia="zh-CN"/>
        </w:rPr>
        <w:t>EMR 系统升级要求</w:t>
      </w:r>
    </w:p>
    <w:p>
      <w:pPr>
        <w:numPr>
          <w:ilvl w:val="0"/>
          <w:numId w:val="0"/>
        </w:numPr>
        <w:ind w:leftChars="0"/>
        <w:rPr>
          <w:rFonts w:hint="eastAsia"/>
          <w:lang w:eastAsia="zh-CN"/>
        </w:rPr>
      </w:pPr>
      <w:r>
        <w:rPr>
          <w:rFonts w:hint="eastAsia"/>
          <w:lang w:eastAsia="zh-CN"/>
        </w:rPr>
        <w:t>按照国家最新的电子病历应用规范和标准，对电子病历的模板、内容进行优化和完善，确保病历书写规范、完整。支持结构化病历书写，提高病历数据的可检索性和可利用性。加强病历的安全管理，对病历的访问、修改、删除等操作进行严格的权限控制和记录，确保病历数据的真实性和完整性。</w:t>
      </w:r>
    </w:p>
    <w:p>
      <w:pPr>
        <w:numPr>
          <w:ilvl w:val="0"/>
          <w:numId w:val="0"/>
        </w:numPr>
        <w:ind w:leftChars="0"/>
        <w:rPr>
          <w:rFonts w:hint="eastAsia"/>
          <w:lang w:eastAsia="zh-CN"/>
        </w:rPr>
      </w:pPr>
      <w:r>
        <w:rPr>
          <w:rFonts w:hint="eastAsia"/>
          <w:lang w:eastAsia="zh-CN"/>
        </w:rPr>
        <w:t>（</w:t>
      </w:r>
      <w:r>
        <w:rPr>
          <w:rFonts w:hint="eastAsia"/>
          <w:lang w:val="en-US" w:eastAsia="zh-CN"/>
        </w:rPr>
        <w:t>四</w:t>
      </w:r>
      <w:r>
        <w:rPr>
          <w:rFonts w:hint="eastAsia"/>
          <w:lang w:eastAsia="zh-CN"/>
        </w:rPr>
        <w:t>）项目实施要求：</w:t>
      </w:r>
    </w:p>
    <w:p>
      <w:pPr>
        <w:numPr>
          <w:ilvl w:val="0"/>
          <w:numId w:val="0"/>
        </w:numPr>
        <w:ind w:leftChars="0"/>
        <w:rPr>
          <w:rFonts w:hint="eastAsia"/>
          <w:lang w:eastAsia="zh-CN"/>
        </w:rPr>
      </w:pPr>
      <w:r>
        <w:rPr>
          <w:rFonts w:hint="eastAsia"/>
          <w:lang w:val="en-US" w:eastAsia="zh-CN"/>
        </w:rPr>
        <w:t>1.</w:t>
      </w:r>
      <w:r>
        <w:rPr>
          <w:rFonts w:hint="eastAsia"/>
          <w:lang w:eastAsia="zh-CN"/>
        </w:rPr>
        <w:t>供方应根据医院实际情况制定详细的项目实施计划，明确各阶段的工作任务、时间节点和责任人。实施计划需经医院审核通过后方可执行，实施过程中如有调整，需提前向医院报备。</w:t>
      </w:r>
    </w:p>
    <w:p>
      <w:pPr>
        <w:numPr>
          <w:ilvl w:val="0"/>
          <w:numId w:val="0"/>
        </w:numPr>
        <w:ind w:leftChars="0"/>
        <w:rPr>
          <w:rFonts w:hint="eastAsia"/>
          <w:lang w:eastAsia="zh-CN"/>
        </w:rPr>
      </w:pPr>
      <w:r>
        <w:rPr>
          <w:rFonts w:hint="eastAsia"/>
          <w:lang w:val="en-US" w:eastAsia="zh-CN"/>
        </w:rPr>
        <w:t>2.</w:t>
      </w:r>
      <w:r>
        <w:rPr>
          <w:rFonts w:hint="eastAsia"/>
          <w:lang w:eastAsia="zh-CN"/>
        </w:rPr>
        <w:t>在系统升级实施前，需对医院现有系统的数据进行备份，确保数据安全。升级过程中应尽量减少对医院正常业务的影响，可选择在业务低谷期进行系统切换和调试。</w:t>
      </w:r>
    </w:p>
    <w:p>
      <w:pPr>
        <w:numPr>
          <w:ilvl w:val="0"/>
          <w:numId w:val="0"/>
        </w:numPr>
        <w:ind w:leftChars="0"/>
        <w:rPr>
          <w:rFonts w:hint="eastAsia"/>
          <w:lang w:eastAsia="zh-CN"/>
        </w:rPr>
      </w:pPr>
      <w:r>
        <w:rPr>
          <w:rFonts w:hint="eastAsia"/>
          <w:lang w:val="en-US" w:eastAsia="zh-CN"/>
        </w:rPr>
        <w:t>3.</w:t>
      </w:r>
      <w:r>
        <w:rPr>
          <w:rFonts w:hint="eastAsia"/>
          <w:lang w:eastAsia="zh-CN"/>
        </w:rPr>
        <w:t>提供全面的培训服务，包括对医院管理人员、医护人员、信息科人员等的培训。培训内容应涵盖系统的功能介绍、操作流程、常见问题处理等方面，确保相关人员能够熟练使用升级后的系统。培训方式可采用集中培训、现场指导、在线培训等多种形式相结合，</w:t>
      </w:r>
      <w:r>
        <w:rPr>
          <w:rFonts w:hint="eastAsia"/>
          <w:lang w:val="en-US" w:eastAsia="zh-CN"/>
        </w:rPr>
        <w:t>须提供培训计划，包含但不仅限于培训时长、培训方式等</w:t>
      </w:r>
      <w:r>
        <w:rPr>
          <w:rFonts w:hint="eastAsia"/>
          <w:lang w:eastAsia="zh-CN"/>
        </w:rPr>
        <w:t>。</w:t>
      </w:r>
    </w:p>
    <w:p>
      <w:pPr>
        <w:numPr>
          <w:ilvl w:val="0"/>
          <w:numId w:val="0"/>
        </w:numPr>
        <w:ind w:leftChars="0"/>
        <w:rPr>
          <w:rFonts w:hint="eastAsia"/>
          <w:lang w:eastAsia="zh-CN"/>
        </w:rPr>
      </w:pPr>
      <w:r>
        <w:rPr>
          <w:rFonts w:hint="eastAsia"/>
          <w:lang w:eastAsia="zh-CN"/>
        </w:rPr>
        <w:t>（五）项目验收：供方完全履行合同义务后，需方或需方的最终用户按照上述政府采购合同文件列明的标准进行验收，验收不合格的，供方需按照服务合同第八条的约定承担相应违约责任。</w:t>
      </w:r>
    </w:p>
    <w:p>
      <w:pPr>
        <w:numPr>
          <w:ilvl w:val="0"/>
          <w:numId w:val="0"/>
        </w:numPr>
        <w:ind w:leftChars="0"/>
        <w:rPr>
          <w:rFonts w:hint="eastAsia"/>
          <w:lang w:eastAsia="zh-CN"/>
        </w:rPr>
      </w:pPr>
      <w:r>
        <w:rPr>
          <w:rFonts w:hint="eastAsia"/>
          <w:lang w:eastAsia="zh-CN"/>
        </w:rPr>
        <w:t>商务要求：</w:t>
      </w:r>
    </w:p>
    <w:p>
      <w:pPr>
        <w:numPr>
          <w:ilvl w:val="0"/>
          <w:numId w:val="0"/>
        </w:numPr>
        <w:ind w:leftChars="0"/>
        <w:rPr>
          <w:rFonts w:hint="eastAsia"/>
          <w:lang w:val="en-US" w:eastAsia="zh-CN"/>
        </w:rPr>
      </w:pPr>
      <w:r>
        <w:rPr>
          <w:rFonts w:hint="eastAsia"/>
          <w:lang w:val="en-US" w:eastAsia="zh-CN"/>
        </w:rPr>
        <w:t>实施期 ：</w:t>
      </w:r>
      <w:r>
        <w:rPr>
          <w:rFonts w:hint="eastAsia"/>
          <w:lang w:eastAsia="zh-CN"/>
        </w:rPr>
        <w:t>合同签订后于</w:t>
      </w:r>
      <w:r>
        <w:rPr>
          <w:rFonts w:hint="eastAsia"/>
          <w:lang w:val="en-US" w:eastAsia="zh-CN"/>
        </w:rPr>
        <w:t>15个工作</w:t>
      </w:r>
      <w:r>
        <w:rPr>
          <w:rFonts w:hint="eastAsia"/>
          <w:lang w:eastAsia="zh-CN"/>
        </w:rPr>
        <w:t>日内全部安装、调试、试运行完毕。</w:t>
      </w:r>
      <w:r>
        <w:rPr>
          <w:rFonts w:hint="eastAsia"/>
          <w:lang w:val="en-US" w:eastAsia="zh-CN"/>
        </w:rPr>
        <w:t>（具体以甲乙双方签订采购合同为准，严格按照采购单位的时间及要求按时交货）。</w:t>
      </w:r>
    </w:p>
    <w:p>
      <w:pPr>
        <w:numPr>
          <w:ilvl w:val="0"/>
          <w:numId w:val="0"/>
        </w:numPr>
        <w:ind w:leftChars="0"/>
        <w:rPr>
          <w:rFonts w:hint="eastAsia"/>
          <w:lang w:val="en-US" w:eastAsia="zh-CN"/>
        </w:rPr>
      </w:pPr>
      <w:r>
        <w:rPr>
          <w:rFonts w:hint="eastAsia"/>
          <w:lang w:val="en-US" w:eastAsia="zh-CN"/>
        </w:rPr>
        <w:t>实施（交货）地点 ：甲方指定地点。</w:t>
      </w:r>
    </w:p>
    <w:p>
      <w:pPr>
        <w:numPr>
          <w:ilvl w:val="0"/>
          <w:numId w:val="0"/>
        </w:numPr>
        <w:ind w:leftChars="0"/>
        <w:rPr>
          <w:rFonts w:hint="eastAsia"/>
          <w:lang w:eastAsia="zh-CN"/>
        </w:rPr>
      </w:pPr>
      <w:r>
        <w:rPr>
          <w:rFonts w:hint="eastAsia"/>
          <w:lang w:val="en-US" w:eastAsia="zh-CN"/>
        </w:rPr>
        <w:t>质保要求：自本项目验收合格之日起，供应商提供1年的免费质保期。</w:t>
      </w:r>
    </w:p>
    <w:p>
      <w:pPr>
        <w:numPr>
          <w:ilvl w:val="0"/>
          <w:numId w:val="0"/>
        </w:numPr>
        <w:ind w:leftChars="0"/>
        <w:rPr>
          <w:rFonts w:hint="eastAsia"/>
          <w:lang w:val="en-US" w:eastAsia="zh-CN"/>
        </w:rPr>
      </w:pPr>
      <w:r>
        <w:rPr>
          <w:rFonts w:hint="eastAsia"/>
          <w:lang w:val="en-US" w:eastAsia="zh-CN"/>
        </w:rPr>
        <w:t>4、售后服务：投标人自行编制详细的售后服务方案和维保服务计划，包含服务响应时间（质保期内和质保期后，如软件或设备出现故障，派工程技术人员到达现场解决问题的响应时间，若设备出现故障6小时内响应，12小时之内到达现场，并能在24小时内解决故障问题）、投标人须制定服务措施、定期回访计划、相关承诺函等，提供相关售后服务的可行性、全面性、完整性的服务方案。售后服务网点明细表（包括联系人、详细地址、电话等）（如供应商未按售后服务承诺履行其义务，招标人有权自行解决设备故障，维修设备故障所产生的一切费用将由中标供应商自行承担）。</w:t>
      </w:r>
    </w:p>
    <w:p>
      <w:pPr>
        <w:pStyle w:val="31"/>
        <w:ind w:firstLine="480"/>
        <w:rPr>
          <w:highlight w:val="none"/>
        </w:rPr>
      </w:pPr>
    </w:p>
    <w:p/>
    <w:p>
      <w:pPr>
        <w:pStyle w:val="2"/>
        <w:rPr>
          <w:lang w:val="en-US"/>
        </w:rPr>
      </w:pPr>
    </w:p>
    <w:p>
      <w:pPr>
        <w:pStyle w:val="31"/>
        <w:ind w:firstLine="480"/>
      </w:pPr>
    </w:p>
    <w:p/>
    <w:p>
      <w:pPr>
        <w:pStyle w:val="8"/>
      </w:pPr>
    </w:p>
    <w:p>
      <w:pPr>
        <w:pStyle w:val="2"/>
        <w:rPr>
          <w:lang w:val="en-US"/>
        </w:rPr>
      </w:pPr>
    </w:p>
    <w:p>
      <w:pPr>
        <w:pStyle w:val="31"/>
        <w:ind w:firstLine="480"/>
      </w:pPr>
    </w:p>
    <w:p>
      <w:pPr>
        <w:pStyle w:val="6"/>
        <w:ind w:firstLine="2240" w:firstLineChars="700"/>
        <w:rPr>
          <w:rFonts w:ascii="方正小标宋_GBK" w:hAnsi="方正小标宋_GBK" w:eastAsia="方正小标宋_GBK" w:cs="方正小标宋_GBK"/>
          <w:b w:val="0"/>
          <w:bCs w:val="0"/>
        </w:rPr>
      </w:pPr>
      <w:r>
        <w:rPr>
          <w:rFonts w:hint="eastAsia" w:ascii="方正黑体_GBK" w:hAnsi="方正黑体_GBK" w:eastAsia="方正黑体_GBK" w:cs="方正黑体_GBK"/>
          <w:b w:val="0"/>
          <w:bCs w:val="0"/>
        </w:rPr>
        <w:t>第四章 投标文件组成要求及格式</w:t>
      </w:r>
    </w:p>
    <w:p>
      <w:pPr>
        <w:ind w:firstLine="464" w:firstLineChars="200"/>
        <w:rPr>
          <w:rFonts w:ascii="宋体" w:hAnsi="宋体"/>
          <w:b/>
          <w:bCs/>
          <w:color w:val="FF0000"/>
          <w:sz w:val="24"/>
        </w:rPr>
      </w:pPr>
      <w:r>
        <w:rPr>
          <w:rFonts w:hint="eastAsia" w:ascii="方正小标宋_GBK" w:hAnsi="方正小标宋_GBK" w:eastAsia="方正小标宋_GBK" w:cs="方正小标宋_GBK"/>
          <w:color w:val="FF0000"/>
          <w:spacing w:val="-4"/>
          <w:kern w:val="0"/>
          <w:sz w:val="24"/>
          <w:szCs w:val="24"/>
        </w:rPr>
        <w:t>投标前，需充分知悉参与政府采购活动时的重大风险事项，并签署政府采购违法行为风险知悉确认书！！！</w:t>
      </w:r>
    </w:p>
    <w:p>
      <w:pPr>
        <w:jc w:val="left"/>
        <w:outlineLvl w:val="0"/>
        <w:rPr>
          <w:rFonts w:ascii="宋体" w:hAnsi="宋体"/>
          <w:color w:val="0000FF"/>
          <w:sz w:val="24"/>
        </w:rPr>
      </w:pPr>
      <w:r>
        <w:rPr>
          <w:rFonts w:hint="eastAsia" w:ascii="宋体" w:hAnsi="宋体"/>
          <w:color w:val="0000FF"/>
          <w:sz w:val="24"/>
        </w:rPr>
        <w:t>1.投标文件正文，主要包括以下内容：</w:t>
      </w:r>
    </w:p>
    <w:p>
      <w:pPr>
        <w:jc w:val="left"/>
      </w:pPr>
      <w:r>
        <w:rPr>
          <w:rFonts w:hint="eastAsia"/>
        </w:rPr>
        <w:t>（1）</w:t>
      </w:r>
      <w:bookmarkStart w:id="136" w:name="_Hlk72070784"/>
      <w:r>
        <w:rPr>
          <w:rFonts w:hint="eastAsia"/>
        </w:rPr>
        <w:t>投标函</w:t>
      </w:r>
      <w:bookmarkEnd w:id="136"/>
    </w:p>
    <w:p>
      <w:pPr>
        <w:jc w:val="left"/>
      </w:pPr>
      <w:r>
        <w:rPr>
          <w:rFonts w:hint="eastAsia"/>
        </w:rPr>
        <w:t>（2）</w:t>
      </w:r>
      <w:bookmarkStart w:id="137" w:name="_Hlk72062521"/>
      <w:r>
        <w:rPr>
          <w:rFonts w:hint="eastAsia"/>
        </w:rPr>
        <w:t>政府采购投标及履约承诺函</w:t>
      </w:r>
      <w:bookmarkEnd w:id="137"/>
    </w:p>
    <w:p>
      <w:pPr>
        <w:jc w:val="left"/>
      </w:pPr>
      <w:r>
        <w:rPr>
          <w:rFonts w:hint="eastAsia"/>
        </w:rPr>
        <w:t>（3）投标单位反商业贿赂承诺书</w:t>
      </w:r>
    </w:p>
    <w:p>
      <w:pPr>
        <w:jc w:val="left"/>
      </w:pPr>
      <w:r>
        <w:rPr>
          <w:rFonts w:hint="eastAsia"/>
        </w:rPr>
        <w:t>（4）具备履行合同所需的设备和专业技术能力的书面声明</w:t>
      </w:r>
    </w:p>
    <w:p>
      <w:pPr>
        <w:jc w:val="left"/>
      </w:pPr>
      <w:r>
        <w:rPr>
          <w:rFonts w:hint="eastAsia"/>
        </w:rPr>
        <w:t>（5）投标人情况及资格证明文件（营业执照、资质证书、财务状况、税收、社保、中小企业、残疾人福利性单位、监狱企业声明函等）</w:t>
      </w:r>
    </w:p>
    <w:p>
      <w:pPr>
        <w:jc w:val="left"/>
      </w:pPr>
      <w:bookmarkStart w:id="138" w:name="_Hlk72257201"/>
      <w:r>
        <w:rPr>
          <w:rFonts w:hint="eastAsia"/>
        </w:rPr>
        <w:t>（6）开标一览表、明细报价表</w:t>
      </w:r>
    </w:p>
    <w:p>
      <w:pPr>
        <w:jc w:val="left"/>
      </w:pPr>
      <w:r>
        <w:rPr>
          <w:rFonts w:hint="eastAsia"/>
        </w:rPr>
        <w:t>（7）供应商认证情况（中国国家强制性产品认证证书（CCC）、节能产品明细清单、环保产品明细清单）</w:t>
      </w:r>
    </w:p>
    <w:p>
      <w:pPr>
        <w:jc w:val="left"/>
      </w:pPr>
      <w:r>
        <w:rPr>
          <w:rFonts w:hint="eastAsia"/>
        </w:rPr>
        <w:t>（8）实质性条款响应情况表</w:t>
      </w:r>
    </w:p>
    <w:p>
      <w:pPr>
        <w:jc w:val="left"/>
      </w:pPr>
      <w:r>
        <w:rPr>
          <w:rFonts w:hint="eastAsia"/>
        </w:rPr>
        <w:t>（9）重要技术参数相应情况表</w:t>
      </w:r>
    </w:p>
    <w:p>
      <w:pPr>
        <w:jc w:val="left"/>
      </w:pPr>
      <w:r>
        <w:rPr>
          <w:rFonts w:hint="eastAsia"/>
        </w:rPr>
        <w:t>（10）商务条款偏离表</w:t>
      </w:r>
    </w:p>
    <w:p>
      <w:pPr>
        <w:jc w:val="left"/>
      </w:pPr>
      <w:r>
        <w:rPr>
          <w:rFonts w:hint="eastAsia"/>
        </w:rPr>
        <w:t>（11）供应商同类项目业绩情况</w:t>
      </w:r>
    </w:p>
    <w:p>
      <w:pPr>
        <w:jc w:val="left"/>
      </w:pPr>
      <w:r>
        <w:rPr>
          <w:rFonts w:hint="eastAsia"/>
        </w:rPr>
        <w:t>（12）供应商获奖情况（格式自定）</w:t>
      </w:r>
    </w:p>
    <w:p>
      <w:pPr>
        <w:jc w:val="left"/>
      </w:pPr>
      <w:r>
        <w:rPr>
          <w:rFonts w:hint="eastAsia" w:ascii="宋体" w:hAnsi="宋体"/>
        </w:rPr>
        <w:t>（13）供应商自主知识产权产品（创新、设计）情况（格式自定）</w:t>
      </w:r>
    </w:p>
    <w:p>
      <w:pPr>
        <w:ind w:firstLine="1417" w:firstLineChars="675"/>
        <w:jc w:val="left"/>
      </w:pPr>
    </w:p>
    <w:bookmarkEnd w:id="138"/>
    <w:p>
      <w:pPr>
        <w:jc w:val="left"/>
        <w:outlineLvl w:val="0"/>
        <w:rPr>
          <w:rFonts w:ascii="宋体" w:hAnsi="宋体"/>
          <w:color w:val="0000FF"/>
          <w:sz w:val="24"/>
        </w:rPr>
      </w:pPr>
      <w:r>
        <w:rPr>
          <w:rFonts w:hint="eastAsia" w:ascii="宋体" w:hAnsi="宋体"/>
          <w:color w:val="0000FF"/>
          <w:sz w:val="24"/>
        </w:rPr>
        <w:t>2.投标文件附件，主要包括以下内容：</w:t>
      </w:r>
    </w:p>
    <w:p>
      <w:pPr>
        <w:jc w:val="left"/>
      </w:pPr>
      <w:r>
        <w:rPr>
          <w:rFonts w:hint="eastAsia"/>
        </w:rPr>
        <w:t>（1）法定代表人（负责人）证明书</w:t>
      </w:r>
    </w:p>
    <w:p>
      <w:pPr>
        <w:jc w:val="left"/>
      </w:pPr>
      <w:r>
        <w:rPr>
          <w:rFonts w:hint="eastAsia"/>
        </w:rPr>
        <w:t>（2）投标文件签署授权委托书</w:t>
      </w:r>
    </w:p>
    <w:p>
      <w:pPr>
        <w:jc w:val="left"/>
      </w:pPr>
      <w:r>
        <w:rPr>
          <w:rFonts w:hint="eastAsia"/>
        </w:rPr>
        <w:t>（3）投标保证金缴纳凭证</w:t>
      </w:r>
    </w:p>
    <w:p>
      <w:pPr>
        <w:jc w:val="left"/>
      </w:pPr>
      <w:r>
        <w:rPr>
          <w:rFonts w:hint="eastAsia"/>
        </w:rPr>
        <w:t>（4）联合体协议书</w:t>
      </w:r>
    </w:p>
    <w:p>
      <w:pPr>
        <w:jc w:val="left"/>
      </w:pPr>
      <w:r>
        <w:rPr>
          <w:rFonts w:hint="eastAsia"/>
        </w:rPr>
        <w:t>（5）分包意向协议</w:t>
      </w:r>
    </w:p>
    <w:p>
      <w:pPr>
        <w:jc w:val="left"/>
      </w:pPr>
      <w:r>
        <w:rPr>
          <w:rFonts w:hint="eastAsia"/>
        </w:rPr>
        <w:t>（6）</w:t>
      </w:r>
      <w:r>
        <w:rPr>
          <w:rFonts w:hint="eastAsia" w:ascii="宋体" w:hAnsi="宋体"/>
        </w:rPr>
        <w:t>实施方案（格式自定）</w:t>
      </w:r>
    </w:p>
    <w:p>
      <w:pPr>
        <w:pStyle w:val="8"/>
        <w:ind w:firstLine="0"/>
        <w:jc w:val="left"/>
        <w:rPr>
          <w:rFonts w:ascii="宋体" w:hAnsi="宋体"/>
        </w:rPr>
      </w:pPr>
      <w:r>
        <w:rPr>
          <w:rFonts w:hint="eastAsia" w:ascii="宋体" w:hAnsi="宋体"/>
        </w:rPr>
        <w:t>（7）项目重点难点分析、应对措施及相关的合理化建议（格式自定）</w:t>
      </w:r>
    </w:p>
    <w:p>
      <w:pPr>
        <w:pStyle w:val="8"/>
        <w:ind w:firstLine="0"/>
        <w:jc w:val="left"/>
        <w:rPr>
          <w:rFonts w:ascii="宋体" w:hAnsi="宋体"/>
        </w:rPr>
      </w:pPr>
      <w:r>
        <w:rPr>
          <w:rFonts w:hint="eastAsia" w:ascii="宋体" w:hAnsi="宋体"/>
        </w:rPr>
        <w:t>（8）质量（完成时间、安全、环保）保障措施及方案（格式自定）</w:t>
      </w:r>
    </w:p>
    <w:p>
      <w:pPr>
        <w:pStyle w:val="8"/>
        <w:ind w:firstLine="0"/>
        <w:jc w:val="left"/>
        <w:rPr>
          <w:rFonts w:ascii="宋体" w:hAnsi="宋体"/>
        </w:rPr>
      </w:pPr>
      <w:r>
        <w:rPr>
          <w:rFonts w:hint="eastAsia" w:ascii="宋体" w:hAnsi="宋体"/>
        </w:rPr>
        <w:t>（9）项目服务承诺（格式自定）</w:t>
      </w:r>
    </w:p>
    <w:p>
      <w:pPr>
        <w:pStyle w:val="8"/>
        <w:ind w:firstLine="0"/>
        <w:jc w:val="left"/>
        <w:rPr>
          <w:rFonts w:ascii="宋体" w:hAnsi="宋体"/>
        </w:rPr>
      </w:pPr>
      <w:r>
        <w:rPr>
          <w:rFonts w:hint="eastAsia" w:ascii="宋体" w:hAnsi="宋体"/>
        </w:rPr>
        <w:t>（10）违约承诺（格式自定）</w:t>
      </w:r>
    </w:p>
    <w:p>
      <w:pPr>
        <w:pStyle w:val="8"/>
        <w:ind w:firstLine="0"/>
        <w:jc w:val="left"/>
        <w:rPr>
          <w:rFonts w:ascii="宋体" w:hAnsi="宋体"/>
        </w:rPr>
      </w:pPr>
      <w:r>
        <w:rPr>
          <w:rFonts w:hint="eastAsia" w:ascii="宋体" w:hAnsi="宋体"/>
        </w:rPr>
        <w:t>（11）拟安排的项目负责人情况</w:t>
      </w:r>
    </w:p>
    <w:p>
      <w:pPr>
        <w:pStyle w:val="8"/>
        <w:ind w:firstLine="0"/>
        <w:jc w:val="left"/>
        <w:rPr>
          <w:rFonts w:ascii="宋体" w:hAnsi="宋体"/>
        </w:rPr>
      </w:pPr>
      <w:r>
        <w:rPr>
          <w:rFonts w:hint="eastAsia" w:ascii="宋体" w:hAnsi="宋体"/>
        </w:rPr>
        <w:t>（12）拟安排的项目主要团队成员（主要技术人员）情况（项目负责人除外）</w:t>
      </w:r>
    </w:p>
    <w:p>
      <w:pPr>
        <w:pStyle w:val="8"/>
        <w:ind w:firstLine="0"/>
        <w:jc w:val="left"/>
        <w:rPr>
          <w:rFonts w:ascii="宋体" w:hAnsi="宋体"/>
        </w:rPr>
      </w:pPr>
      <w:r>
        <w:rPr>
          <w:rFonts w:hint="eastAsia" w:ascii="宋体" w:hAnsi="宋体"/>
        </w:rPr>
        <w:t>（</w:t>
      </w:r>
      <w:r>
        <w:rPr>
          <w:rFonts w:ascii="宋体" w:hAnsi="宋体"/>
        </w:rPr>
        <w:t>1</w:t>
      </w:r>
      <w:r>
        <w:rPr>
          <w:rFonts w:hint="eastAsia" w:ascii="宋体" w:hAnsi="宋体"/>
        </w:rPr>
        <w:t>3）拟投入的服务资源（车辆、场地、工具、机器等）情况（格式自定）</w:t>
      </w:r>
    </w:p>
    <w:p>
      <w:pPr>
        <w:pStyle w:val="8"/>
        <w:ind w:firstLine="0"/>
        <w:jc w:val="left"/>
      </w:pPr>
      <w:r>
        <w:rPr>
          <w:rFonts w:hint="eastAsia" w:ascii="宋体" w:hAnsi="宋体"/>
        </w:rPr>
        <w:t>（</w:t>
      </w:r>
      <w:r>
        <w:rPr>
          <w:rFonts w:ascii="宋体" w:hAnsi="宋体"/>
        </w:rPr>
        <w:t>1</w:t>
      </w:r>
      <w:r>
        <w:rPr>
          <w:rFonts w:hint="eastAsia" w:ascii="宋体" w:hAnsi="宋体"/>
        </w:rPr>
        <w:t>4）</w:t>
      </w:r>
      <w:r>
        <w:rPr>
          <w:rFonts w:hint="eastAsia"/>
        </w:rPr>
        <w:t>投标人认为需要加以说明的其他内容（格式自定）</w:t>
      </w:r>
    </w:p>
    <w:p/>
    <w:p>
      <w:pPr>
        <w:spacing w:afterLines="50"/>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政府采购违法行为风险知悉确认书</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b/>
          <w:bCs/>
        </w:rPr>
      </w:pPr>
      <w:r>
        <w:rPr>
          <w:rFonts w:hint="eastAsia" w:ascii="宋体" w:hAnsi="宋体"/>
          <w:b/>
          <w:bCs/>
        </w:rPr>
        <w:t>一、本公司已充分知悉</w:t>
      </w:r>
      <w:r>
        <w:rPr>
          <w:rFonts w:hint="eastAsia"/>
          <w:b/>
          <w:bCs/>
        </w:rPr>
        <w:t>“</w:t>
      </w:r>
      <w:r>
        <w:rPr>
          <w:rFonts w:hint="eastAsia" w:ascii="宋体" w:hAnsi="宋体"/>
          <w:b/>
          <w:bCs/>
        </w:rPr>
        <w:t>隐瞒真实情况，提供虚假资料</w:t>
      </w:r>
      <w:r>
        <w:rPr>
          <w:rFonts w:hint="eastAsia"/>
          <w:b/>
          <w:bCs/>
        </w:rPr>
        <w:t>”</w:t>
      </w:r>
      <w:r>
        <w:rPr>
          <w:rFonts w:hint="eastAsia" w:ascii="宋体" w:hAnsi="宋体"/>
          <w:b/>
          <w:bCs/>
        </w:rPr>
        <w:t>的法定情形，相关情形包括但不限于：</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（一）通过转让或者租借等方式从其他单位获取资格或者资质证书投标的。</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（二）由其他单位或者其他单位负责人在投标供应商编制的投标文件上加盖印章或者签字的。</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（三）项目负责人或者主要技术人员不是本单位人员的。</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（四）投标保证金不是从投标供应商基本账户转出的。</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（五）其他隐瞒真实情况、提供虚假资料的行为。</w:t>
      </w:r>
    </w:p>
    <w:p>
      <w:pPr>
        <w:spacing w:line="360" w:lineRule="auto"/>
        <w:ind w:firstLine="422" w:firstLineChars="200"/>
        <w:rPr>
          <w:b/>
          <w:bCs/>
        </w:rPr>
      </w:pPr>
      <w:r>
        <w:rPr>
          <w:rFonts w:hint="eastAsia" w:ascii="宋体" w:hAnsi="宋体"/>
          <w:b/>
          <w:bCs/>
        </w:rPr>
        <w:t>二、本公司已充分知悉</w:t>
      </w:r>
      <w:r>
        <w:rPr>
          <w:rFonts w:hint="eastAsia"/>
          <w:b/>
          <w:bCs/>
        </w:rPr>
        <w:t>“</w:t>
      </w:r>
      <w:r>
        <w:rPr>
          <w:rFonts w:hint="eastAsia" w:ascii="宋体" w:hAnsi="宋体"/>
          <w:b/>
          <w:bCs/>
        </w:rPr>
        <w:t>与其他采购参加人串通投标</w:t>
      </w:r>
      <w:r>
        <w:rPr>
          <w:rFonts w:hint="eastAsia"/>
          <w:b/>
          <w:bCs/>
        </w:rPr>
        <w:t>”</w:t>
      </w:r>
      <w:r>
        <w:rPr>
          <w:rFonts w:hint="eastAsia" w:ascii="宋体" w:hAnsi="宋体"/>
          <w:b/>
          <w:bCs/>
        </w:rPr>
        <w:t>的法定情形，相关情形包括但不限于：</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（一）投标供应商之间相互约定给予未中标的供应商利益补偿。</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（二）不同投标供应商的法定代表人、主要经营负责人、项目投标授权代表人、项目负责人、主要技术人员为同一人、属同一单位或者在同一单位缴纳社会保险。</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（三）不同投标供应商的投标文件由同一单位或者同一人编制，或者由同一人分阶段参与编制的。</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（四）不同投标供应商的投标文件或部分投标文件相互混装。</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（五）不同投标供应商的投标文件内容存在非正常一致。</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（六）由同一单位工作人员为两家以上（含两家）供应商进行同一项投标活动的。</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（七）不同投标人的投标报价呈规律性差异。</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（八）不同投标人的投标保证金从同一单位或者个人的账户转出。</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（九）主管部门依照法律、法规认定的其他情形。</w:t>
      </w:r>
    </w:p>
    <w:p>
      <w:pPr>
        <w:spacing w:line="360" w:lineRule="auto"/>
        <w:ind w:firstLine="422" w:firstLineChars="200"/>
        <w:rPr>
          <w:b/>
          <w:bCs/>
        </w:rPr>
      </w:pPr>
      <w:r>
        <w:rPr>
          <w:rFonts w:hint="eastAsia" w:ascii="宋体" w:hAnsi="宋体"/>
          <w:b/>
          <w:bCs/>
        </w:rPr>
        <w:t>三、本公司已充分知悉下列情形所对应的法律风险，并在投标前已对相关风险事项进行排查。</w:t>
      </w:r>
    </w:p>
    <w:p>
      <w:pPr>
        <w:autoSpaceDE w:val="0"/>
        <w:autoSpaceDN w:val="0"/>
        <w:spacing w:line="360" w:lineRule="auto"/>
        <w:ind w:firstLine="404" w:firstLineChars="200"/>
        <w:rPr>
          <w:rFonts w:ascii="宋体" w:hAnsi="宋体"/>
          <w:b/>
          <w:bCs/>
          <w:spacing w:val="-4"/>
          <w:kern w:val="0"/>
        </w:rPr>
      </w:pPr>
      <w:r>
        <w:rPr>
          <w:rFonts w:hint="eastAsia" w:ascii="宋体" w:hAnsi="宋体"/>
          <w:spacing w:val="-4"/>
          <w:kern w:val="0"/>
        </w:rPr>
        <w:t>（一）对于从其他主体获取的投标资料，供应商应审慎核查，确保投标资料的真实性。</w:t>
      </w:r>
      <w:r>
        <w:rPr>
          <w:rFonts w:hint="eastAsia" w:ascii="宋体" w:hAnsi="宋体"/>
          <w:b/>
          <w:bCs/>
          <w:spacing w:val="-4"/>
          <w:kern w:val="0"/>
        </w:rPr>
        <w:t>如主管部门查实投标文件中存在虚假资料的，无论相关资料是否由第三方或本公司员工提供，均不影响主管部门对供应商存在“隐瞒真实情况，提供虚假资料”违法行为的认定。</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（三）对于涉及安全生产、特种作业、抢险救灾、防疫等政府采购项目，供应商实施提供虚假资料、串通投标等违法行为的，主管部门将依法从严处理。</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五）供应商对投标电子密钥负有妥善保管、及时变更和续期等主体责任。供应商使用电子密钥在新疆政府采购网站进行的活动，均具有法律效力，须承担相应的法律后果。供应商擅自将投标密钥出借他人使用所造成的法律后果，由供应商自行承担。</w:t>
      </w:r>
    </w:p>
    <w:p>
      <w:pPr>
        <w:pStyle w:val="23"/>
        <w:autoSpaceDE w:val="0"/>
        <w:autoSpaceDN w:val="0"/>
        <w:spacing w:before="0" w:beforeAutospacing="0" w:after="0" w:afterAutospacing="0" w:line="360" w:lineRule="auto"/>
        <w:ind w:firstLine="404" w:firstLineChars="200"/>
        <w:jc w:val="both"/>
        <w:rPr>
          <w:spacing w:val="-4"/>
          <w:sz w:val="21"/>
          <w:szCs w:val="21"/>
        </w:rPr>
      </w:pPr>
      <w:r>
        <w:rPr>
          <w:rFonts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23"/>
        <w:autoSpaceDE w:val="0"/>
        <w:autoSpaceDN w:val="0"/>
        <w:spacing w:before="0" w:beforeAutospacing="0" w:after="0" w:afterAutospacing="0" w:line="360" w:lineRule="auto"/>
        <w:ind w:firstLine="422" w:firstLineChars="200"/>
        <w:jc w:val="both"/>
        <w:rPr>
          <w:b/>
          <w:bCs/>
          <w:sz w:val="21"/>
          <w:szCs w:val="21"/>
        </w:rPr>
      </w:pPr>
      <w:r>
        <w:rPr>
          <w:rFonts w:hint="eastAsia"/>
          <w:b/>
          <w:bCs/>
          <w:sz w:val="21"/>
          <w:szCs w:val="21"/>
        </w:rPr>
        <w:t>四、本公司已充分知悉政府采购违法、违规行为的法律后果。</w:t>
      </w:r>
    </w:p>
    <w:p>
      <w:pPr>
        <w:pStyle w:val="23"/>
        <w:autoSpaceDE w:val="0"/>
        <w:autoSpaceDN w:val="0"/>
        <w:spacing w:before="0" w:beforeAutospacing="0" w:after="0" w:afterAutospacing="0" w:line="360" w:lineRule="auto"/>
        <w:ind w:firstLine="404" w:firstLineChars="200"/>
        <w:jc w:val="both"/>
        <w:rPr>
          <w:b/>
          <w:bCs/>
          <w:spacing w:val="-4"/>
          <w:sz w:val="21"/>
          <w:szCs w:val="21"/>
        </w:rPr>
      </w:pPr>
      <w:r>
        <w:rPr>
          <w:rFonts w:hint="eastAsia"/>
          <w:spacing w:val="-4"/>
          <w:sz w:val="21"/>
          <w:szCs w:val="21"/>
        </w:rPr>
        <w:t>经查实，若投标供应商存在政府采购违法、违规行为，财政主管部门将依据政府采购法律法规的规定，处以一至三年内禁止参与巴州区域内的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25"/>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noWrap/>
          </w:tcPr>
          <w:p>
            <w:pPr>
              <w:pStyle w:val="23"/>
              <w:autoSpaceDE w:val="0"/>
              <w:autoSpaceDN w:val="0"/>
              <w:spacing w:before="0" w:beforeAutospacing="0" w:after="0" w:afterAutospacing="0" w:line="360" w:lineRule="auto"/>
              <w:jc w:val="both"/>
              <w:rPr>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tcPr>
          <w:p>
            <w:pPr>
              <w:pStyle w:val="23"/>
              <w:autoSpaceDE w:val="0"/>
              <w:autoSpaceDN w:val="0"/>
              <w:spacing w:before="0" w:beforeAutospacing="0" w:after="0" w:afterAutospacing="0" w:line="360" w:lineRule="auto"/>
              <w:jc w:val="both"/>
              <w:rPr>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tcPr>
          <w:p>
            <w:pPr>
              <w:pStyle w:val="23"/>
              <w:autoSpaceDE w:val="0"/>
              <w:autoSpaceDN w:val="0"/>
              <w:spacing w:before="0" w:beforeAutospacing="0" w:after="0" w:afterAutospacing="0" w:line="360" w:lineRule="auto"/>
              <w:jc w:val="both"/>
              <w:rPr>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tcPr>
          <w:p>
            <w:pPr>
              <w:pStyle w:val="23"/>
              <w:autoSpaceDE w:val="0"/>
              <w:autoSpaceDN w:val="0"/>
              <w:spacing w:before="0" w:beforeAutospacing="0" w:after="0" w:afterAutospacing="0" w:line="360" w:lineRule="auto"/>
              <w:jc w:val="both"/>
              <w:rPr>
                <w:spacing w:val="-4"/>
                <w:sz w:val="21"/>
                <w:szCs w:val="21"/>
              </w:rPr>
            </w:pPr>
          </w:p>
        </w:tc>
      </w:tr>
    </w:tbl>
    <w:p>
      <w:pPr>
        <w:pStyle w:val="23"/>
        <w:autoSpaceDE w:val="0"/>
        <w:autoSpaceDN w:val="0"/>
        <w:spacing w:before="0" w:beforeAutospacing="0" w:after="0" w:afterAutospacing="0" w:line="360" w:lineRule="auto"/>
        <w:jc w:val="both"/>
        <w:rPr>
          <w:b/>
          <w:bCs/>
          <w:color w:val="FF0000"/>
          <w:spacing w:val="-4"/>
          <w:sz w:val="21"/>
          <w:szCs w:val="21"/>
        </w:rPr>
      </w:pPr>
      <w:r>
        <w:rPr>
          <w:rFonts w:hint="eastAsia"/>
          <w:b/>
          <w:bCs/>
          <w:color w:val="FF0000"/>
          <w:spacing w:val="-4"/>
          <w:sz w:val="21"/>
          <w:szCs w:val="21"/>
        </w:rPr>
        <w:t>注：1.政府采购违法行为风险知悉确认书为必填项，但不作为资格性审查及符合性审查条件。</w:t>
      </w:r>
    </w:p>
    <w:p>
      <w:pPr>
        <w:pStyle w:val="23"/>
        <w:autoSpaceDE w:val="0"/>
        <w:autoSpaceDN w:val="0"/>
        <w:spacing w:before="0" w:beforeAutospacing="0" w:after="0" w:afterAutospacing="0" w:line="360" w:lineRule="auto"/>
        <w:ind w:firstLine="406" w:firstLineChars="200"/>
        <w:jc w:val="both"/>
        <w:rPr>
          <w:color w:val="FF0000"/>
          <w:spacing w:val="-4"/>
          <w:sz w:val="21"/>
          <w:szCs w:val="21"/>
        </w:rPr>
      </w:pPr>
      <w:r>
        <w:rPr>
          <w:rFonts w:hint="eastAsia"/>
          <w:b/>
          <w:bCs/>
          <w:color w:val="FF0000"/>
          <w:spacing w:val="-4"/>
          <w:sz w:val="21"/>
          <w:szCs w:val="21"/>
        </w:rPr>
        <w:t>2.投标供应商负责人或投标授权代表签字并加盖单位公章后，扫描上传至投标文件一并提交。</w:t>
      </w:r>
    </w:p>
    <w:p>
      <w:pPr>
        <w:pStyle w:val="23"/>
        <w:wordWrap w:val="0"/>
        <w:autoSpaceDE w:val="0"/>
        <w:autoSpaceDN w:val="0"/>
        <w:spacing w:before="0" w:beforeAutospacing="0" w:after="0" w:afterAutospacing="0" w:line="360" w:lineRule="auto"/>
        <w:ind w:firstLine="404" w:firstLineChars="200"/>
        <w:jc w:val="center"/>
        <w:rPr>
          <w:spacing w:val="-4"/>
          <w:sz w:val="21"/>
          <w:szCs w:val="21"/>
        </w:rPr>
      </w:pPr>
    </w:p>
    <w:p>
      <w:pPr>
        <w:pStyle w:val="23"/>
        <w:wordWrap w:val="0"/>
        <w:autoSpaceDE w:val="0"/>
        <w:autoSpaceDN w:val="0"/>
        <w:spacing w:before="0" w:beforeAutospacing="0" w:after="0" w:afterAutospacing="0" w:line="360" w:lineRule="auto"/>
        <w:ind w:firstLine="404" w:firstLineChars="200"/>
        <w:jc w:val="center"/>
        <w:rPr>
          <w:spacing w:val="-4"/>
          <w:sz w:val="21"/>
          <w:szCs w:val="21"/>
        </w:rPr>
      </w:pPr>
      <w:r>
        <w:rPr>
          <w:rFonts w:hint="eastAsia"/>
          <w:spacing w:val="-4"/>
          <w:sz w:val="21"/>
          <w:szCs w:val="21"/>
        </w:rPr>
        <w:t xml:space="preserve">                                      负责人/投标授权代表签名：     </w:t>
      </w:r>
    </w:p>
    <w:p>
      <w:pPr>
        <w:pStyle w:val="23"/>
        <w:wordWrap w:val="0"/>
        <w:autoSpaceDE w:val="0"/>
        <w:autoSpaceDN w:val="0"/>
        <w:spacing w:before="0" w:beforeAutospacing="0" w:after="0" w:afterAutospacing="0" w:line="360" w:lineRule="auto"/>
        <w:ind w:firstLine="404" w:firstLineChars="200"/>
        <w:jc w:val="center"/>
        <w:rPr>
          <w:spacing w:val="-4"/>
          <w:sz w:val="21"/>
          <w:szCs w:val="21"/>
        </w:rPr>
      </w:pPr>
      <w:r>
        <w:rPr>
          <w:rFonts w:hint="eastAsia"/>
          <w:spacing w:val="-4"/>
          <w:sz w:val="21"/>
          <w:szCs w:val="21"/>
        </w:rPr>
        <w:t xml:space="preserve">                              知悉人（公章）：     </w:t>
      </w:r>
    </w:p>
    <w:p>
      <w:pPr>
        <w:pStyle w:val="23"/>
        <w:wordWrap w:val="0"/>
        <w:autoSpaceDE w:val="0"/>
        <w:autoSpaceDN w:val="0"/>
        <w:spacing w:before="0" w:beforeAutospacing="0" w:after="0" w:afterAutospacing="0" w:line="360" w:lineRule="auto"/>
        <w:ind w:firstLine="404" w:firstLineChars="200"/>
        <w:jc w:val="center"/>
        <w:rPr>
          <w:spacing w:val="-4"/>
          <w:sz w:val="21"/>
          <w:szCs w:val="21"/>
        </w:rPr>
      </w:pPr>
      <w:r>
        <w:rPr>
          <w:rFonts w:hint="eastAsia"/>
          <w:spacing w:val="-4"/>
          <w:sz w:val="21"/>
          <w:szCs w:val="21"/>
        </w:rPr>
        <w:t xml:space="preserve">                    日期：     </w:t>
      </w:r>
    </w:p>
    <w:p>
      <w:pPr>
        <w:pStyle w:val="23"/>
        <w:wordWrap w:val="0"/>
        <w:autoSpaceDE w:val="0"/>
        <w:autoSpaceDN w:val="0"/>
        <w:spacing w:before="0" w:beforeAutospacing="0" w:after="0" w:afterAutospacing="0" w:line="360" w:lineRule="auto"/>
        <w:ind w:firstLine="404" w:firstLineChars="200"/>
        <w:jc w:val="center"/>
        <w:rPr>
          <w:spacing w:val="-4"/>
          <w:sz w:val="21"/>
          <w:szCs w:val="21"/>
        </w:rPr>
      </w:pPr>
    </w:p>
    <w:p>
      <w:pPr>
        <w:pStyle w:val="23"/>
        <w:wordWrap w:val="0"/>
        <w:autoSpaceDE w:val="0"/>
        <w:autoSpaceDN w:val="0"/>
        <w:spacing w:before="0" w:beforeAutospacing="0" w:after="0" w:afterAutospacing="0" w:line="360" w:lineRule="auto"/>
        <w:ind w:firstLine="404" w:firstLineChars="200"/>
        <w:jc w:val="center"/>
        <w:rPr>
          <w:spacing w:val="-4"/>
          <w:sz w:val="21"/>
          <w:szCs w:val="21"/>
        </w:rPr>
      </w:pPr>
    </w:p>
    <w:p>
      <w:pPr>
        <w:outlineLvl w:val="1"/>
        <w:rPr>
          <w:rFonts w:ascii="宋体" w:hAnsi="宋体"/>
          <w:b/>
          <w:color w:val="FF0000"/>
          <w:sz w:val="28"/>
          <w:szCs w:val="28"/>
        </w:rPr>
      </w:pPr>
    </w:p>
    <w:p>
      <w:pPr>
        <w:outlineLvl w:val="1"/>
        <w:rPr>
          <w:rFonts w:ascii="宋体" w:hAnsi="宋体"/>
          <w:b/>
          <w:color w:val="FF0000"/>
          <w:sz w:val="28"/>
          <w:szCs w:val="28"/>
        </w:rPr>
      </w:pPr>
    </w:p>
    <w:p>
      <w:pPr>
        <w:outlineLvl w:val="1"/>
        <w:rPr>
          <w:rFonts w:ascii="宋体" w:hAnsi="宋体"/>
          <w:b/>
          <w:color w:val="FF0000"/>
          <w:sz w:val="28"/>
          <w:szCs w:val="28"/>
        </w:rPr>
      </w:pPr>
    </w:p>
    <w:p>
      <w:pPr>
        <w:outlineLvl w:val="1"/>
        <w:rPr>
          <w:rFonts w:ascii="黑体" w:eastAsia="黑体"/>
          <w:b/>
          <w:kern w:val="0"/>
          <w:sz w:val="24"/>
        </w:rPr>
      </w:pPr>
      <w:r>
        <w:rPr>
          <w:rFonts w:hint="eastAsia" w:ascii="宋体" w:hAnsi="宋体"/>
          <w:b/>
          <w:color w:val="FF0000"/>
          <w:sz w:val="28"/>
          <w:szCs w:val="28"/>
        </w:rPr>
        <w:t>投标文件正文</w:t>
      </w:r>
    </w:p>
    <w:p>
      <w:pPr>
        <w:pStyle w:val="4"/>
        <w:rPr>
          <w:rFonts w:ascii="黑体" w:eastAsia="黑体"/>
          <w:kern w:val="0"/>
          <w:sz w:val="24"/>
        </w:rPr>
      </w:pPr>
      <w:r>
        <w:rPr>
          <w:rFonts w:hint="eastAsia" w:ascii="黑体" w:eastAsia="黑体"/>
          <w:kern w:val="0"/>
          <w:sz w:val="24"/>
        </w:rPr>
        <w:t>一、投标函</w:t>
      </w:r>
    </w:p>
    <w:p>
      <w:pPr>
        <w:spacing w:line="360" w:lineRule="auto"/>
        <w:rPr>
          <w:rFonts w:ascii="宋体" w:hAnsi="宋体"/>
          <w:color w:val="000000"/>
        </w:rPr>
      </w:pPr>
      <w:r>
        <w:rPr>
          <w:rFonts w:hint="eastAsia" w:ascii="宋体" w:hAnsi="宋体"/>
        </w:rPr>
        <w:t>致：</w:t>
      </w:r>
      <w:r>
        <w:rPr>
          <w:rFonts w:hint="eastAsia" w:ascii="宋体" w:hAnsi="宋体"/>
          <w:color w:val="000000"/>
          <w:u w:val="single"/>
        </w:rPr>
        <w:t xml:space="preserve"> 巴州政务服务和公共资源交易中心  </w:t>
      </w:r>
    </w:p>
    <w:p>
      <w:pPr>
        <w:ind w:firstLine="420" w:firstLineChars="200"/>
        <w:rPr>
          <w:rFonts w:ascii="宋体" w:hAnsi="宋体"/>
        </w:rPr>
      </w:pPr>
      <w:bookmarkStart w:id="139" w:name="_Hlk73818812"/>
      <w:r>
        <w:rPr>
          <w:rFonts w:hint="eastAsia"/>
        </w:rPr>
        <w:t>1、根据已收到贵单位的项目编号为的项目的采购文件，遵照《政府采购法》和《政府采购法实施条例》等有关规定，我单位经研究上述采购文件的专用条款及通用条款后，</w:t>
      </w:r>
      <w:bookmarkStart w:id="140" w:name="_Hlk72263588"/>
      <w:r>
        <w:rPr>
          <w:rFonts w:hint="eastAsia"/>
        </w:rPr>
        <w:t>愿意按照采购文件要求承包上述项目并修补其任何缺陷。</w:t>
      </w:r>
      <w:bookmarkEnd w:id="140"/>
    </w:p>
    <w:p>
      <w:pPr>
        <w:ind w:firstLine="420" w:firstLineChars="200"/>
        <w:rPr>
          <w:rFonts w:ascii="宋体" w:hAnsi="宋体"/>
        </w:rPr>
      </w:pPr>
      <w:r>
        <w:rPr>
          <w:rFonts w:ascii="宋体" w:hAnsi="宋体"/>
        </w:rPr>
        <w:t>2</w:t>
      </w:r>
      <w:r>
        <w:rPr>
          <w:rFonts w:hint="eastAsia" w:ascii="宋体" w:hAnsi="宋体"/>
        </w:rPr>
        <w:t>、投标价格见</w:t>
      </w:r>
      <w:r>
        <w:rPr>
          <w:rFonts w:hint="eastAsia"/>
        </w:rPr>
        <w:t>投标书编制软件中《开标一览表》中填写的投标报价。</w:t>
      </w:r>
    </w:p>
    <w:p>
      <w:pPr>
        <w:ind w:firstLine="420" w:firstLineChars="200"/>
        <w:rPr>
          <w:rFonts w:ascii="宋体" w:hAnsi="宋体"/>
        </w:rPr>
      </w:pPr>
      <w:r>
        <w:rPr>
          <w:rFonts w:hint="eastAsia" w:ascii="宋体" w:hAnsi="宋体"/>
        </w:rPr>
        <w:t>3、如果我单位中标，我单位将按照采购文件的要求提交履约担保。</w:t>
      </w:r>
    </w:p>
    <w:p>
      <w:pPr>
        <w:ind w:firstLine="420" w:firstLineChars="200"/>
        <w:rPr>
          <w:rFonts w:ascii="宋体" w:hAnsi="宋体"/>
        </w:rPr>
      </w:pPr>
      <w:r>
        <w:rPr>
          <w:rFonts w:hint="eastAsia" w:ascii="宋体" w:hAnsi="宋体"/>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rPr>
      </w:pPr>
      <w:r>
        <w:rPr>
          <w:rFonts w:hint="eastAsia" w:ascii="宋体" w:hAnsi="宋体"/>
        </w:rPr>
        <w:t>5、除非另外达成协议并生效，贵单位的中标通知书和本投标文件将构成合同的重要内容。</w:t>
      </w:r>
    </w:p>
    <w:p>
      <w:pPr>
        <w:ind w:left="525" w:leftChars="200" w:hanging="105" w:hangingChars="50"/>
        <w:rPr>
          <w:rFonts w:ascii="宋体" w:hAnsi="宋体"/>
        </w:rPr>
      </w:pPr>
      <w:r>
        <w:rPr>
          <w:rFonts w:hint="eastAsia" w:ascii="宋体" w:hAnsi="宋体"/>
        </w:rPr>
        <w:t>6、我单位理解贵单位将不受必须接受所收到的最低报价或其它任何投标文件的约束。</w:t>
      </w:r>
      <w:bookmarkEnd w:id="139"/>
    </w:p>
    <w:p>
      <w:pPr>
        <w:ind w:firstLine="420" w:firstLineChars="200"/>
        <w:rPr>
          <w:rFonts w:ascii="宋体" w:hAnsi="宋体"/>
        </w:rPr>
      </w:pPr>
      <w:r>
        <w:rPr>
          <w:rFonts w:hint="eastAsia" w:ascii="宋体" w:hAnsi="宋体"/>
        </w:rPr>
        <w:t>7.如我单位提交样品，且未在规定时间内取回样品的，视同放弃取回，同意巴州政务服务和公共资源交易中心对我单位提交的样品进行清理。</w:t>
      </w:r>
    </w:p>
    <w:p>
      <w:pPr>
        <w:ind w:firstLine="420" w:firstLineChars="200"/>
        <w:rPr>
          <w:u w:val="single"/>
        </w:rPr>
      </w:pPr>
      <w:r>
        <w:rPr>
          <w:rFonts w:hint="eastAsia"/>
        </w:rPr>
        <w:t>投标人：    单位地址：</w:t>
      </w:r>
    </w:p>
    <w:p>
      <w:pPr>
        <w:ind w:left="540" w:leftChars="257"/>
        <w:rPr>
          <w:u w:val="single"/>
        </w:rPr>
      </w:pPr>
      <w:r>
        <w:rPr>
          <w:rFonts w:hint="eastAsia"/>
        </w:rPr>
        <w:t>法定代表人（负责人）或其委托代理人：</w:t>
      </w:r>
    </w:p>
    <w:p>
      <w:pPr>
        <w:ind w:left="540" w:leftChars="257"/>
        <w:rPr>
          <w:u w:val="single"/>
        </w:rPr>
      </w:pPr>
      <w:r>
        <w:rPr>
          <w:rFonts w:hint="eastAsia"/>
        </w:rPr>
        <w:t>邮政编码：  电话：  邮箱：</w:t>
      </w:r>
    </w:p>
    <w:p>
      <w:pPr>
        <w:ind w:left="540" w:leftChars="257"/>
      </w:pPr>
      <w:r>
        <w:rPr>
          <w:rFonts w:hint="eastAsia"/>
        </w:rPr>
        <w:t>开户银行名称：</w:t>
      </w:r>
      <w:r>
        <w:rPr>
          <w:rFonts w:hint="eastAsia"/>
          <w:u w:val="single"/>
        </w:rPr>
        <w:tab/>
      </w:r>
      <w:r>
        <w:rPr>
          <w:rFonts w:hint="eastAsia"/>
          <w:u w:val="single"/>
        </w:rPr>
        <w:tab/>
      </w:r>
      <w:r>
        <w:rPr>
          <w:rFonts w:hint="eastAsia"/>
          <w:u w:val="single"/>
        </w:rPr>
        <w:tab/>
      </w:r>
      <w:r>
        <w:rPr>
          <w:rFonts w:hint="eastAsia"/>
          <w:u w:val="single"/>
        </w:rPr>
        <w:tab/>
      </w:r>
      <w:r>
        <w:rPr>
          <w:rFonts w:hint="eastAsia"/>
        </w:rPr>
        <w:tab/>
      </w:r>
      <w:r>
        <w:rPr>
          <w:rFonts w:hint="eastAsia"/>
        </w:rPr>
        <w:t>开户银行账号：</w:t>
      </w:r>
      <w:r>
        <w:rPr>
          <w:rFonts w:hint="eastAsia"/>
          <w:u w:val="single"/>
        </w:rPr>
        <w:tab/>
      </w:r>
      <w:r>
        <w:rPr>
          <w:rFonts w:hint="eastAsia"/>
          <w:u w:val="single"/>
        </w:rPr>
        <w:tab/>
      </w:r>
      <w:r>
        <w:rPr>
          <w:rFonts w:hint="eastAsia"/>
          <w:u w:val="single"/>
        </w:rPr>
        <w:tab/>
      </w:r>
      <w:r>
        <w:rPr>
          <w:rFonts w:hint="eastAsia"/>
          <w:u w:val="single"/>
        </w:rPr>
        <w:tab/>
      </w:r>
    </w:p>
    <w:p>
      <w:pPr>
        <w:ind w:left="540" w:leftChars="257"/>
      </w:pPr>
      <w:r>
        <w:rPr>
          <w:rFonts w:hint="eastAsia"/>
        </w:rPr>
        <w:t>开户银行地址：</w:t>
      </w:r>
      <w:r>
        <w:rPr>
          <w:rFonts w:hint="eastAsia"/>
          <w:u w:val="single"/>
        </w:rPr>
        <w:tab/>
      </w:r>
      <w:r>
        <w:rPr>
          <w:rFonts w:hint="eastAsia"/>
          <w:u w:val="single"/>
        </w:rPr>
        <w:tab/>
      </w:r>
      <w:r>
        <w:rPr>
          <w:rFonts w:hint="eastAsia"/>
          <w:u w:val="single"/>
        </w:rPr>
        <w:tab/>
      </w:r>
      <w:r>
        <w:rPr>
          <w:rFonts w:hint="eastAsia"/>
          <w:u w:val="single"/>
        </w:rPr>
        <w:tab/>
      </w:r>
      <w:r>
        <w:rPr>
          <w:rFonts w:hint="eastAsia"/>
        </w:rPr>
        <w:tab/>
      </w:r>
      <w:r>
        <w:rPr>
          <w:rFonts w:hint="eastAsia"/>
        </w:rPr>
        <w:t>开户银行电话：</w:t>
      </w:r>
      <w:r>
        <w:rPr>
          <w:rFonts w:hint="eastAsia"/>
          <w:u w:val="single"/>
        </w:rPr>
        <w:tab/>
      </w:r>
      <w:r>
        <w:rPr>
          <w:rFonts w:hint="eastAsia"/>
          <w:u w:val="single"/>
        </w:rPr>
        <w:tab/>
      </w:r>
      <w:r>
        <w:rPr>
          <w:rFonts w:hint="eastAsia"/>
          <w:u w:val="single"/>
        </w:rPr>
        <w:tab/>
      </w:r>
      <w:r>
        <w:rPr>
          <w:rFonts w:hint="eastAsia"/>
          <w:u w:val="single"/>
        </w:rPr>
        <w:tab/>
      </w:r>
    </w:p>
    <w:p>
      <w:pPr>
        <w:ind w:firstLine="616" w:firstLineChars="257"/>
        <w:rPr>
          <w:sz w:val="24"/>
        </w:rPr>
      </w:pPr>
    </w:p>
    <w:p>
      <w:pPr>
        <w:rPr>
          <w:rFonts w:ascii="黑体" w:hAnsi="宋体" w:eastAsia="黑体"/>
        </w:rPr>
      </w:pPr>
    </w:p>
    <w:p>
      <w:pPr>
        <w:jc w:val="center"/>
      </w:pPr>
      <w:r>
        <w:t>投标人</w:t>
      </w:r>
      <w:r>
        <w:rPr>
          <w:rFonts w:hint="eastAsia"/>
        </w:rPr>
        <w:t>（</w:t>
      </w:r>
      <w:r>
        <w:t>签章</w:t>
      </w:r>
      <w:r>
        <w:rPr>
          <w:rFonts w:hint="eastAsia"/>
        </w:rPr>
        <w:t>）</w:t>
      </w:r>
      <w:r>
        <w:t>：_________________</w:t>
      </w:r>
    </w:p>
    <w:p>
      <w:pPr>
        <w:jc w:val="center"/>
      </w:pPr>
      <w:r>
        <w:rPr>
          <w:rFonts w:hint="eastAsia" w:ascii="宋体" w:hAnsi="宋体"/>
        </w:rPr>
        <w:t>日期：年月日</w:t>
      </w:r>
    </w:p>
    <w:p>
      <w:pPr>
        <w:pStyle w:val="2"/>
      </w:pPr>
    </w:p>
    <w:p>
      <w:pPr>
        <w:rPr>
          <w:rFonts w:ascii="黑体" w:hAnsi="宋体" w:eastAsia="黑体"/>
        </w:rPr>
      </w:pPr>
    </w:p>
    <w:p>
      <w:pPr>
        <w:pStyle w:val="4"/>
        <w:rPr>
          <w:rFonts w:ascii="黑体" w:eastAsia="黑体"/>
          <w:kern w:val="0"/>
          <w:sz w:val="24"/>
        </w:rPr>
      </w:pPr>
      <w:r>
        <w:rPr>
          <w:rFonts w:hint="eastAsia" w:ascii="黑体" w:eastAsia="黑体"/>
          <w:kern w:val="0"/>
          <w:sz w:val="24"/>
        </w:rPr>
        <w:t>二、政府采购投标及履约承诺函</w:t>
      </w:r>
    </w:p>
    <w:p>
      <w:pPr>
        <w:rPr>
          <w:rFonts w:ascii="宋体" w:hAnsi="宋体"/>
          <w:sz w:val="24"/>
        </w:rPr>
      </w:pPr>
    </w:p>
    <w:p>
      <w:pPr>
        <w:rPr>
          <w:rFonts w:ascii="宋体" w:hAnsi="宋体"/>
          <w:color w:val="000000"/>
        </w:rPr>
      </w:pPr>
      <w:r>
        <w:rPr>
          <w:rFonts w:hint="eastAsia" w:ascii="宋体" w:hAnsi="宋体"/>
          <w:color w:val="000000"/>
        </w:rPr>
        <w:t>致：</w:t>
      </w:r>
      <w:r>
        <w:rPr>
          <w:rFonts w:hint="eastAsia" w:ascii="宋体" w:hAnsi="宋体"/>
          <w:color w:val="000000"/>
          <w:u w:val="single"/>
        </w:rPr>
        <w:t xml:space="preserve"> 巴州政务服务和公共资源交易中心</w:t>
      </w:r>
    </w:p>
    <w:p>
      <w:pPr>
        <w:ind w:right="-815" w:firstLine="420" w:firstLineChars="200"/>
        <w:rPr>
          <w:rFonts w:ascii="宋体" w:hAnsi="宋体"/>
        </w:rPr>
      </w:pPr>
      <w:r>
        <w:rPr>
          <w:rFonts w:hint="eastAsia" w:ascii="宋体" w:hAnsi="宋体"/>
        </w:rPr>
        <w:t>我单位承诺：</w:t>
      </w:r>
    </w:p>
    <w:p>
      <w:pPr>
        <w:ind w:firstLine="420" w:firstLineChars="200"/>
        <w:rPr>
          <w:rFonts w:ascii="宋体" w:hAnsi="宋体"/>
        </w:rPr>
      </w:pPr>
      <w:r>
        <w:rPr>
          <w:rFonts w:hint="eastAsia" w:ascii="宋体" w:hAnsi="宋体"/>
        </w:rPr>
        <w:t>1.我单位参与本项目所投标（响应）的货物、工程或服务，不存在侵犯知识产权的情况；已知悉并同意中标（成交）结果信息公示（公开）的内容。</w:t>
      </w:r>
    </w:p>
    <w:p>
      <w:pPr>
        <w:ind w:firstLine="420" w:firstLineChars="200"/>
        <w:rPr>
          <w:rFonts w:ascii="宋体" w:hAnsi="宋体"/>
        </w:rPr>
      </w:pPr>
      <w:r>
        <w:rPr>
          <w:rFonts w:hint="eastAsia" w:ascii="宋体" w:hAnsi="宋体"/>
        </w:rPr>
        <w:t>2.我单位参与本项目投标前三年内，在经营活动中没有因违法经营受到刑事处罚或者责令停产停业、吊销许可证或者执照、较大数额罚款等行政处罚。</w:t>
      </w:r>
    </w:p>
    <w:p>
      <w:pPr>
        <w:ind w:firstLine="420" w:firstLineChars="200"/>
        <w:rPr>
          <w:rFonts w:ascii="宋体" w:hAnsi="宋体"/>
        </w:rPr>
      </w:pPr>
      <w:r>
        <w:rPr>
          <w:rFonts w:hint="eastAsia" w:ascii="宋体" w:hAnsi="宋体"/>
        </w:rPr>
        <w:t>3.我单位参与本项目</w:t>
      </w:r>
      <w:r>
        <w:rPr>
          <w:rFonts w:hint="eastAsia"/>
        </w:rPr>
        <w:t>政府采购活动时不存在被有关部门禁止参与政府采购活动且在有效期内的情况。</w:t>
      </w:r>
    </w:p>
    <w:p>
      <w:pPr>
        <w:ind w:firstLine="420" w:firstLineChars="200"/>
        <w:rPr>
          <w:rFonts w:ascii="宋体" w:hAnsi="宋体"/>
        </w:rPr>
      </w:pPr>
      <w:r>
        <w:rPr>
          <w:rFonts w:hint="eastAsia" w:ascii="宋体" w:hAnsi="宋体"/>
        </w:rPr>
        <w:t>4.我单位具备《中华人民共和国政府采购法》第二十二条第一款规定的六项条件。</w:t>
      </w:r>
    </w:p>
    <w:p>
      <w:pPr>
        <w:ind w:firstLine="420" w:firstLineChars="200"/>
        <w:rPr>
          <w:rFonts w:ascii="宋体" w:hAnsi="宋体"/>
        </w:rPr>
      </w:pPr>
      <w:r>
        <w:rPr>
          <w:rFonts w:hint="eastAsia" w:ascii="宋体" w:hAnsi="宋体"/>
        </w:rPr>
        <w:t>5.我单位</w:t>
      </w:r>
      <w:r>
        <w:rPr>
          <w:rFonts w:hint="eastAsia"/>
        </w:rPr>
        <w:t>未被列入失信被执行人、重大税收违法案件当事人名单、政府采购严重违法失信行为记录名单</w:t>
      </w:r>
    </w:p>
    <w:p>
      <w:pPr>
        <w:ind w:firstLine="420" w:firstLineChars="200"/>
        <w:rPr>
          <w:rFonts w:ascii="宋体" w:hAnsi="宋体"/>
        </w:rPr>
      </w:pPr>
      <w:r>
        <w:rPr>
          <w:rFonts w:hint="eastAsia" w:ascii="宋体" w:hAnsi="宋体"/>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rPr>
      </w:pPr>
      <w:r>
        <w:rPr>
          <w:rFonts w:hint="eastAsia" w:ascii="宋体" w:hAnsi="宋体"/>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ascii="宋体" w:hAnsi="宋体"/>
        </w:rPr>
      </w:pPr>
      <w:r>
        <w:rPr>
          <w:rFonts w:hint="eastAsia" w:ascii="宋体" w:hAnsi="宋体"/>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rPr>
      </w:pPr>
      <w:r>
        <w:rPr>
          <w:rFonts w:ascii="宋体" w:hAnsi="宋体"/>
        </w:rPr>
        <w:t>8</w:t>
      </w:r>
      <w:r>
        <w:rPr>
          <w:rFonts w:hint="eastAsia" w:ascii="宋体" w:hAnsi="宋体"/>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rPr>
      </w:pPr>
      <w:r>
        <w:rPr>
          <w:rFonts w:ascii="宋体" w:hAnsi="宋体"/>
        </w:rPr>
        <w:t>9</w:t>
      </w:r>
      <w:r>
        <w:rPr>
          <w:rFonts w:hint="eastAsia" w:ascii="宋体" w:hAnsi="宋体"/>
        </w:rPr>
        <w:t>.我单位承诺中标后项目不转包，未经采购人同意不进行分包。</w:t>
      </w:r>
    </w:p>
    <w:p>
      <w:pPr>
        <w:ind w:firstLine="420" w:firstLineChars="200"/>
        <w:rPr>
          <w:rFonts w:ascii="宋体" w:hAnsi="宋体"/>
        </w:rPr>
      </w:pPr>
      <w:r>
        <w:rPr>
          <w:rFonts w:hint="eastAsia" w:ascii="宋体" w:hAnsi="宋体"/>
        </w:rPr>
        <w:t>1</w:t>
      </w:r>
      <w:r>
        <w:rPr>
          <w:rFonts w:ascii="宋体" w:hAnsi="宋体"/>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20" w:firstLineChars="200"/>
        <w:rPr>
          <w:rFonts w:ascii="宋体" w:hAnsi="宋体"/>
        </w:rPr>
      </w:pPr>
      <w:r>
        <w:rPr>
          <w:rFonts w:hint="eastAsia" w:ascii="宋体" w:hAnsi="宋体"/>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rPr>
      </w:pPr>
    </w:p>
    <w:p>
      <w:pPr>
        <w:ind w:firstLine="420" w:firstLineChars="200"/>
        <w:rPr>
          <w:rFonts w:ascii="宋体" w:hAnsi="宋体"/>
        </w:rPr>
      </w:pPr>
      <w:r>
        <w:rPr>
          <w:rFonts w:hint="eastAsia" w:ascii="宋体" w:hAnsi="宋体"/>
        </w:rPr>
        <w:t>以上承诺，如有违反，愿依照国家相关法律法规处理，并承担由此给采购人带来的损失。</w:t>
      </w:r>
    </w:p>
    <w:p>
      <w:pPr>
        <w:spacing w:beforeLines="25" w:afterLines="25"/>
        <w:ind w:firstLine="5460" w:firstLineChars="2600"/>
        <w:rPr>
          <w:rFonts w:ascii="宋体" w:hAnsi="宋体"/>
        </w:rPr>
      </w:pPr>
    </w:p>
    <w:p>
      <w:pPr>
        <w:jc w:val="center"/>
      </w:pPr>
      <w:r>
        <w:t>投标人</w:t>
      </w:r>
      <w:r>
        <w:rPr>
          <w:rFonts w:hint="eastAsia"/>
        </w:rPr>
        <w:t>（</w:t>
      </w:r>
      <w:r>
        <w:t>签章</w:t>
      </w:r>
      <w:r>
        <w:rPr>
          <w:rFonts w:hint="eastAsia"/>
        </w:rPr>
        <w:t>）</w:t>
      </w:r>
      <w:r>
        <w:t>：_________________</w:t>
      </w:r>
    </w:p>
    <w:p>
      <w:pPr>
        <w:jc w:val="center"/>
      </w:pPr>
      <w:r>
        <w:rPr>
          <w:rFonts w:hint="eastAsia" w:ascii="宋体" w:hAnsi="宋体"/>
        </w:rPr>
        <w:t>日期：年月日</w:t>
      </w:r>
    </w:p>
    <w:p>
      <w:pPr>
        <w:ind w:firstLine="645"/>
        <w:rPr>
          <w:rFonts w:ascii="宋体" w:hAnsi="宋体"/>
          <w:color w:val="000000"/>
        </w:rPr>
      </w:pPr>
    </w:p>
    <w:p>
      <w:pP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82" w:firstLineChars="200"/>
        <w:jc w:val="center"/>
        <w:rPr>
          <w:rFonts w:ascii="黑体" w:eastAsia="黑体"/>
          <w:b/>
          <w:kern w:val="0"/>
          <w:sz w:val="24"/>
          <w:szCs w:val="32"/>
        </w:rPr>
      </w:pPr>
      <w:r>
        <w:rPr>
          <w:rFonts w:hint="eastAsia" w:ascii="黑体" w:eastAsia="黑体"/>
          <w:b/>
          <w:kern w:val="0"/>
          <w:sz w:val="24"/>
          <w:szCs w:val="32"/>
        </w:rPr>
        <w:t>三、投标单位反商业贿赂承诺书</w:t>
      </w:r>
    </w:p>
    <w:p>
      <w:pPr>
        <w:ind w:firstLine="420" w:firstLineChars="200"/>
        <w:rPr>
          <w:rFonts w:ascii="宋体" w:hAnsi="宋体"/>
        </w:rPr>
      </w:pPr>
      <w:r>
        <w:rPr>
          <w:rFonts w:hint="eastAsia" w:ascii="宋体" w:hAnsi="宋体"/>
        </w:rPr>
        <w:t> </w:t>
      </w:r>
    </w:p>
    <w:p>
      <w:pPr>
        <w:ind w:firstLine="420" w:firstLineChars="200"/>
        <w:rPr>
          <w:rFonts w:ascii="宋体" w:hAnsi="宋体"/>
        </w:rPr>
      </w:pPr>
      <w:r>
        <w:rPr>
          <w:rFonts w:hint="eastAsia" w:ascii="宋体" w:hAnsi="宋体"/>
        </w:rPr>
        <w:t> 我公司承诺在</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招投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ind w:firstLine="420" w:firstLineChars="200"/>
        <w:rPr>
          <w:rFonts w:ascii="宋体" w:hAnsi="宋体"/>
        </w:rPr>
      </w:pPr>
    </w:p>
    <w:p>
      <w:pPr>
        <w:ind w:firstLine="420" w:firstLineChars="200"/>
        <w:jc w:val="right"/>
        <w:rPr>
          <w:rFonts w:ascii="宋体" w:hAnsi="宋体"/>
        </w:rPr>
      </w:pPr>
      <w:r>
        <w:rPr>
          <w:rFonts w:hint="eastAsia" w:ascii="宋体" w:hAnsi="宋体"/>
        </w:rPr>
        <w:t>投标供应商名称：  （盖章）</w:t>
      </w:r>
    </w:p>
    <w:p>
      <w:pPr>
        <w:ind w:firstLine="420" w:firstLineChars="200"/>
        <w:jc w:val="right"/>
        <w:rPr>
          <w:rFonts w:ascii="宋体" w:hAnsi="宋体"/>
        </w:rPr>
      </w:pPr>
      <w:r>
        <w:rPr>
          <w:rFonts w:hint="eastAsia" w:ascii="宋体" w:hAnsi="宋体"/>
        </w:rPr>
        <w:t>公司法定代表人：  （签字）</w:t>
      </w:r>
    </w:p>
    <w:p>
      <w:pPr>
        <w:ind w:firstLine="420" w:firstLineChars="200"/>
        <w:jc w:val="right"/>
        <w:rPr>
          <w:rFonts w:ascii="宋体" w:hAnsi="宋体"/>
        </w:rPr>
      </w:pPr>
      <w:r>
        <w:rPr>
          <w:rFonts w:hint="eastAsia" w:ascii="宋体" w:hAnsi="宋体"/>
        </w:rPr>
        <w:t>委托代理人：      （签字）</w:t>
      </w:r>
    </w:p>
    <w:p>
      <w:pPr>
        <w:pStyle w:val="31"/>
        <w:ind w:firstLine="0" w:firstLineChars="0"/>
      </w:pPr>
    </w:p>
    <w:p>
      <w:pPr>
        <w:ind w:firstLine="482" w:firstLineChars="200"/>
        <w:jc w:val="center"/>
        <w:rPr>
          <w:rFonts w:ascii="黑体" w:eastAsia="黑体"/>
          <w:b/>
          <w:kern w:val="0"/>
          <w:sz w:val="24"/>
          <w:szCs w:val="32"/>
        </w:rPr>
      </w:pPr>
      <w:r>
        <w:rPr>
          <w:rFonts w:hint="eastAsia" w:ascii="黑体" w:eastAsia="黑体"/>
          <w:b/>
          <w:kern w:val="0"/>
          <w:sz w:val="24"/>
          <w:szCs w:val="32"/>
        </w:rPr>
        <w:t>四、具备履行合同所必需的设备和专业技术能力的书面声明</w:t>
      </w:r>
    </w:p>
    <w:p>
      <w:pPr>
        <w:ind w:firstLine="420" w:firstLineChars="200"/>
        <w:rPr>
          <w:rFonts w:ascii="宋体" w:hAnsi="宋体"/>
        </w:rPr>
      </w:pPr>
    </w:p>
    <w:p>
      <w:pPr>
        <w:ind w:firstLine="420" w:firstLineChars="200"/>
        <w:rPr>
          <w:rFonts w:ascii="宋体" w:hAnsi="宋体"/>
        </w:rPr>
      </w:pPr>
      <w:r>
        <w:rPr>
          <w:rFonts w:hint="eastAsia" w:ascii="宋体" w:hAnsi="宋体"/>
        </w:rPr>
        <w:t>我单位郑重声明：我单位具备履行本项采购合同所必需的设备和专业技术能力，为履行本项采购合同我公司具备如下主要设备和主要专业技术能力：</w:t>
      </w:r>
    </w:p>
    <w:p>
      <w:pPr>
        <w:ind w:firstLine="420" w:firstLineChars="200"/>
        <w:rPr>
          <w:rFonts w:ascii="宋体" w:hAnsi="宋体"/>
        </w:rPr>
      </w:pPr>
      <w:r>
        <w:rPr>
          <w:rFonts w:hint="eastAsia" w:ascii="宋体" w:hAnsi="宋体"/>
        </w:rPr>
        <w:t>主要设备有：</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420" w:firstLineChars="200"/>
        <w:rPr>
          <w:rFonts w:ascii="宋体" w:hAnsi="宋体"/>
        </w:rPr>
      </w:pPr>
      <w:r>
        <w:rPr>
          <w:rFonts w:hint="eastAsia" w:ascii="宋体" w:hAnsi="宋体"/>
        </w:rPr>
        <w:t>主要专业技术能力有：</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jc w:val="center"/>
      </w:pPr>
      <w:r>
        <w:t>投标人</w:t>
      </w:r>
      <w:r>
        <w:rPr>
          <w:rFonts w:hint="eastAsia"/>
        </w:rPr>
        <w:t>（</w:t>
      </w:r>
      <w:r>
        <w:t>签章</w:t>
      </w:r>
      <w:r>
        <w:rPr>
          <w:rFonts w:hint="eastAsia"/>
        </w:rPr>
        <w:t>）：</w:t>
      </w:r>
      <w:r>
        <w:rPr>
          <w:rFonts w:hint="eastAsia"/>
        </w:rPr>
        <w:tab/>
      </w:r>
    </w:p>
    <w:p>
      <w:pPr>
        <w:jc w:val="center"/>
      </w:pPr>
      <w:r>
        <w:rPr>
          <w:rFonts w:hint="eastAsia" w:ascii="宋体" w:hAnsi="宋体"/>
        </w:rPr>
        <w:t>日期：年月日</w:t>
      </w:r>
    </w:p>
    <w:p>
      <w:pPr>
        <w:pStyle w:val="4"/>
        <w:spacing w:before="120" w:after="120"/>
        <w:rPr>
          <w:rFonts w:ascii="黑体" w:eastAsia="黑体"/>
          <w:bCs w:val="0"/>
          <w:kern w:val="0"/>
          <w:sz w:val="24"/>
        </w:rPr>
      </w:pPr>
    </w:p>
    <w:p>
      <w:pPr>
        <w:pStyle w:val="4"/>
        <w:spacing w:before="120" w:after="120"/>
        <w:rPr>
          <w:rFonts w:ascii="黑体" w:eastAsia="黑体"/>
          <w:bCs w:val="0"/>
          <w:kern w:val="0"/>
          <w:sz w:val="24"/>
        </w:rPr>
      </w:pPr>
    </w:p>
    <w:p>
      <w:pPr>
        <w:pStyle w:val="4"/>
        <w:spacing w:before="120" w:after="120"/>
        <w:rPr>
          <w:rFonts w:ascii="黑体" w:eastAsia="黑体"/>
          <w:kern w:val="0"/>
          <w:sz w:val="24"/>
        </w:rPr>
      </w:pPr>
      <w:r>
        <w:rPr>
          <w:rFonts w:hint="eastAsia" w:ascii="黑体" w:eastAsia="黑体"/>
          <w:kern w:val="0"/>
          <w:sz w:val="24"/>
        </w:rPr>
        <w:t>五、投标人情况及资格证明文件</w:t>
      </w:r>
    </w:p>
    <w:p>
      <w:pPr>
        <w:tabs>
          <w:tab w:val="left" w:pos="900"/>
        </w:tabs>
        <w:spacing w:line="360" w:lineRule="auto"/>
        <w:ind w:firstLine="420" w:firstLineChars="200"/>
        <w:rPr>
          <w:rFonts w:ascii="宋体" w:hAnsi="宋体" w:cs="宋体"/>
        </w:rPr>
      </w:pPr>
    </w:p>
    <w:p>
      <w:pPr>
        <w:spacing w:beforeLines="50"/>
        <w:ind w:firstLine="420" w:firstLineChars="200"/>
        <w:rPr>
          <w:color w:val="FF0000"/>
        </w:rPr>
      </w:pPr>
      <w:r>
        <w:rPr>
          <w:rFonts w:hint="eastAsia"/>
          <w:color w:val="FF0000"/>
        </w:rPr>
        <w:t>特别提示：投标人须按本采购文件第一册第一章采购公告 “申请人的资格要求”（即投标人资格要求）提供相关的资格证明资料，未提供或提供不完整、不符合要求的，将作投标无效处理。</w:t>
      </w:r>
    </w:p>
    <w:p>
      <w:pPr>
        <w:tabs>
          <w:tab w:val="left" w:pos="900"/>
        </w:tabs>
        <w:spacing w:line="360" w:lineRule="auto"/>
        <w:ind w:firstLine="420" w:firstLineChars="200"/>
        <w:rPr>
          <w:rFonts w:ascii="宋体" w:hAnsi="宋体" w:cs="宋体"/>
        </w:rPr>
      </w:pPr>
      <w:r>
        <w:rPr>
          <w:rFonts w:hint="eastAsia" w:ascii="宋体" w:hAnsi="宋体" w:cs="宋体"/>
        </w:rPr>
        <w:t>如：</w:t>
      </w:r>
    </w:p>
    <w:p>
      <w:pPr>
        <w:tabs>
          <w:tab w:val="left" w:pos="900"/>
        </w:tabs>
        <w:spacing w:line="360" w:lineRule="auto"/>
        <w:ind w:firstLine="420" w:firstLineChars="200"/>
        <w:rPr>
          <w:rFonts w:ascii="宋体" w:hAnsi="宋体" w:cs="宋体"/>
        </w:rPr>
      </w:pPr>
      <w:r>
        <w:rPr>
          <w:rFonts w:hint="eastAsia" w:ascii="宋体" w:hAnsi="宋体" w:cs="宋体"/>
        </w:rPr>
        <w:t>1.</w:t>
      </w:r>
      <w:r>
        <w:t>具有独立承担民事责任的能力：</w:t>
      </w:r>
      <w:r>
        <w:rPr>
          <w:rFonts w:hint="eastAsia" w:ascii="宋体" w:hAnsi="宋体" w:cs="宋体"/>
        </w:rPr>
        <w:t>在中华人民共和国境内注册的法人或其他组织或自然人， 投标（响应）时提交有效的营业执照（或事业法人登记证或身份证等相关证明）复印件。分支机构投标的，须提供总公司和分公司营业执照副本复印件，总公司出具给分支机构的授权书。</w:t>
      </w:r>
    </w:p>
    <w:p>
      <w:pPr>
        <w:tabs>
          <w:tab w:val="left" w:pos="900"/>
        </w:tabs>
        <w:spacing w:line="360" w:lineRule="auto"/>
        <w:ind w:firstLine="420" w:firstLineChars="200"/>
        <w:rPr>
          <w:rFonts w:ascii="宋体" w:hAnsi="宋体" w:cs="宋体"/>
        </w:rPr>
      </w:pPr>
      <w:r>
        <w:rPr>
          <w:rFonts w:hint="eastAsia" w:ascii="宋体" w:hAnsi="宋体" w:cs="宋体"/>
        </w:rPr>
        <w:t>2.</w:t>
      </w:r>
      <w:r>
        <w:rPr>
          <w:rFonts w:hint="eastAsia"/>
        </w:rPr>
        <w:t>具有良好的商业信誉和健全的财务会计制度，提供</w:t>
      </w:r>
      <w:r>
        <w:rPr>
          <w:rFonts w:hint="eastAsia" w:ascii="宋体" w:hAnsi="宋体" w:cs="宋体"/>
        </w:rPr>
        <w:t>最近一个年度的财务状况报告（资产负债表、利润表）或财务审计报告，成立不满一年不需提供；</w:t>
      </w:r>
    </w:p>
    <w:p>
      <w:pPr>
        <w:tabs>
          <w:tab w:val="left" w:pos="900"/>
        </w:tabs>
        <w:spacing w:line="360" w:lineRule="auto"/>
        <w:ind w:firstLine="420" w:firstLineChars="200"/>
        <w:rPr>
          <w:rFonts w:ascii="宋体" w:hAnsi="宋体" w:cs="宋体"/>
        </w:rPr>
      </w:pPr>
      <w:r>
        <w:rPr>
          <w:rFonts w:hint="eastAsia" w:ascii="宋体" w:hAnsi="宋体" w:cs="宋体"/>
        </w:rPr>
        <w:t>3.</w:t>
      </w:r>
      <w:r>
        <w:rPr>
          <w:rFonts w:hint="eastAsia" w:ascii="宋体" w:hAnsi="宋体" w:cs="宋体"/>
          <w:iCs/>
        </w:rPr>
        <w:t>依法缴纳税收和社会保障资金的相关材料（提供提交投标文件截止时间前6个月内至少三个月依法缴纳税收及缴纳社会保障资金的证明材料。投标人依法享受缓缴、免缴税收、社会保障资金的提供证明材料</w:t>
      </w:r>
      <w:r>
        <w:rPr>
          <w:rFonts w:hint="eastAsia" w:ascii="宋体" w:hAnsi="宋体" w:cs="宋体"/>
        </w:rPr>
        <w:t>；</w:t>
      </w:r>
    </w:p>
    <w:p>
      <w:pPr>
        <w:tabs>
          <w:tab w:val="left" w:pos="900"/>
        </w:tabs>
        <w:spacing w:line="360" w:lineRule="auto"/>
        <w:ind w:firstLine="420" w:firstLineChars="200"/>
      </w:pPr>
      <w:r>
        <w:rPr>
          <w:rFonts w:hint="eastAsia"/>
        </w:rPr>
        <w:t>4.特定资质证明材料；</w:t>
      </w:r>
    </w:p>
    <w:p>
      <w:pPr>
        <w:tabs>
          <w:tab w:val="left" w:pos="900"/>
        </w:tabs>
        <w:spacing w:line="360" w:lineRule="auto"/>
        <w:ind w:firstLine="420" w:firstLineChars="200"/>
      </w:pPr>
      <w:r>
        <w:rPr>
          <w:rFonts w:hint="eastAsia"/>
        </w:rPr>
        <w:t>5.....</w:t>
      </w:r>
    </w:p>
    <w:p>
      <w:pPr>
        <w:tabs>
          <w:tab w:val="left" w:pos="900"/>
        </w:tabs>
        <w:spacing w:line="360" w:lineRule="auto"/>
        <w:ind w:firstLine="420" w:firstLineChars="200"/>
      </w:pPr>
      <w:r>
        <w:rPr>
          <w:rFonts w:hint="eastAsia"/>
        </w:rPr>
        <w:t>6......</w:t>
      </w:r>
    </w:p>
    <w:p>
      <w:pPr>
        <w:tabs>
          <w:tab w:val="left" w:pos="900"/>
        </w:tabs>
        <w:spacing w:line="360" w:lineRule="auto"/>
        <w:ind w:firstLine="420" w:firstLineChars="200"/>
      </w:pPr>
    </w:p>
    <w:p>
      <w:pPr>
        <w:pStyle w:val="2"/>
        <w:rPr>
          <w:rFonts w:ascii="黑体" w:hAnsi="宋体" w:eastAsia="黑体"/>
          <w:bCs/>
          <w:sz w:val="24"/>
          <w:szCs w:val="32"/>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填写指引：</w:t>
      </w:r>
    </w:p>
    <w:p>
      <w:pPr>
        <w:ind w:firstLine="420" w:firstLineChars="200"/>
        <w:outlineLvl w:val="3"/>
        <w:rPr>
          <w:rFonts w:ascii="黑体" w:hAnsi="黑体" w:eastAsia="黑体"/>
          <w:color w:val="FF0000"/>
        </w:rPr>
      </w:pPr>
      <w:r>
        <w:rPr>
          <w:rFonts w:hint="eastAsia" w:ascii="黑体" w:hAnsi="宋体" w:eastAsia="黑体"/>
          <w:bCs/>
          <w:color w:val="FF0000"/>
          <w:kern w:val="0"/>
        </w:rPr>
        <w:t>1、该部分内容由投标人根据自身实际情况填写，不符合要求的投标人可以不填写或直接删除相应的声明函。</w:t>
      </w:r>
      <w:r>
        <w:rPr>
          <w:rFonts w:hint="eastAsia" w:ascii="黑体" w:hAnsi="黑体" w:eastAsia="黑体"/>
          <w:color w:val="FF0000"/>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rPr>
      </w:pPr>
      <w:r>
        <w:rPr>
          <w:rFonts w:hint="eastAsia" w:ascii="黑体" w:hAnsi="黑体" w:eastAsia="黑体"/>
          <w:color w:val="FF0000"/>
        </w:rPr>
        <w:t>2、该部分内容填写需要参考的相关文件：(</w:t>
      </w:r>
      <w:r>
        <w:rPr>
          <w:rFonts w:ascii="黑体" w:hAnsi="黑体" w:eastAsia="黑体"/>
          <w:color w:val="FF0000"/>
        </w:rPr>
        <w:t>1</w:t>
      </w:r>
      <w:r>
        <w:rPr>
          <w:rFonts w:hint="eastAsia" w:ascii="黑体" w:hAnsi="黑体" w:eastAsia="黑体"/>
          <w:color w:val="FF0000"/>
        </w:rPr>
        <w:t>)财政部《政府采购促进中小企业发展管理办法》（财库〔2020〕46号）；(</w:t>
      </w:r>
      <w:r>
        <w:rPr>
          <w:rFonts w:ascii="黑体" w:hAnsi="黑体" w:eastAsia="黑体"/>
          <w:color w:val="FF0000"/>
        </w:rPr>
        <w:t>2</w:t>
      </w:r>
      <w:r>
        <w:rPr>
          <w:rFonts w:hint="eastAsia" w:ascii="黑体" w:hAnsi="黑体" w:eastAsia="黑体"/>
          <w:color w:val="FF0000"/>
        </w:rPr>
        <w:t>)</w:t>
      </w:r>
      <w:bookmarkStart w:id="141" w:name="_Hlk71925120"/>
      <w:r>
        <w:rPr>
          <w:rFonts w:hint="eastAsia" w:ascii="黑体" w:hAnsi="黑体" w:eastAsia="黑体"/>
          <w:color w:val="FF0000"/>
        </w:rPr>
        <w:t>《工业和信息化部、国家统计局、国家发展和改革委员会、财政部关于印发中小企业划型标准规定的通知》（工信部联企业〔2011〕300 号</w:t>
      </w:r>
      <w:bookmarkEnd w:id="141"/>
      <w:r>
        <w:rPr>
          <w:rFonts w:hint="eastAsia" w:ascii="黑体" w:hAnsi="黑体" w:eastAsia="黑体"/>
          <w:color w:val="FF0000"/>
        </w:rPr>
        <w:t>，以下简称3</w:t>
      </w:r>
      <w:r>
        <w:rPr>
          <w:rFonts w:ascii="黑体" w:hAnsi="黑体" w:eastAsia="黑体"/>
          <w:color w:val="FF0000"/>
        </w:rPr>
        <w:t>00</w:t>
      </w:r>
      <w:r>
        <w:rPr>
          <w:rFonts w:hint="eastAsia" w:ascii="黑体" w:hAnsi="黑体" w:eastAsia="黑体"/>
          <w:color w:val="FF0000"/>
        </w:rPr>
        <w:t>号文）。</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3、请依照提供的格式和内容填写声明函，不要随意变更格式；声明函需要加盖公章；</w:t>
      </w:r>
      <w:r>
        <w:rPr>
          <w:rFonts w:hint="eastAsia" w:ascii="黑体" w:hAnsi="黑体" w:eastAsia="黑体"/>
          <w:color w:val="FF0000"/>
        </w:rPr>
        <w:t>满足多项优惠政策的投标人，不重复享受多项价格扣除政策。</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4、声明函具体填写要求：</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（1）声明是中小企业须填写《中小企业声明函》的以下内容：</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第一处，在“单位名称”下划线处如实填写采购人名称（巴州政务服务和公共资源交易中心不是本项目的采购人，而是组织实施机构）；</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第二处，在“项目名称”下划线处如实填写采购项目名称；</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第三处，在“标的名称”下划线处填写所采购服务（标的）的具体名称（以</w:t>
      </w:r>
      <w:bookmarkStart w:id="142" w:name="_Hlk72259001"/>
      <w:r>
        <w:rPr>
          <w:rFonts w:hint="eastAsia" w:ascii="黑体" w:hAnsi="宋体" w:eastAsia="黑体"/>
          <w:bCs/>
          <w:color w:val="FF0000"/>
          <w:kern w:val="0"/>
        </w:rPr>
        <w:t>采购文件第一册第三章</w:t>
      </w:r>
      <w:bookmarkEnd w:id="142"/>
      <w:r>
        <w:rPr>
          <w:rFonts w:hint="eastAsia" w:ascii="黑体" w:hAnsi="宋体" w:eastAsia="黑体"/>
          <w:bCs/>
          <w:color w:val="FF0000"/>
          <w:kern w:val="0"/>
        </w:rPr>
        <w:t>用户需求书“货物/服务需求明细”的“服务需求名称”一栏为准）；如果涉及多个服务需求（标的）由同一企业承接，“标的名称”下划线处可以如实填写多个服务需求（标的）；</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第四处，在“采购文件中明确的所属行业”下划线处填写采购标的对应的中小企业划分标准所属行业（所属行业可在采购文件第一册第二章“对通用条款的补充内容及其他关键信息”章节查看）；</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（2）声明是残疾人福利性单位须填写《残疾人福利性单位声明函》的相关内容（填写位置的字体已加粗），具体参照以上《中小企业声明函》填写要求执行。</w:t>
      </w:r>
    </w:p>
    <w:p>
      <w:pPr>
        <w:ind w:firstLine="420" w:firstLineChars="200"/>
        <w:outlineLvl w:val="3"/>
        <w:rPr>
          <w:rFonts w:ascii="黑体" w:hAnsi="宋体" w:eastAsia="黑体"/>
          <w:bCs/>
          <w:color w:val="FF0000"/>
          <w:kern w:val="0"/>
        </w:rPr>
      </w:pPr>
      <w:r>
        <w:rPr>
          <w:rFonts w:hint="eastAsia" w:ascii="黑体" w:hAnsi="宋体" w:eastAsia="黑体"/>
          <w:bCs/>
          <w:color w:val="FF0000"/>
          <w:kern w:val="0"/>
        </w:rPr>
        <w:t>（3）声明是监狱企业须填写《监狱企业声明函》的相关内容（填写位置的字体已加粗），具体参照以上《中小企业声明函》填写要求执行。</w:t>
      </w:r>
    </w:p>
    <w:p>
      <w:pPr>
        <w:ind w:firstLine="420" w:firstLineChars="200"/>
      </w:pPr>
      <w:r>
        <w:rPr>
          <w:rFonts w:hint="eastAsia" w:ascii="黑体" w:hAnsi="宋体" w:eastAsia="黑体"/>
          <w:bCs/>
          <w:color w:val="FF0000"/>
          <w:kern w:val="0"/>
        </w:rPr>
        <w:t>5、声明函的有效性最终由评审委员会判定；如评审委员会判定声明函无效，相关供应商不享受</w:t>
      </w:r>
      <w:r>
        <w:rPr>
          <w:rFonts w:hint="eastAsia" w:ascii="黑体" w:hAnsi="黑体" w:eastAsia="黑体"/>
          <w:color w:val="FF0000"/>
        </w:rPr>
        <w:t>价格扣除</w:t>
      </w:r>
      <w:r>
        <w:rPr>
          <w:rFonts w:hint="eastAsia" w:ascii="黑体" w:hAnsi="宋体" w:eastAsia="黑体"/>
          <w:bCs/>
          <w:color w:val="FF0000"/>
          <w:kern w:val="0"/>
        </w:rPr>
        <w:t>（但不作投标无效处理）。</w:t>
      </w:r>
    </w:p>
    <w:p>
      <w:pPr>
        <w:ind w:firstLine="420" w:firstLineChars="200"/>
      </w:pPr>
    </w:p>
    <w:p>
      <w:pPr>
        <w:jc w:val="center"/>
        <w:outlineLvl w:val="3"/>
        <w:rPr>
          <w:b/>
          <w:sz w:val="24"/>
        </w:rPr>
      </w:pPr>
    </w:p>
    <w:p>
      <w:pPr>
        <w:jc w:val="center"/>
        <w:outlineLvl w:val="3"/>
        <w:rPr>
          <w:b/>
          <w:sz w:val="24"/>
        </w:rPr>
      </w:pPr>
      <w:r>
        <w:rPr>
          <w:rFonts w:hint="eastAsia"/>
          <w:b/>
          <w:sz w:val="24"/>
        </w:rPr>
        <w:t>1、</w:t>
      </w:r>
      <w:r>
        <w:rPr>
          <w:b/>
          <w:sz w:val="24"/>
        </w:rPr>
        <w:t>中小企业声明函（</w:t>
      </w:r>
      <w:r>
        <w:rPr>
          <w:rFonts w:hint="eastAsia"/>
          <w:b/>
          <w:sz w:val="24"/>
        </w:rPr>
        <w:t>工程、服务</w:t>
      </w:r>
      <w:r>
        <w:rPr>
          <w:b/>
          <w:sz w:val="24"/>
        </w:rPr>
        <w:t xml:space="preserve">） </w:t>
      </w:r>
    </w:p>
    <w:p>
      <w:pPr>
        <w:ind w:firstLine="420" w:firstLineChars="200"/>
        <w:outlineLvl w:val="3"/>
        <w:rPr>
          <w:rFonts w:ascii="宋体" w:hAnsi="宋体"/>
        </w:rPr>
      </w:pPr>
      <w:r>
        <w:rPr>
          <w:rFonts w:ascii="宋体" w:hAnsi="宋体"/>
        </w:rPr>
        <w:t>本</w:t>
      </w:r>
      <w:r>
        <w:rPr>
          <w:rFonts w:hint="eastAsia" w:ascii="宋体" w:hAnsi="宋体"/>
        </w:rPr>
        <w:t>公司（联合体）</w:t>
      </w:r>
      <w:r>
        <w:rPr>
          <w:rFonts w:ascii="宋体" w:hAnsi="宋体"/>
        </w:rPr>
        <w:t>郑重声明，根据《政府采购促进中小企业发展管理办法》（财库</w:t>
      </w:r>
      <w:r>
        <w:rPr>
          <w:rFonts w:hint="eastAsia" w:ascii="宋体" w:hAnsi="宋体" w:cs="微软雅黑"/>
        </w:rPr>
        <w:t>﹝</w:t>
      </w:r>
      <w:r>
        <w:rPr>
          <w:rFonts w:ascii="宋体" w:hAnsi="宋体"/>
        </w:rPr>
        <w:t>2020</w:t>
      </w:r>
      <w:r>
        <w:rPr>
          <w:rFonts w:hint="eastAsia" w:ascii="宋体" w:hAnsi="宋体" w:cs="微软雅黑"/>
        </w:rPr>
        <w:t>﹞</w:t>
      </w:r>
      <w:r>
        <w:rPr>
          <w:rFonts w:ascii="宋体" w:hAnsi="宋体"/>
        </w:rPr>
        <w:t>46 号）的规定，本</w:t>
      </w:r>
      <w:r>
        <w:rPr>
          <w:rFonts w:hint="eastAsia" w:ascii="宋体" w:hAnsi="宋体"/>
        </w:rPr>
        <w:t>投标人</w:t>
      </w:r>
      <w:r>
        <w:rPr>
          <w:rFonts w:ascii="宋体" w:hAnsi="宋体"/>
        </w:rPr>
        <w:t>参加</w:t>
      </w:r>
      <w:r>
        <w:rPr>
          <w:rFonts w:ascii="宋体" w:hAnsi="宋体"/>
          <w:b/>
          <w:bCs/>
          <w:u w:val="single"/>
        </w:rPr>
        <w:t>（</w:t>
      </w:r>
      <w:r>
        <w:rPr>
          <w:rFonts w:hint="eastAsia" w:ascii="宋体" w:hAnsi="宋体"/>
          <w:b/>
          <w:bCs/>
          <w:u w:val="single"/>
        </w:rPr>
        <w:t>采购人</w:t>
      </w:r>
      <w:r>
        <w:rPr>
          <w:rFonts w:ascii="宋体" w:hAnsi="宋体"/>
          <w:b/>
          <w:bCs/>
          <w:u w:val="single"/>
        </w:rPr>
        <w:t>名称）</w:t>
      </w:r>
      <w:r>
        <w:rPr>
          <w:rFonts w:ascii="宋体" w:hAnsi="宋体"/>
        </w:rPr>
        <w:t>的</w:t>
      </w:r>
      <w:r>
        <w:rPr>
          <w:rFonts w:ascii="宋体" w:hAnsi="宋体"/>
          <w:b/>
          <w:bCs/>
          <w:u w:val="single"/>
        </w:rPr>
        <w:t>（项目名称）</w:t>
      </w:r>
      <w:r>
        <w:rPr>
          <w:rFonts w:ascii="宋体" w:hAnsi="宋体"/>
        </w:rPr>
        <w:t>采购活动，</w:t>
      </w:r>
      <w:r>
        <w:rPr>
          <w:rFonts w:hint="eastAsia" w:ascii="宋体" w:hAnsi="宋体"/>
        </w:rPr>
        <w:t>服务</w:t>
      </w:r>
      <w:r>
        <w:rPr>
          <w:rFonts w:ascii="宋体" w:hAnsi="宋体"/>
        </w:rPr>
        <w:t>全部由符合政策要求的中小企业</w:t>
      </w:r>
      <w:r>
        <w:rPr>
          <w:rFonts w:hint="eastAsia" w:ascii="宋体" w:hAnsi="宋体"/>
        </w:rPr>
        <w:t>承接</w:t>
      </w:r>
      <w:r>
        <w:rPr>
          <w:rFonts w:ascii="宋体" w:hAnsi="宋体"/>
        </w:rPr>
        <w:t>。相关企业的具体情况如下：</w:t>
      </w:r>
    </w:p>
    <w:p>
      <w:pPr>
        <w:ind w:firstLine="420" w:firstLineChars="200"/>
        <w:outlineLvl w:val="3"/>
        <w:rPr>
          <w:rFonts w:ascii="宋体" w:hAnsi="宋体"/>
        </w:rPr>
      </w:pPr>
      <w:r>
        <w:rPr>
          <w:rFonts w:ascii="宋体" w:hAnsi="宋体"/>
        </w:rPr>
        <w:t>1.</w:t>
      </w:r>
      <w:r>
        <w:rPr>
          <w:rFonts w:ascii="宋体" w:hAnsi="宋体"/>
          <w:b/>
          <w:bCs/>
          <w:u w:val="single"/>
        </w:rPr>
        <w:t xml:space="preserve"> （标的名称）</w:t>
      </w:r>
      <w:r>
        <w:rPr>
          <w:rFonts w:ascii="宋体" w:hAnsi="宋体"/>
        </w:rPr>
        <w:t xml:space="preserve"> ，属于</w:t>
      </w:r>
      <w:r>
        <w:rPr>
          <w:rFonts w:ascii="宋体" w:hAnsi="宋体"/>
          <w:b/>
          <w:bCs/>
          <w:u w:val="single"/>
        </w:rPr>
        <w:t>（</w:t>
      </w:r>
      <w:r>
        <w:rPr>
          <w:rFonts w:hint="eastAsia" w:ascii="宋体" w:hAnsi="宋体"/>
          <w:b/>
          <w:bCs/>
          <w:u w:val="single"/>
        </w:rPr>
        <w:t>采购</w:t>
      </w:r>
      <w:r>
        <w:rPr>
          <w:rFonts w:ascii="宋体" w:hAnsi="宋体"/>
          <w:b/>
          <w:bCs/>
          <w:u w:val="single"/>
        </w:rPr>
        <w:t xml:space="preserve">文件中明确的所属行业） </w:t>
      </w:r>
      <w:r>
        <w:rPr>
          <w:rFonts w:ascii="宋体" w:hAnsi="宋体"/>
        </w:rPr>
        <w:t>行业；</w:t>
      </w:r>
      <w:r>
        <w:rPr>
          <w:rFonts w:hint="eastAsia" w:ascii="宋体" w:hAnsi="宋体"/>
        </w:rPr>
        <w:t>承建（承接）企业</w:t>
      </w:r>
      <w:r>
        <w:rPr>
          <w:rFonts w:ascii="宋体" w:hAnsi="宋体"/>
        </w:rPr>
        <w:t>为</w:t>
      </w:r>
      <w:r>
        <w:rPr>
          <w:rFonts w:ascii="宋体" w:hAnsi="宋体"/>
          <w:b/>
          <w:bCs/>
          <w:u w:val="single"/>
        </w:rPr>
        <w:t>（企业名称）</w:t>
      </w:r>
      <w:r>
        <w:rPr>
          <w:rFonts w:ascii="宋体" w:hAnsi="宋体"/>
        </w:rPr>
        <w:t>，从业人员人，营业收入为万元，资产总额为万元 ，属于</w:t>
      </w:r>
      <w:r>
        <w:rPr>
          <w:rFonts w:ascii="宋体" w:hAnsi="宋体"/>
          <w:b/>
          <w:bCs/>
          <w:u w:val="single"/>
        </w:rPr>
        <w:t>（中型企业、小型企业、微型企业）</w:t>
      </w:r>
      <w:r>
        <w:rPr>
          <w:rFonts w:ascii="宋体" w:hAnsi="宋体"/>
        </w:rPr>
        <w:t xml:space="preserve">； </w:t>
      </w:r>
    </w:p>
    <w:p>
      <w:pPr>
        <w:ind w:firstLine="420" w:firstLineChars="200"/>
        <w:outlineLvl w:val="3"/>
        <w:rPr>
          <w:rFonts w:ascii="宋体" w:hAnsi="宋体"/>
          <w:u w:val="single"/>
        </w:rPr>
      </w:pPr>
      <w:r>
        <w:rPr>
          <w:rFonts w:ascii="宋体" w:hAnsi="宋体"/>
        </w:rPr>
        <w:t>2.</w:t>
      </w:r>
      <w:r>
        <w:rPr>
          <w:rFonts w:ascii="宋体" w:hAnsi="宋体"/>
          <w:b/>
          <w:bCs/>
          <w:u w:val="single"/>
        </w:rPr>
        <w:t xml:space="preserve"> （标的名称）</w:t>
      </w:r>
      <w:r>
        <w:rPr>
          <w:rFonts w:ascii="宋体" w:hAnsi="宋体"/>
        </w:rPr>
        <w:t xml:space="preserve"> ，属于</w:t>
      </w:r>
      <w:r>
        <w:rPr>
          <w:rFonts w:ascii="宋体" w:hAnsi="宋体"/>
          <w:b/>
          <w:bCs/>
          <w:u w:val="single"/>
        </w:rPr>
        <w:t>（</w:t>
      </w:r>
      <w:r>
        <w:rPr>
          <w:rFonts w:hint="eastAsia" w:ascii="宋体" w:hAnsi="宋体"/>
          <w:b/>
          <w:bCs/>
          <w:u w:val="single"/>
        </w:rPr>
        <w:t>采购</w:t>
      </w:r>
      <w:r>
        <w:rPr>
          <w:rFonts w:ascii="宋体" w:hAnsi="宋体"/>
          <w:b/>
          <w:bCs/>
          <w:u w:val="single"/>
        </w:rPr>
        <w:t xml:space="preserve">文件中明确的所属行业） </w:t>
      </w:r>
      <w:r>
        <w:rPr>
          <w:rFonts w:ascii="宋体" w:hAnsi="宋体"/>
        </w:rPr>
        <w:t>行业；</w:t>
      </w:r>
      <w:r>
        <w:rPr>
          <w:rFonts w:hint="eastAsia" w:ascii="宋体" w:hAnsi="宋体"/>
        </w:rPr>
        <w:t>承建（承接）企业</w:t>
      </w:r>
      <w:r>
        <w:rPr>
          <w:rFonts w:ascii="宋体" w:hAnsi="宋体"/>
        </w:rPr>
        <w:t>为</w:t>
      </w:r>
      <w:r>
        <w:rPr>
          <w:rFonts w:ascii="宋体" w:hAnsi="宋体"/>
          <w:b/>
          <w:bCs/>
          <w:u w:val="single"/>
        </w:rPr>
        <w:t>（企业名称）</w:t>
      </w:r>
      <w:r>
        <w:rPr>
          <w:rFonts w:ascii="宋体" w:hAnsi="宋体"/>
        </w:rPr>
        <w:t>，从业人员人，营业收入为万元，资产总额为万元 ，属于</w:t>
      </w:r>
      <w:r>
        <w:rPr>
          <w:rFonts w:ascii="宋体" w:hAnsi="宋体"/>
          <w:b/>
          <w:bCs/>
          <w:u w:val="single"/>
        </w:rPr>
        <w:t>（中型企业、小型企业、微型企业）</w:t>
      </w:r>
      <w:r>
        <w:rPr>
          <w:rFonts w:hint="eastAsia" w:ascii="宋体" w:hAnsi="宋体"/>
        </w:rPr>
        <w:t>；</w:t>
      </w:r>
    </w:p>
    <w:p>
      <w:pPr>
        <w:ind w:firstLine="420" w:firstLineChars="200"/>
        <w:outlineLvl w:val="3"/>
        <w:rPr>
          <w:rFonts w:ascii="宋体" w:hAnsi="宋体"/>
        </w:rPr>
      </w:pPr>
      <w:r>
        <w:rPr>
          <w:rFonts w:ascii="宋体" w:hAnsi="宋体"/>
        </w:rPr>
        <w:t xml:space="preserve">…… </w:t>
      </w:r>
    </w:p>
    <w:p>
      <w:pPr>
        <w:ind w:firstLine="420" w:firstLineChars="200"/>
        <w:outlineLvl w:val="3"/>
        <w:rPr>
          <w:rFonts w:ascii="宋体" w:hAnsi="宋体"/>
        </w:rPr>
      </w:pPr>
      <w:r>
        <w:rPr>
          <w:rFonts w:ascii="宋体" w:hAnsi="宋体"/>
        </w:rPr>
        <w:t>以上企业，不属于大企业的分支机构，不存在控股股东为大企业的情形，也不存在与大企业的负责人为同一人的情形。</w:t>
      </w:r>
    </w:p>
    <w:p>
      <w:pPr>
        <w:ind w:firstLine="420" w:firstLineChars="200"/>
        <w:outlineLvl w:val="3"/>
      </w:pPr>
      <w:bookmarkStart w:id="143" w:name="_Hlk73562275"/>
    </w:p>
    <w:p>
      <w:pPr>
        <w:ind w:firstLine="420" w:firstLineChars="200"/>
        <w:outlineLvl w:val="3"/>
      </w:pPr>
      <w:r>
        <w:rPr>
          <w:rFonts w:hint="eastAsia"/>
        </w:rPr>
        <w:t>本企业</w:t>
      </w:r>
      <w:r>
        <w:t>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143"/>
    </w:p>
    <w:p>
      <w:pPr>
        <w:pStyle w:val="2"/>
      </w:pPr>
    </w:p>
    <w:p>
      <w:pPr>
        <w:ind w:firstLine="5670" w:firstLineChars="2700"/>
        <w:outlineLvl w:val="3"/>
      </w:pPr>
      <w:r>
        <w:rPr>
          <w:rFonts w:hint="eastAsia"/>
        </w:rPr>
        <w:t>企业名称（盖章）：</w:t>
      </w:r>
    </w:p>
    <w:p>
      <w:pPr>
        <w:ind w:firstLine="6300" w:firstLineChars="3000"/>
        <w:outlineLvl w:val="3"/>
      </w:pPr>
      <w:r>
        <w:rPr>
          <w:rFonts w:hint="eastAsia"/>
        </w:rPr>
        <w:t>日期：</w:t>
      </w:r>
    </w:p>
    <w:p>
      <w:pPr>
        <w:pStyle w:val="11"/>
      </w:pPr>
    </w:p>
    <w:p/>
    <w:p>
      <w:pPr>
        <w:widowControl/>
        <w:spacing w:line="400" w:lineRule="exact"/>
        <w:rPr>
          <w:rFonts w:ascii="宋体" w:hAnsi="宋体"/>
          <w:b/>
          <w:bCs/>
          <w:sz w:val="18"/>
        </w:rPr>
      </w:pPr>
      <w:r>
        <w:rPr>
          <w:rFonts w:hint="eastAsia" w:ascii="宋体" w:hAnsi="宋体"/>
          <w:b/>
          <w:bCs/>
          <w:sz w:val="18"/>
        </w:rPr>
        <w:t>备注：1、从业人员、营业收入、资产总额填报上一年度数据，无上一年度数据的新成立企业可不填报。</w:t>
      </w:r>
    </w:p>
    <w:p>
      <w:pPr>
        <w:widowControl/>
        <w:numPr>
          <w:ilvl w:val="0"/>
          <w:numId w:val="7"/>
        </w:numPr>
        <w:spacing w:line="400" w:lineRule="exact"/>
        <w:ind w:firstLine="542" w:firstLineChars="300"/>
        <w:rPr>
          <w:rFonts w:ascii="宋体" w:hAnsi="宋体"/>
          <w:b/>
          <w:bCs/>
          <w:sz w:val="18"/>
          <w:szCs w:val="22"/>
        </w:rPr>
      </w:pPr>
      <w:r>
        <w:rPr>
          <w:rFonts w:hint="eastAsia" w:ascii="宋体" w:hAnsi="宋体"/>
          <w:b/>
          <w:bCs/>
          <w:sz w:val="18"/>
          <w:szCs w:val="22"/>
        </w:rPr>
        <w:t>投标人为中小企业时需提供本声明函，并完整填写从业人员、营业收入、资产总额等内容，否则评审时不能享受相应的价格扣除。</w:t>
      </w:r>
    </w:p>
    <w:p>
      <w:pPr>
        <w:pStyle w:val="2"/>
      </w:pPr>
    </w:p>
    <w:p>
      <w:pPr>
        <w:jc w:val="center"/>
        <w:outlineLvl w:val="3"/>
        <w:rPr>
          <w:rFonts w:ascii="宋体" w:hAnsi="宋体" w:cs="宋体"/>
          <w:b/>
          <w:sz w:val="24"/>
        </w:rPr>
      </w:pPr>
      <w:r>
        <w:rPr>
          <w:rFonts w:hint="eastAsia" w:ascii="宋体" w:hAnsi="宋体" w:cs="宋体"/>
          <w:b/>
          <w:sz w:val="24"/>
        </w:rPr>
        <w:t xml:space="preserve">2、中小企业声明函（货物） </w:t>
      </w:r>
    </w:p>
    <w:p>
      <w:pPr>
        <w:ind w:firstLine="420" w:firstLineChars="200"/>
        <w:outlineLvl w:val="3"/>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b/>
          <w:bCs/>
          <w:u w:val="single"/>
        </w:rPr>
        <w:t>（采购人名称）</w:t>
      </w:r>
      <w:r>
        <w:rPr>
          <w:rFonts w:hint="eastAsia" w:ascii="宋体" w:hAnsi="宋体" w:cs="宋体"/>
        </w:rPr>
        <w:t>的</w:t>
      </w:r>
      <w:r>
        <w:rPr>
          <w:rFonts w:hint="eastAsia" w:ascii="宋体" w:hAnsi="宋体" w:cs="宋体"/>
          <w:b/>
          <w:bCs/>
          <w:u w:val="single"/>
        </w:rPr>
        <w:t>（项目名称）</w:t>
      </w:r>
      <w:r>
        <w:rPr>
          <w:rFonts w:hint="eastAsia" w:ascii="宋体" w:hAnsi="宋体" w:cs="宋体"/>
        </w:rPr>
        <w:t>采购活动，提供的货物全部由符合政策要求的中小企业制造。相关企业（含联合体中的中小企业、签订分包意向协议的中小企业）的具体情况如下：</w:t>
      </w:r>
    </w:p>
    <w:p>
      <w:pPr>
        <w:ind w:firstLine="420" w:firstLineChars="200"/>
        <w:outlineLvl w:val="3"/>
        <w:rPr>
          <w:rFonts w:ascii="宋体" w:hAnsi="宋体" w:cs="宋体"/>
        </w:rPr>
      </w:pPr>
      <w:r>
        <w:rPr>
          <w:rFonts w:hint="eastAsia" w:ascii="宋体" w:hAnsi="宋体" w:cs="宋体"/>
        </w:rPr>
        <w:t>1.</w:t>
      </w:r>
      <w:r>
        <w:rPr>
          <w:rFonts w:hint="eastAsia" w:ascii="宋体" w:hAnsi="宋体" w:cs="宋体"/>
          <w:b/>
          <w:bCs/>
          <w:u w:val="single"/>
        </w:rPr>
        <w:t xml:space="preserve"> （标的名称）</w:t>
      </w:r>
      <w:r>
        <w:rPr>
          <w:rFonts w:hint="eastAsia" w:ascii="宋体" w:hAnsi="宋体" w:cs="宋体"/>
        </w:rPr>
        <w:t xml:space="preserve"> ，属于</w:t>
      </w:r>
      <w:r>
        <w:rPr>
          <w:rFonts w:hint="eastAsia" w:ascii="宋体" w:hAnsi="宋体" w:cs="宋体"/>
          <w:b/>
          <w:bCs/>
          <w:u w:val="single"/>
        </w:rPr>
        <w:t xml:space="preserve">（采购文件中明确的所属行业） </w:t>
      </w:r>
      <w:r>
        <w:rPr>
          <w:rFonts w:hint="eastAsia" w:ascii="宋体" w:hAnsi="宋体" w:cs="宋体"/>
        </w:rPr>
        <w:t>行业；制造商为</w:t>
      </w:r>
      <w:r>
        <w:rPr>
          <w:rFonts w:hint="eastAsia" w:ascii="宋体" w:hAnsi="宋体" w:cs="宋体"/>
          <w:b/>
          <w:bCs/>
          <w:u w:val="single"/>
        </w:rPr>
        <w:t>（企业名称）</w:t>
      </w:r>
      <w:r>
        <w:rPr>
          <w:rFonts w:hint="eastAsia" w:ascii="宋体" w:hAnsi="宋体" w:cs="宋体"/>
        </w:rPr>
        <w:t>，从业人员人，营业收入为万元，资产总额为万元 ，属于</w:t>
      </w:r>
      <w:r>
        <w:rPr>
          <w:rFonts w:hint="eastAsia" w:ascii="宋体" w:hAnsi="宋体" w:cs="宋体"/>
          <w:b/>
          <w:bCs/>
          <w:u w:val="single"/>
        </w:rPr>
        <w:t>（中型企业、小型企业、微型企业）</w:t>
      </w:r>
      <w:r>
        <w:rPr>
          <w:rFonts w:hint="eastAsia" w:ascii="宋体" w:hAnsi="宋体" w:cs="宋体"/>
        </w:rPr>
        <w:t xml:space="preserve">； </w:t>
      </w:r>
    </w:p>
    <w:p>
      <w:pPr>
        <w:ind w:firstLine="420" w:firstLineChars="200"/>
        <w:outlineLvl w:val="3"/>
        <w:rPr>
          <w:rFonts w:ascii="宋体" w:hAnsi="宋体" w:cs="宋体"/>
          <w:u w:val="single"/>
        </w:rPr>
      </w:pPr>
      <w:r>
        <w:rPr>
          <w:rFonts w:hint="eastAsia" w:ascii="宋体" w:hAnsi="宋体" w:cs="宋体"/>
        </w:rPr>
        <w:t>2.</w:t>
      </w:r>
      <w:r>
        <w:rPr>
          <w:rFonts w:hint="eastAsia" w:ascii="宋体" w:hAnsi="宋体" w:cs="宋体"/>
          <w:b/>
          <w:bCs/>
          <w:u w:val="single"/>
        </w:rPr>
        <w:t xml:space="preserve"> （标的名称）</w:t>
      </w:r>
      <w:r>
        <w:rPr>
          <w:rFonts w:hint="eastAsia" w:ascii="宋体" w:hAnsi="宋体" w:cs="宋体"/>
        </w:rPr>
        <w:t xml:space="preserve"> ，属于</w:t>
      </w:r>
      <w:r>
        <w:rPr>
          <w:rFonts w:hint="eastAsia" w:ascii="宋体" w:hAnsi="宋体" w:cs="宋体"/>
          <w:b/>
          <w:bCs/>
          <w:u w:val="single"/>
        </w:rPr>
        <w:t xml:space="preserve">（采购文件中明确的所属行业） </w:t>
      </w:r>
      <w:r>
        <w:rPr>
          <w:rFonts w:hint="eastAsia" w:ascii="宋体" w:hAnsi="宋体" w:cs="宋体"/>
        </w:rPr>
        <w:t>行业；制造商为</w:t>
      </w:r>
      <w:r>
        <w:rPr>
          <w:rFonts w:hint="eastAsia" w:ascii="宋体" w:hAnsi="宋体" w:cs="宋体"/>
          <w:b/>
          <w:bCs/>
          <w:u w:val="single"/>
        </w:rPr>
        <w:t>（企业名称）</w:t>
      </w:r>
      <w:r>
        <w:rPr>
          <w:rFonts w:hint="eastAsia" w:ascii="宋体" w:hAnsi="宋体" w:cs="宋体"/>
        </w:rPr>
        <w:t>，从业人员人，营业收入为万元，资产总额为万元 ，属于</w:t>
      </w:r>
      <w:r>
        <w:rPr>
          <w:rFonts w:hint="eastAsia" w:ascii="宋体" w:hAnsi="宋体" w:cs="宋体"/>
          <w:b/>
          <w:bCs/>
          <w:u w:val="single"/>
        </w:rPr>
        <w:t>（中型企业、小型企业、微型企业）</w:t>
      </w:r>
      <w:r>
        <w:rPr>
          <w:rFonts w:hint="eastAsia" w:ascii="宋体" w:hAnsi="宋体" w:cs="宋体"/>
        </w:rPr>
        <w:t>；</w:t>
      </w:r>
    </w:p>
    <w:p>
      <w:pPr>
        <w:ind w:firstLine="420" w:firstLineChars="200"/>
        <w:outlineLvl w:val="3"/>
        <w:rPr>
          <w:rFonts w:ascii="宋体" w:hAnsi="宋体" w:cs="宋体"/>
        </w:rPr>
      </w:pPr>
      <w:r>
        <w:rPr>
          <w:rFonts w:hint="eastAsia" w:ascii="宋体" w:hAnsi="宋体" w:cs="宋体"/>
        </w:rPr>
        <w:t xml:space="preserve">…… </w:t>
      </w:r>
    </w:p>
    <w:p>
      <w:pPr>
        <w:ind w:firstLine="420" w:firstLineChars="200"/>
        <w:outlineLvl w:val="3"/>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20" w:firstLineChars="200"/>
        <w:outlineLvl w:val="3"/>
        <w:rPr>
          <w:rFonts w:ascii="宋体" w:hAnsi="宋体" w:cs="宋体"/>
        </w:rPr>
      </w:pPr>
    </w:p>
    <w:p>
      <w:pPr>
        <w:ind w:firstLine="420" w:firstLineChars="200"/>
        <w:outlineLvl w:val="3"/>
        <w:rPr>
          <w:rFonts w:ascii="宋体" w:hAnsi="宋体" w:cs="宋体"/>
        </w:rPr>
      </w:pPr>
      <w:r>
        <w:rPr>
          <w:rFonts w:hint="eastAsia" w:ascii="宋体" w:hAnsi="宋体" w:cs="宋体"/>
        </w:rPr>
        <w:t>本企业人已知悉《政府采购促进中小企业发展管理办法》（财库〔2020〕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pStyle w:val="2"/>
        <w:rPr>
          <w:rFonts w:ascii="宋体" w:hAnsi="宋体" w:cs="宋体"/>
          <w:sz w:val="21"/>
          <w:szCs w:val="21"/>
        </w:rPr>
      </w:pPr>
    </w:p>
    <w:p>
      <w:pPr>
        <w:ind w:firstLine="5670" w:firstLineChars="2700"/>
        <w:outlineLvl w:val="3"/>
        <w:rPr>
          <w:rFonts w:ascii="宋体" w:hAnsi="宋体" w:cs="宋体"/>
        </w:rPr>
      </w:pPr>
      <w:r>
        <w:rPr>
          <w:rFonts w:hint="eastAsia" w:ascii="宋体" w:hAnsi="宋体" w:cs="宋体"/>
        </w:rPr>
        <w:t>企业名称（盖章）：</w:t>
      </w:r>
    </w:p>
    <w:p>
      <w:pPr>
        <w:ind w:firstLine="6300" w:firstLineChars="3000"/>
        <w:outlineLvl w:val="3"/>
        <w:rPr>
          <w:rFonts w:ascii="宋体" w:hAnsi="宋体" w:cs="宋体"/>
        </w:rPr>
      </w:pPr>
      <w:r>
        <w:rPr>
          <w:rFonts w:hint="eastAsia" w:ascii="宋体" w:hAnsi="宋体" w:cs="宋体"/>
        </w:rPr>
        <w:t>日期：</w:t>
      </w:r>
    </w:p>
    <w:p>
      <w:pPr>
        <w:pStyle w:val="11"/>
      </w:pPr>
    </w:p>
    <w:p/>
    <w:p>
      <w:pPr>
        <w:widowControl/>
        <w:spacing w:line="400" w:lineRule="exact"/>
        <w:rPr>
          <w:rFonts w:ascii="宋体" w:hAnsi="宋体"/>
          <w:b/>
          <w:bCs/>
          <w:sz w:val="18"/>
        </w:rPr>
      </w:pPr>
      <w:r>
        <w:rPr>
          <w:rFonts w:hint="eastAsia" w:ascii="宋体" w:hAnsi="宋体"/>
          <w:b/>
          <w:bCs/>
          <w:sz w:val="18"/>
        </w:rPr>
        <w:t>备注：1、从业人员、营业收入、资产总额填报上一年度数据，无上一年度数据的新成立企业可不填报。</w:t>
      </w:r>
    </w:p>
    <w:p>
      <w:pPr>
        <w:widowControl/>
        <w:numPr>
          <w:ilvl w:val="0"/>
          <w:numId w:val="7"/>
        </w:numPr>
        <w:spacing w:line="400" w:lineRule="exact"/>
        <w:ind w:firstLine="542" w:firstLineChars="300"/>
      </w:pPr>
      <w:r>
        <w:rPr>
          <w:rFonts w:hint="eastAsia" w:ascii="宋体" w:hAnsi="宋体"/>
          <w:b/>
          <w:bCs/>
          <w:sz w:val="18"/>
          <w:szCs w:val="22"/>
        </w:rPr>
        <w:t>投标人为中小企业时需提供本声明函，并完整填写从业人员、营业收入、资产总额等内容，否则评审时不能享受相应的价格扣除。</w:t>
      </w:r>
    </w:p>
    <w:p>
      <w:pPr>
        <w:ind w:firstLine="420" w:firstLineChars="200"/>
      </w:pPr>
    </w:p>
    <w:p>
      <w:pPr>
        <w:jc w:val="center"/>
        <w:outlineLvl w:val="3"/>
        <w:rPr>
          <w:b/>
          <w:sz w:val="24"/>
        </w:rPr>
      </w:pPr>
      <w:r>
        <w:rPr>
          <w:rFonts w:hint="eastAsia"/>
          <w:b/>
          <w:sz w:val="24"/>
        </w:rPr>
        <w:t>3、残疾人福利性单位声明函（服务类）</w:t>
      </w:r>
    </w:p>
    <w:p>
      <w:pPr>
        <w:rPr>
          <w:b/>
          <w:bCs/>
        </w:rPr>
      </w:pPr>
    </w:p>
    <w:p>
      <w:pPr>
        <w:ind w:firstLine="420" w:firstLineChars="200"/>
        <w:rPr>
          <w:rFonts w:ascii="宋体" w:hAnsi="宋体"/>
        </w:rPr>
      </w:pPr>
      <w:r>
        <w:rPr>
          <w:rFonts w:ascii="宋体" w:hAnsi="宋体"/>
        </w:rPr>
        <w:t>本</w:t>
      </w:r>
      <w:r>
        <w:rPr>
          <w:rFonts w:hint="eastAsia" w:ascii="宋体" w:hAnsi="宋体"/>
        </w:rPr>
        <w:t>投标人郑重声明，根据《财政部民政部中国残疾人联合会关于促进残疾人就业政府采购政策的通知》（财库〔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141 </w:t>
      </w:r>
      <w:r>
        <w:rPr>
          <w:rFonts w:hint="eastAsia" w:ascii="宋体" w:hAnsi="宋体"/>
        </w:rPr>
        <w:t>号）的规定，本投标人</w:t>
      </w:r>
      <w:r>
        <w:rPr>
          <w:rFonts w:ascii="宋体" w:hAnsi="宋体"/>
        </w:rPr>
        <w:t>参加</w:t>
      </w:r>
      <w:r>
        <w:rPr>
          <w:rFonts w:ascii="宋体" w:hAnsi="宋体"/>
          <w:b/>
          <w:bCs/>
          <w:u w:val="single"/>
        </w:rPr>
        <w:t>（</w:t>
      </w:r>
      <w:r>
        <w:rPr>
          <w:rFonts w:hint="eastAsia" w:ascii="宋体" w:hAnsi="宋体"/>
          <w:b/>
          <w:bCs/>
          <w:u w:val="single"/>
        </w:rPr>
        <w:t>采购人</w:t>
      </w:r>
      <w:r>
        <w:rPr>
          <w:rFonts w:ascii="宋体" w:hAnsi="宋体"/>
          <w:b/>
          <w:bCs/>
          <w:u w:val="single"/>
        </w:rPr>
        <w:t>名称）</w:t>
      </w:r>
      <w:r>
        <w:rPr>
          <w:rFonts w:ascii="宋体" w:hAnsi="宋体"/>
        </w:rPr>
        <w:t>的</w:t>
      </w:r>
      <w:r>
        <w:rPr>
          <w:rFonts w:ascii="宋体" w:hAnsi="宋体"/>
          <w:b/>
          <w:bCs/>
          <w:u w:val="single"/>
        </w:rPr>
        <w:t>（项目名称）</w:t>
      </w:r>
      <w:r>
        <w:rPr>
          <w:rFonts w:ascii="宋体" w:hAnsi="宋体"/>
        </w:rPr>
        <w:t>采购活动，</w:t>
      </w:r>
      <w:r>
        <w:rPr>
          <w:rFonts w:hint="eastAsia" w:ascii="宋体" w:hAnsi="宋体"/>
        </w:rPr>
        <w:t>服务</w:t>
      </w:r>
      <w:r>
        <w:rPr>
          <w:rFonts w:ascii="宋体" w:hAnsi="宋体"/>
        </w:rPr>
        <w:t>全部由符合政策要求的</w:t>
      </w:r>
      <w:r>
        <w:rPr>
          <w:rFonts w:hint="eastAsia" w:ascii="宋体" w:hAnsi="宋体"/>
        </w:rPr>
        <w:t>残疾人福利性单位承接</w:t>
      </w:r>
      <w:r>
        <w:rPr>
          <w:rFonts w:ascii="宋体" w:hAnsi="宋体"/>
        </w:rPr>
        <w:t>。相关</w:t>
      </w:r>
      <w:r>
        <w:rPr>
          <w:rFonts w:hint="eastAsia" w:ascii="宋体" w:hAnsi="宋体"/>
        </w:rPr>
        <w:t>残疾人福利性单位</w:t>
      </w:r>
      <w:r>
        <w:rPr>
          <w:rFonts w:ascii="宋体" w:hAnsi="宋体"/>
        </w:rPr>
        <w:t>的具体情况如下：</w:t>
      </w:r>
    </w:p>
    <w:p>
      <w:pPr>
        <w:ind w:firstLine="420" w:firstLineChars="200"/>
        <w:rPr>
          <w:rFonts w:ascii="宋体" w:hAnsi="宋体"/>
        </w:rPr>
      </w:pPr>
      <w:r>
        <w:rPr>
          <w:rFonts w:ascii="宋体" w:hAnsi="宋体"/>
        </w:rPr>
        <w:t>1.</w:t>
      </w:r>
      <w:r>
        <w:rPr>
          <w:rFonts w:ascii="宋体" w:hAnsi="宋体"/>
          <w:b/>
          <w:bCs/>
          <w:u w:val="single"/>
        </w:rPr>
        <w:t xml:space="preserve"> （标的名称）</w:t>
      </w:r>
      <w:r>
        <w:rPr>
          <w:rFonts w:hint="eastAsia" w:ascii="宋体" w:hAnsi="宋体"/>
        </w:rPr>
        <w:t>，承接企业</w:t>
      </w:r>
      <w:r>
        <w:rPr>
          <w:rFonts w:ascii="宋体" w:hAnsi="宋体"/>
        </w:rPr>
        <w:t>为</w:t>
      </w:r>
      <w:r>
        <w:rPr>
          <w:rFonts w:ascii="宋体" w:hAnsi="宋体"/>
          <w:b/>
          <w:bCs/>
          <w:u w:val="single"/>
        </w:rPr>
        <w:t>（</w:t>
      </w:r>
      <w:r>
        <w:rPr>
          <w:rFonts w:hint="eastAsia" w:ascii="宋体" w:hAnsi="宋体"/>
          <w:b/>
          <w:bCs/>
          <w:u w:val="single"/>
        </w:rPr>
        <w:t>单位</w:t>
      </w:r>
      <w:r>
        <w:rPr>
          <w:rFonts w:ascii="宋体" w:hAnsi="宋体"/>
          <w:b/>
          <w:bCs/>
          <w:u w:val="single"/>
        </w:rPr>
        <w:t>名称）</w:t>
      </w:r>
      <w:r>
        <w:rPr>
          <w:rFonts w:ascii="宋体" w:hAnsi="宋体"/>
        </w:rPr>
        <w:t>，属于</w:t>
      </w:r>
      <w:r>
        <w:rPr>
          <w:rFonts w:hint="eastAsia" w:ascii="宋体" w:hAnsi="宋体"/>
          <w:b/>
          <w:bCs/>
          <w:u w:val="single"/>
        </w:rPr>
        <w:t>残疾人福利性单位</w:t>
      </w:r>
      <w:r>
        <w:rPr>
          <w:rFonts w:ascii="宋体" w:hAnsi="宋体"/>
        </w:rPr>
        <w:t>；</w:t>
      </w:r>
    </w:p>
    <w:p>
      <w:pPr>
        <w:ind w:firstLine="420" w:firstLineChars="200"/>
        <w:rPr>
          <w:rFonts w:ascii="宋体" w:hAnsi="宋体"/>
        </w:rPr>
      </w:pPr>
      <w:r>
        <w:rPr>
          <w:rFonts w:ascii="宋体" w:hAnsi="宋体"/>
        </w:rPr>
        <w:t>2.</w:t>
      </w:r>
      <w:r>
        <w:rPr>
          <w:rFonts w:ascii="宋体" w:hAnsi="宋体"/>
          <w:b/>
          <w:bCs/>
          <w:u w:val="single"/>
        </w:rPr>
        <w:t xml:space="preserve"> （标的名称）</w:t>
      </w:r>
      <w:r>
        <w:rPr>
          <w:rFonts w:hint="eastAsia" w:ascii="宋体" w:hAnsi="宋体"/>
        </w:rPr>
        <w:t>，承接企业</w:t>
      </w:r>
      <w:r>
        <w:rPr>
          <w:rFonts w:ascii="宋体" w:hAnsi="宋体"/>
        </w:rPr>
        <w:t>为</w:t>
      </w:r>
      <w:r>
        <w:rPr>
          <w:rFonts w:ascii="宋体" w:hAnsi="宋体"/>
          <w:b/>
          <w:bCs/>
          <w:u w:val="single"/>
        </w:rPr>
        <w:t>（</w:t>
      </w:r>
      <w:r>
        <w:rPr>
          <w:rFonts w:hint="eastAsia" w:ascii="宋体" w:hAnsi="宋体"/>
          <w:b/>
          <w:bCs/>
          <w:u w:val="single"/>
        </w:rPr>
        <w:t>单位</w:t>
      </w:r>
      <w:r>
        <w:rPr>
          <w:rFonts w:ascii="宋体" w:hAnsi="宋体"/>
          <w:b/>
          <w:bCs/>
          <w:u w:val="single"/>
        </w:rPr>
        <w:t>名称）</w:t>
      </w:r>
      <w:r>
        <w:rPr>
          <w:rFonts w:ascii="宋体" w:hAnsi="宋体"/>
        </w:rPr>
        <w:t>，属于</w:t>
      </w:r>
      <w:r>
        <w:rPr>
          <w:rFonts w:hint="eastAsia" w:ascii="宋体" w:hAnsi="宋体"/>
          <w:b/>
          <w:bCs/>
          <w:u w:val="single"/>
        </w:rPr>
        <w:t>残疾人福利性单位</w:t>
      </w:r>
      <w:r>
        <w:rPr>
          <w:rFonts w:hint="eastAsia" w:ascii="宋体" w:hAnsi="宋体"/>
        </w:rPr>
        <w:t>。</w:t>
      </w:r>
    </w:p>
    <w:p>
      <w:pPr>
        <w:ind w:firstLine="420" w:firstLineChars="200"/>
        <w:outlineLvl w:val="3"/>
        <w:rPr>
          <w:rFonts w:ascii="宋体" w:hAnsi="宋体"/>
        </w:rPr>
      </w:pPr>
      <w:r>
        <w:rPr>
          <w:rFonts w:ascii="宋体" w:hAnsi="宋体"/>
        </w:rPr>
        <w:t xml:space="preserve">…… </w:t>
      </w:r>
    </w:p>
    <w:p>
      <w:pPr>
        <w:ind w:firstLine="420" w:firstLineChars="200"/>
        <w:rPr>
          <w:rFonts w:ascii="宋体" w:hAnsi="宋体"/>
        </w:rPr>
      </w:pPr>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p>
    <w:p>
      <w:pPr>
        <w:jc w:val="center"/>
        <w:outlineLvl w:val="3"/>
        <w:rPr>
          <w:b/>
          <w:sz w:val="24"/>
        </w:rPr>
      </w:pPr>
    </w:p>
    <w:p>
      <w:pPr>
        <w:outlineLvl w:val="3"/>
        <w:rPr>
          <w:b/>
          <w:sz w:val="24"/>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r>
        <w:rPr>
          <w:rFonts w:hint="eastAsia" w:ascii="宋体" w:hAnsi="宋体"/>
        </w:rPr>
        <w:t>本投标人郑重声明，根据《财政部司法部关于政府采购支持监狱企业发展有关问题的通知》（财库〔</w:t>
      </w:r>
      <w:r>
        <w:rPr>
          <w:rFonts w:ascii="宋体" w:hAnsi="宋体"/>
        </w:rPr>
        <w:t>2014</w:t>
      </w:r>
      <w:r>
        <w:rPr>
          <w:rFonts w:hint="eastAsia" w:ascii="宋体" w:hAnsi="宋体"/>
        </w:rPr>
        <w:t>〕</w:t>
      </w:r>
      <w:r>
        <w:rPr>
          <w:rFonts w:ascii="宋体" w:hAnsi="宋体"/>
        </w:rPr>
        <w:t>68</w:t>
      </w:r>
      <w:r>
        <w:rPr>
          <w:rFonts w:hint="eastAsia" w:ascii="宋体" w:hAnsi="宋体"/>
        </w:rPr>
        <w:t>号）的规定，本投标人</w:t>
      </w:r>
      <w:r>
        <w:rPr>
          <w:rFonts w:ascii="宋体" w:hAnsi="宋体"/>
        </w:rPr>
        <w:t>参加</w:t>
      </w:r>
      <w:r>
        <w:rPr>
          <w:rFonts w:ascii="宋体" w:hAnsi="宋体"/>
          <w:b/>
          <w:bCs/>
          <w:u w:val="single"/>
        </w:rPr>
        <w:t>（</w:t>
      </w:r>
      <w:r>
        <w:rPr>
          <w:rFonts w:hint="eastAsia" w:ascii="宋体" w:hAnsi="宋体"/>
          <w:b/>
          <w:bCs/>
          <w:u w:val="single"/>
        </w:rPr>
        <w:t>采购人</w:t>
      </w:r>
      <w:r>
        <w:rPr>
          <w:rFonts w:ascii="宋体" w:hAnsi="宋体"/>
          <w:b/>
          <w:bCs/>
          <w:u w:val="single"/>
        </w:rPr>
        <w:t>名称）</w:t>
      </w:r>
      <w:r>
        <w:rPr>
          <w:rFonts w:ascii="宋体" w:hAnsi="宋体"/>
        </w:rPr>
        <w:t>的</w:t>
      </w:r>
      <w:r>
        <w:rPr>
          <w:rFonts w:ascii="宋体" w:hAnsi="宋体"/>
          <w:b/>
          <w:bCs/>
          <w:u w:val="single"/>
        </w:rPr>
        <w:t>（项目名称）</w:t>
      </w:r>
      <w:r>
        <w:rPr>
          <w:rFonts w:ascii="宋体" w:hAnsi="宋体"/>
        </w:rPr>
        <w:t>采购活动，</w:t>
      </w:r>
      <w:r>
        <w:rPr>
          <w:rFonts w:hint="eastAsia" w:ascii="宋体" w:hAnsi="宋体"/>
        </w:rPr>
        <w:t>服务</w:t>
      </w:r>
      <w:r>
        <w:rPr>
          <w:rFonts w:ascii="宋体" w:hAnsi="宋体"/>
        </w:rPr>
        <w:t>全部由符合政策要求的</w:t>
      </w:r>
      <w:r>
        <w:rPr>
          <w:rFonts w:hint="eastAsia" w:ascii="宋体" w:hAnsi="宋体"/>
        </w:rPr>
        <w:t>监狱企业承接</w:t>
      </w:r>
      <w:r>
        <w:rPr>
          <w:rFonts w:ascii="宋体" w:hAnsi="宋体"/>
        </w:rPr>
        <w:t>。相关</w:t>
      </w:r>
      <w:r>
        <w:rPr>
          <w:rFonts w:hint="eastAsia" w:ascii="宋体" w:hAnsi="宋体"/>
        </w:rPr>
        <w:t>监狱企业</w:t>
      </w:r>
      <w:r>
        <w:rPr>
          <w:rFonts w:ascii="宋体" w:hAnsi="宋体"/>
        </w:rPr>
        <w:t>的具体情况如下：</w:t>
      </w:r>
    </w:p>
    <w:p>
      <w:pPr>
        <w:ind w:firstLine="420" w:firstLineChars="200"/>
        <w:rPr>
          <w:rFonts w:ascii="宋体" w:hAnsi="宋体"/>
        </w:rPr>
      </w:pPr>
      <w:r>
        <w:rPr>
          <w:rFonts w:ascii="宋体" w:hAnsi="宋体"/>
        </w:rPr>
        <w:t>1.</w:t>
      </w:r>
      <w:r>
        <w:rPr>
          <w:rFonts w:ascii="宋体" w:hAnsi="宋体"/>
          <w:b/>
          <w:bCs/>
          <w:u w:val="single"/>
        </w:rPr>
        <w:t xml:space="preserve"> （标的名称）</w:t>
      </w:r>
      <w:r>
        <w:rPr>
          <w:rFonts w:hint="eastAsia" w:ascii="宋体" w:hAnsi="宋体"/>
        </w:rPr>
        <w:t>，承接单位</w:t>
      </w:r>
      <w:r>
        <w:rPr>
          <w:rFonts w:ascii="宋体" w:hAnsi="宋体"/>
        </w:rPr>
        <w:t>为</w:t>
      </w:r>
      <w:r>
        <w:rPr>
          <w:rFonts w:ascii="宋体" w:hAnsi="宋体"/>
          <w:b/>
          <w:bCs/>
          <w:u w:val="single"/>
        </w:rPr>
        <w:t>（</w:t>
      </w:r>
      <w:r>
        <w:rPr>
          <w:rFonts w:hint="eastAsia" w:ascii="宋体" w:hAnsi="宋体"/>
          <w:b/>
          <w:bCs/>
          <w:u w:val="single"/>
        </w:rPr>
        <w:t>企业</w:t>
      </w:r>
      <w:r>
        <w:rPr>
          <w:rFonts w:ascii="宋体" w:hAnsi="宋体"/>
          <w:b/>
          <w:bCs/>
          <w:u w:val="single"/>
        </w:rPr>
        <w:t>名称）</w:t>
      </w:r>
      <w:r>
        <w:rPr>
          <w:rFonts w:ascii="宋体" w:hAnsi="宋体"/>
        </w:rPr>
        <w:t>，属于</w:t>
      </w:r>
      <w:r>
        <w:rPr>
          <w:rFonts w:hint="eastAsia" w:ascii="宋体" w:hAnsi="宋体"/>
          <w:b/>
          <w:bCs/>
          <w:u w:val="single"/>
        </w:rPr>
        <w:t>监狱企业</w:t>
      </w:r>
      <w:r>
        <w:rPr>
          <w:rFonts w:ascii="宋体" w:hAnsi="宋体"/>
        </w:rPr>
        <w:t>；</w:t>
      </w:r>
    </w:p>
    <w:p>
      <w:pPr>
        <w:ind w:firstLine="420" w:firstLineChars="200"/>
        <w:rPr>
          <w:rFonts w:ascii="宋体" w:hAnsi="宋体"/>
        </w:rPr>
      </w:pPr>
      <w:r>
        <w:rPr>
          <w:rFonts w:ascii="宋体" w:hAnsi="宋体"/>
        </w:rPr>
        <w:t>2.</w:t>
      </w:r>
      <w:r>
        <w:rPr>
          <w:rFonts w:ascii="宋体" w:hAnsi="宋体"/>
          <w:b/>
          <w:bCs/>
          <w:u w:val="single"/>
        </w:rPr>
        <w:t xml:space="preserve"> （标的名称）</w:t>
      </w:r>
      <w:r>
        <w:rPr>
          <w:rFonts w:hint="eastAsia" w:ascii="宋体" w:hAnsi="宋体"/>
        </w:rPr>
        <w:t>，承接单位</w:t>
      </w:r>
      <w:r>
        <w:rPr>
          <w:rFonts w:ascii="宋体" w:hAnsi="宋体"/>
        </w:rPr>
        <w:t>为</w:t>
      </w:r>
      <w:r>
        <w:rPr>
          <w:rFonts w:ascii="宋体" w:hAnsi="宋体"/>
          <w:b/>
          <w:bCs/>
          <w:u w:val="single"/>
        </w:rPr>
        <w:t>（</w:t>
      </w:r>
      <w:r>
        <w:rPr>
          <w:rFonts w:hint="eastAsia" w:ascii="宋体" w:hAnsi="宋体"/>
          <w:b/>
          <w:bCs/>
          <w:u w:val="single"/>
        </w:rPr>
        <w:t>企业</w:t>
      </w:r>
      <w:r>
        <w:rPr>
          <w:rFonts w:ascii="宋体" w:hAnsi="宋体"/>
          <w:b/>
          <w:bCs/>
          <w:u w:val="single"/>
        </w:rPr>
        <w:t>名称）</w:t>
      </w:r>
      <w:r>
        <w:rPr>
          <w:rFonts w:ascii="宋体" w:hAnsi="宋体"/>
        </w:rPr>
        <w:t>，属于</w:t>
      </w:r>
      <w:r>
        <w:rPr>
          <w:rFonts w:hint="eastAsia" w:ascii="宋体" w:hAnsi="宋体"/>
          <w:b/>
          <w:bCs/>
          <w:u w:val="single"/>
        </w:rPr>
        <w:t>监狱企业</w:t>
      </w:r>
      <w:r>
        <w:rPr>
          <w:rFonts w:hint="eastAsia" w:ascii="宋体" w:hAnsi="宋体"/>
        </w:rPr>
        <w:t>。</w:t>
      </w:r>
    </w:p>
    <w:p>
      <w:pPr>
        <w:ind w:firstLine="420" w:firstLineChars="200"/>
        <w:outlineLvl w:val="3"/>
        <w:rPr>
          <w:rFonts w:ascii="宋体" w:hAnsi="宋体"/>
        </w:rPr>
      </w:pPr>
      <w:r>
        <w:rPr>
          <w:rFonts w:ascii="宋体" w:hAnsi="宋体"/>
        </w:rPr>
        <w:t xml:space="preserve">…… </w:t>
      </w:r>
    </w:p>
    <w:p>
      <w:pPr>
        <w:ind w:firstLine="420" w:firstLineChars="200"/>
        <w:rPr>
          <w:rFonts w:ascii="宋体" w:hAnsi="宋体"/>
        </w:rPr>
      </w:pPr>
      <w:r>
        <w:rPr>
          <w:rFonts w:ascii="宋体" w:hAnsi="宋体"/>
        </w:rPr>
        <w:t>本</w:t>
      </w:r>
      <w:r>
        <w:rPr>
          <w:rFonts w:hint="eastAsia" w:ascii="宋体" w:hAnsi="宋体"/>
        </w:rPr>
        <w:t>投标人</w:t>
      </w:r>
      <w:r>
        <w:rPr>
          <w:rFonts w:ascii="宋体" w:hAnsi="宋体"/>
        </w:rPr>
        <w:t>对上述声明内容的真实性负责。如有虚假，将依法承担相应责任。</w:t>
      </w:r>
    </w:p>
    <w:p>
      <w:pPr>
        <w:ind w:firstLine="420" w:firstLineChars="200"/>
        <w:rPr>
          <w:b/>
          <w:bCs/>
        </w:rPr>
      </w:pPr>
      <w:r>
        <w:rPr>
          <w:rFonts w:hint="eastAsia" w:ascii="宋体" w:hAnsi="宋体"/>
        </w:rPr>
        <w:t>附：省级以上监狱管理局、戒毒管理局（含新疆生产建设兵团）出具的监狱企业证明文件。</w:t>
      </w:r>
    </w:p>
    <w:p>
      <w:pPr>
        <w:pStyle w:val="4"/>
        <w:ind w:firstLine="3253" w:firstLineChars="1350"/>
        <w:jc w:val="both"/>
        <w:rPr>
          <w:rFonts w:ascii="黑体" w:eastAsia="黑体"/>
          <w:sz w:val="24"/>
          <w:szCs w:val="24"/>
        </w:rPr>
      </w:pPr>
      <w:bookmarkStart w:id="144" w:name="_Toc106616779"/>
      <w:r>
        <w:rPr>
          <w:rFonts w:hint="eastAsia" w:ascii="黑体" w:eastAsia="黑体"/>
          <w:sz w:val="24"/>
          <w:szCs w:val="24"/>
        </w:rPr>
        <w:t>六、开标一览表</w:t>
      </w:r>
      <w:bookmarkEnd w:id="144"/>
    </w:p>
    <w:tbl>
      <w:tblPr>
        <w:tblStyle w:val="25"/>
        <w:tblpPr w:leftFromText="45" w:rightFromText="45" w:vertAnchor="text" w:tblpXSpec="cent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2929" w:type="dxa"/>
            <w:noWrap/>
            <w:vAlign w:val="center"/>
          </w:tcPr>
          <w:p>
            <w:pPr>
              <w:tabs>
                <w:tab w:val="left" w:pos="142"/>
              </w:tabs>
              <w:spacing w:line="360" w:lineRule="auto"/>
              <w:jc w:val="center"/>
              <w:rPr>
                <w:rFonts w:ascii="宋体" w:hAnsi="宋体" w:cs="宋体"/>
              </w:rPr>
            </w:pPr>
            <w:r>
              <w:rPr>
                <w:rFonts w:hint="eastAsia" w:ascii="宋体" w:hAnsi="宋体" w:cs="宋体"/>
              </w:rPr>
              <w:t>项目名称</w:t>
            </w:r>
          </w:p>
        </w:tc>
        <w:tc>
          <w:tcPr>
            <w:tcW w:w="6035" w:type="dxa"/>
            <w:noWrap/>
            <w:vAlign w:val="center"/>
          </w:tcPr>
          <w:p>
            <w:pPr>
              <w:tabs>
                <w:tab w:val="left" w:pos="142"/>
              </w:tabs>
              <w:spacing w:line="360" w:lineRule="auto"/>
              <w:ind w:firstLine="420" w:firstLineChars="2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jc w:val="center"/>
        </w:trPr>
        <w:tc>
          <w:tcPr>
            <w:tcW w:w="2929" w:type="dxa"/>
            <w:noWrap/>
            <w:vAlign w:val="center"/>
          </w:tcPr>
          <w:p>
            <w:pPr>
              <w:tabs>
                <w:tab w:val="left" w:pos="142"/>
              </w:tabs>
              <w:spacing w:line="500" w:lineRule="exact"/>
              <w:jc w:val="center"/>
              <w:rPr>
                <w:rFonts w:ascii="宋体" w:hAnsi="宋体" w:cs="宋体"/>
              </w:rPr>
            </w:pPr>
            <w:r>
              <w:rPr>
                <w:rFonts w:hint="eastAsia" w:ascii="宋体" w:hAnsi="宋体" w:cs="宋体"/>
              </w:rPr>
              <w:t>项目编号</w:t>
            </w:r>
          </w:p>
        </w:tc>
        <w:tc>
          <w:tcPr>
            <w:tcW w:w="6035" w:type="dxa"/>
            <w:noWrap/>
            <w:vAlign w:val="center"/>
          </w:tcPr>
          <w:p>
            <w:pPr>
              <w:tabs>
                <w:tab w:val="left" w:pos="142"/>
              </w:tabs>
              <w:spacing w:line="500" w:lineRule="exact"/>
              <w:ind w:firstLine="420" w:firstLineChars="2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blCellSpacing w:w="0" w:type="dxa"/>
          <w:jc w:val="center"/>
        </w:trPr>
        <w:tc>
          <w:tcPr>
            <w:tcW w:w="2929" w:type="dxa"/>
            <w:noWrap/>
            <w:vAlign w:val="center"/>
          </w:tcPr>
          <w:p>
            <w:pPr>
              <w:tabs>
                <w:tab w:val="left" w:pos="142"/>
              </w:tabs>
              <w:spacing w:line="500" w:lineRule="exact"/>
              <w:jc w:val="center"/>
              <w:rPr>
                <w:rFonts w:ascii="宋体" w:hAnsi="宋体" w:cs="宋体"/>
              </w:rPr>
            </w:pPr>
            <w:r>
              <w:rPr>
                <w:rFonts w:hint="eastAsia" w:ascii="宋体" w:hAnsi="宋体" w:cs="宋体"/>
              </w:rPr>
              <w:t>投标报价（元/%）</w:t>
            </w:r>
          </w:p>
        </w:tc>
        <w:tc>
          <w:tcPr>
            <w:tcW w:w="6035" w:type="dxa"/>
            <w:noWrap/>
            <w:vAlign w:val="center"/>
          </w:tcPr>
          <w:p>
            <w:pPr>
              <w:tabs>
                <w:tab w:val="left" w:pos="142"/>
              </w:tabs>
              <w:spacing w:line="500" w:lineRule="exact"/>
              <w:ind w:firstLine="420" w:firstLineChars="200"/>
              <w:jc w:val="left"/>
              <w:rPr>
                <w:rFonts w:ascii="宋体" w:hAnsi="宋体" w:cs="宋体"/>
              </w:rPr>
            </w:pPr>
            <w:r>
              <w:rPr>
                <w:rFonts w:hint="eastAsia" w:ascii="宋体" w:hAnsi="宋体" w:cs="宋体"/>
              </w:rPr>
              <w:t>￥</w:t>
            </w:r>
            <w:r>
              <w:rPr>
                <w:rFonts w:hint="eastAsia" w:ascii="宋体" w:hAnsi="宋体" w:cs="宋体"/>
                <w:u w:val="single"/>
              </w:rPr>
              <w:t xml:space="preserve">                      </w:t>
            </w:r>
            <w:r>
              <w:rPr>
                <w:rFonts w:hint="eastAsia" w:ascii="宋体" w:hAnsi="宋体" w:cs="宋体"/>
              </w:rPr>
              <w:t>元整</w:t>
            </w:r>
          </w:p>
          <w:p>
            <w:pPr>
              <w:tabs>
                <w:tab w:val="left" w:pos="142"/>
              </w:tabs>
              <w:spacing w:line="500" w:lineRule="exact"/>
              <w:ind w:firstLine="420" w:firstLineChars="200"/>
              <w:jc w:val="left"/>
              <w:rPr>
                <w:rFonts w:ascii="宋体" w:hAnsi="宋体" w:cs="宋体"/>
              </w:rPr>
            </w:pPr>
            <w:r>
              <w:rPr>
                <w:rFonts w:hint="eastAsia" w:ascii="宋体" w:hAnsi="宋体" w:cs="宋体"/>
              </w:rPr>
              <w:t>人民币 (大写):</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2929" w:type="dxa"/>
            <w:noWrap/>
            <w:vAlign w:val="center"/>
          </w:tcPr>
          <w:p>
            <w:pPr>
              <w:tabs>
                <w:tab w:val="left" w:pos="142"/>
              </w:tabs>
              <w:spacing w:line="500" w:lineRule="exact"/>
              <w:jc w:val="center"/>
              <w:rPr>
                <w:rFonts w:ascii="宋体" w:hAnsi="宋体" w:cs="宋体"/>
              </w:rPr>
            </w:pPr>
            <w:r>
              <w:rPr>
                <w:rFonts w:hint="eastAsia" w:ascii="宋体" w:hAnsi="宋体" w:cs="宋体"/>
              </w:rPr>
              <w:t>合同履约期限</w:t>
            </w:r>
          </w:p>
        </w:tc>
        <w:tc>
          <w:tcPr>
            <w:tcW w:w="6035" w:type="dxa"/>
            <w:noWrap/>
            <w:vAlign w:val="center"/>
          </w:tcPr>
          <w:p>
            <w:pPr>
              <w:tabs>
                <w:tab w:val="left" w:pos="142"/>
              </w:tabs>
              <w:spacing w:line="500" w:lineRule="exact"/>
              <w:ind w:firstLine="420" w:firstLineChars="2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CellSpacing w:w="0" w:type="dxa"/>
          <w:jc w:val="center"/>
        </w:trPr>
        <w:tc>
          <w:tcPr>
            <w:tcW w:w="2929" w:type="dxa"/>
            <w:noWrap/>
            <w:vAlign w:val="center"/>
          </w:tcPr>
          <w:p>
            <w:pPr>
              <w:tabs>
                <w:tab w:val="left" w:pos="142"/>
              </w:tabs>
              <w:spacing w:line="500" w:lineRule="exact"/>
              <w:jc w:val="center"/>
              <w:rPr>
                <w:rFonts w:ascii="宋体" w:hAnsi="宋体" w:cs="宋体"/>
                <w:color w:val="000000"/>
              </w:rPr>
            </w:pPr>
            <w:r>
              <w:rPr>
                <w:rFonts w:hint="eastAsia" w:ascii="宋体" w:hAnsi="宋体" w:cs="宋体"/>
                <w:color w:val="000000"/>
              </w:rPr>
              <w:t>项目（技术）负责人</w:t>
            </w:r>
          </w:p>
        </w:tc>
        <w:tc>
          <w:tcPr>
            <w:tcW w:w="6035" w:type="dxa"/>
            <w:noWrap/>
            <w:vAlign w:val="center"/>
          </w:tcPr>
          <w:p>
            <w:pPr>
              <w:tabs>
                <w:tab w:val="left" w:pos="142"/>
              </w:tabs>
              <w:spacing w:line="500" w:lineRule="exact"/>
              <w:ind w:firstLine="420" w:firstLineChars="200"/>
              <w:jc w:val="left"/>
              <w:rPr>
                <w:rFonts w:ascii="宋体" w:hAnsi="宋体" w:cs="宋体"/>
                <w:color w:val="000000"/>
              </w:rPr>
            </w:pPr>
          </w:p>
        </w:tc>
      </w:tr>
    </w:tbl>
    <w:p>
      <w:pPr>
        <w:jc w:val="center"/>
      </w:pPr>
    </w:p>
    <w:p>
      <w:pPr>
        <w:jc w:val="center"/>
      </w:pPr>
      <w:r>
        <w:t>投标人</w:t>
      </w:r>
      <w:r>
        <w:rPr>
          <w:rFonts w:hint="eastAsia"/>
        </w:rPr>
        <w:t>（</w:t>
      </w:r>
      <w:r>
        <w:t>签章</w:t>
      </w:r>
      <w:r>
        <w:rPr>
          <w:rFonts w:hint="eastAsia"/>
        </w:rPr>
        <w:t>）</w:t>
      </w:r>
      <w:r>
        <w:t>：_________________</w:t>
      </w:r>
    </w:p>
    <w:p>
      <w:pPr>
        <w:jc w:val="center"/>
      </w:pPr>
      <w:r>
        <w:rPr>
          <w:rFonts w:hint="eastAsia" w:ascii="宋体" w:hAnsi="宋体"/>
        </w:rPr>
        <w:t>日期：年月日</w:t>
      </w:r>
    </w:p>
    <w:p>
      <w:pPr>
        <w:rPr>
          <w:color w:val="0000FF"/>
        </w:rPr>
      </w:pPr>
      <w:r>
        <w:rPr>
          <w:rFonts w:hint="eastAsia"/>
          <w:color w:val="0000FF"/>
        </w:rPr>
        <w:t>注:</w:t>
      </w:r>
    </w:p>
    <w:p>
      <w:pPr>
        <w:ind w:firstLine="420" w:firstLineChars="200"/>
        <w:rPr>
          <w:rFonts w:ascii="黑体" w:eastAsia="黑体"/>
          <w:bCs/>
          <w:sz w:val="24"/>
          <w:szCs w:val="24"/>
        </w:rPr>
      </w:pPr>
      <w:r>
        <w:rPr>
          <w:rFonts w:hint="eastAsia"/>
          <w:color w:val="0000FF"/>
        </w:rPr>
        <w:t>1、投标总报价应包含本项目实施期间的所有含税费用。</w:t>
      </w:r>
    </w:p>
    <w:p>
      <w:pPr>
        <w:pStyle w:val="4"/>
        <w:ind w:firstLine="4337" w:firstLineChars="1350"/>
        <w:sectPr>
          <w:headerReference r:id="rId4" w:type="first"/>
          <w:footerReference r:id="rId6" w:type="first"/>
          <w:headerReference r:id="rId3" w:type="default"/>
          <w:footerReference r:id="rId5" w:type="default"/>
          <w:pgSz w:w="11906" w:h="16838"/>
          <w:pgMar w:top="1418" w:right="1588" w:bottom="1418" w:left="1365" w:header="851" w:footer="907" w:gutter="0"/>
          <w:cols w:space="720" w:num="1"/>
          <w:docGrid w:type="lines" w:linePitch="290" w:charSpace="0"/>
        </w:sectPr>
      </w:pPr>
    </w:p>
    <w:p>
      <w:pPr>
        <w:pStyle w:val="4"/>
        <w:ind w:firstLine="5662" w:firstLineChars="2350"/>
        <w:jc w:val="both"/>
        <w:rPr>
          <w:rFonts w:eastAsia="黑体"/>
          <w:sz w:val="24"/>
          <w:szCs w:val="24"/>
        </w:rPr>
      </w:pPr>
      <w:r>
        <w:rPr>
          <w:rFonts w:hint="eastAsia" w:ascii="黑体" w:eastAsia="黑体"/>
          <w:sz w:val="24"/>
          <w:szCs w:val="24"/>
        </w:rPr>
        <w:t>七、项目明细报价单</w:t>
      </w:r>
    </w:p>
    <w:p>
      <w:pPr>
        <w:pStyle w:val="11"/>
        <w:ind w:firstLine="4410" w:firstLineChars="2100"/>
        <w:rPr>
          <w:rFonts w:ascii="宋体" w:hAnsi="宋体"/>
          <w:color w:val="0000FF"/>
          <w:kern w:val="0"/>
          <w:szCs w:val="21"/>
        </w:rPr>
      </w:pPr>
      <w:r>
        <w:rPr>
          <w:rFonts w:hint="eastAsia" w:ascii="宋体" w:hAnsi="宋体"/>
          <w:color w:val="0000FF"/>
          <w:kern w:val="0"/>
          <w:szCs w:val="21"/>
        </w:rPr>
        <w:t>（货物类）</w:t>
      </w:r>
    </w:p>
    <w:p>
      <w:pPr>
        <w:pStyle w:val="11"/>
      </w:pPr>
    </w:p>
    <w:p>
      <w:r>
        <w:t>货币及单位：人民币/元</w:t>
      </w:r>
    </w:p>
    <w:tbl>
      <w:tblPr>
        <w:tblStyle w:val="2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
        <w:gridCol w:w="2191"/>
        <w:gridCol w:w="1272"/>
        <w:gridCol w:w="1610"/>
        <w:gridCol w:w="908"/>
        <w:gridCol w:w="1539"/>
        <w:gridCol w:w="2114"/>
        <w:gridCol w:w="1223"/>
        <w:gridCol w:w="1152"/>
        <w:gridCol w:w="12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 w:type="pct"/>
            <w:noWrap/>
          </w:tcPr>
          <w:p>
            <w:pPr>
              <w:jc w:val="center"/>
              <w:rPr>
                <w:rFonts w:ascii="宋体" w:hAnsi="宋体" w:cs="宋体"/>
              </w:rPr>
            </w:pPr>
            <w:r>
              <w:rPr>
                <w:rFonts w:hint="eastAsia" w:ascii="宋体" w:hAnsi="宋体" w:cs="宋体"/>
              </w:rPr>
              <w:t>序号</w:t>
            </w:r>
          </w:p>
        </w:tc>
        <w:tc>
          <w:tcPr>
            <w:tcW w:w="770" w:type="pct"/>
            <w:noWrap/>
          </w:tcPr>
          <w:p>
            <w:pPr>
              <w:jc w:val="center"/>
              <w:rPr>
                <w:rFonts w:ascii="宋体" w:hAnsi="宋体" w:cs="宋体"/>
              </w:rPr>
            </w:pPr>
            <w:r>
              <w:rPr>
                <w:rFonts w:hint="eastAsia" w:ascii="宋体" w:hAnsi="宋体" w:cs="宋体"/>
              </w:rPr>
              <w:t>货物名称</w:t>
            </w:r>
          </w:p>
        </w:tc>
        <w:tc>
          <w:tcPr>
            <w:tcW w:w="447" w:type="pct"/>
            <w:noWrap/>
          </w:tcPr>
          <w:p>
            <w:pPr>
              <w:jc w:val="center"/>
              <w:rPr>
                <w:rFonts w:ascii="宋体" w:hAnsi="宋体" w:cs="宋体"/>
              </w:rPr>
            </w:pPr>
            <w:r>
              <w:rPr>
                <w:rFonts w:hint="eastAsia" w:ascii="宋体" w:hAnsi="宋体" w:cs="宋体"/>
              </w:rPr>
              <w:t>货物名称</w:t>
            </w:r>
          </w:p>
        </w:tc>
        <w:tc>
          <w:tcPr>
            <w:tcW w:w="566" w:type="pct"/>
            <w:noWrap/>
          </w:tcPr>
          <w:p>
            <w:pPr>
              <w:jc w:val="center"/>
              <w:rPr>
                <w:rFonts w:ascii="宋体" w:hAnsi="宋体" w:cs="宋体"/>
              </w:rPr>
            </w:pPr>
            <w:r>
              <w:rPr>
                <w:rFonts w:hint="eastAsia" w:ascii="宋体" w:hAnsi="宋体" w:cs="宋体"/>
              </w:rPr>
              <w:t>规格型号</w:t>
            </w:r>
          </w:p>
        </w:tc>
        <w:tc>
          <w:tcPr>
            <w:tcW w:w="319" w:type="pct"/>
            <w:noWrap/>
          </w:tcPr>
          <w:p>
            <w:pPr>
              <w:jc w:val="center"/>
              <w:rPr>
                <w:rFonts w:ascii="宋体" w:hAnsi="宋体" w:cs="宋体"/>
              </w:rPr>
            </w:pPr>
            <w:r>
              <w:rPr>
                <w:rFonts w:hint="eastAsia" w:ascii="宋体" w:hAnsi="宋体" w:cs="宋体"/>
              </w:rPr>
              <w:t>品牌</w:t>
            </w:r>
          </w:p>
        </w:tc>
        <w:tc>
          <w:tcPr>
            <w:tcW w:w="541" w:type="pct"/>
            <w:noWrap/>
          </w:tcPr>
          <w:p>
            <w:pPr>
              <w:jc w:val="center"/>
              <w:rPr>
                <w:rFonts w:ascii="宋体" w:hAnsi="宋体" w:cs="宋体"/>
              </w:rPr>
            </w:pPr>
            <w:r>
              <w:rPr>
                <w:rFonts w:hint="eastAsia" w:ascii="宋体" w:hAnsi="宋体" w:cs="宋体"/>
              </w:rPr>
              <w:t>产地</w:t>
            </w:r>
          </w:p>
        </w:tc>
        <w:tc>
          <w:tcPr>
            <w:tcW w:w="743" w:type="pct"/>
            <w:noWrap/>
          </w:tcPr>
          <w:p>
            <w:pPr>
              <w:jc w:val="center"/>
              <w:rPr>
                <w:rFonts w:ascii="宋体" w:hAnsi="宋体" w:cs="宋体"/>
              </w:rPr>
            </w:pPr>
            <w:r>
              <w:rPr>
                <w:rFonts w:hint="eastAsia" w:ascii="宋体" w:hAnsi="宋体" w:cs="宋体"/>
              </w:rPr>
              <w:t>制造商名称</w:t>
            </w:r>
          </w:p>
        </w:tc>
        <w:tc>
          <w:tcPr>
            <w:tcW w:w="430" w:type="pct"/>
            <w:noWrap/>
          </w:tcPr>
          <w:p>
            <w:pPr>
              <w:jc w:val="center"/>
              <w:rPr>
                <w:rFonts w:ascii="宋体" w:hAnsi="宋体" w:cs="宋体"/>
              </w:rPr>
            </w:pPr>
            <w:r>
              <w:rPr>
                <w:rFonts w:hint="eastAsia" w:ascii="宋体" w:hAnsi="宋体" w:cs="宋体"/>
              </w:rPr>
              <w:t>单价</w:t>
            </w:r>
          </w:p>
        </w:tc>
        <w:tc>
          <w:tcPr>
            <w:tcW w:w="405" w:type="pct"/>
            <w:noWrap/>
          </w:tcPr>
          <w:p>
            <w:pPr>
              <w:jc w:val="center"/>
              <w:rPr>
                <w:rFonts w:ascii="宋体" w:hAnsi="宋体" w:cs="宋体"/>
              </w:rPr>
            </w:pPr>
            <w:r>
              <w:rPr>
                <w:rFonts w:hint="eastAsia" w:ascii="宋体" w:hAnsi="宋体" w:cs="宋体"/>
              </w:rPr>
              <w:t>数量</w:t>
            </w:r>
          </w:p>
        </w:tc>
        <w:tc>
          <w:tcPr>
            <w:tcW w:w="447" w:type="pct"/>
            <w:noWrap/>
          </w:tcPr>
          <w:p>
            <w:pPr>
              <w:jc w:val="center"/>
              <w:rPr>
                <w:rFonts w:ascii="宋体" w:hAnsi="宋体" w:cs="宋体"/>
              </w:rPr>
            </w:pPr>
            <w:r>
              <w:rPr>
                <w:rFonts w:hint="eastAsia" w:ascii="宋体" w:hAnsi="宋体" w:cs="宋体"/>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 w:type="pct"/>
            <w:noWrap/>
          </w:tcPr>
          <w:p>
            <w:pPr>
              <w:jc w:val="center"/>
              <w:rPr>
                <w:rFonts w:ascii="宋体" w:hAnsi="宋体" w:cs="宋体"/>
              </w:rPr>
            </w:pPr>
            <w:r>
              <w:rPr>
                <w:rFonts w:hint="eastAsia" w:ascii="宋体" w:hAnsi="宋体" w:cs="宋体"/>
              </w:rPr>
              <w:t>1</w:t>
            </w:r>
          </w:p>
        </w:tc>
        <w:tc>
          <w:tcPr>
            <w:tcW w:w="770" w:type="pct"/>
            <w:noWrap/>
          </w:tcPr>
          <w:p>
            <w:pPr>
              <w:jc w:val="center"/>
              <w:rPr>
                <w:rFonts w:ascii="宋体" w:hAnsi="宋体" w:cs="宋体"/>
              </w:rPr>
            </w:pPr>
          </w:p>
        </w:tc>
        <w:tc>
          <w:tcPr>
            <w:tcW w:w="447" w:type="pct"/>
            <w:noWrap/>
          </w:tcPr>
          <w:p>
            <w:pPr>
              <w:jc w:val="center"/>
              <w:rPr>
                <w:rFonts w:ascii="宋体" w:hAnsi="宋体" w:cs="宋体"/>
              </w:rPr>
            </w:pPr>
          </w:p>
        </w:tc>
        <w:tc>
          <w:tcPr>
            <w:tcW w:w="566" w:type="pct"/>
            <w:noWrap/>
          </w:tcPr>
          <w:p>
            <w:pPr>
              <w:jc w:val="center"/>
              <w:rPr>
                <w:rFonts w:ascii="宋体" w:hAnsi="宋体" w:cs="宋体"/>
              </w:rPr>
            </w:pPr>
          </w:p>
        </w:tc>
        <w:tc>
          <w:tcPr>
            <w:tcW w:w="319" w:type="pct"/>
            <w:noWrap/>
          </w:tcPr>
          <w:p>
            <w:pPr>
              <w:jc w:val="center"/>
              <w:rPr>
                <w:rFonts w:ascii="宋体" w:hAnsi="宋体" w:cs="宋体"/>
              </w:rPr>
            </w:pPr>
          </w:p>
        </w:tc>
        <w:tc>
          <w:tcPr>
            <w:tcW w:w="541" w:type="pct"/>
            <w:noWrap/>
          </w:tcPr>
          <w:p>
            <w:pPr>
              <w:jc w:val="center"/>
              <w:rPr>
                <w:rFonts w:ascii="宋体" w:hAnsi="宋体" w:cs="宋体"/>
              </w:rPr>
            </w:pPr>
          </w:p>
        </w:tc>
        <w:tc>
          <w:tcPr>
            <w:tcW w:w="743" w:type="pct"/>
            <w:noWrap/>
          </w:tcPr>
          <w:p>
            <w:pPr>
              <w:jc w:val="center"/>
              <w:rPr>
                <w:rFonts w:ascii="宋体" w:hAnsi="宋体" w:cs="宋体"/>
              </w:rPr>
            </w:pPr>
          </w:p>
        </w:tc>
        <w:tc>
          <w:tcPr>
            <w:tcW w:w="430" w:type="pct"/>
            <w:noWrap/>
          </w:tcPr>
          <w:p>
            <w:pPr>
              <w:jc w:val="center"/>
              <w:rPr>
                <w:rFonts w:ascii="宋体" w:hAnsi="宋体" w:cs="宋体"/>
              </w:rPr>
            </w:pPr>
          </w:p>
        </w:tc>
        <w:tc>
          <w:tcPr>
            <w:tcW w:w="405" w:type="pct"/>
            <w:noWrap/>
          </w:tcPr>
          <w:p>
            <w:pPr>
              <w:jc w:val="center"/>
              <w:rPr>
                <w:rFonts w:ascii="宋体" w:hAnsi="宋体" w:cs="宋体"/>
              </w:rPr>
            </w:pPr>
          </w:p>
        </w:tc>
        <w:tc>
          <w:tcPr>
            <w:tcW w:w="447"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 w:type="pct"/>
            <w:noWrap/>
          </w:tcPr>
          <w:p>
            <w:pPr>
              <w:jc w:val="center"/>
              <w:rPr>
                <w:rFonts w:ascii="宋体" w:hAnsi="宋体" w:cs="宋体"/>
              </w:rPr>
            </w:pPr>
            <w:r>
              <w:rPr>
                <w:rFonts w:hint="eastAsia" w:ascii="宋体" w:hAnsi="宋体" w:cs="宋体"/>
              </w:rPr>
              <w:t>2</w:t>
            </w:r>
          </w:p>
        </w:tc>
        <w:tc>
          <w:tcPr>
            <w:tcW w:w="770" w:type="pct"/>
            <w:noWrap/>
          </w:tcPr>
          <w:p>
            <w:pPr>
              <w:jc w:val="center"/>
              <w:rPr>
                <w:rFonts w:ascii="宋体" w:hAnsi="宋体" w:cs="宋体"/>
              </w:rPr>
            </w:pPr>
          </w:p>
        </w:tc>
        <w:tc>
          <w:tcPr>
            <w:tcW w:w="447" w:type="pct"/>
            <w:noWrap/>
          </w:tcPr>
          <w:p>
            <w:pPr>
              <w:jc w:val="center"/>
              <w:rPr>
                <w:rFonts w:ascii="宋体" w:hAnsi="宋体" w:cs="宋体"/>
              </w:rPr>
            </w:pPr>
          </w:p>
        </w:tc>
        <w:tc>
          <w:tcPr>
            <w:tcW w:w="566" w:type="pct"/>
            <w:noWrap/>
          </w:tcPr>
          <w:p>
            <w:pPr>
              <w:jc w:val="center"/>
              <w:rPr>
                <w:rFonts w:ascii="宋体" w:hAnsi="宋体" w:cs="宋体"/>
              </w:rPr>
            </w:pPr>
          </w:p>
        </w:tc>
        <w:tc>
          <w:tcPr>
            <w:tcW w:w="319" w:type="pct"/>
            <w:noWrap/>
          </w:tcPr>
          <w:p>
            <w:pPr>
              <w:jc w:val="center"/>
              <w:rPr>
                <w:rFonts w:ascii="宋体" w:hAnsi="宋体" w:cs="宋体"/>
              </w:rPr>
            </w:pPr>
          </w:p>
        </w:tc>
        <w:tc>
          <w:tcPr>
            <w:tcW w:w="541" w:type="pct"/>
            <w:noWrap/>
          </w:tcPr>
          <w:p>
            <w:pPr>
              <w:jc w:val="center"/>
              <w:rPr>
                <w:rFonts w:ascii="宋体" w:hAnsi="宋体" w:cs="宋体"/>
              </w:rPr>
            </w:pPr>
          </w:p>
        </w:tc>
        <w:tc>
          <w:tcPr>
            <w:tcW w:w="743" w:type="pct"/>
            <w:noWrap/>
          </w:tcPr>
          <w:p>
            <w:pPr>
              <w:jc w:val="center"/>
              <w:rPr>
                <w:rFonts w:ascii="宋体" w:hAnsi="宋体" w:cs="宋体"/>
              </w:rPr>
            </w:pPr>
          </w:p>
        </w:tc>
        <w:tc>
          <w:tcPr>
            <w:tcW w:w="430" w:type="pct"/>
            <w:noWrap/>
          </w:tcPr>
          <w:p>
            <w:pPr>
              <w:jc w:val="center"/>
              <w:rPr>
                <w:rFonts w:ascii="宋体" w:hAnsi="宋体" w:cs="宋体"/>
              </w:rPr>
            </w:pPr>
          </w:p>
        </w:tc>
        <w:tc>
          <w:tcPr>
            <w:tcW w:w="405" w:type="pct"/>
            <w:noWrap/>
          </w:tcPr>
          <w:p>
            <w:pPr>
              <w:jc w:val="center"/>
              <w:rPr>
                <w:rFonts w:ascii="宋体" w:hAnsi="宋体" w:cs="宋体"/>
              </w:rPr>
            </w:pPr>
          </w:p>
        </w:tc>
        <w:tc>
          <w:tcPr>
            <w:tcW w:w="447"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 w:type="pct"/>
            <w:noWrap/>
          </w:tcPr>
          <w:p>
            <w:pPr>
              <w:jc w:val="center"/>
              <w:rPr>
                <w:rFonts w:ascii="宋体" w:hAnsi="宋体" w:cs="宋体"/>
              </w:rPr>
            </w:pPr>
            <w:r>
              <w:rPr>
                <w:rFonts w:hint="eastAsia" w:ascii="宋体" w:hAnsi="宋体" w:cs="宋体"/>
              </w:rPr>
              <w:t>3</w:t>
            </w:r>
          </w:p>
        </w:tc>
        <w:tc>
          <w:tcPr>
            <w:tcW w:w="770" w:type="pct"/>
            <w:noWrap/>
          </w:tcPr>
          <w:p>
            <w:pPr>
              <w:jc w:val="center"/>
              <w:rPr>
                <w:rFonts w:ascii="宋体" w:hAnsi="宋体" w:cs="宋体"/>
              </w:rPr>
            </w:pPr>
          </w:p>
        </w:tc>
        <w:tc>
          <w:tcPr>
            <w:tcW w:w="447" w:type="pct"/>
            <w:noWrap/>
          </w:tcPr>
          <w:p>
            <w:pPr>
              <w:jc w:val="center"/>
              <w:rPr>
                <w:rFonts w:ascii="宋体" w:hAnsi="宋体" w:cs="宋体"/>
              </w:rPr>
            </w:pPr>
          </w:p>
        </w:tc>
        <w:tc>
          <w:tcPr>
            <w:tcW w:w="566" w:type="pct"/>
            <w:noWrap/>
          </w:tcPr>
          <w:p>
            <w:pPr>
              <w:jc w:val="center"/>
              <w:rPr>
                <w:rFonts w:ascii="宋体" w:hAnsi="宋体" w:cs="宋体"/>
              </w:rPr>
            </w:pPr>
          </w:p>
        </w:tc>
        <w:tc>
          <w:tcPr>
            <w:tcW w:w="319" w:type="pct"/>
            <w:noWrap/>
          </w:tcPr>
          <w:p>
            <w:pPr>
              <w:jc w:val="center"/>
              <w:rPr>
                <w:rFonts w:ascii="宋体" w:hAnsi="宋体" w:cs="宋体"/>
              </w:rPr>
            </w:pPr>
          </w:p>
        </w:tc>
        <w:tc>
          <w:tcPr>
            <w:tcW w:w="541" w:type="pct"/>
            <w:noWrap/>
          </w:tcPr>
          <w:p>
            <w:pPr>
              <w:jc w:val="center"/>
              <w:rPr>
                <w:rFonts w:ascii="宋体" w:hAnsi="宋体" w:cs="宋体"/>
              </w:rPr>
            </w:pPr>
          </w:p>
        </w:tc>
        <w:tc>
          <w:tcPr>
            <w:tcW w:w="743" w:type="pct"/>
            <w:noWrap/>
          </w:tcPr>
          <w:p>
            <w:pPr>
              <w:jc w:val="center"/>
              <w:rPr>
                <w:rFonts w:ascii="宋体" w:hAnsi="宋体" w:cs="宋体"/>
              </w:rPr>
            </w:pPr>
          </w:p>
        </w:tc>
        <w:tc>
          <w:tcPr>
            <w:tcW w:w="430" w:type="pct"/>
            <w:noWrap/>
          </w:tcPr>
          <w:p>
            <w:pPr>
              <w:jc w:val="center"/>
              <w:rPr>
                <w:rFonts w:ascii="宋体" w:hAnsi="宋体" w:cs="宋体"/>
              </w:rPr>
            </w:pPr>
          </w:p>
        </w:tc>
        <w:tc>
          <w:tcPr>
            <w:tcW w:w="405" w:type="pct"/>
            <w:noWrap/>
          </w:tcPr>
          <w:p>
            <w:pPr>
              <w:jc w:val="center"/>
              <w:rPr>
                <w:rFonts w:ascii="宋体" w:hAnsi="宋体" w:cs="宋体"/>
              </w:rPr>
            </w:pPr>
          </w:p>
        </w:tc>
        <w:tc>
          <w:tcPr>
            <w:tcW w:w="447"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 w:type="pct"/>
            <w:noWrap/>
          </w:tcPr>
          <w:p>
            <w:pPr>
              <w:jc w:val="center"/>
              <w:rPr>
                <w:rFonts w:ascii="宋体" w:hAnsi="宋体" w:cs="宋体"/>
              </w:rPr>
            </w:pPr>
            <w:r>
              <w:rPr>
                <w:rFonts w:hint="eastAsia" w:ascii="宋体" w:hAnsi="宋体" w:cs="宋体"/>
              </w:rPr>
              <w:t>4</w:t>
            </w:r>
          </w:p>
        </w:tc>
        <w:tc>
          <w:tcPr>
            <w:tcW w:w="770" w:type="pct"/>
            <w:noWrap/>
          </w:tcPr>
          <w:p>
            <w:pPr>
              <w:jc w:val="center"/>
              <w:rPr>
                <w:rFonts w:ascii="宋体" w:hAnsi="宋体" w:cs="宋体"/>
              </w:rPr>
            </w:pPr>
          </w:p>
        </w:tc>
        <w:tc>
          <w:tcPr>
            <w:tcW w:w="447" w:type="pct"/>
            <w:noWrap/>
          </w:tcPr>
          <w:p>
            <w:pPr>
              <w:jc w:val="center"/>
              <w:rPr>
                <w:rFonts w:ascii="宋体" w:hAnsi="宋体" w:cs="宋体"/>
              </w:rPr>
            </w:pPr>
          </w:p>
        </w:tc>
        <w:tc>
          <w:tcPr>
            <w:tcW w:w="566" w:type="pct"/>
            <w:noWrap/>
          </w:tcPr>
          <w:p>
            <w:pPr>
              <w:jc w:val="center"/>
              <w:rPr>
                <w:rFonts w:ascii="宋体" w:hAnsi="宋体" w:cs="宋体"/>
              </w:rPr>
            </w:pPr>
          </w:p>
        </w:tc>
        <w:tc>
          <w:tcPr>
            <w:tcW w:w="319" w:type="pct"/>
            <w:noWrap/>
          </w:tcPr>
          <w:p>
            <w:pPr>
              <w:jc w:val="center"/>
              <w:rPr>
                <w:rFonts w:ascii="宋体" w:hAnsi="宋体" w:cs="宋体"/>
              </w:rPr>
            </w:pPr>
          </w:p>
        </w:tc>
        <w:tc>
          <w:tcPr>
            <w:tcW w:w="541" w:type="pct"/>
            <w:noWrap/>
          </w:tcPr>
          <w:p>
            <w:pPr>
              <w:jc w:val="center"/>
              <w:rPr>
                <w:rFonts w:ascii="宋体" w:hAnsi="宋体" w:cs="宋体"/>
              </w:rPr>
            </w:pPr>
          </w:p>
        </w:tc>
        <w:tc>
          <w:tcPr>
            <w:tcW w:w="743" w:type="pct"/>
            <w:noWrap/>
          </w:tcPr>
          <w:p>
            <w:pPr>
              <w:jc w:val="center"/>
              <w:rPr>
                <w:rFonts w:ascii="宋体" w:hAnsi="宋体" w:cs="宋体"/>
              </w:rPr>
            </w:pPr>
          </w:p>
        </w:tc>
        <w:tc>
          <w:tcPr>
            <w:tcW w:w="430" w:type="pct"/>
            <w:noWrap/>
          </w:tcPr>
          <w:p>
            <w:pPr>
              <w:jc w:val="center"/>
              <w:rPr>
                <w:rFonts w:ascii="宋体" w:hAnsi="宋体" w:cs="宋体"/>
              </w:rPr>
            </w:pPr>
          </w:p>
        </w:tc>
        <w:tc>
          <w:tcPr>
            <w:tcW w:w="405" w:type="pct"/>
            <w:noWrap/>
          </w:tcPr>
          <w:p>
            <w:pPr>
              <w:jc w:val="center"/>
              <w:rPr>
                <w:rFonts w:ascii="宋体" w:hAnsi="宋体" w:cs="宋体"/>
              </w:rPr>
            </w:pPr>
          </w:p>
        </w:tc>
        <w:tc>
          <w:tcPr>
            <w:tcW w:w="447"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6" w:type="pct"/>
            <w:noWrap/>
          </w:tcPr>
          <w:p>
            <w:pPr>
              <w:jc w:val="center"/>
              <w:rPr>
                <w:rFonts w:ascii="宋体" w:hAnsi="宋体" w:cs="宋体"/>
              </w:rPr>
            </w:pPr>
            <w:r>
              <w:rPr>
                <w:rFonts w:hint="eastAsia" w:ascii="宋体" w:hAnsi="宋体" w:cs="宋体"/>
              </w:rPr>
              <w:t>...</w:t>
            </w:r>
          </w:p>
        </w:tc>
        <w:tc>
          <w:tcPr>
            <w:tcW w:w="770" w:type="pct"/>
            <w:noWrap/>
          </w:tcPr>
          <w:p>
            <w:pPr>
              <w:jc w:val="center"/>
              <w:rPr>
                <w:rFonts w:ascii="宋体" w:hAnsi="宋体" w:cs="宋体"/>
              </w:rPr>
            </w:pPr>
          </w:p>
        </w:tc>
        <w:tc>
          <w:tcPr>
            <w:tcW w:w="447" w:type="pct"/>
            <w:noWrap/>
          </w:tcPr>
          <w:p>
            <w:pPr>
              <w:jc w:val="center"/>
              <w:rPr>
                <w:rFonts w:ascii="宋体" w:hAnsi="宋体" w:cs="宋体"/>
              </w:rPr>
            </w:pPr>
          </w:p>
        </w:tc>
        <w:tc>
          <w:tcPr>
            <w:tcW w:w="566" w:type="pct"/>
            <w:noWrap/>
          </w:tcPr>
          <w:p>
            <w:pPr>
              <w:jc w:val="center"/>
              <w:rPr>
                <w:rFonts w:ascii="宋体" w:hAnsi="宋体" w:cs="宋体"/>
              </w:rPr>
            </w:pPr>
          </w:p>
        </w:tc>
        <w:tc>
          <w:tcPr>
            <w:tcW w:w="319" w:type="pct"/>
            <w:noWrap/>
          </w:tcPr>
          <w:p>
            <w:pPr>
              <w:jc w:val="center"/>
              <w:rPr>
                <w:rFonts w:ascii="宋体" w:hAnsi="宋体" w:cs="宋体"/>
              </w:rPr>
            </w:pPr>
          </w:p>
        </w:tc>
        <w:tc>
          <w:tcPr>
            <w:tcW w:w="541" w:type="pct"/>
            <w:noWrap/>
          </w:tcPr>
          <w:p>
            <w:pPr>
              <w:jc w:val="center"/>
              <w:rPr>
                <w:rFonts w:ascii="宋体" w:hAnsi="宋体" w:cs="宋体"/>
              </w:rPr>
            </w:pPr>
          </w:p>
        </w:tc>
        <w:tc>
          <w:tcPr>
            <w:tcW w:w="743" w:type="pct"/>
            <w:noWrap/>
          </w:tcPr>
          <w:p>
            <w:pPr>
              <w:jc w:val="center"/>
              <w:rPr>
                <w:rFonts w:ascii="宋体" w:hAnsi="宋体" w:cs="宋体"/>
              </w:rPr>
            </w:pPr>
          </w:p>
        </w:tc>
        <w:tc>
          <w:tcPr>
            <w:tcW w:w="430" w:type="pct"/>
            <w:noWrap/>
          </w:tcPr>
          <w:p>
            <w:pPr>
              <w:jc w:val="center"/>
              <w:rPr>
                <w:rFonts w:ascii="宋体" w:hAnsi="宋体" w:cs="宋体"/>
              </w:rPr>
            </w:pPr>
          </w:p>
        </w:tc>
        <w:tc>
          <w:tcPr>
            <w:tcW w:w="405" w:type="pct"/>
            <w:noWrap/>
          </w:tcPr>
          <w:p>
            <w:pPr>
              <w:jc w:val="center"/>
              <w:rPr>
                <w:rFonts w:ascii="宋体" w:hAnsi="宋体" w:cs="宋体"/>
              </w:rPr>
            </w:pPr>
          </w:p>
        </w:tc>
        <w:tc>
          <w:tcPr>
            <w:tcW w:w="447" w:type="pct"/>
            <w:noWrap/>
          </w:tcPr>
          <w:p>
            <w:pPr>
              <w:jc w:val="center"/>
              <w:rPr>
                <w:rFonts w:ascii="宋体" w:hAnsi="宋体" w:cs="宋体"/>
              </w:rPr>
            </w:pPr>
          </w:p>
        </w:tc>
      </w:tr>
    </w:tbl>
    <w:p>
      <w:pPr>
        <w:jc w:val="center"/>
      </w:pPr>
      <w:r>
        <w:rPr>
          <w:rFonts w:hint="eastAsia" w:ascii="宋体" w:hAnsi="宋体" w:cs="宋体"/>
        </w:rPr>
        <w:br w:type="textWrapping"/>
      </w:r>
    </w:p>
    <w:p>
      <w:pPr>
        <w:widowControl/>
        <w:snapToGrid w:val="0"/>
        <w:jc w:val="center"/>
        <w:rPr>
          <w:rFonts w:ascii="宋体" w:hAnsi="宋体"/>
          <w:color w:val="0000FF"/>
          <w:kern w:val="0"/>
        </w:rPr>
      </w:pPr>
      <w:r>
        <w:rPr>
          <w:rFonts w:hint="eastAsia" w:ascii="宋体" w:hAnsi="宋体"/>
          <w:color w:val="0000FF"/>
          <w:kern w:val="0"/>
        </w:rPr>
        <w:t>（服务类）</w:t>
      </w:r>
    </w:p>
    <w:p>
      <w:r>
        <w:t>货币及单位：人民币/元</w:t>
      </w:r>
    </w:p>
    <w:tbl>
      <w:tblPr>
        <w:tblStyle w:val="2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
        <w:gridCol w:w="2204"/>
        <w:gridCol w:w="1322"/>
        <w:gridCol w:w="1518"/>
        <w:gridCol w:w="1345"/>
        <w:gridCol w:w="1322"/>
        <w:gridCol w:w="1248"/>
        <w:gridCol w:w="1419"/>
        <w:gridCol w:w="1445"/>
        <w:gridCol w:w="14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 w:type="pct"/>
            <w:noWrap/>
          </w:tcPr>
          <w:p>
            <w:pPr>
              <w:jc w:val="center"/>
              <w:rPr>
                <w:rFonts w:ascii="宋体" w:hAnsi="宋体" w:cs="宋体"/>
              </w:rPr>
            </w:pPr>
            <w:r>
              <w:rPr>
                <w:rFonts w:hint="eastAsia" w:ascii="宋体" w:hAnsi="宋体" w:cs="宋体"/>
              </w:rPr>
              <w:t>序号</w:t>
            </w:r>
          </w:p>
        </w:tc>
        <w:tc>
          <w:tcPr>
            <w:tcW w:w="775" w:type="pct"/>
            <w:noWrap/>
          </w:tcPr>
          <w:p>
            <w:pPr>
              <w:jc w:val="center"/>
              <w:rPr>
                <w:rFonts w:ascii="宋体" w:hAnsi="宋体" w:cs="宋体"/>
              </w:rPr>
            </w:pPr>
            <w:r>
              <w:rPr>
                <w:rFonts w:hint="eastAsia" w:ascii="宋体" w:hAnsi="宋体" w:cs="宋体"/>
              </w:rPr>
              <w:t>服务名称</w:t>
            </w:r>
          </w:p>
        </w:tc>
        <w:tc>
          <w:tcPr>
            <w:tcW w:w="465" w:type="pct"/>
            <w:noWrap/>
          </w:tcPr>
          <w:p>
            <w:pPr>
              <w:jc w:val="center"/>
              <w:rPr>
                <w:rFonts w:ascii="宋体" w:hAnsi="宋体" w:cs="宋体"/>
              </w:rPr>
            </w:pPr>
            <w:r>
              <w:rPr>
                <w:rFonts w:hint="eastAsia" w:ascii="宋体" w:hAnsi="宋体" w:cs="宋体"/>
              </w:rPr>
              <w:t>服务名称</w:t>
            </w:r>
          </w:p>
        </w:tc>
        <w:tc>
          <w:tcPr>
            <w:tcW w:w="534" w:type="pct"/>
            <w:noWrap/>
          </w:tcPr>
          <w:p>
            <w:pPr>
              <w:jc w:val="center"/>
              <w:rPr>
                <w:rFonts w:ascii="宋体" w:hAnsi="宋体" w:cs="宋体"/>
              </w:rPr>
            </w:pPr>
            <w:r>
              <w:rPr>
                <w:rFonts w:hint="eastAsia" w:ascii="宋体" w:hAnsi="宋体" w:cs="宋体"/>
              </w:rPr>
              <w:t>服务范围</w:t>
            </w:r>
          </w:p>
        </w:tc>
        <w:tc>
          <w:tcPr>
            <w:tcW w:w="473" w:type="pct"/>
            <w:noWrap/>
          </w:tcPr>
          <w:p>
            <w:pPr>
              <w:jc w:val="center"/>
              <w:rPr>
                <w:rFonts w:ascii="宋体" w:hAnsi="宋体" w:cs="宋体"/>
              </w:rPr>
            </w:pPr>
            <w:r>
              <w:rPr>
                <w:rFonts w:hint="eastAsia" w:ascii="宋体" w:hAnsi="宋体" w:cs="宋体"/>
              </w:rPr>
              <w:t>服务要求</w:t>
            </w:r>
          </w:p>
        </w:tc>
        <w:tc>
          <w:tcPr>
            <w:tcW w:w="465" w:type="pct"/>
            <w:noWrap/>
          </w:tcPr>
          <w:p>
            <w:pPr>
              <w:jc w:val="center"/>
              <w:rPr>
                <w:rFonts w:ascii="宋体" w:hAnsi="宋体" w:cs="宋体"/>
              </w:rPr>
            </w:pPr>
            <w:r>
              <w:rPr>
                <w:rFonts w:hint="eastAsia" w:ascii="宋体" w:hAnsi="宋体" w:cs="宋体"/>
              </w:rPr>
              <w:t>服务期限</w:t>
            </w:r>
          </w:p>
        </w:tc>
        <w:tc>
          <w:tcPr>
            <w:tcW w:w="439" w:type="pct"/>
            <w:noWrap/>
          </w:tcPr>
          <w:p>
            <w:pPr>
              <w:jc w:val="center"/>
              <w:rPr>
                <w:rFonts w:ascii="宋体" w:hAnsi="宋体" w:cs="宋体"/>
              </w:rPr>
            </w:pPr>
            <w:r>
              <w:rPr>
                <w:rFonts w:hint="eastAsia" w:ascii="宋体" w:hAnsi="宋体" w:cs="宋体"/>
              </w:rPr>
              <w:t>服务标准</w:t>
            </w:r>
          </w:p>
        </w:tc>
        <w:tc>
          <w:tcPr>
            <w:tcW w:w="499" w:type="pct"/>
            <w:noWrap/>
          </w:tcPr>
          <w:p>
            <w:pPr>
              <w:jc w:val="center"/>
              <w:rPr>
                <w:rFonts w:ascii="宋体" w:hAnsi="宋体" w:cs="宋体"/>
              </w:rPr>
            </w:pPr>
            <w:r>
              <w:rPr>
                <w:rFonts w:hint="eastAsia" w:ascii="宋体" w:hAnsi="宋体" w:cs="宋体"/>
              </w:rPr>
              <w:t>单价</w:t>
            </w:r>
          </w:p>
        </w:tc>
        <w:tc>
          <w:tcPr>
            <w:tcW w:w="508" w:type="pct"/>
            <w:noWrap/>
          </w:tcPr>
          <w:p>
            <w:pPr>
              <w:jc w:val="center"/>
              <w:rPr>
                <w:rFonts w:ascii="宋体" w:hAnsi="宋体" w:cs="宋体"/>
              </w:rPr>
            </w:pPr>
            <w:r>
              <w:rPr>
                <w:rFonts w:hint="eastAsia" w:ascii="宋体" w:hAnsi="宋体" w:cs="宋体"/>
              </w:rPr>
              <w:t>数量</w:t>
            </w:r>
          </w:p>
        </w:tc>
        <w:tc>
          <w:tcPr>
            <w:tcW w:w="516" w:type="pct"/>
            <w:noWrap/>
          </w:tcPr>
          <w:p>
            <w:pPr>
              <w:jc w:val="center"/>
              <w:rPr>
                <w:rFonts w:ascii="宋体" w:hAnsi="宋体" w:cs="宋体"/>
              </w:rPr>
            </w:pPr>
            <w:r>
              <w:rPr>
                <w:rFonts w:hint="eastAsia" w:ascii="宋体" w:hAnsi="宋体" w:cs="宋体"/>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 w:type="pct"/>
            <w:noWrap/>
          </w:tcPr>
          <w:p>
            <w:pPr>
              <w:jc w:val="center"/>
              <w:rPr>
                <w:rFonts w:ascii="宋体" w:hAnsi="宋体" w:cs="宋体"/>
              </w:rPr>
            </w:pPr>
            <w:r>
              <w:rPr>
                <w:rFonts w:hint="eastAsia" w:ascii="宋体" w:hAnsi="宋体" w:cs="宋体"/>
              </w:rPr>
              <w:t>1</w:t>
            </w:r>
          </w:p>
        </w:tc>
        <w:tc>
          <w:tcPr>
            <w:tcW w:w="775" w:type="pct"/>
            <w:noWrap/>
          </w:tcPr>
          <w:p>
            <w:pPr>
              <w:jc w:val="center"/>
              <w:rPr>
                <w:rFonts w:ascii="宋体" w:hAnsi="宋体" w:cs="宋体"/>
              </w:rPr>
            </w:pPr>
          </w:p>
        </w:tc>
        <w:tc>
          <w:tcPr>
            <w:tcW w:w="465" w:type="pct"/>
            <w:noWrap/>
          </w:tcPr>
          <w:p>
            <w:pPr>
              <w:jc w:val="center"/>
              <w:rPr>
                <w:rFonts w:ascii="宋体" w:hAnsi="宋体" w:cs="宋体"/>
              </w:rPr>
            </w:pPr>
          </w:p>
        </w:tc>
        <w:tc>
          <w:tcPr>
            <w:tcW w:w="534" w:type="pct"/>
            <w:noWrap/>
          </w:tcPr>
          <w:p>
            <w:pPr>
              <w:jc w:val="center"/>
              <w:rPr>
                <w:rFonts w:ascii="宋体" w:hAnsi="宋体" w:cs="宋体"/>
              </w:rPr>
            </w:pPr>
          </w:p>
        </w:tc>
        <w:tc>
          <w:tcPr>
            <w:tcW w:w="473" w:type="pct"/>
            <w:noWrap/>
          </w:tcPr>
          <w:p>
            <w:pPr>
              <w:jc w:val="center"/>
              <w:rPr>
                <w:rFonts w:ascii="宋体" w:hAnsi="宋体" w:cs="宋体"/>
              </w:rPr>
            </w:pPr>
          </w:p>
        </w:tc>
        <w:tc>
          <w:tcPr>
            <w:tcW w:w="465" w:type="pct"/>
            <w:noWrap/>
          </w:tcPr>
          <w:p>
            <w:pPr>
              <w:jc w:val="center"/>
              <w:rPr>
                <w:rFonts w:ascii="宋体" w:hAnsi="宋体" w:cs="宋体"/>
              </w:rPr>
            </w:pPr>
          </w:p>
        </w:tc>
        <w:tc>
          <w:tcPr>
            <w:tcW w:w="439" w:type="pct"/>
            <w:noWrap/>
          </w:tcPr>
          <w:p>
            <w:pPr>
              <w:jc w:val="center"/>
              <w:rPr>
                <w:rFonts w:ascii="宋体" w:hAnsi="宋体" w:cs="宋体"/>
              </w:rPr>
            </w:pPr>
          </w:p>
        </w:tc>
        <w:tc>
          <w:tcPr>
            <w:tcW w:w="499" w:type="pct"/>
            <w:noWrap/>
          </w:tcPr>
          <w:p>
            <w:pPr>
              <w:jc w:val="center"/>
              <w:rPr>
                <w:rFonts w:ascii="宋体" w:hAnsi="宋体" w:cs="宋体"/>
              </w:rPr>
            </w:pPr>
          </w:p>
        </w:tc>
        <w:tc>
          <w:tcPr>
            <w:tcW w:w="508" w:type="pct"/>
            <w:noWrap/>
          </w:tcPr>
          <w:p>
            <w:pPr>
              <w:jc w:val="center"/>
              <w:rPr>
                <w:rFonts w:ascii="宋体" w:hAnsi="宋体" w:cs="宋体"/>
              </w:rPr>
            </w:pPr>
          </w:p>
        </w:tc>
        <w:tc>
          <w:tcPr>
            <w:tcW w:w="516"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 w:type="pct"/>
            <w:noWrap/>
          </w:tcPr>
          <w:p>
            <w:pPr>
              <w:jc w:val="center"/>
              <w:rPr>
                <w:rFonts w:ascii="宋体" w:hAnsi="宋体" w:cs="宋体"/>
              </w:rPr>
            </w:pPr>
            <w:r>
              <w:rPr>
                <w:rFonts w:hint="eastAsia" w:ascii="宋体" w:hAnsi="宋体" w:cs="宋体"/>
              </w:rPr>
              <w:t>2</w:t>
            </w:r>
          </w:p>
        </w:tc>
        <w:tc>
          <w:tcPr>
            <w:tcW w:w="775" w:type="pct"/>
            <w:noWrap/>
          </w:tcPr>
          <w:p>
            <w:pPr>
              <w:jc w:val="center"/>
              <w:rPr>
                <w:rFonts w:ascii="宋体" w:hAnsi="宋体" w:cs="宋体"/>
              </w:rPr>
            </w:pPr>
          </w:p>
        </w:tc>
        <w:tc>
          <w:tcPr>
            <w:tcW w:w="465" w:type="pct"/>
            <w:noWrap/>
          </w:tcPr>
          <w:p>
            <w:pPr>
              <w:jc w:val="center"/>
              <w:rPr>
                <w:rFonts w:ascii="宋体" w:hAnsi="宋体" w:cs="宋体"/>
              </w:rPr>
            </w:pPr>
          </w:p>
        </w:tc>
        <w:tc>
          <w:tcPr>
            <w:tcW w:w="534" w:type="pct"/>
            <w:noWrap/>
          </w:tcPr>
          <w:p>
            <w:pPr>
              <w:jc w:val="center"/>
              <w:rPr>
                <w:rFonts w:ascii="宋体" w:hAnsi="宋体" w:cs="宋体"/>
              </w:rPr>
            </w:pPr>
          </w:p>
        </w:tc>
        <w:tc>
          <w:tcPr>
            <w:tcW w:w="473" w:type="pct"/>
            <w:noWrap/>
          </w:tcPr>
          <w:p>
            <w:pPr>
              <w:jc w:val="center"/>
              <w:rPr>
                <w:rFonts w:ascii="宋体" w:hAnsi="宋体" w:cs="宋体"/>
              </w:rPr>
            </w:pPr>
          </w:p>
        </w:tc>
        <w:tc>
          <w:tcPr>
            <w:tcW w:w="465" w:type="pct"/>
            <w:noWrap/>
          </w:tcPr>
          <w:p>
            <w:pPr>
              <w:jc w:val="center"/>
              <w:rPr>
                <w:rFonts w:ascii="宋体" w:hAnsi="宋体" w:cs="宋体"/>
              </w:rPr>
            </w:pPr>
          </w:p>
        </w:tc>
        <w:tc>
          <w:tcPr>
            <w:tcW w:w="439" w:type="pct"/>
            <w:noWrap/>
          </w:tcPr>
          <w:p>
            <w:pPr>
              <w:jc w:val="center"/>
              <w:rPr>
                <w:rFonts w:ascii="宋体" w:hAnsi="宋体" w:cs="宋体"/>
              </w:rPr>
            </w:pPr>
          </w:p>
        </w:tc>
        <w:tc>
          <w:tcPr>
            <w:tcW w:w="499" w:type="pct"/>
            <w:noWrap/>
          </w:tcPr>
          <w:p>
            <w:pPr>
              <w:jc w:val="center"/>
              <w:rPr>
                <w:rFonts w:ascii="宋体" w:hAnsi="宋体" w:cs="宋体"/>
              </w:rPr>
            </w:pPr>
          </w:p>
        </w:tc>
        <w:tc>
          <w:tcPr>
            <w:tcW w:w="508" w:type="pct"/>
            <w:noWrap/>
          </w:tcPr>
          <w:p>
            <w:pPr>
              <w:jc w:val="center"/>
              <w:rPr>
                <w:rFonts w:ascii="宋体" w:hAnsi="宋体" w:cs="宋体"/>
              </w:rPr>
            </w:pPr>
          </w:p>
        </w:tc>
        <w:tc>
          <w:tcPr>
            <w:tcW w:w="516"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 w:type="pct"/>
            <w:noWrap/>
          </w:tcPr>
          <w:p>
            <w:pPr>
              <w:jc w:val="center"/>
              <w:rPr>
                <w:rFonts w:ascii="宋体" w:hAnsi="宋体" w:cs="宋体"/>
              </w:rPr>
            </w:pPr>
            <w:r>
              <w:rPr>
                <w:rFonts w:hint="eastAsia" w:ascii="宋体" w:hAnsi="宋体" w:cs="宋体"/>
              </w:rPr>
              <w:t>3</w:t>
            </w:r>
          </w:p>
        </w:tc>
        <w:tc>
          <w:tcPr>
            <w:tcW w:w="775" w:type="pct"/>
            <w:noWrap/>
          </w:tcPr>
          <w:p>
            <w:pPr>
              <w:jc w:val="center"/>
              <w:rPr>
                <w:rFonts w:ascii="宋体" w:hAnsi="宋体" w:cs="宋体"/>
              </w:rPr>
            </w:pPr>
          </w:p>
        </w:tc>
        <w:tc>
          <w:tcPr>
            <w:tcW w:w="465" w:type="pct"/>
            <w:noWrap/>
          </w:tcPr>
          <w:p>
            <w:pPr>
              <w:jc w:val="center"/>
              <w:rPr>
                <w:rFonts w:ascii="宋体" w:hAnsi="宋体" w:cs="宋体"/>
              </w:rPr>
            </w:pPr>
          </w:p>
        </w:tc>
        <w:tc>
          <w:tcPr>
            <w:tcW w:w="534" w:type="pct"/>
            <w:noWrap/>
          </w:tcPr>
          <w:p>
            <w:pPr>
              <w:jc w:val="center"/>
              <w:rPr>
                <w:rFonts w:ascii="宋体" w:hAnsi="宋体" w:cs="宋体"/>
              </w:rPr>
            </w:pPr>
          </w:p>
        </w:tc>
        <w:tc>
          <w:tcPr>
            <w:tcW w:w="473" w:type="pct"/>
            <w:noWrap/>
          </w:tcPr>
          <w:p>
            <w:pPr>
              <w:jc w:val="center"/>
              <w:rPr>
                <w:rFonts w:ascii="宋体" w:hAnsi="宋体" w:cs="宋体"/>
              </w:rPr>
            </w:pPr>
          </w:p>
        </w:tc>
        <w:tc>
          <w:tcPr>
            <w:tcW w:w="465" w:type="pct"/>
            <w:noWrap/>
          </w:tcPr>
          <w:p>
            <w:pPr>
              <w:jc w:val="center"/>
              <w:rPr>
                <w:rFonts w:ascii="宋体" w:hAnsi="宋体" w:cs="宋体"/>
              </w:rPr>
            </w:pPr>
          </w:p>
        </w:tc>
        <w:tc>
          <w:tcPr>
            <w:tcW w:w="439" w:type="pct"/>
            <w:noWrap/>
          </w:tcPr>
          <w:p>
            <w:pPr>
              <w:jc w:val="center"/>
              <w:rPr>
                <w:rFonts w:ascii="宋体" w:hAnsi="宋体" w:cs="宋体"/>
              </w:rPr>
            </w:pPr>
          </w:p>
        </w:tc>
        <w:tc>
          <w:tcPr>
            <w:tcW w:w="499" w:type="pct"/>
            <w:noWrap/>
          </w:tcPr>
          <w:p>
            <w:pPr>
              <w:jc w:val="center"/>
              <w:rPr>
                <w:rFonts w:ascii="宋体" w:hAnsi="宋体" w:cs="宋体"/>
              </w:rPr>
            </w:pPr>
          </w:p>
        </w:tc>
        <w:tc>
          <w:tcPr>
            <w:tcW w:w="508" w:type="pct"/>
            <w:noWrap/>
          </w:tcPr>
          <w:p>
            <w:pPr>
              <w:jc w:val="center"/>
              <w:rPr>
                <w:rFonts w:ascii="宋体" w:hAnsi="宋体" w:cs="宋体"/>
              </w:rPr>
            </w:pPr>
          </w:p>
        </w:tc>
        <w:tc>
          <w:tcPr>
            <w:tcW w:w="516"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 w:type="pct"/>
            <w:noWrap/>
          </w:tcPr>
          <w:p>
            <w:pPr>
              <w:jc w:val="center"/>
              <w:rPr>
                <w:rFonts w:ascii="宋体" w:hAnsi="宋体" w:cs="宋体"/>
              </w:rPr>
            </w:pPr>
            <w:r>
              <w:rPr>
                <w:rFonts w:hint="eastAsia" w:ascii="宋体" w:hAnsi="宋体" w:cs="宋体"/>
              </w:rPr>
              <w:t>4</w:t>
            </w:r>
          </w:p>
        </w:tc>
        <w:tc>
          <w:tcPr>
            <w:tcW w:w="775" w:type="pct"/>
            <w:noWrap/>
          </w:tcPr>
          <w:p>
            <w:pPr>
              <w:jc w:val="center"/>
              <w:rPr>
                <w:rFonts w:ascii="宋体" w:hAnsi="宋体" w:cs="宋体"/>
              </w:rPr>
            </w:pPr>
          </w:p>
        </w:tc>
        <w:tc>
          <w:tcPr>
            <w:tcW w:w="465" w:type="pct"/>
            <w:noWrap/>
          </w:tcPr>
          <w:p>
            <w:pPr>
              <w:jc w:val="center"/>
              <w:rPr>
                <w:rFonts w:ascii="宋体" w:hAnsi="宋体" w:cs="宋体"/>
              </w:rPr>
            </w:pPr>
          </w:p>
        </w:tc>
        <w:tc>
          <w:tcPr>
            <w:tcW w:w="534" w:type="pct"/>
            <w:noWrap/>
          </w:tcPr>
          <w:p>
            <w:pPr>
              <w:jc w:val="center"/>
              <w:rPr>
                <w:rFonts w:ascii="宋体" w:hAnsi="宋体" w:cs="宋体"/>
              </w:rPr>
            </w:pPr>
          </w:p>
        </w:tc>
        <w:tc>
          <w:tcPr>
            <w:tcW w:w="473" w:type="pct"/>
            <w:noWrap/>
          </w:tcPr>
          <w:p>
            <w:pPr>
              <w:jc w:val="center"/>
              <w:rPr>
                <w:rFonts w:ascii="宋体" w:hAnsi="宋体" w:cs="宋体"/>
              </w:rPr>
            </w:pPr>
          </w:p>
        </w:tc>
        <w:tc>
          <w:tcPr>
            <w:tcW w:w="465" w:type="pct"/>
            <w:noWrap/>
          </w:tcPr>
          <w:p>
            <w:pPr>
              <w:jc w:val="center"/>
              <w:rPr>
                <w:rFonts w:ascii="宋体" w:hAnsi="宋体" w:cs="宋体"/>
              </w:rPr>
            </w:pPr>
          </w:p>
        </w:tc>
        <w:tc>
          <w:tcPr>
            <w:tcW w:w="439" w:type="pct"/>
            <w:noWrap/>
          </w:tcPr>
          <w:p>
            <w:pPr>
              <w:jc w:val="center"/>
              <w:rPr>
                <w:rFonts w:ascii="宋体" w:hAnsi="宋体" w:cs="宋体"/>
              </w:rPr>
            </w:pPr>
          </w:p>
        </w:tc>
        <w:tc>
          <w:tcPr>
            <w:tcW w:w="499" w:type="pct"/>
            <w:noWrap/>
          </w:tcPr>
          <w:p>
            <w:pPr>
              <w:jc w:val="center"/>
              <w:rPr>
                <w:rFonts w:ascii="宋体" w:hAnsi="宋体" w:cs="宋体"/>
              </w:rPr>
            </w:pPr>
          </w:p>
        </w:tc>
        <w:tc>
          <w:tcPr>
            <w:tcW w:w="508" w:type="pct"/>
            <w:noWrap/>
          </w:tcPr>
          <w:p>
            <w:pPr>
              <w:jc w:val="center"/>
              <w:rPr>
                <w:rFonts w:ascii="宋体" w:hAnsi="宋体" w:cs="宋体"/>
              </w:rPr>
            </w:pPr>
          </w:p>
        </w:tc>
        <w:tc>
          <w:tcPr>
            <w:tcW w:w="516" w:type="pct"/>
            <w:noWrap/>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3" w:type="pct"/>
            <w:noWrap/>
          </w:tcPr>
          <w:p>
            <w:pPr>
              <w:jc w:val="center"/>
              <w:rPr>
                <w:rFonts w:ascii="宋体" w:hAnsi="宋体" w:cs="宋体"/>
              </w:rPr>
            </w:pPr>
            <w:r>
              <w:rPr>
                <w:rFonts w:hint="eastAsia" w:ascii="宋体" w:hAnsi="宋体" w:cs="宋体"/>
              </w:rPr>
              <w:t>...</w:t>
            </w:r>
          </w:p>
        </w:tc>
        <w:tc>
          <w:tcPr>
            <w:tcW w:w="775" w:type="pct"/>
            <w:noWrap/>
          </w:tcPr>
          <w:p>
            <w:pPr>
              <w:jc w:val="center"/>
              <w:rPr>
                <w:rFonts w:ascii="宋体" w:hAnsi="宋体" w:cs="宋体"/>
              </w:rPr>
            </w:pPr>
          </w:p>
        </w:tc>
        <w:tc>
          <w:tcPr>
            <w:tcW w:w="465" w:type="pct"/>
            <w:noWrap/>
          </w:tcPr>
          <w:p>
            <w:pPr>
              <w:jc w:val="center"/>
              <w:rPr>
                <w:rFonts w:ascii="宋体" w:hAnsi="宋体" w:cs="宋体"/>
              </w:rPr>
            </w:pPr>
          </w:p>
        </w:tc>
        <w:tc>
          <w:tcPr>
            <w:tcW w:w="534" w:type="pct"/>
            <w:noWrap/>
          </w:tcPr>
          <w:p>
            <w:pPr>
              <w:jc w:val="center"/>
              <w:rPr>
                <w:rFonts w:ascii="宋体" w:hAnsi="宋体" w:cs="宋体"/>
              </w:rPr>
            </w:pPr>
          </w:p>
        </w:tc>
        <w:tc>
          <w:tcPr>
            <w:tcW w:w="473" w:type="pct"/>
            <w:noWrap/>
          </w:tcPr>
          <w:p>
            <w:pPr>
              <w:jc w:val="center"/>
              <w:rPr>
                <w:rFonts w:ascii="宋体" w:hAnsi="宋体" w:cs="宋体"/>
              </w:rPr>
            </w:pPr>
          </w:p>
        </w:tc>
        <w:tc>
          <w:tcPr>
            <w:tcW w:w="465" w:type="pct"/>
            <w:noWrap/>
          </w:tcPr>
          <w:p>
            <w:pPr>
              <w:jc w:val="center"/>
              <w:rPr>
                <w:rFonts w:ascii="宋体" w:hAnsi="宋体" w:cs="宋体"/>
              </w:rPr>
            </w:pPr>
          </w:p>
        </w:tc>
        <w:tc>
          <w:tcPr>
            <w:tcW w:w="439" w:type="pct"/>
            <w:noWrap/>
          </w:tcPr>
          <w:p>
            <w:pPr>
              <w:jc w:val="center"/>
              <w:rPr>
                <w:rFonts w:ascii="宋体" w:hAnsi="宋体" w:cs="宋体"/>
              </w:rPr>
            </w:pPr>
          </w:p>
        </w:tc>
        <w:tc>
          <w:tcPr>
            <w:tcW w:w="499" w:type="pct"/>
            <w:noWrap/>
          </w:tcPr>
          <w:p>
            <w:pPr>
              <w:jc w:val="center"/>
              <w:rPr>
                <w:rFonts w:ascii="宋体" w:hAnsi="宋体" w:cs="宋体"/>
              </w:rPr>
            </w:pPr>
          </w:p>
        </w:tc>
        <w:tc>
          <w:tcPr>
            <w:tcW w:w="508" w:type="pct"/>
            <w:noWrap/>
          </w:tcPr>
          <w:p>
            <w:pPr>
              <w:jc w:val="center"/>
              <w:rPr>
                <w:rFonts w:ascii="宋体" w:hAnsi="宋体" w:cs="宋体"/>
              </w:rPr>
            </w:pPr>
          </w:p>
        </w:tc>
        <w:tc>
          <w:tcPr>
            <w:tcW w:w="516" w:type="pct"/>
            <w:noWrap/>
          </w:tcPr>
          <w:p>
            <w:pPr>
              <w:jc w:val="center"/>
              <w:rPr>
                <w:rFonts w:ascii="宋体" w:hAnsi="宋体" w:cs="宋体"/>
              </w:rPr>
            </w:pPr>
          </w:p>
        </w:tc>
      </w:tr>
    </w:tbl>
    <w:p/>
    <w:p>
      <w:pPr>
        <w:jc w:val="center"/>
      </w:pPr>
      <w:r>
        <w:t>投标人</w:t>
      </w:r>
      <w:r>
        <w:rPr>
          <w:rFonts w:hint="eastAsia"/>
        </w:rPr>
        <w:t>（</w:t>
      </w:r>
      <w:r>
        <w:t>签章</w:t>
      </w:r>
      <w:r>
        <w:rPr>
          <w:rFonts w:hint="eastAsia"/>
        </w:rPr>
        <w:t>）</w:t>
      </w:r>
      <w:r>
        <w:t>：______________</w:t>
      </w:r>
    </w:p>
    <w:p>
      <w:pPr>
        <w:jc w:val="center"/>
      </w:pPr>
      <w:r>
        <w:rPr>
          <w:rFonts w:hint="eastAsia" w:ascii="宋体" w:hAnsi="宋体"/>
        </w:rPr>
        <w:t>日期：年月日</w:t>
      </w:r>
    </w:p>
    <w:p>
      <w:pPr>
        <w:rPr>
          <w:b/>
          <w:color w:val="0000FF"/>
        </w:rPr>
      </w:pPr>
      <w:r>
        <w:rPr>
          <w:rFonts w:hint="eastAsia"/>
          <w:b/>
          <w:color w:val="0000FF"/>
        </w:rPr>
        <w:t>注：</w:t>
      </w:r>
    </w:p>
    <w:p>
      <w:pPr>
        <w:widowControl/>
        <w:snapToGrid w:val="0"/>
        <w:jc w:val="left"/>
        <w:rPr>
          <w:rFonts w:ascii="方正黑体_GBK" w:hAnsi="方正黑体_GBK" w:eastAsia="方正黑体_GBK" w:cs="方正黑体_GBK"/>
          <w:b/>
          <w:bCs/>
          <w:color w:val="FF0000"/>
          <w:sz w:val="32"/>
          <w:szCs w:val="32"/>
        </w:rPr>
      </w:pPr>
      <w:r>
        <w:rPr>
          <w:rFonts w:hint="eastAsia" w:ascii="宋体" w:hAnsi="宋体"/>
          <w:color w:val="0000FF"/>
          <w:kern w:val="0"/>
        </w:rPr>
        <w:t>1、投标人的投标报价不得超过预算金额，否则将导致投标被否决。</w:t>
      </w:r>
    </w:p>
    <w:p>
      <w:pPr>
        <w:pStyle w:val="13"/>
        <w:ind w:left="0" w:leftChars="0" w:firstLine="0"/>
        <w:rPr>
          <w:rFonts w:ascii="方正黑体_GBK" w:hAnsi="方正黑体_GBK" w:eastAsia="方正黑体_GBK" w:cs="方正黑体_GBK"/>
          <w:b/>
          <w:bCs/>
          <w:color w:val="FF0000"/>
          <w:sz w:val="32"/>
          <w:szCs w:val="32"/>
        </w:rPr>
      </w:pPr>
    </w:p>
    <w:p>
      <w:pPr>
        <w:pStyle w:val="13"/>
        <w:ind w:left="0" w:leftChars="0" w:firstLine="0"/>
        <w:jc w:val="center"/>
        <w:rPr>
          <w:rFonts w:ascii="黑体" w:eastAsia="黑体" w:cs="Times New Roman"/>
          <w:b/>
          <w:sz w:val="24"/>
          <w:szCs w:val="24"/>
        </w:rPr>
      </w:pPr>
    </w:p>
    <w:p>
      <w:pPr>
        <w:widowControl/>
        <w:tabs>
          <w:tab w:val="left" w:pos="720"/>
        </w:tabs>
        <w:spacing w:line="360" w:lineRule="auto"/>
        <w:ind w:firstLine="5542" w:firstLineChars="2300"/>
        <w:rPr>
          <w:rFonts w:ascii="黑体" w:hAnsi="宋体" w:eastAsia="黑体"/>
          <w:b/>
          <w:sz w:val="24"/>
        </w:rPr>
      </w:pPr>
      <w:r>
        <w:rPr>
          <w:rFonts w:hint="eastAsia" w:ascii="黑体" w:hAnsi="宋体" w:eastAsia="黑体"/>
          <w:b/>
          <w:sz w:val="24"/>
        </w:rPr>
        <w:t>八、供应商认证情况</w:t>
      </w:r>
    </w:p>
    <w:p>
      <w:pPr>
        <w:pStyle w:val="2"/>
        <w:ind w:firstLine="420" w:firstLineChars="200"/>
        <w:rPr>
          <w:rFonts w:ascii="宋体" w:hAnsi="宋体" w:cs="宋体"/>
          <w:color w:val="FF0000"/>
          <w:sz w:val="21"/>
          <w:szCs w:val="21"/>
        </w:rPr>
      </w:pPr>
    </w:p>
    <w:p>
      <w:pPr>
        <w:pStyle w:val="2"/>
        <w:ind w:firstLine="420" w:firstLineChars="200"/>
        <w:rPr>
          <w:rFonts w:ascii="宋体" w:hAnsi="宋体"/>
          <w:color w:val="0000FF"/>
          <w:sz w:val="21"/>
          <w:szCs w:val="21"/>
          <w:lang w:val="en-US"/>
        </w:rPr>
      </w:pPr>
      <w:r>
        <w:rPr>
          <w:rFonts w:hint="eastAsia" w:ascii="宋体" w:hAnsi="宋体"/>
          <w:color w:val="0000FF"/>
          <w:sz w:val="21"/>
          <w:szCs w:val="21"/>
          <w:lang w:val="en-US"/>
        </w:rPr>
        <w:t>特别提示：</w:t>
      </w:r>
    </w:p>
    <w:p>
      <w:pPr>
        <w:pStyle w:val="2"/>
        <w:ind w:firstLine="420" w:firstLineChars="200"/>
        <w:rPr>
          <w:rFonts w:ascii="宋体" w:hAnsi="宋体"/>
          <w:color w:val="0000FF"/>
          <w:sz w:val="21"/>
          <w:szCs w:val="21"/>
          <w:lang w:val="en-US"/>
        </w:rPr>
      </w:pPr>
      <w:r>
        <w:rPr>
          <w:rFonts w:hint="eastAsia" w:ascii="宋体" w:hAnsi="宋体"/>
          <w:color w:val="0000FF"/>
          <w:sz w:val="21"/>
          <w:szCs w:val="21"/>
          <w:lang w:val="en-US"/>
        </w:rPr>
        <w:t>投标人须按本采购文件评标信息中“供应商认证情况”这一评审因素要求，提供证明资料！</w:t>
      </w:r>
    </w:p>
    <w:p>
      <w:pPr>
        <w:pStyle w:val="13"/>
        <w:ind w:left="0" w:leftChars="0" w:firstLine="0"/>
        <w:jc w:val="center"/>
        <w:rPr>
          <w:rFonts w:ascii="黑体" w:eastAsia="黑体" w:cs="Times New Roman"/>
          <w:b/>
          <w:sz w:val="24"/>
          <w:szCs w:val="24"/>
        </w:rPr>
      </w:pPr>
    </w:p>
    <w:p>
      <w:pPr>
        <w:pStyle w:val="13"/>
        <w:ind w:left="0" w:leftChars="0" w:firstLine="0"/>
        <w:jc w:val="center"/>
        <w:rPr>
          <w:rFonts w:ascii="黑体" w:eastAsia="黑体" w:cs="Times New Roman"/>
          <w:b/>
          <w:sz w:val="24"/>
          <w:szCs w:val="24"/>
        </w:rPr>
      </w:pPr>
    </w:p>
    <w:p>
      <w:pPr>
        <w:pStyle w:val="13"/>
        <w:ind w:left="0" w:leftChars="0" w:firstLine="0"/>
        <w:jc w:val="left"/>
        <w:rPr>
          <w:rFonts w:ascii="方正黑体_GBK" w:hAnsi="方正黑体_GBK" w:eastAsia="方正黑体_GBK" w:cs="方正黑体_GBK"/>
          <w:b/>
          <w:bCs/>
          <w:color w:val="FF0000"/>
          <w:sz w:val="32"/>
          <w:szCs w:val="32"/>
        </w:rPr>
      </w:pPr>
      <w:r>
        <w:rPr>
          <w:rFonts w:hint="eastAsia" w:ascii="宋体" w:hAnsi="宋体"/>
          <w:color w:val="FF0000"/>
        </w:rPr>
        <w:t>（一）中国国家强制性产品认证证书（CCC）</w:t>
      </w:r>
    </w:p>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170"/>
        <w:gridCol w:w="2500"/>
        <w:gridCol w:w="2253"/>
        <w:gridCol w:w="2847"/>
        <w:gridCol w:w="174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rPr>
                <w:rFonts w:ascii="宋体" w:hAnsi="宋体" w:cs="宋体"/>
              </w:rPr>
            </w:pPr>
            <w:r>
              <w:rPr>
                <w:rFonts w:hint="eastAsia" w:ascii="宋体" w:hAnsi="宋体" w:cs="宋体"/>
              </w:rPr>
              <w:t>序号</w:t>
            </w:r>
          </w:p>
        </w:tc>
        <w:tc>
          <w:tcPr>
            <w:tcW w:w="763" w:type="pct"/>
            <w:noWrap/>
          </w:tcPr>
          <w:p>
            <w:pPr>
              <w:ind w:firstLine="210" w:firstLineChars="100"/>
              <w:rPr>
                <w:rFonts w:ascii="宋体" w:hAnsi="宋体" w:cs="宋体"/>
                <w:szCs w:val="21"/>
              </w:rPr>
            </w:pPr>
            <w:r>
              <w:rPr>
                <w:rFonts w:hint="eastAsia" w:ascii="宋体" w:hAnsi="宋体" w:cs="宋体"/>
              </w:rPr>
              <w:t>认证产品（CCC）</w:t>
            </w:r>
          </w:p>
        </w:tc>
        <w:tc>
          <w:tcPr>
            <w:tcW w:w="879" w:type="pct"/>
            <w:noWrap/>
          </w:tcPr>
          <w:p>
            <w:pPr>
              <w:ind w:firstLine="630" w:firstLineChars="300"/>
              <w:rPr>
                <w:rFonts w:ascii="宋体" w:hAnsi="宋体" w:cs="宋体"/>
              </w:rPr>
            </w:pPr>
            <w:r>
              <w:rPr>
                <w:rFonts w:hint="eastAsia" w:ascii="宋体" w:hAnsi="宋体" w:cs="宋体"/>
              </w:rPr>
              <w:t>证书编号</w:t>
            </w:r>
          </w:p>
        </w:tc>
        <w:tc>
          <w:tcPr>
            <w:tcW w:w="792" w:type="pct"/>
            <w:noWrap/>
          </w:tcPr>
          <w:p>
            <w:pPr>
              <w:ind w:firstLine="210" w:firstLineChars="100"/>
              <w:rPr>
                <w:rFonts w:ascii="宋体" w:hAnsi="宋体" w:cs="宋体"/>
              </w:rPr>
            </w:pPr>
            <w:r>
              <w:rPr>
                <w:rFonts w:hint="eastAsia" w:ascii="宋体" w:hAnsi="宋体" w:cs="宋体"/>
              </w:rPr>
              <w:t>认证委托人名称</w:t>
            </w:r>
          </w:p>
        </w:tc>
        <w:tc>
          <w:tcPr>
            <w:tcW w:w="1001" w:type="pct"/>
            <w:noWrap/>
          </w:tcPr>
          <w:p>
            <w:pPr>
              <w:ind w:left="630" w:hanging="630" w:hangingChars="300"/>
              <w:jc w:val="center"/>
              <w:rPr>
                <w:rFonts w:ascii="宋体" w:hAnsi="宋体" w:cs="宋体"/>
              </w:rPr>
            </w:pPr>
            <w:r>
              <w:rPr>
                <w:rFonts w:hint="eastAsia" w:ascii="宋体" w:hAnsi="宋体" w:cs="宋体"/>
              </w:rPr>
              <w:t>生产（制造商）名称</w:t>
            </w:r>
          </w:p>
        </w:tc>
        <w:tc>
          <w:tcPr>
            <w:tcW w:w="613" w:type="pct"/>
            <w:noWrap/>
          </w:tcPr>
          <w:p>
            <w:pPr>
              <w:ind w:firstLine="210" w:firstLineChars="100"/>
              <w:rPr>
                <w:rFonts w:ascii="宋体" w:hAnsi="宋体" w:cs="宋体"/>
              </w:rPr>
            </w:pPr>
            <w:r>
              <w:rPr>
                <w:rFonts w:hint="eastAsia" w:ascii="宋体" w:hAnsi="宋体" w:cs="宋体"/>
              </w:rPr>
              <w:t>规格型号</w:t>
            </w:r>
          </w:p>
        </w:tc>
        <w:tc>
          <w:tcPr>
            <w:tcW w:w="668" w:type="pct"/>
            <w:noWrap/>
          </w:tcPr>
          <w:p>
            <w:pPr>
              <w:ind w:firstLine="420" w:firstLineChars="200"/>
              <w:rPr>
                <w:rFonts w:ascii="宋体" w:hAnsi="宋体" w:cs="宋体"/>
              </w:rPr>
            </w:pPr>
            <w:r>
              <w:rPr>
                <w:rFonts w:hint="eastAsia" w:ascii="宋体" w:hAnsi="宋体" w:cs="宋体"/>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pPr>
            <w:r>
              <w:rPr>
                <w:rFonts w:hint="eastAsia"/>
              </w:rPr>
              <w:t>1</w:t>
            </w:r>
          </w:p>
        </w:tc>
        <w:tc>
          <w:tcPr>
            <w:tcW w:w="763" w:type="pct"/>
            <w:noWrap/>
          </w:tcPr>
          <w:p>
            <w:pPr>
              <w:jc w:val="center"/>
              <w:rPr>
                <w:rFonts w:ascii="Times New Roman" w:hAnsi="Times New Roman"/>
                <w:szCs w:val="21"/>
              </w:rPr>
            </w:pPr>
          </w:p>
        </w:tc>
        <w:tc>
          <w:tcPr>
            <w:tcW w:w="879" w:type="pct"/>
            <w:noWrap/>
          </w:tcPr>
          <w:p>
            <w:pPr>
              <w:jc w:val="center"/>
            </w:pPr>
          </w:p>
        </w:tc>
        <w:tc>
          <w:tcPr>
            <w:tcW w:w="792" w:type="pct"/>
            <w:noWrap/>
          </w:tcPr>
          <w:p>
            <w:pPr>
              <w:jc w:val="center"/>
            </w:pPr>
          </w:p>
        </w:tc>
        <w:tc>
          <w:tcPr>
            <w:tcW w:w="1001" w:type="pct"/>
            <w:noWrap/>
          </w:tcPr>
          <w:p>
            <w:pPr>
              <w:jc w:val="center"/>
            </w:pPr>
          </w:p>
        </w:tc>
        <w:tc>
          <w:tcPr>
            <w:tcW w:w="613" w:type="pct"/>
            <w:noWrap/>
          </w:tcPr>
          <w:p>
            <w:pPr>
              <w:jc w:val="center"/>
            </w:pPr>
          </w:p>
        </w:tc>
        <w:tc>
          <w:tcPr>
            <w:tcW w:w="668" w:type="pct"/>
            <w:noWra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pPr>
            <w:r>
              <w:rPr>
                <w:rFonts w:hint="eastAsia"/>
              </w:rPr>
              <w:t>2</w:t>
            </w:r>
          </w:p>
        </w:tc>
        <w:tc>
          <w:tcPr>
            <w:tcW w:w="763" w:type="pct"/>
            <w:noWrap/>
          </w:tcPr>
          <w:p>
            <w:pPr>
              <w:jc w:val="center"/>
            </w:pPr>
          </w:p>
        </w:tc>
        <w:tc>
          <w:tcPr>
            <w:tcW w:w="879" w:type="pct"/>
            <w:noWrap/>
          </w:tcPr>
          <w:p>
            <w:pPr>
              <w:jc w:val="center"/>
            </w:pPr>
          </w:p>
        </w:tc>
        <w:tc>
          <w:tcPr>
            <w:tcW w:w="792" w:type="pct"/>
            <w:noWrap/>
          </w:tcPr>
          <w:p>
            <w:pPr>
              <w:jc w:val="center"/>
            </w:pPr>
          </w:p>
        </w:tc>
        <w:tc>
          <w:tcPr>
            <w:tcW w:w="1001" w:type="pct"/>
            <w:noWrap/>
          </w:tcPr>
          <w:p>
            <w:pPr>
              <w:jc w:val="center"/>
            </w:pPr>
          </w:p>
        </w:tc>
        <w:tc>
          <w:tcPr>
            <w:tcW w:w="613" w:type="pct"/>
            <w:noWrap/>
          </w:tcPr>
          <w:p>
            <w:pPr>
              <w:jc w:val="center"/>
            </w:pPr>
          </w:p>
        </w:tc>
        <w:tc>
          <w:tcPr>
            <w:tcW w:w="668" w:type="pct"/>
            <w:noWra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pPr>
            <w:r>
              <w:rPr>
                <w:rFonts w:hint="eastAsia"/>
              </w:rPr>
              <w:t>3</w:t>
            </w:r>
          </w:p>
        </w:tc>
        <w:tc>
          <w:tcPr>
            <w:tcW w:w="763" w:type="pct"/>
            <w:noWrap/>
          </w:tcPr>
          <w:p>
            <w:pPr>
              <w:jc w:val="center"/>
            </w:pPr>
          </w:p>
        </w:tc>
        <w:tc>
          <w:tcPr>
            <w:tcW w:w="879" w:type="pct"/>
            <w:noWrap/>
          </w:tcPr>
          <w:p>
            <w:pPr>
              <w:jc w:val="center"/>
            </w:pPr>
          </w:p>
        </w:tc>
        <w:tc>
          <w:tcPr>
            <w:tcW w:w="792" w:type="pct"/>
            <w:noWrap/>
          </w:tcPr>
          <w:p>
            <w:pPr>
              <w:jc w:val="center"/>
            </w:pPr>
          </w:p>
        </w:tc>
        <w:tc>
          <w:tcPr>
            <w:tcW w:w="1001" w:type="pct"/>
            <w:noWrap/>
          </w:tcPr>
          <w:p>
            <w:pPr>
              <w:jc w:val="center"/>
            </w:pPr>
          </w:p>
        </w:tc>
        <w:tc>
          <w:tcPr>
            <w:tcW w:w="613" w:type="pct"/>
            <w:noWrap/>
          </w:tcPr>
          <w:p>
            <w:pPr>
              <w:jc w:val="center"/>
            </w:pPr>
          </w:p>
        </w:tc>
        <w:tc>
          <w:tcPr>
            <w:tcW w:w="668" w:type="pct"/>
            <w:noWra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pPr>
            <w:r>
              <w:rPr>
                <w:rFonts w:hint="eastAsia"/>
              </w:rPr>
              <w:t>4</w:t>
            </w:r>
          </w:p>
        </w:tc>
        <w:tc>
          <w:tcPr>
            <w:tcW w:w="763" w:type="pct"/>
            <w:noWrap/>
          </w:tcPr>
          <w:p>
            <w:pPr>
              <w:jc w:val="center"/>
            </w:pPr>
          </w:p>
        </w:tc>
        <w:tc>
          <w:tcPr>
            <w:tcW w:w="879" w:type="pct"/>
            <w:noWrap/>
          </w:tcPr>
          <w:p>
            <w:pPr>
              <w:jc w:val="center"/>
            </w:pPr>
          </w:p>
        </w:tc>
        <w:tc>
          <w:tcPr>
            <w:tcW w:w="792" w:type="pct"/>
            <w:noWrap/>
          </w:tcPr>
          <w:p>
            <w:pPr>
              <w:jc w:val="center"/>
            </w:pPr>
          </w:p>
        </w:tc>
        <w:tc>
          <w:tcPr>
            <w:tcW w:w="1001" w:type="pct"/>
            <w:noWrap/>
          </w:tcPr>
          <w:p>
            <w:pPr>
              <w:jc w:val="center"/>
            </w:pPr>
          </w:p>
        </w:tc>
        <w:tc>
          <w:tcPr>
            <w:tcW w:w="613" w:type="pct"/>
            <w:noWrap/>
          </w:tcPr>
          <w:p>
            <w:pPr>
              <w:jc w:val="center"/>
            </w:pPr>
          </w:p>
        </w:tc>
        <w:tc>
          <w:tcPr>
            <w:tcW w:w="668" w:type="pct"/>
            <w:noWra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pPr>
            <w:r>
              <w:rPr>
                <w:rFonts w:hint="eastAsia"/>
              </w:rPr>
              <w:t>5</w:t>
            </w:r>
          </w:p>
        </w:tc>
        <w:tc>
          <w:tcPr>
            <w:tcW w:w="763" w:type="pct"/>
            <w:noWrap/>
          </w:tcPr>
          <w:p>
            <w:pPr>
              <w:jc w:val="center"/>
            </w:pPr>
          </w:p>
        </w:tc>
        <w:tc>
          <w:tcPr>
            <w:tcW w:w="879" w:type="pct"/>
            <w:noWrap/>
          </w:tcPr>
          <w:p>
            <w:pPr>
              <w:jc w:val="center"/>
            </w:pPr>
          </w:p>
        </w:tc>
        <w:tc>
          <w:tcPr>
            <w:tcW w:w="792" w:type="pct"/>
            <w:noWrap/>
          </w:tcPr>
          <w:p>
            <w:pPr>
              <w:jc w:val="center"/>
            </w:pPr>
          </w:p>
        </w:tc>
        <w:tc>
          <w:tcPr>
            <w:tcW w:w="1001" w:type="pct"/>
            <w:noWrap/>
          </w:tcPr>
          <w:p>
            <w:pPr>
              <w:jc w:val="center"/>
            </w:pPr>
          </w:p>
        </w:tc>
        <w:tc>
          <w:tcPr>
            <w:tcW w:w="613" w:type="pct"/>
            <w:noWrap/>
          </w:tcPr>
          <w:p>
            <w:pPr>
              <w:jc w:val="center"/>
            </w:pPr>
          </w:p>
        </w:tc>
        <w:tc>
          <w:tcPr>
            <w:tcW w:w="668" w:type="pct"/>
            <w:noWra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pPr>
            <w:r>
              <w:rPr>
                <w:rFonts w:hint="eastAsia"/>
              </w:rPr>
              <w:t>6</w:t>
            </w:r>
          </w:p>
        </w:tc>
        <w:tc>
          <w:tcPr>
            <w:tcW w:w="763" w:type="pct"/>
            <w:noWrap/>
          </w:tcPr>
          <w:p>
            <w:pPr>
              <w:jc w:val="center"/>
            </w:pPr>
          </w:p>
        </w:tc>
        <w:tc>
          <w:tcPr>
            <w:tcW w:w="879" w:type="pct"/>
            <w:noWrap/>
          </w:tcPr>
          <w:p>
            <w:pPr>
              <w:jc w:val="center"/>
            </w:pPr>
          </w:p>
        </w:tc>
        <w:tc>
          <w:tcPr>
            <w:tcW w:w="792" w:type="pct"/>
            <w:noWrap/>
          </w:tcPr>
          <w:p>
            <w:pPr>
              <w:jc w:val="center"/>
            </w:pPr>
          </w:p>
        </w:tc>
        <w:tc>
          <w:tcPr>
            <w:tcW w:w="1001" w:type="pct"/>
            <w:noWrap/>
          </w:tcPr>
          <w:p>
            <w:pPr>
              <w:jc w:val="center"/>
            </w:pPr>
          </w:p>
        </w:tc>
        <w:tc>
          <w:tcPr>
            <w:tcW w:w="613" w:type="pct"/>
            <w:noWrap/>
          </w:tcPr>
          <w:p>
            <w:pPr>
              <w:jc w:val="center"/>
            </w:pPr>
          </w:p>
        </w:tc>
        <w:tc>
          <w:tcPr>
            <w:tcW w:w="668" w:type="pct"/>
            <w:noWra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noWrap/>
          </w:tcPr>
          <w:p>
            <w:pPr>
              <w:jc w:val="center"/>
            </w:pPr>
          </w:p>
        </w:tc>
        <w:tc>
          <w:tcPr>
            <w:tcW w:w="763" w:type="pct"/>
            <w:noWrap/>
          </w:tcPr>
          <w:p>
            <w:pPr>
              <w:jc w:val="center"/>
            </w:pPr>
          </w:p>
        </w:tc>
        <w:tc>
          <w:tcPr>
            <w:tcW w:w="879" w:type="pct"/>
            <w:noWrap/>
          </w:tcPr>
          <w:p>
            <w:pPr>
              <w:jc w:val="center"/>
            </w:pPr>
          </w:p>
        </w:tc>
        <w:tc>
          <w:tcPr>
            <w:tcW w:w="792" w:type="pct"/>
            <w:noWrap/>
          </w:tcPr>
          <w:p>
            <w:pPr>
              <w:jc w:val="center"/>
            </w:pPr>
          </w:p>
        </w:tc>
        <w:tc>
          <w:tcPr>
            <w:tcW w:w="1001" w:type="pct"/>
            <w:noWrap/>
          </w:tcPr>
          <w:p>
            <w:pPr>
              <w:jc w:val="center"/>
            </w:pPr>
          </w:p>
        </w:tc>
        <w:tc>
          <w:tcPr>
            <w:tcW w:w="613" w:type="pct"/>
            <w:noWrap/>
          </w:tcPr>
          <w:p>
            <w:pPr>
              <w:jc w:val="center"/>
            </w:pPr>
          </w:p>
        </w:tc>
        <w:tc>
          <w:tcPr>
            <w:tcW w:w="668" w:type="pct"/>
            <w:noWrap/>
          </w:tcPr>
          <w:p>
            <w:pPr>
              <w:jc w:val="center"/>
            </w:pPr>
          </w:p>
        </w:tc>
      </w:tr>
    </w:tbl>
    <w:p>
      <w:pPr>
        <w:rPr>
          <w:rFonts w:ascii="宋体" w:hAnsi="宋体"/>
          <w:color w:val="0000FF"/>
          <w:kern w:val="0"/>
          <w:szCs w:val="21"/>
        </w:rPr>
      </w:pPr>
      <w:r>
        <w:rPr>
          <w:rFonts w:hint="eastAsia" w:ascii="宋体" w:hAnsi="宋体"/>
          <w:color w:val="0000FF"/>
          <w:kern w:val="0"/>
          <w:szCs w:val="21"/>
        </w:rPr>
        <w:t>注：强制性产品认证证书（CCC）必须与附表（七）项目明细报价单中所投品牌及型号相一致！</w:t>
      </w:r>
    </w:p>
    <w:p>
      <w:pPr>
        <w:spacing w:line="360" w:lineRule="auto"/>
        <w:rPr>
          <w:rFonts w:ascii="宋体" w:hAnsi="宋体" w:cs="宋体"/>
          <w:szCs w:val="21"/>
        </w:rPr>
      </w:pPr>
    </w:p>
    <w:p>
      <w:pPr>
        <w:widowControl/>
        <w:snapToGrid w:val="0"/>
        <w:jc w:val="left"/>
        <w:rPr>
          <w:rFonts w:ascii="宋体" w:hAnsi="宋体"/>
          <w:color w:val="0000FF"/>
          <w:kern w:val="0"/>
        </w:rPr>
      </w:pPr>
    </w:p>
    <w:p>
      <w:pPr>
        <w:pStyle w:val="14"/>
        <w:ind w:left="1470" w:right="1470"/>
        <w:rPr>
          <w:rFonts w:ascii="宋体" w:hAnsi="宋体"/>
          <w:color w:val="0000FF"/>
          <w:kern w:val="0"/>
        </w:rPr>
      </w:pPr>
    </w:p>
    <w:p>
      <w:pPr>
        <w:pStyle w:val="14"/>
        <w:ind w:left="1470" w:right="1470"/>
        <w:rPr>
          <w:rFonts w:ascii="宋体" w:hAnsi="宋体"/>
          <w:color w:val="0000FF"/>
          <w:kern w:val="0"/>
        </w:rPr>
      </w:pPr>
    </w:p>
    <w:p>
      <w:pPr>
        <w:pStyle w:val="14"/>
        <w:ind w:left="1470" w:right="1470"/>
        <w:rPr>
          <w:rFonts w:ascii="宋体" w:hAnsi="宋体"/>
          <w:color w:val="0000FF"/>
          <w:kern w:val="0"/>
        </w:rPr>
      </w:pPr>
    </w:p>
    <w:p>
      <w:pPr>
        <w:pStyle w:val="14"/>
        <w:ind w:left="1470" w:right="1470"/>
        <w:rPr>
          <w:rFonts w:ascii="宋体" w:hAnsi="宋体"/>
          <w:color w:val="0000FF"/>
          <w:kern w:val="0"/>
        </w:rPr>
      </w:pPr>
    </w:p>
    <w:p>
      <w:pPr>
        <w:widowControl/>
        <w:snapToGrid w:val="0"/>
        <w:ind w:firstLine="420" w:firstLineChars="200"/>
        <w:jc w:val="left"/>
        <w:rPr>
          <w:rFonts w:ascii="宋体" w:hAnsi="宋体"/>
          <w:color w:val="0000FF"/>
          <w:kern w:val="0"/>
        </w:rPr>
      </w:pPr>
    </w:p>
    <w:p>
      <w:pPr>
        <w:pStyle w:val="2"/>
        <w:spacing w:line="500" w:lineRule="exact"/>
        <w:rPr>
          <w:rFonts w:ascii="宋体" w:hAnsi="宋体" w:cs="宋体"/>
          <w:sz w:val="21"/>
          <w:szCs w:val="21"/>
        </w:rPr>
      </w:pPr>
      <w:r>
        <w:rPr>
          <w:rFonts w:hint="eastAsia" w:ascii="宋体" w:hAnsi="宋体" w:cs="宋体"/>
          <w:color w:val="FF0000"/>
          <w:sz w:val="21"/>
          <w:szCs w:val="21"/>
        </w:rPr>
        <w:t>（</w:t>
      </w:r>
      <w:r>
        <w:rPr>
          <w:rFonts w:hint="eastAsia" w:ascii="宋体" w:hAnsi="宋体" w:cs="宋体"/>
          <w:color w:val="FF0000"/>
          <w:sz w:val="21"/>
          <w:szCs w:val="21"/>
          <w:lang w:val="en-US"/>
        </w:rPr>
        <w:t>二</w:t>
      </w:r>
      <w:r>
        <w:rPr>
          <w:rFonts w:hint="eastAsia" w:ascii="宋体" w:hAnsi="宋体" w:cs="宋体"/>
          <w:color w:val="FF0000"/>
          <w:sz w:val="21"/>
          <w:szCs w:val="21"/>
        </w:rPr>
        <w:t xml:space="preserve">）节能产品明细清单  </w:t>
      </w:r>
      <w:r>
        <w:rPr>
          <w:rFonts w:hint="eastAsia" w:ascii="宋体" w:hAnsi="宋体" w:cs="宋体"/>
          <w:sz w:val="21"/>
          <w:szCs w:val="21"/>
        </w:rPr>
        <w:t xml:space="preserve"> 报价货币种类金额（单位：元）</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686"/>
        <w:gridCol w:w="900"/>
        <w:gridCol w:w="2106"/>
        <w:gridCol w:w="2106"/>
        <w:gridCol w:w="3156"/>
        <w:gridCol w:w="1085"/>
        <w:gridCol w:w="1147"/>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tcPr>
          <w:p>
            <w:pPr>
              <w:pStyle w:val="2"/>
              <w:spacing w:line="500" w:lineRule="exact"/>
              <w:jc w:val="center"/>
              <w:rPr>
                <w:rFonts w:ascii="宋体" w:hAnsi="宋体" w:cs="宋体"/>
                <w:sz w:val="21"/>
                <w:szCs w:val="21"/>
              </w:rPr>
            </w:pPr>
            <w:r>
              <w:rPr>
                <w:rFonts w:hint="eastAsia" w:ascii="宋体" w:hAnsi="宋体" w:cs="宋体"/>
                <w:sz w:val="21"/>
                <w:szCs w:val="21"/>
              </w:rPr>
              <w:t>制造商</w:t>
            </w:r>
          </w:p>
        </w:tc>
        <w:tc>
          <w:tcPr>
            <w:tcW w:w="433" w:type="pct"/>
            <w:noWrap/>
          </w:tcPr>
          <w:p>
            <w:pPr>
              <w:pStyle w:val="2"/>
              <w:spacing w:line="500" w:lineRule="exact"/>
              <w:jc w:val="center"/>
              <w:rPr>
                <w:rFonts w:ascii="宋体" w:hAnsi="宋体" w:cs="宋体"/>
                <w:sz w:val="21"/>
                <w:szCs w:val="21"/>
              </w:rPr>
            </w:pPr>
            <w:r>
              <w:rPr>
                <w:rFonts w:hint="eastAsia" w:ascii="宋体" w:hAnsi="宋体" w:cs="宋体"/>
                <w:sz w:val="21"/>
                <w:szCs w:val="21"/>
              </w:rPr>
              <w:t>制造商企业类型</w:t>
            </w:r>
          </w:p>
        </w:tc>
        <w:tc>
          <w:tcPr>
            <w:tcW w:w="433" w:type="pct"/>
            <w:noWrap/>
          </w:tcPr>
          <w:p>
            <w:pPr>
              <w:pStyle w:val="2"/>
              <w:spacing w:line="500" w:lineRule="exact"/>
              <w:jc w:val="center"/>
              <w:rPr>
                <w:rFonts w:ascii="宋体" w:hAnsi="宋体" w:cs="宋体"/>
                <w:sz w:val="21"/>
                <w:szCs w:val="21"/>
              </w:rPr>
            </w:pPr>
            <w:r>
              <w:rPr>
                <w:rFonts w:hint="eastAsia" w:ascii="宋体" w:hAnsi="宋体" w:cs="宋体"/>
                <w:sz w:val="21"/>
                <w:szCs w:val="21"/>
              </w:rPr>
              <w:t>品牌</w:t>
            </w:r>
          </w:p>
        </w:tc>
        <w:tc>
          <w:tcPr>
            <w:tcW w:w="661" w:type="pct"/>
            <w:noWrap/>
          </w:tcPr>
          <w:p>
            <w:pPr>
              <w:pStyle w:val="2"/>
              <w:spacing w:line="500" w:lineRule="exact"/>
              <w:jc w:val="center"/>
              <w:rPr>
                <w:rFonts w:ascii="宋体" w:hAnsi="宋体" w:cs="宋体"/>
                <w:sz w:val="21"/>
                <w:szCs w:val="21"/>
              </w:rPr>
            </w:pPr>
            <w:r>
              <w:rPr>
                <w:rFonts w:hint="eastAsia" w:ascii="宋体" w:hAnsi="宋体" w:cs="宋体"/>
                <w:sz w:val="21"/>
                <w:szCs w:val="21"/>
              </w:rPr>
              <w:t>产品名称、规格型号</w:t>
            </w:r>
          </w:p>
        </w:tc>
        <w:tc>
          <w:tcPr>
            <w:tcW w:w="685" w:type="pct"/>
            <w:noWrap/>
          </w:tcPr>
          <w:p>
            <w:pPr>
              <w:pStyle w:val="2"/>
              <w:spacing w:line="500" w:lineRule="exact"/>
              <w:jc w:val="center"/>
              <w:rPr>
                <w:rFonts w:ascii="宋体" w:hAnsi="宋体" w:cs="宋体"/>
                <w:sz w:val="21"/>
                <w:szCs w:val="21"/>
              </w:rPr>
            </w:pPr>
            <w:r>
              <w:rPr>
                <w:rFonts w:hint="eastAsia" w:ascii="宋体" w:hAnsi="宋体" w:cs="宋体"/>
                <w:sz w:val="21"/>
                <w:szCs w:val="21"/>
              </w:rPr>
              <w:t>节字标志认证证书号</w:t>
            </w:r>
          </w:p>
        </w:tc>
        <w:tc>
          <w:tcPr>
            <w:tcW w:w="823" w:type="pct"/>
            <w:noWrap/>
          </w:tcPr>
          <w:p>
            <w:pPr>
              <w:pStyle w:val="2"/>
              <w:spacing w:line="500" w:lineRule="exact"/>
              <w:jc w:val="center"/>
              <w:rPr>
                <w:rFonts w:ascii="宋体" w:hAnsi="宋体" w:cs="宋体"/>
                <w:sz w:val="21"/>
                <w:szCs w:val="21"/>
              </w:rPr>
            </w:pPr>
            <w:r>
              <w:rPr>
                <w:rFonts w:hint="eastAsia" w:ascii="宋体" w:hAnsi="宋体" w:cs="宋体"/>
                <w:sz w:val="21"/>
                <w:szCs w:val="21"/>
              </w:rPr>
              <w:t>节能产品认证证书有效截止日期</w:t>
            </w:r>
          </w:p>
        </w:tc>
        <w:tc>
          <w:tcPr>
            <w:tcW w:w="498" w:type="pct"/>
            <w:noWrap/>
          </w:tcPr>
          <w:p>
            <w:pPr>
              <w:pStyle w:val="2"/>
              <w:spacing w:line="500" w:lineRule="exact"/>
              <w:jc w:val="center"/>
              <w:rPr>
                <w:rFonts w:ascii="宋体" w:hAnsi="宋体" w:cs="宋体"/>
                <w:sz w:val="21"/>
                <w:szCs w:val="21"/>
              </w:rPr>
            </w:pPr>
            <w:r>
              <w:rPr>
                <w:rFonts w:hint="eastAsia" w:ascii="宋体" w:hAnsi="宋体" w:cs="宋体"/>
                <w:sz w:val="21"/>
                <w:szCs w:val="21"/>
              </w:rPr>
              <w:t>单位</w:t>
            </w:r>
          </w:p>
        </w:tc>
        <w:tc>
          <w:tcPr>
            <w:tcW w:w="520" w:type="pct"/>
            <w:noWrap/>
          </w:tcPr>
          <w:p>
            <w:pPr>
              <w:pStyle w:val="2"/>
              <w:spacing w:line="500" w:lineRule="exact"/>
              <w:jc w:val="center"/>
              <w:rPr>
                <w:rFonts w:ascii="宋体" w:hAnsi="宋体" w:cs="宋体"/>
                <w:sz w:val="21"/>
                <w:szCs w:val="21"/>
              </w:rPr>
            </w:pPr>
            <w:r>
              <w:rPr>
                <w:rFonts w:hint="eastAsia" w:ascii="宋体" w:hAnsi="宋体" w:cs="宋体"/>
                <w:sz w:val="21"/>
                <w:szCs w:val="21"/>
              </w:rPr>
              <w:t>数量</w:t>
            </w:r>
          </w:p>
        </w:tc>
        <w:tc>
          <w:tcPr>
            <w:tcW w:w="479" w:type="pct"/>
            <w:noWrap/>
          </w:tcPr>
          <w:p>
            <w:pPr>
              <w:pStyle w:val="2"/>
              <w:spacing w:line="500" w:lineRule="exact"/>
              <w:jc w:val="center"/>
              <w:rPr>
                <w:rFonts w:ascii="宋体" w:hAnsi="宋体" w:cs="宋体"/>
                <w:sz w:val="21"/>
                <w:szCs w:val="21"/>
              </w:rPr>
            </w:pPr>
            <w:r>
              <w:rPr>
                <w:rFonts w:hint="eastAsia" w:ascii="宋体" w:hAnsi="宋体" w:cs="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tcPr>
          <w:p>
            <w:pPr>
              <w:pStyle w:val="2"/>
              <w:spacing w:line="500" w:lineRule="exact"/>
              <w:jc w:val="center"/>
              <w:rPr>
                <w:rFonts w:ascii="宋体" w:hAnsi="宋体" w:cs="宋体"/>
                <w:sz w:val="21"/>
                <w:szCs w:val="21"/>
              </w:rPr>
            </w:pPr>
          </w:p>
        </w:tc>
        <w:tc>
          <w:tcPr>
            <w:tcW w:w="433" w:type="pct"/>
            <w:noWrap/>
          </w:tcPr>
          <w:p>
            <w:pPr>
              <w:pStyle w:val="2"/>
              <w:spacing w:line="500" w:lineRule="exact"/>
              <w:jc w:val="center"/>
              <w:rPr>
                <w:rFonts w:ascii="宋体" w:hAnsi="宋体" w:cs="宋体"/>
                <w:sz w:val="21"/>
                <w:szCs w:val="21"/>
              </w:rPr>
            </w:pPr>
          </w:p>
        </w:tc>
        <w:tc>
          <w:tcPr>
            <w:tcW w:w="433" w:type="pct"/>
            <w:noWrap/>
          </w:tcPr>
          <w:p>
            <w:pPr>
              <w:pStyle w:val="2"/>
              <w:spacing w:line="500" w:lineRule="exact"/>
              <w:jc w:val="center"/>
              <w:rPr>
                <w:rFonts w:ascii="宋体" w:hAnsi="宋体" w:cs="宋体"/>
                <w:sz w:val="21"/>
                <w:szCs w:val="21"/>
              </w:rPr>
            </w:pPr>
          </w:p>
        </w:tc>
        <w:tc>
          <w:tcPr>
            <w:tcW w:w="661" w:type="pct"/>
            <w:noWrap/>
          </w:tcPr>
          <w:p>
            <w:pPr>
              <w:pStyle w:val="2"/>
              <w:spacing w:line="500" w:lineRule="exact"/>
              <w:jc w:val="center"/>
              <w:rPr>
                <w:rFonts w:ascii="宋体" w:hAnsi="宋体" w:cs="宋体"/>
                <w:sz w:val="21"/>
                <w:szCs w:val="21"/>
              </w:rPr>
            </w:pPr>
          </w:p>
        </w:tc>
        <w:tc>
          <w:tcPr>
            <w:tcW w:w="685" w:type="pct"/>
            <w:noWrap/>
          </w:tcPr>
          <w:p>
            <w:pPr>
              <w:pStyle w:val="2"/>
              <w:spacing w:line="500" w:lineRule="exact"/>
              <w:jc w:val="center"/>
              <w:rPr>
                <w:rFonts w:ascii="宋体" w:hAnsi="宋体" w:cs="宋体"/>
                <w:sz w:val="21"/>
                <w:szCs w:val="21"/>
              </w:rPr>
            </w:pPr>
          </w:p>
        </w:tc>
        <w:tc>
          <w:tcPr>
            <w:tcW w:w="823" w:type="pct"/>
            <w:noWrap/>
          </w:tcPr>
          <w:p>
            <w:pPr>
              <w:pStyle w:val="2"/>
              <w:spacing w:line="500" w:lineRule="exact"/>
              <w:jc w:val="center"/>
              <w:rPr>
                <w:rFonts w:ascii="宋体" w:hAnsi="宋体" w:cs="宋体"/>
                <w:sz w:val="21"/>
                <w:szCs w:val="21"/>
              </w:rPr>
            </w:pPr>
          </w:p>
        </w:tc>
        <w:tc>
          <w:tcPr>
            <w:tcW w:w="498" w:type="pct"/>
            <w:noWrap/>
          </w:tcPr>
          <w:p>
            <w:pPr>
              <w:pStyle w:val="2"/>
              <w:spacing w:line="500" w:lineRule="exact"/>
              <w:jc w:val="center"/>
              <w:rPr>
                <w:rFonts w:ascii="宋体" w:hAnsi="宋体" w:cs="宋体"/>
                <w:sz w:val="21"/>
                <w:szCs w:val="21"/>
              </w:rPr>
            </w:pPr>
          </w:p>
        </w:tc>
        <w:tc>
          <w:tcPr>
            <w:tcW w:w="520" w:type="pct"/>
            <w:noWrap/>
          </w:tcPr>
          <w:p>
            <w:pPr>
              <w:pStyle w:val="2"/>
              <w:spacing w:line="500" w:lineRule="exact"/>
              <w:jc w:val="center"/>
              <w:rPr>
                <w:rFonts w:ascii="宋体" w:hAnsi="宋体" w:cs="宋体"/>
                <w:sz w:val="21"/>
                <w:szCs w:val="21"/>
              </w:rPr>
            </w:pPr>
          </w:p>
        </w:tc>
        <w:tc>
          <w:tcPr>
            <w:tcW w:w="479" w:type="pct"/>
            <w:noWrap/>
          </w:tcPr>
          <w:p>
            <w:pPr>
              <w:pStyle w:val="2"/>
              <w:spacing w:line="50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tcPr>
          <w:p>
            <w:pPr>
              <w:pStyle w:val="2"/>
              <w:spacing w:line="500" w:lineRule="exact"/>
              <w:rPr>
                <w:rFonts w:ascii="宋体" w:hAnsi="宋体" w:cs="宋体"/>
                <w:sz w:val="21"/>
                <w:szCs w:val="21"/>
              </w:rPr>
            </w:pPr>
          </w:p>
        </w:tc>
        <w:tc>
          <w:tcPr>
            <w:tcW w:w="433" w:type="pct"/>
            <w:noWrap/>
          </w:tcPr>
          <w:p>
            <w:pPr>
              <w:pStyle w:val="2"/>
              <w:spacing w:line="500" w:lineRule="exact"/>
              <w:rPr>
                <w:rFonts w:ascii="宋体" w:hAnsi="宋体" w:cs="宋体"/>
                <w:sz w:val="21"/>
                <w:szCs w:val="21"/>
              </w:rPr>
            </w:pPr>
          </w:p>
        </w:tc>
        <w:tc>
          <w:tcPr>
            <w:tcW w:w="433" w:type="pct"/>
            <w:noWrap/>
          </w:tcPr>
          <w:p>
            <w:pPr>
              <w:pStyle w:val="2"/>
              <w:spacing w:line="500" w:lineRule="exact"/>
              <w:rPr>
                <w:rFonts w:ascii="宋体" w:hAnsi="宋体" w:cs="宋体"/>
                <w:sz w:val="21"/>
                <w:szCs w:val="21"/>
              </w:rPr>
            </w:pPr>
          </w:p>
        </w:tc>
        <w:tc>
          <w:tcPr>
            <w:tcW w:w="661" w:type="pct"/>
            <w:noWrap/>
          </w:tcPr>
          <w:p>
            <w:pPr>
              <w:pStyle w:val="2"/>
              <w:spacing w:line="500" w:lineRule="exact"/>
              <w:rPr>
                <w:rFonts w:ascii="宋体" w:hAnsi="宋体" w:cs="宋体"/>
                <w:sz w:val="21"/>
                <w:szCs w:val="21"/>
              </w:rPr>
            </w:pPr>
          </w:p>
        </w:tc>
        <w:tc>
          <w:tcPr>
            <w:tcW w:w="685" w:type="pct"/>
            <w:noWrap/>
          </w:tcPr>
          <w:p>
            <w:pPr>
              <w:pStyle w:val="2"/>
              <w:spacing w:line="500" w:lineRule="exact"/>
              <w:rPr>
                <w:rFonts w:ascii="宋体" w:hAnsi="宋体" w:cs="宋体"/>
                <w:sz w:val="21"/>
                <w:szCs w:val="21"/>
              </w:rPr>
            </w:pPr>
          </w:p>
        </w:tc>
        <w:tc>
          <w:tcPr>
            <w:tcW w:w="823" w:type="pct"/>
            <w:noWrap/>
          </w:tcPr>
          <w:p>
            <w:pPr>
              <w:pStyle w:val="2"/>
              <w:spacing w:line="500" w:lineRule="exact"/>
              <w:rPr>
                <w:rFonts w:ascii="宋体" w:hAnsi="宋体" w:cs="宋体"/>
                <w:sz w:val="21"/>
                <w:szCs w:val="21"/>
              </w:rPr>
            </w:pPr>
          </w:p>
        </w:tc>
        <w:tc>
          <w:tcPr>
            <w:tcW w:w="498" w:type="pct"/>
            <w:noWrap/>
          </w:tcPr>
          <w:p>
            <w:pPr>
              <w:pStyle w:val="2"/>
              <w:spacing w:line="500" w:lineRule="exact"/>
              <w:rPr>
                <w:rFonts w:ascii="宋体" w:hAnsi="宋体" w:cs="宋体"/>
                <w:sz w:val="21"/>
                <w:szCs w:val="21"/>
              </w:rPr>
            </w:pPr>
          </w:p>
        </w:tc>
        <w:tc>
          <w:tcPr>
            <w:tcW w:w="520" w:type="pct"/>
            <w:noWrap/>
          </w:tcPr>
          <w:p>
            <w:pPr>
              <w:pStyle w:val="2"/>
              <w:spacing w:line="500" w:lineRule="exact"/>
              <w:rPr>
                <w:rFonts w:ascii="宋体" w:hAnsi="宋体" w:cs="宋体"/>
                <w:sz w:val="21"/>
                <w:szCs w:val="21"/>
              </w:rPr>
            </w:pPr>
          </w:p>
        </w:tc>
        <w:tc>
          <w:tcPr>
            <w:tcW w:w="479" w:type="pct"/>
            <w:noWrap/>
          </w:tcPr>
          <w:p>
            <w:pPr>
              <w:pStyle w:val="2"/>
              <w:spacing w:line="5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tcPr>
          <w:p>
            <w:pPr>
              <w:pStyle w:val="2"/>
              <w:spacing w:line="500" w:lineRule="exact"/>
              <w:rPr>
                <w:rFonts w:ascii="宋体" w:hAnsi="宋体" w:cs="宋体"/>
                <w:sz w:val="21"/>
                <w:szCs w:val="21"/>
              </w:rPr>
            </w:pPr>
          </w:p>
        </w:tc>
        <w:tc>
          <w:tcPr>
            <w:tcW w:w="433" w:type="pct"/>
            <w:noWrap/>
          </w:tcPr>
          <w:p>
            <w:pPr>
              <w:pStyle w:val="2"/>
              <w:spacing w:line="500" w:lineRule="exact"/>
              <w:rPr>
                <w:rFonts w:ascii="宋体" w:hAnsi="宋体" w:cs="宋体"/>
                <w:sz w:val="21"/>
                <w:szCs w:val="21"/>
              </w:rPr>
            </w:pPr>
          </w:p>
        </w:tc>
        <w:tc>
          <w:tcPr>
            <w:tcW w:w="433" w:type="pct"/>
            <w:noWrap/>
          </w:tcPr>
          <w:p>
            <w:pPr>
              <w:pStyle w:val="2"/>
              <w:spacing w:line="500" w:lineRule="exact"/>
              <w:rPr>
                <w:rFonts w:ascii="宋体" w:hAnsi="宋体" w:cs="宋体"/>
                <w:sz w:val="21"/>
                <w:szCs w:val="21"/>
              </w:rPr>
            </w:pPr>
          </w:p>
        </w:tc>
        <w:tc>
          <w:tcPr>
            <w:tcW w:w="661" w:type="pct"/>
            <w:noWrap/>
          </w:tcPr>
          <w:p>
            <w:pPr>
              <w:pStyle w:val="2"/>
              <w:spacing w:line="500" w:lineRule="exact"/>
              <w:rPr>
                <w:rFonts w:ascii="宋体" w:hAnsi="宋体" w:cs="宋体"/>
                <w:sz w:val="21"/>
                <w:szCs w:val="21"/>
              </w:rPr>
            </w:pPr>
          </w:p>
        </w:tc>
        <w:tc>
          <w:tcPr>
            <w:tcW w:w="685" w:type="pct"/>
            <w:noWrap/>
          </w:tcPr>
          <w:p>
            <w:pPr>
              <w:pStyle w:val="2"/>
              <w:spacing w:line="500" w:lineRule="exact"/>
              <w:rPr>
                <w:rFonts w:ascii="宋体" w:hAnsi="宋体" w:cs="宋体"/>
                <w:sz w:val="21"/>
                <w:szCs w:val="21"/>
              </w:rPr>
            </w:pPr>
          </w:p>
        </w:tc>
        <w:tc>
          <w:tcPr>
            <w:tcW w:w="823" w:type="pct"/>
            <w:noWrap/>
          </w:tcPr>
          <w:p>
            <w:pPr>
              <w:pStyle w:val="2"/>
              <w:spacing w:line="500" w:lineRule="exact"/>
              <w:rPr>
                <w:rFonts w:ascii="宋体" w:hAnsi="宋体" w:cs="宋体"/>
                <w:sz w:val="21"/>
                <w:szCs w:val="21"/>
              </w:rPr>
            </w:pPr>
          </w:p>
        </w:tc>
        <w:tc>
          <w:tcPr>
            <w:tcW w:w="498" w:type="pct"/>
            <w:noWrap/>
          </w:tcPr>
          <w:p>
            <w:pPr>
              <w:pStyle w:val="2"/>
              <w:spacing w:line="500" w:lineRule="exact"/>
              <w:rPr>
                <w:rFonts w:ascii="宋体" w:hAnsi="宋体" w:cs="宋体"/>
                <w:sz w:val="21"/>
                <w:szCs w:val="21"/>
              </w:rPr>
            </w:pPr>
          </w:p>
        </w:tc>
        <w:tc>
          <w:tcPr>
            <w:tcW w:w="520" w:type="pct"/>
            <w:noWrap/>
          </w:tcPr>
          <w:p>
            <w:pPr>
              <w:pStyle w:val="2"/>
              <w:spacing w:line="500" w:lineRule="exact"/>
              <w:rPr>
                <w:rFonts w:ascii="宋体" w:hAnsi="宋体" w:cs="宋体"/>
                <w:sz w:val="21"/>
                <w:szCs w:val="21"/>
              </w:rPr>
            </w:pPr>
          </w:p>
        </w:tc>
        <w:tc>
          <w:tcPr>
            <w:tcW w:w="479" w:type="pct"/>
            <w:noWrap/>
          </w:tcPr>
          <w:p>
            <w:pPr>
              <w:pStyle w:val="2"/>
              <w:spacing w:line="5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gridSpan w:val="6"/>
            <w:noWrap/>
          </w:tcPr>
          <w:p>
            <w:pPr>
              <w:pStyle w:val="2"/>
              <w:spacing w:line="500" w:lineRule="exact"/>
              <w:jc w:val="center"/>
              <w:rPr>
                <w:rFonts w:ascii="宋体" w:hAnsi="宋体" w:cs="宋体"/>
                <w:sz w:val="21"/>
                <w:szCs w:val="21"/>
                <w:lang w:val="en-US"/>
              </w:rPr>
            </w:pPr>
            <w:r>
              <w:rPr>
                <w:rFonts w:hint="eastAsia" w:ascii="宋体" w:hAnsi="宋体" w:cs="宋体"/>
                <w:sz w:val="21"/>
                <w:szCs w:val="21"/>
                <w:lang w:val="en-US"/>
              </w:rPr>
              <w:t>合计金额</w:t>
            </w:r>
          </w:p>
        </w:tc>
        <w:tc>
          <w:tcPr>
            <w:tcW w:w="1497" w:type="pct"/>
            <w:gridSpan w:val="3"/>
            <w:noWrap/>
          </w:tcPr>
          <w:p>
            <w:pPr>
              <w:pStyle w:val="2"/>
              <w:spacing w:line="500" w:lineRule="exact"/>
              <w:rPr>
                <w:rFonts w:ascii="宋体" w:hAnsi="宋体" w:cs="宋体"/>
                <w:sz w:val="21"/>
                <w:szCs w:val="21"/>
              </w:rPr>
            </w:pPr>
          </w:p>
        </w:tc>
      </w:tr>
    </w:tbl>
    <w:p>
      <w:pPr>
        <w:pStyle w:val="2"/>
        <w:spacing w:line="500" w:lineRule="exact"/>
        <w:rPr>
          <w:rFonts w:ascii="宋体" w:hAnsi="宋体" w:cs="宋体"/>
          <w:sz w:val="21"/>
          <w:szCs w:val="21"/>
        </w:rPr>
      </w:pPr>
    </w:p>
    <w:p>
      <w:pPr>
        <w:pStyle w:val="2"/>
        <w:spacing w:line="500" w:lineRule="exact"/>
        <w:rPr>
          <w:rFonts w:ascii="宋体" w:hAnsi="宋体" w:cs="宋体"/>
          <w:sz w:val="21"/>
          <w:szCs w:val="21"/>
        </w:rPr>
      </w:pPr>
      <w:r>
        <w:rPr>
          <w:rFonts w:hint="eastAsia" w:ascii="宋体" w:hAnsi="宋体" w:cs="宋体"/>
          <w:color w:val="FF0000"/>
          <w:sz w:val="21"/>
          <w:szCs w:val="21"/>
        </w:rPr>
        <w:t>（</w:t>
      </w:r>
      <w:r>
        <w:rPr>
          <w:rFonts w:hint="eastAsia" w:ascii="宋体" w:hAnsi="宋体" w:cs="宋体"/>
          <w:color w:val="FF0000"/>
          <w:sz w:val="21"/>
          <w:szCs w:val="21"/>
          <w:lang w:val="en-US"/>
        </w:rPr>
        <w:t>三</w:t>
      </w:r>
      <w:r>
        <w:rPr>
          <w:rFonts w:hint="eastAsia" w:ascii="宋体" w:hAnsi="宋体" w:cs="宋体"/>
          <w:color w:val="FF0000"/>
          <w:sz w:val="21"/>
          <w:szCs w:val="21"/>
        </w:rPr>
        <w:t xml:space="preserve">）环保产品明细清单   </w:t>
      </w:r>
      <w:r>
        <w:rPr>
          <w:rFonts w:hint="eastAsia" w:ascii="宋体" w:hAnsi="宋体" w:cs="宋体"/>
          <w:sz w:val="21"/>
          <w:szCs w:val="21"/>
        </w:rPr>
        <w:t xml:space="preserve">                                    报价货币种类金额（单位：元）</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686"/>
        <w:gridCol w:w="1023"/>
        <w:gridCol w:w="2106"/>
        <w:gridCol w:w="2736"/>
        <w:gridCol w:w="2316"/>
        <w:gridCol w:w="1037"/>
        <w:gridCol w:w="123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tcPr>
          <w:p>
            <w:pPr>
              <w:pStyle w:val="2"/>
              <w:spacing w:line="500" w:lineRule="exact"/>
              <w:jc w:val="center"/>
              <w:rPr>
                <w:rFonts w:ascii="宋体" w:hAnsi="宋体" w:cs="宋体"/>
                <w:sz w:val="21"/>
                <w:szCs w:val="21"/>
              </w:rPr>
            </w:pPr>
            <w:r>
              <w:rPr>
                <w:rFonts w:hint="eastAsia" w:ascii="宋体" w:hAnsi="宋体" w:cs="宋体"/>
                <w:sz w:val="21"/>
                <w:szCs w:val="21"/>
              </w:rPr>
              <w:t>制造商</w:t>
            </w:r>
          </w:p>
        </w:tc>
        <w:tc>
          <w:tcPr>
            <w:tcW w:w="515" w:type="pct"/>
            <w:noWrap/>
          </w:tcPr>
          <w:p>
            <w:pPr>
              <w:pStyle w:val="2"/>
              <w:spacing w:line="500" w:lineRule="exact"/>
              <w:jc w:val="center"/>
              <w:rPr>
                <w:rFonts w:ascii="宋体" w:hAnsi="宋体" w:cs="宋体"/>
                <w:sz w:val="21"/>
                <w:szCs w:val="21"/>
              </w:rPr>
            </w:pPr>
            <w:r>
              <w:rPr>
                <w:rFonts w:hint="eastAsia" w:ascii="宋体" w:hAnsi="宋体" w:cs="宋体"/>
                <w:sz w:val="21"/>
                <w:szCs w:val="21"/>
              </w:rPr>
              <w:t>制造商企业类型</w:t>
            </w:r>
          </w:p>
        </w:tc>
        <w:tc>
          <w:tcPr>
            <w:tcW w:w="432" w:type="pct"/>
            <w:noWrap/>
          </w:tcPr>
          <w:p>
            <w:pPr>
              <w:pStyle w:val="2"/>
              <w:spacing w:line="500" w:lineRule="exact"/>
              <w:jc w:val="center"/>
              <w:rPr>
                <w:rFonts w:ascii="宋体" w:hAnsi="宋体" w:cs="宋体"/>
                <w:sz w:val="21"/>
                <w:szCs w:val="21"/>
              </w:rPr>
            </w:pPr>
            <w:r>
              <w:rPr>
                <w:rFonts w:hint="eastAsia" w:ascii="宋体" w:hAnsi="宋体" w:cs="宋体"/>
                <w:sz w:val="21"/>
                <w:szCs w:val="21"/>
              </w:rPr>
              <w:t>品牌</w:t>
            </w:r>
          </w:p>
        </w:tc>
        <w:tc>
          <w:tcPr>
            <w:tcW w:w="664" w:type="pct"/>
            <w:noWrap/>
          </w:tcPr>
          <w:p>
            <w:pPr>
              <w:pStyle w:val="2"/>
              <w:spacing w:line="500" w:lineRule="exact"/>
              <w:jc w:val="center"/>
              <w:rPr>
                <w:rFonts w:ascii="宋体" w:hAnsi="宋体" w:cs="宋体"/>
                <w:sz w:val="21"/>
                <w:szCs w:val="21"/>
              </w:rPr>
            </w:pPr>
            <w:r>
              <w:rPr>
                <w:rFonts w:hint="eastAsia" w:ascii="宋体" w:hAnsi="宋体" w:cs="宋体"/>
                <w:sz w:val="21"/>
                <w:szCs w:val="21"/>
              </w:rPr>
              <w:t>产品名称、规格型号</w:t>
            </w:r>
          </w:p>
        </w:tc>
        <w:tc>
          <w:tcPr>
            <w:tcW w:w="685" w:type="pct"/>
            <w:noWrap/>
          </w:tcPr>
          <w:p>
            <w:pPr>
              <w:pStyle w:val="2"/>
              <w:spacing w:line="500" w:lineRule="exact"/>
              <w:jc w:val="center"/>
              <w:rPr>
                <w:rFonts w:ascii="宋体" w:hAnsi="宋体" w:cs="宋体"/>
                <w:sz w:val="21"/>
                <w:szCs w:val="21"/>
              </w:rPr>
            </w:pPr>
            <w:r>
              <w:rPr>
                <w:rFonts w:hint="eastAsia" w:ascii="宋体" w:hAnsi="宋体" w:cs="宋体"/>
                <w:sz w:val="21"/>
                <w:szCs w:val="21"/>
              </w:rPr>
              <w:t>中国环境标志认证证书编号</w:t>
            </w:r>
          </w:p>
        </w:tc>
        <w:tc>
          <w:tcPr>
            <w:tcW w:w="832" w:type="pct"/>
            <w:noWrap/>
          </w:tcPr>
          <w:p>
            <w:pPr>
              <w:pStyle w:val="2"/>
              <w:spacing w:line="500" w:lineRule="exact"/>
              <w:jc w:val="center"/>
              <w:rPr>
                <w:rFonts w:ascii="宋体" w:hAnsi="宋体" w:cs="宋体"/>
                <w:sz w:val="21"/>
                <w:szCs w:val="21"/>
              </w:rPr>
            </w:pPr>
            <w:r>
              <w:rPr>
                <w:rFonts w:hint="eastAsia" w:ascii="宋体" w:hAnsi="宋体" w:cs="宋体"/>
                <w:sz w:val="21"/>
                <w:szCs w:val="21"/>
              </w:rPr>
              <w:t>认证证书有效截止日期</w:t>
            </w:r>
          </w:p>
        </w:tc>
        <w:tc>
          <w:tcPr>
            <w:tcW w:w="490" w:type="pct"/>
            <w:noWrap/>
          </w:tcPr>
          <w:p>
            <w:pPr>
              <w:pStyle w:val="2"/>
              <w:spacing w:line="500" w:lineRule="exact"/>
              <w:jc w:val="center"/>
              <w:rPr>
                <w:rFonts w:ascii="宋体" w:hAnsi="宋体" w:cs="宋体"/>
                <w:sz w:val="21"/>
                <w:szCs w:val="21"/>
              </w:rPr>
            </w:pPr>
            <w:r>
              <w:rPr>
                <w:rFonts w:hint="eastAsia" w:ascii="宋体" w:hAnsi="宋体" w:cs="宋体"/>
                <w:sz w:val="21"/>
                <w:szCs w:val="21"/>
              </w:rPr>
              <w:t>单位</w:t>
            </w:r>
          </w:p>
        </w:tc>
        <w:tc>
          <w:tcPr>
            <w:tcW w:w="506" w:type="pct"/>
            <w:noWrap/>
          </w:tcPr>
          <w:p>
            <w:pPr>
              <w:pStyle w:val="2"/>
              <w:spacing w:line="500" w:lineRule="exact"/>
              <w:jc w:val="center"/>
              <w:rPr>
                <w:rFonts w:ascii="宋体" w:hAnsi="宋体" w:cs="宋体"/>
                <w:sz w:val="21"/>
                <w:szCs w:val="21"/>
              </w:rPr>
            </w:pPr>
            <w:r>
              <w:rPr>
                <w:rFonts w:hint="eastAsia" w:ascii="宋体" w:hAnsi="宋体" w:cs="宋体"/>
                <w:sz w:val="21"/>
                <w:szCs w:val="21"/>
              </w:rPr>
              <w:t>数量</w:t>
            </w:r>
          </w:p>
        </w:tc>
        <w:tc>
          <w:tcPr>
            <w:tcW w:w="497" w:type="pct"/>
            <w:noWrap/>
          </w:tcPr>
          <w:p>
            <w:pPr>
              <w:pStyle w:val="2"/>
              <w:spacing w:line="500" w:lineRule="exact"/>
              <w:jc w:val="center"/>
              <w:rPr>
                <w:rFonts w:ascii="宋体" w:hAnsi="宋体" w:cs="宋体"/>
                <w:sz w:val="21"/>
                <w:szCs w:val="21"/>
              </w:rPr>
            </w:pPr>
            <w:r>
              <w:rPr>
                <w:rFonts w:hint="eastAsia" w:ascii="宋体" w:hAnsi="宋体" w:cs="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tcPr>
          <w:p>
            <w:pPr>
              <w:pStyle w:val="2"/>
              <w:spacing w:line="500" w:lineRule="exact"/>
              <w:jc w:val="center"/>
              <w:rPr>
                <w:rFonts w:ascii="宋体" w:hAnsi="宋体" w:cs="宋体"/>
                <w:sz w:val="21"/>
                <w:szCs w:val="21"/>
              </w:rPr>
            </w:pPr>
          </w:p>
        </w:tc>
        <w:tc>
          <w:tcPr>
            <w:tcW w:w="515" w:type="pct"/>
            <w:noWrap/>
          </w:tcPr>
          <w:p>
            <w:pPr>
              <w:pStyle w:val="2"/>
              <w:spacing w:line="500" w:lineRule="exact"/>
              <w:jc w:val="center"/>
              <w:rPr>
                <w:rFonts w:ascii="宋体" w:hAnsi="宋体" w:cs="宋体"/>
                <w:sz w:val="21"/>
                <w:szCs w:val="21"/>
              </w:rPr>
            </w:pPr>
          </w:p>
        </w:tc>
        <w:tc>
          <w:tcPr>
            <w:tcW w:w="432" w:type="pct"/>
            <w:noWrap/>
          </w:tcPr>
          <w:p>
            <w:pPr>
              <w:pStyle w:val="2"/>
              <w:spacing w:line="500" w:lineRule="exact"/>
              <w:jc w:val="center"/>
              <w:rPr>
                <w:rFonts w:ascii="宋体" w:hAnsi="宋体" w:cs="宋体"/>
                <w:sz w:val="21"/>
                <w:szCs w:val="21"/>
              </w:rPr>
            </w:pPr>
          </w:p>
        </w:tc>
        <w:tc>
          <w:tcPr>
            <w:tcW w:w="664" w:type="pct"/>
            <w:noWrap/>
          </w:tcPr>
          <w:p>
            <w:pPr>
              <w:pStyle w:val="2"/>
              <w:spacing w:line="500" w:lineRule="exact"/>
              <w:jc w:val="center"/>
              <w:rPr>
                <w:rFonts w:ascii="宋体" w:hAnsi="宋体" w:cs="宋体"/>
                <w:sz w:val="21"/>
                <w:szCs w:val="21"/>
              </w:rPr>
            </w:pPr>
          </w:p>
        </w:tc>
        <w:tc>
          <w:tcPr>
            <w:tcW w:w="685" w:type="pct"/>
            <w:noWrap/>
          </w:tcPr>
          <w:p>
            <w:pPr>
              <w:pStyle w:val="2"/>
              <w:spacing w:line="500" w:lineRule="exact"/>
              <w:jc w:val="center"/>
              <w:rPr>
                <w:rFonts w:ascii="宋体" w:hAnsi="宋体" w:cs="宋体"/>
                <w:sz w:val="21"/>
                <w:szCs w:val="21"/>
              </w:rPr>
            </w:pPr>
          </w:p>
        </w:tc>
        <w:tc>
          <w:tcPr>
            <w:tcW w:w="832" w:type="pct"/>
            <w:noWrap/>
          </w:tcPr>
          <w:p>
            <w:pPr>
              <w:pStyle w:val="2"/>
              <w:spacing w:line="500" w:lineRule="exact"/>
              <w:jc w:val="center"/>
              <w:rPr>
                <w:rFonts w:ascii="宋体" w:hAnsi="宋体" w:cs="宋体"/>
                <w:sz w:val="21"/>
                <w:szCs w:val="21"/>
              </w:rPr>
            </w:pPr>
          </w:p>
        </w:tc>
        <w:tc>
          <w:tcPr>
            <w:tcW w:w="490" w:type="pct"/>
            <w:noWrap/>
          </w:tcPr>
          <w:p>
            <w:pPr>
              <w:pStyle w:val="2"/>
              <w:spacing w:line="500" w:lineRule="exact"/>
              <w:jc w:val="center"/>
              <w:rPr>
                <w:rFonts w:ascii="宋体" w:hAnsi="宋体" w:cs="宋体"/>
                <w:sz w:val="21"/>
                <w:szCs w:val="21"/>
              </w:rPr>
            </w:pPr>
          </w:p>
        </w:tc>
        <w:tc>
          <w:tcPr>
            <w:tcW w:w="506" w:type="pct"/>
            <w:noWrap/>
          </w:tcPr>
          <w:p>
            <w:pPr>
              <w:pStyle w:val="2"/>
              <w:spacing w:line="500" w:lineRule="exact"/>
              <w:jc w:val="center"/>
              <w:rPr>
                <w:rFonts w:ascii="宋体" w:hAnsi="宋体" w:cs="宋体"/>
                <w:sz w:val="21"/>
                <w:szCs w:val="21"/>
              </w:rPr>
            </w:pPr>
          </w:p>
        </w:tc>
        <w:tc>
          <w:tcPr>
            <w:tcW w:w="497" w:type="pct"/>
            <w:noWrap/>
          </w:tcPr>
          <w:p>
            <w:pPr>
              <w:pStyle w:val="2"/>
              <w:spacing w:line="50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tcPr>
          <w:p>
            <w:pPr>
              <w:pStyle w:val="2"/>
              <w:spacing w:line="500" w:lineRule="exact"/>
              <w:jc w:val="center"/>
              <w:rPr>
                <w:rFonts w:ascii="宋体" w:hAnsi="宋体" w:cs="宋体"/>
                <w:sz w:val="21"/>
                <w:szCs w:val="21"/>
              </w:rPr>
            </w:pPr>
          </w:p>
        </w:tc>
        <w:tc>
          <w:tcPr>
            <w:tcW w:w="515" w:type="pct"/>
            <w:noWrap/>
          </w:tcPr>
          <w:p>
            <w:pPr>
              <w:pStyle w:val="2"/>
              <w:spacing w:line="500" w:lineRule="exact"/>
              <w:jc w:val="center"/>
              <w:rPr>
                <w:rFonts w:ascii="宋体" w:hAnsi="宋体" w:cs="宋体"/>
                <w:sz w:val="21"/>
                <w:szCs w:val="21"/>
              </w:rPr>
            </w:pPr>
          </w:p>
        </w:tc>
        <w:tc>
          <w:tcPr>
            <w:tcW w:w="432" w:type="pct"/>
            <w:noWrap/>
          </w:tcPr>
          <w:p>
            <w:pPr>
              <w:pStyle w:val="2"/>
              <w:spacing w:line="500" w:lineRule="exact"/>
              <w:jc w:val="center"/>
              <w:rPr>
                <w:rFonts w:ascii="宋体" w:hAnsi="宋体" w:cs="宋体"/>
                <w:sz w:val="21"/>
                <w:szCs w:val="21"/>
              </w:rPr>
            </w:pPr>
          </w:p>
        </w:tc>
        <w:tc>
          <w:tcPr>
            <w:tcW w:w="664" w:type="pct"/>
            <w:noWrap/>
          </w:tcPr>
          <w:p>
            <w:pPr>
              <w:pStyle w:val="2"/>
              <w:spacing w:line="500" w:lineRule="exact"/>
              <w:jc w:val="center"/>
              <w:rPr>
                <w:rFonts w:ascii="宋体" w:hAnsi="宋体" w:cs="宋体"/>
                <w:sz w:val="21"/>
                <w:szCs w:val="21"/>
              </w:rPr>
            </w:pPr>
          </w:p>
        </w:tc>
        <w:tc>
          <w:tcPr>
            <w:tcW w:w="685" w:type="pct"/>
            <w:noWrap/>
          </w:tcPr>
          <w:p>
            <w:pPr>
              <w:pStyle w:val="2"/>
              <w:spacing w:line="500" w:lineRule="exact"/>
              <w:jc w:val="center"/>
              <w:rPr>
                <w:rFonts w:ascii="宋体" w:hAnsi="宋体" w:cs="宋体"/>
                <w:sz w:val="21"/>
                <w:szCs w:val="21"/>
              </w:rPr>
            </w:pPr>
          </w:p>
        </w:tc>
        <w:tc>
          <w:tcPr>
            <w:tcW w:w="832" w:type="pct"/>
            <w:noWrap/>
          </w:tcPr>
          <w:p>
            <w:pPr>
              <w:pStyle w:val="2"/>
              <w:spacing w:line="500" w:lineRule="exact"/>
              <w:jc w:val="center"/>
              <w:rPr>
                <w:rFonts w:ascii="宋体" w:hAnsi="宋体" w:cs="宋体"/>
                <w:sz w:val="21"/>
                <w:szCs w:val="21"/>
              </w:rPr>
            </w:pPr>
          </w:p>
        </w:tc>
        <w:tc>
          <w:tcPr>
            <w:tcW w:w="490" w:type="pct"/>
            <w:noWrap/>
          </w:tcPr>
          <w:p>
            <w:pPr>
              <w:pStyle w:val="2"/>
              <w:spacing w:line="500" w:lineRule="exact"/>
              <w:jc w:val="center"/>
              <w:rPr>
                <w:rFonts w:ascii="宋体" w:hAnsi="宋体" w:cs="宋体"/>
                <w:sz w:val="21"/>
                <w:szCs w:val="21"/>
              </w:rPr>
            </w:pPr>
          </w:p>
        </w:tc>
        <w:tc>
          <w:tcPr>
            <w:tcW w:w="506" w:type="pct"/>
            <w:noWrap/>
          </w:tcPr>
          <w:p>
            <w:pPr>
              <w:pStyle w:val="2"/>
              <w:spacing w:line="500" w:lineRule="exact"/>
              <w:jc w:val="center"/>
              <w:rPr>
                <w:rFonts w:ascii="宋体" w:hAnsi="宋体" w:cs="宋体"/>
                <w:sz w:val="21"/>
                <w:szCs w:val="21"/>
              </w:rPr>
            </w:pPr>
          </w:p>
        </w:tc>
        <w:tc>
          <w:tcPr>
            <w:tcW w:w="497" w:type="pct"/>
            <w:noWrap/>
          </w:tcPr>
          <w:p>
            <w:pPr>
              <w:pStyle w:val="2"/>
              <w:spacing w:line="50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tcPr>
          <w:p/>
        </w:tc>
        <w:tc>
          <w:tcPr>
            <w:tcW w:w="515" w:type="pct"/>
            <w:noWrap/>
          </w:tcPr>
          <w:p>
            <w:pPr>
              <w:pStyle w:val="2"/>
              <w:spacing w:line="500" w:lineRule="exact"/>
              <w:jc w:val="center"/>
              <w:rPr>
                <w:rFonts w:ascii="宋体" w:hAnsi="宋体" w:cs="宋体"/>
                <w:sz w:val="21"/>
                <w:szCs w:val="21"/>
              </w:rPr>
            </w:pPr>
          </w:p>
        </w:tc>
        <w:tc>
          <w:tcPr>
            <w:tcW w:w="432" w:type="pct"/>
            <w:noWrap/>
          </w:tcPr>
          <w:p>
            <w:pPr>
              <w:pStyle w:val="2"/>
              <w:spacing w:line="500" w:lineRule="exact"/>
              <w:jc w:val="center"/>
              <w:rPr>
                <w:rFonts w:ascii="宋体" w:hAnsi="宋体" w:cs="宋体"/>
                <w:sz w:val="21"/>
                <w:szCs w:val="21"/>
              </w:rPr>
            </w:pPr>
          </w:p>
        </w:tc>
        <w:tc>
          <w:tcPr>
            <w:tcW w:w="664" w:type="pct"/>
            <w:noWrap/>
          </w:tcPr>
          <w:p>
            <w:pPr>
              <w:pStyle w:val="2"/>
              <w:spacing w:line="500" w:lineRule="exact"/>
              <w:jc w:val="center"/>
              <w:rPr>
                <w:rFonts w:ascii="宋体" w:hAnsi="宋体" w:cs="宋体"/>
                <w:sz w:val="21"/>
                <w:szCs w:val="21"/>
              </w:rPr>
            </w:pPr>
          </w:p>
        </w:tc>
        <w:tc>
          <w:tcPr>
            <w:tcW w:w="685" w:type="pct"/>
            <w:noWrap/>
          </w:tcPr>
          <w:p>
            <w:pPr>
              <w:pStyle w:val="2"/>
              <w:spacing w:line="500" w:lineRule="exact"/>
              <w:jc w:val="center"/>
              <w:rPr>
                <w:rFonts w:ascii="宋体" w:hAnsi="宋体" w:cs="宋体"/>
                <w:sz w:val="21"/>
                <w:szCs w:val="21"/>
              </w:rPr>
            </w:pPr>
          </w:p>
        </w:tc>
        <w:tc>
          <w:tcPr>
            <w:tcW w:w="832" w:type="pct"/>
            <w:noWrap/>
          </w:tcPr>
          <w:p>
            <w:pPr>
              <w:pStyle w:val="2"/>
              <w:spacing w:line="500" w:lineRule="exact"/>
              <w:jc w:val="center"/>
              <w:rPr>
                <w:rFonts w:ascii="宋体" w:hAnsi="宋体" w:cs="宋体"/>
                <w:sz w:val="21"/>
                <w:szCs w:val="21"/>
              </w:rPr>
            </w:pPr>
          </w:p>
        </w:tc>
        <w:tc>
          <w:tcPr>
            <w:tcW w:w="490" w:type="pct"/>
            <w:noWrap/>
          </w:tcPr>
          <w:p>
            <w:pPr>
              <w:pStyle w:val="2"/>
              <w:spacing w:line="500" w:lineRule="exact"/>
              <w:jc w:val="center"/>
              <w:rPr>
                <w:rFonts w:ascii="宋体" w:hAnsi="宋体" w:cs="宋体"/>
                <w:sz w:val="21"/>
                <w:szCs w:val="21"/>
              </w:rPr>
            </w:pPr>
          </w:p>
        </w:tc>
        <w:tc>
          <w:tcPr>
            <w:tcW w:w="506" w:type="pct"/>
            <w:noWrap/>
          </w:tcPr>
          <w:p>
            <w:pPr>
              <w:pStyle w:val="2"/>
              <w:spacing w:line="500" w:lineRule="exact"/>
              <w:jc w:val="center"/>
              <w:rPr>
                <w:rFonts w:ascii="宋体" w:hAnsi="宋体" w:cs="宋体"/>
                <w:sz w:val="21"/>
                <w:szCs w:val="21"/>
              </w:rPr>
            </w:pPr>
          </w:p>
        </w:tc>
        <w:tc>
          <w:tcPr>
            <w:tcW w:w="497" w:type="pct"/>
            <w:noWrap/>
          </w:tcPr>
          <w:p>
            <w:pPr>
              <w:pStyle w:val="2"/>
              <w:spacing w:line="50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pct"/>
            <w:gridSpan w:val="6"/>
            <w:noWrap/>
          </w:tcPr>
          <w:p>
            <w:pPr>
              <w:pStyle w:val="2"/>
              <w:spacing w:line="500" w:lineRule="exact"/>
              <w:jc w:val="center"/>
              <w:rPr>
                <w:rFonts w:ascii="宋体" w:hAnsi="宋体" w:cs="宋体"/>
                <w:sz w:val="21"/>
                <w:szCs w:val="21"/>
                <w:lang w:val="en-US"/>
              </w:rPr>
            </w:pPr>
            <w:r>
              <w:rPr>
                <w:rFonts w:hint="eastAsia" w:ascii="宋体" w:hAnsi="宋体" w:cs="宋体"/>
                <w:sz w:val="21"/>
                <w:szCs w:val="21"/>
                <w:lang w:val="en-US"/>
              </w:rPr>
              <w:t>合计金额</w:t>
            </w:r>
          </w:p>
        </w:tc>
        <w:tc>
          <w:tcPr>
            <w:tcW w:w="1494" w:type="pct"/>
            <w:gridSpan w:val="3"/>
            <w:noWrap/>
          </w:tcPr>
          <w:p>
            <w:pPr>
              <w:pStyle w:val="2"/>
              <w:spacing w:line="500" w:lineRule="exact"/>
              <w:jc w:val="center"/>
              <w:rPr>
                <w:rFonts w:ascii="宋体" w:hAnsi="宋体" w:cs="宋体"/>
                <w:sz w:val="21"/>
                <w:szCs w:val="21"/>
              </w:rPr>
            </w:pPr>
          </w:p>
        </w:tc>
      </w:tr>
    </w:tbl>
    <w:p>
      <w:pPr>
        <w:pStyle w:val="2"/>
        <w:rPr>
          <w:rFonts w:ascii="宋体" w:hAnsi="宋体" w:cs="宋体"/>
          <w:sz w:val="21"/>
          <w:szCs w:val="21"/>
        </w:rPr>
      </w:pPr>
    </w:p>
    <w:p>
      <w:pPr>
        <w:widowControl/>
        <w:snapToGrid w:val="0"/>
        <w:ind w:firstLine="420" w:firstLineChars="200"/>
        <w:jc w:val="left"/>
        <w:rPr>
          <w:rFonts w:ascii="宋体" w:hAnsi="宋体"/>
          <w:color w:val="0000FF"/>
          <w:kern w:val="0"/>
        </w:rPr>
      </w:pPr>
    </w:p>
    <w:p>
      <w:pPr>
        <w:widowControl/>
        <w:snapToGrid w:val="0"/>
        <w:ind w:firstLine="420" w:firstLineChars="200"/>
        <w:jc w:val="left"/>
        <w:rPr>
          <w:rFonts w:ascii="宋体" w:hAnsi="宋体"/>
          <w:color w:val="0000FF"/>
          <w:kern w:val="0"/>
        </w:rPr>
      </w:pPr>
    </w:p>
    <w:p>
      <w:pPr>
        <w:widowControl/>
        <w:snapToGrid w:val="0"/>
        <w:ind w:firstLine="420" w:firstLineChars="200"/>
        <w:jc w:val="left"/>
        <w:rPr>
          <w:rFonts w:ascii="宋体" w:hAnsi="宋体"/>
          <w:color w:val="0000FF"/>
          <w:kern w:val="0"/>
        </w:rPr>
      </w:pPr>
    </w:p>
    <w:p>
      <w:pPr>
        <w:widowControl/>
        <w:snapToGrid w:val="0"/>
        <w:ind w:firstLine="420" w:firstLineChars="200"/>
        <w:jc w:val="left"/>
        <w:rPr>
          <w:rFonts w:ascii="宋体" w:hAnsi="宋体"/>
          <w:color w:val="0000FF"/>
          <w:kern w:val="0"/>
        </w:rPr>
      </w:pPr>
      <w:r>
        <w:rPr>
          <w:rFonts w:hint="eastAsia" w:ascii="宋体" w:hAnsi="宋体"/>
          <w:color w:val="0000FF"/>
          <w:kern w:val="0"/>
        </w:rPr>
        <w:t>例如： 节能、环境标志产品认证</w:t>
      </w:r>
    </w:p>
    <w:p>
      <w:pPr>
        <w:widowControl/>
        <w:spacing w:line="360" w:lineRule="auto"/>
        <w:ind w:firstLine="420" w:firstLineChars="200"/>
        <w:rPr>
          <w:rFonts w:ascii="宋体" w:hAnsi="宋体" w:cs="宋体"/>
        </w:rPr>
      </w:pPr>
      <w:r>
        <w:rPr>
          <w:rFonts w:hint="eastAsia" w:ascii="宋体" w:hAnsi="宋体" w:cs="宋体"/>
        </w:rPr>
        <w:t>1.节能产品:应在</w:t>
      </w:r>
    </w:p>
    <w:p>
      <w:pPr>
        <w:widowControl/>
        <w:spacing w:line="360" w:lineRule="auto"/>
        <w:ind w:firstLine="420" w:firstLineChars="200"/>
        <w:rPr>
          <w:rFonts w:ascii="宋体" w:hAnsi="宋体" w:cs="宋体"/>
        </w:rPr>
      </w:pPr>
      <w:r>
        <w:rPr>
          <w:rFonts w:hint="eastAsia" w:ascii="宋体" w:hAnsi="宋体" w:cs="宋体"/>
        </w:rPr>
        <w:t>中国政府采购网(http://www.ccgp.gov.cn)</w:t>
      </w:r>
    </w:p>
    <w:p>
      <w:pPr>
        <w:widowControl/>
        <w:spacing w:line="360" w:lineRule="auto"/>
        <w:ind w:firstLine="420" w:firstLineChars="200"/>
        <w:rPr>
          <w:rFonts w:ascii="宋体" w:hAnsi="宋体" w:cs="宋体"/>
        </w:rPr>
      </w:pPr>
      <w:r>
        <w:rPr>
          <w:rFonts w:hint="eastAsia" w:ascii="宋体" w:hAnsi="宋体" w:cs="宋体"/>
        </w:rPr>
        <w:t>国家发展改革委网站(http://hzs.ndrc.gov.cn)</w:t>
      </w:r>
    </w:p>
    <w:p>
      <w:pPr>
        <w:widowControl/>
        <w:spacing w:line="360" w:lineRule="auto"/>
        <w:ind w:firstLine="420" w:firstLineChars="200"/>
        <w:rPr>
          <w:rFonts w:ascii="宋体" w:hAnsi="宋体" w:cs="宋体"/>
        </w:rPr>
      </w:pPr>
      <w:r>
        <w:rPr>
          <w:rFonts w:hint="eastAsia" w:ascii="宋体" w:hAnsi="宋体" w:cs="宋体"/>
        </w:rPr>
        <w:t>中国质量认证中心网站(http://www.cqc.com.cn)</w:t>
      </w:r>
    </w:p>
    <w:p>
      <w:pPr>
        <w:widowControl/>
        <w:spacing w:line="360" w:lineRule="auto"/>
        <w:ind w:firstLine="420" w:firstLineChars="200"/>
        <w:rPr>
          <w:rFonts w:ascii="宋体" w:hAnsi="宋体" w:cs="宋体"/>
        </w:rPr>
      </w:pPr>
      <w:r>
        <w:rPr>
          <w:rFonts w:hint="eastAsia" w:ascii="宋体" w:hAnsi="宋体" w:cs="宋体"/>
        </w:rPr>
        <w:t>2.环境标志产品:应在</w:t>
      </w:r>
    </w:p>
    <w:p>
      <w:pPr>
        <w:widowControl/>
        <w:spacing w:line="360" w:lineRule="auto"/>
        <w:ind w:firstLine="420" w:firstLineChars="200"/>
        <w:rPr>
          <w:rFonts w:ascii="宋体" w:hAnsi="宋体" w:cs="宋体"/>
        </w:rPr>
      </w:pPr>
      <w:r>
        <w:rPr>
          <w:rFonts w:hint="eastAsia" w:ascii="宋体" w:hAnsi="宋体" w:cs="宋体"/>
        </w:rPr>
        <w:t>中国政府采购网(http://www.ccgp.gov.cn)</w:t>
      </w:r>
    </w:p>
    <w:p>
      <w:pPr>
        <w:widowControl/>
        <w:spacing w:line="360" w:lineRule="auto"/>
        <w:ind w:firstLine="420" w:firstLineChars="200"/>
        <w:rPr>
          <w:rFonts w:ascii="宋体" w:hAnsi="宋体" w:cs="宋体"/>
        </w:rPr>
      </w:pPr>
      <w:r>
        <w:rPr>
          <w:rFonts w:hint="eastAsia" w:ascii="宋体" w:hAnsi="宋体" w:cs="宋体"/>
        </w:rPr>
        <w:t>国家环境保护部网(http://www.sepa.gov.cn)</w:t>
      </w:r>
    </w:p>
    <w:p>
      <w:pPr>
        <w:widowControl/>
        <w:spacing w:line="360" w:lineRule="auto"/>
        <w:ind w:firstLine="420" w:firstLineChars="200"/>
        <w:rPr>
          <w:rFonts w:ascii="宋体" w:hAnsi="宋体" w:cs="宋体"/>
        </w:rPr>
      </w:pPr>
      <w:r>
        <w:rPr>
          <w:rFonts w:hint="eastAsia" w:ascii="宋体" w:hAnsi="宋体" w:cs="宋体"/>
        </w:rPr>
        <w:t>中国绿色采购网(http://www.cgpn.cn)</w:t>
      </w:r>
    </w:p>
    <w:p>
      <w:pPr>
        <w:widowControl/>
        <w:spacing w:line="360" w:lineRule="auto"/>
        <w:ind w:firstLine="420" w:firstLineChars="200"/>
        <w:rPr>
          <w:rFonts w:ascii="宋体" w:hAnsi="宋体" w:cs="宋体"/>
        </w:rPr>
      </w:pPr>
      <w:r>
        <w:rPr>
          <w:rFonts w:hint="eastAsia" w:ascii="宋体" w:hAnsi="宋体" w:cs="宋体"/>
        </w:rPr>
        <w:t>3.属优先采购节能、环境标志产品须从以上权威媒体网站上下载的网页公告、目录清单、证书等。</w:t>
      </w:r>
    </w:p>
    <w:p>
      <w:pPr>
        <w:widowControl/>
        <w:spacing w:line="360" w:lineRule="auto"/>
        <w:ind w:firstLine="420" w:firstLineChars="200"/>
        <w:rPr>
          <w:rFonts w:ascii="宋体" w:hAnsi="宋体"/>
          <w:color w:val="0000FF"/>
          <w:kern w:val="0"/>
          <w:szCs w:val="21"/>
        </w:rPr>
      </w:pPr>
      <w:r>
        <w:rPr>
          <w:rFonts w:hint="eastAsia" w:ascii="宋体" w:hAnsi="宋体" w:cs="宋体"/>
        </w:rPr>
        <w:t>4.证明材料加盖供应商公章。</w:t>
      </w:r>
    </w:p>
    <w:p>
      <w:pPr>
        <w:pStyle w:val="2"/>
        <w:rPr>
          <w:rFonts w:ascii="宋体" w:hAnsi="宋体"/>
          <w:color w:val="0000FF"/>
          <w:sz w:val="21"/>
          <w:szCs w:val="21"/>
        </w:rPr>
      </w:pPr>
    </w:p>
    <w:p>
      <w:pPr>
        <w:pStyle w:val="2"/>
        <w:rPr>
          <w:rFonts w:ascii="宋体" w:hAnsi="宋体"/>
          <w:color w:val="0000FF"/>
          <w:sz w:val="21"/>
          <w:szCs w:val="21"/>
        </w:rPr>
      </w:pPr>
    </w:p>
    <w:p>
      <w:pPr>
        <w:pStyle w:val="2"/>
        <w:rPr>
          <w:rFonts w:ascii="宋体" w:hAnsi="宋体"/>
          <w:color w:val="0000FF"/>
          <w:sz w:val="21"/>
          <w:szCs w:val="21"/>
        </w:rPr>
      </w:pPr>
      <w:r>
        <w:rPr>
          <w:rFonts w:hint="eastAsia" w:ascii="宋体" w:hAnsi="宋体"/>
          <w:color w:val="0000FF"/>
          <w:sz w:val="21"/>
          <w:szCs w:val="21"/>
        </w:rPr>
        <w:t>注：</w:t>
      </w:r>
    </w:p>
    <w:p>
      <w:pPr>
        <w:pStyle w:val="2"/>
        <w:rPr>
          <w:rFonts w:ascii="宋体" w:hAnsi="宋体"/>
          <w:color w:val="0000FF"/>
          <w:sz w:val="21"/>
          <w:szCs w:val="21"/>
        </w:rPr>
      </w:pPr>
      <w:r>
        <w:rPr>
          <w:rFonts w:hint="eastAsia" w:ascii="宋体" w:hAnsi="宋体"/>
          <w:color w:val="0000FF"/>
          <w:sz w:val="21"/>
          <w:szCs w:val="21"/>
        </w:rPr>
        <w:t>1、空调机、照明产品（包括双端荧光灯、单端荧光灯、管形荧光灯镇流器）、电视机、电热水器、计算机、打印机、显示器、便器、水嘴等九类产品为政府强制采购节能产品。</w:t>
      </w:r>
    </w:p>
    <w:p>
      <w:pPr>
        <w:pStyle w:val="2"/>
        <w:rPr>
          <w:rFonts w:ascii="宋体" w:hAnsi="宋体"/>
          <w:color w:val="0000FF"/>
          <w:sz w:val="21"/>
          <w:szCs w:val="21"/>
        </w:rPr>
      </w:pPr>
      <w:r>
        <w:rPr>
          <w:rFonts w:hint="eastAsia" w:ascii="宋体" w:hAnsi="宋体"/>
          <w:color w:val="0000FF"/>
          <w:sz w:val="21"/>
          <w:szCs w:val="21"/>
        </w:rPr>
        <w:t>2、制造商为小型或微型企业时才需要填“制造商企业类型”栏,填写内容为“小型”或“微型”；</w:t>
      </w:r>
    </w:p>
    <w:p>
      <w:pPr>
        <w:pStyle w:val="31"/>
        <w:ind w:firstLine="0" w:firstLineChars="0"/>
        <w:rPr>
          <w:rFonts w:hAnsi="宋体"/>
          <w:color w:val="0000FF"/>
          <w:sz w:val="21"/>
          <w:szCs w:val="21"/>
        </w:rPr>
        <w:sectPr>
          <w:footerReference r:id="rId7" w:type="default"/>
          <w:pgSz w:w="16838" w:h="11906" w:orient="landscape"/>
          <w:pgMar w:top="1365" w:right="1418" w:bottom="1588" w:left="1418" w:header="851" w:footer="907" w:gutter="0"/>
          <w:cols w:space="720" w:num="1"/>
          <w:titlePg/>
          <w:docGrid w:type="lines" w:linePitch="290" w:charSpace="0"/>
        </w:sectPr>
      </w:pPr>
      <w:r>
        <w:rPr>
          <w:rFonts w:hint="eastAsia" w:hAnsi="宋体"/>
          <w:color w:val="0000FF"/>
          <w:sz w:val="21"/>
          <w:szCs w:val="21"/>
        </w:rPr>
        <w:t>3、若无货物属于优先采购节能、环境标志产品的，则不填写此表。</w:t>
      </w:r>
    </w:p>
    <w:p>
      <w:pPr>
        <w:pStyle w:val="14"/>
        <w:ind w:left="0" w:leftChars="0" w:right="1470"/>
        <w:rPr>
          <w:rFonts w:hAnsi="宋体"/>
          <w:color w:val="0000FF"/>
          <w:szCs w:val="21"/>
        </w:rPr>
      </w:pPr>
    </w:p>
    <w:p>
      <w:pPr>
        <w:pStyle w:val="4"/>
        <w:rPr>
          <w:rFonts w:ascii="黑体" w:eastAsia="黑体"/>
          <w:kern w:val="0"/>
          <w:sz w:val="24"/>
          <w:szCs w:val="24"/>
        </w:rPr>
      </w:pPr>
      <w:r>
        <w:rPr>
          <w:rFonts w:hint="eastAsia" w:ascii="黑体" w:eastAsia="黑体"/>
          <w:kern w:val="0"/>
          <w:sz w:val="24"/>
          <w:szCs w:val="24"/>
        </w:rPr>
        <w:t>九、</w:t>
      </w:r>
      <w:bookmarkStart w:id="145" w:name="_Hlk72092634"/>
      <w:r>
        <w:rPr>
          <w:rFonts w:hint="eastAsia" w:ascii="黑体" w:eastAsia="黑体"/>
          <w:kern w:val="0"/>
          <w:sz w:val="24"/>
          <w:szCs w:val="24"/>
        </w:rPr>
        <w:t>实质性条款响应情况表</w:t>
      </w:r>
      <w:bookmarkEnd w:id="145"/>
    </w:p>
    <w:tbl>
      <w:tblPr>
        <w:tblStyle w:val="25"/>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434"/>
        <w:gridCol w:w="1523"/>
        <w:gridCol w:w="1247"/>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noWrap/>
            <w:vAlign w:val="center"/>
          </w:tcPr>
          <w:p>
            <w:pPr>
              <w:adjustRightInd w:val="0"/>
              <w:snapToGrid w:val="0"/>
              <w:spacing w:line="360" w:lineRule="auto"/>
              <w:jc w:val="center"/>
            </w:pPr>
            <w:bookmarkStart w:id="146" w:name="_Hlk72092651"/>
            <w:r>
              <w:rPr>
                <w:rFonts w:hint="eastAsia"/>
              </w:rPr>
              <w:t>序号</w:t>
            </w:r>
          </w:p>
        </w:tc>
        <w:tc>
          <w:tcPr>
            <w:tcW w:w="3434" w:type="dxa"/>
            <w:noWrap/>
            <w:vAlign w:val="center"/>
          </w:tcPr>
          <w:p>
            <w:pPr>
              <w:adjustRightInd w:val="0"/>
              <w:snapToGrid w:val="0"/>
              <w:spacing w:line="360" w:lineRule="auto"/>
              <w:jc w:val="center"/>
              <w:rPr>
                <w:rFonts w:ascii="宋体" w:hAnsi="宋体"/>
                <w:kern w:val="0"/>
              </w:rPr>
            </w:pPr>
            <w:r>
              <w:rPr>
                <w:rFonts w:hint="eastAsia" w:ascii="宋体" w:hAnsi="宋体"/>
                <w:kern w:val="0"/>
              </w:rPr>
              <w:t>实质性条款具体内容</w:t>
            </w:r>
          </w:p>
        </w:tc>
        <w:tc>
          <w:tcPr>
            <w:tcW w:w="1523" w:type="dxa"/>
            <w:noWrap/>
            <w:vAlign w:val="center"/>
          </w:tcPr>
          <w:p>
            <w:pPr>
              <w:adjustRightInd w:val="0"/>
              <w:snapToGrid w:val="0"/>
              <w:spacing w:line="360" w:lineRule="auto"/>
              <w:jc w:val="center"/>
              <w:rPr>
                <w:rFonts w:ascii="宋体" w:hAnsi="宋体"/>
                <w:kern w:val="0"/>
              </w:rPr>
            </w:pPr>
            <w:r>
              <w:rPr>
                <w:rFonts w:hint="eastAsia" w:ascii="宋体" w:hAnsi="宋体"/>
                <w:kern w:val="0"/>
              </w:rPr>
              <w:t>采购要求</w:t>
            </w:r>
          </w:p>
        </w:tc>
        <w:tc>
          <w:tcPr>
            <w:tcW w:w="1247" w:type="dxa"/>
            <w:noWrap/>
            <w:vAlign w:val="center"/>
          </w:tcPr>
          <w:p>
            <w:pPr>
              <w:adjustRightInd w:val="0"/>
              <w:snapToGrid w:val="0"/>
              <w:spacing w:line="360" w:lineRule="auto"/>
              <w:jc w:val="center"/>
              <w:rPr>
                <w:rFonts w:ascii="宋体" w:hAnsi="宋体"/>
                <w:kern w:val="0"/>
              </w:rPr>
            </w:pPr>
            <w:r>
              <w:rPr>
                <w:rFonts w:hint="eastAsia"/>
              </w:rPr>
              <w:t>投标响应</w:t>
            </w:r>
          </w:p>
        </w:tc>
        <w:tc>
          <w:tcPr>
            <w:tcW w:w="1136" w:type="dxa"/>
            <w:noWrap/>
            <w:vAlign w:val="center"/>
          </w:tcPr>
          <w:p>
            <w:pPr>
              <w:adjustRightInd w:val="0"/>
              <w:snapToGrid w:val="0"/>
              <w:spacing w:line="360" w:lineRule="auto"/>
              <w:jc w:val="center"/>
              <w:rPr>
                <w:rFonts w:ascii="宋体" w:hAnsi="宋体"/>
                <w:kern w:val="0"/>
              </w:rPr>
            </w:pPr>
            <w:r>
              <w:rPr>
                <w:rFonts w:hint="eastAsia"/>
              </w:rPr>
              <w:t>偏离情况</w:t>
            </w:r>
          </w:p>
        </w:tc>
        <w:tc>
          <w:tcPr>
            <w:tcW w:w="1136" w:type="dxa"/>
            <w:noWrap/>
            <w:vAlign w:val="center"/>
          </w:tcPr>
          <w:p>
            <w:pPr>
              <w:adjustRightInd w:val="0"/>
              <w:snapToGrid w:val="0"/>
              <w:spacing w:line="360" w:lineRule="auto"/>
              <w:jc w:val="center"/>
              <w:rPr>
                <w:rFonts w:ascii="宋体" w:hAnsi="宋体"/>
                <w:kern w:val="0"/>
              </w:rPr>
            </w:pPr>
            <w:r>
              <w:rPr>
                <w:rFonts w:hint="eastAsia"/>
              </w:rPr>
              <w:t>原因说明</w:t>
            </w:r>
          </w:p>
        </w:tc>
      </w:tr>
      <w:bookmark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ign w:val="center"/>
          </w:tcPr>
          <w:p>
            <w:pPr>
              <w:adjustRightInd w:val="0"/>
              <w:snapToGrid w:val="0"/>
              <w:spacing w:line="360" w:lineRule="auto"/>
              <w:jc w:val="center"/>
            </w:pPr>
            <w:r>
              <w:rPr>
                <w:rFonts w:hint="eastAsia"/>
              </w:rPr>
              <w:t>1</w:t>
            </w:r>
          </w:p>
        </w:tc>
        <w:tc>
          <w:tcPr>
            <w:tcW w:w="3434" w:type="dxa"/>
            <w:noWrap/>
            <w:vAlign w:val="center"/>
          </w:tcPr>
          <w:p>
            <w:pPr>
              <w:adjustRightInd w:val="0"/>
              <w:snapToGrid w:val="0"/>
              <w:spacing w:line="360" w:lineRule="auto"/>
              <w:jc w:val="center"/>
              <w:rPr>
                <w:rFonts w:hAnsi="宋体"/>
                <w:kern w:val="0"/>
              </w:rPr>
            </w:pPr>
            <w:r>
              <w:rPr>
                <w:rFonts w:hint="eastAsia"/>
              </w:rPr>
              <w:t>满足本项目标★的条款要求</w:t>
            </w:r>
          </w:p>
        </w:tc>
        <w:tc>
          <w:tcPr>
            <w:tcW w:w="1523" w:type="dxa"/>
            <w:noWrap/>
            <w:vAlign w:val="center"/>
          </w:tcPr>
          <w:p>
            <w:pPr>
              <w:adjustRightInd w:val="0"/>
              <w:snapToGrid w:val="0"/>
              <w:spacing w:line="360" w:lineRule="auto"/>
              <w:jc w:val="center"/>
              <w:rPr>
                <w:rFonts w:ascii="宋体" w:hAnsi="宋体"/>
                <w:kern w:val="0"/>
              </w:rPr>
            </w:pPr>
          </w:p>
        </w:tc>
        <w:tc>
          <w:tcPr>
            <w:tcW w:w="1247"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ign w:val="center"/>
          </w:tcPr>
          <w:p>
            <w:pPr>
              <w:adjustRightInd w:val="0"/>
              <w:snapToGrid w:val="0"/>
              <w:spacing w:line="360" w:lineRule="auto"/>
              <w:jc w:val="center"/>
            </w:pPr>
            <w:r>
              <w:rPr>
                <w:rFonts w:hint="eastAsia"/>
              </w:rPr>
              <w:t>2</w:t>
            </w:r>
          </w:p>
        </w:tc>
        <w:tc>
          <w:tcPr>
            <w:tcW w:w="3434" w:type="dxa"/>
            <w:noWrap/>
            <w:vAlign w:val="center"/>
          </w:tcPr>
          <w:p>
            <w:pPr>
              <w:adjustRightInd w:val="0"/>
              <w:snapToGrid w:val="0"/>
              <w:spacing w:line="360" w:lineRule="auto"/>
              <w:jc w:val="center"/>
            </w:pPr>
            <w:r>
              <w:rPr>
                <w:rFonts w:hint="eastAsia"/>
              </w:rPr>
              <w:t>...</w:t>
            </w:r>
          </w:p>
        </w:tc>
        <w:tc>
          <w:tcPr>
            <w:tcW w:w="1523" w:type="dxa"/>
            <w:noWrap/>
            <w:vAlign w:val="center"/>
          </w:tcPr>
          <w:p>
            <w:pPr>
              <w:adjustRightInd w:val="0"/>
              <w:snapToGrid w:val="0"/>
              <w:spacing w:line="360" w:lineRule="auto"/>
              <w:jc w:val="center"/>
              <w:rPr>
                <w:rFonts w:ascii="宋体" w:hAnsi="宋体"/>
                <w:kern w:val="0"/>
              </w:rPr>
            </w:pPr>
          </w:p>
        </w:tc>
        <w:tc>
          <w:tcPr>
            <w:tcW w:w="1247"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ign w:val="center"/>
          </w:tcPr>
          <w:p>
            <w:pPr>
              <w:adjustRightInd w:val="0"/>
              <w:snapToGrid w:val="0"/>
              <w:spacing w:line="360" w:lineRule="auto"/>
              <w:jc w:val="center"/>
            </w:pPr>
            <w:r>
              <w:rPr>
                <w:rFonts w:hint="eastAsia"/>
              </w:rPr>
              <w:t>3</w:t>
            </w:r>
          </w:p>
        </w:tc>
        <w:tc>
          <w:tcPr>
            <w:tcW w:w="3434" w:type="dxa"/>
            <w:noWrap/>
            <w:vAlign w:val="center"/>
          </w:tcPr>
          <w:p>
            <w:pPr>
              <w:adjustRightInd w:val="0"/>
              <w:snapToGrid w:val="0"/>
              <w:spacing w:line="360" w:lineRule="auto"/>
              <w:jc w:val="center"/>
            </w:pPr>
            <w:r>
              <w:rPr>
                <w:rFonts w:hint="eastAsia"/>
              </w:rPr>
              <w:t>...</w:t>
            </w:r>
          </w:p>
        </w:tc>
        <w:tc>
          <w:tcPr>
            <w:tcW w:w="1523" w:type="dxa"/>
            <w:noWrap/>
            <w:vAlign w:val="center"/>
          </w:tcPr>
          <w:p>
            <w:pPr>
              <w:adjustRightInd w:val="0"/>
              <w:snapToGrid w:val="0"/>
              <w:spacing w:line="360" w:lineRule="auto"/>
              <w:jc w:val="center"/>
              <w:rPr>
                <w:rFonts w:ascii="宋体" w:hAnsi="宋体"/>
                <w:kern w:val="0"/>
              </w:rPr>
            </w:pPr>
          </w:p>
        </w:tc>
        <w:tc>
          <w:tcPr>
            <w:tcW w:w="1247"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r>
    </w:tbl>
    <w:p>
      <w:pPr>
        <w:rPr>
          <w:rFonts w:ascii="宋体" w:hAnsi="宋体"/>
          <w:color w:val="0000FF"/>
          <w:kern w:val="0"/>
          <w:szCs w:val="21"/>
        </w:rPr>
      </w:pPr>
    </w:p>
    <w:p>
      <w:pPr>
        <w:rPr>
          <w:rFonts w:ascii="Times New Roman" w:hAnsi="Times New Roman"/>
        </w:rPr>
      </w:pPr>
      <w:r>
        <w:rPr>
          <w:rFonts w:hint="eastAsia" w:ascii="Times New Roman" w:hAnsi="Times New Roman"/>
        </w:rPr>
        <w:t>说明：</w:t>
      </w:r>
    </w:p>
    <w:p>
      <w:pPr>
        <w:ind w:firstLine="420" w:firstLineChars="200"/>
        <w:rPr>
          <w:rFonts w:ascii="Times New Roman" w:hAnsi="Times New Roman"/>
        </w:rPr>
      </w:pPr>
      <w:r>
        <w:rPr>
          <w:rFonts w:hint="eastAsia" w:ascii="Times New Roman" w:hAnsi="Times New Roman"/>
        </w:rPr>
        <w:t>1.上表所列各项均为不可负偏离条款。</w:t>
      </w:r>
    </w:p>
    <w:p>
      <w:pPr>
        <w:ind w:firstLine="420" w:firstLineChars="200"/>
      </w:pPr>
      <w:r>
        <w:rPr>
          <w:rFonts w:hint="eastAsia"/>
        </w:rPr>
        <w:t>2.根据采购文件第三章“用户需求书中”</w:t>
      </w:r>
      <w:r>
        <w:t>打“</w:t>
      </w:r>
      <w:r>
        <w:rPr>
          <w:rFonts w:hint="eastAsia"/>
        </w:rPr>
        <w:t>★</w:t>
      </w:r>
      <w:r>
        <w:t>”号条款</w:t>
      </w:r>
      <w:r>
        <w:rPr>
          <w:rFonts w:hint="eastAsia"/>
        </w:rPr>
        <w:t>，详细填写投标人自身响应情况，</w:t>
      </w:r>
      <w:r>
        <w:t>并列明具体响应数值或内容，只注明符合、满足等无具体内容表述的</w:t>
      </w:r>
      <w:r>
        <w:rPr>
          <w:rFonts w:hint="eastAsia"/>
        </w:rPr>
        <w:t>或者照搬照抄招实质性条款具体内容，</w:t>
      </w:r>
      <w:r>
        <w:t>将视为未实质性满足</w:t>
      </w:r>
      <w:r>
        <w:rPr>
          <w:rFonts w:hint="eastAsia"/>
        </w:rPr>
        <w:t>采购</w:t>
      </w:r>
      <w:r>
        <w:t>文件要求</w:t>
      </w:r>
      <w:r>
        <w:rPr>
          <w:rFonts w:hint="eastAsia"/>
        </w:rPr>
        <w:t>，投标无效。</w:t>
      </w:r>
    </w:p>
    <w:p>
      <w:pPr>
        <w:ind w:firstLine="420" w:firstLineChars="200"/>
      </w:pPr>
      <w:r>
        <w:rPr>
          <w:rFonts w:hint="eastAsia"/>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20" w:firstLineChars="200"/>
      </w:pPr>
      <w:r>
        <w:rPr>
          <w:rFonts w:hint="eastAsia"/>
        </w:rPr>
        <w:t>4.评审委员会有权根据实质性条款响应情况作出评判。</w:t>
      </w:r>
    </w:p>
    <w:p>
      <w:pPr>
        <w:pStyle w:val="22"/>
        <w:rPr>
          <w:szCs w:val="21"/>
        </w:rPr>
      </w:pPr>
    </w:p>
    <w:p>
      <w:pPr>
        <w:pStyle w:val="22"/>
        <w:rPr>
          <w:szCs w:val="21"/>
        </w:rPr>
      </w:pPr>
    </w:p>
    <w:p>
      <w:pPr>
        <w:pStyle w:val="4"/>
        <w:rPr>
          <w:rFonts w:ascii="黑体" w:eastAsia="黑体"/>
          <w:kern w:val="0"/>
          <w:sz w:val="24"/>
          <w:szCs w:val="24"/>
        </w:rPr>
      </w:pPr>
      <w:r>
        <w:rPr>
          <w:rFonts w:hint="eastAsia" w:ascii="黑体" w:eastAsia="黑体"/>
          <w:kern w:val="0"/>
          <w:sz w:val="24"/>
          <w:szCs w:val="24"/>
        </w:rPr>
        <w:t>十、重要技术参数响应情况表</w:t>
      </w:r>
    </w:p>
    <w:tbl>
      <w:tblPr>
        <w:tblStyle w:val="25"/>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434"/>
        <w:gridCol w:w="1523"/>
        <w:gridCol w:w="1247"/>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noWrap/>
            <w:vAlign w:val="center"/>
          </w:tcPr>
          <w:p>
            <w:pPr>
              <w:adjustRightInd w:val="0"/>
              <w:snapToGrid w:val="0"/>
              <w:spacing w:line="360" w:lineRule="auto"/>
              <w:jc w:val="center"/>
            </w:pPr>
            <w:r>
              <w:rPr>
                <w:rFonts w:hint="eastAsia"/>
              </w:rPr>
              <w:t>序号</w:t>
            </w:r>
          </w:p>
        </w:tc>
        <w:tc>
          <w:tcPr>
            <w:tcW w:w="3434" w:type="dxa"/>
            <w:noWrap/>
            <w:vAlign w:val="center"/>
          </w:tcPr>
          <w:p>
            <w:pPr>
              <w:adjustRightInd w:val="0"/>
              <w:snapToGrid w:val="0"/>
              <w:spacing w:line="360" w:lineRule="auto"/>
              <w:jc w:val="center"/>
              <w:rPr>
                <w:rFonts w:ascii="宋体" w:hAnsi="宋体"/>
                <w:kern w:val="0"/>
              </w:rPr>
            </w:pPr>
            <w:r>
              <w:rPr>
                <w:rFonts w:hint="eastAsia" w:ascii="宋体" w:hAnsi="宋体"/>
                <w:kern w:val="0"/>
              </w:rPr>
              <w:t>重要技术参数具体内容</w:t>
            </w:r>
          </w:p>
        </w:tc>
        <w:tc>
          <w:tcPr>
            <w:tcW w:w="1523" w:type="dxa"/>
            <w:noWrap/>
            <w:vAlign w:val="center"/>
          </w:tcPr>
          <w:p>
            <w:pPr>
              <w:adjustRightInd w:val="0"/>
              <w:snapToGrid w:val="0"/>
              <w:spacing w:line="360" w:lineRule="auto"/>
              <w:jc w:val="center"/>
              <w:rPr>
                <w:rFonts w:ascii="宋体" w:hAnsi="宋体"/>
                <w:kern w:val="0"/>
              </w:rPr>
            </w:pPr>
            <w:r>
              <w:rPr>
                <w:rFonts w:hint="eastAsia" w:ascii="宋体" w:hAnsi="宋体"/>
                <w:kern w:val="0"/>
              </w:rPr>
              <w:t>采购要求</w:t>
            </w:r>
          </w:p>
        </w:tc>
        <w:tc>
          <w:tcPr>
            <w:tcW w:w="1247" w:type="dxa"/>
            <w:noWrap/>
            <w:vAlign w:val="center"/>
          </w:tcPr>
          <w:p>
            <w:pPr>
              <w:adjustRightInd w:val="0"/>
              <w:snapToGrid w:val="0"/>
              <w:spacing w:line="360" w:lineRule="auto"/>
              <w:jc w:val="center"/>
              <w:rPr>
                <w:rFonts w:ascii="宋体" w:hAnsi="宋体"/>
                <w:kern w:val="0"/>
              </w:rPr>
            </w:pPr>
            <w:r>
              <w:rPr>
                <w:rFonts w:hint="eastAsia"/>
              </w:rPr>
              <w:t>投标响应</w:t>
            </w:r>
          </w:p>
        </w:tc>
        <w:tc>
          <w:tcPr>
            <w:tcW w:w="1136" w:type="dxa"/>
            <w:noWrap/>
            <w:vAlign w:val="center"/>
          </w:tcPr>
          <w:p>
            <w:pPr>
              <w:adjustRightInd w:val="0"/>
              <w:snapToGrid w:val="0"/>
              <w:spacing w:line="360" w:lineRule="auto"/>
              <w:jc w:val="center"/>
              <w:rPr>
                <w:rFonts w:ascii="宋体" w:hAnsi="宋体"/>
                <w:kern w:val="0"/>
              </w:rPr>
            </w:pPr>
            <w:r>
              <w:rPr>
                <w:rFonts w:hint="eastAsia"/>
              </w:rPr>
              <w:t>偏离情况</w:t>
            </w:r>
          </w:p>
        </w:tc>
        <w:tc>
          <w:tcPr>
            <w:tcW w:w="1136" w:type="dxa"/>
            <w:noWrap/>
            <w:vAlign w:val="center"/>
          </w:tcPr>
          <w:p>
            <w:pPr>
              <w:adjustRightInd w:val="0"/>
              <w:snapToGrid w:val="0"/>
              <w:spacing w:line="360" w:lineRule="auto"/>
              <w:jc w:val="center"/>
              <w:rPr>
                <w:rFonts w:ascii="宋体" w:hAnsi="宋体"/>
                <w:kern w:val="0"/>
              </w:rPr>
            </w:pPr>
            <w:r>
              <w:rPr>
                <w:rFonts w:hint="eastAsia"/>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ign w:val="center"/>
          </w:tcPr>
          <w:p>
            <w:pPr>
              <w:adjustRightInd w:val="0"/>
              <w:snapToGrid w:val="0"/>
              <w:spacing w:line="360" w:lineRule="auto"/>
              <w:jc w:val="center"/>
            </w:pPr>
            <w:r>
              <w:rPr>
                <w:rFonts w:hint="eastAsia"/>
              </w:rPr>
              <w:t>1</w:t>
            </w:r>
          </w:p>
        </w:tc>
        <w:tc>
          <w:tcPr>
            <w:tcW w:w="3434" w:type="dxa"/>
            <w:noWrap/>
            <w:vAlign w:val="center"/>
          </w:tcPr>
          <w:p>
            <w:pPr>
              <w:adjustRightInd w:val="0"/>
              <w:snapToGrid w:val="0"/>
              <w:spacing w:line="360" w:lineRule="auto"/>
              <w:jc w:val="center"/>
              <w:rPr>
                <w:rFonts w:hAnsi="宋体"/>
                <w:kern w:val="0"/>
              </w:rPr>
            </w:pPr>
            <w:r>
              <w:rPr>
                <w:rFonts w:hint="eastAsia"/>
              </w:rPr>
              <w:t>满足本项目标</w:t>
            </w:r>
            <w:r>
              <w:t>▲</w:t>
            </w:r>
            <w:r>
              <w:rPr>
                <w:rFonts w:hint="eastAsia"/>
              </w:rPr>
              <w:t>的条款要求</w:t>
            </w:r>
          </w:p>
        </w:tc>
        <w:tc>
          <w:tcPr>
            <w:tcW w:w="1523" w:type="dxa"/>
            <w:noWrap/>
            <w:vAlign w:val="center"/>
          </w:tcPr>
          <w:p>
            <w:pPr>
              <w:adjustRightInd w:val="0"/>
              <w:snapToGrid w:val="0"/>
              <w:spacing w:line="360" w:lineRule="auto"/>
              <w:jc w:val="center"/>
              <w:rPr>
                <w:rFonts w:ascii="宋体" w:hAnsi="宋体"/>
                <w:kern w:val="0"/>
              </w:rPr>
            </w:pPr>
          </w:p>
        </w:tc>
        <w:tc>
          <w:tcPr>
            <w:tcW w:w="1247"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ign w:val="center"/>
          </w:tcPr>
          <w:p>
            <w:pPr>
              <w:adjustRightInd w:val="0"/>
              <w:snapToGrid w:val="0"/>
              <w:spacing w:line="360" w:lineRule="auto"/>
              <w:jc w:val="center"/>
            </w:pPr>
            <w:r>
              <w:rPr>
                <w:rFonts w:hint="eastAsia"/>
              </w:rPr>
              <w:t>2</w:t>
            </w:r>
          </w:p>
        </w:tc>
        <w:tc>
          <w:tcPr>
            <w:tcW w:w="3434" w:type="dxa"/>
            <w:noWrap/>
            <w:vAlign w:val="center"/>
          </w:tcPr>
          <w:p>
            <w:pPr>
              <w:adjustRightInd w:val="0"/>
              <w:snapToGrid w:val="0"/>
              <w:spacing w:line="360" w:lineRule="auto"/>
              <w:jc w:val="center"/>
            </w:pPr>
            <w:r>
              <w:rPr>
                <w:rFonts w:hint="eastAsia"/>
              </w:rPr>
              <w:t>...</w:t>
            </w:r>
          </w:p>
        </w:tc>
        <w:tc>
          <w:tcPr>
            <w:tcW w:w="1523" w:type="dxa"/>
            <w:noWrap/>
            <w:vAlign w:val="center"/>
          </w:tcPr>
          <w:p>
            <w:pPr>
              <w:adjustRightInd w:val="0"/>
              <w:snapToGrid w:val="0"/>
              <w:spacing w:line="360" w:lineRule="auto"/>
              <w:jc w:val="center"/>
              <w:rPr>
                <w:rFonts w:ascii="宋体" w:hAnsi="宋体"/>
                <w:kern w:val="0"/>
              </w:rPr>
            </w:pPr>
          </w:p>
        </w:tc>
        <w:tc>
          <w:tcPr>
            <w:tcW w:w="1247"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ign w:val="center"/>
          </w:tcPr>
          <w:p>
            <w:pPr>
              <w:adjustRightInd w:val="0"/>
              <w:snapToGrid w:val="0"/>
              <w:spacing w:line="360" w:lineRule="auto"/>
              <w:jc w:val="center"/>
            </w:pPr>
            <w:r>
              <w:rPr>
                <w:rFonts w:hint="eastAsia"/>
              </w:rPr>
              <w:t>3</w:t>
            </w:r>
          </w:p>
        </w:tc>
        <w:tc>
          <w:tcPr>
            <w:tcW w:w="3434" w:type="dxa"/>
            <w:noWrap/>
            <w:vAlign w:val="center"/>
          </w:tcPr>
          <w:p>
            <w:pPr>
              <w:adjustRightInd w:val="0"/>
              <w:snapToGrid w:val="0"/>
              <w:spacing w:line="360" w:lineRule="auto"/>
              <w:jc w:val="center"/>
            </w:pPr>
            <w:r>
              <w:rPr>
                <w:rFonts w:hint="eastAsia"/>
              </w:rPr>
              <w:t>...</w:t>
            </w:r>
          </w:p>
        </w:tc>
        <w:tc>
          <w:tcPr>
            <w:tcW w:w="1523" w:type="dxa"/>
            <w:noWrap/>
            <w:vAlign w:val="center"/>
          </w:tcPr>
          <w:p>
            <w:pPr>
              <w:adjustRightInd w:val="0"/>
              <w:snapToGrid w:val="0"/>
              <w:spacing w:line="360" w:lineRule="auto"/>
              <w:jc w:val="center"/>
              <w:rPr>
                <w:rFonts w:ascii="宋体" w:hAnsi="宋体"/>
                <w:kern w:val="0"/>
              </w:rPr>
            </w:pPr>
          </w:p>
        </w:tc>
        <w:tc>
          <w:tcPr>
            <w:tcW w:w="1247"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c>
          <w:tcPr>
            <w:tcW w:w="1136" w:type="dxa"/>
            <w:noWrap/>
            <w:vAlign w:val="center"/>
          </w:tcPr>
          <w:p>
            <w:pPr>
              <w:adjustRightInd w:val="0"/>
              <w:snapToGrid w:val="0"/>
              <w:spacing w:line="360" w:lineRule="auto"/>
              <w:jc w:val="center"/>
              <w:rPr>
                <w:rFonts w:ascii="宋体" w:hAnsi="宋体"/>
                <w:kern w:val="0"/>
              </w:rPr>
            </w:pPr>
          </w:p>
        </w:tc>
      </w:tr>
    </w:tbl>
    <w:p>
      <w:pPr>
        <w:ind w:firstLine="210" w:firstLineChars="100"/>
      </w:pPr>
    </w:p>
    <w:p>
      <w:pPr>
        <w:ind w:firstLine="210" w:firstLineChars="100"/>
      </w:pPr>
      <w:r>
        <w:t>说明：</w:t>
      </w:r>
    </w:p>
    <w:p>
      <w:pPr>
        <w:ind w:firstLine="480"/>
      </w:pPr>
      <w:r>
        <w:rPr>
          <w:rFonts w:hint="eastAsia"/>
        </w:rPr>
        <w:t>1.采购文件第三章“用户需求书中”</w:t>
      </w:r>
      <w:r>
        <w:t>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20" w:firstLineChars="200"/>
        <w:rPr>
          <w:rFonts w:ascii="宋体" w:hAnsi="宋体"/>
          <w:sz w:val="24"/>
          <w:szCs w:val="24"/>
        </w:rPr>
      </w:pPr>
      <w:r>
        <w:t>4.“备注”处可填写偏离情况的说明。</w:t>
      </w:r>
    </w:p>
    <w:p>
      <w:pPr>
        <w:pStyle w:val="22"/>
        <w:rPr>
          <w:szCs w:val="21"/>
        </w:rPr>
      </w:pPr>
    </w:p>
    <w:p>
      <w:pPr>
        <w:pStyle w:val="14"/>
        <w:ind w:left="1470" w:right="1470"/>
        <w:rPr>
          <w:rFonts w:hAnsi="宋体"/>
          <w:color w:val="0000FF"/>
          <w:szCs w:val="21"/>
        </w:rPr>
      </w:pPr>
    </w:p>
    <w:p>
      <w:pPr>
        <w:pStyle w:val="4"/>
        <w:rPr>
          <w:rFonts w:ascii="黑体" w:hAnsi="黑体" w:eastAsia="黑体" w:cs="黑体"/>
          <w:sz w:val="21"/>
          <w:szCs w:val="21"/>
        </w:rPr>
      </w:pPr>
      <w:r>
        <w:rPr>
          <w:rFonts w:hint="eastAsia" w:ascii="黑体" w:hAnsi="黑体" w:eastAsia="黑体" w:cs="黑体"/>
          <w:sz w:val="24"/>
          <w:szCs w:val="24"/>
        </w:rPr>
        <w:t>十一、商务条款偏离表</w:t>
      </w:r>
    </w:p>
    <w:tbl>
      <w:tblPr>
        <w:tblStyle w:val="25"/>
        <w:tblpPr w:leftFromText="180" w:rightFromText="180" w:vertAnchor="text" w:tblpXSpec="center"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108"/>
        <w:gridCol w:w="2108"/>
        <w:gridCol w:w="1532"/>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tcPr>
          <w:p>
            <w:pPr>
              <w:widowControl/>
              <w:jc w:val="center"/>
              <w:rPr>
                <w:rFonts w:ascii="宋体" w:hAnsi="宋体" w:cs="宋体"/>
                <w:szCs w:val="21"/>
              </w:rPr>
            </w:pPr>
            <w:r>
              <w:rPr>
                <w:rFonts w:hint="eastAsia" w:ascii="宋体" w:hAnsi="宋体" w:cs="宋体"/>
                <w:szCs w:val="21"/>
              </w:rPr>
              <w:t>序号</w:t>
            </w:r>
          </w:p>
        </w:tc>
        <w:tc>
          <w:tcPr>
            <w:tcW w:w="1149" w:type="pct"/>
            <w:noWrap/>
          </w:tcPr>
          <w:p>
            <w:pPr>
              <w:widowControl/>
              <w:jc w:val="center"/>
              <w:rPr>
                <w:rFonts w:ascii="宋体" w:hAnsi="宋体" w:cs="宋体"/>
                <w:szCs w:val="21"/>
              </w:rPr>
            </w:pPr>
            <w:r>
              <w:rPr>
                <w:rFonts w:hint="eastAsia" w:ascii="宋体" w:hAnsi="宋体" w:cs="宋体"/>
                <w:szCs w:val="21"/>
              </w:rPr>
              <w:t>采购商务条款</w:t>
            </w:r>
          </w:p>
        </w:tc>
        <w:tc>
          <w:tcPr>
            <w:tcW w:w="1149" w:type="pct"/>
            <w:noWrap/>
          </w:tcPr>
          <w:p>
            <w:pPr>
              <w:widowControl/>
              <w:jc w:val="center"/>
              <w:rPr>
                <w:rFonts w:ascii="宋体" w:hAnsi="宋体" w:cs="宋体"/>
                <w:szCs w:val="21"/>
              </w:rPr>
            </w:pPr>
            <w:r>
              <w:rPr>
                <w:rFonts w:hint="eastAsia" w:ascii="宋体" w:hAnsi="宋体" w:cs="宋体"/>
                <w:szCs w:val="21"/>
              </w:rPr>
              <w:t>投标商务响应</w:t>
            </w:r>
          </w:p>
        </w:tc>
        <w:tc>
          <w:tcPr>
            <w:tcW w:w="835" w:type="pct"/>
            <w:noWrap/>
          </w:tcPr>
          <w:p>
            <w:pPr>
              <w:widowControl/>
              <w:jc w:val="center"/>
              <w:rPr>
                <w:rFonts w:ascii="宋体" w:hAnsi="宋体" w:cs="宋体"/>
                <w:szCs w:val="21"/>
              </w:rPr>
            </w:pPr>
            <w:r>
              <w:rPr>
                <w:rFonts w:hint="eastAsia" w:ascii="宋体" w:hAnsi="宋体" w:cs="宋体"/>
                <w:szCs w:val="21"/>
              </w:rPr>
              <w:t>偏离情况</w:t>
            </w:r>
          </w:p>
        </w:tc>
        <w:tc>
          <w:tcPr>
            <w:tcW w:w="1384" w:type="pct"/>
            <w:noWrap/>
          </w:tcPr>
          <w:p>
            <w:pPr>
              <w:widowControl/>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835" w:type="pct"/>
            <w:noWrap/>
          </w:tcPr>
          <w:p>
            <w:pPr>
              <w:widowControl/>
              <w:rPr>
                <w:rFonts w:ascii="宋体" w:hAnsi="宋体" w:cs="宋体"/>
                <w:szCs w:val="21"/>
              </w:rPr>
            </w:pPr>
          </w:p>
        </w:tc>
        <w:tc>
          <w:tcPr>
            <w:tcW w:w="1384" w:type="pct"/>
            <w:noWrap/>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835" w:type="pct"/>
            <w:noWrap/>
          </w:tcPr>
          <w:p>
            <w:pPr>
              <w:widowControl/>
              <w:rPr>
                <w:rFonts w:ascii="宋体" w:hAnsi="宋体" w:cs="宋体"/>
                <w:szCs w:val="21"/>
              </w:rPr>
            </w:pPr>
          </w:p>
        </w:tc>
        <w:tc>
          <w:tcPr>
            <w:tcW w:w="1384" w:type="pct"/>
            <w:noWrap/>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835" w:type="pct"/>
            <w:noWrap/>
          </w:tcPr>
          <w:p>
            <w:pPr>
              <w:widowControl/>
              <w:rPr>
                <w:rFonts w:ascii="宋体" w:hAnsi="宋体" w:cs="宋体"/>
                <w:szCs w:val="21"/>
              </w:rPr>
            </w:pPr>
          </w:p>
        </w:tc>
        <w:tc>
          <w:tcPr>
            <w:tcW w:w="1384" w:type="pct"/>
            <w:noWrap/>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1149" w:type="pct"/>
            <w:noWrap/>
          </w:tcPr>
          <w:p>
            <w:pPr>
              <w:widowControl/>
              <w:rPr>
                <w:rFonts w:ascii="宋体" w:hAnsi="宋体" w:cs="宋体"/>
                <w:szCs w:val="21"/>
              </w:rPr>
            </w:pPr>
          </w:p>
        </w:tc>
        <w:tc>
          <w:tcPr>
            <w:tcW w:w="835" w:type="pct"/>
            <w:noWrap/>
          </w:tcPr>
          <w:p>
            <w:pPr>
              <w:widowControl/>
              <w:rPr>
                <w:rFonts w:ascii="宋体" w:hAnsi="宋体" w:cs="宋体"/>
                <w:szCs w:val="21"/>
              </w:rPr>
            </w:pPr>
          </w:p>
        </w:tc>
        <w:tc>
          <w:tcPr>
            <w:tcW w:w="1384" w:type="pct"/>
            <w:noWrap/>
          </w:tcPr>
          <w:p>
            <w:pPr>
              <w:widowControl/>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说明：</w:t>
      </w:r>
    </w:p>
    <w:p>
      <w:pPr>
        <w:rPr>
          <w:rFonts w:ascii="宋体" w:hAnsi="宋体" w:cs="宋体"/>
          <w:szCs w:val="21"/>
        </w:rPr>
      </w:pPr>
      <w:r>
        <w:rPr>
          <w:rFonts w:hint="eastAsia" w:ascii="宋体" w:hAnsi="宋体" w:cs="宋体"/>
          <w:szCs w:val="21"/>
        </w:rPr>
        <w:t>1.“采购商务条款”一栏逐项填写</w:t>
      </w:r>
      <w:r>
        <w:rPr>
          <w:rFonts w:hint="eastAsia" w:ascii="宋体" w:hAnsi="宋体" w:cs="宋体"/>
          <w:b/>
          <w:color w:val="0000FF"/>
          <w:szCs w:val="21"/>
        </w:rPr>
        <w:t>采购文件第三章项目用户需求书“六、商务要求”的内容</w:t>
      </w:r>
      <w:r>
        <w:rPr>
          <w:rFonts w:hint="eastAsia" w:ascii="宋体" w:hAnsi="宋体" w:cs="宋体"/>
          <w:color w:val="0000FF"/>
          <w:szCs w:val="21"/>
        </w:rPr>
        <w:t>。</w:t>
      </w:r>
    </w:p>
    <w:p>
      <w:pPr>
        <w:rPr>
          <w:rFonts w:ascii="宋体" w:hAnsi="宋体" w:cs="宋体"/>
          <w:szCs w:val="21"/>
        </w:rPr>
      </w:pPr>
      <w:r>
        <w:rPr>
          <w:rFonts w:hint="eastAsia" w:ascii="宋体" w:hAnsi="宋体" w:cs="宋体"/>
          <w:szCs w:val="21"/>
        </w:rPr>
        <w:t>2.“投标商务响应”一栏详细填写投标商务响应的内容。</w:t>
      </w:r>
    </w:p>
    <w:p>
      <w:pPr>
        <w:rPr>
          <w:rFonts w:ascii="宋体" w:hAnsi="宋体" w:cs="宋体"/>
          <w:szCs w:val="21"/>
        </w:rPr>
      </w:pPr>
      <w:r>
        <w:rPr>
          <w:rFonts w:hint="eastAsia" w:ascii="宋体" w:hAnsi="宋体" w:cs="宋体"/>
          <w:szCs w:val="21"/>
        </w:rPr>
        <w:t>3. “偏离情况”栏中应如实填写“正偏离”、“负偏离”或“无偏离”。</w:t>
      </w:r>
    </w:p>
    <w:p>
      <w:pPr>
        <w:rPr>
          <w:rFonts w:ascii="宋体" w:hAnsi="宋体" w:cs="宋体"/>
          <w:szCs w:val="21"/>
        </w:rPr>
      </w:pPr>
      <w:r>
        <w:rPr>
          <w:rFonts w:hint="eastAsia" w:ascii="宋体" w:hAnsi="宋体" w:cs="宋体"/>
          <w:szCs w:val="21"/>
        </w:rPr>
        <w:t>4.</w:t>
      </w:r>
      <w:r>
        <w:rPr>
          <w:rFonts w:hint="eastAsia" w:ascii="宋体" w:hAnsi="宋体" w:cs="宋体"/>
          <w:bCs/>
          <w:szCs w:val="21"/>
        </w:rPr>
        <w:t>对于实质性</w:t>
      </w:r>
      <w:r>
        <w:rPr>
          <w:rFonts w:hint="eastAsia" w:ascii="宋体" w:hAnsi="宋体" w:cs="宋体"/>
          <w:szCs w:val="21"/>
        </w:rPr>
        <w:t>条款，投标文件响应为“负偏离”的，投标文件将按无效投标处理。</w:t>
      </w:r>
    </w:p>
    <w:p>
      <w:pPr>
        <w:rPr>
          <w:rFonts w:ascii="宋体" w:hAnsi="宋体" w:cs="宋体"/>
          <w:szCs w:val="21"/>
        </w:rPr>
      </w:pPr>
      <w:r>
        <w:rPr>
          <w:rFonts w:hint="eastAsia" w:ascii="宋体" w:hAnsi="宋体" w:cs="宋体"/>
          <w:szCs w:val="21"/>
        </w:rPr>
        <w:t>5.投标人应在“说明”一栏中列出商务条款的证明资料名称，并注明该证明资料在投标文件中的具体位置，未按要求提供证明材料或提供的证明资料显示不符合采购文件要求、模糊不清无法判断或未显示是否满足采购文件要求的，均视为负偏离。未要求提供相应证明材料的，投标人可以不提供。</w:t>
      </w:r>
    </w:p>
    <w:p>
      <w:pPr>
        <w:widowControl/>
        <w:tabs>
          <w:tab w:val="left" w:pos="720"/>
        </w:tabs>
        <w:spacing w:line="360" w:lineRule="auto"/>
        <w:rPr>
          <w:rFonts w:ascii="黑体" w:hAnsi="宋体" w:eastAsia="黑体"/>
          <w:b/>
          <w:sz w:val="24"/>
        </w:rPr>
      </w:pPr>
    </w:p>
    <w:p>
      <w:pPr>
        <w:widowControl/>
        <w:tabs>
          <w:tab w:val="left" w:pos="720"/>
        </w:tabs>
        <w:spacing w:line="360" w:lineRule="auto"/>
        <w:rPr>
          <w:rFonts w:ascii="黑体" w:hAnsi="宋体" w:eastAsia="黑体"/>
          <w:b/>
          <w:sz w:val="24"/>
        </w:rPr>
      </w:pPr>
    </w:p>
    <w:p>
      <w:pPr>
        <w:widowControl/>
        <w:tabs>
          <w:tab w:val="left" w:pos="720"/>
        </w:tabs>
        <w:spacing w:line="360" w:lineRule="auto"/>
        <w:rPr>
          <w:rFonts w:ascii="黑体" w:hAnsi="宋体" w:eastAsia="黑体"/>
          <w:b/>
          <w:sz w:val="24"/>
        </w:rPr>
      </w:pPr>
    </w:p>
    <w:p>
      <w:pPr>
        <w:widowControl/>
        <w:tabs>
          <w:tab w:val="left" w:pos="720"/>
        </w:tabs>
        <w:spacing w:line="360" w:lineRule="auto"/>
        <w:jc w:val="center"/>
        <w:rPr>
          <w:rFonts w:ascii="黑体" w:hAnsi="宋体" w:eastAsia="黑体"/>
          <w:b/>
          <w:sz w:val="24"/>
        </w:rPr>
      </w:pPr>
      <w:r>
        <w:rPr>
          <w:rFonts w:hint="eastAsia" w:ascii="黑体" w:hAnsi="宋体" w:eastAsia="黑体"/>
          <w:b/>
          <w:sz w:val="24"/>
        </w:rPr>
        <w:t>十二、供应商同类项目业绩情况</w:t>
      </w:r>
    </w:p>
    <w:tbl>
      <w:tblPr>
        <w:tblStyle w:val="25"/>
        <w:tblpPr w:leftFromText="180" w:rightFromText="180" w:vertAnchor="text" w:horzAnchor="page" w:tblpX="1636" w:tblpY="227"/>
        <w:tblOverlap w:val="never"/>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15"/>
        <w:gridCol w:w="1340"/>
        <w:gridCol w:w="1485"/>
        <w:gridCol w:w="1290"/>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20" w:type="dxa"/>
            <w:noWrap/>
            <w:vAlign w:val="center"/>
          </w:tcPr>
          <w:p>
            <w:pPr>
              <w:jc w:val="center"/>
              <w:rPr>
                <w:rFonts w:ascii="宋体" w:hAnsi="宋体" w:cs="宋体"/>
                <w:spacing w:val="-1"/>
                <w:kern w:val="0"/>
              </w:rPr>
            </w:pPr>
            <w:r>
              <w:rPr>
                <w:rFonts w:hint="eastAsia" w:ascii="宋体" w:hAnsi="宋体" w:cs="宋体"/>
                <w:spacing w:val="-1"/>
                <w:kern w:val="0"/>
              </w:rPr>
              <w:t>序号</w:t>
            </w:r>
          </w:p>
        </w:tc>
        <w:tc>
          <w:tcPr>
            <w:tcW w:w="1615" w:type="dxa"/>
            <w:noWrap/>
            <w:vAlign w:val="center"/>
          </w:tcPr>
          <w:p>
            <w:pPr>
              <w:jc w:val="center"/>
              <w:rPr>
                <w:rFonts w:ascii="宋体" w:hAnsi="宋体" w:cs="宋体"/>
                <w:spacing w:val="-1"/>
                <w:kern w:val="0"/>
              </w:rPr>
            </w:pPr>
            <w:r>
              <w:rPr>
                <w:rFonts w:hint="eastAsia" w:ascii="宋体" w:hAnsi="宋体" w:cs="宋体"/>
                <w:spacing w:val="-1"/>
                <w:kern w:val="0"/>
              </w:rPr>
              <w:t>项目名称</w:t>
            </w:r>
          </w:p>
        </w:tc>
        <w:tc>
          <w:tcPr>
            <w:tcW w:w="1340" w:type="dxa"/>
            <w:noWrap/>
            <w:vAlign w:val="center"/>
          </w:tcPr>
          <w:p>
            <w:pPr>
              <w:jc w:val="center"/>
              <w:rPr>
                <w:rFonts w:ascii="宋体" w:hAnsi="宋体" w:cs="宋体"/>
                <w:spacing w:val="-1"/>
                <w:kern w:val="0"/>
              </w:rPr>
            </w:pPr>
            <w:r>
              <w:rPr>
                <w:rFonts w:hint="eastAsia" w:ascii="宋体" w:hAnsi="宋体" w:cs="宋体"/>
                <w:spacing w:val="-1"/>
                <w:kern w:val="0"/>
              </w:rPr>
              <w:t>合同金额（万元）</w:t>
            </w:r>
          </w:p>
        </w:tc>
        <w:tc>
          <w:tcPr>
            <w:tcW w:w="1485" w:type="dxa"/>
            <w:noWrap/>
            <w:vAlign w:val="center"/>
          </w:tcPr>
          <w:p>
            <w:pPr>
              <w:jc w:val="center"/>
              <w:rPr>
                <w:rFonts w:ascii="宋体" w:hAnsi="宋体" w:cs="宋体"/>
                <w:spacing w:val="-1"/>
                <w:kern w:val="0"/>
              </w:rPr>
            </w:pPr>
            <w:r>
              <w:rPr>
                <w:rFonts w:hint="eastAsia" w:ascii="宋体" w:hAnsi="宋体" w:cs="宋体"/>
              </w:rPr>
              <w:t>签订合同时间</w:t>
            </w:r>
          </w:p>
        </w:tc>
        <w:tc>
          <w:tcPr>
            <w:tcW w:w="1290" w:type="dxa"/>
            <w:noWrap/>
            <w:vAlign w:val="center"/>
          </w:tcPr>
          <w:p>
            <w:pPr>
              <w:jc w:val="center"/>
              <w:rPr>
                <w:rFonts w:ascii="宋体" w:hAnsi="宋体" w:cs="宋体"/>
                <w:spacing w:val="-1"/>
                <w:kern w:val="0"/>
              </w:rPr>
            </w:pPr>
            <w:r>
              <w:rPr>
                <w:rFonts w:hint="eastAsia" w:ascii="宋体" w:hAnsi="宋体" w:cs="宋体"/>
              </w:rPr>
              <w:t>竣工验收报告时间</w:t>
            </w:r>
          </w:p>
        </w:tc>
        <w:tc>
          <w:tcPr>
            <w:tcW w:w="2547" w:type="dxa"/>
            <w:noWrap/>
            <w:vAlign w:val="center"/>
          </w:tcPr>
          <w:p>
            <w:pPr>
              <w:jc w:val="center"/>
              <w:rPr>
                <w:rFonts w:ascii="宋体" w:hAnsi="宋体" w:cs="宋体"/>
                <w:spacing w:val="-1"/>
                <w:kern w:val="0"/>
              </w:rPr>
            </w:pPr>
            <w:r>
              <w:rPr>
                <w:rFonts w:hint="eastAsia" w:ascii="宋体" w:hAnsi="宋体" w:cs="宋体"/>
                <w:spacing w:val="-1"/>
                <w:kern w:val="0"/>
              </w:rPr>
              <w:t>采购人联系人及电话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dxa"/>
            <w:noWrap/>
            <w:vAlign w:val="center"/>
          </w:tcPr>
          <w:p>
            <w:pPr>
              <w:jc w:val="center"/>
              <w:rPr>
                <w:rFonts w:ascii="宋体" w:hAnsi="宋体" w:cs="宋体"/>
                <w:spacing w:val="-1"/>
                <w:kern w:val="0"/>
              </w:rPr>
            </w:pPr>
            <w:r>
              <w:rPr>
                <w:rFonts w:hint="eastAsia" w:ascii="宋体" w:hAnsi="宋体" w:cs="宋体"/>
                <w:spacing w:val="-1"/>
                <w:kern w:val="0"/>
              </w:rPr>
              <w:t>1</w:t>
            </w:r>
          </w:p>
        </w:tc>
        <w:tc>
          <w:tcPr>
            <w:tcW w:w="1615" w:type="dxa"/>
            <w:noWrap/>
            <w:vAlign w:val="center"/>
          </w:tcPr>
          <w:p>
            <w:pPr>
              <w:jc w:val="center"/>
              <w:rPr>
                <w:rFonts w:ascii="宋体" w:hAnsi="宋体" w:cs="宋体"/>
                <w:spacing w:val="-1"/>
                <w:kern w:val="0"/>
              </w:rPr>
            </w:pPr>
          </w:p>
        </w:tc>
        <w:tc>
          <w:tcPr>
            <w:tcW w:w="1340" w:type="dxa"/>
            <w:noWrap/>
            <w:vAlign w:val="center"/>
          </w:tcPr>
          <w:p>
            <w:pPr>
              <w:jc w:val="center"/>
              <w:rPr>
                <w:rFonts w:ascii="宋体" w:hAnsi="宋体" w:cs="宋体"/>
                <w:spacing w:val="-1"/>
                <w:kern w:val="0"/>
              </w:rPr>
            </w:pPr>
          </w:p>
        </w:tc>
        <w:tc>
          <w:tcPr>
            <w:tcW w:w="1485" w:type="dxa"/>
            <w:noWrap/>
            <w:vAlign w:val="center"/>
          </w:tcPr>
          <w:p>
            <w:pPr>
              <w:jc w:val="center"/>
              <w:rPr>
                <w:rFonts w:ascii="宋体" w:hAnsi="宋体" w:cs="宋体"/>
                <w:spacing w:val="-1"/>
                <w:kern w:val="0"/>
              </w:rPr>
            </w:pPr>
          </w:p>
        </w:tc>
        <w:tc>
          <w:tcPr>
            <w:tcW w:w="1290" w:type="dxa"/>
            <w:noWrap/>
            <w:vAlign w:val="center"/>
          </w:tcPr>
          <w:p>
            <w:pPr>
              <w:jc w:val="center"/>
              <w:rPr>
                <w:rFonts w:ascii="宋体" w:hAnsi="宋体" w:cs="宋体"/>
                <w:spacing w:val="-1"/>
                <w:kern w:val="0"/>
              </w:rPr>
            </w:pPr>
          </w:p>
        </w:tc>
        <w:tc>
          <w:tcPr>
            <w:tcW w:w="2547" w:type="dxa"/>
            <w:noWrap/>
            <w:vAlign w:val="center"/>
          </w:tcPr>
          <w:p>
            <w:pPr>
              <w:jc w:val="center"/>
              <w:rPr>
                <w:rFonts w:ascii="宋体" w:hAnsi="宋体" w:cs="宋体"/>
                <w:spacing w:val="-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dxa"/>
            <w:noWrap/>
            <w:vAlign w:val="center"/>
          </w:tcPr>
          <w:p>
            <w:pPr>
              <w:jc w:val="center"/>
              <w:rPr>
                <w:rFonts w:ascii="宋体" w:hAnsi="宋体" w:cs="宋体"/>
                <w:spacing w:val="-1"/>
                <w:kern w:val="0"/>
              </w:rPr>
            </w:pPr>
            <w:r>
              <w:rPr>
                <w:rFonts w:hint="eastAsia" w:ascii="宋体" w:hAnsi="宋体" w:cs="宋体"/>
                <w:spacing w:val="-1"/>
                <w:kern w:val="0"/>
              </w:rPr>
              <w:t>2</w:t>
            </w:r>
          </w:p>
        </w:tc>
        <w:tc>
          <w:tcPr>
            <w:tcW w:w="1615" w:type="dxa"/>
            <w:noWrap/>
            <w:vAlign w:val="center"/>
          </w:tcPr>
          <w:p>
            <w:pPr>
              <w:jc w:val="center"/>
              <w:rPr>
                <w:rFonts w:ascii="宋体" w:hAnsi="宋体" w:cs="宋体"/>
                <w:spacing w:val="-1"/>
                <w:kern w:val="0"/>
              </w:rPr>
            </w:pPr>
          </w:p>
        </w:tc>
        <w:tc>
          <w:tcPr>
            <w:tcW w:w="1340" w:type="dxa"/>
            <w:noWrap/>
            <w:vAlign w:val="center"/>
          </w:tcPr>
          <w:p>
            <w:pPr>
              <w:jc w:val="center"/>
              <w:rPr>
                <w:rFonts w:ascii="宋体" w:hAnsi="宋体" w:cs="宋体"/>
                <w:spacing w:val="-1"/>
                <w:kern w:val="0"/>
              </w:rPr>
            </w:pPr>
          </w:p>
        </w:tc>
        <w:tc>
          <w:tcPr>
            <w:tcW w:w="1485" w:type="dxa"/>
            <w:noWrap/>
            <w:vAlign w:val="center"/>
          </w:tcPr>
          <w:p>
            <w:pPr>
              <w:jc w:val="center"/>
              <w:rPr>
                <w:rFonts w:ascii="宋体" w:hAnsi="宋体" w:cs="宋体"/>
                <w:spacing w:val="-1"/>
                <w:kern w:val="0"/>
              </w:rPr>
            </w:pPr>
          </w:p>
        </w:tc>
        <w:tc>
          <w:tcPr>
            <w:tcW w:w="1290" w:type="dxa"/>
            <w:noWrap/>
            <w:vAlign w:val="center"/>
          </w:tcPr>
          <w:p>
            <w:pPr>
              <w:jc w:val="center"/>
              <w:rPr>
                <w:rFonts w:ascii="宋体" w:hAnsi="宋体" w:cs="宋体"/>
                <w:spacing w:val="-1"/>
                <w:kern w:val="0"/>
              </w:rPr>
            </w:pPr>
          </w:p>
        </w:tc>
        <w:tc>
          <w:tcPr>
            <w:tcW w:w="2547" w:type="dxa"/>
            <w:noWrap/>
            <w:vAlign w:val="center"/>
          </w:tcPr>
          <w:p>
            <w:pPr>
              <w:jc w:val="center"/>
              <w:rPr>
                <w:rFonts w:ascii="宋体" w:hAnsi="宋体" w:cs="宋体"/>
                <w:spacing w:val="-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dxa"/>
            <w:noWrap/>
            <w:vAlign w:val="center"/>
          </w:tcPr>
          <w:p>
            <w:pPr>
              <w:jc w:val="center"/>
              <w:rPr>
                <w:rFonts w:ascii="宋体" w:hAnsi="宋体" w:cs="宋体"/>
                <w:spacing w:val="-1"/>
                <w:kern w:val="0"/>
              </w:rPr>
            </w:pPr>
            <w:r>
              <w:rPr>
                <w:rFonts w:hint="eastAsia" w:ascii="宋体" w:hAnsi="宋体" w:cs="宋体"/>
                <w:spacing w:val="-1"/>
                <w:kern w:val="0"/>
              </w:rPr>
              <w:t>3</w:t>
            </w:r>
          </w:p>
        </w:tc>
        <w:tc>
          <w:tcPr>
            <w:tcW w:w="1615" w:type="dxa"/>
            <w:noWrap/>
            <w:vAlign w:val="center"/>
          </w:tcPr>
          <w:p>
            <w:pPr>
              <w:jc w:val="center"/>
              <w:rPr>
                <w:rFonts w:ascii="宋体" w:hAnsi="宋体" w:cs="宋体"/>
                <w:spacing w:val="-1"/>
                <w:kern w:val="0"/>
              </w:rPr>
            </w:pPr>
          </w:p>
        </w:tc>
        <w:tc>
          <w:tcPr>
            <w:tcW w:w="1340" w:type="dxa"/>
            <w:noWrap/>
            <w:vAlign w:val="center"/>
          </w:tcPr>
          <w:p>
            <w:pPr>
              <w:jc w:val="center"/>
              <w:rPr>
                <w:rFonts w:ascii="宋体" w:hAnsi="宋体" w:cs="宋体"/>
                <w:spacing w:val="-1"/>
                <w:kern w:val="0"/>
              </w:rPr>
            </w:pPr>
          </w:p>
        </w:tc>
        <w:tc>
          <w:tcPr>
            <w:tcW w:w="1485" w:type="dxa"/>
            <w:noWrap/>
            <w:vAlign w:val="center"/>
          </w:tcPr>
          <w:p>
            <w:pPr>
              <w:jc w:val="center"/>
              <w:rPr>
                <w:rFonts w:ascii="宋体" w:hAnsi="宋体" w:cs="宋体"/>
                <w:spacing w:val="-1"/>
                <w:kern w:val="0"/>
              </w:rPr>
            </w:pPr>
          </w:p>
        </w:tc>
        <w:tc>
          <w:tcPr>
            <w:tcW w:w="1290" w:type="dxa"/>
            <w:noWrap/>
            <w:vAlign w:val="center"/>
          </w:tcPr>
          <w:p>
            <w:pPr>
              <w:jc w:val="center"/>
              <w:rPr>
                <w:rFonts w:ascii="宋体" w:hAnsi="宋体" w:cs="宋体"/>
                <w:spacing w:val="-1"/>
                <w:kern w:val="0"/>
              </w:rPr>
            </w:pPr>
          </w:p>
        </w:tc>
        <w:tc>
          <w:tcPr>
            <w:tcW w:w="2547" w:type="dxa"/>
            <w:noWrap/>
            <w:vAlign w:val="center"/>
          </w:tcPr>
          <w:p>
            <w:pPr>
              <w:jc w:val="center"/>
              <w:rPr>
                <w:rFonts w:ascii="宋体" w:hAnsi="宋体" w:cs="宋体"/>
                <w:spacing w:val="-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0" w:type="dxa"/>
            <w:noWrap/>
            <w:vAlign w:val="center"/>
          </w:tcPr>
          <w:p>
            <w:pPr>
              <w:jc w:val="center"/>
              <w:rPr>
                <w:rFonts w:ascii="宋体" w:hAnsi="宋体" w:cs="宋体"/>
                <w:spacing w:val="-1"/>
                <w:kern w:val="0"/>
              </w:rPr>
            </w:pPr>
            <w:r>
              <w:rPr>
                <w:rFonts w:hint="eastAsia" w:ascii="宋体" w:hAnsi="宋体" w:cs="宋体"/>
                <w:spacing w:val="-1"/>
                <w:kern w:val="0"/>
              </w:rPr>
              <w:t>…</w:t>
            </w:r>
          </w:p>
        </w:tc>
        <w:tc>
          <w:tcPr>
            <w:tcW w:w="1615" w:type="dxa"/>
            <w:noWrap/>
            <w:vAlign w:val="center"/>
          </w:tcPr>
          <w:p>
            <w:pPr>
              <w:jc w:val="center"/>
              <w:rPr>
                <w:rFonts w:ascii="宋体" w:hAnsi="宋体" w:cs="宋体"/>
                <w:spacing w:val="-1"/>
                <w:kern w:val="0"/>
              </w:rPr>
            </w:pPr>
          </w:p>
        </w:tc>
        <w:tc>
          <w:tcPr>
            <w:tcW w:w="1340" w:type="dxa"/>
            <w:noWrap/>
            <w:vAlign w:val="center"/>
          </w:tcPr>
          <w:p>
            <w:pPr>
              <w:jc w:val="center"/>
              <w:rPr>
                <w:rFonts w:ascii="宋体" w:hAnsi="宋体" w:cs="宋体"/>
                <w:spacing w:val="-1"/>
                <w:kern w:val="0"/>
              </w:rPr>
            </w:pPr>
          </w:p>
        </w:tc>
        <w:tc>
          <w:tcPr>
            <w:tcW w:w="1485" w:type="dxa"/>
            <w:noWrap/>
            <w:vAlign w:val="center"/>
          </w:tcPr>
          <w:p>
            <w:pPr>
              <w:jc w:val="center"/>
              <w:rPr>
                <w:rFonts w:ascii="宋体" w:hAnsi="宋体" w:cs="宋体"/>
                <w:spacing w:val="-1"/>
                <w:kern w:val="0"/>
              </w:rPr>
            </w:pPr>
          </w:p>
        </w:tc>
        <w:tc>
          <w:tcPr>
            <w:tcW w:w="1290" w:type="dxa"/>
            <w:noWrap/>
            <w:vAlign w:val="center"/>
          </w:tcPr>
          <w:p>
            <w:pPr>
              <w:jc w:val="center"/>
              <w:rPr>
                <w:rFonts w:ascii="宋体" w:hAnsi="宋体" w:cs="宋体"/>
                <w:spacing w:val="-1"/>
                <w:kern w:val="0"/>
              </w:rPr>
            </w:pPr>
          </w:p>
        </w:tc>
        <w:tc>
          <w:tcPr>
            <w:tcW w:w="2547" w:type="dxa"/>
            <w:noWrap/>
            <w:vAlign w:val="center"/>
          </w:tcPr>
          <w:p>
            <w:pPr>
              <w:jc w:val="center"/>
              <w:rPr>
                <w:rFonts w:ascii="宋体" w:hAnsi="宋体" w:cs="宋体"/>
                <w:spacing w:val="-1"/>
                <w:kern w:val="0"/>
              </w:rPr>
            </w:pPr>
          </w:p>
        </w:tc>
      </w:tr>
    </w:tbl>
    <w:p>
      <w:pPr>
        <w:widowControl/>
        <w:snapToGrid w:val="0"/>
        <w:jc w:val="left"/>
        <w:rPr>
          <w:rFonts w:ascii="宋体" w:hAnsi="宋体"/>
          <w:color w:val="0000FF"/>
          <w:kern w:val="0"/>
        </w:rPr>
      </w:pPr>
    </w:p>
    <w:p>
      <w:pPr>
        <w:widowControl/>
        <w:snapToGrid w:val="0"/>
        <w:ind w:firstLine="420" w:firstLineChars="200"/>
        <w:jc w:val="left"/>
        <w:rPr>
          <w:rFonts w:ascii="宋体" w:hAnsi="宋体"/>
          <w:color w:val="0000FF"/>
          <w:kern w:val="0"/>
        </w:rPr>
      </w:pPr>
      <w:r>
        <w:rPr>
          <w:rFonts w:hint="eastAsia" w:ascii="宋体" w:hAnsi="宋体"/>
          <w:color w:val="0000FF"/>
          <w:kern w:val="0"/>
        </w:rPr>
        <w:t>特别提示：投标人须按本采购文件评标信息中“供应商同类项目业绩情况”这一评审因素要求，提供相关证明资料。</w:t>
      </w:r>
    </w:p>
    <w:p>
      <w:pPr>
        <w:pStyle w:val="2"/>
        <w:kinsoku w:val="0"/>
        <w:overflowPunct w:val="0"/>
        <w:spacing w:before="10"/>
        <w:rPr>
          <w:rFonts w:ascii="宋体" w:hAnsi="宋体" w:cs="宋体"/>
          <w:color w:val="0000FF"/>
          <w:sz w:val="29"/>
          <w:szCs w:val="29"/>
        </w:rPr>
      </w:pPr>
    </w:p>
    <w:p>
      <w:pPr>
        <w:jc w:val="center"/>
      </w:pPr>
      <w:r>
        <w:t>投标人</w:t>
      </w:r>
      <w:r>
        <w:rPr>
          <w:rFonts w:hint="eastAsia"/>
        </w:rPr>
        <w:t>（</w:t>
      </w:r>
      <w:r>
        <w:t>签章</w:t>
      </w:r>
      <w:r>
        <w:rPr>
          <w:rFonts w:hint="eastAsia"/>
        </w:rPr>
        <w:t>）</w:t>
      </w:r>
      <w:r>
        <w:t>：______________</w:t>
      </w:r>
    </w:p>
    <w:p>
      <w:pPr>
        <w:jc w:val="center"/>
      </w:pPr>
      <w:r>
        <w:rPr>
          <w:rFonts w:hint="eastAsia" w:ascii="宋体" w:hAnsi="宋体"/>
        </w:rPr>
        <w:t>日期：年月日</w:t>
      </w:r>
    </w:p>
    <w:p>
      <w:pPr>
        <w:widowControl/>
        <w:tabs>
          <w:tab w:val="left" w:pos="720"/>
        </w:tabs>
        <w:spacing w:line="360" w:lineRule="auto"/>
        <w:ind w:firstLine="2891" w:firstLineChars="1200"/>
        <w:rPr>
          <w:rFonts w:ascii="黑体" w:hAnsi="宋体" w:eastAsia="黑体"/>
          <w:b/>
          <w:sz w:val="24"/>
        </w:rPr>
        <w:sectPr>
          <w:pgSz w:w="11906" w:h="16838"/>
          <w:pgMar w:top="1418" w:right="1588" w:bottom="1418" w:left="1365" w:header="851" w:footer="907" w:gutter="0"/>
          <w:cols w:space="720" w:num="1"/>
          <w:titlePg/>
          <w:docGrid w:type="lines" w:linePitch="290" w:charSpace="0"/>
        </w:sectPr>
      </w:pPr>
    </w:p>
    <w:p>
      <w:pPr>
        <w:pStyle w:val="2"/>
      </w:pPr>
    </w:p>
    <w:p>
      <w:pPr>
        <w:pStyle w:val="22"/>
      </w:pPr>
    </w:p>
    <w:p>
      <w:pPr>
        <w:widowControl/>
        <w:tabs>
          <w:tab w:val="left" w:pos="720"/>
        </w:tabs>
        <w:spacing w:line="360" w:lineRule="auto"/>
        <w:ind w:left="630" w:firstLine="1446" w:firstLineChars="600"/>
        <w:rPr>
          <w:rFonts w:ascii="黑体" w:hAnsi="宋体" w:eastAsia="黑体"/>
          <w:b/>
          <w:sz w:val="24"/>
        </w:rPr>
      </w:pPr>
    </w:p>
    <w:p>
      <w:pPr>
        <w:widowControl/>
        <w:tabs>
          <w:tab w:val="left" w:pos="720"/>
        </w:tabs>
        <w:spacing w:line="360" w:lineRule="auto"/>
        <w:ind w:left="630" w:firstLine="1446" w:firstLineChars="600"/>
        <w:rPr>
          <w:rFonts w:ascii="黑体" w:hAnsi="宋体" w:eastAsia="黑体"/>
          <w:b/>
          <w:sz w:val="24"/>
        </w:rPr>
      </w:pPr>
      <w:r>
        <w:rPr>
          <w:rFonts w:hint="eastAsia" w:ascii="黑体" w:hAnsi="宋体" w:eastAsia="黑体"/>
          <w:b/>
          <w:sz w:val="24"/>
        </w:rPr>
        <w:t>十三、供应商获奖情况（如有，格式自定）</w:t>
      </w:r>
    </w:p>
    <w:p>
      <w:pPr>
        <w:pStyle w:val="2"/>
        <w:rPr>
          <w:rFonts w:ascii="宋体" w:hAnsi="宋体" w:cs="宋体"/>
          <w:sz w:val="21"/>
          <w:szCs w:val="21"/>
        </w:rPr>
      </w:pPr>
      <w:r>
        <w:rPr>
          <w:rFonts w:hint="eastAsia" w:ascii="宋体" w:hAnsi="宋体" w:cs="宋体"/>
          <w:sz w:val="21"/>
          <w:szCs w:val="21"/>
        </w:rPr>
        <w:t>（特别提示：投标人须按本采购文件评标信息中“供应商获奖情况”这一评审因素要求，提供证明资料）</w:t>
      </w:r>
    </w:p>
    <w:p>
      <w:pPr>
        <w:pStyle w:val="22"/>
      </w:pPr>
    </w:p>
    <w:p>
      <w:pPr>
        <w:widowControl/>
        <w:tabs>
          <w:tab w:val="left" w:pos="720"/>
        </w:tabs>
        <w:spacing w:line="360" w:lineRule="auto"/>
        <w:ind w:left="630" w:firstLine="241" w:firstLineChars="100"/>
        <w:jc w:val="left"/>
        <w:rPr>
          <w:rFonts w:ascii="黑体" w:hAnsi="宋体" w:eastAsia="黑体"/>
          <w:b/>
          <w:sz w:val="24"/>
        </w:rPr>
      </w:pPr>
    </w:p>
    <w:p>
      <w:pPr>
        <w:widowControl/>
        <w:tabs>
          <w:tab w:val="left" w:pos="720"/>
        </w:tabs>
        <w:spacing w:line="360" w:lineRule="auto"/>
        <w:ind w:left="630" w:firstLine="241" w:firstLineChars="100"/>
        <w:jc w:val="left"/>
        <w:rPr>
          <w:rFonts w:ascii="黑体" w:hAnsi="宋体" w:eastAsia="黑体"/>
          <w:b/>
          <w:sz w:val="24"/>
        </w:rPr>
      </w:pPr>
    </w:p>
    <w:p>
      <w:pPr>
        <w:widowControl/>
        <w:tabs>
          <w:tab w:val="left" w:pos="720"/>
        </w:tabs>
        <w:spacing w:line="360" w:lineRule="auto"/>
        <w:ind w:left="630" w:firstLine="241" w:firstLineChars="100"/>
        <w:jc w:val="left"/>
        <w:rPr>
          <w:rFonts w:ascii="黑体" w:hAnsi="宋体" w:eastAsia="黑体"/>
          <w:b/>
          <w:sz w:val="24"/>
        </w:rPr>
      </w:pPr>
    </w:p>
    <w:p>
      <w:pPr>
        <w:widowControl/>
        <w:tabs>
          <w:tab w:val="left" w:pos="720"/>
        </w:tabs>
        <w:spacing w:line="360" w:lineRule="auto"/>
        <w:ind w:left="630" w:firstLine="241" w:firstLineChars="100"/>
        <w:jc w:val="left"/>
        <w:rPr>
          <w:rFonts w:ascii="黑体" w:hAnsi="宋体" w:eastAsia="黑体"/>
          <w:b/>
          <w:sz w:val="24"/>
        </w:rPr>
      </w:pPr>
      <w:r>
        <w:rPr>
          <w:rFonts w:hint="eastAsia" w:ascii="黑体" w:hAnsi="宋体" w:eastAsia="黑体"/>
          <w:b/>
          <w:sz w:val="24"/>
        </w:rPr>
        <w:t>十四、供应商自主知识产权产品（创新、设计）情况（如有，格式自定）</w:t>
      </w:r>
    </w:p>
    <w:p>
      <w:pPr>
        <w:pStyle w:val="2"/>
        <w:rPr>
          <w:rFonts w:ascii="宋体" w:hAnsi="宋体" w:cs="宋体"/>
          <w:sz w:val="21"/>
          <w:szCs w:val="21"/>
        </w:rPr>
      </w:pPr>
      <w:r>
        <w:rPr>
          <w:rFonts w:hint="eastAsia" w:ascii="宋体" w:hAnsi="宋体" w:cs="宋体"/>
          <w:sz w:val="21"/>
          <w:szCs w:val="21"/>
        </w:rPr>
        <w:t>（特别提示：投标人须按本采购文件评标信息中“供应商自主知识产权产品（创新、设计）情况”这一评审因素要求，提供证明资料）</w:t>
      </w:r>
    </w:p>
    <w:p>
      <w:pPr>
        <w:rPr>
          <w:rFonts w:ascii="黑体" w:hAnsi="宋体" w:eastAsia="黑体"/>
          <w:bCs/>
          <w:sz w:val="24"/>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p>
    <w:p>
      <w:pPr>
        <w:jc w:val="center"/>
        <w:rPr>
          <w:rFonts w:ascii="宋体" w:hAnsi="宋体"/>
          <w:b/>
          <w:color w:val="FF0000"/>
          <w:sz w:val="28"/>
          <w:szCs w:val="28"/>
        </w:rPr>
      </w:pPr>
      <w:r>
        <w:rPr>
          <w:rFonts w:hint="eastAsia" w:ascii="宋体" w:hAnsi="宋体"/>
          <w:b/>
          <w:color w:val="FF0000"/>
          <w:sz w:val="28"/>
          <w:szCs w:val="28"/>
        </w:rPr>
        <w:t>投标文件附件</w:t>
      </w:r>
    </w:p>
    <w:p>
      <w:pPr>
        <w:pStyle w:val="4"/>
        <w:rPr>
          <w:sz w:val="24"/>
        </w:rPr>
      </w:pPr>
      <w:r>
        <w:rPr>
          <w:rFonts w:hint="eastAsia" w:ascii="黑体" w:eastAsia="黑体"/>
          <w:sz w:val="24"/>
        </w:rPr>
        <w:t>一、</w:t>
      </w:r>
      <w:bookmarkStart w:id="147" w:name="_Hlk72092499"/>
      <w:r>
        <w:rPr>
          <w:rFonts w:hint="eastAsia" w:ascii="黑体" w:eastAsia="黑体"/>
          <w:sz w:val="24"/>
        </w:rPr>
        <w:t>法定代表人（负责人）证明书</w:t>
      </w:r>
      <w:bookmarkEnd w:id="147"/>
    </w:p>
    <w:p>
      <w:pPr>
        <w:spacing w:line="360" w:lineRule="auto"/>
      </w:pPr>
      <w:r>
        <w:rPr>
          <w:rFonts w:hint="eastAsia"/>
        </w:rPr>
        <w:t>同志，身份证号码：，现任我单位职务，为法定代表人（负责人），特此证明。</w:t>
      </w:r>
    </w:p>
    <w:tbl>
      <w:tblPr>
        <w:tblStyle w:val="25"/>
        <w:tblpPr w:leftFromText="180" w:rightFromText="180" w:vertAnchor="text" w:horzAnchor="page" w:tblpX="2368" w:tblpY="250"/>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80" w:hRule="atLeast"/>
        </w:trPr>
        <w:tc>
          <w:tcPr>
            <w:tcW w:w="7280" w:type="dxa"/>
            <w:noWrap/>
          </w:tcPr>
          <w:p/>
          <w:p>
            <w:pPr>
              <w:pStyle w:val="2"/>
            </w:pPr>
          </w:p>
          <w:p>
            <w:pPr>
              <w:jc w:val="center"/>
            </w:pPr>
            <w:r>
              <w:rPr>
                <w:rFonts w:hint="eastAsia" w:ascii="宋体" w:hAnsi="宋体"/>
              </w:rPr>
              <w:t>★粘贴：</w:t>
            </w:r>
            <w:r>
              <w:rPr>
                <w:rFonts w:hint="eastAsia"/>
              </w:rPr>
              <w:t>法定代表人（负责人）身份证扫描件（正反两面）；</w:t>
            </w:r>
          </w:p>
          <w:p>
            <w:pPr>
              <w:jc w:val="center"/>
              <w:rPr>
                <w:rFonts w:ascii="宋体" w:hAnsi="宋体"/>
              </w:rPr>
            </w:pPr>
            <w:r>
              <w:rPr>
                <w:rFonts w:hint="eastAsia"/>
              </w:rPr>
              <w:t>非中国国籍管辖范围人员，可提供公安部门认可的身份证明材料扫描件。</w:t>
            </w:r>
          </w:p>
          <w:p>
            <w:pPr>
              <w:pStyle w:val="31"/>
              <w:widowControl w:val="0"/>
              <w:ind w:firstLine="480"/>
            </w:pPr>
          </w:p>
        </w:tc>
      </w:tr>
    </w:tbl>
    <w:p>
      <w:pPr>
        <w:pStyle w:val="2"/>
        <w:rPr>
          <w:szCs w:val="21"/>
        </w:rPr>
      </w:pPr>
    </w:p>
    <w:p>
      <w:pPr>
        <w:pStyle w:val="2"/>
        <w:rPr>
          <w:szCs w:val="21"/>
        </w:rPr>
      </w:pPr>
    </w:p>
    <w:p>
      <w:pPr>
        <w:ind w:firstLine="480"/>
      </w:pPr>
    </w:p>
    <w:p>
      <w:pPr>
        <w:ind w:firstLine="480"/>
      </w:pPr>
    </w:p>
    <w:p>
      <w:pPr>
        <w:ind w:firstLine="480"/>
      </w:pPr>
    </w:p>
    <w:p>
      <w:pPr>
        <w:ind w:firstLine="480"/>
      </w:pPr>
    </w:p>
    <w:p>
      <w:pPr>
        <w:ind w:firstLine="480"/>
      </w:pPr>
    </w:p>
    <w:p>
      <w:pPr>
        <w:ind w:firstLine="480"/>
      </w:pPr>
      <w:r>
        <w:rPr>
          <w:rFonts w:hint="eastAsia"/>
        </w:rPr>
        <w:t>说明：</w:t>
      </w:r>
    </w:p>
    <w:p>
      <w:pPr>
        <w:ind w:firstLine="480"/>
      </w:pPr>
      <w:r>
        <w:rPr>
          <w:rFonts w:hint="eastAsia"/>
        </w:rPr>
        <w:t>1、法定代表人为投标人（企业事业单位、国家机关、社会团体）的主要行政负责人。</w:t>
      </w:r>
      <w:r>
        <w:t>对于银行、保险、电信、邮政、铁路等行业以及获得总公司投标授权的分公司，可以提供投标分支机构负责人授权书</w:t>
      </w:r>
    </w:p>
    <w:p>
      <w:pPr>
        <w:spacing w:line="360" w:lineRule="auto"/>
        <w:ind w:firstLine="420" w:firstLineChars="200"/>
        <w:rPr>
          <w:rFonts w:ascii="黑体" w:eastAsia="黑体"/>
          <w:sz w:val="24"/>
        </w:rPr>
      </w:pPr>
      <w:r>
        <w:rPr>
          <w:rFonts w:hint="eastAsia"/>
        </w:rPr>
        <w:t>2、内容必须填写真实、清楚，涂改无效，不得转让、买卖。</w:t>
      </w:r>
    </w:p>
    <w:p>
      <w:pPr>
        <w:pStyle w:val="4"/>
        <w:spacing w:before="120" w:after="120"/>
        <w:rPr>
          <w:rFonts w:ascii="黑体" w:eastAsia="黑体"/>
          <w:bCs w:val="0"/>
          <w:sz w:val="24"/>
        </w:rPr>
      </w:pPr>
    </w:p>
    <w:p>
      <w:pPr>
        <w:pStyle w:val="4"/>
        <w:spacing w:before="120" w:after="120"/>
        <w:rPr>
          <w:rFonts w:ascii="黑体" w:eastAsia="黑体"/>
          <w:bCs w:val="0"/>
          <w:sz w:val="24"/>
        </w:rPr>
      </w:pPr>
    </w:p>
    <w:p>
      <w:pPr>
        <w:pStyle w:val="4"/>
        <w:spacing w:before="120" w:after="120"/>
        <w:rPr>
          <w:rFonts w:ascii="黑体" w:eastAsia="黑体"/>
          <w:sz w:val="24"/>
        </w:rPr>
      </w:pPr>
      <w:r>
        <w:rPr>
          <w:rFonts w:hint="eastAsia" w:ascii="黑体" w:eastAsia="黑体"/>
          <w:sz w:val="24"/>
        </w:rPr>
        <w:t>二、投标文件签署授权委托书</w:t>
      </w:r>
    </w:p>
    <w:p>
      <w:pPr>
        <w:spacing w:line="360" w:lineRule="auto"/>
        <w:ind w:firstLine="420" w:firstLineChars="200"/>
      </w:pPr>
      <w:r>
        <w:rPr>
          <w:rFonts w:hint="eastAsia"/>
        </w:rPr>
        <w:t>本授权委托书声明：我（姓名）系（投标人名称）的法定代表人（负责人），现授权委托（姓名）为我单位签署本项目已递交的投标文件的法定代表人（负责人）的授权委托代理人，并以我单位的名义签署响应书和响应文件，与贵单位协商、澄清、解释，质疑，签订合同书并执行一切与此有关的事项。代理人全权代表我所签署的本项目已递交的投标文件内容我均承认。</w:t>
      </w:r>
    </w:p>
    <w:p>
      <w:pPr>
        <w:pStyle w:val="8"/>
        <w:spacing w:line="360" w:lineRule="auto"/>
      </w:pPr>
      <w:r>
        <w:rPr>
          <w:rFonts w:hint="eastAsia"/>
        </w:rPr>
        <w:t>代理人无转委托权，特此委托。</w:t>
      </w:r>
    </w:p>
    <w:p/>
    <w:tbl>
      <w:tblPr>
        <w:tblStyle w:val="25"/>
        <w:tblpPr w:leftFromText="180" w:rightFromText="180" w:vertAnchor="text" w:horzAnchor="page" w:tblpX="2353" w:tblpY="12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80" w:hRule="atLeast"/>
        </w:trPr>
        <w:tc>
          <w:tcPr>
            <w:tcW w:w="7280" w:type="dxa"/>
            <w:noWrap/>
          </w:tcPr>
          <w:p/>
          <w:p>
            <w:pPr>
              <w:pStyle w:val="2"/>
            </w:pPr>
          </w:p>
          <w:p>
            <w:pPr>
              <w:ind w:firstLine="1470" w:firstLineChars="700"/>
              <w:rPr>
                <w:rFonts w:ascii="宋体" w:hAnsi="宋体"/>
                <w:bCs/>
              </w:rPr>
            </w:pPr>
            <w:r>
              <w:rPr>
                <w:rFonts w:hint="eastAsia" w:ascii="宋体" w:hAnsi="宋体"/>
              </w:rPr>
              <w:t>★粘贴：</w:t>
            </w:r>
            <w:r>
              <w:rPr>
                <w:rFonts w:hint="eastAsia"/>
                <w:bCs/>
              </w:rPr>
              <w:t>代理人身份证扫描件（正反两面）</w:t>
            </w:r>
          </w:p>
          <w:p>
            <w:pPr>
              <w:pStyle w:val="31"/>
              <w:widowControl w:val="0"/>
              <w:ind w:firstLine="480"/>
            </w:pPr>
          </w:p>
        </w:tc>
      </w:tr>
    </w:tbl>
    <w:p>
      <w:pPr>
        <w:pStyle w:val="8"/>
        <w:spacing w:line="360" w:lineRule="auto"/>
      </w:pPr>
    </w:p>
    <w:p>
      <w:pPr>
        <w:spacing w:line="360" w:lineRule="auto"/>
        <w:ind w:left="540" w:leftChars="257"/>
      </w:pPr>
    </w:p>
    <w:p>
      <w:pPr>
        <w:spacing w:line="360" w:lineRule="auto"/>
        <w:ind w:left="540" w:leftChars="257"/>
      </w:pPr>
    </w:p>
    <w:p>
      <w:pPr>
        <w:spacing w:line="360" w:lineRule="auto"/>
        <w:ind w:left="540" w:leftChars="257"/>
      </w:pPr>
    </w:p>
    <w:p>
      <w:pPr>
        <w:spacing w:line="360" w:lineRule="auto"/>
        <w:ind w:left="540" w:leftChars="257"/>
      </w:pPr>
    </w:p>
    <w:p>
      <w:pPr>
        <w:spacing w:line="360" w:lineRule="auto"/>
        <w:ind w:left="540" w:leftChars="257"/>
      </w:pPr>
    </w:p>
    <w:p>
      <w:pPr>
        <w:spacing w:line="360" w:lineRule="auto"/>
        <w:ind w:left="540" w:leftChars="257"/>
      </w:pPr>
    </w:p>
    <w:p>
      <w:pPr>
        <w:spacing w:line="360" w:lineRule="auto"/>
        <w:ind w:left="540" w:leftChars="257"/>
      </w:pPr>
    </w:p>
    <w:p>
      <w:pPr>
        <w:spacing w:line="360" w:lineRule="auto"/>
        <w:ind w:left="540" w:leftChars="257"/>
        <w:rPr>
          <w:u w:val="single"/>
        </w:rPr>
      </w:pPr>
      <w:r>
        <w:rPr>
          <w:rFonts w:hint="eastAsia"/>
        </w:rPr>
        <w:t>代理人：</w:t>
      </w:r>
      <w:r>
        <w:rPr>
          <w:rFonts w:hint="eastAsia"/>
          <w:u w:val="single"/>
        </w:rPr>
        <w:tab/>
      </w:r>
      <w:r>
        <w:rPr>
          <w:rFonts w:hint="eastAsia"/>
          <w:u w:val="single"/>
        </w:rPr>
        <w:tab/>
      </w:r>
      <w:r>
        <w:rPr>
          <w:rFonts w:hint="eastAsia"/>
          <w:u w:val="single"/>
        </w:rPr>
        <w:tab/>
      </w:r>
    </w:p>
    <w:p>
      <w:pPr>
        <w:spacing w:line="360" w:lineRule="auto"/>
        <w:ind w:left="540" w:leftChars="257"/>
        <w:rPr>
          <w:u w:val="single"/>
        </w:rPr>
      </w:pPr>
      <w:r>
        <w:rPr>
          <w:rFonts w:hint="eastAsia"/>
        </w:rPr>
        <w:t>电话：  手机：</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spacing w:line="360" w:lineRule="auto"/>
        <w:ind w:left="540" w:leftChars="257"/>
        <w:rPr>
          <w:u w:val="single"/>
        </w:rPr>
      </w:pPr>
      <w:r>
        <w:rPr>
          <w:rFonts w:hint="eastAsia"/>
        </w:rPr>
        <w:t>身份证号码：职务：</w:t>
      </w:r>
      <w:r>
        <w:rPr>
          <w:rFonts w:hint="eastAsia"/>
          <w:u w:val="single"/>
        </w:rPr>
        <w:tab/>
      </w:r>
      <w:r>
        <w:rPr>
          <w:rFonts w:hint="eastAsia"/>
          <w:u w:val="single"/>
        </w:rPr>
        <w:tab/>
      </w:r>
      <w:r>
        <w:rPr>
          <w:rFonts w:hint="eastAsia"/>
          <w:u w:val="single"/>
        </w:rPr>
        <w:tab/>
      </w:r>
      <w:r>
        <w:rPr>
          <w:rFonts w:hint="eastAsia"/>
          <w:u w:val="single"/>
        </w:rPr>
        <w:tab/>
      </w:r>
    </w:p>
    <w:p>
      <w:pPr>
        <w:spacing w:line="360" w:lineRule="auto"/>
        <w:ind w:left="540" w:leftChars="257"/>
      </w:pPr>
      <w:r>
        <w:rPr>
          <w:rFonts w:hint="eastAsia"/>
        </w:rPr>
        <w:t>授权委托日期：年月 日</w:t>
      </w:r>
    </w:p>
    <w:p>
      <w:pPr>
        <w:jc w:val="center"/>
      </w:pPr>
    </w:p>
    <w:p>
      <w:pPr>
        <w:jc w:val="center"/>
      </w:pPr>
    </w:p>
    <w:p>
      <w:pPr>
        <w:jc w:val="center"/>
      </w:pPr>
      <w:r>
        <w:t>投标人</w:t>
      </w:r>
      <w:r>
        <w:rPr>
          <w:rFonts w:hint="eastAsia"/>
        </w:rPr>
        <w:t>（</w:t>
      </w:r>
      <w:r>
        <w:t>签章</w:t>
      </w:r>
      <w:r>
        <w:rPr>
          <w:rFonts w:hint="eastAsia"/>
        </w:rPr>
        <w:t>）</w:t>
      </w:r>
      <w:r>
        <w:t>：_________________</w:t>
      </w:r>
    </w:p>
    <w:p>
      <w:pPr>
        <w:jc w:val="center"/>
      </w:pPr>
      <w:r>
        <w:rPr>
          <w:rFonts w:hint="eastAsia" w:ascii="宋体" w:hAnsi="宋体"/>
        </w:rPr>
        <w:t>日期：年月日</w:t>
      </w:r>
    </w:p>
    <w:p>
      <w:pPr>
        <w:spacing w:line="360" w:lineRule="auto"/>
        <w:ind w:firstLine="422" w:firstLineChars="200"/>
        <w:rPr>
          <w:b/>
        </w:rPr>
      </w:pPr>
    </w:p>
    <w:p>
      <w:pPr>
        <w:pStyle w:val="4"/>
        <w:rPr>
          <w:rFonts w:ascii="黑体" w:eastAsia="黑体"/>
          <w:bCs w:val="0"/>
          <w:kern w:val="0"/>
          <w:sz w:val="24"/>
          <w:szCs w:val="24"/>
        </w:rPr>
      </w:pPr>
    </w:p>
    <w:p>
      <w:pPr>
        <w:pStyle w:val="2"/>
        <w:kinsoku w:val="0"/>
        <w:overflowPunct w:val="0"/>
        <w:spacing w:before="34" w:line="357" w:lineRule="auto"/>
        <w:ind w:right="126" w:firstLine="480"/>
        <w:jc w:val="center"/>
        <w:rPr>
          <w:rFonts w:ascii="黑体" w:hAnsi="黑体" w:eastAsia="黑体" w:cs="黑体"/>
          <w:b/>
          <w:bCs/>
          <w:sz w:val="24"/>
          <w:szCs w:val="24"/>
        </w:rPr>
      </w:pPr>
      <w:r>
        <w:rPr>
          <w:rFonts w:hint="eastAsia" w:ascii="黑体" w:hAnsi="黑体" w:eastAsia="黑体" w:cs="黑体"/>
          <w:b/>
          <w:bCs/>
          <w:sz w:val="24"/>
          <w:szCs w:val="24"/>
        </w:rPr>
        <w:t>三、投标保证金缴纳凭证</w:t>
      </w:r>
    </w:p>
    <w:p>
      <w:pPr>
        <w:pStyle w:val="2"/>
        <w:kinsoku w:val="0"/>
        <w:overflowPunct w:val="0"/>
        <w:rPr>
          <w:rFonts w:ascii="宋体" w:hAnsi="宋体"/>
          <w:b/>
          <w:bCs/>
          <w:sz w:val="21"/>
          <w:szCs w:val="21"/>
        </w:rPr>
      </w:pPr>
    </w:p>
    <w:p>
      <w:pPr>
        <w:rPr>
          <w:rFonts w:ascii="宋体" w:hAnsi="宋体"/>
          <w:color w:val="000000"/>
        </w:rPr>
      </w:pPr>
      <w:r>
        <w:rPr>
          <w:rFonts w:hint="eastAsia" w:ascii="宋体" w:hAnsi="宋体"/>
          <w:color w:val="000000"/>
        </w:rPr>
        <w:t>致：</w:t>
      </w:r>
      <w:r>
        <w:rPr>
          <w:rFonts w:hint="eastAsia" w:ascii="宋体" w:hAnsi="宋体"/>
          <w:color w:val="000000"/>
          <w:u w:val="single"/>
        </w:rPr>
        <w:t xml:space="preserve"> 巴州政务服务和公共资源交易中心</w:t>
      </w:r>
    </w:p>
    <w:p>
      <w:pPr>
        <w:ind w:firstLine="420" w:firstLineChars="200"/>
        <w:rPr>
          <w:rFonts w:ascii="宋体" w:hAnsi="宋体"/>
        </w:rPr>
      </w:pPr>
      <w:r>
        <w:rPr>
          <w:rFonts w:hint="eastAsia" w:ascii="宋体" w:hAnsi="宋体"/>
        </w:rPr>
        <w:t>我方于</w:t>
      </w:r>
      <w:r>
        <w:rPr>
          <w:rFonts w:hint="eastAsia" w:ascii="宋体" w:hAnsi="宋体"/>
        </w:rPr>
        <w:tab/>
      </w:r>
      <w:r>
        <w:rPr>
          <w:rFonts w:hint="eastAsia" w:ascii="宋体" w:hAnsi="宋体"/>
        </w:rPr>
        <w:t xml:space="preserve">   年</w:t>
      </w:r>
      <w:r>
        <w:rPr>
          <w:rFonts w:hint="eastAsia" w:ascii="宋体" w:hAnsi="宋体"/>
        </w:rPr>
        <w:tab/>
      </w:r>
      <w:r>
        <w:rPr>
          <w:rFonts w:hint="eastAsia" w:ascii="宋体" w:hAnsi="宋体"/>
        </w:rPr>
        <w:t>月</w:t>
      </w:r>
      <w:r>
        <w:rPr>
          <w:rFonts w:hint="eastAsia" w:ascii="宋体" w:hAnsi="宋体"/>
        </w:rPr>
        <w:tab/>
      </w:r>
      <w:r>
        <w:rPr>
          <w:rFonts w:hint="eastAsia" w:ascii="宋体" w:hAnsi="宋体"/>
        </w:rPr>
        <w:t xml:space="preserve"> 日参加</w:t>
      </w:r>
      <w:r>
        <w:rPr>
          <w:rFonts w:hint="eastAsia" w:ascii="宋体" w:hAnsi="宋体"/>
        </w:rPr>
        <w:tab/>
      </w:r>
      <w:r>
        <w:rPr>
          <w:rFonts w:hint="eastAsia" w:ascii="宋体" w:hAnsi="宋体"/>
        </w:rPr>
        <w:t>（项目名称）   的投标，现保证：我方在规定的投标有效期内撤销或修改投标文件的，或者在收到中标通知书后无正当理由拒签合同或拒交规定履约担保的，投标保证金不予退还。</w:t>
      </w:r>
    </w:p>
    <w:p>
      <w:pPr>
        <w:ind w:firstLine="420" w:firstLineChars="200"/>
        <w:rPr>
          <w:rFonts w:ascii="宋体" w:hAnsi="宋体"/>
        </w:rPr>
      </w:pPr>
    </w:p>
    <w:p>
      <w:pPr>
        <w:jc w:val="center"/>
      </w:pPr>
    </w:p>
    <w:tbl>
      <w:tblPr>
        <w:tblStyle w:val="25"/>
        <w:tblpPr w:leftFromText="180" w:rightFromText="180" w:vertAnchor="text" w:horzAnchor="page" w:tblpX="2353" w:tblpY="12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80" w:hRule="atLeast"/>
        </w:trPr>
        <w:tc>
          <w:tcPr>
            <w:tcW w:w="7280" w:type="dxa"/>
            <w:noWrap/>
          </w:tcPr>
          <w:p/>
          <w:p>
            <w:pPr>
              <w:pStyle w:val="2"/>
            </w:pPr>
          </w:p>
          <w:p>
            <w:pPr>
              <w:ind w:firstLine="1470" w:firstLineChars="700"/>
              <w:rPr>
                <w:rFonts w:ascii="宋体" w:hAnsi="宋体"/>
              </w:rPr>
            </w:pPr>
            <w:r>
              <w:rPr>
                <w:rFonts w:hint="eastAsia" w:ascii="宋体" w:hAnsi="宋体"/>
              </w:rPr>
              <w:t>★粘贴：投标保证金缴费回单复印件加盖公章</w:t>
            </w:r>
          </w:p>
          <w:p>
            <w:pPr>
              <w:pStyle w:val="31"/>
              <w:widowControl w:val="0"/>
              <w:ind w:firstLine="480"/>
            </w:pPr>
          </w:p>
        </w:tc>
      </w:tr>
    </w:tbl>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jc w:val="center"/>
      </w:pPr>
      <w:r>
        <w:t>投标人</w:t>
      </w:r>
      <w:r>
        <w:rPr>
          <w:rFonts w:hint="eastAsia"/>
        </w:rPr>
        <w:t>（</w:t>
      </w:r>
      <w:r>
        <w:t>签章</w:t>
      </w:r>
      <w:r>
        <w:rPr>
          <w:rFonts w:hint="eastAsia"/>
        </w:rPr>
        <w:t>）：</w:t>
      </w:r>
      <w:r>
        <w:rPr>
          <w:rFonts w:hint="eastAsia"/>
        </w:rPr>
        <w:tab/>
      </w:r>
    </w:p>
    <w:p>
      <w:pPr>
        <w:jc w:val="center"/>
        <w:rPr>
          <w:sz w:val="24"/>
        </w:rPr>
      </w:pPr>
      <w:r>
        <w:rPr>
          <w:rFonts w:hint="eastAsia" w:ascii="宋体" w:hAnsi="宋体"/>
        </w:rPr>
        <w:t>日期：年月日</w:t>
      </w:r>
    </w:p>
    <w:p>
      <w:pPr>
        <w:pStyle w:val="2"/>
        <w:rPr>
          <w:sz w:val="24"/>
        </w:rPr>
      </w:pPr>
    </w:p>
    <w:p>
      <w:pPr>
        <w:pStyle w:val="2"/>
        <w:kinsoku w:val="0"/>
        <w:overflowPunct w:val="0"/>
        <w:spacing w:before="34" w:line="357" w:lineRule="auto"/>
        <w:ind w:right="126" w:firstLine="3639" w:firstLineChars="1726"/>
        <w:rPr>
          <w:rFonts w:ascii="宋体" w:hAnsi="宋体"/>
          <w:b/>
          <w:bCs/>
          <w:sz w:val="21"/>
          <w:szCs w:val="21"/>
        </w:rPr>
      </w:pPr>
    </w:p>
    <w:p>
      <w:pPr>
        <w:pStyle w:val="2"/>
        <w:kinsoku w:val="0"/>
        <w:overflowPunct w:val="0"/>
        <w:spacing w:before="34" w:line="357" w:lineRule="auto"/>
        <w:ind w:right="126" w:firstLine="3639" w:firstLineChars="1726"/>
        <w:rPr>
          <w:rFonts w:ascii="宋体" w:hAnsi="宋体"/>
          <w:b/>
          <w:bCs/>
          <w:sz w:val="21"/>
          <w:szCs w:val="21"/>
        </w:rPr>
      </w:pPr>
    </w:p>
    <w:p>
      <w:pPr>
        <w:pStyle w:val="2"/>
        <w:kinsoku w:val="0"/>
        <w:overflowPunct w:val="0"/>
        <w:spacing w:before="34" w:line="357" w:lineRule="auto"/>
        <w:ind w:right="126" w:firstLine="3639" w:firstLineChars="1726"/>
        <w:rPr>
          <w:rFonts w:ascii="宋体" w:hAnsi="宋体"/>
          <w:b/>
          <w:bCs/>
          <w:sz w:val="21"/>
          <w:szCs w:val="21"/>
        </w:rPr>
      </w:pPr>
    </w:p>
    <w:p>
      <w:pPr>
        <w:pStyle w:val="2"/>
        <w:kinsoku w:val="0"/>
        <w:overflowPunct w:val="0"/>
        <w:spacing w:before="34" w:line="357" w:lineRule="auto"/>
        <w:ind w:right="126" w:firstLine="3639" w:firstLineChars="1726"/>
        <w:rPr>
          <w:rFonts w:ascii="宋体" w:hAnsi="宋体"/>
          <w:b/>
          <w:bCs/>
          <w:sz w:val="21"/>
          <w:szCs w:val="21"/>
        </w:rPr>
      </w:pPr>
    </w:p>
    <w:p>
      <w:pPr>
        <w:pStyle w:val="2"/>
        <w:kinsoku w:val="0"/>
        <w:overflowPunct w:val="0"/>
        <w:spacing w:before="34" w:line="357" w:lineRule="auto"/>
        <w:ind w:right="126" w:firstLine="3639" w:firstLineChars="1726"/>
        <w:rPr>
          <w:rFonts w:ascii="宋体" w:hAnsi="宋体"/>
          <w:b/>
          <w:bCs/>
          <w:sz w:val="21"/>
          <w:szCs w:val="21"/>
        </w:rPr>
      </w:pPr>
    </w:p>
    <w:p>
      <w:pPr>
        <w:pStyle w:val="2"/>
        <w:kinsoku w:val="0"/>
        <w:overflowPunct w:val="0"/>
        <w:spacing w:before="34" w:line="357" w:lineRule="auto"/>
        <w:ind w:right="126" w:firstLine="3639" w:firstLineChars="1726"/>
        <w:rPr>
          <w:rFonts w:ascii="宋体" w:hAnsi="宋体"/>
          <w:b/>
          <w:bCs/>
          <w:sz w:val="21"/>
          <w:szCs w:val="21"/>
        </w:rPr>
      </w:pPr>
    </w:p>
    <w:p>
      <w:pPr>
        <w:pStyle w:val="2"/>
        <w:kinsoku w:val="0"/>
        <w:overflowPunct w:val="0"/>
        <w:spacing w:before="34" w:line="357" w:lineRule="auto"/>
        <w:ind w:right="126" w:firstLine="4159" w:firstLineChars="1726"/>
        <w:rPr>
          <w:rFonts w:ascii="黑体" w:hAnsi="黑体" w:eastAsia="黑体" w:cs="黑体"/>
          <w:b/>
          <w:bCs/>
          <w:sz w:val="24"/>
          <w:szCs w:val="24"/>
        </w:rPr>
      </w:pPr>
      <w:r>
        <w:rPr>
          <w:rFonts w:hint="eastAsia" w:ascii="黑体" w:hAnsi="黑体" w:eastAsia="黑体" w:cs="黑体"/>
          <w:b/>
          <w:bCs/>
          <w:sz w:val="24"/>
          <w:szCs w:val="24"/>
        </w:rPr>
        <w:t>四、联合体协议书</w:t>
      </w:r>
    </w:p>
    <w:p>
      <w:pPr>
        <w:spacing w:line="360" w:lineRule="auto"/>
        <w:rPr>
          <w:rFonts w:ascii="宋体" w:hAnsi="宋体" w:cs="宋体"/>
          <w:kern w:val="0"/>
          <w:lang w:val="en-GB"/>
        </w:rPr>
      </w:pPr>
      <w:r>
        <w:rPr>
          <w:rFonts w:hint="eastAsia" w:ascii="宋体" w:hAnsi="宋体" w:cs="宋体"/>
          <w:kern w:val="0"/>
          <w:lang w:val="en-GB"/>
        </w:rPr>
        <w:t>牵头人名称：</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p>
    <w:p>
      <w:pPr>
        <w:spacing w:line="360" w:lineRule="auto"/>
        <w:rPr>
          <w:rFonts w:ascii="宋体" w:hAnsi="宋体" w:cs="宋体"/>
          <w:kern w:val="0"/>
          <w:lang w:val="en-GB"/>
        </w:rPr>
      </w:pPr>
      <w:r>
        <w:rPr>
          <w:rFonts w:hint="eastAsia" w:ascii="宋体" w:hAnsi="宋体" w:cs="宋体"/>
          <w:kern w:val="0"/>
          <w:lang w:val="en-GB"/>
        </w:rPr>
        <w:t>法定代表人：</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p>
    <w:p>
      <w:pPr>
        <w:spacing w:line="360" w:lineRule="auto"/>
        <w:rPr>
          <w:rFonts w:ascii="宋体" w:hAnsi="宋体" w:cs="宋体"/>
          <w:kern w:val="0"/>
          <w:lang w:val="en-GB"/>
        </w:rPr>
      </w:pPr>
      <w:r>
        <w:rPr>
          <w:rFonts w:hint="eastAsia" w:ascii="宋体" w:hAnsi="宋体" w:cs="宋体"/>
          <w:kern w:val="0"/>
          <w:lang w:val="en-GB"/>
        </w:rPr>
        <w:t>法定住所：</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p>
    <w:p>
      <w:pPr>
        <w:spacing w:line="360" w:lineRule="auto"/>
        <w:rPr>
          <w:rFonts w:ascii="宋体" w:hAnsi="宋体" w:cs="宋体"/>
          <w:kern w:val="0"/>
          <w:lang w:val="en-GB"/>
        </w:rPr>
      </w:pPr>
      <w:r>
        <w:rPr>
          <w:rFonts w:hint="eastAsia" w:ascii="宋体" w:hAnsi="宋体" w:cs="宋体"/>
          <w:kern w:val="0"/>
          <w:lang w:val="en-GB"/>
        </w:rPr>
        <w:t>成员二名称：</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p>
    <w:p>
      <w:pPr>
        <w:spacing w:line="360" w:lineRule="auto"/>
        <w:rPr>
          <w:rFonts w:ascii="宋体" w:hAnsi="宋体" w:cs="宋体"/>
          <w:kern w:val="0"/>
          <w:lang w:val="en-GB"/>
        </w:rPr>
      </w:pPr>
      <w:r>
        <w:rPr>
          <w:rFonts w:hint="eastAsia" w:ascii="宋体" w:hAnsi="宋体" w:cs="宋体"/>
          <w:kern w:val="0"/>
          <w:lang w:val="en-GB"/>
        </w:rPr>
        <w:t>法定代表人：</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p>
    <w:p>
      <w:pPr>
        <w:spacing w:line="360" w:lineRule="auto"/>
        <w:rPr>
          <w:rFonts w:ascii="宋体" w:hAnsi="宋体" w:cs="宋体"/>
          <w:kern w:val="0"/>
          <w:lang w:val="en-GB"/>
        </w:rPr>
      </w:pPr>
      <w:r>
        <w:rPr>
          <w:rFonts w:hint="eastAsia" w:ascii="宋体" w:hAnsi="宋体" w:cs="宋体"/>
          <w:kern w:val="0"/>
          <w:lang w:val="en-GB"/>
        </w:rPr>
        <w:t xml:space="preserve">法定住所： </w:t>
      </w:r>
      <w:r>
        <w:rPr>
          <w:rFonts w:hint="eastAsia" w:ascii="宋体" w:hAnsi="宋体" w:cs="宋体"/>
          <w:kern w:val="0"/>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p>
    <w:p>
      <w:pPr>
        <w:spacing w:line="360" w:lineRule="auto"/>
        <w:ind w:firstLine="420" w:firstLineChars="200"/>
        <w:rPr>
          <w:rFonts w:ascii="宋体" w:hAnsi="宋体" w:cs="宋体"/>
          <w:kern w:val="0"/>
          <w:lang w:val="en-GB"/>
        </w:rPr>
      </w:pPr>
      <w:r>
        <w:rPr>
          <w:rFonts w:hint="eastAsia" w:ascii="宋体" w:hAnsi="宋体" w:cs="宋体"/>
          <w:kern w:val="0"/>
          <w:lang w:val="en-GB"/>
        </w:rPr>
        <w:t>鉴于上述各成员单位经过友好协商，自愿组成       （联合体名称）联合体，共同参加               （采购人名称）（以下简称采购人）        （项目名称）      标段（以下简称本项目）的项目投标并争取赢得本项目采购合同（以下简称合同）。现就联合体投标事宜订立如下协议：</w:t>
      </w:r>
    </w:p>
    <w:p>
      <w:pPr>
        <w:spacing w:line="360" w:lineRule="auto"/>
        <w:ind w:firstLine="420" w:firstLineChars="200"/>
        <w:rPr>
          <w:rFonts w:ascii="宋体" w:hAnsi="宋体" w:cs="宋体"/>
          <w:kern w:val="0"/>
          <w:lang w:val="en-GB"/>
        </w:rPr>
      </w:pPr>
      <w:r>
        <w:rPr>
          <w:rFonts w:hint="eastAsia" w:ascii="宋体" w:hAnsi="宋体" w:cs="宋体"/>
          <w:kern w:val="0"/>
          <w:lang w:val="en-GB"/>
        </w:rPr>
        <w:t>1．        （某成员单位名称）为              （联合体名称）牵头人。</w:t>
      </w:r>
    </w:p>
    <w:p>
      <w:pPr>
        <w:spacing w:line="360" w:lineRule="auto"/>
        <w:ind w:firstLine="420" w:firstLineChars="200"/>
        <w:rPr>
          <w:rFonts w:ascii="宋体" w:hAnsi="宋体" w:cs="宋体"/>
          <w:kern w:val="0"/>
          <w:lang w:val="en-GB"/>
        </w:rPr>
      </w:pPr>
      <w:r>
        <w:rPr>
          <w:rFonts w:hint="eastAsia" w:ascii="宋体" w:hAnsi="宋体" w:cs="宋体"/>
          <w:kern w:val="0"/>
          <w:lang w:val="en-GB"/>
        </w:rPr>
        <w:t>2．在本项目投标阶段，联合体牵头人合法代表联合体各成员负责本项目竞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420" w:firstLineChars="200"/>
        <w:rPr>
          <w:rFonts w:ascii="宋体" w:hAnsi="宋体" w:cs="宋体"/>
          <w:kern w:val="0"/>
          <w:lang w:val="en-GB"/>
        </w:rPr>
      </w:pPr>
      <w:r>
        <w:rPr>
          <w:rFonts w:hint="eastAsia" w:ascii="宋体" w:hAnsi="宋体" w:cs="宋体"/>
          <w:kern w:val="0"/>
          <w:lang w:val="en-GB"/>
        </w:rPr>
        <w:t>3．联合体将严格按照采购文件的各项要求，递交竞标文件，履行投标义务和中标后的合同，共同承担合同规定的一切义务和责任，联合体各成员单位按照内部职责的部分，承担各自所负的责任和风险，并向采购人承担连带责任。</w:t>
      </w:r>
    </w:p>
    <w:p>
      <w:pPr>
        <w:spacing w:line="360" w:lineRule="auto"/>
        <w:ind w:firstLine="420" w:firstLineChars="200"/>
        <w:rPr>
          <w:rFonts w:ascii="宋体" w:hAnsi="宋体" w:cs="宋体"/>
          <w:kern w:val="0"/>
          <w:lang w:val="en-GB"/>
        </w:rPr>
      </w:pPr>
      <w:r>
        <w:rPr>
          <w:rFonts w:hint="eastAsia" w:ascii="宋体" w:hAnsi="宋体" w:cs="宋体"/>
          <w:kern w:val="0"/>
          <w:lang w:val="en-GB"/>
        </w:rPr>
        <w:t>4．联合体各成员单位内部的职责分工如下：                   。按照本条上述分工，联合体成员单位各自所承担的合同工作量比例如下：               。</w:t>
      </w:r>
    </w:p>
    <w:p>
      <w:pPr>
        <w:spacing w:line="360" w:lineRule="auto"/>
        <w:ind w:firstLine="420" w:firstLineChars="200"/>
        <w:rPr>
          <w:rFonts w:ascii="宋体" w:hAnsi="宋体" w:cs="宋体"/>
          <w:kern w:val="0"/>
          <w:lang w:val="en-GB"/>
        </w:rPr>
      </w:pPr>
      <w:r>
        <w:rPr>
          <w:rFonts w:hint="eastAsia" w:ascii="宋体" w:hAnsi="宋体" w:cs="宋体"/>
          <w:kern w:val="0"/>
          <w:lang w:val="en-GB"/>
        </w:rPr>
        <w:t>5．投标工作和联合体在中标后项目实施过程中的有关费用按各自承担的工作量分摊。</w:t>
      </w:r>
    </w:p>
    <w:p>
      <w:pPr>
        <w:spacing w:line="360" w:lineRule="auto"/>
        <w:ind w:firstLine="420" w:firstLineChars="200"/>
        <w:rPr>
          <w:rFonts w:ascii="宋体" w:hAnsi="宋体" w:cs="宋体"/>
          <w:kern w:val="0"/>
          <w:lang w:val="en-GB"/>
        </w:rPr>
      </w:pPr>
      <w:r>
        <w:rPr>
          <w:rFonts w:hint="eastAsia" w:ascii="宋体" w:hAnsi="宋体" w:cs="宋体"/>
          <w:kern w:val="0"/>
          <w:lang w:val="en-GB"/>
        </w:rPr>
        <w:t>6．联合体中标后，本联合体协议是合同的附件，对联合体各成员单位有合同约束力。</w:t>
      </w:r>
    </w:p>
    <w:p>
      <w:pPr>
        <w:spacing w:line="360" w:lineRule="auto"/>
        <w:ind w:firstLine="420" w:firstLineChars="200"/>
        <w:rPr>
          <w:rFonts w:ascii="宋体" w:hAnsi="宋体" w:cs="宋体"/>
          <w:kern w:val="0"/>
          <w:lang w:val="en-GB"/>
        </w:rPr>
      </w:pPr>
      <w:r>
        <w:rPr>
          <w:rFonts w:hint="eastAsia" w:ascii="宋体" w:hAnsi="宋体" w:cs="宋体"/>
          <w:kern w:val="0"/>
          <w:lang w:val="en-GB"/>
        </w:rPr>
        <w:t>7．本协议书自签署之日起生效，联合体未中标或者中标时合同履行完毕后自动失效。</w:t>
      </w:r>
    </w:p>
    <w:p>
      <w:pPr>
        <w:spacing w:line="360" w:lineRule="auto"/>
        <w:ind w:firstLine="420" w:firstLineChars="200"/>
        <w:rPr>
          <w:rFonts w:ascii="宋体" w:hAnsi="宋体" w:cs="宋体"/>
          <w:kern w:val="0"/>
          <w:lang w:val="en-GB"/>
        </w:rPr>
      </w:pPr>
      <w:r>
        <w:rPr>
          <w:rFonts w:hint="eastAsia" w:ascii="宋体" w:hAnsi="宋体" w:cs="宋体"/>
          <w:kern w:val="0"/>
          <w:lang w:val="en-GB"/>
        </w:rPr>
        <w:t>8．本协议书一式            份，联合体成员和</w:t>
      </w:r>
      <w:r>
        <w:rPr>
          <w:rFonts w:hint="eastAsia" w:ascii="宋体" w:hAnsi="宋体" w:cs="宋体"/>
          <w:kern w:val="0"/>
        </w:rPr>
        <w:t>采购</w:t>
      </w:r>
      <w:r>
        <w:rPr>
          <w:rFonts w:hint="eastAsia" w:ascii="宋体" w:hAnsi="宋体" w:cs="宋体"/>
          <w:kern w:val="0"/>
          <w:lang w:val="en-GB"/>
        </w:rPr>
        <w:t>人各执一份。</w:t>
      </w:r>
    </w:p>
    <w:p>
      <w:pPr>
        <w:spacing w:line="360" w:lineRule="auto"/>
        <w:rPr>
          <w:rFonts w:ascii="宋体" w:hAnsi="宋体" w:cs="宋体"/>
          <w:kern w:val="0"/>
          <w:lang w:val="en-GB"/>
        </w:rPr>
      </w:pPr>
      <w:r>
        <w:rPr>
          <w:rFonts w:hint="eastAsia" w:ascii="宋体" w:hAnsi="宋体" w:cs="宋体"/>
          <w:kern w:val="0"/>
          <w:lang w:val="en-GB"/>
        </w:rPr>
        <w:t>牵头人名称：                                  （盖单位章）</w:t>
      </w:r>
    </w:p>
    <w:p>
      <w:pPr>
        <w:spacing w:line="360" w:lineRule="auto"/>
        <w:rPr>
          <w:rFonts w:ascii="宋体" w:hAnsi="宋体" w:cs="宋体"/>
          <w:kern w:val="0"/>
          <w:lang w:val="en-GB"/>
        </w:rPr>
      </w:pPr>
      <w:r>
        <w:rPr>
          <w:rFonts w:hint="eastAsia" w:ascii="宋体" w:hAnsi="宋体" w:cs="宋体"/>
          <w:kern w:val="0"/>
          <w:lang w:val="en-GB"/>
        </w:rPr>
        <w:t>法定代表人或其委托代理人：                    （签字或盖章）</w:t>
      </w:r>
    </w:p>
    <w:p>
      <w:pPr>
        <w:spacing w:line="360" w:lineRule="auto"/>
        <w:rPr>
          <w:rFonts w:ascii="宋体" w:hAnsi="宋体" w:cs="宋体"/>
          <w:kern w:val="0"/>
          <w:lang w:val="en-GB"/>
        </w:rPr>
      </w:pPr>
      <w:r>
        <w:rPr>
          <w:rFonts w:hint="eastAsia" w:ascii="宋体" w:hAnsi="宋体" w:cs="宋体"/>
          <w:kern w:val="0"/>
          <w:lang w:val="en-GB"/>
        </w:rPr>
        <w:t>成员二名称：                                  （盖单位章）</w:t>
      </w:r>
    </w:p>
    <w:p>
      <w:pPr>
        <w:spacing w:line="360" w:lineRule="auto"/>
        <w:rPr>
          <w:rFonts w:ascii="宋体" w:hAnsi="宋体" w:cs="宋体"/>
          <w:kern w:val="0"/>
          <w:lang w:val="en-GB"/>
        </w:rPr>
      </w:pPr>
      <w:r>
        <w:rPr>
          <w:rFonts w:hint="eastAsia" w:ascii="宋体" w:hAnsi="宋体" w:cs="宋体"/>
          <w:kern w:val="0"/>
          <w:lang w:val="en-GB"/>
        </w:rPr>
        <w:t>法定代表人或其委托代理人：                        （签字或盖章）</w:t>
      </w:r>
    </w:p>
    <w:p>
      <w:pPr>
        <w:spacing w:line="360" w:lineRule="auto"/>
        <w:jc w:val="right"/>
        <w:rPr>
          <w:rFonts w:ascii="宋体" w:hAnsi="宋体" w:cs="宋体"/>
          <w:kern w:val="0"/>
          <w:lang w:val="en-GB"/>
        </w:rPr>
      </w:pPr>
      <w:r>
        <w:rPr>
          <w:rFonts w:hint="eastAsia" w:ascii="宋体" w:hAnsi="宋体" w:cs="宋体"/>
          <w:kern w:val="0"/>
          <w:lang w:val="en-GB"/>
        </w:rPr>
        <w:t xml:space="preserve">             年        月        日           </w:t>
      </w:r>
    </w:p>
    <w:p>
      <w:pPr>
        <w:spacing w:line="360" w:lineRule="auto"/>
        <w:rPr>
          <w:rFonts w:ascii="宋体" w:hAnsi="宋体" w:cs="宋体"/>
          <w:color w:val="0000FF"/>
          <w:kern w:val="0"/>
          <w:lang w:val="en-GB"/>
        </w:rPr>
      </w:pPr>
      <w:r>
        <w:rPr>
          <w:rFonts w:hint="eastAsia" w:ascii="宋体" w:hAnsi="宋体" w:cs="宋体"/>
          <w:color w:val="0000FF"/>
          <w:kern w:val="0"/>
          <w:lang w:val="en-GB"/>
        </w:rPr>
        <w:t>备注：本协议书由委托代理人签字的，应附法定代表人签字的授权委托书。</w:t>
      </w:r>
    </w:p>
    <w:p>
      <w:pPr>
        <w:pStyle w:val="2"/>
        <w:rPr>
          <w:rFonts w:ascii="宋体" w:hAnsi="宋体" w:cs="宋体"/>
          <w:color w:val="0000FF"/>
          <w:sz w:val="21"/>
          <w:szCs w:val="21"/>
        </w:rPr>
      </w:pPr>
    </w:p>
    <w:p>
      <w:pPr>
        <w:spacing w:line="360" w:lineRule="auto"/>
        <w:rPr>
          <w:rFonts w:ascii="宋体" w:hAnsi="宋体" w:cs="宋体"/>
          <w:b/>
          <w:bCs/>
          <w:kern w:val="0"/>
          <w:lang w:val="en-GB"/>
        </w:rPr>
      </w:pPr>
    </w:p>
    <w:p>
      <w:pPr>
        <w:spacing w:line="360" w:lineRule="auto"/>
        <w:ind w:firstLine="3132" w:firstLineChars="1300"/>
        <w:rPr>
          <w:rFonts w:ascii="黑体" w:hAnsi="黑体" w:eastAsia="黑体" w:cs="黑体"/>
          <w:b/>
          <w:bCs/>
          <w:kern w:val="0"/>
          <w:sz w:val="24"/>
          <w:szCs w:val="24"/>
          <w:lang w:val="en-GB"/>
        </w:rPr>
      </w:pPr>
      <w:r>
        <w:rPr>
          <w:rFonts w:hint="eastAsia" w:ascii="黑体" w:hAnsi="黑体" w:eastAsia="黑体" w:cs="黑体"/>
          <w:b/>
          <w:bCs/>
          <w:kern w:val="0"/>
          <w:sz w:val="24"/>
          <w:szCs w:val="24"/>
        </w:rPr>
        <w:t>五、</w:t>
      </w:r>
      <w:r>
        <w:rPr>
          <w:rFonts w:hint="eastAsia" w:ascii="黑体" w:hAnsi="黑体" w:eastAsia="黑体" w:cs="黑体"/>
          <w:b/>
          <w:bCs/>
          <w:kern w:val="0"/>
          <w:sz w:val="24"/>
          <w:szCs w:val="24"/>
          <w:lang w:val="en-GB"/>
        </w:rPr>
        <w:t>分包意向协议（</w:t>
      </w:r>
      <w:r>
        <w:rPr>
          <w:rFonts w:hint="eastAsia" w:ascii="黑体" w:hAnsi="黑体" w:eastAsia="黑体" w:cs="黑体"/>
          <w:b/>
          <w:bCs/>
          <w:kern w:val="0"/>
          <w:sz w:val="24"/>
          <w:szCs w:val="24"/>
        </w:rPr>
        <w:t>格式一</w:t>
      </w:r>
      <w:r>
        <w:rPr>
          <w:rFonts w:hint="eastAsia" w:ascii="黑体" w:hAnsi="黑体" w:eastAsia="黑体" w:cs="黑体"/>
          <w:b/>
          <w:bCs/>
          <w:kern w:val="0"/>
          <w:sz w:val="24"/>
          <w:szCs w:val="24"/>
          <w:lang w:val="en-GB"/>
        </w:rPr>
        <w:t>）</w:t>
      </w:r>
    </w:p>
    <w:p>
      <w:pPr>
        <w:spacing w:line="360" w:lineRule="auto"/>
        <w:ind w:firstLine="420" w:firstLineChars="200"/>
        <w:rPr>
          <w:rFonts w:ascii="宋体" w:hAnsi="宋体" w:cs="宋体"/>
          <w:kern w:val="0"/>
          <w:lang w:val="en-GB"/>
        </w:rPr>
      </w:pPr>
      <w:r>
        <w:rPr>
          <w:rFonts w:hint="eastAsia" w:ascii="宋体" w:hAnsi="宋体" w:cs="宋体"/>
          <w:kern w:val="0"/>
          <w:lang w:val="en-GB"/>
        </w:rPr>
        <w:t xml:space="preserve">甲方（投标人）：________ </w:t>
      </w:r>
    </w:p>
    <w:p>
      <w:pPr>
        <w:spacing w:line="360" w:lineRule="auto"/>
        <w:ind w:firstLine="420" w:firstLineChars="200"/>
        <w:rPr>
          <w:rFonts w:ascii="宋体" w:hAnsi="宋体" w:cs="宋体"/>
          <w:kern w:val="0"/>
          <w:lang w:val="en-GB"/>
        </w:rPr>
      </w:pPr>
      <w:r>
        <w:rPr>
          <w:rFonts w:hint="eastAsia" w:ascii="宋体" w:hAnsi="宋体" w:cs="宋体"/>
          <w:kern w:val="0"/>
          <w:lang w:val="en-GB"/>
        </w:rPr>
        <w:t xml:space="preserve">乙方（拟分包单位）：________ </w:t>
      </w:r>
    </w:p>
    <w:p>
      <w:pPr>
        <w:spacing w:line="360" w:lineRule="auto"/>
        <w:ind w:firstLine="420" w:firstLineChars="200"/>
        <w:rPr>
          <w:rFonts w:ascii="宋体" w:hAnsi="宋体" w:cs="宋体"/>
          <w:kern w:val="0"/>
          <w:lang w:val="en-GB"/>
        </w:rPr>
      </w:pPr>
      <w:r>
        <w:rPr>
          <w:rFonts w:hint="eastAsia" w:ascii="宋体" w:hAnsi="宋体" w:cs="宋体"/>
          <w:kern w:val="0"/>
          <w:lang w:val="en-GB"/>
        </w:rPr>
        <w:t xml:space="preserve">甲方承诺，一旦在_________（采购项目名称）（项目编号/包号为：_______）采购采购项目中获得采购合同，将按照下述约定将合同项下部分内容分包给乙方： </w:t>
      </w:r>
    </w:p>
    <w:p>
      <w:pPr>
        <w:spacing w:line="360" w:lineRule="auto"/>
        <w:ind w:firstLine="420" w:firstLineChars="200"/>
        <w:rPr>
          <w:rFonts w:ascii="宋体" w:hAnsi="宋体" w:cs="宋体"/>
          <w:kern w:val="0"/>
          <w:lang w:val="en-GB"/>
        </w:rPr>
      </w:pPr>
      <w:r>
        <w:rPr>
          <w:rFonts w:hint="eastAsia" w:ascii="宋体" w:hAnsi="宋体" w:cs="宋体"/>
          <w:kern w:val="0"/>
          <w:lang w:val="en-GB"/>
        </w:rPr>
        <w:t xml:space="preserve">分包内容：_____。 </w:t>
      </w:r>
    </w:p>
    <w:p>
      <w:pPr>
        <w:spacing w:line="360" w:lineRule="auto"/>
        <w:ind w:firstLine="420" w:firstLineChars="200"/>
        <w:rPr>
          <w:rFonts w:ascii="宋体" w:hAnsi="宋体" w:cs="宋体"/>
          <w:kern w:val="0"/>
          <w:lang w:val="en-GB"/>
        </w:rPr>
      </w:pPr>
      <w:r>
        <w:rPr>
          <w:rFonts w:hint="eastAsia" w:ascii="宋体" w:hAnsi="宋体" w:cs="宋体"/>
          <w:kern w:val="0"/>
          <w:lang w:val="en-GB"/>
        </w:rPr>
        <w:t xml:space="preserve">分包金额：_____，该金额占该采购包预算总金额的比例为___%。 </w:t>
      </w:r>
    </w:p>
    <w:p>
      <w:pPr>
        <w:spacing w:line="360" w:lineRule="auto"/>
        <w:ind w:firstLine="420" w:firstLineChars="200"/>
        <w:rPr>
          <w:rFonts w:ascii="宋体" w:hAnsi="宋体" w:cs="宋体"/>
          <w:kern w:val="0"/>
          <w:lang w:val="en-GB"/>
        </w:rPr>
      </w:pPr>
      <w:r>
        <w:rPr>
          <w:rFonts w:hint="eastAsia" w:ascii="宋体" w:hAnsi="宋体" w:cs="宋体"/>
          <w:kern w:val="0"/>
          <w:lang w:val="en-GB"/>
        </w:rPr>
        <w:t xml:space="preserve">乙方承诺将在上述情况下与甲方签订分包合同。 本协议自各方盖章之日起生效，如甲方未在该项目（采购包）中标，本协议自动终止。 </w:t>
      </w:r>
    </w:p>
    <w:p>
      <w:pPr>
        <w:spacing w:line="360" w:lineRule="auto"/>
        <w:ind w:firstLine="420" w:firstLineChars="200"/>
        <w:rPr>
          <w:rFonts w:ascii="宋体" w:hAnsi="宋体" w:cs="宋体"/>
          <w:kern w:val="0"/>
          <w:lang w:val="en-GB"/>
        </w:rPr>
      </w:pPr>
      <w:r>
        <w:rPr>
          <w:rFonts w:hint="eastAsia" w:ascii="宋体" w:hAnsi="宋体" w:cs="宋体"/>
          <w:kern w:val="0"/>
          <w:lang w:val="en-GB"/>
        </w:rPr>
        <w:t>甲方（盖章）：_________ 乙方（盖章）：_________</w:t>
      </w:r>
    </w:p>
    <w:p>
      <w:pPr>
        <w:spacing w:line="360" w:lineRule="auto"/>
        <w:ind w:firstLine="420" w:firstLineChars="200"/>
        <w:rPr>
          <w:rFonts w:ascii="宋体" w:hAnsi="宋体" w:cs="宋体"/>
          <w:kern w:val="0"/>
          <w:lang w:val="en-GB"/>
        </w:rPr>
      </w:pPr>
      <w:r>
        <w:rPr>
          <w:rFonts w:hint="eastAsia" w:ascii="宋体" w:hAnsi="宋体" w:cs="宋体"/>
          <w:kern w:val="0"/>
          <w:lang w:val="en-GB"/>
        </w:rPr>
        <w:t xml:space="preserve">日期：_____年______月______日 </w:t>
      </w:r>
    </w:p>
    <w:p>
      <w:pPr>
        <w:spacing w:line="360" w:lineRule="auto"/>
        <w:ind w:firstLine="420" w:firstLineChars="200"/>
        <w:rPr>
          <w:rFonts w:ascii="宋体" w:hAnsi="宋体" w:cs="宋体"/>
          <w:kern w:val="0"/>
          <w:lang w:val="en-GB"/>
        </w:rPr>
      </w:pPr>
    </w:p>
    <w:p>
      <w:pPr>
        <w:spacing w:line="360" w:lineRule="auto"/>
        <w:ind w:firstLine="420" w:firstLineChars="200"/>
        <w:rPr>
          <w:rFonts w:ascii="宋体" w:hAnsi="宋体" w:cs="宋体"/>
          <w:color w:val="0000FF"/>
          <w:kern w:val="0"/>
          <w:lang w:val="en-GB"/>
        </w:rPr>
      </w:pPr>
      <w:r>
        <w:rPr>
          <w:rFonts w:hint="eastAsia" w:ascii="宋体" w:hAnsi="宋体" w:cs="宋体"/>
          <w:color w:val="0000FF"/>
          <w:kern w:val="0"/>
          <w:lang w:val="en-GB"/>
        </w:rPr>
        <w:t>说明：</w:t>
      </w:r>
    </w:p>
    <w:p>
      <w:pPr>
        <w:spacing w:line="360" w:lineRule="auto"/>
        <w:ind w:firstLine="420" w:firstLineChars="200"/>
        <w:rPr>
          <w:lang w:val="en-GB"/>
        </w:rPr>
      </w:pPr>
      <w:r>
        <w:rPr>
          <w:rFonts w:hint="eastAsia" w:ascii="宋体" w:hAnsi="宋体" w:cs="宋体"/>
          <w:color w:val="0000FF"/>
          <w:kern w:val="0"/>
        </w:rPr>
        <w:t>1.此</w:t>
      </w:r>
      <w:r>
        <w:rPr>
          <w:rFonts w:hint="eastAsia" w:ascii="宋体" w:hAnsi="宋体" w:cs="宋体"/>
          <w:color w:val="0000FF"/>
          <w:kern w:val="0"/>
          <w:lang w:val="en-GB"/>
        </w:rPr>
        <w:t>表</w:t>
      </w:r>
      <w:r>
        <w:rPr>
          <w:rFonts w:hint="eastAsia" w:ascii="宋体" w:hAnsi="宋体" w:cs="宋体"/>
          <w:color w:val="0000FF"/>
          <w:kern w:val="0"/>
        </w:rPr>
        <w:t>为</w:t>
      </w:r>
      <w:r>
        <w:rPr>
          <w:rFonts w:hint="eastAsia" w:ascii="宋体" w:hAnsi="宋体" w:cs="宋体"/>
          <w:color w:val="0000FF"/>
          <w:kern w:val="0"/>
          <w:lang w:val="en-GB"/>
        </w:rPr>
        <w:t>投标人</w:t>
      </w:r>
      <w:r>
        <w:rPr>
          <w:rFonts w:hint="eastAsia" w:ascii="宋体" w:hAnsi="宋体" w:cs="宋体"/>
          <w:color w:val="0000FF"/>
          <w:kern w:val="0"/>
        </w:rPr>
        <w:t>非因“</w:t>
      </w:r>
      <w:r>
        <w:rPr>
          <w:rFonts w:hint="eastAsia" w:ascii="宋体" w:hAnsi="宋体" w:cs="宋体"/>
          <w:color w:val="0000FF"/>
          <w:kern w:val="0"/>
          <w:lang w:val="en-GB"/>
        </w:rPr>
        <w:t>落实</w:t>
      </w:r>
      <w:r>
        <w:rPr>
          <w:rFonts w:hint="eastAsia" w:ascii="宋体" w:hAnsi="宋体" w:cs="宋体"/>
          <w:color w:val="0000FF"/>
          <w:kern w:val="0"/>
        </w:rPr>
        <w:t>中小企业预留份额”</w:t>
      </w:r>
      <w:r>
        <w:rPr>
          <w:rFonts w:hint="eastAsia" w:ascii="宋体" w:hAnsi="宋体" w:cs="宋体"/>
          <w:color w:val="0000FF"/>
          <w:kern w:val="0"/>
          <w:lang w:val="en-GB"/>
        </w:rPr>
        <w:t>分包时填写；</w:t>
      </w:r>
    </w:p>
    <w:p>
      <w:pPr>
        <w:spacing w:line="360" w:lineRule="auto"/>
        <w:ind w:firstLine="420" w:firstLineChars="200"/>
      </w:pPr>
      <w:r>
        <w:rPr>
          <w:rFonts w:hint="eastAsia" w:ascii="宋体" w:hAnsi="宋体" w:cs="宋体"/>
          <w:color w:val="0000FF"/>
          <w:kern w:val="0"/>
        </w:rPr>
        <w:t>2.拟分包单位必须满足“</w:t>
      </w:r>
      <w:r>
        <w:rPr>
          <w:rFonts w:hint="eastAsia" w:ascii="宋体" w:hAnsi="宋体" w:cs="宋体"/>
          <w:color w:val="0000FF"/>
          <w:kern w:val="0"/>
          <w:lang w:val="en-GB"/>
        </w:rPr>
        <w:t>通用条款的补充内容</w:t>
      </w:r>
      <w:r>
        <w:rPr>
          <w:rFonts w:hint="eastAsia" w:ascii="宋体" w:hAnsi="宋体" w:cs="宋体"/>
          <w:color w:val="0000FF"/>
          <w:kern w:val="0"/>
        </w:rPr>
        <w:t>”中关于分包的资质要求，并提供相应</w:t>
      </w:r>
      <w:r>
        <w:rPr>
          <w:rFonts w:hint="eastAsia" w:ascii="宋体" w:hAnsi="宋体" w:cs="宋体"/>
          <w:color w:val="0000FF"/>
          <w:kern w:val="0"/>
          <w:lang w:val="en-GB"/>
        </w:rPr>
        <w:t>资质证书复印件，否则投标</w:t>
      </w:r>
      <w:r>
        <w:rPr>
          <w:rFonts w:hint="eastAsia" w:ascii="宋体" w:hAnsi="宋体" w:cs="宋体"/>
          <w:color w:val="0000FF"/>
          <w:kern w:val="0"/>
        </w:rPr>
        <w:t>无效；</w:t>
      </w:r>
    </w:p>
    <w:p>
      <w:pPr>
        <w:spacing w:line="360" w:lineRule="auto"/>
        <w:ind w:firstLine="420" w:firstLineChars="200"/>
        <w:rPr>
          <w:rFonts w:ascii="宋体" w:hAnsi="宋体" w:cs="宋体"/>
          <w:color w:val="0000FF"/>
          <w:kern w:val="0"/>
          <w:lang w:val="en-GB"/>
        </w:rPr>
      </w:pPr>
      <w:r>
        <w:rPr>
          <w:rFonts w:hint="eastAsia" w:ascii="宋体" w:hAnsi="宋体" w:cs="宋体"/>
          <w:color w:val="0000FF"/>
          <w:kern w:val="0"/>
        </w:rPr>
        <w:t>3.</w:t>
      </w:r>
      <w:r>
        <w:rPr>
          <w:rFonts w:hint="eastAsia" w:ascii="宋体" w:hAnsi="宋体" w:cs="宋体"/>
          <w:color w:val="0000FF"/>
          <w:kern w:val="0"/>
          <w:lang w:val="en-GB"/>
        </w:rPr>
        <w:t>投标人须与所有拟分包单位分别签订《分包意向协议》，并在投标文件中提交协议复印件，否则投标无效。</w:t>
      </w:r>
    </w:p>
    <w:p>
      <w:pPr>
        <w:spacing w:line="360" w:lineRule="auto"/>
        <w:rPr>
          <w:rFonts w:ascii="宋体" w:hAnsi="宋体" w:cs="宋体"/>
          <w:kern w:val="0"/>
        </w:rPr>
      </w:pPr>
    </w:p>
    <w:p>
      <w:pPr>
        <w:spacing w:afterLines="50" w:line="360" w:lineRule="auto"/>
        <w:ind w:firstLine="3373" w:firstLineChars="1400"/>
        <w:rPr>
          <w:rFonts w:ascii="黑体" w:hAnsi="黑体" w:eastAsia="黑体" w:cs="黑体"/>
          <w:b/>
          <w:bCs/>
          <w:sz w:val="24"/>
          <w:szCs w:val="24"/>
          <w:lang w:val="en-GB"/>
        </w:rPr>
      </w:pPr>
      <w:r>
        <w:rPr>
          <w:rFonts w:hint="eastAsia" w:ascii="黑体" w:hAnsi="黑体" w:eastAsia="黑体" w:cs="黑体"/>
          <w:b/>
          <w:bCs/>
          <w:kern w:val="0"/>
          <w:sz w:val="24"/>
          <w:szCs w:val="24"/>
          <w:lang w:val="en-GB"/>
        </w:rPr>
        <w:t>拟分包意向协议（</w:t>
      </w:r>
      <w:r>
        <w:rPr>
          <w:rFonts w:hint="eastAsia" w:ascii="黑体" w:hAnsi="黑体" w:eastAsia="黑体" w:cs="黑体"/>
          <w:b/>
          <w:bCs/>
          <w:kern w:val="0"/>
          <w:sz w:val="24"/>
          <w:szCs w:val="24"/>
        </w:rPr>
        <w:t>格式二</w:t>
      </w:r>
      <w:r>
        <w:rPr>
          <w:rFonts w:hint="eastAsia" w:ascii="黑体" w:hAnsi="黑体" w:eastAsia="黑体" w:cs="黑体"/>
          <w:b/>
          <w:bCs/>
          <w:kern w:val="0"/>
          <w:sz w:val="24"/>
          <w:szCs w:val="24"/>
          <w:lang w:val="en-GB"/>
        </w:rPr>
        <w:t>）</w:t>
      </w:r>
    </w:p>
    <w:p>
      <w:pPr>
        <w:spacing w:line="360" w:lineRule="auto"/>
        <w:rPr>
          <w:rFonts w:ascii="宋体" w:hAnsi="宋体" w:cs="宋体"/>
          <w:kern w:val="0"/>
        </w:rPr>
      </w:pPr>
      <w:r>
        <w:rPr>
          <w:rFonts w:hint="eastAsia" w:ascii="宋体" w:hAnsi="宋体" w:cs="宋体"/>
          <w:kern w:val="0"/>
          <w:lang w:val="en-GB"/>
        </w:rPr>
        <w:t>致：</w:t>
      </w:r>
      <w:r>
        <w:rPr>
          <w:rFonts w:hint="eastAsia" w:ascii="宋体" w:hAnsi="宋体" w:cs="宋体"/>
          <w:kern w:val="0"/>
        </w:rPr>
        <w:t>巴州政务服务和公共资源交易中心</w:t>
      </w:r>
    </w:p>
    <w:p>
      <w:pPr>
        <w:spacing w:line="360" w:lineRule="auto"/>
        <w:ind w:firstLine="420" w:firstLineChars="200"/>
        <w:rPr>
          <w:rFonts w:ascii="宋体" w:hAnsi="宋体" w:cs="宋体"/>
          <w:kern w:val="0"/>
          <w:lang w:val="en-GB"/>
        </w:rPr>
      </w:pPr>
      <w:r>
        <w:rPr>
          <w:rFonts w:hint="eastAsia" w:ascii="宋体" w:hAnsi="宋体" w:cs="宋体"/>
          <w:kern w:val="0"/>
          <w:lang w:val="en-GB"/>
        </w:rPr>
        <w:t>我单位参加贵单位组织采购的项目编号为_______的_________项目（填写采购项目名称）的投标。拟签订分包合同的单位情况如下表所示：</w:t>
      </w:r>
    </w:p>
    <w:tbl>
      <w:tblPr>
        <w:tblStyle w:val="25"/>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31"/>
        <w:gridCol w:w="1410"/>
        <w:gridCol w:w="1469"/>
        <w:gridCol w:w="1664"/>
        <w:gridCol w:w="1218"/>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36" w:type="dxa"/>
            <w:noWrap/>
            <w:vAlign w:val="center"/>
          </w:tcPr>
          <w:p>
            <w:pPr>
              <w:spacing w:line="360" w:lineRule="auto"/>
              <w:jc w:val="center"/>
              <w:rPr>
                <w:rFonts w:ascii="宋体" w:hAnsi="宋体" w:cs="宋体"/>
                <w:kern w:val="0"/>
                <w:lang w:val="en-GB"/>
              </w:rPr>
            </w:pPr>
            <w:r>
              <w:rPr>
                <w:rFonts w:hint="eastAsia" w:ascii="宋体" w:hAnsi="宋体" w:cs="宋体"/>
                <w:kern w:val="0"/>
                <w:lang w:val="en-GB"/>
              </w:rPr>
              <w:t>序号</w:t>
            </w:r>
          </w:p>
        </w:tc>
        <w:tc>
          <w:tcPr>
            <w:tcW w:w="1231" w:type="dxa"/>
            <w:noWrap/>
            <w:vAlign w:val="center"/>
          </w:tcPr>
          <w:p>
            <w:pPr>
              <w:spacing w:line="360" w:lineRule="auto"/>
              <w:jc w:val="center"/>
              <w:rPr>
                <w:rFonts w:ascii="宋体" w:hAnsi="宋体" w:cs="宋体"/>
                <w:kern w:val="0"/>
              </w:rPr>
            </w:pPr>
            <w:r>
              <w:rPr>
                <w:rFonts w:hint="eastAsia" w:ascii="宋体" w:hAnsi="宋体" w:cs="宋体"/>
                <w:kern w:val="0"/>
              </w:rPr>
              <w:t>拟分包单位名称</w:t>
            </w:r>
          </w:p>
        </w:tc>
        <w:tc>
          <w:tcPr>
            <w:tcW w:w="1410" w:type="dxa"/>
            <w:noWrap/>
            <w:vAlign w:val="center"/>
          </w:tcPr>
          <w:p>
            <w:pPr>
              <w:spacing w:line="360" w:lineRule="auto"/>
              <w:jc w:val="center"/>
              <w:rPr>
                <w:rFonts w:ascii="宋体" w:hAnsi="宋体" w:cs="宋体"/>
                <w:kern w:val="0"/>
                <w:lang w:val="en-GB"/>
              </w:rPr>
            </w:pPr>
            <w:r>
              <w:rPr>
                <w:rFonts w:hint="eastAsia" w:ascii="宋体" w:hAnsi="宋体" w:cs="宋体"/>
                <w:kern w:val="0"/>
              </w:rPr>
              <w:t>拟分包单位</w:t>
            </w:r>
            <w:r>
              <w:rPr>
                <w:rFonts w:hint="eastAsia" w:ascii="宋体" w:hAnsi="宋体" w:cs="宋体"/>
                <w:kern w:val="0"/>
                <w:lang w:val="en-GB"/>
              </w:rPr>
              <w:t xml:space="preserve">类型 </w:t>
            </w:r>
          </w:p>
        </w:tc>
        <w:tc>
          <w:tcPr>
            <w:tcW w:w="1469" w:type="dxa"/>
            <w:noWrap/>
            <w:vAlign w:val="center"/>
          </w:tcPr>
          <w:p>
            <w:pPr>
              <w:spacing w:line="360" w:lineRule="auto"/>
              <w:ind w:firstLine="210" w:firstLineChars="100"/>
              <w:rPr>
                <w:rFonts w:ascii="宋体" w:hAnsi="宋体" w:cs="宋体"/>
                <w:kern w:val="0"/>
              </w:rPr>
            </w:pPr>
            <w:r>
              <w:rPr>
                <w:rFonts w:hint="eastAsia" w:ascii="宋体" w:hAnsi="宋体" w:cs="宋体"/>
                <w:kern w:val="0"/>
                <w:lang w:val="en-GB"/>
              </w:rPr>
              <w:t>资质</w:t>
            </w:r>
            <w:r>
              <w:rPr>
                <w:rFonts w:hint="eastAsia" w:ascii="宋体" w:hAnsi="宋体" w:cs="宋体"/>
                <w:kern w:val="0"/>
              </w:rPr>
              <w:t>证书</w:t>
            </w:r>
          </w:p>
        </w:tc>
        <w:tc>
          <w:tcPr>
            <w:tcW w:w="1664" w:type="dxa"/>
            <w:noWrap/>
            <w:vAlign w:val="center"/>
          </w:tcPr>
          <w:p>
            <w:pPr>
              <w:spacing w:line="360" w:lineRule="auto"/>
              <w:jc w:val="center"/>
              <w:rPr>
                <w:rFonts w:ascii="宋体" w:hAnsi="宋体" w:cs="宋体"/>
                <w:kern w:val="0"/>
                <w:lang w:val="en-GB"/>
              </w:rPr>
            </w:pPr>
            <w:r>
              <w:rPr>
                <w:rFonts w:hint="eastAsia" w:ascii="宋体" w:hAnsi="宋体" w:cs="宋体"/>
                <w:kern w:val="0"/>
                <w:lang w:val="en-GB"/>
              </w:rPr>
              <w:t>拟</w:t>
            </w:r>
            <w:r>
              <w:rPr>
                <w:rFonts w:hint="eastAsia" w:ascii="宋体" w:hAnsi="宋体" w:cs="宋体"/>
                <w:kern w:val="0"/>
              </w:rPr>
              <w:t>分</w:t>
            </w:r>
            <w:r>
              <w:rPr>
                <w:rFonts w:hint="eastAsia" w:ascii="宋体" w:hAnsi="宋体" w:cs="宋体"/>
                <w:kern w:val="0"/>
                <w:lang w:val="en-GB"/>
              </w:rPr>
              <w:t>包合同内容</w:t>
            </w:r>
          </w:p>
        </w:tc>
        <w:tc>
          <w:tcPr>
            <w:tcW w:w="1218" w:type="dxa"/>
            <w:noWrap/>
            <w:vAlign w:val="center"/>
          </w:tcPr>
          <w:p>
            <w:pPr>
              <w:spacing w:line="360" w:lineRule="auto"/>
              <w:jc w:val="center"/>
              <w:rPr>
                <w:rFonts w:ascii="宋体" w:hAnsi="宋体" w:cs="宋体"/>
                <w:kern w:val="0"/>
                <w:lang w:val="en-GB"/>
              </w:rPr>
            </w:pPr>
            <w:r>
              <w:rPr>
                <w:rFonts w:hint="eastAsia" w:ascii="宋体" w:hAnsi="宋体" w:cs="宋体"/>
                <w:kern w:val="0"/>
                <w:lang w:val="en-GB"/>
              </w:rPr>
              <w:t>拟分包合金额（元）</w:t>
            </w:r>
          </w:p>
        </w:tc>
        <w:tc>
          <w:tcPr>
            <w:tcW w:w="1504" w:type="dxa"/>
            <w:noWrap/>
            <w:vAlign w:val="center"/>
          </w:tcPr>
          <w:p>
            <w:pPr>
              <w:spacing w:line="360" w:lineRule="auto"/>
              <w:jc w:val="center"/>
              <w:rPr>
                <w:rFonts w:ascii="宋体" w:hAnsi="宋体" w:cs="宋体"/>
                <w:kern w:val="0"/>
                <w:lang w:val="en-GB"/>
              </w:rPr>
            </w:pPr>
            <w:r>
              <w:rPr>
                <w:rFonts w:hint="eastAsia" w:ascii="宋体" w:hAnsi="宋体" w:cs="宋体"/>
                <w:kern w:val="0"/>
                <w:lang w:val="en-GB"/>
              </w:rPr>
              <w:t>占该采购包预算金额的比例（%）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ign w:val="center"/>
          </w:tcPr>
          <w:p>
            <w:pPr>
              <w:spacing w:line="360" w:lineRule="auto"/>
              <w:ind w:firstLine="420" w:firstLineChars="200"/>
              <w:jc w:val="center"/>
              <w:rPr>
                <w:rFonts w:ascii="宋体" w:hAnsi="宋体" w:cs="宋体"/>
              </w:rPr>
            </w:pPr>
          </w:p>
          <w:p>
            <w:pPr>
              <w:jc w:val="center"/>
              <w:rPr>
                <w:rFonts w:ascii="宋体" w:hAnsi="宋体" w:cs="宋体"/>
              </w:rPr>
            </w:pPr>
            <w:r>
              <w:rPr>
                <w:rFonts w:hint="eastAsia" w:ascii="宋体" w:hAnsi="宋体" w:cs="宋体"/>
              </w:rPr>
              <w:t>1</w:t>
            </w:r>
          </w:p>
        </w:tc>
        <w:tc>
          <w:tcPr>
            <w:tcW w:w="1231" w:type="dxa"/>
            <w:noWrap/>
            <w:vAlign w:val="center"/>
          </w:tcPr>
          <w:p>
            <w:pPr>
              <w:spacing w:line="360" w:lineRule="auto"/>
              <w:ind w:firstLine="420" w:firstLineChars="200"/>
              <w:jc w:val="center"/>
              <w:rPr>
                <w:rFonts w:ascii="宋体" w:hAnsi="宋体" w:cs="宋体"/>
                <w:kern w:val="0"/>
                <w:lang w:val="en-GB"/>
              </w:rPr>
            </w:pPr>
          </w:p>
        </w:tc>
        <w:tc>
          <w:tcPr>
            <w:tcW w:w="1410" w:type="dxa"/>
            <w:noWrap/>
            <w:vAlign w:val="center"/>
          </w:tcPr>
          <w:p>
            <w:pPr>
              <w:spacing w:line="360" w:lineRule="auto"/>
              <w:jc w:val="center"/>
              <w:rPr>
                <w:rFonts w:ascii="宋体" w:hAnsi="宋体" w:cs="宋体"/>
                <w:kern w:val="0"/>
                <w:lang w:val="en-GB"/>
              </w:rPr>
            </w:pPr>
            <w:r>
              <w:rPr>
                <w:rFonts w:hint="eastAsia" w:ascii="宋体" w:hAnsi="宋体" w:cs="宋体"/>
                <w:kern w:val="0"/>
                <w:lang w:val="en-GB"/>
              </w:rPr>
              <w:t>□</w:t>
            </w:r>
            <w:r>
              <w:rPr>
                <w:rFonts w:hint="eastAsia" w:ascii="宋体" w:hAnsi="宋体" w:cs="宋体"/>
                <w:kern w:val="0"/>
              </w:rPr>
              <w:t>小微</w:t>
            </w:r>
            <w:r>
              <w:rPr>
                <w:rFonts w:hint="eastAsia" w:ascii="宋体" w:hAnsi="宋体" w:cs="宋体"/>
                <w:kern w:val="0"/>
                <w:lang w:val="en-GB"/>
              </w:rPr>
              <w:t>企业 □</w:t>
            </w:r>
            <w:r>
              <w:rPr>
                <w:rFonts w:hint="eastAsia" w:ascii="宋体" w:hAnsi="宋体" w:cs="宋体"/>
                <w:kern w:val="0"/>
              </w:rPr>
              <w:t>其他类型</w:t>
            </w:r>
          </w:p>
        </w:tc>
        <w:tc>
          <w:tcPr>
            <w:tcW w:w="1469" w:type="dxa"/>
            <w:noWrap/>
            <w:vAlign w:val="center"/>
          </w:tcPr>
          <w:p>
            <w:pPr>
              <w:spacing w:line="360" w:lineRule="auto"/>
              <w:ind w:firstLine="420" w:firstLineChars="200"/>
              <w:jc w:val="center"/>
              <w:rPr>
                <w:rFonts w:ascii="宋体" w:hAnsi="宋体" w:cs="宋体"/>
                <w:kern w:val="0"/>
                <w:lang w:val="en-GB"/>
              </w:rPr>
            </w:pPr>
          </w:p>
        </w:tc>
        <w:tc>
          <w:tcPr>
            <w:tcW w:w="1664" w:type="dxa"/>
            <w:noWrap/>
            <w:vAlign w:val="center"/>
          </w:tcPr>
          <w:p>
            <w:pPr>
              <w:spacing w:line="360" w:lineRule="auto"/>
              <w:ind w:firstLine="420" w:firstLineChars="200"/>
              <w:jc w:val="center"/>
              <w:rPr>
                <w:rFonts w:ascii="宋体" w:hAnsi="宋体" w:cs="宋体"/>
                <w:kern w:val="0"/>
                <w:lang w:val="en-GB"/>
              </w:rPr>
            </w:pPr>
          </w:p>
        </w:tc>
        <w:tc>
          <w:tcPr>
            <w:tcW w:w="1218" w:type="dxa"/>
            <w:noWrap/>
            <w:vAlign w:val="center"/>
          </w:tcPr>
          <w:p>
            <w:pPr>
              <w:spacing w:line="360" w:lineRule="auto"/>
              <w:ind w:firstLine="420" w:firstLineChars="200"/>
              <w:jc w:val="center"/>
              <w:rPr>
                <w:rFonts w:ascii="宋体" w:hAnsi="宋体" w:cs="宋体"/>
                <w:kern w:val="0"/>
                <w:lang w:val="en-GB"/>
              </w:rPr>
            </w:pPr>
          </w:p>
        </w:tc>
        <w:tc>
          <w:tcPr>
            <w:tcW w:w="1504" w:type="dxa"/>
            <w:noWrap/>
            <w:vAlign w:val="center"/>
          </w:tcPr>
          <w:p>
            <w:pPr>
              <w:spacing w:line="360" w:lineRule="auto"/>
              <w:ind w:firstLine="420" w:firstLineChars="200"/>
              <w:jc w:val="center"/>
              <w:rPr>
                <w:rFonts w:ascii="宋体" w:hAnsi="宋体" w:cs="宋体"/>
                <w:kern w:val="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ign w:val="center"/>
          </w:tcPr>
          <w:p>
            <w:pPr>
              <w:spacing w:line="360" w:lineRule="auto"/>
              <w:jc w:val="center"/>
              <w:rPr>
                <w:rFonts w:ascii="宋体" w:hAnsi="宋体" w:cs="宋体"/>
                <w:kern w:val="0"/>
              </w:rPr>
            </w:pPr>
          </w:p>
          <w:p>
            <w:pPr>
              <w:spacing w:line="360" w:lineRule="auto"/>
              <w:jc w:val="center"/>
              <w:rPr>
                <w:rFonts w:ascii="宋体" w:hAnsi="宋体" w:cs="宋体"/>
                <w:kern w:val="0"/>
              </w:rPr>
            </w:pPr>
            <w:r>
              <w:rPr>
                <w:rFonts w:hint="eastAsia" w:ascii="宋体" w:hAnsi="宋体" w:cs="宋体"/>
                <w:kern w:val="0"/>
              </w:rPr>
              <w:t>2</w:t>
            </w:r>
          </w:p>
        </w:tc>
        <w:tc>
          <w:tcPr>
            <w:tcW w:w="1231" w:type="dxa"/>
            <w:noWrap/>
            <w:vAlign w:val="center"/>
          </w:tcPr>
          <w:p>
            <w:pPr>
              <w:spacing w:line="360" w:lineRule="auto"/>
              <w:ind w:firstLine="420" w:firstLineChars="200"/>
              <w:jc w:val="center"/>
              <w:rPr>
                <w:rFonts w:ascii="宋体" w:hAnsi="宋体" w:cs="宋体"/>
                <w:kern w:val="0"/>
                <w:lang w:val="en-GB"/>
              </w:rPr>
            </w:pPr>
          </w:p>
        </w:tc>
        <w:tc>
          <w:tcPr>
            <w:tcW w:w="1410" w:type="dxa"/>
            <w:noWrap/>
            <w:vAlign w:val="center"/>
          </w:tcPr>
          <w:p>
            <w:pPr>
              <w:spacing w:line="360" w:lineRule="auto"/>
              <w:jc w:val="center"/>
              <w:rPr>
                <w:rFonts w:ascii="宋体" w:hAnsi="宋体" w:cs="宋体"/>
                <w:kern w:val="0"/>
                <w:lang w:val="en-GB"/>
              </w:rPr>
            </w:pPr>
            <w:r>
              <w:rPr>
                <w:rFonts w:hint="eastAsia" w:ascii="宋体" w:hAnsi="宋体" w:cs="宋体"/>
                <w:kern w:val="0"/>
                <w:lang w:val="en-GB"/>
              </w:rPr>
              <w:t>□</w:t>
            </w:r>
            <w:r>
              <w:rPr>
                <w:rFonts w:hint="eastAsia" w:ascii="宋体" w:hAnsi="宋体" w:cs="宋体"/>
                <w:kern w:val="0"/>
              </w:rPr>
              <w:t>小微</w:t>
            </w:r>
            <w:r>
              <w:rPr>
                <w:rFonts w:hint="eastAsia" w:ascii="宋体" w:hAnsi="宋体" w:cs="宋体"/>
                <w:kern w:val="0"/>
                <w:lang w:val="en-GB"/>
              </w:rPr>
              <w:t>企业 □</w:t>
            </w:r>
            <w:r>
              <w:rPr>
                <w:rFonts w:hint="eastAsia" w:ascii="宋体" w:hAnsi="宋体" w:cs="宋体"/>
                <w:kern w:val="0"/>
              </w:rPr>
              <w:t>其他类型</w:t>
            </w:r>
          </w:p>
        </w:tc>
        <w:tc>
          <w:tcPr>
            <w:tcW w:w="1469" w:type="dxa"/>
            <w:noWrap/>
            <w:vAlign w:val="center"/>
          </w:tcPr>
          <w:p>
            <w:pPr>
              <w:spacing w:line="360" w:lineRule="auto"/>
              <w:ind w:firstLine="420" w:firstLineChars="200"/>
              <w:jc w:val="center"/>
              <w:rPr>
                <w:rFonts w:ascii="宋体" w:hAnsi="宋体" w:cs="宋体"/>
                <w:kern w:val="0"/>
                <w:lang w:val="en-GB"/>
              </w:rPr>
            </w:pPr>
          </w:p>
        </w:tc>
        <w:tc>
          <w:tcPr>
            <w:tcW w:w="1664" w:type="dxa"/>
            <w:noWrap/>
            <w:vAlign w:val="center"/>
          </w:tcPr>
          <w:p>
            <w:pPr>
              <w:spacing w:line="360" w:lineRule="auto"/>
              <w:ind w:firstLine="420" w:firstLineChars="200"/>
              <w:jc w:val="center"/>
              <w:rPr>
                <w:rFonts w:ascii="宋体" w:hAnsi="宋体" w:cs="宋体"/>
                <w:kern w:val="0"/>
                <w:lang w:val="en-GB"/>
              </w:rPr>
            </w:pPr>
          </w:p>
        </w:tc>
        <w:tc>
          <w:tcPr>
            <w:tcW w:w="1218" w:type="dxa"/>
            <w:noWrap/>
            <w:vAlign w:val="center"/>
          </w:tcPr>
          <w:p>
            <w:pPr>
              <w:spacing w:line="360" w:lineRule="auto"/>
              <w:ind w:firstLine="420" w:firstLineChars="200"/>
              <w:jc w:val="center"/>
              <w:rPr>
                <w:rFonts w:ascii="宋体" w:hAnsi="宋体" w:cs="宋体"/>
                <w:kern w:val="0"/>
                <w:lang w:val="en-GB"/>
              </w:rPr>
            </w:pPr>
          </w:p>
        </w:tc>
        <w:tc>
          <w:tcPr>
            <w:tcW w:w="1504" w:type="dxa"/>
            <w:noWrap/>
            <w:vAlign w:val="center"/>
          </w:tcPr>
          <w:p>
            <w:pPr>
              <w:spacing w:line="360" w:lineRule="auto"/>
              <w:ind w:firstLine="420" w:firstLineChars="200"/>
              <w:jc w:val="center"/>
              <w:rPr>
                <w:rFonts w:ascii="宋体" w:hAnsi="宋体" w:cs="宋体"/>
                <w:kern w:val="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0" w:type="dxa"/>
            <w:gridSpan w:val="5"/>
            <w:noWrap/>
            <w:vAlign w:val="center"/>
          </w:tcPr>
          <w:p>
            <w:pPr>
              <w:spacing w:line="360" w:lineRule="auto"/>
              <w:ind w:firstLine="420" w:firstLineChars="200"/>
              <w:jc w:val="center"/>
              <w:rPr>
                <w:rFonts w:ascii="宋体" w:hAnsi="宋体" w:cs="宋体"/>
                <w:kern w:val="0"/>
              </w:rPr>
            </w:pPr>
            <w:r>
              <w:rPr>
                <w:rFonts w:hint="eastAsia" w:ascii="宋体" w:hAnsi="宋体" w:cs="宋体"/>
                <w:kern w:val="0"/>
              </w:rPr>
              <w:t xml:space="preserve">                                         合计：</w:t>
            </w:r>
          </w:p>
        </w:tc>
        <w:tc>
          <w:tcPr>
            <w:tcW w:w="1218" w:type="dxa"/>
            <w:noWrap/>
            <w:vAlign w:val="center"/>
          </w:tcPr>
          <w:p>
            <w:pPr>
              <w:spacing w:line="360" w:lineRule="auto"/>
              <w:ind w:firstLine="420" w:firstLineChars="200"/>
              <w:jc w:val="center"/>
              <w:rPr>
                <w:rFonts w:ascii="宋体" w:hAnsi="宋体" w:cs="宋体"/>
                <w:kern w:val="0"/>
                <w:lang w:val="en-GB"/>
              </w:rPr>
            </w:pPr>
          </w:p>
        </w:tc>
        <w:tc>
          <w:tcPr>
            <w:tcW w:w="1504" w:type="dxa"/>
            <w:noWrap/>
            <w:vAlign w:val="center"/>
          </w:tcPr>
          <w:p>
            <w:pPr>
              <w:spacing w:line="360" w:lineRule="auto"/>
              <w:ind w:firstLine="420" w:firstLineChars="200"/>
              <w:jc w:val="center"/>
              <w:rPr>
                <w:rFonts w:ascii="宋体" w:hAnsi="宋体" w:cs="宋体"/>
                <w:kern w:val="0"/>
                <w:lang w:val="en-GB"/>
              </w:rPr>
            </w:pPr>
          </w:p>
        </w:tc>
      </w:tr>
    </w:tbl>
    <w:p>
      <w:pPr>
        <w:spacing w:line="360" w:lineRule="auto"/>
        <w:ind w:firstLine="420" w:firstLineChars="200"/>
        <w:rPr>
          <w:rFonts w:ascii="宋体" w:hAnsi="宋体" w:cs="宋体"/>
          <w:kern w:val="0"/>
          <w:lang w:val="en-GB"/>
        </w:rPr>
      </w:pPr>
      <w:r>
        <w:rPr>
          <w:rFonts w:hint="eastAsia" w:ascii="宋体" w:hAnsi="宋体" w:cs="宋体"/>
          <w:kern w:val="0"/>
          <w:lang w:val="en-GB"/>
        </w:rPr>
        <w:t>我单位承诺一旦在该项目中获得采购合同将按下表所列情况进行分包，同时承诺分包承担主体不再次分包。</w:t>
      </w:r>
    </w:p>
    <w:p>
      <w:pPr>
        <w:spacing w:line="360" w:lineRule="auto"/>
        <w:ind w:firstLine="420" w:firstLineChars="200"/>
        <w:rPr>
          <w:rFonts w:ascii="宋体" w:hAnsi="宋体" w:cs="宋体"/>
          <w:kern w:val="0"/>
        </w:rPr>
      </w:pPr>
    </w:p>
    <w:p>
      <w:pPr>
        <w:spacing w:line="360" w:lineRule="auto"/>
        <w:ind w:firstLine="5250" w:firstLineChars="2500"/>
        <w:rPr>
          <w:rFonts w:ascii="宋体" w:hAnsi="宋体" w:cs="宋体"/>
          <w:kern w:val="0"/>
          <w:lang w:val="en-GB"/>
        </w:rPr>
      </w:pPr>
      <w:r>
        <w:rPr>
          <w:rFonts w:hint="eastAsia" w:ascii="宋体" w:hAnsi="宋体" w:cs="宋体"/>
          <w:kern w:val="0"/>
          <w:lang w:val="en-GB"/>
        </w:rPr>
        <w:t xml:space="preserve">投标人名称（加盖公章）：______ </w:t>
      </w:r>
    </w:p>
    <w:p>
      <w:pPr>
        <w:spacing w:line="360" w:lineRule="auto"/>
        <w:ind w:firstLine="5460" w:firstLineChars="2600"/>
        <w:rPr>
          <w:rFonts w:ascii="宋体" w:hAnsi="宋体" w:cs="宋体"/>
          <w:kern w:val="0"/>
          <w:lang w:val="en-GB"/>
        </w:rPr>
      </w:pPr>
      <w:r>
        <w:rPr>
          <w:rFonts w:hint="eastAsia" w:ascii="宋体" w:hAnsi="宋体" w:cs="宋体"/>
          <w:kern w:val="0"/>
          <w:lang w:val="en-GB"/>
        </w:rPr>
        <w:t xml:space="preserve">日期：____年____月____日 </w:t>
      </w:r>
    </w:p>
    <w:p>
      <w:pPr>
        <w:spacing w:line="360" w:lineRule="auto"/>
        <w:ind w:firstLine="420" w:firstLineChars="200"/>
        <w:rPr>
          <w:rFonts w:ascii="宋体" w:hAnsi="宋体" w:cs="宋体"/>
          <w:color w:val="0000FF"/>
          <w:kern w:val="0"/>
          <w:lang w:val="en-GB"/>
        </w:rPr>
      </w:pPr>
      <w:r>
        <w:rPr>
          <w:rFonts w:hint="eastAsia" w:ascii="宋体" w:hAnsi="宋体" w:cs="宋体"/>
          <w:color w:val="0000FF"/>
          <w:kern w:val="0"/>
          <w:lang w:val="en-GB"/>
        </w:rPr>
        <w:t xml:space="preserve">说明： </w:t>
      </w:r>
    </w:p>
    <w:p>
      <w:pPr>
        <w:spacing w:line="360" w:lineRule="auto"/>
        <w:ind w:firstLine="420" w:firstLineChars="200"/>
        <w:rPr>
          <w:rFonts w:ascii="宋体" w:hAnsi="宋体" w:cs="宋体"/>
          <w:color w:val="0000FF"/>
          <w:kern w:val="0"/>
        </w:rPr>
      </w:pPr>
      <w:r>
        <w:rPr>
          <w:rFonts w:hint="eastAsia" w:ascii="宋体" w:hAnsi="宋体" w:cs="宋体"/>
          <w:color w:val="0000FF"/>
          <w:kern w:val="0"/>
          <w:lang w:val="en-GB"/>
        </w:rPr>
        <w:t>（</w:t>
      </w:r>
      <w:r>
        <w:rPr>
          <w:rFonts w:hint="eastAsia" w:ascii="宋体" w:hAnsi="宋体" w:cs="宋体"/>
          <w:color w:val="0000FF"/>
          <w:kern w:val="0"/>
        </w:rPr>
        <w:t>1</w:t>
      </w:r>
      <w:r>
        <w:rPr>
          <w:rFonts w:hint="eastAsia" w:ascii="宋体" w:hAnsi="宋体" w:cs="宋体"/>
          <w:color w:val="0000FF"/>
          <w:kern w:val="0"/>
          <w:lang w:val="en-GB"/>
        </w:rPr>
        <w:t>）</w:t>
      </w:r>
      <w:r>
        <w:rPr>
          <w:rFonts w:hint="eastAsia" w:ascii="宋体" w:hAnsi="宋体" w:cs="宋体"/>
          <w:color w:val="0000FF"/>
          <w:kern w:val="0"/>
        </w:rPr>
        <w:t>此表为投标人在</w:t>
      </w:r>
      <w:r>
        <w:rPr>
          <w:rFonts w:hint="eastAsia" w:ascii="宋体" w:hAnsi="宋体" w:cs="宋体"/>
          <w:color w:val="0000FF"/>
          <w:kern w:val="0"/>
          <w:lang w:val="en-GB"/>
        </w:rPr>
        <w:t>“落实</w:t>
      </w:r>
      <w:r>
        <w:rPr>
          <w:rFonts w:hint="eastAsia" w:ascii="宋体" w:hAnsi="宋体" w:cs="宋体"/>
          <w:color w:val="0000FF"/>
          <w:kern w:val="0"/>
        </w:rPr>
        <w:t>中小企业预留份额</w:t>
      </w:r>
      <w:r>
        <w:rPr>
          <w:rFonts w:hint="eastAsia" w:ascii="宋体" w:hAnsi="宋体" w:cs="宋体"/>
          <w:color w:val="0000FF"/>
          <w:kern w:val="0"/>
          <w:lang w:val="en-GB"/>
        </w:rPr>
        <w:t>”</w:t>
      </w:r>
      <w:r>
        <w:rPr>
          <w:rFonts w:hint="eastAsia" w:ascii="宋体" w:hAnsi="宋体" w:cs="宋体"/>
          <w:color w:val="0000FF"/>
          <w:kern w:val="0"/>
        </w:rPr>
        <w:t>而向中小企业分包时填写。</w:t>
      </w:r>
    </w:p>
    <w:p>
      <w:pPr>
        <w:ind w:firstLine="420" w:firstLineChars="200"/>
        <w:rPr>
          <w:rFonts w:ascii="宋体" w:hAnsi="宋体" w:cs="宋体"/>
          <w:color w:val="0000FF"/>
          <w:kern w:val="0"/>
        </w:rPr>
      </w:pPr>
      <w:r>
        <w:rPr>
          <w:rFonts w:hint="eastAsia" w:ascii="宋体" w:hAnsi="宋体" w:cs="宋体"/>
          <w:color w:val="0000FF"/>
          <w:kern w:val="0"/>
        </w:rPr>
        <w:t>（2）拟分包单位必须满足“</w:t>
      </w:r>
      <w:r>
        <w:rPr>
          <w:rFonts w:hint="eastAsia" w:ascii="宋体" w:hAnsi="宋体" w:cs="宋体"/>
          <w:color w:val="0000FF"/>
          <w:kern w:val="0"/>
          <w:lang w:val="en-GB"/>
        </w:rPr>
        <w:t>通用条款的补充内容</w:t>
      </w:r>
      <w:r>
        <w:rPr>
          <w:rFonts w:hint="eastAsia" w:ascii="宋体" w:hAnsi="宋体" w:cs="宋体"/>
          <w:color w:val="0000FF"/>
          <w:kern w:val="0"/>
        </w:rPr>
        <w:t>”中关于分包的资质要求，并提供相应</w:t>
      </w:r>
      <w:r>
        <w:rPr>
          <w:rFonts w:hint="eastAsia" w:ascii="宋体" w:hAnsi="宋体" w:cs="宋体"/>
          <w:color w:val="0000FF"/>
          <w:kern w:val="0"/>
          <w:lang w:val="en-GB"/>
        </w:rPr>
        <w:t xml:space="preserve">资质证书复印件，否则投标无效。 </w:t>
      </w:r>
    </w:p>
    <w:p>
      <w:pPr>
        <w:pStyle w:val="31"/>
        <w:ind w:firstLine="480"/>
      </w:pPr>
    </w:p>
    <w:p>
      <w:pPr>
        <w:pStyle w:val="22"/>
        <w:rPr>
          <w:szCs w:val="21"/>
        </w:rPr>
      </w:pPr>
    </w:p>
    <w:p/>
    <w:p>
      <w:pPr>
        <w:rPr>
          <w:b/>
          <w:bCs/>
          <w:sz w:val="24"/>
        </w:rPr>
      </w:pPr>
    </w:p>
    <w:p>
      <w:pPr>
        <w:jc w:val="center"/>
        <w:rPr>
          <w:rFonts w:ascii="黑体" w:hAnsi="宋体" w:eastAsia="黑体"/>
          <w:b/>
          <w:bCs/>
          <w:sz w:val="24"/>
        </w:rPr>
      </w:pPr>
      <w:r>
        <w:rPr>
          <w:rFonts w:hint="eastAsia" w:ascii="黑体" w:hAnsi="宋体" w:eastAsia="黑体"/>
          <w:b/>
          <w:bCs/>
          <w:sz w:val="24"/>
        </w:rPr>
        <w:t>六、实施方案（格式自定）</w:t>
      </w:r>
    </w:p>
    <w:p>
      <w:pPr>
        <w:pStyle w:val="8"/>
        <w:ind w:firstLine="0"/>
        <w:rPr>
          <w:rFonts w:ascii="宋体" w:hAnsi="宋体" w:cs="宋体"/>
          <w:color w:val="000000"/>
        </w:rPr>
      </w:pPr>
      <w:r>
        <w:rPr>
          <w:rFonts w:hint="eastAsia" w:ascii="宋体" w:hAnsi="宋体" w:cs="宋体"/>
          <w:color w:val="000000"/>
        </w:rPr>
        <w:t>（特别提示：投标人须按本采购文件评标信息中“实施方案”这一评审因素要求，提供证明资料）</w:t>
      </w:r>
    </w:p>
    <w:p>
      <w:pPr>
        <w:pStyle w:val="8"/>
        <w:ind w:firstLine="0"/>
        <w:rPr>
          <w:rFonts w:ascii="宋体" w:hAnsi="宋体" w:cs="宋体"/>
          <w:color w:val="000000"/>
          <w:sz w:val="24"/>
        </w:rPr>
      </w:pPr>
    </w:p>
    <w:p>
      <w:pPr>
        <w:rPr>
          <w:color w:val="000000"/>
        </w:rPr>
      </w:pPr>
    </w:p>
    <w:p>
      <w:pPr>
        <w:pStyle w:val="8"/>
        <w:ind w:firstLine="0"/>
        <w:jc w:val="center"/>
        <w:rPr>
          <w:rFonts w:ascii="黑体" w:hAnsi="宋体" w:eastAsia="黑体"/>
          <w:b/>
          <w:bCs/>
          <w:color w:val="000000"/>
          <w:sz w:val="24"/>
        </w:rPr>
      </w:pPr>
      <w:r>
        <w:rPr>
          <w:rFonts w:hint="eastAsia" w:ascii="黑体" w:hAnsi="宋体" w:eastAsia="黑体"/>
          <w:b/>
          <w:bCs/>
          <w:color w:val="000000"/>
          <w:sz w:val="24"/>
        </w:rPr>
        <w:t>七、项目重点难点分析、应对措施及相关的合理化建议（如有，格式自定）</w:t>
      </w:r>
    </w:p>
    <w:p>
      <w:pPr>
        <w:pStyle w:val="8"/>
        <w:ind w:firstLine="0"/>
        <w:rPr>
          <w:rFonts w:ascii="宋体" w:hAnsi="宋体" w:cs="宋体"/>
          <w:color w:val="000000"/>
        </w:rPr>
      </w:pPr>
      <w:r>
        <w:rPr>
          <w:rFonts w:hint="eastAsia" w:ascii="宋体" w:hAnsi="宋体" w:cs="宋体"/>
          <w:color w:val="000000"/>
        </w:rPr>
        <w:t>（特别提示：投标人须按本采购文件评标信息中“项目重点难点分析、应对措施及相关的合理化建议”这一评审因素要求，提供证明资料）</w:t>
      </w:r>
    </w:p>
    <w:p>
      <w:pPr>
        <w:pStyle w:val="8"/>
        <w:ind w:firstLine="0"/>
        <w:rPr>
          <w:rFonts w:ascii="宋体" w:hAnsi="宋体" w:cs="宋体"/>
          <w:color w:val="000000"/>
        </w:rPr>
      </w:pPr>
    </w:p>
    <w:p>
      <w:pPr>
        <w:rPr>
          <w:color w:val="000000"/>
        </w:rPr>
      </w:pPr>
    </w:p>
    <w:p>
      <w:pPr>
        <w:pStyle w:val="8"/>
        <w:ind w:firstLine="0"/>
        <w:jc w:val="center"/>
        <w:rPr>
          <w:rFonts w:ascii="黑体" w:hAnsi="宋体" w:eastAsia="黑体"/>
          <w:b/>
          <w:bCs/>
          <w:color w:val="000000"/>
          <w:sz w:val="24"/>
        </w:rPr>
      </w:pPr>
    </w:p>
    <w:p>
      <w:pPr>
        <w:pStyle w:val="8"/>
        <w:ind w:firstLine="0"/>
        <w:jc w:val="center"/>
        <w:rPr>
          <w:rFonts w:ascii="黑体" w:hAnsi="宋体" w:eastAsia="黑体"/>
          <w:b/>
          <w:bCs/>
          <w:color w:val="000000"/>
          <w:sz w:val="24"/>
        </w:rPr>
      </w:pPr>
      <w:r>
        <w:rPr>
          <w:rFonts w:hint="eastAsia" w:ascii="黑体" w:hAnsi="宋体" w:eastAsia="黑体"/>
          <w:b/>
          <w:bCs/>
          <w:color w:val="000000"/>
          <w:sz w:val="24"/>
        </w:rPr>
        <w:t>八、质量（完成时间、安全、环保）保障措施及方案（如有，格式自定）</w:t>
      </w:r>
    </w:p>
    <w:p>
      <w:pPr>
        <w:pStyle w:val="8"/>
        <w:ind w:firstLine="0"/>
        <w:rPr>
          <w:rFonts w:ascii="宋体" w:hAnsi="宋体" w:cs="宋体"/>
          <w:color w:val="000000"/>
        </w:rPr>
      </w:pPr>
      <w:r>
        <w:rPr>
          <w:rFonts w:hint="eastAsia" w:ascii="宋体" w:hAnsi="宋体" w:cs="宋体"/>
          <w:color w:val="000000"/>
        </w:rPr>
        <w:t>（特别提示：投标人须按本采购文件评标信息中“质量（完成时间、安全、环保）保障措施及方案”这一评审因素要求，提供证明资料）</w:t>
      </w:r>
    </w:p>
    <w:p>
      <w:pPr>
        <w:pStyle w:val="8"/>
        <w:ind w:firstLine="0"/>
        <w:rPr>
          <w:rFonts w:ascii="宋体" w:hAnsi="宋体" w:cs="宋体"/>
          <w:color w:val="000000"/>
          <w:sz w:val="24"/>
        </w:rPr>
      </w:pPr>
    </w:p>
    <w:p>
      <w:pPr>
        <w:pStyle w:val="8"/>
        <w:ind w:firstLine="0"/>
        <w:jc w:val="center"/>
        <w:rPr>
          <w:rFonts w:ascii="黑体" w:hAnsi="宋体" w:eastAsia="黑体"/>
          <w:b/>
          <w:bCs/>
          <w:color w:val="000000"/>
          <w:sz w:val="24"/>
        </w:rPr>
      </w:pPr>
    </w:p>
    <w:p>
      <w:pPr>
        <w:pStyle w:val="8"/>
        <w:ind w:firstLine="0"/>
        <w:jc w:val="center"/>
        <w:rPr>
          <w:rFonts w:ascii="黑体" w:hAnsi="宋体" w:eastAsia="黑体"/>
          <w:b/>
          <w:bCs/>
          <w:color w:val="000000"/>
          <w:sz w:val="24"/>
        </w:rPr>
      </w:pPr>
      <w:r>
        <w:rPr>
          <w:rFonts w:hint="eastAsia" w:ascii="黑体" w:hAnsi="宋体" w:eastAsia="黑体"/>
          <w:b/>
          <w:bCs/>
          <w:color w:val="000000"/>
          <w:sz w:val="24"/>
        </w:rPr>
        <w:t>九、项目服务承诺（如有，格式自定）</w:t>
      </w:r>
    </w:p>
    <w:p>
      <w:pPr>
        <w:pStyle w:val="8"/>
        <w:ind w:firstLine="0"/>
        <w:rPr>
          <w:rFonts w:ascii="宋体" w:hAnsi="宋体" w:cs="宋体"/>
          <w:color w:val="000000"/>
        </w:rPr>
      </w:pPr>
      <w:r>
        <w:rPr>
          <w:rFonts w:hint="eastAsia" w:ascii="宋体" w:hAnsi="宋体" w:cs="宋体"/>
          <w:color w:val="000000"/>
        </w:rPr>
        <w:t>（特别提示：投标人须按本采购文件评标信息中“项目服务承诺”这一评审因素要求，提供证明资料）</w:t>
      </w:r>
    </w:p>
    <w:p>
      <w:pPr>
        <w:pStyle w:val="8"/>
        <w:ind w:firstLine="0"/>
        <w:rPr>
          <w:rFonts w:ascii="宋体" w:hAnsi="宋体" w:cs="宋体"/>
          <w:color w:val="000000"/>
          <w:sz w:val="24"/>
        </w:rPr>
      </w:pPr>
    </w:p>
    <w:p>
      <w:pPr>
        <w:pStyle w:val="8"/>
        <w:ind w:firstLine="0"/>
        <w:rPr>
          <w:rFonts w:ascii="黑体" w:hAnsi="宋体" w:eastAsia="黑体"/>
          <w:color w:val="000000"/>
          <w:sz w:val="24"/>
        </w:rPr>
      </w:pPr>
    </w:p>
    <w:p>
      <w:pPr>
        <w:pStyle w:val="8"/>
        <w:ind w:firstLine="0"/>
        <w:jc w:val="center"/>
        <w:rPr>
          <w:rFonts w:ascii="黑体" w:hAnsi="宋体" w:eastAsia="黑体"/>
          <w:b/>
          <w:bCs/>
          <w:color w:val="000000"/>
          <w:sz w:val="24"/>
        </w:rPr>
      </w:pPr>
      <w:r>
        <w:rPr>
          <w:rFonts w:hint="eastAsia" w:ascii="黑体" w:hAnsi="宋体" w:eastAsia="黑体"/>
          <w:b/>
          <w:bCs/>
          <w:color w:val="000000"/>
          <w:sz w:val="24"/>
        </w:rPr>
        <w:t>十、违约承诺（如有，格式自定）</w:t>
      </w:r>
    </w:p>
    <w:p>
      <w:pPr>
        <w:pStyle w:val="8"/>
        <w:spacing w:beforeLines="25" w:afterLines="25"/>
        <w:ind w:firstLine="0"/>
        <w:rPr>
          <w:rFonts w:ascii="黑体" w:hAnsi="宋体" w:eastAsia="黑体"/>
          <w:b/>
          <w:bCs/>
          <w:color w:val="000000"/>
          <w:sz w:val="24"/>
        </w:rPr>
      </w:pPr>
      <w:r>
        <w:rPr>
          <w:rFonts w:hint="eastAsia" w:ascii="宋体" w:hAnsi="宋体" w:cs="宋体"/>
          <w:color w:val="000000"/>
          <w:sz w:val="24"/>
        </w:rPr>
        <w:t>（特别提示：投标人须按本采购文件评标信息中“违约承诺”这一评审因素要求，提供证明资料）</w:t>
      </w:r>
    </w:p>
    <w:p>
      <w:pPr>
        <w:pStyle w:val="8"/>
        <w:spacing w:beforeLines="25" w:afterLines="25"/>
        <w:ind w:firstLine="0"/>
        <w:jc w:val="center"/>
        <w:rPr>
          <w:rFonts w:ascii="黑体" w:hAnsi="宋体" w:eastAsia="黑体"/>
          <w:b/>
          <w:bCs/>
          <w:color w:val="000000"/>
          <w:sz w:val="24"/>
        </w:rPr>
      </w:pPr>
    </w:p>
    <w:p>
      <w:pPr>
        <w:pStyle w:val="8"/>
        <w:spacing w:beforeLines="25" w:afterLines="25"/>
        <w:ind w:firstLine="0"/>
        <w:jc w:val="center"/>
        <w:rPr>
          <w:rFonts w:ascii="黑体" w:hAnsi="宋体" w:eastAsia="黑体"/>
          <w:b/>
          <w:bCs/>
          <w:color w:val="000000"/>
          <w:sz w:val="24"/>
        </w:rPr>
      </w:pPr>
    </w:p>
    <w:p>
      <w:pPr>
        <w:pStyle w:val="8"/>
        <w:spacing w:beforeLines="25" w:afterLines="25"/>
        <w:ind w:firstLine="2409" w:firstLineChars="1000"/>
        <w:rPr>
          <w:rFonts w:ascii="黑体" w:hAnsi="宋体" w:eastAsia="黑体"/>
          <w:b/>
          <w:bCs/>
          <w:color w:val="000000"/>
          <w:sz w:val="24"/>
        </w:rPr>
      </w:pPr>
      <w:r>
        <w:rPr>
          <w:rFonts w:hint="eastAsia" w:ascii="黑体" w:hAnsi="宋体" w:eastAsia="黑体"/>
          <w:b/>
          <w:bCs/>
          <w:color w:val="000000"/>
          <w:sz w:val="24"/>
        </w:rPr>
        <w:t>十一、拟安排的项目负责人情况</w:t>
      </w:r>
    </w:p>
    <w:tbl>
      <w:tblPr>
        <w:tblStyle w:val="25"/>
        <w:tblW w:w="0" w:type="auto"/>
        <w:jc w:val="center"/>
        <w:tblLayout w:type="fixed"/>
        <w:tblCellMar>
          <w:top w:w="0" w:type="dxa"/>
          <w:left w:w="108" w:type="dxa"/>
          <w:bottom w:w="0" w:type="dxa"/>
          <w:right w:w="108" w:type="dxa"/>
        </w:tblCellMar>
      </w:tblPr>
      <w:tblGrid>
        <w:gridCol w:w="1228"/>
        <w:gridCol w:w="862"/>
        <w:gridCol w:w="1331"/>
        <w:gridCol w:w="959"/>
        <w:gridCol w:w="787"/>
        <w:gridCol w:w="1638"/>
        <w:gridCol w:w="2144"/>
      </w:tblGrid>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姓名</w:t>
            </w:r>
          </w:p>
        </w:tc>
        <w:tc>
          <w:tcPr>
            <w:tcW w:w="2193" w:type="dxa"/>
            <w:gridSpan w:val="2"/>
            <w:tcBorders>
              <w:top w:val="single" w:color="auto" w:sz="6" w:space="0"/>
              <w:left w:val="single" w:color="auto" w:sz="6" w:space="0"/>
              <w:bottom w:val="single" w:color="auto" w:sz="6" w:space="0"/>
              <w:right w:val="single" w:color="auto" w:sz="6" w:space="0"/>
            </w:tcBorders>
            <w:noWrap/>
          </w:tcPr>
          <w:p>
            <w:pPr>
              <w:spacing w:line="440" w:lineRule="exact"/>
              <w:rPr>
                <w:rFonts w:ascii="宋体" w:hAnsi="宋体" w:cs="宋体"/>
              </w:rPr>
            </w:pPr>
          </w:p>
        </w:tc>
        <w:tc>
          <w:tcPr>
            <w:tcW w:w="959"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年龄</w:t>
            </w:r>
          </w:p>
        </w:tc>
        <w:tc>
          <w:tcPr>
            <w:tcW w:w="787"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身份证号码</w:t>
            </w: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毕业学校</w:t>
            </w:r>
          </w:p>
        </w:tc>
        <w:tc>
          <w:tcPr>
            <w:tcW w:w="3939" w:type="dxa"/>
            <w:gridSpan w:val="4"/>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p>
        </w:tc>
        <w:tc>
          <w:tcPr>
            <w:tcW w:w="163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专     业</w:t>
            </w: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学位</w:t>
            </w:r>
          </w:p>
        </w:tc>
        <w:tc>
          <w:tcPr>
            <w:tcW w:w="2193" w:type="dxa"/>
            <w:gridSpan w:val="2"/>
            <w:tcBorders>
              <w:top w:val="single" w:color="auto" w:sz="6" w:space="0"/>
              <w:left w:val="single" w:color="auto" w:sz="6" w:space="0"/>
              <w:bottom w:val="single" w:color="auto" w:sz="6" w:space="0"/>
              <w:right w:val="single" w:color="auto" w:sz="6" w:space="0"/>
            </w:tcBorders>
            <w:noWrap/>
          </w:tcPr>
          <w:p>
            <w:pPr>
              <w:spacing w:line="440" w:lineRule="exact"/>
              <w:rPr>
                <w:rFonts w:ascii="宋体" w:hAnsi="宋体" w:cs="宋体"/>
              </w:rPr>
            </w:pPr>
          </w:p>
        </w:tc>
        <w:tc>
          <w:tcPr>
            <w:tcW w:w="959"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职称</w:t>
            </w:r>
          </w:p>
        </w:tc>
        <w:tc>
          <w:tcPr>
            <w:tcW w:w="787"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职     务</w:t>
            </w: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bCs/>
              </w:rPr>
            </w:pPr>
            <w:r>
              <w:rPr>
                <w:rFonts w:hint="eastAsia" w:ascii="宋体" w:hAnsi="宋体" w:cs="宋体"/>
                <w:b/>
                <w:bCs/>
              </w:rPr>
              <w:t>服务时间</w:t>
            </w: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noWrap/>
          </w:tcPr>
          <w:p>
            <w:pPr>
              <w:spacing w:line="440" w:lineRule="exact"/>
              <w:rPr>
                <w:rFonts w:ascii="宋体" w:hAnsi="宋体" w:cs="宋体"/>
                <w:b/>
                <w:bCs/>
              </w:rPr>
            </w:pPr>
            <w:r>
              <w:rPr>
                <w:rFonts w:hint="eastAsia" w:ascii="宋体" w:hAnsi="宋体" w:cs="宋体"/>
                <w:b/>
                <w:bCs/>
              </w:rPr>
              <w:t>注册证书及注册号</w:t>
            </w:r>
          </w:p>
        </w:tc>
        <w:tc>
          <w:tcPr>
            <w:tcW w:w="862"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序号</w:t>
            </w:r>
          </w:p>
        </w:tc>
        <w:tc>
          <w:tcPr>
            <w:tcW w:w="3077" w:type="dxa"/>
            <w:gridSpan w:val="3"/>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证书名</w:t>
            </w:r>
          </w:p>
        </w:tc>
        <w:tc>
          <w:tcPr>
            <w:tcW w:w="1638"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bCs/>
              </w:rPr>
            </w:pPr>
            <w:r>
              <w:rPr>
                <w:rFonts w:hint="eastAsia" w:ascii="宋体" w:hAnsi="宋体" w:cs="宋体"/>
                <w:b/>
                <w:bCs/>
              </w:rPr>
              <w:t>证书号</w:t>
            </w: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tcPr>
          <w:p>
            <w:pPr>
              <w:spacing w:line="440" w:lineRule="exact"/>
              <w:jc w:val="center"/>
              <w:rPr>
                <w:rFonts w:ascii="宋体" w:hAnsi="宋体" w:cs="宋体"/>
                <w:b/>
                <w:bCs/>
              </w:rPr>
            </w:pPr>
          </w:p>
        </w:tc>
        <w:tc>
          <w:tcPr>
            <w:tcW w:w="862"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r>
              <w:rPr>
                <w:rFonts w:hint="eastAsia" w:ascii="宋体" w:hAnsi="宋体" w:cs="宋体"/>
              </w:rPr>
              <w:t>1</w:t>
            </w:r>
          </w:p>
        </w:tc>
        <w:tc>
          <w:tcPr>
            <w:tcW w:w="3077" w:type="dxa"/>
            <w:gridSpan w:val="3"/>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tcPr>
          <w:p>
            <w:pPr>
              <w:spacing w:line="440" w:lineRule="exact"/>
              <w:jc w:val="center"/>
              <w:rPr>
                <w:rFonts w:ascii="宋体" w:hAnsi="宋体" w:cs="宋体"/>
                <w:b/>
                <w:bCs/>
              </w:rPr>
            </w:pPr>
          </w:p>
        </w:tc>
        <w:tc>
          <w:tcPr>
            <w:tcW w:w="862"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r>
              <w:rPr>
                <w:rFonts w:hint="eastAsia" w:ascii="宋体" w:hAnsi="宋体" w:cs="宋体"/>
              </w:rPr>
              <w:t>2</w:t>
            </w:r>
          </w:p>
        </w:tc>
        <w:tc>
          <w:tcPr>
            <w:tcW w:w="3077" w:type="dxa"/>
            <w:gridSpan w:val="3"/>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944" w:hRule="atLeast"/>
          <w:jc w:val="center"/>
        </w:trPr>
        <w:tc>
          <w:tcPr>
            <w:tcW w:w="1228"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bCs/>
              </w:rPr>
            </w:pPr>
            <w:r>
              <w:rPr>
                <w:rFonts w:hint="eastAsia" w:ascii="宋体" w:hAnsi="宋体" w:cs="宋体"/>
                <w:b/>
                <w:bCs/>
              </w:rPr>
              <w:t>主要经历</w:t>
            </w:r>
          </w:p>
        </w:tc>
        <w:tc>
          <w:tcPr>
            <w:tcW w:w="7721" w:type="dxa"/>
            <w:gridSpan w:val="6"/>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日期</w:t>
            </w:r>
          </w:p>
        </w:tc>
        <w:tc>
          <w:tcPr>
            <w:tcW w:w="3152" w:type="dxa"/>
            <w:gridSpan w:val="3"/>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担任何职务</w:t>
            </w: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b/>
                <w:bCs/>
              </w:rPr>
            </w:pPr>
            <w:r>
              <w:rPr>
                <w:rFonts w:hint="eastAsia" w:ascii="宋体" w:hAnsi="宋体" w:cs="宋体"/>
                <w:b/>
                <w:bCs/>
              </w:rPr>
              <w:t>备注</w:t>
            </w: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3152" w:type="dxa"/>
            <w:gridSpan w:val="3"/>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2425" w:type="dxa"/>
            <w:gridSpan w:val="2"/>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3152" w:type="dxa"/>
            <w:gridSpan w:val="3"/>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2425" w:type="dxa"/>
            <w:gridSpan w:val="2"/>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noWrap/>
          </w:tcPr>
          <w:p>
            <w:pPr>
              <w:spacing w:line="440" w:lineRule="exact"/>
              <w:jc w:val="center"/>
              <w:rPr>
                <w:rFonts w:ascii="宋体" w:hAnsi="宋体" w:cs="宋体"/>
              </w:rPr>
            </w:pPr>
          </w:p>
        </w:tc>
      </w:tr>
    </w:tbl>
    <w:p>
      <w:pPr>
        <w:autoSpaceDE w:val="0"/>
        <w:autoSpaceDN w:val="0"/>
        <w:adjustRightInd w:val="0"/>
        <w:snapToGrid w:val="0"/>
        <w:spacing w:line="240" w:lineRule="atLeast"/>
        <w:rPr>
          <w:rFonts w:ascii="宋体" w:hAnsi="宋体" w:cs="宋体"/>
          <w:b/>
          <w:spacing w:val="10"/>
        </w:rPr>
      </w:pPr>
    </w:p>
    <w:p>
      <w:pPr>
        <w:pStyle w:val="8"/>
        <w:spacing w:beforeLines="25" w:afterLines="25"/>
        <w:ind w:firstLine="0"/>
        <w:rPr>
          <w:rFonts w:ascii="宋体" w:hAnsi="宋体" w:cs="宋体"/>
          <w:color w:val="000000"/>
        </w:rPr>
      </w:pPr>
      <w:r>
        <w:rPr>
          <w:rFonts w:hint="eastAsia" w:ascii="宋体" w:hAnsi="宋体" w:cs="宋体"/>
          <w:color w:val="000000"/>
        </w:rPr>
        <w:t>特别提示：</w:t>
      </w:r>
    </w:p>
    <w:p>
      <w:pPr>
        <w:pStyle w:val="8"/>
        <w:spacing w:beforeLines="25" w:afterLines="25"/>
        <w:ind w:firstLineChars="200"/>
        <w:rPr>
          <w:rFonts w:ascii="宋体" w:hAnsi="宋体" w:cs="宋体"/>
          <w:b/>
          <w:bCs/>
        </w:rPr>
      </w:pPr>
      <w:r>
        <w:rPr>
          <w:rFonts w:hint="eastAsia" w:ascii="宋体" w:hAnsi="宋体" w:cs="宋体"/>
          <w:color w:val="000000"/>
        </w:rPr>
        <w:t>投标人须按本采购文件评标信息中“拟安排的项目负责人情况（仅限一人）”这一评审因素要求，提供相关证明资料如：</w:t>
      </w:r>
      <w:r>
        <w:rPr>
          <w:rFonts w:hint="eastAsia" w:ascii="宋体" w:hAnsi="宋体" w:cs="宋体"/>
          <w:b/>
          <w:spacing w:val="10"/>
        </w:rPr>
        <w:t>身份证复印件、职称证书复印件、</w:t>
      </w:r>
      <w:r>
        <w:rPr>
          <w:rFonts w:hint="eastAsia" w:ascii="宋体" w:hAnsi="宋体" w:cs="宋体"/>
          <w:b/>
          <w:bCs/>
        </w:rPr>
        <w:t>国家规定或行业相关上岗、执业资格证书复印件、本单位社保缴纳证明、</w:t>
      </w:r>
      <w:r>
        <w:rPr>
          <w:rFonts w:hint="eastAsia" w:ascii="宋体" w:hAnsi="宋体" w:cs="宋体"/>
          <w:b/>
          <w:spacing w:val="10"/>
        </w:rPr>
        <w:t>相关业绩证明材料复印件等</w:t>
      </w:r>
      <w:r>
        <w:rPr>
          <w:rFonts w:hint="eastAsia" w:ascii="宋体" w:hAnsi="宋体" w:cs="宋体"/>
          <w:b/>
          <w:bCs/>
        </w:rPr>
        <w:t>。</w:t>
      </w:r>
    </w:p>
    <w:p>
      <w:pPr>
        <w:pStyle w:val="2"/>
      </w:pPr>
    </w:p>
    <w:p>
      <w:pPr>
        <w:autoSpaceDE w:val="0"/>
        <w:autoSpaceDN w:val="0"/>
        <w:adjustRightInd w:val="0"/>
        <w:snapToGrid w:val="0"/>
        <w:spacing w:line="240" w:lineRule="atLeast"/>
        <w:rPr>
          <w:rFonts w:ascii="宋体" w:hAnsi="宋体" w:cs="宋体"/>
          <w:color w:val="0000FF"/>
        </w:rPr>
      </w:pPr>
      <w:r>
        <w:rPr>
          <w:rFonts w:hint="eastAsia" w:ascii="宋体" w:hAnsi="宋体" w:cs="宋体"/>
          <w:color w:val="0000FF"/>
        </w:rPr>
        <w:t>特别要求：</w:t>
      </w:r>
    </w:p>
    <w:p>
      <w:pPr>
        <w:autoSpaceDE w:val="0"/>
        <w:autoSpaceDN w:val="0"/>
        <w:adjustRightInd w:val="0"/>
        <w:snapToGrid w:val="0"/>
        <w:spacing w:line="240" w:lineRule="atLeast"/>
        <w:ind w:firstLine="420" w:firstLineChars="200"/>
        <w:rPr>
          <w:rFonts w:ascii="宋体" w:hAnsi="宋体" w:cs="宋体"/>
          <w:color w:val="0000FF"/>
          <w:sz w:val="24"/>
        </w:rPr>
      </w:pPr>
      <w:r>
        <w:rPr>
          <w:rFonts w:hint="eastAsia" w:ascii="宋体" w:hAnsi="宋体" w:cs="宋体"/>
          <w:color w:val="0000FF"/>
          <w:kern w:val="1"/>
        </w:rPr>
        <w:t>拟投入本项目的工作人员须满足本项目的工作要求，在合同履行过程中，中标人须根据本项目的实际需求或采购人的进度要求，对人员进行合理的增加，费用均包含在投标报价中。</w:t>
      </w:r>
    </w:p>
    <w:p>
      <w:pPr>
        <w:pStyle w:val="8"/>
        <w:spacing w:beforeLines="25" w:afterLines="25"/>
        <w:ind w:firstLine="0"/>
        <w:rPr>
          <w:rFonts w:ascii="黑体" w:hAnsi="宋体" w:eastAsia="黑体"/>
          <w:color w:val="000000"/>
          <w:sz w:val="24"/>
        </w:rPr>
      </w:pPr>
    </w:p>
    <w:p>
      <w:pPr>
        <w:pStyle w:val="8"/>
        <w:spacing w:beforeLines="25" w:afterLines="25"/>
        <w:ind w:firstLine="482" w:firstLineChars="200"/>
        <w:rPr>
          <w:rFonts w:ascii="黑体" w:hAnsi="宋体" w:eastAsia="黑体"/>
          <w:b/>
          <w:bCs/>
          <w:color w:val="000000"/>
          <w:sz w:val="24"/>
        </w:rPr>
      </w:pPr>
      <w:r>
        <w:rPr>
          <w:rFonts w:hint="eastAsia" w:ascii="黑体" w:hAnsi="宋体" w:eastAsia="黑体"/>
          <w:b/>
          <w:bCs/>
          <w:color w:val="000000"/>
          <w:sz w:val="24"/>
        </w:rPr>
        <w:t>十二、拟安排的项目主要团队成员（主要技术人员）情况（项目负责人除外）</w:t>
      </w:r>
    </w:p>
    <w:tbl>
      <w:tblPr>
        <w:tblStyle w:val="25"/>
        <w:tblpPr w:leftFromText="180" w:rightFromText="180" w:vertAnchor="text" w:horzAnchor="page" w:tblpXSpec="center" w:tblpY="21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57"/>
        <w:gridCol w:w="636"/>
        <w:gridCol w:w="698"/>
        <w:gridCol w:w="1686"/>
        <w:gridCol w:w="1476"/>
        <w:gridCol w:w="189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82" w:type="pct"/>
            <w:noWrap/>
            <w:vAlign w:val="center"/>
          </w:tcPr>
          <w:p>
            <w:pPr>
              <w:spacing w:line="440" w:lineRule="exact"/>
              <w:jc w:val="center"/>
              <w:rPr>
                <w:rFonts w:ascii="宋体" w:hAnsi="宋体" w:cs="宋体"/>
                <w:szCs w:val="21"/>
              </w:rPr>
            </w:pPr>
            <w:r>
              <w:rPr>
                <w:rFonts w:hint="eastAsia" w:ascii="宋体" w:hAnsi="宋体" w:cs="宋体"/>
                <w:szCs w:val="21"/>
              </w:rPr>
              <w:t>序号</w:t>
            </w:r>
          </w:p>
        </w:tc>
        <w:tc>
          <w:tcPr>
            <w:tcW w:w="588" w:type="pct"/>
            <w:noWrap/>
            <w:vAlign w:val="center"/>
          </w:tcPr>
          <w:p>
            <w:pPr>
              <w:spacing w:line="440" w:lineRule="exact"/>
              <w:jc w:val="center"/>
              <w:rPr>
                <w:rFonts w:ascii="宋体" w:hAnsi="宋体" w:cs="宋体"/>
                <w:szCs w:val="21"/>
              </w:rPr>
            </w:pPr>
            <w:r>
              <w:rPr>
                <w:rFonts w:hint="eastAsia" w:ascii="宋体" w:hAnsi="宋体" w:cs="宋体"/>
                <w:szCs w:val="21"/>
              </w:rPr>
              <w:t>姓名</w:t>
            </w:r>
          </w:p>
        </w:tc>
        <w:tc>
          <w:tcPr>
            <w:tcW w:w="556" w:type="pct"/>
            <w:noWrap/>
            <w:vAlign w:val="center"/>
          </w:tcPr>
          <w:p>
            <w:pPr>
              <w:spacing w:line="440" w:lineRule="exact"/>
              <w:jc w:val="center"/>
              <w:rPr>
                <w:rFonts w:ascii="宋体" w:hAnsi="宋体" w:cs="宋体"/>
                <w:szCs w:val="21"/>
              </w:rPr>
            </w:pPr>
            <w:r>
              <w:rPr>
                <w:rFonts w:hint="eastAsia" w:ascii="宋体" w:hAnsi="宋体" w:cs="宋体"/>
                <w:szCs w:val="21"/>
              </w:rPr>
              <w:t>性别</w:t>
            </w:r>
          </w:p>
        </w:tc>
        <w:tc>
          <w:tcPr>
            <w:tcW w:w="631" w:type="pct"/>
            <w:noWrap/>
            <w:vAlign w:val="center"/>
          </w:tcPr>
          <w:p>
            <w:pPr>
              <w:spacing w:line="440" w:lineRule="exact"/>
              <w:jc w:val="center"/>
              <w:rPr>
                <w:rFonts w:ascii="宋体" w:hAnsi="宋体" w:cs="宋体"/>
                <w:szCs w:val="21"/>
              </w:rPr>
            </w:pPr>
            <w:r>
              <w:rPr>
                <w:rFonts w:hint="eastAsia" w:ascii="宋体" w:hAnsi="宋体" w:cs="宋体"/>
                <w:szCs w:val="21"/>
              </w:rPr>
              <w:t>职称</w:t>
            </w:r>
          </w:p>
        </w:tc>
        <w:tc>
          <w:tcPr>
            <w:tcW w:w="682" w:type="pct"/>
            <w:noWrap/>
            <w:vAlign w:val="center"/>
          </w:tcPr>
          <w:p>
            <w:pPr>
              <w:spacing w:line="440" w:lineRule="exact"/>
              <w:jc w:val="center"/>
              <w:rPr>
                <w:rFonts w:ascii="宋体" w:hAnsi="宋体" w:cs="宋体"/>
                <w:szCs w:val="21"/>
              </w:rPr>
            </w:pPr>
            <w:r>
              <w:rPr>
                <w:rFonts w:hint="eastAsia" w:ascii="宋体" w:hAnsi="宋体" w:cs="宋体"/>
                <w:szCs w:val="21"/>
              </w:rPr>
              <w:t>目前从事的岗位</w:t>
            </w:r>
          </w:p>
        </w:tc>
        <w:tc>
          <w:tcPr>
            <w:tcW w:w="653" w:type="pct"/>
            <w:noWrap/>
            <w:vAlign w:val="center"/>
          </w:tcPr>
          <w:p>
            <w:pPr>
              <w:spacing w:line="440" w:lineRule="exact"/>
              <w:jc w:val="center"/>
              <w:rPr>
                <w:rFonts w:ascii="宋体" w:hAnsi="宋体" w:cs="宋体"/>
                <w:szCs w:val="21"/>
              </w:rPr>
            </w:pPr>
            <w:r>
              <w:rPr>
                <w:rFonts w:hint="eastAsia" w:ascii="宋体" w:hAnsi="宋体" w:cs="宋体"/>
                <w:szCs w:val="21"/>
              </w:rPr>
              <w:t>从业资格证书</w:t>
            </w:r>
          </w:p>
        </w:tc>
        <w:tc>
          <w:tcPr>
            <w:tcW w:w="733" w:type="pct"/>
            <w:noWrap/>
            <w:vAlign w:val="center"/>
          </w:tcPr>
          <w:p>
            <w:pPr>
              <w:spacing w:line="440" w:lineRule="exact"/>
              <w:jc w:val="center"/>
              <w:rPr>
                <w:rFonts w:ascii="宋体" w:hAnsi="宋体" w:cs="宋体"/>
                <w:szCs w:val="21"/>
              </w:rPr>
            </w:pPr>
            <w:r>
              <w:rPr>
                <w:rFonts w:hint="eastAsia" w:ascii="宋体" w:hAnsi="宋体" w:cs="宋体"/>
                <w:szCs w:val="21"/>
              </w:rPr>
              <w:t>从事该岗位的时间</w:t>
            </w:r>
          </w:p>
        </w:tc>
        <w:tc>
          <w:tcPr>
            <w:tcW w:w="873" w:type="pct"/>
            <w:noWrap/>
            <w:vAlign w:val="center"/>
          </w:tcPr>
          <w:p>
            <w:pPr>
              <w:spacing w:line="440" w:lineRule="exact"/>
              <w:jc w:val="center"/>
              <w:rPr>
                <w:rFonts w:ascii="宋体" w:hAnsi="宋体" w:cs="宋体"/>
                <w:szCs w:val="21"/>
              </w:rPr>
            </w:pPr>
            <w:r>
              <w:rPr>
                <w:rFonts w:hint="eastAsia" w:ascii="宋体" w:hAnsi="宋体" w:cs="宋体"/>
                <w:szCs w:val="21"/>
              </w:rPr>
              <w:t>项目业绩案列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82" w:type="pct"/>
            <w:noWrap/>
          </w:tcPr>
          <w:p>
            <w:pPr>
              <w:spacing w:line="440" w:lineRule="exact"/>
              <w:jc w:val="center"/>
              <w:rPr>
                <w:rFonts w:ascii="宋体" w:hAnsi="宋体" w:cs="宋体"/>
                <w:szCs w:val="21"/>
              </w:rPr>
            </w:pPr>
            <w:r>
              <w:rPr>
                <w:rFonts w:hint="eastAsia" w:ascii="宋体" w:hAnsi="宋体" w:cs="宋体"/>
                <w:szCs w:val="21"/>
              </w:rPr>
              <w:t>1</w:t>
            </w:r>
          </w:p>
        </w:tc>
        <w:tc>
          <w:tcPr>
            <w:tcW w:w="588" w:type="pct"/>
            <w:noWrap/>
          </w:tcPr>
          <w:p>
            <w:pPr>
              <w:spacing w:line="440" w:lineRule="exact"/>
              <w:jc w:val="center"/>
              <w:rPr>
                <w:rFonts w:ascii="宋体" w:hAnsi="宋体" w:cs="宋体"/>
                <w:szCs w:val="21"/>
              </w:rPr>
            </w:pPr>
          </w:p>
        </w:tc>
        <w:tc>
          <w:tcPr>
            <w:tcW w:w="556" w:type="pct"/>
            <w:noWrap/>
          </w:tcPr>
          <w:p>
            <w:pPr>
              <w:spacing w:line="440" w:lineRule="exact"/>
              <w:jc w:val="center"/>
              <w:rPr>
                <w:rFonts w:ascii="宋体" w:hAnsi="宋体" w:cs="宋体"/>
                <w:szCs w:val="21"/>
              </w:rPr>
            </w:pPr>
          </w:p>
        </w:tc>
        <w:tc>
          <w:tcPr>
            <w:tcW w:w="631" w:type="pct"/>
            <w:noWrap/>
          </w:tcPr>
          <w:p>
            <w:pPr>
              <w:spacing w:line="440" w:lineRule="exact"/>
              <w:jc w:val="center"/>
              <w:rPr>
                <w:rFonts w:ascii="宋体" w:hAnsi="宋体" w:cs="宋体"/>
                <w:szCs w:val="21"/>
              </w:rPr>
            </w:pPr>
          </w:p>
        </w:tc>
        <w:tc>
          <w:tcPr>
            <w:tcW w:w="682" w:type="pct"/>
            <w:noWrap/>
          </w:tcPr>
          <w:p>
            <w:pPr>
              <w:spacing w:line="440" w:lineRule="exact"/>
              <w:jc w:val="center"/>
              <w:rPr>
                <w:rFonts w:ascii="宋体" w:hAnsi="宋体" w:cs="宋体"/>
                <w:szCs w:val="21"/>
              </w:rPr>
            </w:pPr>
          </w:p>
        </w:tc>
        <w:tc>
          <w:tcPr>
            <w:tcW w:w="653" w:type="pct"/>
            <w:noWrap/>
          </w:tcPr>
          <w:p>
            <w:pPr>
              <w:spacing w:line="440" w:lineRule="exact"/>
              <w:jc w:val="center"/>
              <w:rPr>
                <w:rFonts w:ascii="宋体" w:hAnsi="宋体" w:cs="宋体"/>
                <w:szCs w:val="21"/>
              </w:rPr>
            </w:pPr>
          </w:p>
        </w:tc>
        <w:tc>
          <w:tcPr>
            <w:tcW w:w="733" w:type="pct"/>
            <w:noWrap/>
          </w:tcPr>
          <w:p>
            <w:pPr>
              <w:spacing w:line="440" w:lineRule="exact"/>
              <w:jc w:val="center"/>
              <w:rPr>
                <w:rFonts w:ascii="宋体" w:hAnsi="宋体" w:cs="宋体"/>
                <w:szCs w:val="21"/>
              </w:rPr>
            </w:pPr>
          </w:p>
        </w:tc>
        <w:tc>
          <w:tcPr>
            <w:tcW w:w="873" w:type="pct"/>
            <w:noWra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2" w:type="pct"/>
            <w:noWrap/>
          </w:tcPr>
          <w:p>
            <w:pPr>
              <w:spacing w:line="440" w:lineRule="exact"/>
              <w:jc w:val="center"/>
              <w:rPr>
                <w:rFonts w:ascii="宋体" w:hAnsi="宋体" w:cs="宋体"/>
                <w:szCs w:val="21"/>
              </w:rPr>
            </w:pPr>
            <w:r>
              <w:rPr>
                <w:rFonts w:hint="eastAsia" w:ascii="宋体" w:hAnsi="宋体" w:cs="宋体"/>
                <w:szCs w:val="21"/>
              </w:rPr>
              <w:t>2</w:t>
            </w:r>
          </w:p>
        </w:tc>
        <w:tc>
          <w:tcPr>
            <w:tcW w:w="588" w:type="pct"/>
            <w:noWrap/>
          </w:tcPr>
          <w:p>
            <w:pPr>
              <w:spacing w:line="440" w:lineRule="exact"/>
              <w:jc w:val="center"/>
              <w:rPr>
                <w:rFonts w:ascii="宋体" w:hAnsi="宋体" w:cs="宋体"/>
                <w:szCs w:val="21"/>
              </w:rPr>
            </w:pPr>
          </w:p>
        </w:tc>
        <w:tc>
          <w:tcPr>
            <w:tcW w:w="556" w:type="pct"/>
            <w:noWrap/>
          </w:tcPr>
          <w:p>
            <w:pPr>
              <w:spacing w:line="440" w:lineRule="exact"/>
              <w:jc w:val="center"/>
              <w:rPr>
                <w:rFonts w:ascii="宋体" w:hAnsi="宋体" w:cs="宋体"/>
                <w:szCs w:val="21"/>
              </w:rPr>
            </w:pPr>
          </w:p>
        </w:tc>
        <w:tc>
          <w:tcPr>
            <w:tcW w:w="631" w:type="pct"/>
            <w:noWrap/>
          </w:tcPr>
          <w:p>
            <w:pPr>
              <w:spacing w:line="440" w:lineRule="exact"/>
              <w:jc w:val="center"/>
              <w:rPr>
                <w:rFonts w:ascii="宋体" w:hAnsi="宋体" w:cs="宋体"/>
                <w:szCs w:val="21"/>
              </w:rPr>
            </w:pPr>
          </w:p>
        </w:tc>
        <w:tc>
          <w:tcPr>
            <w:tcW w:w="682" w:type="pct"/>
            <w:noWrap/>
          </w:tcPr>
          <w:p>
            <w:pPr>
              <w:spacing w:line="440" w:lineRule="exact"/>
              <w:jc w:val="center"/>
              <w:rPr>
                <w:rFonts w:ascii="宋体" w:hAnsi="宋体" w:cs="宋体"/>
                <w:szCs w:val="21"/>
              </w:rPr>
            </w:pPr>
          </w:p>
        </w:tc>
        <w:tc>
          <w:tcPr>
            <w:tcW w:w="653" w:type="pct"/>
            <w:noWrap/>
          </w:tcPr>
          <w:p>
            <w:pPr>
              <w:spacing w:line="440" w:lineRule="exact"/>
              <w:jc w:val="center"/>
              <w:rPr>
                <w:rFonts w:ascii="宋体" w:hAnsi="宋体" w:cs="宋体"/>
                <w:szCs w:val="21"/>
              </w:rPr>
            </w:pPr>
          </w:p>
        </w:tc>
        <w:tc>
          <w:tcPr>
            <w:tcW w:w="733" w:type="pct"/>
            <w:noWrap/>
          </w:tcPr>
          <w:p>
            <w:pPr>
              <w:spacing w:line="440" w:lineRule="exact"/>
              <w:jc w:val="center"/>
              <w:rPr>
                <w:rFonts w:ascii="宋体" w:hAnsi="宋体" w:cs="宋体"/>
                <w:szCs w:val="21"/>
              </w:rPr>
            </w:pPr>
          </w:p>
        </w:tc>
        <w:tc>
          <w:tcPr>
            <w:tcW w:w="873" w:type="pct"/>
            <w:noWra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82" w:type="pct"/>
            <w:noWrap/>
          </w:tcPr>
          <w:p>
            <w:pPr>
              <w:spacing w:line="440" w:lineRule="exact"/>
              <w:jc w:val="center"/>
              <w:rPr>
                <w:rFonts w:ascii="宋体" w:hAnsi="宋体" w:cs="宋体"/>
                <w:szCs w:val="21"/>
              </w:rPr>
            </w:pPr>
            <w:r>
              <w:rPr>
                <w:rFonts w:hint="eastAsia" w:ascii="宋体" w:hAnsi="宋体" w:cs="宋体"/>
                <w:szCs w:val="21"/>
              </w:rPr>
              <w:t>3</w:t>
            </w:r>
          </w:p>
        </w:tc>
        <w:tc>
          <w:tcPr>
            <w:tcW w:w="588" w:type="pct"/>
            <w:noWrap/>
          </w:tcPr>
          <w:p>
            <w:pPr>
              <w:spacing w:line="440" w:lineRule="exact"/>
              <w:jc w:val="center"/>
              <w:rPr>
                <w:rFonts w:ascii="宋体" w:hAnsi="宋体" w:cs="宋体"/>
                <w:szCs w:val="21"/>
              </w:rPr>
            </w:pPr>
          </w:p>
        </w:tc>
        <w:tc>
          <w:tcPr>
            <w:tcW w:w="556" w:type="pct"/>
            <w:noWrap/>
          </w:tcPr>
          <w:p>
            <w:pPr>
              <w:spacing w:line="440" w:lineRule="exact"/>
              <w:jc w:val="center"/>
              <w:rPr>
                <w:rFonts w:ascii="宋体" w:hAnsi="宋体" w:cs="宋体"/>
                <w:szCs w:val="21"/>
              </w:rPr>
            </w:pPr>
          </w:p>
        </w:tc>
        <w:tc>
          <w:tcPr>
            <w:tcW w:w="631" w:type="pct"/>
            <w:noWrap/>
          </w:tcPr>
          <w:p>
            <w:pPr>
              <w:spacing w:line="440" w:lineRule="exact"/>
              <w:jc w:val="center"/>
              <w:rPr>
                <w:rFonts w:ascii="宋体" w:hAnsi="宋体" w:cs="宋体"/>
                <w:szCs w:val="21"/>
              </w:rPr>
            </w:pPr>
          </w:p>
        </w:tc>
        <w:tc>
          <w:tcPr>
            <w:tcW w:w="682" w:type="pct"/>
            <w:noWrap/>
          </w:tcPr>
          <w:p>
            <w:pPr>
              <w:spacing w:line="440" w:lineRule="exact"/>
              <w:jc w:val="center"/>
              <w:rPr>
                <w:rFonts w:ascii="宋体" w:hAnsi="宋体" w:cs="宋体"/>
                <w:szCs w:val="21"/>
              </w:rPr>
            </w:pPr>
          </w:p>
        </w:tc>
        <w:tc>
          <w:tcPr>
            <w:tcW w:w="653" w:type="pct"/>
            <w:noWrap/>
          </w:tcPr>
          <w:p>
            <w:pPr>
              <w:spacing w:line="440" w:lineRule="exact"/>
              <w:jc w:val="center"/>
              <w:rPr>
                <w:rFonts w:ascii="宋体" w:hAnsi="宋体" w:cs="宋体"/>
                <w:szCs w:val="21"/>
              </w:rPr>
            </w:pPr>
          </w:p>
        </w:tc>
        <w:tc>
          <w:tcPr>
            <w:tcW w:w="733" w:type="pct"/>
            <w:noWrap/>
          </w:tcPr>
          <w:p>
            <w:pPr>
              <w:spacing w:line="440" w:lineRule="exact"/>
              <w:jc w:val="center"/>
              <w:rPr>
                <w:rFonts w:ascii="宋体" w:hAnsi="宋体" w:cs="宋体"/>
                <w:szCs w:val="21"/>
              </w:rPr>
            </w:pPr>
          </w:p>
        </w:tc>
        <w:tc>
          <w:tcPr>
            <w:tcW w:w="873" w:type="pct"/>
            <w:noWrap/>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82" w:type="pct"/>
            <w:noWrap/>
          </w:tcPr>
          <w:p>
            <w:pPr>
              <w:spacing w:line="440" w:lineRule="exact"/>
              <w:jc w:val="center"/>
              <w:rPr>
                <w:rFonts w:ascii="宋体" w:hAnsi="宋体" w:cs="宋体"/>
                <w:szCs w:val="21"/>
              </w:rPr>
            </w:pPr>
            <w:r>
              <w:rPr>
                <w:rFonts w:hint="eastAsia" w:ascii="宋体" w:hAnsi="宋体" w:cs="宋体"/>
                <w:szCs w:val="21"/>
              </w:rPr>
              <w:t>…</w:t>
            </w:r>
          </w:p>
        </w:tc>
        <w:tc>
          <w:tcPr>
            <w:tcW w:w="588" w:type="pct"/>
            <w:noWrap/>
          </w:tcPr>
          <w:p>
            <w:pPr>
              <w:spacing w:line="440" w:lineRule="exact"/>
              <w:jc w:val="center"/>
              <w:rPr>
                <w:rFonts w:ascii="宋体" w:hAnsi="宋体" w:cs="宋体"/>
                <w:szCs w:val="21"/>
              </w:rPr>
            </w:pPr>
          </w:p>
        </w:tc>
        <w:tc>
          <w:tcPr>
            <w:tcW w:w="556" w:type="pct"/>
            <w:noWrap/>
          </w:tcPr>
          <w:p>
            <w:pPr>
              <w:spacing w:line="440" w:lineRule="exact"/>
              <w:jc w:val="center"/>
              <w:rPr>
                <w:rFonts w:ascii="宋体" w:hAnsi="宋体" w:cs="宋体"/>
                <w:szCs w:val="21"/>
              </w:rPr>
            </w:pPr>
          </w:p>
        </w:tc>
        <w:tc>
          <w:tcPr>
            <w:tcW w:w="631" w:type="pct"/>
            <w:noWrap/>
          </w:tcPr>
          <w:p>
            <w:pPr>
              <w:spacing w:line="440" w:lineRule="exact"/>
              <w:jc w:val="center"/>
              <w:rPr>
                <w:rFonts w:ascii="宋体" w:hAnsi="宋体" w:cs="宋体"/>
                <w:szCs w:val="21"/>
              </w:rPr>
            </w:pPr>
          </w:p>
        </w:tc>
        <w:tc>
          <w:tcPr>
            <w:tcW w:w="682" w:type="pct"/>
            <w:noWrap/>
          </w:tcPr>
          <w:p>
            <w:pPr>
              <w:spacing w:line="440" w:lineRule="exact"/>
              <w:jc w:val="center"/>
              <w:rPr>
                <w:rFonts w:ascii="宋体" w:hAnsi="宋体" w:cs="宋体"/>
                <w:szCs w:val="21"/>
              </w:rPr>
            </w:pPr>
          </w:p>
        </w:tc>
        <w:tc>
          <w:tcPr>
            <w:tcW w:w="653" w:type="pct"/>
            <w:noWrap/>
          </w:tcPr>
          <w:p>
            <w:pPr>
              <w:spacing w:line="440" w:lineRule="exact"/>
              <w:jc w:val="center"/>
              <w:rPr>
                <w:rFonts w:ascii="宋体" w:hAnsi="宋体" w:cs="宋体"/>
                <w:szCs w:val="21"/>
              </w:rPr>
            </w:pPr>
          </w:p>
        </w:tc>
        <w:tc>
          <w:tcPr>
            <w:tcW w:w="733" w:type="pct"/>
            <w:noWrap/>
          </w:tcPr>
          <w:p>
            <w:pPr>
              <w:spacing w:line="440" w:lineRule="exact"/>
              <w:jc w:val="center"/>
              <w:rPr>
                <w:rFonts w:ascii="宋体" w:hAnsi="宋体" w:cs="宋体"/>
                <w:szCs w:val="21"/>
              </w:rPr>
            </w:pPr>
          </w:p>
        </w:tc>
        <w:tc>
          <w:tcPr>
            <w:tcW w:w="873" w:type="pct"/>
            <w:noWrap/>
          </w:tcPr>
          <w:p>
            <w:pPr>
              <w:spacing w:line="440" w:lineRule="exact"/>
              <w:jc w:val="center"/>
              <w:rPr>
                <w:rFonts w:ascii="宋体" w:hAnsi="宋体" w:cs="宋体"/>
                <w:szCs w:val="21"/>
              </w:rPr>
            </w:pPr>
          </w:p>
        </w:tc>
      </w:tr>
    </w:tbl>
    <w:p>
      <w:pPr>
        <w:pStyle w:val="8"/>
        <w:spacing w:beforeLines="25" w:afterLines="25"/>
        <w:ind w:firstLine="0"/>
        <w:rPr>
          <w:rFonts w:ascii="宋体" w:hAnsi="宋体" w:cs="宋体"/>
          <w:color w:val="000000"/>
        </w:rPr>
      </w:pPr>
    </w:p>
    <w:p>
      <w:pPr>
        <w:pStyle w:val="8"/>
        <w:spacing w:beforeLines="25" w:afterLines="25"/>
        <w:ind w:firstLine="0"/>
        <w:rPr>
          <w:rFonts w:ascii="宋体" w:hAnsi="宋体" w:cs="宋体"/>
          <w:color w:val="000000"/>
        </w:rPr>
      </w:pPr>
    </w:p>
    <w:p>
      <w:pPr>
        <w:pStyle w:val="8"/>
        <w:spacing w:beforeLines="25" w:afterLines="25"/>
        <w:ind w:firstLine="0"/>
        <w:rPr>
          <w:rFonts w:ascii="宋体" w:hAnsi="宋体" w:cs="宋体"/>
          <w:color w:val="000000"/>
        </w:rPr>
      </w:pPr>
    </w:p>
    <w:p>
      <w:pPr>
        <w:pStyle w:val="8"/>
        <w:spacing w:beforeLines="25" w:afterLines="25"/>
        <w:ind w:firstLine="0"/>
        <w:rPr>
          <w:rFonts w:ascii="宋体" w:hAnsi="宋体" w:cs="宋体"/>
          <w:color w:val="000000"/>
        </w:rPr>
      </w:pPr>
      <w:r>
        <w:rPr>
          <w:rFonts w:hint="eastAsia" w:ascii="宋体" w:hAnsi="宋体" w:cs="宋体"/>
          <w:color w:val="000000"/>
        </w:rPr>
        <w:t>特别提示：</w:t>
      </w:r>
    </w:p>
    <w:p>
      <w:pPr>
        <w:pStyle w:val="8"/>
        <w:spacing w:beforeLines="25" w:afterLines="25"/>
        <w:ind w:firstLineChars="200"/>
        <w:rPr>
          <w:rFonts w:ascii="宋体" w:hAnsi="宋体" w:cs="宋体"/>
          <w:b/>
          <w:bCs/>
        </w:rPr>
      </w:pPr>
      <w:r>
        <w:rPr>
          <w:rFonts w:hint="eastAsia" w:ascii="宋体" w:hAnsi="宋体" w:cs="宋体"/>
          <w:color w:val="000000"/>
        </w:rPr>
        <w:t>投标人须按本采购文件评标信息中“拟安排的项目主要团队成员（主要技术人员）情况（项目负责人除外）”这一评审因素要求，提供证明相关资料如：</w:t>
      </w:r>
      <w:r>
        <w:rPr>
          <w:rFonts w:hint="eastAsia" w:ascii="宋体" w:hAnsi="宋体" w:cs="宋体"/>
          <w:b/>
          <w:spacing w:val="10"/>
        </w:rPr>
        <w:t>身份证复印件、职称证书复印件、</w:t>
      </w:r>
      <w:r>
        <w:rPr>
          <w:rFonts w:hint="eastAsia" w:ascii="宋体" w:hAnsi="宋体" w:cs="宋体"/>
          <w:b/>
          <w:bCs/>
        </w:rPr>
        <w:t>国家规定或行业相关上岗、执业资格证书复印件、本单位社保缴纳证明、</w:t>
      </w:r>
      <w:r>
        <w:rPr>
          <w:rFonts w:hint="eastAsia" w:ascii="宋体" w:hAnsi="宋体" w:cs="宋体"/>
          <w:b/>
          <w:spacing w:val="10"/>
        </w:rPr>
        <w:t>相关业绩证明材料复印件等</w:t>
      </w:r>
      <w:r>
        <w:rPr>
          <w:rFonts w:hint="eastAsia" w:ascii="宋体" w:hAnsi="宋体" w:cs="宋体"/>
          <w:b/>
          <w:bCs/>
        </w:rPr>
        <w:t>。</w:t>
      </w:r>
    </w:p>
    <w:p>
      <w:pPr>
        <w:pStyle w:val="8"/>
        <w:spacing w:beforeLines="25" w:afterLines="25"/>
        <w:ind w:firstLine="480" w:firstLineChars="200"/>
        <w:rPr>
          <w:rFonts w:ascii="宋体" w:hAnsi="宋体" w:cs="宋体"/>
          <w:color w:val="000000"/>
          <w:sz w:val="24"/>
        </w:rPr>
      </w:pPr>
    </w:p>
    <w:p>
      <w:pPr>
        <w:pStyle w:val="8"/>
        <w:spacing w:beforeLines="25" w:afterLines="25"/>
        <w:ind w:firstLine="0"/>
        <w:rPr>
          <w:rFonts w:ascii="黑体" w:hAnsi="宋体" w:eastAsia="黑体"/>
          <w:color w:val="000000"/>
          <w:sz w:val="24"/>
        </w:rPr>
      </w:pPr>
    </w:p>
    <w:p>
      <w:pPr>
        <w:pStyle w:val="8"/>
        <w:spacing w:beforeLines="25" w:afterLines="25"/>
        <w:ind w:firstLine="0"/>
        <w:jc w:val="center"/>
        <w:rPr>
          <w:rFonts w:ascii="黑体" w:hAnsi="宋体" w:eastAsia="黑体"/>
          <w:b/>
          <w:bCs/>
          <w:color w:val="000000"/>
          <w:sz w:val="24"/>
        </w:rPr>
      </w:pPr>
      <w:r>
        <w:rPr>
          <w:rFonts w:hint="eastAsia" w:ascii="黑体" w:hAnsi="宋体" w:eastAsia="黑体"/>
          <w:b/>
          <w:bCs/>
          <w:color w:val="000000"/>
          <w:sz w:val="24"/>
        </w:rPr>
        <w:t>十三、拟投入的服务资源（车辆、场地、工具、机器等）情况（如有，格式自定）</w:t>
      </w:r>
    </w:p>
    <w:p>
      <w:pPr>
        <w:rPr>
          <w:rFonts w:ascii="宋体" w:hAnsi="宋体" w:cs="宋体"/>
          <w:color w:val="000000"/>
        </w:rPr>
      </w:pPr>
      <w:r>
        <w:rPr>
          <w:rFonts w:hint="eastAsia" w:ascii="宋体" w:hAnsi="宋体" w:cs="宋体"/>
          <w:color w:val="000000"/>
        </w:rPr>
        <w:t>（特别提示：投标人须按本采购文件评标信息中“拟投入的服务资源（车辆、场地、工具、机器等）情况”这一评审因素要求，提供证明资料）</w:t>
      </w:r>
    </w:p>
    <w:p>
      <w:pPr>
        <w:rPr>
          <w:color w:val="000000"/>
        </w:rPr>
      </w:pPr>
    </w:p>
    <w:p>
      <w:pPr>
        <w:pStyle w:val="2"/>
      </w:pPr>
    </w:p>
    <w:p>
      <w:pPr>
        <w:pStyle w:val="31"/>
        <w:ind w:firstLine="480"/>
      </w:pPr>
    </w:p>
    <w:p>
      <w:pPr>
        <w:pStyle w:val="2"/>
      </w:pPr>
    </w:p>
    <w:p>
      <w:pPr>
        <w:jc w:val="center"/>
        <w:rPr>
          <w:rFonts w:ascii="黑体" w:hAnsi="宋体" w:eastAsia="黑体"/>
          <w:b/>
          <w:bCs/>
          <w:sz w:val="24"/>
        </w:rPr>
      </w:pPr>
      <w:r>
        <w:rPr>
          <w:rFonts w:hint="eastAsia" w:ascii="黑体" w:hAnsi="宋体" w:eastAsia="黑体"/>
          <w:b/>
          <w:bCs/>
          <w:sz w:val="24"/>
        </w:rPr>
        <w:t>十四、投标人认为需要加以说明的其他内容</w:t>
      </w:r>
    </w:p>
    <w:p>
      <w:pPr>
        <w:pStyle w:val="2"/>
      </w:pPr>
    </w:p>
    <w:p>
      <w:pPr>
        <w:pStyle w:val="31"/>
        <w:ind w:firstLine="480"/>
      </w:pPr>
    </w:p>
    <w:p/>
    <w:p>
      <w:pPr>
        <w:pStyle w:val="6"/>
        <w:rPr>
          <w:rFonts w:ascii="方正小标宋_GBK" w:hAnsi="方正小标宋_GBK" w:eastAsia="方正小标宋_GBK" w:cs="方正小标宋_GBK"/>
        </w:rPr>
      </w:pPr>
    </w:p>
    <w:p>
      <w:pPr>
        <w:pStyle w:val="6"/>
        <w:jc w:val="center"/>
        <w:rPr>
          <w:rFonts w:ascii="方正黑体_GBK" w:hAnsi="方正黑体_GBK" w:eastAsia="方正黑体_GBK" w:cs="方正黑体_GBK"/>
          <w:b w:val="0"/>
          <w:bCs w:val="0"/>
        </w:rPr>
      </w:pPr>
      <w:r>
        <w:rPr>
          <w:rFonts w:hint="eastAsia" w:ascii="方正黑体_GBK" w:hAnsi="方正黑体_GBK" w:eastAsia="方正黑体_GBK" w:cs="方正黑体_GBK"/>
          <w:b w:val="0"/>
          <w:bCs w:val="0"/>
        </w:rPr>
        <w:t>第五章  合同条款及格式</w:t>
      </w:r>
    </w:p>
    <w:p>
      <w:pPr>
        <w:pStyle w:val="6"/>
        <w:rPr>
          <w:rFonts w:ascii="方正小标宋_GBK" w:hAnsi="方正小标宋_GBK" w:eastAsia="方正小标宋_GBK" w:cs="方正小标宋_GBK"/>
        </w:rPr>
      </w:pPr>
    </w:p>
    <w:p>
      <w:pPr>
        <w:pStyle w:val="6"/>
        <w:rPr>
          <w:rFonts w:ascii="方正小标宋_GBK" w:hAnsi="方正小标宋_GBK" w:eastAsia="方正小标宋_GBK" w:cs="方正小标宋_GBK"/>
        </w:rPr>
      </w:pPr>
      <w:r>
        <w:rPr>
          <w:rFonts w:hint="eastAsia" w:ascii="方正小标宋_GBK" w:hAnsi="方正小标宋_GBK" w:eastAsia="方正小标宋_GBK" w:cs="方正小标宋_GBK"/>
        </w:rPr>
        <w:t>合同文本（模板）</w:t>
      </w:r>
    </w:p>
    <w:p>
      <w:pPr>
        <w:spacing w:line="500" w:lineRule="exact"/>
        <w:ind w:firstLine="420" w:firstLineChars="200"/>
        <w:rPr>
          <w:rFonts w:ascii="宋体" w:hAnsi="宋体" w:cs="宋体"/>
          <w:bCs/>
        </w:rPr>
      </w:pPr>
      <w:bookmarkStart w:id="148" w:name="_Toc20823315"/>
      <w:bookmarkStart w:id="149" w:name="_Toc513029243"/>
      <w:bookmarkStart w:id="150" w:name="_Toc16938559"/>
      <w:r>
        <w:rPr>
          <w:rFonts w:hint="eastAsia" w:ascii="宋体" w:hAnsi="宋体" w:cs="宋体"/>
          <w:bCs/>
        </w:rPr>
        <w:t>以下为中标后签定本项目合同的通用条款，中标人不得提出实质性的修改，关于专用条款将由采购人与中标人结合本项目具体情况协商后签订。</w:t>
      </w:r>
    </w:p>
    <w:p>
      <w:pPr>
        <w:jc w:val="center"/>
        <w:rPr>
          <w:rFonts w:ascii="宋体" w:hAnsi="宋体" w:cs="宋体"/>
          <w:b/>
          <w:bCs/>
        </w:rPr>
      </w:pPr>
      <w:r>
        <w:rPr>
          <w:rFonts w:hint="eastAsia" w:ascii="宋体" w:hAnsi="宋体" w:cs="宋体"/>
          <w:b/>
        </w:rPr>
        <w:t>新疆维吾尔自治区政府采购合同（合同编号）</w:t>
      </w:r>
    </w:p>
    <w:p>
      <w:pPr>
        <w:pStyle w:val="16"/>
        <w:snapToGrid w:val="0"/>
        <w:spacing w:before="120" w:after="120"/>
        <w:rPr>
          <w:rFonts w:hAnsi="宋体" w:cs="宋体"/>
        </w:rPr>
      </w:pPr>
      <w:r>
        <w:rPr>
          <w:rFonts w:hint="eastAsia" w:hAnsi="宋体" w:cs="宋体"/>
        </w:rPr>
        <w:t>项目名称：                                       项目编号：</w:t>
      </w:r>
    </w:p>
    <w:p>
      <w:pPr>
        <w:pStyle w:val="16"/>
        <w:snapToGrid w:val="0"/>
        <w:spacing w:before="120" w:after="120"/>
        <w:rPr>
          <w:rFonts w:hAnsi="宋体" w:cs="宋体"/>
        </w:rPr>
      </w:pPr>
      <w:r>
        <w:rPr>
          <w:rFonts w:hint="eastAsia" w:hAnsi="宋体" w:cs="宋体"/>
        </w:rPr>
        <w:t>甲方：（买方）_________</w:t>
      </w:r>
    </w:p>
    <w:p>
      <w:pPr>
        <w:pStyle w:val="16"/>
        <w:snapToGrid w:val="0"/>
        <w:spacing w:before="120" w:after="120"/>
        <w:rPr>
          <w:rFonts w:hAnsi="宋体" w:cs="宋体"/>
        </w:rPr>
      </w:pPr>
      <w:r>
        <w:rPr>
          <w:rFonts w:hint="eastAsia" w:hAnsi="宋体" w:cs="宋体"/>
        </w:rPr>
        <w:t>乙方：（卖方）_________</w:t>
      </w:r>
    </w:p>
    <w:p>
      <w:pPr>
        <w:pStyle w:val="16"/>
        <w:snapToGrid w:val="0"/>
        <w:spacing w:before="120" w:after="120"/>
        <w:rPr>
          <w:rFonts w:hAnsi="宋体" w:cs="宋体"/>
          <w:b/>
        </w:rPr>
      </w:pPr>
      <w:r>
        <w:rPr>
          <w:rFonts w:hint="eastAsia" w:hAnsi="宋体" w:cs="宋体"/>
        </w:rPr>
        <w:t>甲、乙双方根据巴音郭楞蒙古自治州政务服务和公共资源交易中心</w:t>
      </w:r>
      <w:r>
        <w:rPr>
          <w:rFonts w:hint="eastAsia" w:hAnsi="宋体" w:cs="宋体"/>
          <w:u w:val="single"/>
        </w:rPr>
        <w:t xml:space="preserve">                          组织的                                   </w:t>
      </w:r>
      <w:r>
        <w:rPr>
          <w:rFonts w:hint="eastAsia" w:hAnsi="宋体" w:cs="宋体"/>
        </w:rPr>
        <w:t>项目竞争性采购的结果，签署本合同。</w:t>
      </w:r>
    </w:p>
    <w:p>
      <w:pPr>
        <w:pStyle w:val="16"/>
        <w:snapToGrid w:val="0"/>
        <w:spacing w:before="120" w:after="120"/>
        <w:rPr>
          <w:rFonts w:hAnsi="宋体" w:cs="宋体"/>
          <w:b/>
        </w:rPr>
      </w:pPr>
      <w:r>
        <w:rPr>
          <w:rFonts w:hint="eastAsia" w:hAnsi="宋体" w:cs="宋体"/>
          <w:b/>
        </w:rPr>
        <w:t>一、产品内容</w:t>
      </w:r>
    </w:p>
    <w:p>
      <w:pPr>
        <w:pStyle w:val="16"/>
        <w:snapToGrid w:val="0"/>
        <w:spacing w:before="120" w:after="120"/>
        <w:rPr>
          <w:rFonts w:hAnsi="宋体" w:cs="宋体"/>
        </w:rPr>
      </w:pPr>
      <w:r>
        <w:rPr>
          <w:rFonts w:hint="eastAsia" w:hAnsi="宋体" w:cs="宋体"/>
        </w:rPr>
        <w:t>1.1 产品名称：</w:t>
      </w:r>
    </w:p>
    <w:p>
      <w:pPr>
        <w:pStyle w:val="16"/>
        <w:snapToGrid w:val="0"/>
        <w:spacing w:before="120" w:after="120"/>
        <w:rPr>
          <w:rFonts w:hAnsi="宋体" w:cs="宋体"/>
        </w:rPr>
      </w:pPr>
      <w:r>
        <w:rPr>
          <w:rFonts w:hint="eastAsia" w:hAnsi="宋体" w:cs="宋体"/>
        </w:rPr>
        <w:t>1.2 型号规格：</w:t>
      </w:r>
    </w:p>
    <w:p>
      <w:pPr>
        <w:pStyle w:val="16"/>
        <w:snapToGrid w:val="0"/>
        <w:spacing w:before="120" w:after="120"/>
        <w:rPr>
          <w:rFonts w:hAnsi="宋体" w:cs="宋体"/>
        </w:rPr>
      </w:pPr>
      <w:r>
        <w:rPr>
          <w:rFonts w:hint="eastAsia" w:hAnsi="宋体" w:cs="宋体"/>
        </w:rPr>
        <w:t>1.3 数量（单位）：</w:t>
      </w:r>
    </w:p>
    <w:p>
      <w:pPr>
        <w:pStyle w:val="16"/>
        <w:snapToGrid w:val="0"/>
        <w:spacing w:before="120" w:after="120"/>
        <w:rPr>
          <w:rFonts w:hAnsi="宋体" w:cs="宋体"/>
          <w:b/>
        </w:rPr>
      </w:pPr>
      <w:r>
        <w:rPr>
          <w:rFonts w:hint="eastAsia" w:hAnsi="宋体" w:cs="宋体"/>
          <w:b/>
        </w:rPr>
        <w:t>二、合同金额</w:t>
      </w:r>
    </w:p>
    <w:p>
      <w:pPr>
        <w:pStyle w:val="16"/>
        <w:snapToGrid w:val="0"/>
        <w:spacing w:before="120" w:after="120"/>
        <w:ind w:left="359" w:hanging="359" w:hangingChars="171"/>
        <w:rPr>
          <w:rFonts w:hAnsi="宋体" w:cs="宋体"/>
        </w:rPr>
      </w:pPr>
      <w:r>
        <w:rPr>
          <w:rFonts w:hint="eastAsia" w:hAnsi="宋体" w:cs="宋体"/>
        </w:rPr>
        <w:t>2.1 本合同金额为（大写）：____________________________________圆（_______________元）人民币或其他币种。</w:t>
      </w:r>
    </w:p>
    <w:p>
      <w:pPr>
        <w:pStyle w:val="16"/>
        <w:snapToGrid w:val="0"/>
        <w:spacing w:before="120" w:after="120"/>
        <w:rPr>
          <w:rFonts w:hAnsi="宋体" w:cs="宋体"/>
          <w:b/>
        </w:rPr>
      </w:pPr>
      <w:r>
        <w:rPr>
          <w:rFonts w:hint="eastAsia" w:hAnsi="宋体" w:cs="宋体"/>
          <w:b/>
        </w:rPr>
        <w:t>三、技术资料</w:t>
      </w:r>
    </w:p>
    <w:p>
      <w:pPr>
        <w:pStyle w:val="16"/>
        <w:snapToGrid w:val="0"/>
        <w:spacing w:before="120" w:after="120"/>
        <w:ind w:left="359" w:hanging="359" w:hangingChars="171"/>
        <w:rPr>
          <w:rFonts w:hAnsi="宋体" w:cs="宋体"/>
        </w:rPr>
      </w:pPr>
      <w:r>
        <w:rPr>
          <w:rFonts w:hint="eastAsia" w:hAnsi="宋体" w:cs="宋体"/>
        </w:rPr>
        <w:t>3.1乙方应按采购文件规定的时间向甲方提供使用货物的有关技术资料。</w:t>
      </w:r>
    </w:p>
    <w:p>
      <w:pPr>
        <w:pStyle w:val="16"/>
        <w:snapToGrid w:val="0"/>
        <w:spacing w:before="120" w:after="120"/>
        <w:ind w:left="359" w:hanging="359" w:hangingChars="171"/>
        <w:rPr>
          <w:rFonts w:hAnsi="宋体" w:cs="宋体"/>
        </w:rPr>
      </w:pPr>
      <w:r>
        <w:rPr>
          <w:rFonts w:hint="eastAsia" w:hAnsi="宋体" w:cs="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before="120" w:after="120"/>
        <w:ind w:left="360" w:hanging="361" w:hangingChars="171"/>
        <w:rPr>
          <w:rFonts w:hAnsi="宋体" w:cs="宋体"/>
          <w:b/>
        </w:rPr>
      </w:pPr>
      <w:r>
        <w:rPr>
          <w:rFonts w:hint="eastAsia" w:hAnsi="宋体" w:cs="宋体"/>
          <w:b/>
        </w:rPr>
        <w:t>四、知识产权</w:t>
      </w:r>
    </w:p>
    <w:p>
      <w:pPr>
        <w:spacing w:line="500" w:lineRule="exact"/>
        <w:rPr>
          <w:rFonts w:ascii="宋体" w:hAnsi="宋体" w:cs="宋体"/>
        </w:rPr>
      </w:pPr>
      <w:r>
        <w:rPr>
          <w:rFonts w:hint="eastAsia" w:ascii="宋体" w:hAnsi="宋体" w:cs="宋体"/>
        </w:rPr>
        <w:t>4.1乙方应保证甲方在使用、接受本合同货物和服务或其任何一部分时不受第三方提出侵犯其专利权、版权、商标权和工业设计权等知识产权的起诉。一旦出现侵权，由乙方负全部责任。</w:t>
      </w:r>
    </w:p>
    <w:p>
      <w:pPr>
        <w:pStyle w:val="16"/>
        <w:snapToGrid w:val="0"/>
        <w:spacing w:before="120" w:after="120"/>
        <w:rPr>
          <w:rFonts w:hAnsi="宋体" w:cs="宋体"/>
          <w:u w:val="single"/>
        </w:rPr>
      </w:pPr>
      <w:r>
        <w:rPr>
          <w:rFonts w:hint="eastAsia" w:hAnsi="宋体" w:cs="宋体"/>
          <w:b/>
        </w:rPr>
        <w:t>五、产权担保</w:t>
      </w:r>
    </w:p>
    <w:p>
      <w:pPr>
        <w:pStyle w:val="16"/>
        <w:snapToGrid w:val="0"/>
        <w:spacing w:before="120" w:after="120"/>
        <w:ind w:left="357" w:hanging="357" w:hangingChars="170"/>
        <w:rPr>
          <w:rFonts w:hAnsi="宋体" w:cs="宋体"/>
          <w:u w:val="single"/>
        </w:rPr>
      </w:pPr>
      <w:r>
        <w:rPr>
          <w:rFonts w:hint="eastAsia" w:hAnsi="宋体" w:cs="宋体"/>
        </w:rPr>
        <w:t>5.1 乙方保证所交付的产品的所有权完全属于乙方且无任何抵押、查封等产权瑕疵。</w:t>
      </w:r>
    </w:p>
    <w:p>
      <w:pPr>
        <w:snapToGrid w:val="0"/>
        <w:spacing w:beforeLines="50" w:afterLines="50"/>
        <w:rPr>
          <w:rFonts w:ascii="宋体" w:hAnsi="宋体" w:cs="宋体"/>
          <w:b/>
        </w:rPr>
      </w:pPr>
      <w:r>
        <w:rPr>
          <w:rFonts w:hint="eastAsia" w:ascii="宋体" w:hAnsi="宋体" w:cs="宋体"/>
          <w:b/>
        </w:rPr>
        <w:t>六、转包或分包</w:t>
      </w:r>
    </w:p>
    <w:p>
      <w:pPr>
        <w:snapToGrid w:val="0"/>
        <w:spacing w:beforeLines="50" w:afterLines="50"/>
        <w:rPr>
          <w:rFonts w:ascii="宋体" w:hAnsi="宋体" w:cs="宋体"/>
        </w:rPr>
      </w:pPr>
      <w:r>
        <w:rPr>
          <w:rFonts w:hint="eastAsia" w:ascii="宋体" w:hAnsi="宋体" w:cs="宋体"/>
        </w:rPr>
        <w:t>6.1本合同范围的产品，应由乙方直接供应，不得转让他人供应；</w:t>
      </w:r>
    </w:p>
    <w:p>
      <w:pPr>
        <w:snapToGrid w:val="0"/>
        <w:spacing w:beforeLines="50" w:afterLines="50"/>
        <w:rPr>
          <w:rFonts w:ascii="宋体" w:hAnsi="宋体" w:cs="宋体"/>
        </w:rPr>
      </w:pPr>
      <w:r>
        <w:rPr>
          <w:rFonts w:hint="eastAsia" w:ascii="宋体" w:hAnsi="宋体" w:cs="宋体"/>
        </w:rPr>
        <w:t>6.2 除非得到甲方的书面同意，乙方不得部分分包给他人供应。</w:t>
      </w:r>
    </w:p>
    <w:p>
      <w:pPr>
        <w:snapToGrid w:val="0"/>
        <w:spacing w:beforeLines="50" w:afterLines="50"/>
        <w:rPr>
          <w:rFonts w:ascii="宋体" w:hAnsi="宋体" w:cs="宋体"/>
        </w:rPr>
      </w:pPr>
      <w:r>
        <w:rPr>
          <w:rFonts w:hint="eastAsia" w:ascii="宋体" w:hAnsi="宋体" w:cs="宋体"/>
        </w:rPr>
        <w:t>6.3如有转让和未经甲方同意的分包行为，甲方有权给予终止合同。</w:t>
      </w:r>
    </w:p>
    <w:p>
      <w:pPr>
        <w:pStyle w:val="16"/>
        <w:snapToGrid w:val="0"/>
        <w:spacing w:before="120" w:after="120"/>
        <w:rPr>
          <w:rFonts w:hAnsi="宋体" w:cs="宋体"/>
        </w:rPr>
      </w:pPr>
      <w:r>
        <w:rPr>
          <w:rFonts w:hint="eastAsia" w:hAnsi="宋体" w:cs="宋体"/>
          <w:b/>
        </w:rPr>
        <w:t>七、质保期</w:t>
      </w:r>
    </w:p>
    <w:p>
      <w:pPr>
        <w:pStyle w:val="16"/>
        <w:snapToGrid w:val="0"/>
        <w:spacing w:before="120" w:after="120"/>
        <w:rPr>
          <w:rFonts w:hAnsi="宋体" w:cs="宋体"/>
        </w:rPr>
      </w:pPr>
      <w:r>
        <w:rPr>
          <w:rFonts w:hint="eastAsia" w:hAnsi="宋体" w:cs="宋体"/>
        </w:rPr>
        <w:t>8.1 质保期年。（自交货验收合格之日起计）</w:t>
      </w:r>
    </w:p>
    <w:p>
      <w:pPr>
        <w:pStyle w:val="16"/>
        <w:snapToGrid w:val="0"/>
        <w:spacing w:before="120" w:after="120"/>
        <w:rPr>
          <w:rFonts w:hAnsi="宋体" w:cs="宋体"/>
          <w:b/>
        </w:rPr>
      </w:pPr>
      <w:r>
        <w:rPr>
          <w:rFonts w:hint="eastAsia" w:hAnsi="宋体" w:cs="宋体"/>
          <w:b/>
        </w:rPr>
        <w:t>八、交货期、交货方式及交货地点</w:t>
      </w:r>
    </w:p>
    <w:p>
      <w:pPr>
        <w:pStyle w:val="16"/>
        <w:snapToGrid w:val="0"/>
        <w:spacing w:before="120" w:after="120"/>
        <w:rPr>
          <w:rFonts w:hAnsi="宋体" w:cs="宋体"/>
          <w:bCs/>
        </w:rPr>
      </w:pPr>
      <w:r>
        <w:rPr>
          <w:rFonts w:hint="eastAsia" w:hAnsi="宋体" w:cs="宋体"/>
          <w:bCs/>
        </w:rPr>
        <w:t>8.1 交货期：</w:t>
      </w:r>
      <w:r>
        <w:rPr>
          <w:rFonts w:hint="eastAsia" w:hAnsi="宋体" w:cs="宋体"/>
        </w:rPr>
        <w:t>______</w:t>
      </w:r>
    </w:p>
    <w:p>
      <w:pPr>
        <w:pStyle w:val="16"/>
        <w:snapToGrid w:val="0"/>
        <w:spacing w:before="120" w:after="120"/>
        <w:rPr>
          <w:rFonts w:hAnsi="宋体" w:cs="宋体"/>
          <w:bCs/>
        </w:rPr>
      </w:pPr>
      <w:r>
        <w:rPr>
          <w:rFonts w:hint="eastAsia" w:hAnsi="宋体" w:cs="宋体"/>
          <w:bCs/>
        </w:rPr>
        <w:t>8.2 交货方式：</w:t>
      </w:r>
      <w:r>
        <w:rPr>
          <w:rFonts w:hint="eastAsia" w:hAnsi="宋体" w:cs="宋体"/>
        </w:rPr>
        <w:t>___________</w:t>
      </w:r>
    </w:p>
    <w:p>
      <w:pPr>
        <w:pStyle w:val="16"/>
        <w:snapToGrid w:val="0"/>
        <w:spacing w:before="120" w:after="120"/>
        <w:rPr>
          <w:rFonts w:hAnsi="宋体" w:cs="宋体"/>
          <w:b/>
        </w:rPr>
      </w:pPr>
      <w:r>
        <w:rPr>
          <w:rFonts w:hint="eastAsia" w:hAnsi="宋体" w:cs="宋体"/>
          <w:bCs/>
        </w:rPr>
        <w:t>8.3 交货地点：</w:t>
      </w:r>
      <w:r>
        <w:rPr>
          <w:rFonts w:hint="eastAsia" w:hAnsi="宋体" w:cs="宋体"/>
        </w:rPr>
        <w:t>_____</w:t>
      </w:r>
    </w:p>
    <w:p>
      <w:pPr>
        <w:pStyle w:val="16"/>
        <w:snapToGrid w:val="0"/>
        <w:spacing w:before="120" w:after="120"/>
        <w:rPr>
          <w:rFonts w:hAnsi="宋体" w:cs="宋体"/>
          <w:bCs/>
        </w:rPr>
      </w:pPr>
      <w:r>
        <w:rPr>
          <w:rFonts w:hint="eastAsia" w:hAnsi="宋体" w:cs="宋体"/>
          <w:b/>
        </w:rPr>
        <w:t>九、货款支付</w:t>
      </w:r>
    </w:p>
    <w:p>
      <w:pPr>
        <w:pStyle w:val="16"/>
        <w:snapToGrid w:val="0"/>
        <w:spacing w:before="120" w:after="120"/>
        <w:rPr>
          <w:rFonts w:hAnsi="宋体" w:cs="宋体"/>
          <w:bCs/>
        </w:rPr>
      </w:pPr>
      <w:r>
        <w:rPr>
          <w:rFonts w:hint="eastAsia" w:hAnsi="宋体" w:cs="宋体"/>
          <w:bCs/>
        </w:rPr>
        <w:t>9.1 采购资金的支付方式、时间及条件：</w:t>
      </w:r>
      <w:r>
        <w:rPr>
          <w:rFonts w:hint="eastAsia" w:hAnsi="宋体" w:cs="宋体"/>
        </w:rPr>
        <w:t>_________</w:t>
      </w:r>
    </w:p>
    <w:p>
      <w:pPr>
        <w:pStyle w:val="16"/>
        <w:snapToGrid w:val="0"/>
        <w:spacing w:before="120" w:after="120"/>
        <w:ind w:left="420" w:hanging="420" w:hangingChars="200"/>
        <w:rPr>
          <w:rFonts w:hAnsi="宋体" w:cs="宋体"/>
          <w:bCs/>
        </w:rPr>
      </w:pPr>
      <w:r>
        <w:rPr>
          <w:rFonts w:hint="eastAsia" w:hAnsi="宋体" w:cs="宋体"/>
          <w:bCs/>
        </w:rPr>
        <w:t>9.2</w:t>
      </w:r>
      <w:r>
        <w:rPr>
          <w:rFonts w:hint="eastAsia" w:hAnsi="宋体" w:cs="宋体"/>
        </w:rPr>
        <w:t>当采购数量与实际使用数量不一致时，乙方应根据实际使用量供货，合同的最终结算金额按实际使用量乘以成交单价进行计算。</w:t>
      </w:r>
    </w:p>
    <w:p>
      <w:pPr>
        <w:snapToGrid w:val="0"/>
        <w:spacing w:beforeLines="50" w:afterLines="50"/>
        <w:rPr>
          <w:rFonts w:ascii="宋体" w:hAnsi="宋体" w:cs="宋体"/>
          <w:b/>
        </w:rPr>
      </w:pPr>
      <w:r>
        <w:rPr>
          <w:rFonts w:hint="eastAsia" w:ascii="宋体" w:hAnsi="宋体" w:cs="宋体"/>
          <w:b/>
        </w:rPr>
        <w:t>十.税费</w:t>
      </w:r>
    </w:p>
    <w:p>
      <w:pPr>
        <w:snapToGrid w:val="0"/>
        <w:spacing w:beforeLines="50" w:afterLines="50"/>
        <w:rPr>
          <w:rFonts w:ascii="宋体" w:hAnsi="宋体" w:cs="宋体"/>
        </w:rPr>
      </w:pPr>
      <w:r>
        <w:rPr>
          <w:rFonts w:hint="eastAsia" w:ascii="宋体" w:hAnsi="宋体" w:cs="宋体"/>
        </w:rPr>
        <w:t>10.1本合同执行中相关的一切税费均由乙方负担。</w:t>
      </w:r>
    </w:p>
    <w:p>
      <w:pPr>
        <w:pStyle w:val="16"/>
        <w:snapToGrid w:val="0"/>
        <w:spacing w:before="120" w:after="120"/>
        <w:ind w:left="360" w:hanging="361" w:hangingChars="171"/>
        <w:rPr>
          <w:rFonts w:hAnsi="宋体" w:cs="宋体"/>
        </w:rPr>
      </w:pPr>
      <w:r>
        <w:rPr>
          <w:rFonts w:hint="eastAsia" w:hAnsi="宋体" w:cs="宋体"/>
          <w:b/>
        </w:rPr>
        <w:t>十一、质量保证及售后服务</w:t>
      </w:r>
    </w:p>
    <w:p>
      <w:pPr>
        <w:pStyle w:val="16"/>
        <w:snapToGrid w:val="0"/>
        <w:spacing w:before="120" w:after="120"/>
        <w:ind w:left="359" w:hanging="359" w:hangingChars="171"/>
        <w:rPr>
          <w:rFonts w:hAnsi="宋体" w:cs="宋体"/>
        </w:rPr>
      </w:pPr>
      <w:r>
        <w:rPr>
          <w:rFonts w:hint="eastAsia" w:hAnsi="宋体" w:cs="宋体"/>
        </w:rPr>
        <w:t>11.1 乙方应按采购文件规定的货物性能、技术要求、质量标准向甲方提供未经使用的全新产品。</w:t>
      </w:r>
    </w:p>
    <w:p>
      <w:pPr>
        <w:pStyle w:val="16"/>
        <w:snapToGrid w:val="0"/>
        <w:spacing w:before="120" w:after="120"/>
        <w:ind w:left="420" w:hanging="420" w:hangingChars="200"/>
        <w:rPr>
          <w:rFonts w:hAnsi="宋体" w:cs="宋体"/>
        </w:rPr>
      </w:pPr>
      <w:r>
        <w:rPr>
          <w:rFonts w:hint="eastAsia" w:hAnsi="宋体" w:cs="宋体"/>
        </w:rPr>
        <w:t>11.2 乙方提供的货物在质保期内因产品本身的质量问题发生故障，乙方应负责免费更换。对达不到技术要求者，根据实际情况，经双方协商，可按以下办法处理：</w:t>
      </w:r>
    </w:p>
    <w:p>
      <w:pPr>
        <w:pStyle w:val="16"/>
        <w:snapToGrid w:val="0"/>
        <w:spacing w:before="120" w:after="120"/>
        <w:ind w:firstLine="420"/>
        <w:rPr>
          <w:rFonts w:hAnsi="宋体" w:cs="宋体"/>
        </w:rPr>
      </w:pPr>
      <w:r>
        <w:rPr>
          <w:rFonts w:hint="eastAsia" w:hAnsi="宋体" w:cs="宋体"/>
        </w:rPr>
        <w:t>⑴更换：由乙方承担所发生的全部费用。</w:t>
      </w:r>
    </w:p>
    <w:p>
      <w:pPr>
        <w:pStyle w:val="16"/>
        <w:snapToGrid w:val="0"/>
        <w:spacing w:before="120" w:after="120"/>
        <w:ind w:firstLine="420"/>
        <w:rPr>
          <w:rFonts w:hAnsi="宋体" w:cs="宋体"/>
        </w:rPr>
      </w:pPr>
      <w:r>
        <w:rPr>
          <w:rFonts w:hint="eastAsia" w:hAnsi="宋体" w:cs="宋体"/>
        </w:rPr>
        <w:t>⑵贬值处理：由甲乙双方合议定价。</w:t>
      </w:r>
    </w:p>
    <w:p>
      <w:pPr>
        <w:pStyle w:val="16"/>
        <w:snapToGrid w:val="0"/>
        <w:spacing w:before="120" w:after="120"/>
        <w:ind w:left="420" w:leftChars="200"/>
        <w:rPr>
          <w:rFonts w:hAnsi="宋体" w:cs="宋体"/>
        </w:rPr>
      </w:pPr>
      <w:r>
        <w:rPr>
          <w:rFonts w:hint="eastAsia" w:hAnsi="宋体" w:cs="宋体"/>
        </w:rPr>
        <w:t>⑶退货处理：乙方应退还甲方支付的合同款，同时应承担该产品的直接费用（运输、保险、检验、货款利息及银行手续费等）。</w:t>
      </w:r>
    </w:p>
    <w:p>
      <w:pPr>
        <w:pStyle w:val="16"/>
        <w:snapToGrid w:val="0"/>
        <w:spacing w:before="120" w:after="120"/>
        <w:rPr>
          <w:rFonts w:hAnsi="宋体" w:cs="宋体"/>
        </w:rPr>
      </w:pPr>
      <w:r>
        <w:rPr>
          <w:rFonts w:hint="eastAsia" w:hAnsi="宋体" w:cs="宋体"/>
        </w:rPr>
        <w:t>11.3 如在使用过程中发生质量问题，乙方在接到甲方通知后在_____小时内到达甲方现场。</w:t>
      </w:r>
    </w:p>
    <w:p>
      <w:pPr>
        <w:pStyle w:val="16"/>
        <w:snapToGrid w:val="0"/>
        <w:spacing w:before="120" w:after="120"/>
        <w:rPr>
          <w:rFonts w:hAnsi="宋体" w:cs="宋体"/>
        </w:rPr>
      </w:pPr>
      <w:r>
        <w:rPr>
          <w:rFonts w:hint="eastAsia" w:hAnsi="宋体" w:cs="宋体"/>
        </w:rPr>
        <w:t>11.4 在质保期内，乙方应对产品出现的质量及安全问题负责处理解决并承担一切费用。</w:t>
      </w:r>
    </w:p>
    <w:p>
      <w:pPr>
        <w:pStyle w:val="16"/>
        <w:snapToGrid w:val="0"/>
        <w:spacing w:before="120" w:after="120"/>
        <w:ind w:left="420" w:hanging="420" w:hangingChars="200"/>
        <w:rPr>
          <w:rFonts w:hAnsi="宋体" w:cs="宋体"/>
        </w:rPr>
      </w:pPr>
      <w:r>
        <w:rPr>
          <w:rFonts w:hint="eastAsia" w:hAnsi="宋体" w:cs="宋体"/>
        </w:rPr>
        <w:t>11.5上述的产品的免费保修期为年，因人为因素出现的故障不在免费保修范围内。超过保修期后，终生维修，维修时只收部件成本费。</w:t>
      </w:r>
    </w:p>
    <w:p>
      <w:pPr>
        <w:pStyle w:val="16"/>
        <w:snapToGrid w:val="0"/>
        <w:spacing w:before="120" w:after="120"/>
        <w:rPr>
          <w:rFonts w:hAnsi="宋体" w:cs="宋体"/>
          <w:b/>
        </w:rPr>
      </w:pPr>
      <w:r>
        <w:rPr>
          <w:rFonts w:hint="eastAsia" w:hAnsi="宋体" w:cs="宋体"/>
          <w:b/>
        </w:rPr>
        <w:t>十二、调试和验收</w:t>
      </w:r>
    </w:p>
    <w:p>
      <w:pPr>
        <w:pStyle w:val="16"/>
        <w:snapToGrid w:val="0"/>
        <w:spacing w:before="120" w:after="120"/>
        <w:ind w:left="420" w:hanging="420" w:hangingChars="200"/>
        <w:rPr>
          <w:rFonts w:hAnsi="宋体" w:cs="宋体"/>
        </w:rPr>
      </w:pPr>
      <w:r>
        <w:rPr>
          <w:rFonts w:hint="eastAsia" w:hAnsi="宋体" w:cs="宋体"/>
        </w:rPr>
        <w:t>12.1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16"/>
        <w:snapToGrid w:val="0"/>
        <w:spacing w:before="120" w:after="120"/>
        <w:ind w:left="420" w:hanging="420" w:hangingChars="200"/>
        <w:rPr>
          <w:rFonts w:hAnsi="宋体" w:cs="宋体"/>
        </w:rPr>
      </w:pPr>
      <w:r>
        <w:rPr>
          <w:rFonts w:hint="eastAsia" w:hAnsi="宋体" w:cs="宋体"/>
        </w:rPr>
        <w:t>12.2 乙方交货前应对产品做出全面检查和对验收文件进行整理，并列出清单，作为甲方收货验收和使用的技术条件依据，检验的结果应随货物交甲方。</w:t>
      </w:r>
    </w:p>
    <w:p>
      <w:pPr>
        <w:pStyle w:val="16"/>
        <w:snapToGrid w:val="0"/>
        <w:spacing w:before="120" w:after="120"/>
        <w:ind w:left="420" w:hanging="420" w:hangingChars="200"/>
        <w:rPr>
          <w:rFonts w:hAnsi="宋体" w:cs="宋体"/>
          <w:u w:val="single"/>
        </w:rPr>
      </w:pPr>
      <w:r>
        <w:rPr>
          <w:rFonts w:hint="eastAsia" w:hAnsi="宋体" w:cs="宋体"/>
        </w:rPr>
        <w:t>12.3 甲方对乙方提供的货物在使用前进行调试时，乙方需负责安装并培训甲方的使用操作人员，并协助甲方一起调试，直到符合技术要求，甲方才做最终验收。</w:t>
      </w:r>
    </w:p>
    <w:p>
      <w:pPr>
        <w:pStyle w:val="16"/>
        <w:snapToGrid w:val="0"/>
        <w:spacing w:before="120" w:after="120"/>
        <w:ind w:left="420" w:hanging="420" w:hangingChars="200"/>
        <w:rPr>
          <w:rFonts w:hAnsi="宋体" w:cs="宋体"/>
        </w:rPr>
      </w:pPr>
      <w:r>
        <w:rPr>
          <w:rFonts w:hint="eastAsia" w:hAnsi="宋体" w:cs="宋体"/>
        </w:rPr>
        <w:t>12.4 对技术复杂的货物，甲方可请国家认可的专业检测机构参与初步验收及最终验收，并由其出具质量检测报告。</w:t>
      </w:r>
    </w:p>
    <w:p>
      <w:pPr>
        <w:pStyle w:val="16"/>
        <w:snapToGrid w:val="0"/>
        <w:spacing w:before="120" w:after="120"/>
        <w:ind w:left="420" w:hanging="420" w:hangingChars="200"/>
        <w:rPr>
          <w:rFonts w:hAnsi="宋体" w:cs="宋体"/>
        </w:rPr>
      </w:pPr>
      <w:r>
        <w:rPr>
          <w:rFonts w:hint="eastAsia" w:hAnsi="宋体" w:cs="宋体"/>
        </w:rPr>
        <w:t>12.5 验收时乙方必须在现场，验收完毕后作出验收结果报告；验收费用由甲乙双方协商解决。</w:t>
      </w:r>
    </w:p>
    <w:p>
      <w:pPr>
        <w:pStyle w:val="16"/>
        <w:snapToGrid w:val="0"/>
        <w:spacing w:before="120" w:after="120"/>
        <w:rPr>
          <w:rFonts w:hAnsi="宋体" w:cs="宋体"/>
          <w:b/>
        </w:rPr>
      </w:pPr>
      <w:r>
        <w:rPr>
          <w:rFonts w:hint="eastAsia" w:hAnsi="宋体" w:cs="宋体"/>
          <w:b/>
        </w:rPr>
        <w:t>十三、产品包装、发运及运输</w:t>
      </w:r>
    </w:p>
    <w:p>
      <w:pPr>
        <w:pStyle w:val="16"/>
        <w:snapToGrid w:val="0"/>
        <w:spacing w:before="120" w:after="120"/>
        <w:ind w:left="420" w:hanging="420" w:hangingChars="200"/>
        <w:rPr>
          <w:rFonts w:hAnsi="宋体" w:cs="宋体"/>
        </w:rPr>
      </w:pPr>
      <w:r>
        <w:rPr>
          <w:rFonts w:hint="eastAsia" w:hAnsi="宋体" w:cs="宋体"/>
        </w:rPr>
        <w:t>13.1 乙方应在产品发运前对其进行满足运输距离、防潮、防震、防锈和防破损装卸等要求包装，以保证产品安全运达甲方指定地点。</w:t>
      </w:r>
    </w:p>
    <w:p>
      <w:pPr>
        <w:pStyle w:val="16"/>
        <w:snapToGrid w:val="0"/>
        <w:spacing w:before="120" w:after="120"/>
        <w:ind w:left="420" w:hanging="420" w:hangingChars="200"/>
        <w:rPr>
          <w:rFonts w:hAnsi="宋体" w:cs="宋体"/>
        </w:rPr>
      </w:pPr>
      <w:r>
        <w:rPr>
          <w:rFonts w:hint="eastAsia" w:hAnsi="宋体" w:cs="宋体"/>
        </w:rPr>
        <w:t>13.2 使用说明书、质量检验证明书、随配附件和工具以及清单一并附于产品内。</w:t>
      </w:r>
    </w:p>
    <w:p>
      <w:pPr>
        <w:pStyle w:val="16"/>
        <w:snapToGrid w:val="0"/>
        <w:spacing w:before="120" w:after="120"/>
        <w:ind w:left="420" w:hanging="420" w:hangingChars="200"/>
        <w:rPr>
          <w:rFonts w:hAnsi="宋体" w:cs="宋体"/>
        </w:rPr>
      </w:pPr>
      <w:r>
        <w:rPr>
          <w:rFonts w:hint="eastAsia" w:hAnsi="宋体" w:cs="宋体"/>
        </w:rPr>
        <w:t>13.3 乙方在产品发运手续办理完毕后24小时内或货到甲方48小时前通知甲方，以准备接货。</w:t>
      </w:r>
    </w:p>
    <w:p>
      <w:pPr>
        <w:pStyle w:val="16"/>
        <w:snapToGrid w:val="0"/>
        <w:spacing w:before="120" w:after="120"/>
        <w:ind w:left="420" w:hanging="420" w:hangingChars="200"/>
        <w:rPr>
          <w:rFonts w:hAnsi="宋体" w:cs="宋体"/>
        </w:rPr>
      </w:pPr>
      <w:r>
        <w:rPr>
          <w:rFonts w:hint="eastAsia" w:hAnsi="宋体" w:cs="宋体"/>
        </w:rPr>
        <w:t>13.4 产品在交付甲方前发生的风险均由乙方负责。</w:t>
      </w:r>
    </w:p>
    <w:p>
      <w:pPr>
        <w:pStyle w:val="16"/>
        <w:snapToGrid w:val="0"/>
        <w:spacing w:before="156" w:after="156"/>
        <w:ind w:left="420" w:right="26" w:hanging="420" w:hangingChars="200"/>
        <w:rPr>
          <w:rFonts w:hAnsi="宋体" w:cs="宋体"/>
        </w:rPr>
      </w:pPr>
      <w:r>
        <w:rPr>
          <w:rFonts w:hint="eastAsia" w:hAnsi="宋体" w:cs="宋体"/>
        </w:rPr>
        <w:t>13.5 产品在规定的交付期限内由乙方送达甲方指定的地点视为交付，乙方同时需通知甲方产品已送达。</w:t>
      </w:r>
    </w:p>
    <w:p>
      <w:pPr>
        <w:pStyle w:val="16"/>
        <w:snapToGrid w:val="0"/>
        <w:spacing w:before="120" w:after="120"/>
        <w:rPr>
          <w:rFonts w:hAnsi="宋体" w:cs="宋体"/>
          <w:b/>
        </w:rPr>
      </w:pPr>
      <w:r>
        <w:rPr>
          <w:rFonts w:hint="eastAsia" w:hAnsi="宋体" w:cs="宋体"/>
          <w:b/>
        </w:rPr>
        <w:t>十四、违约责任</w:t>
      </w:r>
    </w:p>
    <w:p>
      <w:pPr>
        <w:pStyle w:val="16"/>
        <w:snapToGrid w:val="0"/>
        <w:spacing w:before="120" w:after="120"/>
        <w:ind w:left="359" w:hanging="359" w:hangingChars="171"/>
        <w:rPr>
          <w:rFonts w:hAnsi="宋体" w:cs="宋体"/>
        </w:rPr>
      </w:pPr>
      <w:r>
        <w:rPr>
          <w:rFonts w:hint="eastAsia" w:hAnsi="宋体" w:cs="宋体"/>
        </w:rPr>
        <w:t>14.1 甲方无正当理由拒收产品的，甲方向乙方偿付拒收货款总值的百分之五违约金。</w:t>
      </w:r>
    </w:p>
    <w:p>
      <w:pPr>
        <w:pStyle w:val="16"/>
        <w:snapToGrid w:val="0"/>
        <w:spacing w:before="120" w:after="120"/>
        <w:ind w:left="359" w:hanging="359" w:hangingChars="171"/>
        <w:rPr>
          <w:rFonts w:hAnsi="宋体" w:cs="宋体"/>
        </w:rPr>
      </w:pPr>
      <w:r>
        <w:rPr>
          <w:rFonts w:hint="eastAsia" w:hAnsi="宋体" w:cs="宋体"/>
        </w:rPr>
        <w:t>14.2 甲方无故逾期验收和办理货款支付手续的,甲方应按逾期付款总额每日万分之五向乙方支付违约金。</w:t>
      </w:r>
    </w:p>
    <w:p>
      <w:pPr>
        <w:pStyle w:val="16"/>
        <w:snapToGrid w:val="0"/>
        <w:spacing w:before="120" w:after="120"/>
        <w:ind w:left="359" w:hanging="359" w:hangingChars="171"/>
        <w:rPr>
          <w:rFonts w:hAnsi="宋体" w:cs="宋体"/>
        </w:rPr>
      </w:pPr>
      <w:r>
        <w:rPr>
          <w:rFonts w:hint="eastAsia" w:hAnsi="宋体" w:cs="宋体"/>
        </w:rPr>
        <w:t xml:space="preserve">14.3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6"/>
        <w:snapToGrid w:val="0"/>
        <w:spacing w:before="120" w:after="120"/>
        <w:ind w:left="359" w:hanging="359" w:hangingChars="171"/>
        <w:rPr>
          <w:rFonts w:hAnsi="宋体" w:cs="宋体"/>
        </w:rPr>
      </w:pPr>
      <w:r>
        <w:rPr>
          <w:rFonts w:hint="eastAsia" w:hAnsi="宋体" w:cs="宋体"/>
        </w:rPr>
        <w:t>14.4 乙方所交的货物品种、型号、规格、技术参数、质量不符合合同规定及采购文件规定标准的，甲方有权拒收该货物，乙方愿意更换货物但逾期交货的，按乙方逾期交货处理。乙方拒绝更换产品的，甲方可单方面解除合同。</w:t>
      </w:r>
    </w:p>
    <w:p>
      <w:pPr>
        <w:pStyle w:val="16"/>
        <w:snapToGrid w:val="0"/>
        <w:spacing w:before="120" w:after="120"/>
        <w:rPr>
          <w:rFonts w:hAnsi="宋体" w:cs="宋体"/>
          <w:b/>
        </w:rPr>
      </w:pPr>
      <w:r>
        <w:rPr>
          <w:rFonts w:hint="eastAsia" w:hAnsi="宋体" w:cs="宋体"/>
          <w:b/>
        </w:rPr>
        <w:t>十五、不可抗力事件处理</w:t>
      </w:r>
    </w:p>
    <w:p>
      <w:pPr>
        <w:pStyle w:val="16"/>
        <w:snapToGrid w:val="0"/>
        <w:spacing w:before="120" w:after="120"/>
        <w:ind w:left="420" w:hanging="420" w:hangingChars="200"/>
        <w:rPr>
          <w:rFonts w:hAnsi="宋体" w:cs="宋体"/>
        </w:rPr>
      </w:pPr>
      <w:r>
        <w:rPr>
          <w:rFonts w:hint="eastAsia" w:hAnsi="宋体" w:cs="宋体"/>
        </w:rPr>
        <w:t>15.1 在合同有效期内，任何一方因不可抗力事件导致不能履行合同，则合同履行期可延长，其延长期与不可抗力影响期相同。</w:t>
      </w:r>
    </w:p>
    <w:p>
      <w:pPr>
        <w:pStyle w:val="16"/>
        <w:snapToGrid w:val="0"/>
        <w:spacing w:before="120" w:after="120"/>
        <w:rPr>
          <w:rFonts w:hAnsi="宋体" w:cs="宋体"/>
        </w:rPr>
      </w:pPr>
      <w:r>
        <w:rPr>
          <w:rFonts w:hint="eastAsia" w:hAnsi="宋体" w:cs="宋体"/>
        </w:rPr>
        <w:t>15.2 不可抗力事件发生后，应立即通知对方，并寄送有关权威机构出具的证明。</w:t>
      </w:r>
    </w:p>
    <w:p>
      <w:pPr>
        <w:pStyle w:val="16"/>
        <w:snapToGrid w:val="0"/>
        <w:spacing w:before="120" w:after="120"/>
        <w:rPr>
          <w:rFonts w:hAnsi="宋体" w:cs="宋体"/>
        </w:rPr>
      </w:pPr>
      <w:r>
        <w:rPr>
          <w:rFonts w:hint="eastAsia" w:hAnsi="宋体" w:cs="宋体"/>
        </w:rPr>
        <w:t>15.3 不可抗力事件延续120天以上，双方应通过友好协商，确定是否继续履行合同。</w:t>
      </w:r>
    </w:p>
    <w:p>
      <w:pPr>
        <w:pStyle w:val="16"/>
        <w:snapToGrid w:val="0"/>
        <w:spacing w:before="120" w:after="120"/>
        <w:rPr>
          <w:rFonts w:hAnsi="宋体" w:cs="宋体"/>
          <w:b/>
        </w:rPr>
      </w:pPr>
      <w:r>
        <w:rPr>
          <w:rFonts w:hint="eastAsia" w:hAnsi="宋体" w:cs="宋体"/>
          <w:b/>
        </w:rPr>
        <w:t>十六、诉讼</w:t>
      </w:r>
    </w:p>
    <w:p>
      <w:pPr>
        <w:pStyle w:val="16"/>
        <w:snapToGrid w:val="0"/>
        <w:spacing w:before="120" w:after="120"/>
        <w:ind w:left="420" w:hanging="420" w:hangingChars="200"/>
        <w:rPr>
          <w:rFonts w:hAnsi="宋体" w:cs="宋体"/>
        </w:rPr>
      </w:pPr>
      <w:r>
        <w:rPr>
          <w:rFonts w:hint="eastAsia" w:hAnsi="宋体" w:cs="宋体"/>
        </w:rPr>
        <w:t>16.1 双方在执行合同中所发生的一切争议，应通过协商解决。如协商不成，可向合同签订地法院起诉，合同签订地在此约定为。</w:t>
      </w:r>
    </w:p>
    <w:p>
      <w:pPr>
        <w:pStyle w:val="16"/>
        <w:snapToGrid w:val="0"/>
        <w:spacing w:before="120" w:after="120"/>
        <w:rPr>
          <w:rFonts w:hAnsi="宋体" w:cs="宋体"/>
          <w:b/>
        </w:rPr>
      </w:pPr>
      <w:r>
        <w:rPr>
          <w:rFonts w:hint="eastAsia" w:hAnsi="宋体" w:cs="宋体"/>
          <w:b/>
        </w:rPr>
        <w:t>十七、合同生效及其它</w:t>
      </w:r>
    </w:p>
    <w:p>
      <w:pPr>
        <w:pStyle w:val="16"/>
        <w:snapToGrid w:val="0"/>
        <w:spacing w:before="120" w:after="120"/>
        <w:rPr>
          <w:rFonts w:hAnsi="宋体" w:cs="宋体"/>
        </w:rPr>
      </w:pPr>
      <w:r>
        <w:rPr>
          <w:rFonts w:hint="eastAsia" w:hAnsi="宋体" w:cs="宋体"/>
        </w:rPr>
        <w:t>17.1合同经双方法定代表人或授权委托代表人签字并加盖单位公章后生效。</w:t>
      </w:r>
    </w:p>
    <w:p>
      <w:pPr>
        <w:pStyle w:val="16"/>
        <w:snapToGrid w:val="0"/>
        <w:spacing w:before="120" w:after="120"/>
        <w:rPr>
          <w:rFonts w:hAnsi="宋体" w:cs="宋体"/>
        </w:rPr>
      </w:pPr>
      <w:r>
        <w:rPr>
          <w:rFonts w:hint="eastAsia" w:hAnsi="宋体" w:cs="宋体"/>
        </w:rPr>
        <w:t>17.2本合同未尽事宜，遵照《合同法》有关条文执行。</w:t>
      </w:r>
    </w:p>
    <w:p>
      <w:pPr>
        <w:pStyle w:val="16"/>
        <w:snapToGrid w:val="0"/>
        <w:spacing w:before="120" w:after="120"/>
        <w:ind w:left="420" w:hanging="420" w:hangingChars="200"/>
        <w:rPr>
          <w:rFonts w:hAnsi="宋体" w:cs="宋体"/>
        </w:rPr>
      </w:pPr>
      <w:r>
        <w:rPr>
          <w:rFonts w:hint="eastAsia" w:hAnsi="宋体" w:cs="宋体"/>
        </w:rPr>
        <w:t>17.3本合同正本一式三份，具有同等法律效力，甲方、乙方及财政监管部门各执一份。</w:t>
      </w:r>
    </w:p>
    <w:p>
      <w:pPr>
        <w:pStyle w:val="16"/>
        <w:snapToGrid w:val="0"/>
        <w:spacing w:before="120" w:after="120"/>
        <w:ind w:left="420" w:hanging="420" w:hangingChars="200"/>
        <w:rPr>
          <w:rFonts w:hAnsi="宋体" w:cs="宋体"/>
        </w:rPr>
      </w:pPr>
    </w:p>
    <w:p>
      <w:pPr>
        <w:pStyle w:val="16"/>
        <w:snapToGrid w:val="0"/>
        <w:spacing w:before="120" w:after="120" w:line="0" w:lineRule="atLeast"/>
        <w:ind w:left="420" w:hanging="420" w:hangingChars="200"/>
        <w:rPr>
          <w:rFonts w:hAnsi="宋体" w:cs="宋体"/>
        </w:rPr>
      </w:pPr>
      <w:r>
        <w:rPr>
          <w:rFonts w:hint="eastAsia" w:hAnsi="宋体" w:cs="宋体"/>
        </w:rPr>
        <w:t xml:space="preserve">  甲方：                        乙方： </w:t>
      </w:r>
    </w:p>
    <w:p>
      <w:pPr>
        <w:pStyle w:val="16"/>
        <w:snapToGrid w:val="0"/>
        <w:spacing w:before="120" w:after="120" w:line="0" w:lineRule="atLeast"/>
        <w:rPr>
          <w:rFonts w:hAnsi="宋体" w:cs="宋体"/>
        </w:rPr>
      </w:pPr>
      <w:r>
        <w:rPr>
          <w:rFonts w:hint="eastAsia" w:hAnsi="宋体" w:cs="宋体"/>
        </w:rPr>
        <w:t xml:space="preserve">  地址：                        地址： </w:t>
      </w:r>
    </w:p>
    <w:p>
      <w:pPr>
        <w:pStyle w:val="16"/>
        <w:snapToGrid w:val="0"/>
        <w:spacing w:before="120" w:after="120" w:line="0" w:lineRule="atLeast"/>
        <w:rPr>
          <w:rFonts w:hAnsi="宋体" w:cs="宋体"/>
        </w:rPr>
      </w:pPr>
      <w:r>
        <w:rPr>
          <w:rFonts w:hint="eastAsia" w:hAnsi="宋体" w:cs="宋体"/>
        </w:rPr>
        <w:t xml:space="preserve">  法定代表人或授权代表：        法定代表人或授权代表：</w:t>
      </w:r>
    </w:p>
    <w:p>
      <w:pPr>
        <w:pStyle w:val="16"/>
        <w:snapToGrid w:val="0"/>
        <w:spacing w:before="120" w:after="120" w:line="0" w:lineRule="atLeast"/>
        <w:jc w:val="center"/>
        <w:rPr>
          <w:rFonts w:hAnsi="宋体" w:cs="宋体"/>
          <w:bCs/>
        </w:rPr>
        <w:sectPr>
          <w:pgSz w:w="11906" w:h="16838"/>
          <w:pgMar w:top="1418" w:right="1588" w:bottom="1418" w:left="1365" w:header="851" w:footer="907" w:gutter="0"/>
          <w:cols w:space="720" w:num="1"/>
          <w:titlePg/>
          <w:docGrid w:type="lines" w:linePitch="290" w:charSpace="0"/>
        </w:sectPr>
      </w:pPr>
      <w:r>
        <w:rPr>
          <w:rFonts w:hint="eastAsia" w:hAnsi="宋体" w:cs="宋体"/>
        </w:rPr>
        <w:t xml:space="preserve">  联系电话：                    联系电话：           签订日期：      年  月  日</w:t>
      </w:r>
      <w:bookmarkEnd w:id="148"/>
      <w:bookmarkEnd w:id="149"/>
      <w:bookmarkEnd w:id="150"/>
      <w:bookmarkStart w:id="151" w:name="_Hlt16619369"/>
      <w:bookmarkEnd w:id="151"/>
      <w:bookmarkStart w:id="152" w:name="_Hlt16619350"/>
      <w:bookmarkStart w:id="153" w:name="_Toc120614244"/>
      <w:bookmarkStart w:id="154" w:name="_Toc20823346"/>
      <w:bookmarkStart w:id="155" w:name="_Toc16938590"/>
    </w:p>
    <w:bookmarkEnd w:id="152"/>
    <w:bookmarkEnd w:id="153"/>
    <w:bookmarkEnd w:id="154"/>
    <w:bookmarkEnd w:id="155"/>
    <w:p>
      <w:pPr>
        <w:pStyle w:val="6"/>
        <w:spacing w:beforeLines="50" w:afterLines="50"/>
        <w:ind w:left="562" w:firstLine="2088" w:firstLineChars="650"/>
        <w:rPr>
          <w:rFonts w:ascii="方正小标宋_GBK" w:hAnsi="方正小标宋_GBK" w:eastAsia="方正小标宋_GBK" w:cs="方正小标宋_GBK"/>
        </w:rPr>
      </w:pPr>
      <w:r>
        <w:rPr>
          <w:rFonts w:hint="eastAsia" w:ascii="方正小标宋_GBK" w:hAnsi="方正小标宋_GBK" w:eastAsia="方正小标宋_GBK" w:cs="方正小标宋_GBK"/>
        </w:rPr>
        <w:t>第二册  通用条款</w:t>
      </w:r>
    </w:p>
    <w:p>
      <w:pPr>
        <w:pStyle w:val="6"/>
        <w:spacing w:beforeLines="50" w:afterLines="50"/>
        <w:ind w:firstLine="3373" w:firstLineChars="1200"/>
        <w:rPr>
          <w:sz w:val="28"/>
          <w:szCs w:val="28"/>
        </w:rPr>
      </w:pPr>
      <w:bookmarkStart w:id="156" w:name="_Hlk72399513"/>
      <w:r>
        <w:rPr>
          <w:rFonts w:hint="eastAsia"/>
          <w:sz w:val="28"/>
          <w:szCs w:val="28"/>
        </w:rPr>
        <w:t>第一章  总则</w:t>
      </w:r>
    </w:p>
    <w:bookmarkEnd w:id="156"/>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1.1政府集中采购机构发出采购文件通用条款版本，列出</w:t>
      </w:r>
      <w:r>
        <w:rPr>
          <w:rFonts w:hint="eastAsia" w:ascii="宋体" w:hAnsi="宋体"/>
          <w:b/>
          <w:bCs/>
          <w:szCs w:val="21"/>
        </w:rPr>
        <w:t>巴州政府采购项目</w:t>
      </w:r>
      <w:r>
        <w:rPr>
          <w:rFonts w:hint="eastAsia" w:ascii="宋体" w:hAnsi="宋体"/>
          <w:szCs w:val="21"/>
        </w:rPr>
        <w:t>进行招标采购所适用的通用条款内容。</w:t>
      </w:r>
      <w:bookmarkStart w:id="157" w:name="_Hlk72399729"/>
      <w:r>
        <w:rPr>
          <w:rFonts w:hint="eastAsia" w:ascii="宋体" w:hAnsi="宋体"/>
          <w:szCs w:val="21"/>
        </w:rPr>
        <w:t>如有需要，政府集中采购机构可以对通用条款的内容进行补充。</w:t>
      </w:r>
      <w:bookmarkEnd w:id="157"/>
    </w:p>
    <w:p>
      <w:pPr>
        <w:ind w:firstLine="411" w:firstLineChars="196"/>
        <w:rPr>
          <w:rFonts w:ascii="宋体" w:hAnsi="宋体"/>
          <w:szCs w:val="21"/>
        </w:rPr>
      </w:pPr>
      <w:r>
        <w:rPr>
          <w:rFonts w:hint="eastAsia" w:ascii="宋体" w:hAnsi="宋体"/>
          <w:szCs w:val="21"/>
        </w:rPr>
        <w:t>1.2采购文件分为第一册“专用条款”和第二册“通用条款”。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1.4“通用条款”是适用于政府采购单一来源/谈判招标项目的基础性条款，具有普遍性和通用性。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本项目按照《政府采购法》、《政府采购法实施条例》及政府采购其他法律法规，通过单一来源采购方式确定中标供应商。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hint="eastAsia" w:ascii="宋体" w:hAnsi="宋体"/>
          <w:szCs w:val="21"/>
        </w:rPr>
        <w:t>采购文件</w:t>
      </w:r>
      <w:r>
        <w:rPr>
          <w:rFonts w:ascii="宋体" w:hAnsi="宋体"/>
          <w:szCs w:val="21"/>
        </w:rPr>
        <w:t>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rPr>
        <w:t>是指政府设立的，组织实施政府采购项目，并对政府采购活动提供服务的专门机构；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巴州政务服务和公共资源交易中心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3.4“中标候选人”即“候选中标供应商”；</w:t>
      </w:r>
    </w:p>
    <w:p>
      <w:pPr>
        <w:ind w:firstLine="411" w:firstLineChars="196"/>
        <w:rPr>
          <w:rFonts w:ascii="宋体" w:hAnsi="宋体"/>
          <w:szCs w:val="21"/>
        </w:rPr>
      </w:pPr>
      <w:r>
        <w:rPr>
          <w:rFonts w:hint="eastAsia" w:ascii="宋体" w:hAnsi="宋体"/>
          <w:szCs w:val="21"/>
        </w:rPr>
        <w:t>3.5“评审委员会”是依据《政府采购法》、《政府采购法实施条例》等有关规定组建的专门负责本次招标其评审工作的临时性机构；</w:t>
      </w:r>
    </w:p>
    <w:p>
      <w:pPr>
        <w:ind w:firstLine="411" w:firstLineChars="196"/>
        <w:rPr>
          <w:rFonts w:ascii="宋体" w:hAnsi="宋体"/>
          <w:szCs w:val="21"/>
        </w:rPr>
      </w:pPr>
      <w:r>
        <w:rPr>
          <w:rFonts w:hint="eastAsia" w:ascii="宋体" w:hAnsi="宋体"/>
          <w:szCs w:val="21"/>
        </w:rPr>
        <w:t>3.6“日期”指公历日；</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3.8“电子投标文件”指利用</w:t>
      </w:r>
      <w:r>
        <w:rPr>
          <w:rFonts w:hint="eastAsia" w:ascii="宋体" w:hAnsi="宋体"/>
          <w:b/>
          <w:bCs/>
          <w:szCs w:val="21"/>
        </w:rPr>
        <w:t>新疆政采云平台</w:t>
      </w:r>
      <w:r>
        <w:rPr>
          <w:rFonts w:hint="eastAsia" w:ascii="宋体" w:hAnsi="宋体"/>
          <w:szCs w:val="21"/>
        </w:rPr>
        <w:t>投标文件制作专用软件制作并加密的投标文件,适用于网上投标；</w:t>
      </w:r>
    </w:p>
    <w:p>
      <w:pPr>
        <w:ind w:firstLine="411" w:firstLineChars="196"/>
        <w:rPr>
          <w:rFonts w:ascii="宋体" w:hAnsi="宋体"/>
          <w:szCs w:val="21"/>
        </w:rPr>
      </w:pPr>
      <w:r>
        <w:rPr>
          <w:rFonts w:hint="eastAsia" w:ascii="宋体" w:hAnsi="宋体"/>
          <w:szCs w:val="21"/>
        </w:rPr>
        <w:t>3.9“网上投标”指通过</w:t>
      </w:r>
      <w:r>
        <w:rPr>
          <w:rFonts w:hint="eastAsia" w:ascii="宋体" w:hAnsi="宋体"/>
          <w:b/>
          <w:bCs/>
          <w:szCs w:val="21"/>
        </w:rPr>
        <w:t>新疆政采云平台</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3.10采购文件中的标题或题名仅起引导作用，而不应视为对采购文件内容的理解和解释。</w:t>
      </w:r>
    </w:p>
    <w:p>
      <w:pPr>
        <w:outlineLvl w:val="1"/>
        <w:rPr>
          <w:rFonts w:ascii="黑体" w:hAnsi="宋体" w:eastAsia="黑体"/>
          <w:sz w:val="24"/>
        </w:rPr>
      </w:pPr>
      <w:r>
        <w:rPr>
          <w:rFonts w:hint="eastAsia" w:ascii="黑体" w:hAnsi="宋体" w:eastAsia="黑体"/>
          <w:sz w:val="24"/>
        </w:rPr>
        <w:t xml:space="preserve">4. </w:t>
      </w:r>
      <w:bookmarkStart w:id="158"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新疆CA本地营业网点</w:t>
      </w:r>
      <w:r>
        <w:rPr>
          <w:rFonts w:hint="eastAsia" w:ascii="宋体" w:hAnsi="宋体"/>
          <w:szCs w:val="21"/>
        </w:rPr>
        <w:t>进行注册并办理电子密钥。</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w:t>
      </w:r>
      <w:r>
        <w:rPr>
          <w:rFonts w:hint="eastAsia" w:ascii="宋体" w:hAnsi="宋体"/>
          <w:b/>
          <w:bCs/>
        </w:rPr>
        <w:t>政府采购正式供应商</w:t>
      </w:r>
      <w:r>
        <w:rPr>
          <w:rFonts w:hint="eastAsia" w:ascii="宋体" w:hAnsi="宋体"/>
        </w:rPr>
        <w:t>；</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pPr>
      <w:r>
        <w:rPr>
          <w:rFonts w:hint="eastAsia" w:ascii="宋体" w:hAnsi="宋体"/>
        </w:rPr>
        <w:t>6.2本项目落实巴州政府采购供应商诚信管理政策要求。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15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59"/>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第一册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9.2投标人及其人员经过采购人的允许，可以进入采购人的项目现场踏勘。若采购文件要求投标人于统一时间地点踏勘现场的，投标人应当按时前往。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158"/>
    <w:p>
      <w:pPr>
        <w:pStyle w:val="6"/>
        <w:tabs>
          <w:tab w:val="left" w:pos="360"/>
        </w:tabs>
        <w:spacing w:beforeLines="50" w:afterLines="50"/>
        <w:ind w:firstLine="2811" w:firstLineChars="1000"/>
        <w:rPr>
          <w:sz w:val="28"/>
          <w:szCs w:val="28"/>
        </w:rPr>
      </w:pPr>
      <w:r>
        <w:rPr>
          <w:rFonts w:hint="eastAsia"/>
          <w:sz w:val="28"/>
          <w:szCs w:val="28"/>
        </w:rPr>
        <w:t>第二章  采购文件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160" w:name="_Hlk72399819"/>
      <w:r>
        <w:rPr>
          <w:rFonts w:hint="eastAsia" w:ascii="黑体" w:hAnsi="宋体" w:eastAsia="黑体"/>
          <w:sz w:val="24"/>
        </w:rPr>
        <w:t>采购文件的编制与组成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.1采购文件除以下内容外，政府集中采购机构在招标期间发出的澄清或修改等相关公告或通知内容，均是采购文件的组成部分，对投标人起约束作用；</w:t>
      </w:r>
    </w:p>
    <w:p>
      <w:pPr>
        <w:ind w:firstLine="411" w:firstLineChars="196"/>
        <w:rPr>
          <w:rFonts w:ascii="宋体" w:hAnsi="宋体"/>
          <w:szCs w:val="21"/>
        </w:rPr>
      </w:pPr>
      <w:r>
        <w:rPr>
          <w:rFonts w:hint="eastAsia" w:ascii="宋体" w:hAnsi="宋体"/>
          <w:szCs w:val="21"/>
        </w:rPr>
        <w:t>采购文件包括下列内容：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采购文件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采购评审程序及评审方法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采购事项</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．采购文件的澄清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.2投标人如对采购文件内容有疑问，应当在招标公告规定的澄清（提问）截止时间前以</w:t>
      </w:r>
      <w:r>
        <w:rPr>
          <w:rFonts w:hint="eastAsia" w:ascii="宋体" w:hAnsi="宋体"/>
          <w:b/>
          <w:bCs/>
          <w:szCs w:val="21"/>
        </w:rPr>
        <w:t>书面提问的形式</w:t>
      </w:r>
      <w:r>
        <w:rPr>
          <w:rFonts w:hint="eastAsia" w:ascii="宋体" w:hAnsi="宋体"/>
          <w:szCs w:val="21"/>
        </w:rPr>
        <w:t>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3．采购文件的修改</w:t>
      </w:r>
    </w:p>
    <w:p>
      <w:pPr>
        <w:ind w:firstLine="411" w:firstLineChars="196"/>
        <w:rPr>
          <w:rFonts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160"/>
    </w:p>
    <w:p>
      <w:pPr>
        <w:pStyle w:val="6"/>
        <w:tabs>
          <w:tab w:val="left" w:pos="360"/>
        </w:tabs>
        <w:spacing w:beforeLines="50" w:afterLines="50"/>
        <w:ind w:firstLine="2530" w:firstLineChars="900"/>
        <w:rPr>
          <w:sz w:val="28"/>
          <w:szCs w:val="28"/>
        </w:rPr>
      </w:pPr>
      <w:r>
        <w:rPr>
          <w:rFonts w:hint="eastAsia"/>
          <w:sz w:val="28"/>
          <w:szCs w:val="28"/>
        </w:rPr>
        <w:t>第三章  投标文件的编制</w:t>
      </w:r>
    </w:p>
    <w:p>
      <w:pPr>
        <w:rPr>
          <w:rFonts w:ascii="黑体" w:hAnsi="宋体" w:eastAsia="黑体"/>
          <w:sz w:val="24"/>
        </w:rPr>
      </w:pPr>
      <w:r>
        <w:rPr>
          <w:rFonts w:hint="eastAsia" w:ascii="黑体" w:hAnsi="宋体" w:eastAsia="黑体"/>
          <w:sz w:val="24"/>
        </w:rPr>
        <w:t>14．</w:t>
      </w:r>
      <w:bookmarkStart w:id="161"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161"/>
    <w:p>
      <w:pPr>
        <w:rPr>
          <w:rFonts w:ascii="黑体" w:hAnsi="宋体" w:eastAsia="黑体"/>
          <w:sz w:val="24"/>
        </w:rPr>
      </w:pPr>
      <w:r>
        <w:rPr>
          <w:rFonts w:hint="eastAsia" w:ascii="黑体" w:hAnsi="宋体" w:eastAsia="黑体"/>
          <w:sz w:val="24"/>
        </w:rPr>
        <w:t>15．</w:t>
      </w:r>
      <w:bookmarkStart w:id="162"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具体内容在采购文件专用条款中进行规定。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b/>
          <w:bCs/>
          <w:color w:val="FF0000"/>
          <w:szCs w:val="21"/>
        </w:rPr>
        <w:t>采购文件</w:t>
      </w:r>
      <w:r>
        <w:rPr>
          <w:rFonts w:ascii="宋体" w:hAnsi="宋体"/>
          <w:b/>
          <w:bCs/>
          <w:color w:val="FF0000"/>
          <w:szCs w:val="21"/>
        </w:rPr>
        <w:t>提供了投标文件格式，则</w:t>
      </w:r>
      <w:r>
        <w:rPr>
          <w:rFonts w:hint="eastAsia" w:ascii="宋体" w:hAnsi="宋体"/>
          <w:b/>
          <w:bCs/>
          <w:color w:val="FF0000"/>
          <w:szCs w:val="21"/>
        </w:rPr>
        <w:t>投标人提交的投标文件应毫无例外地使用采购文件所提供的相应格式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162"/>
    <w:p>
      <w:pPr>
        <w:rPr>
          <w:rFonts w:ascii="黑体" w:hAnsi="宋体" w:eastAsia="黑体"/>
          <w:sz w:val="24"/>
        </w:rPr>
      </w:pPr>
      <w:r>
        <w:rPr>
          <w:rFonts w:hint="eastAsia" w:ascii="黑体" w:hAnsi="宋体" w:eastAsia="黑体"/>
          <w:sz w:val="24"/>
        </w:rPr>
        <w:t>18．</w:t>
      </w:r>
      <w:bookmarkStart w:id="163" w:name="_Hlk72401735"/>
      <w:r>
        <w:rPr>
          <w:rFonts w:hint="eastAsia" w:ascii="黑体" w:hAnsi="宋体" w:eastAsia="黑体"/>
          <w:sz w:val="24"/>
        </w:rPr>
        <w:t>证明投标文件投标技术方案的合格性和符合采购文件规定的文件要求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163"/>
    <w:p>
      <w:pPr>
        <w:rPr>
          <w:rFonts w:ascii="黑体" w:hAnsi="宋体" w:eastAsia="黑体"/>
          <w:sz w:val="24"/>
        </w:rPr>
      </w:pPr>
      <w:r>
        <w:rPr>
          <w:rFonts w:hint="eastAsia" w:ascii="黑体" w:hAnsi="宋体" w:eastAsia="黑体"/>
          <w:sz w:val="24"/>
        </w:rPr>
        <w:t>19．</w:t>
      </w:r>
      <w:bookmarkStart w:id="164" w:name="_Hlk72402034"/>
      <w:r>
        <w:rPr>
          <w:rFonts w:hint="eastAsia" w:ascii="黑体" w:hAnsi="宋体" w:eastAsia="黑体"/>
          <w:sz w:val="24"/>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65" w:name="_Hlk71407299"/>
    </w:p>
    <w:bookmarkEnd w:id="165"/>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164"/>
    <w:p>
      <w:pPr>
        <w:ind w:firstLine="411" w:firstLineChars="196"/>
        <w:rPr>
          <w:rFonts w:ascii="宋体" w:hAnsi="宋体"/>
          <w:szCs w:val="21"/>
        </w:rPr>
      </w:pPr>
      <w:bookmarkStart w:id="16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166"/>
    <w:p>
      <w:pPr>
        <w:rPr>
          <w:rFonts w:ascii="黑体" w:hAnsi="宋体" w:eastAsia="黑体"/>
          <w:sz w:val="24"/>
        </w:rPr>
      </w:pPr>
      <w:r>
        <w:rPr>
          <w:rFonts w:hint="eastAsia" w:ascii="黑体" w:hAnsi="宋体" w:eastAsia="黑体"/>
          <w:sz w:val="24"/>
        </w:rPr>
        <w:t>21．</w:t>
      </w:r>
      <w:bookmarkStart w:id="167"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根据第一册专用条款中的规定，足额缴纳。</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bookmarkEnd w:id="167"/>
    <w:p>
      <w:pPr>
        <w:rPr>
          <w:rFonts w:ascii="黑体" w:hAnsi="宋体" w:eastAsia="黑体"/>
          <w:sz w:val="24"/>
        </w:rPr>
      </w:pPr>
      <w:r>
        <w:rPr>
          <w:rFonts w:hint="eastAsia" w:ascii="黑体" w:hAnsi="宋体" w:eastAsia="黑体"/>
          <w:sz w:val="24"/>
        </w:rPr>
        <w:t>23．</w:t>
      </w:r>
      <w:bookmarkStart w:id="16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23.1投标人应准备所投项目的电子投标文件一份。通过新疆政采云平台投标文件制作专用软件制作。</w:t>
      </w:r>
    </w:p>
    <w:p>
      <w:pPr>
        <w:ind w:firstLine="411" w:firstLineChars="196"/>
        <w:rPr>
          <w:rFonts w:ascii="宋体" w:hAnsi="宋体"/>
        </w:rPr>
      </w:pPr>
      <w:r>
        <w:rPr>
          <w:rFonts w:hint="eastAsia" w:ascii="宋体" w:hAnsi="宋体"/>
        </w:rPr>
        <w:t>23.2投标人在使用《投标文件制作软件》编制投标书时须注意：</w:t>
      </w:r>
    </w:p>
    <w:p>
      <w:pPr>
        <w:ind w:firstLine="411" w:firstLineChars="196"/>
        <w:rPr>
          <w:rFonts w:ascii="宋体" w:hAnsi="宋体"/>
        </w:rPr>
      </w:pPr>
      <w:r>
        <w:rPr>
          <w:rFonts w:hint="eastAsia" w:ascii="宋体" w:hAnsi="宋体"/>
        </w:rPr>
        <w:t>23.2.1导入《投标文件制作软件》的采购文件项目编号、包号应与以此制作的投标文件项目编号、包号一致。例如，不能将甲项目A包的招标书导入《投标文件制作软件》，制作乙项目B包的投标书。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23.2.3要求用《投标文件制作软件》编制投标书的包，不能用其它方式编制投标书。编制投标文件时，电脑须连通互联网。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w:t>
      </w:r>
    </w:p>
    <w:p>
      <w:pPr>
        <w:ind w:firstLine="411" w:firstLineChars="196"/>
        <w:rPr>
          <w:rFonts w:ascii="宋体" w:hAnsi="宋体"/>
        </w:rPr>
      </w:pPr>
      <w:r>
        <w:rPr>
          <w:rFonts w:hint="eastAsia" w:ascii="宋体" w:hAnsi="宋体"/>
        </w:rPr>
        <w:t>23.2.5完整填写“投标关键信息”，“开标一览表”中的“投标报价”将作为价格分计算依据；其它信息仅是对投标文件相关内容的概括性表述，不作为评审依据。</w:t>
      </w:r>
    </w:p>
    <w:p>
      <w:pPr>
        <w:ind w:firstLine="420" w:firstLineChars="200"/>
        <w:rPr>
          <w:rFonts w:ascii="宋体" w:hAnsi="宋体"/>
          <w:b/>
        </w:rPr>
      </w:pPr>
      <w:r>
        <w:rPr>
          <w:rFonts w:hint="eastAsia" w:ascii="宋体" w:hAnsi="宋体"/>
        </w:rPr>
        <w:t>23.2.6投标人在编辑投标文件时，</w:t>
      </w:r>
      <w:r>
        <w:rPr>
          <w:rFonts w:hint="eastAsia" w:ascii="宋体" w:hAnsi="宋体"/>
          <w:b/>
        </w:rPr>
        <w:t>在投标文件目录中属于本节点内容的必须在本节点上传。</w:t>
      </w:r>
    </w:p>
    <w:p>
      <w:pPr>
        <w:ind w:firstLine="420" w:firstLineChars="200"/>
        <w:rPr>
          <w:rFonts w:ascii="宋体" w:hAnsi="宋体"/>
          <w:bCs/>
        </w:rPr>
      </w:pPr>
      <w:r>
        <w:rPr>
          <w:rFonts w:hint="eastAsia" w:ascii="宋体" w:hAnsi="宋体"/>
        </w:rPr>
        <w:t>23.2.7投标文件编写完成后，</w:t>
      </w:r>
      <w:r>
        <w:rPr>
          <w:rFonts w:hint="eastAsia" w:ascii="宋体" w:hAnsi="宋体"/>
          <w:bCs/>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拨打政采云95763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1" w:firstLineChars="196"/>
        <w:rPr>
          <w:rFonts w:ascii="宋体" w:hAnsi="宋体"/>
        </w:rPr>
      </w:pPr>
      <w:r>
        <w:rPr>
          <w:rFonts w:hint="eastAsia" w:ascii="宋体" w:hAnsi="宋体"/>
          <w:bCs/>
        </w:rPr>
        <w:t>23.4各类</w:t>
      </w:r>
      <w:r>
        <w:rPr>
          <w:rFonts w:hint="eastAsia" w:ascii="宋体" w:hAnsi="宋体"/>
        </w:rPr>
        <w:t>资格（资质）文件提供扫描件，专用条款另有要求的除外。</w:t>
      </w:r>
      <w:bookmarkEnd w:id="168"/>
    </w:p>
    <w:p>
      <w:pPr>
        <w:pStyle w:val="6"/>
        <w:tabs>
          <w:tab w:val="left" w:pos="360"/>
        </w:tabs>
        <w:spacing w:beforeLines="50" w:afterLines="50"/>
        <w:ind w:firstLine="2530" w:firstLineChars="900"/>
        <w:rPr>
          <w:sz w:val="28"/>
          <w:szCs w:val="28"/>
        </w:rPr>
      </w:pPr>
      <w:r>
        <w:rPr>
          <w:rFonts w:hint="eastAsia"/>
          <w:sz w:val="28"/>
          <w:szCs w:val="28"/>
        </w:rPr>
        <w:t>第四章  投标文件的递交</w:t>
      </w:r>
      <w:bookmarkStart w:id="169" w:name="_Hlk72405459"/>
    </w:p>
    <w:p>
      <w:pPr>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开标时间后才能解密查看。</w:t>
      </w:r>
    </w:p>
    <w:p>
      <w:pPr>
        <w:ind w:firstLine="420" w:firstLineChars="200"/>
        <w:rPr>
          <w:rFonts w:ascii="宋体" w:hAnsi="宋体"/>
          <w:bCs/>
        </w:rPr>
      </w:pPr>
      <w:r>
        <w:rPr>
          <w:rFonts w:hint="eastAsia" w:ascii="宋体" w:hAnsi="宋体"/>
          <w:bCs/>
        </w:rPr>
        <w:t>24.2若采购项目出现延期情况：</w:t>
      </w:r>
    </w:p>
    <w:p>
      <w:pPr>
        <w:ind w:firstLine="420" w:firstLineChars="200"/>
        <w:rPr>
          <w:rFonts w:ascii="黑体" w:hAnsi="宋体"/>
          <w:bCs/>
          <w:sz w:val="24"/>
        </w:rPr>
      </w:pPr>
      <w:r>
        <w:rPr>
          <w:rFonts w:hint="eastAsia" w:ascii="宋体" w:hAnsi="宋体"/>
          <w:bCs/>
        </w:rPr>
        <w:t>如果供下载的采购文件有更新，投标人必须重新下载采购文件、重新制作投标文件、重新加密投标文件、重新上传投标文件。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在采购文件</w:t>
      </w:r>
      <w:r>
        <w:rPr>
          <w:rFonts w:ascii="宋体" w:hAnsi="宋体"/>
        </w:rPr>
        <w:t>规定的投标截止时间前</w:t>
      </w:r>
      <w:r>
        <w:rPr>
          <w:rFonts w:hint="eastAsia" w:ascii="宋体" w:hAnsi="宋体"/>
        </w:rPr>
        <w:t>用电子密钥登录新疆政采云平台上传投标文件。如上传过程中遇到问题，可拨打技术支持电话，联系方式：95763</w:t>
      </w:r>
    </w:p>
    <w:p>
      <w:pPr>
        <w:ind w:firstLine="411" w:firstLineChars="196"/>
        <w:rPr>
          <w:rFonts w:ascii="宋体" w:hAnsi="宋体"/>
        </w:rPr>
      </w:pPr>
      <w:r>
        <w:rPr>
          <w:rFonts w:hint="eastAsia" w:ascii="宋体" w:hAnsi="宋体"/>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r>
        <w:rPr>
          <w:rFonts w:hint="eastAsia" w:ascii="宋体" w:hAnsi="宋体"/>
        </w:rPr>
        <w:t>25.4.投标人须在开标当日的开标时间至解密截止时间内进行在线解密，逾期未解密的作无效处理。</w:t>
      </w:r>
    </w:p>
    <w:bookmarkEnd w:id="169"/>
    <w:p>
      <w:pPr>
        <w:rPr>
          <w:rFonts w:ascii="黑体" w:hAnsi="宋体" w:eastAsia="黑体"/>
          <w:sz w:val="24"/>
        </w:rPr>
      </w:pPr>
      <w:r>
        <w:rPr>
          <w:rFonts w:hint="eastAsia" w:ascii="黑体" w:hAnsi="宋体" w:eastAsia="黑体"/>
          <w:sz w:val="24"/>
        </w:rPr>
        <w:t>26. 样品、演示、方案讲解</w:t>
      </w:r>
    </w:p>
    <w:p>
      <w:pPr>
        <w:ind w:firstLine="411" w:firstLineChars="196"/>
        <w:rPr>
          <w:rFonts w:ascii="宋体" w:hAnsi="宋体"/>
          <w:szCs w:val="21"/>
        </w:rPr>
      </w:pPr>
      <w:r>
        <w:rPr>
          <w:rFonts w:hint="eastAsia" w:ascii="宋体" w:hAnsi="宋体"/>
          <w:szCs w:val="21"/>
        </w:rPr>
        <w:t>26.1 样品、演示、方案讲解等事项在采购文件专用条款中进行规定。</w:t>
      </w:r>
    </w:p>
    <w:p>
      <w:pPr>
        <w:rPr>
          <w:rFonts w:ascii="黑体" w:hAnsi="宋体" w:eastAsia="黑体"/>
          <w:sz w:val="24"/>
        </w:rPr>
      </w:pPr>
      <w:bookmarkStart w:id="17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170"/>
    <w:p>
      <w:pPr>
        <w:pStyle w:val="6"/>
        <w:tabs>
          <w:tab w:val="left" w:pos="360"/>
        </w:tabs>
        <w:spacing w:beforeLines="50" w:afterLines="50"/>
        <w:ind w:firstLine="3092" w:firstLineChars="1100"/>
        <w:rPr>
          <w:sz w:val="28"/>
          <w:szCs w:val="28"/>
        </w:rPr>
      </w:pPr>
      <w:r>
        <w:rPr>
          <w:rFonts w:hint="eastAsia"/>
          <w:sz w:val="28"/>
          <w:szCs w:val="28"/>
        </w:rPr>
        <w:t>第五章  开标</w:t>
      </w:r>
    </w:p>
    <w:p>
      <w:pPr>
        <w:rPr>
          <w:rFonts w:ascii="黑体" w:hAnsi="宋体" w:eastAsia="黑体"/>
          <w:sz w:val="24"/>
        </w:rPr>
      </w:pPr>
      <w:r>
        <w:rPr>
          <w:rFonts w:hint="eastAsia" w:ascii="黑体" w:hAnsi="宋体" w:eastAsia="黑体"/>
          <w:sz w:val="24"/>
        </w:rPr>
        <w:t>28．开标</w:t>
      </w:r>
    </w:p>
    <w:p>
      <w:pPr>
        <w:ind w:firstLine="420" w:firstLineChars="200"/>
        <w:rPr>
          <w:rFonts w:ascii="宋体" w:hAnsi="宋体"/>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ascii="宋体" w:hAnsi="宋体"/>
        </w:rPr>
        <w:t>投标人须在开标当日的开标时间至解密截止时间内进行解密，逾期未解密的作无效处理。</w:t>
      </w:r>
    </w:p>
    <w:p>
      <w:pPr>
        <w:ind w:firstLine="359" w:firstLineChars="171"/>
        <w:rPr>
          <w:rFonts w:ascii="宋体" w:hAnsi="宋体"/>
          <w:szCs w:val="21"/>
        </w:rPr>
      </w:pPr>
      <w:r>
        <w:rPr>
          <w:rFonts w:hint="eastAsia" w:ascii="宋体" w:hAnsi="宋体"/>
          <w:szCs w:val="21"/>
        </w:rPr>
        <w:t>2</w:t>
      </w:r>
      <w:r>
        <w:rPr>
          <w:rFonts w:ascii="宋体" w:hAnsi="宋体"/>
          <w:szCs w:val="21"/>
        </w:rPr>
        <w:t xml:space="preserve">8.2 </w:t>
      </w:r>
      <w:r>
        <w:rPr>
          <w:rFonts w:hint="eastAsia" w:ascii="宋体" w:hAnsi="宋体"/>
          <w:szCs w:val="21"/>
        </w:rPr>
        <w:t>政府集中采购机构将在满足开标条件（</w:t>
      </w:r>
      <w:r>
        <w:rPr>
          <w:rFonts w:hint="eastAsia" w:ascii="宋体" w:hAnsi="宋体" w:cs="宋体"/>
          <w:color w:val="333333"/>
          <w:sz w:val="20"/>
        </w:rPr>
        <w:t>①</w:t>
      </w:r>
      <w:r>
        <w:rPr>
          <w:rFonts w:hint="eastAsia" w:ascii="宋体" w:hAnsi="宋体"/>
          <w:szCs w:val="21"/>
        </w:rPr>
        <w:t>解密时间结束，解密后的投标供应商数量满足开标要求或</w:t>
      </w:r>
      <w:r>
        <w:rPr>
          <w:rFonts w:hint="eastAsia" w:ascii="宋体" w:hAnsi="宋体" w:cs="宋体"/>
          <w:color w:val="333333"/>
          <w:sz w:val="20"/>
        </w:rPr>
        <w:t>②</w:t>
      </w:r>
      <w:r>
        <w:rPr>
          <w:rFonts w:hint="eastAsia" w:ascii="宋体" w:hAnsi="宋体"/>
          <w:szCs w:val="21"/>
        </w:rPr>
        <w:t>解密时间结束前所有投标供应商均完成投标文件解密）后，对投标文件进行开标，并在网上公布开标结果。</w:t>
      </w:r>
    </w:p>
    <w:p>
      <w:pPr>
        <w:pStyle w:val="6"/>
        <w:tabs>
          <w:tab w:val="left" w:pos="360"/>
        </w:tabs>
        <w:spacing w:beforeLines="50" w:afterLines="50"/>
        <w:ind w:firstLine="2811" w:firstLineChars="1000"/>
        <w:rPr>
          <w:sz w:val="28"/>
          <w:szCs w:val="28"/>
        </w:rPr>
      </w:pPr>
      <w:r>
        <w:rPr>
          <w:rFonts w:hint="eastAsia"/>
          <w:sz w:val="28"/>
          <w:szCs w:val="28"/>
        </w:rPr>
        <w:t>第六章   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171" w:name="_Hlk72436580"/>
      <w:r>
        <w:rPr>
          <w:rFonts w:hint="eastAsia" w:ascii="宋体" w:hAnsi="宋体"/>
        </w:rPr>
        <w:t>评审委员会由采购人代表和评审专家组成，成员人数应当为3人以上单数（部分条件下为7人以上单数），其中评审专家不得少于成员总数的三分之二。</w:t>
      </w:r>
      <w:bookmarkEnd w:id="171"/>
      <w:r>
        <w:rPr>
          <w:rFonts w:hint="eastAsia" w:ascii="宋体" w:hAnsi="宋体"/>
          <w:szCs w:val="21"/>
        </w:rPr>
        <w:t>评审专家一般是</w:t>
      </w:r>
      <w:r>
        <w:rPr>
          <w:rFonts w:hint="eastAsia" w:ascii="宋体" w:hAnsi="宋体"/>
        </w:rPr>
        <w:t>从新疆政采云平台政府采购评审专家库中随机抽取。采购人代表须持采购人出具的《评审授权书》参加评审。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29.4评审过程中不允许违背评标程序或采用采购文件未载明的评标方法或评标因素进行评标。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30.1公开发布的采购文件，包括图纸、服务清单、答疑文件等；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应当认真研究采购文件，至少应了解熟悉以下内容：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（3）采购文件规定的投标人的资格、预算金额、商务条款；</w:t>
      </w:r>
    </w:p>
    <w:p>
      <w:pPr>
        <w:ind w:firstLine="411" w:firstLineChars="196"/>
        <w:rPr>
          <w:rFonts w:ascii="宋体" w:hAnsi="宋体"/>
        </w:rPr>
      </w:pPr>
      <w:r>
        <w:rPr>
          <w:rFonts w:hint="eastAsia" w:ascii="宋体" w:hAnsi="宋体"/>
        </w:rPr>
        <w:t>（4）采购文件规定的评标程序、评标方法和评标因素；</w:t>
      </w:r>
    </w:p>
    <w:p>
      <w:pPr>
        <w:ind w:firstLine="411" w:firstLineChars="196"/>
        <w:rPr>
          <w:rFonts w:ascii="宋体" w:hAnsi="宋体"/>
        </w:rPr>
      </w:pPr>
      <w:r>
        <w:rPr>
          <w:rFonts w:hint="eastAsia" w:ascii="宋体" w:hAnsi="宋体"/>
        </w:rPr>
        <w:t>（5）采购文件所列示的资格性审查表及符合性审查表。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pStyle w:val="2"/>
      </w:pPr>
    </w:p>
    <w:p>
      <w:pPr>
        <w:pStyle w:val="6"/>
        <w:tabs>
          <w:tab w:val="left" w:pos="360"/>
        </w:tabs>
        <w:spacing w:beforeLines="50" w:afterLines="50"/>
        <w:ind w:firstLine="2249" w:firstLineChars="800"/>
        <w:rPr>
          <w:sz w:val="28"/>
          <w:szCs w:val="28"/>
        </w:rPr>
      </w:pPr>
      <w:r>
        <w:rPr>
          <w:rFonts w:hint="eastAsia"/>
          <w:sz w:val="28"/>
          <w:szCs w:val="28"/>
        </w:rPr>
        <w:t>第七章  采购评审程序及评审方法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资格性审查：依据法律法规和采购文件的规定，对投标文件中的资格证明等进行审查，以确定投标供应商是否具备投标资格。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采购文件的规定，对投标文件的有效性、完整性和对采购文件的响应程度进行审查，以确定是否满足符合性审查的要求。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对符合性审查不通过的响应文件评审委员会将按无效响应处理，由评审委员会现场告知该采购供应商，其响应文件作无效处理，不参与谈判。</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按照采购文件规定的方式确定一个投标人获得中标人推荐资格，采购文件未规定的采取随机抽取方式确定，其他同品牌投标人不作为中标候选人。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32.3.3非单一产品采购项目，采购人应当根据采购项目技术构成、产品价格比重等合理确定核心产品，并在采购文件中载明。多家投标人提供的核心产品品牌相同的，按前两款规定处理。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 w:val="24"/>
        </w:rPr>
      </w:pPr>
      <w:r>
        <w:t>32.6不同投标人的“文件制作时间”“文件制作机器码”“文件创建标识码”“IP”“上传时间”等信息异常一致的，不得作为投标无效的理由。如出现上述异常情况，应报主管部门处理。</w:t>
      </w:r>
      <w:r>
        <w:rPr>
          <w:rFonts w:hint="eastAsia" w:ascii="黑体" w:hAnsi="宋体" w:eastAsia="黑体"/>
          <w:sz w:val="24"/>
        </w:rPr>
        <w:t>33．澄清有关问题</w:t>
      </w:r>
    </w:p>
    <w:p>
      <w:pPr>
        <w:ind w:firstLine="411" w:firstLineChars="196"/>
        <w:rPr>
          <w:rFonts w:ascii="宋体" w:hAnsi="宋体"/>
        </w:rPr>
      </w:pPr>
      <w:bookmarkStart w:id="172" w:name="_Hlk71407321"/>
      <w:r>
        <w:rPr>
          <w:rFonts w:hint="eastAsia" w:ascii="宋体" w:hAnsi="宋体"/>
        </w:rPr>
        <w:t>3</w:t>
      </w:r>
      <w:r>
        <w:rPr>
          <w:rFonts w:ascii="宋体" w:hAnsi="宋体"/>
        </w:rPr>
        <w:t>3.1</w:t>
      </w:r>
      <w:r>
        <w:rPr>
          <w:rFonts w:hint="eastAsia" w:ascii="宋体" w:hAnsi="宋体"/>
        </w:rPr>
        <w:t>对采购文件中描述有歧义或前后不一致的地方（不含</w:t>
      </w:r>
      <w:r>
        <w:rPr>
          <w:rFonts w:hint="eastAsia"/>
          <w:szCs w:val="21"/>
        </w:rPr>
        <w:t>采购文件</w:t>
      </w:r>
      <w:r>
        <w:rPr>
          <w:szCs w:val="21"/>
        </w:rPr>
        <w:t>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172"/>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w:t>
      </w:r>
      <w:r>
        <w:rPr>
          <w:rFonts w:hint="eastAsia"/>
          <w:szCs w:val="21"/>
        </w:rPr>
        <w:t>采购文件</w:t>
      </w:r>
      <w:r>
        <w:rPr>
          <w:szCs w:val="21"/>
        </w:rPr>
        <w:t>存在歧义、重大缺陷导致评</w:t>
      </w:r>
      <w:r>
        <w:rPr>
          <w:rFonts w:hint="eastAsia"/>
          <w:szCs w:val="21"/>
        </w:rPr>
        <w:t>审</w:t>
      </w:r>
      <w:r>
        <w:rPr>
          <w:szCs w:val="21"/>
        </w:rPr>
        <w:t>工作无法进行，或者</w:t>
      </w:r>
      <w:r>
        <w:rPr>
          <w:rFonts w:hint="eastAsia"/>
          <w:szCs w:val="21"/>
        </w:rPr>
        <w:t>采购文件</w:t>
      </w:r>
      <w:r>
        <w:rPr>
          <w:szCs w:val="21"/>
        </w:rPr>
        <w:t>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采购文件</w:t>
      </w:r>
      <w:r>
        <w:rPr>
          <w:szCs w:val="21"/>
        </w:rPr>
        <w:t>，重新组织采购活动。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173" w:name="_Toc73517673"/>
      <w:bookmarkStart w:id="174" w:name="_Toc73521581"/>
      <w:bookmarkStart w:id="175" w:name="_Toc73518151"/>
      <w:bookmarkStart w:id="176" w:name="_Toc100052400"/>
      <w:bookmarkStart w:id="177" w:name="_Toc73521669"/>
      <w:r>
        <w:rPr>
          <w:rFonts w:hint="eastAsia" w:ascii="黑体" w:hAnsi="宋体" w:eastAsia="黑体"/>
          <w:sz w:val="24"/>
        </w:rPr>
        <w:t>34．错误的修正</w:t>
      </w:r>
      <w:bookmarkEnd w:id="173"/>
      <w:bookmarkEnd w:id="174"/>
      <w:bookmarkEnd w:id="175"/>
      <w:bookmarkEnd w:id="176"/>
      <w:bookmarkEnd w:id="17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评审委员会将按照政府采购法律法规，仅对通过资格性审查和符合性审查的投标文件进行综合比较与评价。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178" w:name="_Hlk72438142"/>
      <w:r>
        <w:rPr>
          <w:rFonts w:ascii="ˎ̥" w:hAnsi="ˎ̥"/>
        </w:rPr>
        <w:t>最低价法，是指</w:t>
      </w:r>
      <w:r>
        <w:rPr>
          <w:rFonts w:hint="eastAsia" w:ascii="ˎ̥" w:hAnsi="ˎ̥"/>
        </w:rPr>
        <w:t>完全</w:t>
      </w:r>
      <w:r>
        <w:rPr>
          <w:rFonts w:ascii="ˎ̥" w:hAnsi="ˎ̥"/>
        </w:rPr>
        <w:t>满足</w:t>
      </w:r>
      <w:r>
        <w:rPr>
          <w:rFonts w:hint="eastAsia" w:ascii="ˎ̥" w:hAnsi="ˎ̥"/>
        </w:rPr>
        <w:t>采购文件</w:t>
      </w:r>
      <w:r>
        <w:rPr>
          <w:rFonts w:ascii="ˎ̥" w:hAnsi="ˎ̥"/>
        </w:rPr>
        <w:t>实质性要求，</w:t>
      </w:r>
      <w:r>
        <w:rPr>
          <w:rFonts w:hint="eastAsia" w:ascii="ˎ̥" w:hAnsi="ˎ̥"/>
        </w:rPr>
        <w:t>按照报价由低到高的顺序，依据采购文件中规定的数量或者比例推荐候选中标供应商。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w:t>
      </w:r>
      <w:r>
        <w:rPr>
          <w:rFonts w:hint="eastAsia" w:ascii="ˎ̥" w:hAnsi="ˎ̥"/>
        </w:rPr>
        <w:t>采购文件</w:t>
      </w:r>
      <w:r>
        <w:rPr>
          <w:rFonts w:ascii="ˎ̥" w:hAnsi="ˎ̥"/>
        </w:rPr>
        <w:t>全部实质性要求</w:t>
      </w:r>
      <w:r>
        <w:rPr>
          <w:rFonts w:hint="eastAsia" w:ascii="ˎ̥" w:hAnsi="ˎ̥"/>
        </w:rPr>
        <w:t>的前提下</w:t>
      </w:r>
      <w:r>
        <w:rPr>
          <w:rFonts w:ascii="ˎ̥" w:hAnsi="ˎ̥"/>
        </w:rPr>
        <w:t>，</w:t>
      </w:r>
      <w:r>
        <w:rPr>
          <w:rFonts w:hint="eastAsia" w:ascii="ˎ̥" w:hAnsi="ˎ̥"/>
        </w:rPr>
        <w:t>按照采购文件中规定的各项因素进行综合评审，评审总得分排名前列的投标人，作为推荐的候选中标供应商。</w:t>
      </w:r>
      <w:bookmarkEnd w:id="178"/>
    </w:p>
    <w:p>
      <w:pPr>
        <w:ind w:firstLine="413" w:firstLineChars="196"/>
        <w:rPr>
          <w:rFonts w:ascii="宋体" w:hAnsi="宋体"/>
          <w:b/>
          <w:bCs/>
          <w:szCs w:val="21"/>
        </w:rPr>
      </w:pPr>
      <w:r>
        <w:rPr>
          <w:rFonts w:hint="eastAsia" w:ascii="宋体" w:hAnsi="宋体"/>
          <w:b/>
          <w:bCs/>
          <w:szCs w:val="21"/>
        </w:rPr>
        <w:t>37.2 本项目采用的评审方法见本项目采购文件第一册“专用条款”的相关内容。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cs="宋体"/>
          <w:kern w:val="0"/>
          <w:szCs w:val="21"/>
        </w:rPr>
      </w:pPr>
    </w:p>
    <w:p/>
    <w:p/>
    <w:p>
      <w:pPr>
        <w:pStyle w:val="6"/>
        <w:tabs>
          <w:tab w:val="left" w:pos="360"/>
        </w:tabs>
        <w:spacing w:beforeLines="50" w:afterLines="50"/>
        <w:ind w:firstLine="2530" w:firstLineChars="900"/>
        <w:rPr>
          <w:sz w:val="28"/>
          <w:szCs w:val="28"/>
        </w:rPr>
      </w:pPr>
      <w:r>
        <w:rPr>
          <w:rFonts w:hint="eastAsia"/>
          <w:sz w:val="28"/>
          <w:szCs w:val="28"/>
        </w:rPr>
        <w:t>第八章  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179"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w:t>
      </w:r>
      <w:r>
        <w:rPr>
          <w:rFonts w:hint="eastAsia" w:ascii="ˎ̥" w:hAnsi="ˎ̥"/>
        </w:rPr>
        <w:t>采购文件</w:t>
      </w:r>
      <w:r>
        <w:rPr>
          <w:rFonts w:ascii="ˎ̥" w:hAnsi="ˎ̥"/>
        </w:rPr>
        <w:t>全部实质性要求且投标报价最低的</w:t>
      </w:r>
      <w:r>
        <w:rPr>
          <w:rFonts w:hint="eastAsia" w:ascii="ˎ̥" w:hAnsi="ˎ̥"/>
        </w:rPr>
        <w:t>投标人为</w:t>
      </w:r>
      <w:bookmarkStart w:id="180"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80"/>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w:t>
      </w:r>
      <w:r>
        <w:rPr>
          <w:rFonts w:hint="eastAsia" w:ascii="ˎ̥" w:hAnsi="ˎ̥"/>
        </w:rPr>
        <w:t>采购文件</w:t>
      </w:r>
      <w:r>
        <w:rPr>
          <w:rFonts w:ascii="ˎ̥" w:hAnsi="ˎ̥"/>
        </w:rPr>
        <w:t>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18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18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81"/>
      <w:bookmarkEnd w:id="18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w:t>
      </w: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179"/>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183" w:name="_Hlk72438709"/>
      <w:r>
        <w:rPr>
          <w:rFonts w:hint="eastAsia" w:ascii="宋体" w:hAnsi="宋体"/>
          <w:szCs w:val="21"/>
        </w:rPr>
        <w:t>为体现“公开、公平、公正”的原则，评审结束后经采购人确认（确定）评审结果，政府集中采购机构将在“新疆政采云平台”上发布中标结果公告。</w:t>
      </w:r>
      <w:bookmarkEnd w:id="183"/>
      <w:bookmarkStart w:id="18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w:t>
      </w:r>
      <w:r>
        <w:rPr>
          <w:rFonts w:hint="eastAsia" w:ascii="宋体" w:hAnsi="宋体"/>
          <w:szCs w:val="21"/>
        </w:rPr>
        <w:t>0996-2024012</w:t>
      </w:r>
      <w:r>
        <w:rPr>
          <w:rFonts w:ascii="宋体" w:hAnsi="宋体"/>
          <w:szCs w:val="21"/>
        </w:rPr>
        <w:t>。</w:t>
      </w:r>
      <w:r>
        <w:rPr>
          <w:rFonts w:hint="eastAsia" w:ascii="宋体" w:hAnsi="宋体"/>
          <w:szCs w:val="21"/>
        </w:rPr>
        <w:t>若在公示期内未提出质疑，则视为认同该评审结果。</w:t>
      </w:r>
    </w:p>
    <w:bookmarkEnd w:id="18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85" w:name="_Hlk72438863"/>
      <w:r>
        <w:rPr>
          <w:rFonts w:hint="eastAsia" w:ascii="宋体" w:hAnsi="宋体"/>
          <w:szCs w:val="21"/>
        </w:rPr>
        <w:t>中标公告公布以后无异常的情况下,中标供应商和采购人可自行在“新疆政采云平台）”上打印电子</w:t>
      </w:r>
      <w:r>
        <w:rPr>
          <w:rFonts w:hint="eastAsia" w:ascii="宋体" w:hAnsi="宋体"/>
          <w:bCs/>
          <w:szCs w:val="21"/>
        </w:rPr>
        <w:t>中标通知书。</w:t>
      </w:r>
      <w:bookmarkEnd w:id="18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86" w:name="_Hlk71407340"/>
      <w:r>
        <w:rPr>
          <w:rFonts w:hint="eastAsia" w:ascii="宋体" w:hAnsi="宋体"/>
          <w:szCs w:val="21"/>
        </w:rPr>
        <w:t>41.3因质疑投诉或其它原因导致项目结果变更或采购终止的，政府集中采购机构有权吊销中标通知书。</w:t>
      </w:r>
    </w:p>
    <w:bookmarkEnd w:id="186"/>
    <w:p>
      <w:pPr>
        <w:pStyle w:val="6"/>
        <w:tabs>
          <w:tab w:val="left" w:pos="360"/>
        </w:tabs>
        <w:spacing w:beforeLines="50" w:afterLines="50"/>
        <w:ind w:firstLine="2811" w:firstLineChars="1000"/>
        <w:rPr>
          <w:sz w:val="28"/>
          <w:szCs w:val="28"/>
        </w:rPr>
      </w:pPr>
      <w:r>
        <w:rPr>
          <w:rFonts w:hint="eastAsia"/>
          <w:sz w:val="28"/>
          <w:szCs w:val="28"/>
        </w:rPr>
        <w:t>第九章  谈判事项</w:t>
      </w:r>
    </w:p>
    <w:p>
      <w:pPr>
        <w:rPr>
          <w:rFonts w:ascii="黑体" w:hAnsi="宋体" w:eastAsia="黑体"/>
          <w:sz w:val="24"/>
        </w:rPr>
      </w:pPr>
      <w:bookmarkStart w:id="187" w:name="_Hlk72439043"/>
      <w:r>
        <w:rPr>
          <w:rFonts w:hint="eastAsia" w:ascii="黑体" w:hAnsi="宋体" w:eastAsia="黑体"/>
          <w:sz w:val="24"/>
        </w:rPr>
        <w:t>42.关于谈判</w:t>
      </w:r>
    </w:p>
    <w:p>
      <w:pPr>
        <w:ind w:firstLine="411" w:firstLineChars="196"/>
        <w:rPr>
          <w:rFonts w:ascii="宋体" w:hAnsi="宋体" w:cs="宋体"/>
          <w:kern w:val="0"/>
          <w:szCs w:val="21"/>
        </w:rPr>
      </w:pPr>
      <w:r>
        <w:rPr>
          <w:rFonts w:hint="eastAsia" w:ascii="宋体" w:hAnsi="宋体" w:cs="宋体"/>
          <w:kern w:val="0"/>
          <w:szCs w:val="21"/>
        </w:rPr>
        <w:t xml:space="preserve">评审委员会所有成员集中与单一供应商分别进行谈判，并给予所有参加谈判的供应商平等的谈判机会。 </w:t>
      </w:r>
    </w:p>
    <w:p>
      <w:pPr>
        <w:ind w:firstLine="411" w:firstLineChars="196"/>
        <w:rPr>
          <w:rFonts w:ascii="宋体" w:hAnsi="宋体" w:cs="宋体"/>
          <w:kern w:val="0"/>
          <w:szCs w:val="21"/>
        </w:rPr>
      </w:pPr>
      <w:r>
        <w:rPr>
          <w:rFonts w:hint="eastAsia" w:ascii="宋体" w:hAnsi="宋体" w:cs="宋体"/>
          <w:kern w:val="0"/>
          <w:szCs w:val="21"/>
        </w:rPr>
        <w:t>42.1 评审委员会对各供应商的最后报价进行审查，认为供应商的最后报价明显低于其他通过资格、符合性审查供应商的报价，有可能影响工程质量或者不能诚信履约的，应当要求其在谈判现场提供书面说明，必要时提交相关证明材料；供应商不能证明其报价合理性的，评审委员会应当将其作为无效响应处理。</w:t>
      </w:r>
    </w:p>
    <w:p>
      <w:pPr>
        <w:ind w:firstLine="411" w:firstLineChars="196"/>
        <w:rPr>
          <w:rFonts w:ascii="宋体" w:hAnsi="宋体" w:cs="宋体"/>
          <w:kern w:val="0"/>
          <w:szCs w:val="21"/>
        </w:rPr>
      </w:pPr>
      <w:r>
        <w:rPr>
          <w:rFonts w:hint="eastAsia" w:ascii="宋体" w:hAnsi="宋体" w:cs="宋体"/>
          <w:kern w:val="0"/>
          <w:szCs w:val="21"/>
        </w:rPr>
        <w:t xml:space="preserve"> 在谈判过程中，</w:t>
      </w:r>
      <w:r>
        <w:rPr>
          <w:rFonts w:hint="eastAsia" w:ascii="宋体" w:hAnsi="宋体" w:cs="宋体"/>
          <w:color w:val="FF0000"/>
          <w:kern w:val="0"/>
          <w:szCs w:val="21"/>
        </w:rPr>
        <w:t>评审委员会可以根据谈判文件和谈判情况实质性变动采购需求中的技术、服务要求以及合同草案条款</w:t>
      </w:r>
      <w:r>
        <w:rPr>
          <w:rFonts w:hint="eastAsia" w:ascii="宋体" w:hAnsi="宋体" w:cs="宋体"/>
          <w:kern w:val="0"/>
          <w:szCs w:val="21"/>
        </w:rPr>
        <w:t xml:space="preserve">，但不得变动谈判文件中的其他内容。实质性变动的内容，须经采购人代表确认。 </w:t>
      </w:r>
    </w:p>
    <w:p>
      <w:pPr>
        <w:ind w:firstLine="411" w:firstLineChars="196"/>
        <w:rPr>
          <w:rFonts w:ascii="宋体" w:hAnsi="宋体" w:cs="宋体"/>
          <w:kern w:val="0"/>
          <w:szCs w:val="21"/>
        </w:rPr>
      </w:pPr>
      <w:r>
        <w:rPr>
          <w:rFonts w:hint="eastAsia" w:ascii="宋体" w:hAnsi="宋体" w:cs="宋体"/>
          <w:kern w:val="0"/>
          <w:szCs w:val="21"/>
        </w:rPr>
        <w:t xml:space="preserve">42.2 对谈判文件作出的实质性变动是谈判文件的有效组成部分，评审委员会应当以书面形式同时通知所有参加谈判的供应商，供应商应当按照谈判文件的变动情况和评审委员会的要求重新提交响应文件，并由其法定代表人或授权代表签字或者加盖公章。供应商为自然人的，应当由本人签字并附身份证明。 </w:t>
      </w:r>
    </w:p>
    <w:p>
      <w:pPr>
        <w:ind w:firstLine="411" w:firstLineChars="196"/>
        <w:rPr>
          <w:rFonts w:ascii="宋体" w:hAnsi="宋体" w:cs="宋体"/>
          <w:kern w:val="0"/>
          <w:szCs w:val="21"/>
        </w:rPr>
      </w:pPr>
      <w:r>
        <w:rPr>
          <w:rFonts w:hint="eastAsia" w:ascii="宋体" w:hAnsi="宋体" w:cs="宋体"/>
          <w:kern w:val="0"/>
          <w:szCs w:val="21"/>
        </w:rPr>
        <w:t xml:space="preserve">42.3谈判文件能够详细说明采购标的的技术、服务要求的，谈判结束后，评审委员会应当要求所有实质性响应的供应商在规定的时间内提交最后报价，提交最后报价的供应商不得少于3家。如谈判文件不能详细列明采购标的的技术、服务要求，需经谈判由供应商提供最终设计方案或解决方案的，谈判结束后，评审委员会应当按照少数服从多数的原则投票推荐3家以上供应商的设计方案或者解决方案，并要求其在规定时间内提交最后报价。最后报价是响应文件的有效组成部分。 </w:t>
      </w:r>
    </w:p>
    <w:p>
      <w:pPr>
        <w:ind w:firstLine="411" w:firstLineChars="196"/>
        <w:rPr>
          <w:rFonts w:ascii="宋体" w:hAnsi="宋体" w:cs="宋体"/>
          <w:kern w:val="0"/>
          <w:szCs w:val="21"/>
        </w:rPr>
      </w:pPr>
      <w:r>
        <w:rPr>
          <w:rFonts w:hint="eastAsia" w:ascii="宋体" w:hAnsi="宋体" w:cs="宋体"/>
          <w:kern w:val="0"/>
          <w:szCs w:val="21"/>
        </w:rPr>
        <w:t xml:space="preserve">42.4在谈判过程中，供应商提交的澄清文件和最终响应文件，由供应商法定代表人或其授权代表签署后生效，供应商应受其约束。 </w:t>
      </w:r>
    </w:p>
    <w:p>
      <w:pPr>
        <w:ind w:firstLine="411" w:firstLineChars="196"/>
        <w:rPr>
          <w:rFonts w:ascii="宋体" w:hAnsi="宋体" w:cs="宋体"/>
          <w:kern w:val="0"/>
          <w:szCs w:val="21"/>
        </w:rPr>
      </w:pPr>
      <w:r>
        <w:rPr>
          <w:rFonts w:hint="eastAsia" w:ascii="宋体" w:hAnsi="宋体" w:cs="宋体"/>
          <w:kern w:val="0"/>
          <w:szCs w:val="21"/>
        </w:rPr>
        <w:t>42.5已提交响应文件的供应商，在提交最后报价之前，可以根据谈判情况退出谈判。未作最后报价供应商视为自动退出谈判。供应商下轮报价可与上轮报价一致。</w:t>
      </w:r>
    </w:p>
    <w:p>
      <w:pPr>
        <w:pStyle w:val="6"/>
        <w:tabs>
          <w:tab w:val="left" w:pos="360"/>
        </w:tabs>
        <w:spacing w:beforeLines="50" w:afterLines="50"/>
        <w:ind w:firstLine="2249" w:firstLineChars="800"/>
        <w:rPr>
          <w:sz w:val="28"/>
          <w:szCs w:val="28"/>
        </w:rPr>
      </w:pPr>
    </w:p>
    <w:p>
      <w:pPr>
        <w:pStyle w:val="6"/>
        <w:tabs>
          <w:tab w:val="left" w:pos="360"/>
        </w:tabs>
        <w:spacing w:beforeLines="50" w:afterLines="50"/>
        <w:ind w:firstLine="2249" w:firstLineChars="800"/>
        <w:rPr>
          <w:sz w:val="28"/>
          <w:szCs w:val="28"/>
        </w:rPr>
      </w:pPr>
      <w:r>
        <w:rPr>
          <w:rFonts w:hint="eastAsia"/>
          <w:sz w:val="28"/>
          <w:szCs w:val="28"/>
        </w:rPr>
        <w:t>第十章  合同的授予与备案</w:t>
      </w:r>
      <w:bookmarkEnd w:id="187"/>
    </w:p>
    <w:p>
      <w:pPr>
        <w:rPr>
          <w:rFonts w:ascii="黑体" w:hAnsi="宋体" w:eastAsia="黑体"/>
          <w:sz w:val="24"/>
        </w:rPr>
      </w:pPr>
      <w:bookmarkStart w:id="188" w:name="_Toc73521674"/>
      <w:bookmarkStart w:id="189" w:name="_Toc100052408"/>
      <w:bookmarkStart w:id="190" w:name="_Toc73518157"/>
      <w:bookmarkStart w:id="191" w:name="_Toc73521586"/>
      <w:bookmarkStart w:id="192" w:name="_Toc73517679"/>
      <w:bookmarkStart w:id="193" w:name="_Hlk72439088"/>
      <w:r>
        <w:rPr>
          <w:rFonts w:hint="eastAsia" w:ascii="黑体" w:hAnsi="宋体" w:eastAsia="黑体"/>
          <w:sz w:val="24"/>
        </w:rPr>
        <w:t>43．合同授予标准</w:t>
      </w:r>
      <w:bookmarkEnd w:id="188"/>
      <w:bookmarkEnd w:id="189"/>
      <w:bookmarkEnd w:id="190"/>
      <w:bookmarkEnd w:id="191"/>
      <w:bookmarkEnd w:id="192"/>
    </w:p>
    <w:p>
      <w:pPr>
        <w:ind w:firstLine="411" w:firstLineChars="196"/>
        <w:rPr>
          <w:rFonts w:ascii="宋体" w:hAnsi="宋体"/>
          <w:szCs w:val="21"/>
        </w:rPr>
      </w:pPr>
      <w:r>
        <w:rPr>
          <w:rFonts w:hint="eastAsia" w:ascii="宋体" w:hAnsi="宋体"/>
          <w:szCs w:val="21"/>
        </w:rPr>
        <w:t>本项目的合同将授予经本采购文件规定评审确定的中标供应商。</w:t>
      </w:r>
    </w:p>
    <w:p>
      <w:pPr>
        <w:rPr>
          <w:rFonts w:ascii="黑体" w:hAnsi="宋体" w:eastAsia="黑体"/>
          <w:sz w:val="24"/>
        </w:rPr>
      </w:pPr>
      <w:bookmarkStart w:id="194" w:name="_Toc73518158"/>
      <w:bookmarkStart w:id="195" w:name="_Toc73517680"/>
      <w:bookmarkStart w:id="196" w:name="_Toc73521675"/>
      <w:bookmarkStart w:id="197" w:name="_Toc73521587"/>
      <w:bookmarkStart w:id="198" w:name="_Toc100052409"/>
      <w:r>
        <w:rPr>
          <w:rFonts w:hint="eastAsia" w:ascii="黑体" w:hAnsi="宋体" w:eastAsia="黑体"/>
          <w:sz w:val="24"/>
        </w:rPr>
        <w:t>44．</w:t>
      </w:r>
      <w:bookmarkEnd w:id="194"/>
      <w:bookmarkEnd w:id="195"/>
      <w:bookmarkEnd w:id="196"/>
      <w:bookmarkEnd w:id="197"/>
      <w:bookmarkEnd w:id="19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99" w:name="_Toc73521677"/>
      <w:bookmarkStart w:id="200" w:name="_Toc100052410"/>
      <w:bookmarkStart w:id="201" w:name="_Toc73517682"/>
      <w:bookmarkStart w:id="202" w:name="_Toc73521589"/>
      <w:bookmarkStart w:id="203" w:name="_Toc73518160"/>
      <w:r>
        <w:rPr>
          <w:rFonts w:hint="eastAsia" w:ascii="黑体" w:hAnsi="宋体" w:eastAsia="黑体"/>
          <w:sz w:val="24"/>
        </w:rPr>
        <w:t>45．合同的签订</w:t>
      </w:r>
      <w:bookmarkEnd w:id="199"/>
      <w:bookmarkEnd w:id="200"/>
      <w:bookmarkEnd w:id="201"/>
      <w:bookmarkEnd w:id="202"/>
      <w:bookmarkEnd w:id="203"/>
    </w:p>
    <w:p>
      <w:pPr>
        <w:ind w:firstLine="411" w:firstLineChars="196"/>
        <w:rPr>
          <w:rFonts w:ascii="宋体" w:hAnsi="宋体"/>
          <w:szCs w:val="21"/>
        </w:rPr>
      </w:pPr>
      <w:r>
        <w:rPr>
          <w:rFonts w:hint="eastAsia" w:ascii="宋体" w:hAnsi="宋体"/>
          <w:szCs w:val="21"/>
        </w:rPr>
        <w:t>45.1中标人将于中标通知书发出之日起十个工作日内，按照采购文件（采购文件和投标文件等）内容与采购人签订政府采购合同；合同的实质性内容应当符合采购文件的规定；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204" w:name="_Toc73521590"/>
      <w:bookmarkStart w:id="205" w:name="_Toc73521678"/>
      <w:bookmarkStart w:id="206" w:name="_Toc73517683"/>
      <w:bookmarkStart w:id="207" w:name="_Toc73518161"/>
      <w:bookmarkStart w:id="208" w:name="_Toc100052411"/>
      <w:r>
        <w:rPr>
          <w:rFonts w:hint="eastAsia" w:ascii="黑体" w:hAnsi="宋体" w:eastAsia="黑体"/>
          <w:sz w:val="24"/>
        </w:rPr>
        <w:t>46．履约担保</w:t>
      </w:r>
      <w:bookmarkEnd w:id="204"/>
      <w:bookmarkEnd w:id="205"/>
      <w:bookmarkEnd w:id="206"/>
      <w:bookmarkEnd w:id="207"/>
      <w:bookmarkEnd w:id="20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合同变更事宜按财政部门相关规定执行。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49.1采购人应当按照采购文件和合同规定的标准和方法，及时组织验收。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供应商在政府采购中，有下列行为之一的，一至三年内禁止其参与本市政府采购，并由主管部门记入供应商诚信档案，处以采购金额千分之十以上千分之二十以下的罚款；情节严重的，取消其参与本地区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有下述四条所列情形的，</w:t>
      </w:r>
      <w:bookmarkStart w:id="209" w:name="_Hlk72440769"/>
      <w:r>
        <w:rPr>
          <w:rFonts w:hint="eastAsia" w:ascii="宋体" w:hAnsi="宋体"/>
          <w:szCs w:val="21"/>
        </w:rPr>
        <w:t>采购人或政府集中采购机构</w:t>
      </w:r>
      <w:bookmarkEnd w:id="209"/>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93"/>
    <w:p>
      <w:pPr>
        <w:pStyle w:val="6"/>
        <w:tabs>
          <w:tab w:val="left" w:pos="360"/>
        </w:tabs>
        <w:spacing w:beforeLines="50" w:afterLines="50"/>
        <w:ind w:firstLine="2530" w:firstLineChars="900"/>
        <w:rPr>
          <w:sz w:val="28"/>
          <w:szCs w:val="28"/>
        </w:rPr>
      </w:pPr>
      <w:r>
        <w:rPr>
          <w:rFonts w:hint="eastAsia"/>
          <w:sz w:val="28"/>
          <w:szCs w:val="28"/>
        </w:rPr>
        <w:t>第十一章  质疑处理</w:t>
      </w:r>
    </w:p>
    <w:p>
      <w:pPr>
        <w:rPr>
          <w:rFonts w:ascii="黑体" w:hAnsi="宋体" w:eastAsia="黑体"/>
          <w:sz w:val="24"/>
        </w:rPr>
      </w:pPr>
      <w:bookmarkStart w:id="210"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211" w:name="_Hlk75374941"/>
      <w:r>
        <w:rPr>
          <w:rFonts w:hint="eastAsia" w:ascii="宋体" w:hAnsi="宋体"/>
          <w:szCs w:val="21"/>
        </w:rPr>
        <w:t>以联合体形式参与的，质疑应当由组成联合体的所有成员共同提出</w:t>
      </w:r>
      <w:bookmarkEnd w:id="211"/>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52.5提交方式</w:t>
      </w:r>
    </w:p>
    <w:p>
      <w:pPr>
        <w:ind w:firstLine="420" w:firstLineChars="200"/>
        <w:rPr>
          <w:rFonts w:ascii="宋体" w:hAnsi="宋体"/>
          <w:b/>
          <w:bCs/>
          <w:szCs w:val="21"/>
        </w:rPr>
      </w:pPr>
      <w:r>
        <w:rPr>
          <w:rFonts w:hint="eastAsia" w:ascii="宋体" w:hAnsi="宋体"/>
          <w:szCs w:val="21"/>
        </w:rPr>
        <w:t>5</w:t>
      </w:r>
      <w:r>
        <w:rPr>
          <w:rFonts w:ascii="宋体" w:hAnsi="宋体"/>
          <w:szCs w:val="21"/>
        </w:rPr>
        <w:t>2.5.</w:t>
      </w:r>
      <w:r>
        <w:rPr>
          <w:rFonts w:hint="eastAsia" w:ascii="宋体" w:hAnsi="宋体"/>
          <w:szCs w:val="21"/>
        </w:rPr>
        <w:t>1请质疑供应商根据附件质疑函范本所发布的质疑指引、质疑函模板填写质疑函并提交书面质疑材料。</w:t>
      </w:r>
      <w:r>
        <w:rPr>
          <w:rFonts w:hint="eastAsia" w:ascii="宋体" w:hAnsi="宋体"/>
          <w:b/>
          <w:bCs/>
          <w:szCs w:val="21"/>
        </w:rPr>
        <w:t>地址：新疆库尔勒市索克巴格路州住建大厦14楼政府采购交易科，质疑咨询电话：0996-2035295。</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bookmarkEnd w:id="210"/>
    <w:p>
      <w:pPr>
        <w:rPr>
          <w:rFonts w:ascii="宋体" w:hAnsi="宋体"/>
          <w:szCs w:val="21"/>
        </w:rPr>
      </w:pPr>
    </w:p>
    <w:p>
      <w:pPr>
        <w:rPr>
          <w:rFonts w:ascii="宋体" w:hAnsi="宋体"/>
          <w:b/>
          <w:bCs/>
          <w:kern w:val="0"/>
          <w:sz w:val="28"/>
          <w:szCs w:val="28"/>
        </w:rPr>
      </w:pPr>
    </w:p>
    <w:p>
      <w:pPr>
        <w:rPr>
          <w:rFonts w:ascii="方正黑体_GBK" w:hAnsi="方正黑体_GBK" w:eastAsia="方正黑体_GBK" w:cs="方正黑体_GBK"/>
          <w:b/>
          <w:bCs/>
          <w:sz w:val="30"/>
          <w:szCs w:val="30"/>
        </w:rPr>
      </w:pPr>
    </w:p>
    <w:p>
      <w:pPr>
        <w:jc w:val="center"/>
        <w:rPr>
          <w:rFonts w:ascii="方正黑体_GBK" w:hAnsi="方正黑体_GBK" w:eastAsia="方正黑体_GBK" w:cs="方正黑体_GBK"/>
          <w:b/>
          <w:bCs/>
          <w:sz w:val="30"/>
          <w:szCs w:val="30"/>
        </w:rPr>
      </w:pPr>
    </w:p>
    <w:p>
      <w:pPr>
        <w:jc w:val="center"/>
        <w:rPr>
          <w:rFonts w:ascii="方正黑体_GBK" w:hAnsi="方正黑体_GBK" w:eastAsia="方正黑体_GBK" w:cs="方正黑体_GBK"/>
          <w:b/>
          <w:bCs/>
          <w:sz w:val="30"/>
          <w:szCs w:val="30"/>
        </w:rPr>
      </w:pPr>
    </w:p>
    <w:p>
      <w:pPr>
        <w:jc w:val="center"/>
        <w:rPr>
          <w:rFonts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rPr>
        <w:t>质疑函范本</w:t>
      </w:r>
    </w:p>
    <w:p>
      <w:pPr>
        <w:adjustRightInd w:val="0"/>
        <w:snapToGrid w:val="0"/>
        <w:spacing w:beforeLines="100" w:line="360" w:lineRule="auto"/>
        <w:rPr>
          <w:rFonts w:ascii="宋体" w:hAnsi="宋体" w:cs="宋体"/>
          <w:spacing w:val="-4"/>
          <w:kern w:val="0"/>
          <w:szCs w:val="21"/>
        </w:rPr>
      </w:pPr>
      <w:r>
        <w:rPr>
          <w:rFonts w:hint="eastAsia" w:ascii="宋体" w:hAnsi="宋体" w:cs="宋体"/>
          <w:spacing w:val="-4"/>
          <w:kern w:val="0"/>
          <w:szCs w:val="21"/>
        </w:rPr>
        <w:t>一、质疑供应商基本信息</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质疑供应商：</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 xml:space="preserve">地址：                             邮编：                                    </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 xml:space="preserve">联系人：                           联系电话：                                       </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授权代表：</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联系电话：</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 xml:space="preserve">地址：                              邮编：                                     </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二、质疑项目基本情况</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质疑项目的名称：</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 xml:space="preserve">质疑项目的编号：                         包号：                           </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采购人名称：</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采购文件获取日期：</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三、质疑事项具体内容</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质疑事项1：</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事实依据：</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法律依据：</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质疑事项2</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四、与质疑事项相关的质疑请求</w:t>
      </w:r>
    </w:p>
    <w:p>
      <w:pPr>
        <w:adjustRightInd w:val="0"/>
        <w:snapToGrid w:val="0"/>
        <w:spacing w:line="360" w:lineRule="auto"/>
        <w:rPr>
          <w:rFonts w:ascii="宋体" w:hAnsi="宋体" w:cs="宋体"/>
          <w:spacing w:val="-4"/>
          <w:kern w:val="0"/>
          <w:szCs w:val="21"/>
        </w:rPr>
      </w:pPr>
      <w:r>
        <w:rPr>
          <w:rFonts w:hint="eastAsia" w:ascii="宋体" w:hAnsi="宋体" w:cs="宋体"/>
          <w:spacing w:val="-4"/>
          <w:kern w:val="0"/>
          <w:szCs w:val="21"/>
        </w:rPr>
        <w:t>请求：</w:t>
      </w:r>
    </w:p>
    <w:p>
      <w:pPr>
        <w:rPr>
          <w:rFonts w:ascii="宋体" w:hAnsi="宋体" w:cs="宋体"/>
          <w:spacing w:val="-4"/>
          <w:kern w:val="0"/>
          <w:szCs w:val="21"/>
        </w:rPr>
      </w:pPr>
      <w:r>
        <w:rPr>
          <w:rFonts w:hint="eastAsia" w:ascii="宋体" w:hAnsi="宋体" w:cs="宋体"/>
          <w:spacing w:val="-4"/>
          <w:kern w:val="0"/>
          <w:szCs w:val="21"/>
        </w:rPr>
        <w:t xml:space="preserve">签字(签章)：                   公章：                      </w:t>
      </w:r>
    </w:p>
    <w:p>
      <w:pPr>
        <w:rPr>
          <w:rFonts w:ascii="宋体" w:hAnsi="宋体" w:cs="宋体"/>
          <w:spacing w:val="-4"/>
          <w:kern w:val="0"/>
          <w:szCs w:val="21"/>
        </w:rPr>
      </w:pPr>
      <w:r>
        <w:rPr>
          <w:rFonts w:hint="eastAsia" w:ascii="宋体" w:hAnsi="宋体" w:cs="宋体"/>
          <w:spacing w:val="-4"/>
          <w:kern w:val="0"/>
          <w:szCs w:val="21"/>
        </w:rPr>
        <w:t xml:space="preserve">日期：    </w:t>
      </w:r>
    </w:p>
    <w:p>
      <w:pPr>
        <w:spacing w:line="400" w:lineRule="exact"/>
        <w:rPr>
          <w:rFonts w:ascii="宋体" w:hAnsi="宋体" w:cs="宋体"/>
          <w:spacing w:val="-4"/>
          <w:kern w:val="0"/>
          <w:szCs w:val="21"/>
        </w:rPr>
      </w:pPr>
    </w:p>
    <w:p>
      <w:pPr>
        <w:spacing w:line="400" w:lineRule="exact"/>
        <w:rPr>
          <w:rFonts w:ascii="宋体" w:hAnsi="宋体" w:cs="宋体"/>
          <w:b/>
          <w:bCs/>
          <w:spacing w:val="-4"/>
          <w:kern w:val="0"/>
          <w:szCs w:val="21"/>
        </w:rPr>
      </w:pPr>
      <w:r>
        <w:rPr>
          <w:rFonts w:hint="eastAsia" w:ascii="宋体" w:hAnsi="宋体" w:cs="宋体"/>
          <w:b/>
          <w:bCs/>
          <w:spacing w:val="-4"/>
          <w:kern w:val="0"/>
          <w:szCs w:val="21"/>
        </w:rPr>
        <w:t>质疑函制作说明：</w:t>
      </w:r>
    </w:p>
    <w:p>
      <w:pPr>
        <w:widowControl/>
        <w:spacing w:line="40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1.供应商提出质疑时，应提交质疑函和必要的证明材料。</w:t>
      </w:r>
    </w:p>
    <w:p>
      <w:pPr>
        <w:widowControl/>
        <w:spacing w:line="40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40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3.质疑供应商若对项目的某一分包进行质疑，质疑函中应列明具体分包号。</w:t>
      </w:r>
    </w:p>
    <w:p>
      <w:pPr>
        <w:widowControl/>
        <w:spacing w:line="40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4.质疑函的质疑事项应具体、明确，并有必要的事实依据和法律依据。</w:t>
      </w:r>
    </w:p>
    <w:p>
      <w:pPr>
        <w:widowControl/>
        <w:spacing w:line="40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5.质疑函的质疑请求应与质疑事项相关。</w:t>
      </w:r>
    </w:p>
    <w:p>
      <w:pPr>
        <w:widowControl/>
        <w:spacing w:line="40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6.质疑供应商为自然人的，质疑函应由本人签字；质疑供应商为法人或者其他组织的，质疑函应由法定代表人、主要负责人，或者其授权代表签字或者盖章，并加盖公章。</w:t>
      </w:r>
    </w:p>
    <w:p>
      <w:pPr>
        <w:widowControl/>
        <w:spacing w:line="40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7.质疑函份数要求：一式三份。</w:t>
      </w:r>
    </w:p>
    <w:p>
      <w:pPr>
        <w:ind w:firstLine="2650" w:firstLineChars="600"/>
        <w:rPr>
          <w:rFonts w:ascii="黑体" w:hAnsi="Arial" w:eastAsia="黑体" w:cs="Arial"/>
          <w:b/>
          <w:bCs/>
          <w:sz w:val="44"/>
          <w:szCs w:val="44"/>
        </w:rPr>
      </w:pPr>
    </w:p>
    <w:p>
      <w:pPr>
        <w:ind w:firstLine="2650" w:firstLineChars="600"/>
        <w:rPr>
          <w:rFonts w:ascii="黑体" w:hAnsi="Arial" w:eastAsia="黑体" w:cs="Arial"/>
          <w:b/>
          <w:bCs/>
          <w:sz w:val="44"/>
          <w:szCs w:val="44"/>
        </w:rPr>
      </w:pPr>
    </w:p>
    <w:p>
      <w:pPr>
        <w:ind w:firstLine="2650" w:firstLineChars="600"/>
        <w:rPr>
          <w:rFonts w:ascii="黑体" w:hAnsi="Arial" w:eastAsia="黑体" w:cs="Arial"/>
          <w:b/>
          <w:bCs/>
          <w:sz w:val="44"/>
          <w:szCs w:val="44"/>
        </w:rPr>
      </w:pPr>
    </w:p>
    <w:p>
      <w:pPr>
        <w:jc w:val="center"/>
      </w:pPr>
      <w:r>
        <w:t>---- END ----</w:t>
      </w:r>
    </w:p>
    <w:p>
      <w:pPr>
        <w:ind w:firstLine="2650" w:firstLineChars="600"/>
        <w:rPr>
          <w:rFonts w:ascii="黑体" w:hAnsi="Arial" w:eastAsia="黑体" w:cs="Arial"/>
          <w:b/>
          <w:bCs/>
          <w:sz w:val="44"/>
          <w:szCs w:val="44"/>
        </w:rPr>
      </w:pPr>
    </w:p>
    <w:p>
      <w:pPr>
        <w:ind w:firstLine="2650" w:firstLineChars="600"/>
        <w:rPr>
          <w:rFonts w:ascii="黑体" w:hAnsi="Arial" w:eastAsia="黑体" w:cs="Arial"/>
          <w:b/>
          <w:bCs/>
          <w:sz w:val="44"/>
          <w:szCs w:val="44"/>
        </w:rPr>
      </w:pPr>
    </w:p>
    <w:p/>
    <w:p>
      <w:pPr>
        <w:pStyle w:val="13"/>
      </w:pPr>
    </w:p>
    <w:p/>
    <w:p>
      <w:pPr>
        <w:pStyle w:val="13"/>
      </w:pPr>
    </w:p>
    <w:p>
      <w:pPr>
        <w:pStyle w:val="13"/>
        <w:ind w:left="0" w:leftChars="0" w:firstLine="0"/>
      </w:pPr>
    </w:p>
    <w:p>
      <w:pPr>
        <w:sectPr>
          <w:pgSz w:w="11906" w:h="16838"/>
          <w:pgMar w:top="1440" w:right="1800" w:bottom="1440" w:left="1800" w:header="851" w:footer="992" w:gutter="0"/>
          <w:cols w:space="720" w:num="1"/>
          <w:docGrid w:type="lines" w:linePitch="312" w:charSpace="0"/>
        </w:sectPr>
      </w:pPr>
    </w:p>
    <w:p>
      <w:pPr>
        <w:ind w:firstLine="3960" w:firstLineChars="1100"/>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项目采购前期现场踏勘记录表</w:t>
      </w:r>
    </w:p>
    <w:tbl>
      <w:tblPr>
        <w:tblStyle w:val="26"/>
        <w:tblW w:w="1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057"/>
        <w:gridCol w:w="1508"/>
        <w:gridCol w:w="3052"/>
        <w:gridCol w:w="1812"/>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44" w:type="dxa"/>
            <w:noWrap/>
            <w:vAlign w:val="center"/>
          </w:tcPr>
          <w:p>
            <w:pPr>
              <w:jc w:val="center"/>
              <w:rPr>
                <w:rFonts w:ascii="宋体" w:hAnsi="宋体" w:cs="宋体"/>
                <w:szCs w:val="21"/>
              </w:rPr>
            </w:pPr>
            <w:r>
              <w:rPr>
                <w:rFonts w:hint="eastAsia" w:ascii="宋体" w:hAnsi="宋体" w:cs="宋体"/>
                <w:szCs w:val="21"/>
              </w:rPr>
              <w:t>项目名称</w:t>
            </w:r>
          </w:p>
        </w:tc>
        <w:tc>
          <w:tcPr>
            <w:tcW w:w="5617" w:type="dxa"/>
            <w:gridSpan w:val="3"/>
            <w:noWrap/>
            <w:vAlign w:val="center"/>
          </w:tcPr>
          <w:p>
            <w:pPr>
              <w:jc w:val="center"/>
              <w:rPr>
                <w:rFonts w:ascii="宋体" w:hAnsi="宋体" w:cs="宋体"/>
                <w:szCs w:val="21"/>
              </w:rPr>
            </w:pPr>
          </w:p>
        </w:tc>
        <w:tc>
          <w:tcPr>
            <w:tcW w:w="1812" w:type="dxa"/>
            <w:noWrap/>
            <w:vAlign w:val="center"/>
          </w:tcPr>
          <w:p>
            <w:pPr>
              <w:jc w:val="center"/>
              <w:rPr>
                <w:rFonts w:ascii="宋体" w:hAnsi="宋体" w:cs="宋体"/>
                <w:szCs w:val="21"/>
              </w:rPr>
            </w:pPr>
            <w:r>
              <w:rPr>
                <w:rFonts w:hint="eastAsia" w:ascii="宋体" w:hAnsi="宋体" w:cs="宋体"/>
                <w:szCs w:val="21"/>
              </w:rPr>
              <w:t>采购单位</w:t>
            </w:r>
          </w:p>
        </w:tc>
        <w:tc>
          <w:tcPr>
            <w:tcW w:w="5365"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44" w:type="dxa"/>
            <w:noWrap/>
            <w:vAlign w:val="center"/>
          </w:tcPr>
          <w:p>
            <w:pPr>
              <w:jc w:val="center"/>
              <w:rPr>
                <w:rFonts w:ascii="宋体" w:hAnsi="宋体" w:cs="宋体"/>
                <w:szCs w:val="21"/>
              </w:rPr>
            </w:pPr>
            <w:r>
              <w:rPr>
                <w:rFonts w:hint="eastAsia" w:ascii="宋体" w:hAnsi="宋体" w:cs="宋体"/>
                <w:szCs w:val="21"/>
              </w:rPr>
              <w:t>勘察日期</w:t>
            </w:r>
          </w:p>
        </w:tc>
        <w:tc>
          <w:tcPr>
            <w:tcW w:w="5617" w:type="dxa"/>
            <w:gridSpan w:val="3"/>
            <w:noWrap/>
            <w:vAlign w:val="center"/>
          </w:tcPr>
          <w:p>
            <w:pPr>
              <w:jc w:val="center"/>
              <w:rPr>
                <w:rFonts w:ascii="宋体" w:hAnsi="宋体" w:cs="宋体"/>
                <w:szCs w:val="21"/>
              </w:rPr>
            </w:pPr>
          </w:p>
        </w:tc>
        <w:tc>
          <w:tcPr>
            <w:tcW w:w="1812" w:type="dxa"/>
            <w:noWrap/>
            <w:vAlign w:val="center"/>
          </w:tcPr>
          <w:p>
            <w:pPr>
              <w:jc w:val="center"/>
              <w:rPr>
                <w:rFonts w:ascii="宋体" w:hAnsi="宋体" w:cs="宋体"/>
                <w:szCs w:val="21"/>
              </w:rPr>
            </w:pPr>
            <w:r>
              <w:rPr>
                <w:rFonts w:hint="eastAsia" w:ascii="宋体" w:hAnsi="宋体" w:cs="宋体"/>
                <w:szCs w:val="21"/>
              </w:rPr>
              <w:t>工程地点</w:t>
            </w:r>
          </w:p>
        </w:tc>
        <w:tc>
          <w:tcPr>
            <w:tcW w:w="5365"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44" w:type="dxa"/>
            <w:noWrap/>
            <w:vAlign w:val="center"/>
          </w:tcPr>
          <w:p>
            <w:pPr>
              <w:jc w:val="center"/>
              <w:rPr>
                <w:rFonts w:ascii="宋体" w:hAnsi="宋体" w:cs="宋体"/>
                <w:szCs w:val="21"/>
              </w:rPr>
            </w:pPr>
            <w:r>
              <w:rPr>
                <w:rFonts w:hint="eastAsia" w:ascii="宋体" w:hAnsi="宋体" w:cs="宋体"/>
                <w:szCs w:val="21"/>
              </w:rPr>
              <w:t>踏勘供应商</w:t>
            </w:r>
          </w:p>
        </w:tc>
        <w:tc>
          <w:tcPr>
            <w:tcW w:w="5617" w:type="dxa"/>
            <w:gridSpan w:val="3"/>
            <w:noWrap/>
            <w:vAlign w:val="center"/>
          </w:tcPr>
          <w:p>
            <w:pPr>
              <w:jc w:val="center"/>
              <w:rPr>
                <w:rFonts w:ascii="宋体" w:hAnsi="宋体" w:cs="宋体"/>
                <w:szCs w:val="21"/>
              </w:rPr>
            </w:pPr>
          </w:p>
        </w:tc>
        <w:tc>
          <w:tcPr>
            <w:tcW w:w="1812" w:type="dxa"/>
            <w:noWrap/>
            <w:vAlign w:val="center"/>
          </w:tcPr>
          <w:p>
            <w:pPr>
              <w:jc w:val="center"/>
              <w:rPr>
                <w:rFonts w:ascii="宋体" w:hAnsi="宋体" w:cs="宋体"/>
                <w:szCs w:val="21"/>
              </w:rPr>
            </w:pPr>
            <w:r>
              <w:rPr>
                <w:rFonts w:hint="eastAsia" w:ascii="宋体" w:hAnsi="宋体" w:cs="宋体"/>
                <w:szCs w:val="21"/>
              </w:rPr>
              <w:t>联系人、联系电话</w:t>
            </w:r>
          </w:p>
        </w:tc>
        <w:tc>
          <w:tcPr>
            <w:tcW w:w="5365"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44" w:type="dxa"/>
            <w:vMerge w:val="restart"/>
            <w:noWrap/>
            <w:vAlign w:val="center"/>
          </w:tcPr>
          <w:p>
            <w:pPr>
              <w:jc w:val="center"/>
              <w:rPr>
                <w:rFonts w:ascii="宋体" w:hAnsi="宋体" w:cs="宋体"/>
                <w:szCs w:val="21"/>
              </w:rPr>
            </w:pPr>
            <w:r>
              <w:rPr>
                <w:rFonts w:hint="eastAsia" w:ascii="宋体" w:hAnsi="宋体" w:cs="宋体"/>
                <w:szCs w:val="21"/>
              </w:rPr>
              <w:t>现场踏勘</w:t>
            </w:r>
          </w:p>
          <w:p>
            <w:pPr>
              <w:jc w:val="center"/>
              <w:rPr>
                <w:rFonts w:ascii="宋体" w:hAnsi="宋体" w:cs="宋体"/>
                <w:szCs w:val="21"/>
              </w:rPr>
            </w:pPr>
            <w:r>
              <w:rPr>
                <w:rFonts w:hint="eastAsia" w:ascii="宋体" w:hAnsi="宋体" w:cs="宋体"/>
                <w:szCs w:val="21"/>
              </w:rPr>
              <w:t>提交资料</w:t>
            </w:r>
          </w:p>
        </w:tc>
        <w:tc>
          <w:tcPr>
            <w:tcW w:w="2565" w:type="dxa"/>
            <w:gridSpan w:val="2"/>
            <w:noWrap/>
            <w:vAlign w:val="center"/>
          </w:tcPr>
          <w:p>
            <w:pPr>
              <w:jc w:val="center"/>
              <w:rPr>
                <w:rFonts w:ascii="宋体" w:hAnsi="宋体" w:cs="宋体"/>
                <w:szCs w:val="21"/>
              </w:rPr>
            </w:pPr>
            <w:r>
              <w:rPr>
                <w:rFonts w:hint="eastAsia" w:ascii="宋体" w:hAnsi="宋体" w:cs="宋体"/>
                <w:szCs w:val="21"/>
              </w:rPr>
              <w:t>授权委托书原件（盖公章）</w:t>
            </w:r>
          </w:p>
        </w:tc>
        <w:tc>
          <w:tcPr>
            <w:tcW w:w="10229" w:type="dxa"/>
            <w:gridSpan w:val="3"/>
            <w:noWrap/>
            <w:vAlign w:val="center"/>
          </w:tcPr>
          <w:p>
            <w:pPr>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符合  </w:t>
            </w:r>
            <w:r>
              <w:rPr>
                <w:rFonts w:hint="eastAsia" w:ascii="宋体" w:hAnsi="宋体" w:cs="宋体"/>
                <w:szCs w:val="21"/>
              </w:rPr>
              <w:sym w:font="Wingdings" w:char="00A8"/>
            </w:r>
            <w:r>
              <w:rPr>
                <w:rFonts w:hint="eastAsia" w:ascii="宋体" w:hAnsi="宋体" w:cs="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4" w:type="dxa"/>
            <w:vMerge w:val="continue"/>
            <w:noWrap/>
            <w:vAlign w:val="center"/>
          </w:tcPr>
          <w:p>
            <w:pPr>
              <w:jc w:val="center"/>
              <w:rPr>
                <w:rFonts w:ascii="宋体" w:hAnsi="宋体" w:cs="宋体"/>
                <w:szCs w:val="21"/>
              </w:rPr>
            </w:pPr>
          </w:p>
        </w:tc>
        <w:tc>
          <w:tcPr>
            <w:tcW w:w="2565" w:type="dxa"/>
            <w:gridSpan w:val="2"/>
            <w:noWrap/>
            <w:vAlign w:val="center"/>
          </w:tcPr>
          <w:p>
            <w:pPr>
              <w:jc w:val="center"/>
              <w:rPr>
                <w:rFonts w:ascii="宋体" w:hAnsi="宋体" w:cs="宋体"/>
                <w:szCs w:val="21"/>
              </w:rPr>
            </w:pPr>
            <w:r>
              <w:rPr>
                <w:rFonts w:hint="eastAsia" w:ascii="宋体" w:hAnsi="宋体" w:cs="宋体"/>
                <w:szCs w:val="21"/>
              </w:rPr>
              <w:t>本人身份证原件</w:t>
            </w:r>
          </w:p>
        </w:tc>
        <w:tc>
          <w:tcPr>
            <w:tcW w:w="10229" w:type="dxa"/>
            <w:gridSpan w:val="3"/>
            <w:noWrap/>
            <w:vAlign w:val="center"/>
          </w:tcPr>
          <w:p>
            <w:pPr>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符合  </w:t>
            </w:r>
            <w:r>
              <w:rPr>
                <w:rFonts w:hint="eastAsia" w:ascii="宋体" w:hAnsi="宋体" w:cs="宋体"/>
                <w:szCs w:val="21"/>
              </w:rPr>
              <w:sym w:font="Wingdings" w:char="00A8"/>
            </w:r>
            <w:r>
              <w:rPr>
                <w:rFonts w:hint="eastAsia" w:ascii="宋体" w:hAnsi="宋体" w:cs="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61" w:type="dxa"/>
            <w:gridSpan w:val="4"/>
            <w:noWrap/>
            <w:vAlign w:val="center"/>
          </w:tcPr>
          <w:p>
            <w:pPr>
              <w:jc w:val="center"/>
              <w:rPr>
                <w:rFonts w:ascii="宋体" w:hAnsi="宋体" w:cs="宋体"/>
                <w:szCs w:val="21"/>
              </w:rPr>
            </w:pPr>
            <w:r>
              <w:rPr>
                <w:rFonts w:hint="eastAsia" w:ascii="宋体" w:hAnsi="宋体" w:cs="宋体"/>
                <w:szCs w:val="21"/>
              </w:rPr>
              <w:t>确认勘察内容</w:t>
            </w:r>
          </w:p>
        </w:tc>
        <w:tc>
          <w:tcPr>
            <w:tcW w:w="7177" w:type="dxa"/>
            <w:gridSpan w:val="2"/>
            <w:noWrap/>
            <w:vAlign w:val="center"/>
          </w:tcPr>
          <w:p>
            <w:pPr>
              <w:jc w:val="center"/>
              <w:rPr>
                <w:rFonts w:ascii="宋体" w:hAnsi="宋体" w:cs="宋体"/>
                <w:szCs w:val="21"/>
              </w:rPr>
            </w:pPr>
            <w:r>
              <w:rPr>
                <w:rFonts w:hint="eastAsia" w:ascii="宋体" w:hAnsi="宋体" w:cs="宋体"/>
                <w:szCs w:val="21"/>
              </w:rPr>
              <w:t>确认情况</w:t>
            </w:r>
          </w:p>
          <w:p>
            <w:pPr>
              <w:jc w:val="center"/>
              <w:rPr>
                <w:rFonts w:ascii="宋体" w:hAnsi="宋体" w:cs="宋体"/>
                <w:szCs w:val="21"/>
              </w:rPr>
            </w:pPr>
            <w:r>
              <w:rPr>
                <w:rFonts w:hint="eastAsia" w:ascii="宋体" w:hAnsi="宋体" w:cs="宋体"/>
                <w:szCs w:val="21"/>
              </w:rPr>
              <w:t>如“否”请说明情况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noWrap/>
            <w:vAlign w:val="center"/>
          </w:tcPr>
          <w:p>
            <w:pPr>
              <w:jc w:val="left"/>
              <w:rPr>
                <w:rFonts w:ascii="宋体" w:hAnsi="宋体" w:cs="宋体"/>
                <w:szCs w:val="21"/>
              </w:rPr>
            </w:pPr>
            <w:r>
              <w:rPr>
                <w:rFonts w:hint="eastAsia" w:ascii="宋体" w:hAnsi="宋体" w:cs="宋体"/>
                <w:szCs w:val="21"/>
              </w:rPr>
              <w:t>1、</w:t>
            </w:r>
          </w:p>
        </w:tc>
        <w:tc>
          <w:tcPr>
            <w:tcW w:w="7177" w:type="dxa"/>
            <w:gridSpan w:val="2"/>
            <w:noWrap/>
            <w:vAlign w:val="center"/>
          </w:tcPr>
          <w:p>
            <w:pPr>
              <w:ind w:firstLine="420" w:firstLineChars="200"/>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noWrap/>
            <w:vAlign w:val="center"/>
          </w:tcPr>
          <w:p>
            <w:pPr>
              <w:jc w:val="left"/>
              <w:rPr>
                <w:szCs w:val="21"/>
              </w:rPr>
            </w:pPr>
            <w:r>
              <w:rPr>
                <w:rFonts w:hint="eastAsia" w:ascii="宋体" w:hAnsi="宋体" w:cs="宋体"/>
                <w:szCs w:val="21"/>
              </w:rPr>
              <w:t>2、</w:t>
            </w:r>
          </w:p>
        </w:tc>
        <w:tc>
          <w:tcPr>
            <w:tcW w:w="7177" w:type="dxa"/>
            <w:gridSpan w:val="2"/>
            <w:noWrap/>
            <w:vAlign w:val="center"/>
          </w:tcPr>
          <w:p>
            <w:pPr>
              <w:ind w:firstLine="420" w:firstLineChars="200"/>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noWrap/>
            <w:vAlign w:val="center"/>
          </w:tcPr>
          <w:p>
            <w:pPr>
              <w:jc w:val="left"/>
              <w:rPr>
                <w:rFonts w:ascii="宋体" w:hAnsi="宋体" w:cs="宋体"/>
                <w:szCs w:val="21"/>
              </w:rPr>
            </w:pPr>
            <w:r>
              <w:rPr>
                <w:rFonts w:hint="eastAsia" w:ascii="宋体" w:hAnsi="宋体" w:cs="宋体"/>
                <w:szCs w:val="21"/>
              </w:rPr>
              <w:t>3、</w:t>
            </w:r>
          </w:p>
        </w:tc>
        <w:tc>
          <w:tcPr>
            <w:tcW w:w="7177" w:type="dxa"/>
            <w:gridSpan w:val="2"/>
            <w:noWrap/>
            <w:vAlign w:val="center"/>
          </w:tcPr>
          <w:p>
            <w:pPr>
              <w:ind w:firstLine="420" w:firstLineChars="200"/>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noWrap/>
            <w:vAlign w:val="center"/>
          </w:tcPr>
          <w:p>
            <w:pPr>
              <w:jc w:val="left"/>
              <w:rPr>
                <w:rFonts w:ascii="宋体" w:hAnsi="宋体" w:cs="宋体"/>
                <w:szCs w:val="21"/>
              </w:rPr>
            </w:pPr>
            <w:r>
              <w:rPr>
                <w:rFonts w:hint="eastAsia" w:ascii="宋体" w:hAnsi="宋体" w:cs="宋体"/>
                <w:szCs w:val="21"/>
              </w:rPr>
              <w:t>4、</w:t>
            </w:r>
          </w:p>
        </w:tc>
        <w:tc>
          <w:tcPr>
            <w:tcW w:w="7177" w:type="dxa"/>
            <w:gridSpan w:val="2"/>
            <w:noWrap/>
            <w:vAlign w:val="center"/>
          </w:tcPr>
          <w:p>
            <w:pPr>
              <w:ind w:firstLine="420" w:firstLineChars="200"/>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noWrap/>
            <w:vAlign w:val="center"/>
          </w:tcPr>
          <w:p>
            <w:pPr>
              <w:jc w:val="left"/>
              <w:rPr>
                <w:rFonts w:ascii="宋体" w:hAnsi="宋体" w:cs="宋体"/>
                <w:szCs w:val="21"/>
              </w:rPr>
            </w:pPr>
            <w:r>
              <w:rPr>
                <w:rFonts w:hint="eastAsia" w:ascii="宋体" w:hAnsi="宋体" w:cs="宋体"/>
                <w:szCs w:val="21"/>
              </w:rPr>
              <w:t>5、</w:t>
            </w:r>
          </w:p>
        </w:tc>
        <w:tc>
          <w:tcPr>
            <w:tcW w:w="7177" w:type="dxa"/>
            <w:gridSpan w:val="2"/>
            <w:noWrap/>
            <w:vAlign w:val="center"/>
          </w:tcPr>
          <w:p>
            <w:pPr>
              <w:ind w:firstLine="420" w:firstLineChars="200"/>
              <w:jc w:val="left"/>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01" w:type="dxa"/>
            <w:gridSpan w:val="2"/>
            <w:noWrap/>
            <w:vAlign w:val="center"/>
          </w:tcPr>
          <w:p>
            <w:pPr>
              <w:jc w:val="center"/>
              <w:rPr>
                <w:rFonts w:ascii="宋体" w:hAnsi="宋体" w:cs="宋体"/>
                <w:szCs w:val="21"/>
              </w:rPr>
            </w:pPr>
            <w:r>
              <w:rPr>
                <w:rFonts w:hint="eastAsia" w:ascii="宋体" w:hAnsi="宋体" w:cs="宋体"/>
                <w:szCs w:val="21"/>
              </w:rPr>
              <w:t>其他需要补充说明的情况</w:t>
            </w:r>
          </w:p>
        </w:tc>
        <w:tc>
          <w:tcPr>
            <w:tcW w:w="11737" w:type="dxa"/>
            <w:gridSpan w:val="4"/>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544" w:type="dxa"/>
            <w:noWrap/>
            <w:vAlign w:val="center"/>
          </w:tcPr>
          <w:p>
            <w:pPr>
              <w:jc w:val="center"/>
              <w:rPr>
                <w:rFonts w:ascii="宋体" w:hAnsi="宋体" w:cs="宋体"/>
                <w:szCs w:val="21"/>
              </w:rPr>
            </w:pPr>
            <w:r>
              <w:rPr>
                <w:rFonts w:hint="eastAsia" w:ascii="宋体" w:hAnsi="宋体" w:cs="宋体"/>
                <w:szCs w:val="21"/>
              </w:rPr>
              <w:t>采购单位确认（盖章）</w:t>
            </w:r>
          </w:p>
        </w:tc>
        <w:tc>
          <w:tcPr>
            <w:tcW w:w="5617" w:type="dxa"/>
            <w:gridSpan w:val="3"/>
            <w:noWrap/>
            <w:vAlign w:val="bottom"/>
          </w:tcPr>
          <w:p>
            <w:pPr>
              <w:jc w:val="right"/>
              <w:rPr>
                <w:rFonts w:ascii="宋体" w:hAnsi="宋体" w:cs="宋体"/>
                <w:szCs w:val="21"/>
              </w:rPr>
            </w:pPr>
            <w:r>
              <w:rPr>
                <w:rFonts w:hint="eastAsia" w:ascii="宋体" w:hAnsi="宋体" w:cs="宋体"/>
                <w:szCs w:val="21"/>
              </w:rPr>
              <w:t>年  月  日</w:t>
            </w:r>
          </w:p>
        </w:tc>
        <w:tc>
          <w:tcPr>
            <w:tcW w:w="1812" w:type="dxa"/>
            <w:noWrap/>
            <w:vAlign w:val="center"/>
          </w:tcPr>
          <w:p>
            <w:pPr>
              <w:jc w:val="center"/>
              <w:rPr>
                <w:rFonts w:ascii="宋体" w:hAnsi="宋体" w:cs="宋体"/>
                <w:szCs w:val="21"/>
              </w:rPr>
            </w:pPr>
            <w:r>
              <w:rPr>
                <w:rFonts w:hint="eastAsia" w:ascii="宋体" w:hAnsi="宋体" w:cs="宋体"/>
                <w:szCs w:val="21"/>
              </w:rPr>
              <w:t>踏勘供应商签字确认</w:t>
            </w:r>
          </w:p>
        </w:tc>
        <w:tc>
          <w:tcPr>
            <w:tcW w:w="5365" w:type="dxa"/>
            <w:noWrap/>
            <w:vAlign w:val="bottom"/>
          </w:tcPr>
          <w:p>
            <w:pPr>
              <w:jc w:val="right"/>
              <w:rPr>
                <w:rFonts w:ascii="宋体" w:hAnsi="宋体" w:cs="宋体"/>
                <w:szCs w:val="21"/>
              </w:rPr>
            </w:pPr>
            <w:r>
              <w:rPr>
                <w:rFonts w:hint="eastAsia" w:ascii="宋体" w:hAnsi="宋体" w:cs="宋体"/>
                <w:szCs w:val="21"/>
              </w:rPr>
              <w:t>年  月  日</w:t>
            </w:r>
          </w:p>
        </w:tc>
      </w:tr>
    </w:tbl>
    <w:p>
      <w:pPr>
        <w:jc w:val="left"/>
      </w:pPr>
      <w:r>
        <w:rPr>
          <w:rFonts w:hint="eastAsia" w:ascii="宋体" w:hAnsi="宋体" w:cs="宋体"/>
          <w:sz w:val="24"/>
          <w:szCs w:val="24"/>
        </w:rPr>
        <w:t>注：本表一式两份，采购单位与踏勘供应商各持一份。</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5046A8-E0EF-4516-8D56-822CAB0DE996}"/>
  </w:font>
  <w:font w:name="Arial">
    <w:panose1 w:val="020B0604020202020204"/>
    <w:charset w:val="01"/>
    <w:family w:val="swiss"/>
    <w:pitch w:val="default"/>
    <w:sig w:usb0="E0002EFF" w:usb1="C000785B" w:usb2="00000009" w:usb3="00000000" w:csb0="400001FF" w:csb1="FFFF0000"/>
    <w:embedRegular r:id="rId2" w:fontKey="{B26B6709-CC78-439C-9D58-CDF0BDA7A5E8}"/>
  </w:font>
  <w:font w:name="黑体">
    <w:panose1 w:val="02010609060101010101"/>
    <w:charset w:val="86"/>
    <w:family w:val="auto"/>
    <w:pitch w:val="default"/>
    <w:sig w:usb0="800002BF" w:usb1="38CF7CFA" w:usb2="00000016" w:usb3="00000000" w:csb0="00040001" w:csb1="00000000"/>
    <w:embedRegular r:id="rId3" w:fontKey="{5D9570AE-E19F-49F0-BF0B-C81D3B1143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5933A1C6-2E70-47D9-9AD0-7C7DD9ED73EA}"/>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5" w:fontKey="{1F9AA5E0-CBE8-4857-89D9-1BF45EB65065}"/>
  </w:font>
  <w:font w:name="方正仿宋_GBK">
    <w:panose1 w:val="03000509000000000000"/>
    <w:charset w:val="86"/>
    <w:family w:val="script"/>
    <w:pitch w:val="default"/>
    <w:sig w:usb0="00000001" w:usb1="080E0000" w:usb2="00000000" w:usb3="00000000" w:csb0="00040000" w:csb1="00000000"/>
    <w:embedRegular r:id="rId6" w:fontKey="{81CE5E3F-E35C-4BC2-A132-3A16C2321BAB}"/>
  </w:font>
  <w:font w:name="微软雅黑">
    <w:panose1 w:val="020B0503020204020204"/>
    <w:charset w:val="86"/>
    <w:family w:val="swiss"/>
    <w:pitch w:val="default"/>
    <w:sig w:usb0="80000287" w:usb1="2ACF3C50" w:usb2="00000016" w:usb3="00000000" w:csb0="0004001F" w:csb1="00000000"/>
    <w:embedRegular r:id="rId7" w:fontKey="{F4DA5CA3-F210-4169-B8AE-89781CF68858}"/>
  </w:font>
  <w:font w:name="仿宋">
    <w:panose1 w:val="02010609060101010101"/>
    <w:charset w:val="86"/>
    <w:family w:val="modern"/>
    <w:pitch w:val="default"/>
    <w:sig w:usb0="800002BF" w:usb1="38CF7CFA" w:usb2="00000016" w:usb3="00000000" w:csb0="00040001" w:csb1="00000000"/>
    <w:embedRegular r:id="rId8" w:fontKey="{D44ACBF2-A66E-4837-ABF9-143A69EE0791}"/>
  </w:font>
  <w:font w:name="楷体_GB2312">
    <w:panose1 w:val="02010609030101010101"/>
    <w:charset w:val="86"/>
    <w:family w:val="modern"/>
    <w:pitch w:val="default"/>
    <w:sig w:usb0="00000001" w:usb1="080E0000" w:usb2="00000000" w:usb3="00000000" w:csb0="00040000" w:csb1="00000000"/>
    <w:embedRegular r:id="rId9" w:fontKey="{C370A551-BD4B-4422-98EE-67BBC039F102}"/>
  </w:font>
  <w:font w:name="方正黑体_GBK">
    <w:panose1 w:val="03000509000000000000"/>
    <w:charset w:val="86"/>
    <w:family w:val="script"/>
    <w:pitch w:val="default"/>
    <w:sig w:usb0="00000001" w:usb1="080E0000" w:usb2="00000000" w:usb3="00000000" w:csb0="00040000" w:csb1="00000000"/>
    <w:embedRegular r:id="rId10" w:fontKey="{FCE2D7B1-1203-45E2-A9C6-8A6FCC4DBA70}"/>
  </w:font>
  <w:font w:name="ˎ̥">
    <w:altName w:val="Times New Roman"/>
    <w:panose1 w:val="00000000000000000000"/>
    <w:charset w:val="00"/>
    <w:family w:val="roman"/>
    <w:pitch w:val="default"/>
    <w:sig w:usb0="00000000" w:usb1="00000000" w:usb2="00000000" w:usb3="00000000" w:csb0="00040001" w:csb1="00000000"/>
    <w:embedRegular r:id="rId11" w:fontKey="{8EA944F5-4615-49A3-9971-BECC8A5769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40"/>
        <w:tab w:val="right" w:pos="8300"/>
        <w:tab w:val="clear" w:pos="4153"/>
        <w:tab w:val="clear" w:pos="8306"/>
      </w:tabs>
      <w:jc w:val="center"/>
    </w:pPr>
    <w:r>
      <w:fldChar w:fldCharType="begin"/>
    </w:r>
    <w:r>
      <w:instrText xml:space="preserve"> PAGE   \* MERGEFORMAT </w:instrText>
    </w:r>
    <w:r>
      <w:fldChar w:fldCharType="separate"/>
    </w:r>
    <w:r>
      <w:rPr>
        <w:lang w:val="zh-CN"/>
      </w:rPr>
      <w:t>60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rPr>
                              <w:lang w:val="zh-CN"/>
                            </w:rP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uble" w:color="auto" w:sz="8" w:space="1"/>
      </w:pBdr>
      <w:ind w:left="1470" w:hanging="1470" w:hangingChars="700"/>
      <w:jc w:val="both"/>
    </w:pPr>
    <w:r>
      <w:rPr>
        <w:rFonts w:hint="eastAsia"/>
        <w:sz w:val="21"/>
        <w:szCs w:val="21"/>
      </w:rPr>
      <w:t>巴州政务服务和公共资源交易中心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sz w:val="21"/>
        <w:szCs w:val="21"/>
      </w:rPr>
      <w:t>巴州政务服务和公共资源交易中心                                   政府采购单一来源采购文件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B80AE391"/>
    <w:multiLevelType w:val="singleLevel"/>
    <w:tmpl w:val="B80AE391"/>
    <w:lvl w:ilvl="0" w:tentative="0">
      <w:start w:val="1"/>
      <w:numFmt w:val="decimal"/>
      <w:lvlText w:val="%1)"/>
      <w:lvlJc w:val="left"/>
      <w:pPr>
        <w:ind w:left="425" w:hanging="425"/>
      </w:pPr>
      <w:rPr>
        <w:rFonts w:hint="default"/>
      </w:rPr>
    </w:lvl>
  </w:abstractNum>
  <w:abstractNum w:abstractNumId="2">
    <w:nsid w:val="C0D2E82E"/>
    <w:multiLevelType w:val="singleLevel"/>
    <w:tmpl w:val="C0D2E82E"/>
    <w:lvl w:ilvl="0" w:tentative="0">
      <w:start w:val="1"/>
      <w:numFmt w:val="decimal"/>
      <w:lvlText w:val="%1)"/>
      <w:lvlJc w:val="left"/>
      <w:pPr>
        <w:ind w:left="425" w:hanging="425"/>
      </w:pPr>
      <w:rPr>
        <w:rFonts w:hint="default"/>
      </w:rPr>
    </w:lvl>
  </w:abstractNum>
  <w:abstractNum w:abstractNumId="3">
    <w:nsid w:val="FC79B131"/>
    <w:multiLevelType w:val="singleLevel"/>
    <w:tmpl w:val="FC79B131"/>
    <w:lvl w:ilvl="0" w:tentative="0">
      <w:start w:val="3"/>
      <w:numFmt w:val="chineseCounting"/>
      <w:suff w:val="nothing"/>
      <w:lvlText w:val="%1、"/>
      <w:lvlJc w:val="left"/>
      <w:rPr>
        <w:rFonts w:hint="eastAsia"/>
      </w:rPr>
    </w:lvl>
  </w:abstractNum>
  <w:abstractNum w:abstractNumId="4">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24A2227"/>
    <w:multiLevelType w:val="singleLevel"/>
    <w:tmpl w:val="424A2227"/>
    <w:lvl w:ilvl="0" w:tentative="0">
      <w:start w:val="1"/>
      <w:numFmt w:val="decimal"/>
      <w:lvlText w:val="%1)"/>
      <w:lvlJc w:val="left"/>
      <w:pPr>
        <w:ind w:left="425" w:hanging="425"/>
      </w:pPr>
      <w:rPr>
        <w:rFonts w:hint="default"/>
      </w:rPr>
    </w:lvl>
  </w:abstractNum>
  <w:abstractNum w:abstractNumId="6">
    <w:nsid w:val="5F1C53A3"/>
    <w:multiLevelType w:val="singleLevel"/>
    <w:tmpl w:val="5F1C53A3"/>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2Q1MTQ0MzI4Mzc1MzQwMzE3YTY4NDU2OTBkYmMifQ=="/>
    <w:docVar w:name="KSO_WPS_MARK_KEY" w:val="e5c88eab-9971-40ea-9192-5e49c58aa2a0"/>
  </w:docVars>
  <w:rsids>
    <w:rsidRoot w:val="00D1447A"/>
    <w:rsid w:val="00041AF7"/>
    <w:rsid w:val="000A1373"/>
    <w:rsid w:val="002D187D"/>
    <w:rsid w:val="00494B4F"/>
    <w:rsid w:val="00766A26"/>
    <w:rsid w:val="00931A67"/>
    <w:rsid w:val="00C51C71"/>
    <w:rsid w:val="00CC653B"/>
    <w:rsid w:val="00D1447A"/>
    <w:rsid w:val="00D975BD"/>
    <w:rsid w:val="00F323F1"/>
    <w:rsid w:val="01235AF0"/>
    <w:rsid w:val="013147C6"/>
    <w:rsid w:val="01765FAA"/>
    <w:rsid w:val="0184234C"/>
    <w:rsid w:val="020A2A4B"/>
    <w:rsid w:val="0231492F"/>
    <w:rsid w:val="02B9413B"/>
    <w:rsid w:val="02DB21E8"/>
    <w:rsid w:val="032A7402"/>
    <w:rsid w:val="034659D9"/>
    <w:rsid w:val="03491C9E"/>
    <w:rsid w:val="037400D4"/>
    <w:rsid w:val="03F03E52"/>
    <w:rsid w:val="03FD0EB2"/>
    <w:rsid w:val="04025300"/>
    <w:rsid w:val="04981A64"/>
    <w:rsid w:val="049909EA"/>
    <w:rsid w:val="04B40A15"/>
    <w:rsid w:val="04B432B8"/>
    <w:rsid w:val="04BA3A86"/>
    <w:rsid w:val="04BF0A56"/>
    <w:rsid w:val="06585E06"/>
    <w:rsid w:val="069F18C4"/>
    <w:rsid w:val="0729554C"/>
    <w:rsid w:val="077F3CFE"/>
    <w:rsid w:val="07E5767E"/>
    <w:rsid w:val="081D4802"/>
    <w:rsid w:val="0892006C"/>
    <w:rsid w:val="08D12404"/>
    <w:rsid w:val="0980751D"/>
    <w:rsid w:val="09E11DB2"/>
    <w:rsid w:val="09F12E04"/>
    <w:rsid w:val="0AAA16FB"/>
    <w:rsid w:val="0AC402B6"/>
    <w:rsid w:val="0AD10F73"/>
    <w:rsid w:val="0B3F30D1"/>
    <w:rsid w:val="0BC82085"/>
    <w:rsid w:val="0BD82924"/>
    <w:rsid w:val="0BD83C08"/>
    <w:rsid w:val="0C9E1BD2"/>
    <w:rsid w:val="0CB1663D"/>
    <w:rsid w:val="0DA00A0A"/>
    <w:rsid w:val="0DE24882"/>
    <w:rsid w:val="0E5B07CC"/>
    <w:rsid w:val="0E7F26CD"/>
    <w:rsid w:val="0EBB20D5"/>
    <w:rsid w:val="0EE16B8E"/>
    <w:rsid w:val="0F4901FE"/>
    <w:rsid w:val="0F5B0DDA"/>
    <w:rsid w:val="0F5F379F"/>
    <w:rsid w:val="0FAE25BE"/>
    <w:rsid w:val="0FEE74C7"/>
    <w:rsid w:val="100342D8"/>
    <w:rsid w:val="10304DF0"/>
    <w:rsid w:val="10925F3A"/>
    <w:rsid w:val="10BB2E7F"/>
    <w:rsid w:val="11186405"/>
    <w:rsid w:val="11746C56"/>
    <w:rsid w:val="118D3B4A"/>
    <w:rsid w:val="11C3471A"/>
    <w:rsid w:val="11C349DF"/>
    <w:rsid w:val="123D3AD7"/>
    <w:rsid w:val="124D7FF2"/>
    <w:rsid w:val="12B02423"/>
    <w:rsid w:val="12D2247E"/>
    <w:rsid w:val="13BB3156"/>
    <w:rsid w:val="1442777E"/>
    <w:rsid w:val="1471082C"/>
    <w:rsid w:val="14EA5CBE"/>
    <w:rsid w:val="15064E11"/>
    <w:rsid w:val="153656F6"/>
    <w:rsid w:val="154B3DA4"/>
    <w:rsid w:val="15A300E0"/>
    <w:rsid w:val="15B23750"/>
    <w:rsid w:val="16987F66"/>
    <w:rsid w:val="173647B4"/>
    <w:rsid w:val="17517016"/>
    <w:rsid w:val="17837C5C"/>
    <w:rsid w:val="179A60F6"/>
    <w:rsid w:val="17D43823"/>
    <w:rsid w:val="17F06FAC"/>
    <w:rsid w:val="187F4D4F"/>
    <w:rsid w:val="18C96595"/>
    <w:rsid w:val="18D33CA4"/>
    <w:rsid w:val="18DA6FAA"/>
    <w:rsid w:val="193C52A5"/>
    <w:rsid w:val="194B376E"/>
    <w:rsid w:val="19B3302E"/>
    <w:rsid w:val="19CE5D00"/>
    <w:rsid w:val="1A174920"/>
    <w:rsid w:val="1A6D6D72"/>
    <w:rsid w:val="1A766595"/>
    <w:rsid w:val="1AEC6945"/>
    <w:rsid w:val="1AFC5895"/>
    <w:rsid w:val="1AFF1F79"/>
    <w:rsid w:val="1B0D514B"/>
    <w:rsid w:val="1B0D7462"/>
    <w:rsid w:val="1B8A76A8"/>
    <w:rsid w:val="1BA10FD9"/>
    <w:rsid w:val="1BF255E8"/>
    <w:rsid w:val="1CA20D97"/>
    <w:rsid w:val="1D621342"/>
    <w:rsid w:val="1D9C3F15"/>
    <w:rsid w:val="1DF51CE6"/>
    <w:rsid w:val="1E567020"/>
    <w:rsid w:val="1E7C3B72"/>
    <w:rsid w:val="1F161B67"/>
    <w:rsid w:val="1F68254E"/>
    <w:rsid w:val="1FB468E3"/>
    <w:rsid w:val="1FBA579B"/>
    <w:rsid w:val="1FDA174E"/>
    <w:rsid w:val="204559CD"/>
    <w:rsid w:val="20485CD7"/>
    <w:rsid w:val="205C4D38"/>
    <w:rsid w:val="21B00D77"/>
    <w:rsid w:val="21BF6255"/>
    <w:rsid w:val="21F838A6"/>
    <w:rsid w:val="22C75C8B"/>
    <w:rsid w:val="23011F7A"/>
    <w:rsid w:val="231E732C"/>
    <w:rsid w:val="23275A32"/>
    <w:rsid w:val="233D2346"/>
    <w:rsid w:val="23460B1A"/>
    <w:rsid w:val="2359410E"/>
    <w:rsid w:val="23B43164"/>
    <w:rsid w:val="23C67B2A"/>
    <w:rsid w:val="23F20755"/>
    <w:rsid w:val="249E11AF"/>
    <w:rsid w:val="25131D8C"/>
    <w:rsid w:val="25280043"/>
    <w:rsid w:val="2630309E"/>
    <w:rsid w:val="265500AC"/>
    <w:rsid w:val="272C75AB"/>
    <w:rsid w:val="276800D8"/>
    <w:rsid w:val="27807D96"/>
    <w:rsid w:val="288D66F5"/>
    <w:rsid w:val="289710A5"/>
    <w:rsid w:val="29764E52"/>
    <w:rsid w:val="297D389F"/>
    <w:rsid w:val="299946CD"/>
    <w:rsid w:val="29CC0692"/>
    <w:rsid w:val="29FB7306"/>
    <w:rsid w:val="2A090204"/>
    <w:rsid w:val="2A1237B8"/>
    <w:rsid w:val="2A3D2BF5"/>
    <w:rsid w:val="2A6356B7"/>
    <w:rsid w:val="2A7D2FEB"/>
    <w:rsid w:val="2AA872AC"/>
    <w:rsid w:val="2AE8583E"/>
    <w:rsid w:val="2AEF7C30"/>
    <w:rsid w:val="2B1A0610"/>
    <w:rsid w:val="2B241A85"/>
    <w:rsid w:val="2B296902"/>
    <w:rsid w:val="2B753A1E"/>
    <w:rsid w:val="2B842F73"/>
    <w:rsid w:val="2C705209"/>
    <w:rsid w:val="2C8B31FB"/>
    <w:rsid w:val="2CAB1A96"/>
    <w:rsid w:val="2CBE73A5"/>
    <w:rsid w:val="2CD30CAD"/>
    <w:rsid w:val="2CE449C5"/>
    <w:rsid w:val="2D625808"/>
    <w:rsid w:val="2D7D2EF7"/>
    <w:rsid w:val="2D9B4786"/>
    <w:rsid w:val="2EB66944"/>
    <w:rsid w:val="2F0323DE"/>
    <w:rsid w:val="2F2A406E"/>
    <w:rsid w:val="2FB0531E"/>
    <w:rsid w:val="305514F5"/>
    <w:rsid w:val="30E57479"/>
    <w:rsid w:val="31DF7F16"/>
    <w:rsid w:val="32350B59"/>
    <w:rsid w:val="32853AEF"/>
    <w:rsid w:val="328C4399"/>
    <w:rsid w:val="32C57959"/>
    <w:rsid w:val="32D123DE"/>
    <w:rsid w:val="32FD27B6"/>
    <w:rsid w:val="337E2A6C"/>
    <w:rsid w:val="338C3760"/>
    <w:rsid w:val="33D6311B"/>
    <w:rsid w:val="343151D3"/>
    <w:rsid w:val="347A00B3"/>
    <w:rsid w:val="34A82E0D"/>
    <w:rsid w:val="357A05CB"/>
    <w:rsid w:val="35A04F35"/>
    <w:rsid w:val="35AA7614"/>
    <w:rsid w:val="36623DD1"/>
    <w:rsid w:val="367D0F7F"/>
    <w:rsid w:val="370337B4"/>
    <w:rsid w:val="37482CF9"/>
    <w:rsid w:val="37666E72"/>
    <w:rsid w:val="37A359AF"/>
    <w:rsid w:val="37CE559C"/>
    <w:rsid w:val="38704237"/>
    <w:rsid w:val="387B3A00"/>
    <w:rsid w:val="38823C91"/>
    <w:rsid w:val="38861F21"/>
    <w:rsid w:val="389804E8"/>
    <w:rsid w:val="38BF2AEB"/>
    <w:rsid w:val="39D830E1"/>
    <w:rsid w:val="3A08309A"/>
    <w:rsid w:val="3A201739"/>
    <w:rsid w:val="3A290FA2"/>
    <w:rsid w:val="3A517A26"/>
    <w:rsid w:val="3A9B660C"/>
    <w:rsid w:val="3B7020BA"/>
    <w:rsid w:val="3B8446A6"/>
    <w:rsid w:val="3BD76EA7"/>
    <w:rsid w:val="3BED44B1"/>
    <w:rsid w:val="3BF50853"/>
    <w:rsid w:val="3D24778B"/>
    <w:rsid w:val="3E395FF5"/>
    <w:rsid w:val="3E7E6EE5"/>
    <w:rsid w:val="3E8F77BC"/>
    <w:rsid w:val="3EA970F2"/>
    <w:rsid w:val="3EBA67FB"/>
    <w:rsid w:val="3EE22370"/>
    <w:rsid w:val="3F675313"/>
    <w:rsid w:val="3FA17DA5"/>
    <w:rsid w:val="3FA44527"/>
    <w:rsid w:val="3FAE6A2B"/>
    <w:rsid w:val="3FDC0568"/>
    <w:rsid w:val="404639C2"/>
    <w:rsid w:val="407B50CF"/>
    <w:rsid w:val="409F0893"/>
    <w:rsid w:val="40CB5E50"/>
    <w:rsid w:val="40CF0629"/>
    <w:rsid w:val="40F65305"/>
    <w:rsid w:val="410448A7"/>
    <w:rsid w:val="41802EE8"/>
    <w:rsid w:val="41A176A9"/>
    <w:rsid w:val="41D508E7"/>
    <w:rsid w:val="42355749"/>
    <w:rsid w:val="42674E4B"/>
    <w:rsid w:val="426E022A"/>
    <w:rsid w:val="4278399C"/>
    <w:rsid w:val="42864EB0"/>
    <w:rsid w:val="42FF0FC4"/>
    <w:rsid w:val="42FF776B"/>
    <w:rsid w:val="435F56DC"/>
    <w:rsid w:val="43602615"/>
    <w:rsid w:val="436B1C85"/>
    <w:rsid w:val="4413477E"/>
    <w:rsid w:val="44400AD8"/>
    <w:rsid w:val="44A1408B"/>
    <w:rsid w:val="44FE1803"/>
    <w:rsid w:val="45281530"/>
    <w:rsid w:val="455901D1"/>
    <w:rsid w:val="45D345AF"/>
    <w:rsid w:val="46146386"/>
    <w:rsid w:val="46513F71"/>
    <w:rsid w:val="46761D67"/>
    <w:rsid w:val="46893028"/>
    <w:rsid w:val="46DE1217"/>
    <w:rsid w:val="47251781"/>
    <w:rsid w:val="478A5EB2"/>
    <w:rsid w:val="47977142"/>
    <w:rsid w:val="4798186F"/>
    <w:rsid w:val="47A44A99"/>
    <w:rsid w:val="47C120B3"/>
    <w:rsid w:val="484B1DA7"/>
    <w:rsid w:val="48773854"/>
    <w:rsid w:val="48D6451F"/>
    <w:rsid w:val="48E613DC"/>
    <w:rsid w:val="49204438"/>
    <w:rsid w:val="49671554"/>
    <w:rsid w:val="49A058F1"/>
    <w:rsid w:val="49A85F39"/>
    <w:rsid w:val="4A4D1E5F"/>
    <w:rsid w:val="4A737F34"/>
    <w:rsid w:val="4A8E0F4E"/>
    <w:rsid w:val="4AA503B1"/>
    <w:rsid w:val="4ABA1442"/>
    <w:rsid w:val="4B5701A7"/>
    <w:rsid w:val="4B5E67A6"/>
    <w:rsid w:val="4BDB752D"/>
    <w:rsid w:val="4CAB7478"/>
    <w:rsid w:val="4D203016"/>
    <w:rsid w:val="4D6B643D"/>
    <w:rsid w:val="4D6D169A"/>
    <w:rsid w:val="4DF7173F"/>
    <w:rsid w:val="4E1B4533"/>
    <w:rsid w:val="4E604E1D"/>
    <w:rsid w:val="4E763440"/>
    <w:rsid w:val="4E785422"/>
    <w:rsid w:val="4EF45DB2"/>
    <w:rsid w:val="4F192FFC"/>
    <w:rsid w:val="4F50001F"/>
    <w:rsid w:val="4F76363C"/>
    <w:rsid w:val="4F9C3907"/>
    <w:rsid w:val="4FA31475"/>
    <w:rsid w:val="50231C63"/>
    <w:rsid w:val="5069710A"/>
    <w:rsid w:val="50B06CFF"/>
    <w:rsid w:val="50E20C06"/>
    <w:rsid w:val="51225BD0"/>
    <w:rsid w:val="51514E61"/>
    <w:rsid w:val="51827FBA"/>
    <w:rsid w:val="51EC5540"/>
    <w:rsid w:val="52024D0B"/>
    <w:rsid w:val="52111646"/>
    <w:rsid w:val="52572BC3"/>
    <w:rsid w:val="528074E4"/>
    <w:rsid w:val="52900981"/>
    <w:rsid w:val="52A24FC1"/>
    <w:rsid w:val="52C25F2B"/>
    <w:rsid w:val="537D29EE"/>
    <w:rsid w:val="53923F48"/>
    <w:rsid w:val="54471B54"/>
    <w:rsid w:val="552F624E"/>
    <w:rsid w:val="556B2B63"/>
    <w:rsid w:val="55BD765B"/>
    <w:rsid w:val="562F73E1"/>
    <w:rsid w:val="56B70B57"/>
    <w:rsid w:val="56DE1E50"/>
    <w:rsid w:val="57482408"/>
    <w:rsid w:val="574A7032"/>
    <w:rsid w:val="57AA0AFB"/>
    <w:rsid w:val="57BF770D"/>
    <w:rsid w:val="57E276C4"/>
    <w:rsid w:val="57EA29F7"/>
    <w:rsid w:val="57F86A92"/>
    <w:rsid w:val="58487AE6"/>
    <w:rsid w:val="584F04E7"/>
    <w:rsid w:val="588F421B"/>
    <w:rsid w:val="58A73382"/>
    <w:rsid w:val="58D82F25"/>
    <w:rsid w:val="58FB19EB"/>
    <w:rsid w:val="58FF1E58"/>
    <w:rsid w:val="59747D68"/>
    <w:rsid w:val="5976277D"/>
    <w:rsid w:val="59784337"/>
    <w:rsid w:val="597F09FB"/>
    <w:rsid w:val="59AC14AA"/>
    <w:rsid w:val="5A0F4F91"/>
    <w:rsid w:val="5A282624"/>
    <w:rsid w:val="5A291AE3"/>
    <w:rsid w:val="5A3418C7"/>
    <w:rsid w:val="5A405C9C"/>
    <w:rsid w:val="5A570D94"/>
    <w:rsid w:val="5A6A6B4A"/>
    <w:rsid w:val="5AA241DB"/>
    <w:rsid w:val="5AC13B8C"/>
    <w:rsid w:val="5AE53579"/>
    <w:rsid w:val="5BB72E8A"/>
    <w:rsid w:val="5BCB3856"/>
    <w:rsid w:val="5C37353C"/>
    <w:rsid w:val="5C41428D"/>
    <w:rsid w:val="5C874B51"/>
    <w:rsid w:val="5CA047F1"/>
    <w:rsid w:val="5CDD7AE6"/>
    <w:rsid w:val="5CFA7650"/>
    <w:rsid w:val="5D46621F"/>
    <w:rsid w:val="5D9973A0"/>
    <w:rsid w:val="5DB33161"/>
    <w:rsid w:val="5DC50B19"/>
    <w:rsid w:val="5E0F1582"/>
    <w:rsid w:val="5E8171A1"/>
    <w:rsid w:val="5EC5324A"/>
    <w:rsid w:val="5F0D0B74"/>
    <w:rsid w:val="5F7A77B2"/>
    <w:rsid w:val="5F813FC0"/>
    <w:rsid w:val="60341CCB"/>
    <w:rsid w:val="60714E01"/>
    <w:rsid w:val="60BA6581"/>
    <w:rsid w:val="60EC1BF6"/>
    <w:rsid w:val="611440D5"/>
    <w:rsid w:val="612B657A"/>
    <w:rsid w:val="614907E2"/>
    <w:rsid w:val="61D95419"/>
    <w:rsid w:val="62130613"/>
    <w:rsid w:val="62F441E3"/>
    <w:rsid w:val="62F5658E"/>
    <w:rsid w:val="62F76C03"/>
    <w:rsid w:val="642665BA"/>
    <w:rsid w:val="643F2540"/>
    <w:rsid w:val="64E11E1D"/>
    <w:rsid w:val="65095BA8"/>
    <w:rsid w:val="65271F32"/>
    <w:rsid w:val="65876DC4"/>
    <w:rsid w:val="65F12D79"/>
    <w:rsid w:val="662553C7"/>
    <w:rsid w:val="6640630B"/>
    <w:rsid w:val="66797621"/>
    <w:rsid w:val="66886A01"/>
    <w:rsid w:val="66BB3CDB"/>
    <w:rsid w:val="674F3B08"/>
    <w:rsid w:val="67575285"/>
    <w:rsid w:val="676254A4"/>
    <w:rsid w:val="684A272E"/>
    <w:rsid w:val="685C1D23"/>
    <w:rsid w:val="6870098D"/>
    <w:rsid w:val="69031659"/>
    <w:rsid w:val="69266638"/>
    <w:rsid w:val="693C6DDA"/>
    <w:rsid w:val="694145D5"/>
    <w:rsid w:val="69E23AD6"/>
    <w:rsid w:val="6ABC3D2F"/>
    <w:rsid w:val="6AE6198E"/>
    <w:rsid w:val="6B311D7B"/>
    <w:rsid w:val="6B7950F9"/>
    <w:rsid w:val="6BED5F7B"/>
    <w:rsid w:val="6D291149"/>
    <w:rsid w:val="6D434F9D"/>
    <w:rsid w:val="6D666F4A"/>
    <w:rsid w:val="6D6E14A5"/>
    <w:rsid w:val="6DBE20C0"/>
    <w:rsid w:val="6E2C05BA"/>
    <w:rsid w:val="6E583523"/>
    <w:rsid w:val="6E5B5742"/>
    <w:rsid w:val="6E773A80"/>
    <w:rsid w:val="6E9C3965"/>
    <w:rsid w:val="6F334D20"/>
    <w:rsid w:val="6F9F5007"/>
    <w:rsid w:val="6FA64631"/>
    <w:rsid w:val="6FDD5F48"/>
    <w:rsid w:val="708E3DDC"/>
    <w:rsid w:val="70962E68"/>
    <w:rsid w:val="70AF7A71"/>
    <w:rsid w:val="70EB2486"/>
    <w:rsid w:val="70F41A3C"/>
    <w:rsid w:val="71297BEA"/>
    <w:rsid w:val="714545A9"/>
    <w:rsid w:val="71642E36"/>
    <w:rsid w:val="71B21A2D"/>
    <w:rsid w:val="71B52105"/>
    <w:rsid w:val="71C823A7"/>
    <w:rsid w:val="71CA4040"/>
    <w:rsid w:val="7251199A"/>
    <w:rsid w:val="72544A78"/>
    <w:rsid w:val="727608EF"/>
    <w:rsid w:val="73274E14"/>
    <w:rsid w:val="73276F15"/>
    <w:rsid w:val="74190984"/>
    <w:rsid w:val="74321FDC"/>
    <w:rsid w:val="74BB4A17"/>
    <w:rsid w:val="750A78A5"/>
    <w:rsid w:val="75404EF1"/>
    <w:rsid w:val="754F398F"/>
    <w:rsid w:val="755D19CB"/>
    <w:rsid w:val="757C7501"/>
    <w:rsid w:val="75E37849"/>
    <w:rsid w:val="75EA0540"/>
    <w:rsid w:val="760848BB"/>
    <w:rsid w:val="76AA7DE9"/>
    <w:rsid w:val="771E7A66"/>
    <w:rsid w:val="77F549FE"/>
    <w:rsid w:val="790D1967"/>
    <w:rsid w:val="7912390B"/>
    <w:rsid w:val="79201310"/>
    <w:rsid w:val="795E6EA7"/>
    <w:rsid w:val="7AB36309"/>
    <w:rsid w:val="7AB72FC8"/>
    <w:rsid w:val="7AC46E76"/>
    <w:rsid w:val="7B837EAD"/>
    <w:rsid w:val="7C012101"/>
    <w:rsid w:val="7C04092D"/>
    <w:rsid w:val="7C2D500B"/>
    <w:rsid w:val="7C2F774D"/>
    <w:rsid w:val="7D406A05"/>
    <w:rsid w:val="7D7718B4"/>
    <w:rsid w:val="7DA10566"/>
    <w:rsid w:val="7DB139C0"/>
    <w:rsid w:val="7DC12FFE"/>
    <w:rsid w:val="7DDD47F4"/>
    <w:rsid w:val="7E0235F4"/>
    <w:rsid w:val="7E0B1FE3"/>
    <w:rsid w:val="7E3646E4"/>
    <w:rsid w:val="7E805C39"/>
    <w:rsid w:val="7F9D1317"/>
    <w:rsid w:val="7FBE070A"/>
    <w:rsid w:val="7FEE2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4"/>
    <w:next w:val="1"/>
    <w:qFormat/>
    <w:uiPriority w:val="0"/>
    <w:pPr>
      <w:numPr>
        <w:ilvl w:val="0"/>
        <w:numId w:val="1"/>
      </w:numPr>
      <w:outlineLvl w:val="0"/>
    </w:pPr>
    <w:rPr>
      <w:rFonts w:ascii="Times New Roman" w:hAnsi="Times New Roman"/>
      <w:szCs w:val="20"/>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qFormat/>
    <w:uiPriority w:val="9"/>
    <w:pPr>
      <w:keepLines/>
      <w:spacing w:before="260" w:after="260" w:line="416" w:lineRule="auto"/>
      <w:outlineLvl w:val="2"/>
    </w:pPr>
    <w:rPr>
      <w:sz w:val="32"/>
      <w:szCs w:val="32"/>
    </w:rPr>
  </w:style>
  <w:style w:type="paragraph" w:styleId="5">
    <w:name w:val="heading 4"/>
    <w:basedOn w:val="1"/>
    <w:next w:val="1"/>
    <w:qFormat/>
    <w:uiPriority w:val="0"/>
    <w:pPr>
      <w:keepNext/>
      <w:spacing w:line="360" w:lineRule="auto"/>
      <w:jc w:val="center"/>
      <w:outlineLvl w:val="3"/>
    </w:pPr>
    <w:rPr>
      <w:rFonts w:ascii="宋体" w:hAnsi="宋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jc w:val="left"/>
    </w:pPr>
    <w:rPr>
      <w:rFonts w:ascii="Tahoma" w:hAnsi="Tahoma"/>
      <w:kern w:val="0"/>
      <w:sz w:val="22"/>
      <w:lang w:val="en-GB"/>
    </w:rPr>
  </w:style>
  <w:style w:type="paragraph" w:customStyle="1" w:styleId="7">
    <w:name w:val="文档正文"/>
    <w:basedOn w:val="8"/>
    <w:qFormat/>
    <w:uiPriority w:val="0"/>
    <w:pPr>
      <w:adjustRightInd w:val="0"/>
      <w:spacing w:line="480" w:lineRule="atLeast"/>
      <w:ind w:firstLine="567" w:firstLineChars="200"/>
      <w:textAlignment w:val="baseline"/>
    </w:pPr>
    <w:rPr>
      <w:rFonts w:ascii="长城仿宋"/>
      <w:kern w:val="0"/>
    </w:rPr>
  </w:style>
  <w:style w:type="paragraph" w:styleId="8">
    <w:name w:val="Normal Indent"/>
    <w:basedOn w:val="1"/>
    <w:next w:val="1"/>
    <w:qFormat/>
    <w:uiPriority w:val="0"/>
    <w:pPr>
      <w:ind w:firstLine="420"/>
    </w:pPr>
    <w:rPr>
      <w:rFonts w:ascii="Times New Roman" w:hAnsi="Times New Roman"/>
    </w:rPr>
  </w:style>
  <w:style w:type="paragraph" w:styleId="9">
    <w:name w:val="toa heading"/>
    <w:basedOn w:val="1"/>
    <w:next w:val="1"/>
    <w:qFormat/>
    <w:uiPriority w:val="0"/>
    <w:rPr>
      <w:rFonts w:ascii="Arial" w:hAnsi="Arial"/>
      <w:sz w:val="24"/>
    </w:rPr>
  </w:style>
  <w:style w:type="paragraph" w:styleId="10">
    <w:name w:val="annotation text"/>
    <w:basedOn w:val="1"/>
    <w:semiHidden/>
    <w:qFormat/>
    <w:uiPriority w:val="0"/>
    <w:pPr>
      <w:jc w:val="left"/>
    </w:pPr>
  </w:style>
  <w:style w:type="paragraph" w:styleId="11">
    <w:name w:val="index 6"/>
    <w:basedOn w:val="1"/>
    <w:next w:val="1"/>
    <w:qFormat/>
    <w:uiPriority w:val="99"/>
    <w:pPr>
      <w:ind w:left="2100"/>
    </w:pPr>
  </w:style>
  <w:style w:type="paragraph" w:styleId="12">
    <w:name w:val="Body Text Indent"/>
    <w:basedOn w:val="1"/>
    <w:next w:val="13"/>
    <w:qFormat/>
    <w:uiPriority w:val="0"/>
    <w:pPr>
      <w:spacing w:after="120"/>
      <w:ind w:left="420" w:leftChars="200"/>
    </w:pPr>
    <w:rPr>
      <w:rFonts w:ascii="Times New Roman" w:hAnsi="Times New Roman"/>
    </w:rPr>
  </w:style>
  <w:style w:type="paragraph" w:styleId="13">
    <w:name w:val="Body Text First Indent 2"/>
    <w:basedOn w:val="12"/>
    <w:next w:val="1"/>
    <w:qFormat/>
    <w:uiPriority w:val="0"/>
    <w:pPr>
      <w:tabs>
        <w:tab w:val="left" w:pos="720"/>
        <w:tab w:val="left" w:pos="900"/>
        <w:tab w:val="left" w:pos="1260"/>
        <w:tab w:val="left" w:pos="2160"/>
        <w:tab w:val="left" w:pos="2880"/>
        <w:tab w:val="left" w:pos="3600"/>
        <w:tab w:val="left" w:pos="4320"/>
        <w:tab w:val="left" w:pos="5040"/>
        <w:tab w:val="left" w:pos="5760"/>
      </w:tabs>
      <w:ind w:firstLine="420"/>
    </w:pPr>
    <w:rPr>
      <w:rFonts w:cs="宋体"/>
      <w:szCs w:val="21"/>
    </w:rPr>
  </w:style>
  <w:style w:type="paragraph" w:styleId="14">
    <w:name w:val="Block Text"/>
    <w:basedOn w:val="1"/>
    <w:qFormat/>
    <w:uiPriority w:val="0"/>
    <w:pPr>
      <w:ind w:left="1440" w:leftChars="700" w:right="700" w:rightChars="700"/>
    </w:pPr>
  </w:style>
  <w:style w:type="paragraph" w:styleId="15">
    <w:name w:val="toc 3"/>
    <w:basedOn w:val="1"/>
    <w:next w:val="1"/>
    <w:qFormat/>
    <w:uiPriority w:val="0"/>
    <w:pPr>
      <w:ind w:left="420"/>
      <w:jc w:val="left"/>
    </w:pPr>
    <w:rPr>
      <w:rFonts w:ascii="Times New Roman" w:hAnsi="Times New Roman"/>
      <w:i/>
      <w:sz w:val="20"/>
    </w:rPr>
  </w:style>
  <w:style w:type="paragraph" w:styleId="16">
    <w:name w:val="Plain Text"/>
    <w:basedOn w:val="1"/>
    <w:qFormat/>
    <w:uiPriority w:val="0"/>
    <w:rPr>
      <w:rFonts w:ascii="宋体" w:hAnsi="Courier New"/>
    </w:rPr>
  </w:style>
  <w:style w:type="paragraph" w:styleId="17">
    <w:name w:val="Body Text Indent 2"/>
    <w:basedOn w:val="1"/>
    <w:qFormat/>
    <w:uiPriority w:val="0"/>
    <w:pPr>
      <w:ind w:firstLine="480"/>
    </w:pPr>
    <w:rPr>
      <w:rFonts w:ascii="宋体" w:hAnsi="宋体"/>
      <w:sz w:val="30"/>
      <w:szCs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rPr>
  </w:style>
  <w:style w:type="paragraph" w:styleId="20">
    <w:name w:val="toc 1"/>
    <w:basedOn w:val="1"/>
    <w:next w:val="1"/>
    <w:unhideWhenUsed/>
    <w:qFormat/>
    <w:uiPriority w:val="39"/>
    <w:rPr>
      <w:rFonts w:ascii="Times New Roman" w:hAnsi="Times New Roman"/>
    </w:rPr>
  </w:style>
  <w:style w:type="paragraph" w:styleId="21">
    <w:name w:val="toc 2"/>
    <w:basedOn w:val="1"/>
    <w:next w:val="1"/>
    <w:unhideWhenUsed/>
    <w:qFormat/>
    <w:uiPriority w:val="39"/>
    <w:pPr>
      <w:ind w:left="420" w:leftChars="200"/>
    </w:pPr>
    <w:rPr>
      <w:rFonts w:ascii="Times New Roman" w:hAnsi="Times New Roman"/>
    </w:rPr>
  </w:style>
  <w:style w:type="paragraph" w:styleId="22">
    <w:name w:val="Body Text 2"/>
    <w:basedOn w:val="1"/>
    <w:qFormat/>
    <w:uiPriority w:val="0"/>
    <w:pPr>
      <w:spacing w:after="120" w:line="480" w:lineRule="auto"/>
    </w:pPr>
    <w:rPr>
      <w:rFonts w:ascii="Times New Roman" w:hAnsi="Times New Roman"/>
      <w:szCs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2"/>
    <w:unhideWhenUsed/>
    <w:qFormat/>
    <w:uiPriority w:val="0"/>
    <w:pPr>
      <w:spacing w:line="312" w:lineRule="atLeast"/>
      <w:ind w:firstLine="420" w:firstLineChars="1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ascii="Times New Roman" w:hAnsi="Times New Roman" w:eastAsia="宋体" w:cs="Times New Roman"/>
    </w:rPr>
  </w:style>
  <w:style w:type="character" w:styleId="30">
    <w:name w:val="Hyperlink"/>
    <w:basedOn w:val="27"/>
    <w:qFormat/>
    <w:uiPriority w:val="0"/>
    <w:rPr>
      <w:color w:val="0000FF"/>
      <w:u w:val="single"/>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首行缩进"/>
    <w:basedOn w:val="1"/>
    <w:qFormat/>
    <w:uiPriority w:val="0"/>
    <w:pPr>
      <w:ind w:firstLine="480" w:firstLineChars="200"/>
    </w:pPr>
    <w:rPr>
      <w:lang w:val="zh-CN"/>
    </w:rPr>
  </w:style>
  <w:style w:type="paragraph" w:customStyle="1" w:styleId="33">
    <w:name w:val="目录 53"/>
    <w:basedOn w:val="1"/>
    <w:next w:val="1"/>
    <w:qFormat/>
    <w:uiPriority w:val="0"/>
    <w:pPr>
      <w:ind w:left="840"/>
    </w:pPr>
    <w:rPr>
      <w:sz w:val="18"/>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5">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6">
    <w:name w:val="TOC 标题1"/>
    <w:basedOn w:val="3"/>
    <w:next w:val="1"/>
    <w:semiHidden/>
    <w:unhideWhenUsed/>
    <w:qFormat/>
    <w:uiPriority w:val="39"/>
    <w:pPr>
      <w:widowControl/>
      <w:numPr>
        <w:numId w:val="0"/>
      </w:numPr>
      <w:spacing w:before="480" w:line="276" w:lineRule="auto"/>
      <w:jc w:val="left"/>
      <w:outlineLvl w:val="9"/>
    </w:pPr>
    <w:rPr>
      <w:rFonts w:ascii="Cambria" w:hAnsi="Cambria"/>
      <w:color w:val="365F91"/>
      <w:kern w:val="0"/>
      <w:sz w:val="28"/>
      <w:szCs w:val="28"/>
    </w:rPr>
  </w:style>
  <w:style w:type="paragraph" w:customStyle="1" w:styleId="37">
    <w:name w:val="UserStyle_146"/>
    <w:basedOn w:val="1"/>
    <w:qFormat/>
    <w:uiPriority w:val="0"/>
    <w:pPr>
      <w:jc w:val="left"/>
    </w:pPr>
    <w:rPr>
      <w:rFonts w:ascii="宋体" w:hAnsi="宋体"/>
      <w:kern w:val="0"/>
      <w:sz w:val="22"/>
      <w:lang w:eastAsia="en-US"/>
    </w:rPr>
  </w:style>
  <w:style w:type="paragraph" w:customStyle="1" w:styleId="3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sz w:val="24"/>
    </w:rPr>
  </w:style>
  <w:style w:type="paragraph" w:customStyle="1" w:styleId="39">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0">
    <w:name w:val="Table Paragraph"/>
    <w:basedOn w:val="1"/>
    <w:qFormat/>
    <w:uiPriority w:val="1"/>
    <w:rPr>
      <w:rFonts w:ascii="宋体" w:hAnsi="宋体" w:cs="宋体"/>
      <w:lang w:val="zh-CN" w:bidi="zh-CN"/>
    </w:rPr>
  </w:style>
  <w:style w:type="paragraph" w:customStyle="1" w:styleId="41">
    <w:name w:val="Char"/>
    <w:basedOn w:val="1"/>
    <w:qFormat/>
    <w:uiPriority w:val="0"/>
    <w:rPr>
      <w:szCs w:val="24"/>
    </w:rPr>
  </w:style>
  <w:style w:type="character" w:customStyle="1" w:styleId="42">
    <w:name w:val="articleitemtext1"/>
    <w:qFormat/>
    <w:uiPriority w:val="0"/>
    <w:rPr>
      <w:color w:val="000000"/>
      <w:sz w:val="18"/>
      <w:szCs w:val="18"/>
    </w:rPr>
  </w:style>
  <w:style w:type="paragraph" w:customStyle="1" w:styleId="43">
    <w:name w:val="Normal_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样式 宋体 五号 行距: 单倍行距"/>
    <w:basedOn w:val="1"/>
    <w:qFormat/>
    <w:uiPriority w:val="0"/>
    <w:pPr>
      <w:adjustRightInd w:val="0"/>
      <w:jc w:val="left"/>
      <w:textAlignment w:val="baseline"/>
    </w:pPr>
    <w:rPr>
      <w:rFonts w:ascii="宋体" w:hAnsi="宋体"/>
      <w:kern w:val="0"/>
    </w:rPr>
  </w:style>
  <w:style w:type="paragraph" w:customStyle="1" w:styleId="4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46">
    <w:name w:val="List Paragraph"/>
    <w:basedOn w:val="1"/>
    <w:qFormat/>
    <w:uiPriority w:val="1"/>
    <w:pPr>
      <w:widowControl/>
      <w:ind w:left="720"/>
      <w:contextualSpacing/>
      <w:jc w:val="left"/>
    </w:pPr>
    <w:rPr>
      <w:kern w:val="0"/>
      <w:sz w:val="24"/>
      <w:szCs w:val="24"/>
      <w:lang w:eastAsia="en-US" w:bidi="en-US"/>
    </w:rPr>
  </w:style>
  <w:style w:type="character" w:customStyle="1" w:styleId="47">
    <w:name w:val="mini-outputtext1"/>
    <w:qFormat/>
    <w:uiPriority w:val="0"/>
  </w:style>
  <w:style w:type="paragraph" w:customStyle="1" w:styleId="48">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05F93-8C00-4364-9720-D8B4DA2CB4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10304</Words>
  <Characters>58738</Characters>
  <Lines>489</Lines>
  <Paragraphs>137</Paragraphs>
  <TotalTime>3</TotalTime>
  <ScaleCrop>false</ScaleCrop>
  <LinksUpToDate>false</LinksUpToDate>
  <CharactersWithSpaces>68905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2022-01-18T02:12:00Z</dcterms:created>
  <dc:creator>Administrator</dc:creator>
  <cp:lastModifiedBy>Lenovo</cp:lastModifiedBy>
  <dcterms:modified xsi:type="dcterms:W3CDTF">2025-03-04T05:30:48Z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DA80FF454AD94B6A9646BFC65D7D9DA7</vt:lpwstr>
  </property>
</Properties>
</file>